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6BD" w:rsidRPr="00555954" w:rsidRDefault="003246BD">
      <w:pPr>
        <w:rPr>
          <w:rStyle w:val="IntenseReference"/>
        </w:rPr>
      </w:pPr>
    </w:p>
    <w:p w:rsidR="0091438D" w:rsidRDefault="0091438D"/>
    <w:p w:rsidR="002C3EA2" w:rsidRPr="0091438D" w:rsidRDefault="002C3EA2"/>
    <w:p w:rsidR="00AA4521" w:rsidRPr="0091438D" w:rsidRDefault="00AA4521"/>
    <w:tbl>
      <w:tblPr>
        <w:tblW w:w="15650"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C975B4" w:rsidRPr="0091438D" w:rsidTr="00687AB4">
        <w:trPr>
          <w:trHeight w:val="958"/>
          <w:jc w:val="center"/>
        </w:trPr>
        <w:tc>
          <w:tcPr>
            <w:tcW w:w="15650" w:type="dxa"/>
            <w:shd w:val="clear" w:color="auto" w:fill="BDD6EE"/>
          </w:tcPr>
          <w:p w:rsidR="00C975B4" w:rsidRPr="0091438D" w:rsidRDefault="00C975B4" w:rsidP="006242FA">
            <w:pPr>
              <w:tabs>
                <w:tab w:val="left" w:pos="2190"/>
              </w:tabs>
              <w:spacing w:before="120" w:line="360" w:lineRule="auto"/>
              <w:ind w:left="283" w:right="283"/>
              <w:jc w:val="center"/>
              <w:rPr>
                <w:b/>
                <w:spacing w:val="60"/>
                <w:sz w:val="28"/>
                <w:szCs w:val="28"/>
              </w:rPr>
            </w:pPr>
            <w:r w:rsidRPr="0091438D">
              <w:rPr>
                <w:b/>
                <w:spacing w:val="60"/>
                <w:sz w:val="28"/>
                <w:szCs w:val="28"/>
              </w:rPr>
              <w:t>СПРАВКА</w:t>
            </w:r>
          </w:p>
          <w:p w:rsidR="00E220AD" w:rsidRPr="0091438D" w:rsidRDefault="00C975B4" w:rsidP="00687AB4">
            <w:pPr>
              <w:spacing w:line="360" w:lineRule="auto"/>
              <w:ind w:left="283" w:right="283"/>
              <w:jc w:val="center"/>
              <w:rPr>
                <w:b/>
                <w:sz w:val="22"/>
                <w:szCs w:val="22"/>
              </w:rPr>
            </w:pPr>
            <w:r w:rsidRPr="0091438D">
              <w:rPr>
                <w:b/>
                <w:sz w:val="22"/>
                <w:szCs w:val="22"/>
              </w:rPr>
              <w:t>ЗА ОТРАЗЯВАНЕ НА ПОСТЪПИЛИТЕ ПРЕДЛОЖЕНИЯ ОТ ОБЩЕСТВЕНИТЕ КОНСУЛТАЦИИ НА</w:t>
            </w:r>
            <w:r w:rsidR="000632EC" w:rsidRPr="0091438D">
              <w:rPr>
                <w:b/>
                <w:sz w:val="22"/>
                <w:szCs w:val="22"/>
              </w:rPr>
              <w:t xml:space="preserve"> </w:t>
            </w:r>
            <w:r w:rsidR="005A6EE7" w:rsidRPr="005A6EE7">
              <w:rPr>
                <w:b/>
                <w:sz w:val="22"/>
                <w:szCs w:val="22"/>
              </w:rPr>
              <w:t xml:space="preserve">ПРОЕКТ НА НАРЕДБА ЗА ПРИЛАГАНЕ НА ПОДМЯРКА 22.2 „ИЗВЪНРЕДНО ВРЕМЕННО ПОДПОМАГАНЕ ЗА МАЛКИ И СРЕДНИ ПРЕДПРИЯТИЯ, ЗАСЕГНАТИ ОТ </w:t>
            </w:r>
            <w:r w:rsidR="00687AB4">
              <w:rPr>
                <w:b/>
                <w:sz w:val="22"/>
                <w:szCs w:val="22"/>
              </w:rPr>
              <w:br/>
            </w:r>
            <w:r w:rsidR="005A6EE7" w:rsidRPr="005A6EE7">
              <w:rPr>
                <w:b/>
                <w:sz w:val="22"/>
                <w:szCs w:val="22"/>
              </w:rPr>
              <w:t xml:space="preserve">ПОСЛЕДИЦИТЕ ОТ РУСКОТО НАШЕСТВИЕ В УКРАЙНА“ ОТ ПРОГРАМАТА ЗА РАЗВИТИЕ НА СЕЛСКИТЕ РАЙОНИ </w:t>
            </w:r>
            <w:r w:rsidR="00687AB4">
              <w:rPr>
                <w:b/>
                <w:sz w:val="22"/>
                <w:szCs w:val="22"/>
              </w:rPr>
              <w:br/>
            </w:r>
            <w:r w:rsidR="005A6EE7" w:rsidRPr="005A6EE7">
              <w:rPr>
                <w:b/>
                <w:sz w:val="22"/>
                <w:szCs w:val="22"/>
              </w:rPr>
              <w:t>ЗА ПЕРИОДА 2014 – 2020 Г.</w:t>
            </w:r>
          </w:p>
        </w:tc>
      </w:tr>
    </w:tbl>
    <w:p w:rsidR="00230821" w:rsidRPr="00D93068" w:rsidRDefault="00230821">
      <w:pPr>
        <w:rPr>
          <w:sz w:val="16"/>
          <w:szCs w:val="16"/>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0"/>
        <w:gridCol w:w="2261"/>
        <w:gridCol w:w="6639"/>
        <w:gridCol w:w="1608"/>
        <w:gridCol w:w="4522"/>
      </w:tblGrid>
      <w:tr w:rsidR="00E220AD" w:rsidRPr="0091438D" w:rsidTr="00687AB4">
        <w:trPr>
          <w:tblHeader/>
          <w:jc w:val="center"/>
        </w:trPr>
        <w:tc>
          <w:tcPr>
            <w:tcW w:w="620" w:type="dxa"/>
            <w:tcBorders>
              <w:top w:val="single" w:sz="24" w:space="0" w:color="2E74B5"/>
              <w:left w:val="single" w:sz="24" w:space="0" w:color="2E74B5"/>
              <w:bottom w:val="single" w:sz="18" w:space="0" w:color="2E74B5"/>
              <w:right w:val="single" w:sz="18" w:space="0" w:color="2E74B5"/>
            </w:tcBorders>
            <w:shd w:val="clear" w:color="auto" w:fill="DEEAF6"/>
            <w:vAlign w:val="center"/>
          </w:tcPr>
          <w:p w:rsidR="00E220AD" w:rsidRPr="0091438D" w:rsidRDefault="00E220AD" w:rsidP="0091438D">
            <w:pPr>
              <w:tabs>
                <w:tab w:val="left" w:pos="192"/>
              </w:tabs>
              <w:jc w:val="center"/>
              <w:rPr>
                <w:b/>
                <w:sz w:val="22"/>
                <w:szCs w:val="22"/>
              </w:rPr>
            </w:pPr>
            <w:r w:rsidRPr="0091438D">
              <w:rPr>
                <w:b/>
                <w:sz w:val="22"/>
                <w:szCs w:val="22"/>
              </w:rPr>
              <w:t>№</w:t>
            </w:r>
          </w:p>
        </w:tc>
        <w:tc>
          <w:tcPr>
            <w:tcW w:w="2261" w:type="dxa"/>
            <w:tcBorders>
              <w:top w:val="single" w:sz="24" w:space="0" w:color="2E74B5"/>
              <w:left w:val="single" w:sz="18" w:space="0" w:color="2E74B5"/>
              <w:bottom w:val="single" w:sz="18" w:space="0" w:color="2E74B5"/>
              <w:right w:val="single" w:sz="18" w:space="0" w:color="2E74B5"/>
            </w:tcBorders>
            <w:shd w:val="clear" w:color="auto" w:fill="DEEAF6"/>
            <w:vAlign w:val="center"/>
          </w:tcPr>
          <w:p w:rsidR="00E220AD" w:rsidRPr="0091438D" w:rsidRDefault="00E220AD" w:rsidP="0091438D">
            <w:pPr>
              <w:jc w:val="center"/>
              <w:rPr>
                <w:b/>
                <w:sz w:val="22"/>
                <w:szCs w:val="22"/>
              </w:rPr>
            </w:pPr>
            <w:r w:rsidRPr="0091438D">
              <w:rPr>
                <w:b/>
                <w:sz w:val="22"/>
                <w:szCs w:val="22"/>
              </w:rPr>
              <w:t>Организация/</w:t>
            </w:r>
            <w:r w:rsidR="00230821" w:rsidRPr="0091438D">
              <w:rPr>
                <w:b/>
                <w:sz w:val="22"/>
                <w:szCs w:val="22"/>
              </w:rPr>
              <w:br/>
            </w:r>
            <w:r w:rsidRPr="0091438D">
              <w:rPr>
                <w:b/>
                <w:sz w:val="22"/>
                <w:szCs w:val="22"/>
              </w:rPr>
              <w:t>потребител</w:t>
            </w:r>
          </w:p>
          <w:p w:rsidR="005424B9" w:rsidRPr="0091438D" w:rsidRDefault="00291E9B" w:rsidP="0091438D">
            <w:pPr>
              <w:spacing w:after="20"/>
              <w:jc w:val="center"/>
              <w:rPr>
                <w:b/>
                <w:sz w:val="16"/>
                <w:szCs w:val="16"/>
              </w:rPr>
            </w:pPr>
            <w:r w:rsidRPr="0091438D">
              <w:rPr>
                <w:b/>
                <w:sz w:val="16"/>
                <w:szCs w:val="16"/>
              </w:rPr>
              <w:t>(</w:t>
            </w:r>
            <w:r w:rsidR="005424B9" w:rsidRPr="0091438D">
              <w:rPr>
                <w:b/>
                <w:sz w:val="16"/>
                <w:szCs w:val="16"/>
              </w:rPr>
              <w:t>вкл. начина на получаване на предложението</w:t>
            </w:r>
            <w:r w:rsidRPr="0091438D">
              <w:rPr>
                <w:b/>
                <w:sz w:val="16"/>
                <w:szCs w:val="16"/>
              </w:rPr>
              <w:t>)</w:t>
            </w:r>
          </w:p>
        </w:tc>
        <w:tc>
          <w:tcPr>
            <w:tcW w:w="6639" w:type="dxa"/>
            <w:tcBorders>
              <w:top w:val="single" w:sz="24" w:space="0" w:color="2E74B5"/>
              <w:left w:val="single" w:sz="18" w:space="0" w:color="2E74B5"/>
              <w:bottom w:val="single" w:sz="18" w:space="0" w:color="2E74B5"/>
              <w:right w:val="single" w:sz="18" w:space="0" w:color="2E74B5"/>
            </w:tcBorders>
            <w:shd w:val="clear" w:color="auto" w:fill="DEEAF6"/>
            <w:vAlign w:val="center"/>
          </w:tcPr>
          <w:p w:rsidR="00E220AD" w:rsidRPr="0091438D" w:rsidRDefault="00E220AD" w:rsidP="0091438D">
            <w:pPr>
              <w:jc w:val="center"/>
              <w:rPr>
                <w:b/>
                <w:sz w:val="22"/>
                <w:szCs w:val="22"/>
              </w:rPr>
            </w:pPr>
            <w:r w:rsidRPr="0091438D">
              <w:rPr>
                <w:b/>
                <w:sz w:val="22"/>
                <w:szCs w:val="22"/>
              </w:rPr>
              <w:t>Бележки и предложения</w:t>
            </w:r>
          </w:p>
        </w:tc>
        <w:tc>
          <w:tcPr>
            <w:tcW w:w="1608" w:type="dxa"/>
            <w:tcBorders>
              <w:top w:val="single" w:sz="24" w:space="0" w:color="2E74B5"/>
              <w:left w:val="single" w:sz="18" w:space="0" w:color="2E74B5"/>
              <w:bottom w:val="single" w:sz="18" w:space="0" w:color="2E74B5"/>
              <w:right w:val="single" w:sz="18" w:space="0" w:color="2E74B5"/>
            </w:tcBorders>
            <w:shd w:val="clear" w:color="auto" w:fill="DEEAF6"/>
            <w:vAlign w:val="center"/>
          </w:tcPr>
          <w:p w:rsidR="00E220AD" w:rsidRPr="0091438D" w:rsidRDefault="00E220AD" w:rsidP="0091438D">
            <w:pPr>
              <w:jc w:val="center"/>
              <w:rPr>
                <w:b/>
                <w:sz w:val="22"/>
                <w:szCs w:val="22"/>
              </w:rPr>
            </w:pPr>
            <w:r w:rsidRPr="0091438D">
              <w:rPr>
                <w:b/>
                <w:sz w:val="22"/>
                <w:szCs w:val="22"/>
              </w:rPr>
              <w:t>Приети/</w:t>
            </w:r>
          </w:p>
          <w:p w:rsidR="00E220AD" w:rsidRPr="0091438D" w:rsidRDefault="00E220AD" w:rsidP="0091438D">
            <w:pPr>
              <w:jc w:val="center"/>
              <w:rPr>
                <w:b/>
                <w:sz w:val="22"/>
                <w:szCs w:val="22"/>
              </w:rPr>
            </w:pPr>
            <w:r w:rsidRPr="0091438D">
              <w:rPr>
                <w:b/>
                <w:sz w:val="22"/>
                <w:szCs w:val="22"/>
              </w:rPr>
              <w:t>неприети</w:t>
            </w:r>
          </w:p>
        </w:tc>
        <w:tc>
          <w:tcPr>
            <w:tcW w:w="4522" w:type="dxa"/>
            <w:tcBorders>
              <w:top w:val="single" w:sz="24" w:space="0" w:color="2E74B5"/>
              <w:left w:val="single" w:sz="18" w:space="0" w:color="2E74B5"/>
              <w:bottom w:val="single" w:sz="18" w:space="0" w:color="2E74B5"/>
              <w:right w:val="single" w:sz="24" w:space="0" w:color="2E74B5"/>
            </w:tcBorders>
            <w:shd w:val="clear" w:color="auto" w:fill="DEEAF6"/>
            <w:vAlign w:val="center"/>
          </w:tcPr>
          <w:p w:rsidR="00E220AD" w:rsidRPr="0091438D" w:rsidRDefault="00E220AD" w:rsidP="0091438D">
            <w:pPr>
              <w:jc w:val="center"/>
              <w:rPr>
                <w:sz w:val="22"/>
                <w:szCs w:val="22"/>
              </w:rPr>
            </w:pPr>
            <w:r w:rsidRPr="0091438D">
              <w:rPr>
                <w:b/>
                <w:sz w:val="22"/>
                <w:szCs w:val="22"/>
              </w:rPr>
              <w:t>Мотиви</w:t>
            </w:r>
          </w:p>
        </w:tc>
      </w:tr>
      <w:tr w:rsidR="00E220AD" w:rsidRPr="0091438D" w:rsidTr="00687AB4">
        <w:trPr>
          <w:jc w:val="center"/>
        </w:trPr>
        <w:tc>
          <w:tcPr>
            <w:tcW w:w="620" w:type="dxa"/>
            <w:tcBorders>
              <w:top w:val="single" w:sz="18" w:space="0" w:color="2E74B5"/>
              <w:left w:val="single" w:sz="24" w:space="0" w:color="2E74B5"/>
              <w:bottom w:val="single" w:sz="18" w:space="0" w:color="2E74B5"/>
              <w:right w:val="single" w:sz="18" w:space="0" w:color="2E74B5"/>
            </w:tcBorders>
            <w:shd w:val="clear" w:color="auto" w:fill="auto"/>
          </w:tcPr>
          <w:p w:rsidR="00E220AD" w:rsidRPr="00E51A86" w:rsidRDefault="00E220AD" w:rsidP="00E51A86">
            <w:pPr>
              <w:pStyle w:val="ListParagraph"/>
              <w:numPr>
                <w:ilvl w:val="0"/>
                <w:numId w:val="26"/>
              </w:numPr>
              <w:tabs>
                <w:tab w:val="left" w:pos="192"/>
              </w:tabs>
              <w:spacing w:before="60" w:after="40"/>
              <w:jc w:val="center"/>
              <w:rPr>
                <w:b/>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rsidR="00E220AD" w:rsidRPr="0091438D" w:rsidRDefault="003C49B5" w:rsidP="00E51A86">
            <w:pPr>
              <w:spacing w:before="60"/>
              <w:rPr>
                <w:b/>
                <w:bCs/>
                <w:color w:val="000000"/>
                <w:sz w:val="22"/>
                <w:szCs w:val="22"/>
              </w:rPr>
            </w:pPr>
            <w:r w:rsidRPr="003C49B5">
              <w:rPr>
                <w:b/>
                <w:bCs/>
                <w:color w:val="000000"/>
                <w:sz w:val="22"/>
                <w:szCs w:val="22"/>
              </w:rPr>
              <w:t>Данаил</w:t>
            </w:r>
            <w:r w:rsidRPr="00E03ECE">
              <w:rPr>
                <w:b/>
                <w:bCs/>
                <w:color w:val="000000"/>
                <w:sz w:val="22"/>
                <w:szCs w:val="22"/>
                <w:lang w:val="ru-RU"/>
              </w:rPr>
              <w:t xml:space="preserve"> </w:t>
            </w:r>
            <w:r w:rsidRPr="003C49B5">
              <w:rPr>
                <w:b/>
                <w:bCs/>
                <w:color w:val="000000"/>
                <w:sz w:val="22"/>
                <w:szCs w:val="22"/>
              </w:rPr>
              <w:t>Антонов</w:t>
            </w:r>
            <w:r w:rsidRPr="003C49B5">
              <w:rPr>
                <w:b/>
                <w:bCs/>
                <w:color w:val="000000"/>
                <w:sz w:val="22"/>
                <w:szCs w:val="22"/>
                <w:lang w:val="ru-RU"/>
              </w:rPr>
              <w:t xml:space="preserve"> </w:t>
            </w:r>
            <w:r w:rsidR="00705659" w:rsidRPr="0091438D">
              <w:rPr>
                <w:b/>
                <w:bCs/>
                <w:color w:val="000000"/>
                <w:sz w:val="22"/>
                <w:szCs w:val="22"/>
              </w:rPr>
              <w:t xml:space="preserve">– </w:t>
            </w:r>
            <w:r w:rsidR="00E51A86">
              <w:rPr>
                <w:b/>
                <w:bCs/>
                <w:color w:val="000000"/>
                <w:sz w:val="22"/>
                <w:szCs w:val="22"/>
              </w:rPr>
              <w:br/>
            </w:r>
            <w:r w:rsidRPr="0091438D">
              <w:rPr>
                <w:b/>
                <w:bCs/>
                <w:sz w:val="22"/>
                <w:szCs w:val="22"/>
              </w:rPr>
              <w:t>Портал за обществени консултации –</w:t>
            </w:r>
            <w:r>
              <w:rPr>
                <w:b/>
                <w:bCs/>
                <w:sz w:val="22"/>
                <w:szCs w:val="22"/>
              </w:rPr>
              <w:t>14.</w:t>
            </w:r>
            <w:r w:rsidRPr="003C49B5">
              <w:rPr>
                <w:b/>
                <w:bCs/>
                <w:sz w:val="22"/>
                <w:szCs w:val="22"/>
                <w:lang w:val="ru-RU"/>
              </w:rPr>
              <w:t>02</w:t>
            </w:r>
            <w:r>
              <w:rPr>
                <w:b/>
                <w:bCs/>
                <w:sz w:val="22"/>
                <w:szCs w:val="22"/>
              </w:rPr>
              <w:t>.2023</w:t>
            </w:r>
            <w:r w:rsidRPr="0091438D">
              <w:rPr>
                <w:b/>
                <w:bCs/>
                <w:sz w:val="22"/>
                <w:szCs w:val="22"/>
              </w:rPr>
              <w:t xml:space="preserve"> г.</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3C49B5" w:rsidRDefault="003C49B5" w:rsidP="0091438D">
            <w:pPr>
              <w:spacing w:before="60" w:after="40"/>
              <w:jc w:val="both"/>
              <w:rPr>
                <w:sz w:val="22"/>
                <w:szCs w:val="22"/>
              </w:rPr>
            </w:pPr>
            <w:r w:rsidRPr="003C49B5">
              <w:rPr>
                <w:sz w:val="22"/>
                <w:szCs w:val="22"/>
              </w:rPr>
              <w:t>Рядко скандално</w:t>
            </w:r>
          </w:p>
          <w:p w:rsidR="00E220AD" w:rsidRPr="0091438D" w:rsidRDefault="003C49B5" w:rsidP="00252F1E">
            <w:pPr>
              <w:spacing w:before="60" w:after="40"/>
              <w:jc w:val="both"/>
              <w:rPr>
                <w:sz w:val="22"/>
                <w:szCs w:val="22"/>
              </w:rPr>
            </w:pPr>
            <w:r w:rsidRPr="003C49B5">
              <w:rPr>
                <w:sz w:val="22"/>
                <w:szCs w:val="22"/>
              </w:rPr>
              <w:t xml:space="preserve">Пчелар съм, та според по-горното, излиза че ще бъдат подпомогнати и онези, които внасят отде намерят, та даже и </w:t>
            </w:r>
            <w:proofErr w:type="spellStart"/>
            <w:r w:rsidRPr="003C49B5">
              <w:rPr>
                <w:sz w:val="22"/>
                <w:szCs w:val="22"/>
              </w:rPr>
              <w:t>необмитено</w:t>
            </w:r>
            <w:proofErr w:type="spellEnd"/>
            <w:r w:rsidRPr="003C49B5">
              <w:rPr>
                <w:sz w:val="22"/>
                <w:szCs w:val="22"/>
              </w:rPr>
              <w:t xml:space="preserve">, щото е от Украйна и с това подбиват цените на родно произведеното. А варелите с мед от Китай сме ги виждали вече, та излиза че подобна практика трябва да бъде насърчавана, а аз имам право да попитам ЗАЩО ?! Далеч съм от мисълта че министерството го е </w:t>
            </w:r>
            <w:proofErr w:type="spellStart"/>
            <w:r w:rsidRPr="003C49B5">
              <w:rPr>
                <w:sz w:val="22"/>
                <w:szCs w:val="22"/>
              </w:rPr>
              <w:t>еня</w:t>
            </w:r>
            <w:proofErr w:type="spellEnd"/>
            <w:r w:rsidRPr="003C49B5">
              <w:rPr>
                <w:sz w:val="22"/>
                <w:szCs w:val="22"/>
              </w:rPr>
              <w:t xml:space="preserve"> да се произвежда нещо, обаче не ми е ясно как подпомогнатите допринасят с нещо в бюджета, който им се предоставя като някаква баница.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BE6BFB" w:rsidRPr="00884EC0" w:rsidRDefault="00884EC0" w:rsidP="0091438D">
            <w:pPr>
              <w:spacing w:before="60" w:after="40"/>
              <w:rPr>
                <w:color w:val="FF0000"/>
                <w:sz w:val="22"/>
                <w:szCs w:val="22"/>
              </w:rPr>
            </w:pPr>
            <w:r w:rsidRPr="0073596F">
              <w:rPr>
                <w:color w:val="000000" w:themeColor="text1"/>
                <w:sz w:val="22"/>
                <w:szCs w:val="22"/>
              </w:rPr>
              <w:t>Не се приема</w:t>
            </w:r>
          </w:p>
        </w:tc>
        <w:tc>
          <w:tcPr>
            <w:tcW w:w="4522" w:type="dxa"/>
            <w:tcBorders>
              <w:top w:val="single" w:sz="18" w:space="0" w:color="2E74B5"/>
              <w:left w:val="single" w:sz="18" w:space="0" w:color="2E74B5"/>
              <w:bottom w:val="single" w:sz="18" w:space="0" w:color="2E74B5"/>
              <w:right w:val="single" w:sz="24" w:space="0" w:color="2E74B5"/>
            </w:tcBorders>
            <w:shd w:val="clear" w:color="auto" w:fill="auto"/>
          </w:tcPr>
          <w:p w:rsidR="002472CF" w:rsidRPr="0091438D" w:rsidRDefault="00DF37E5" w:rsidP="00E51A86">
            <w:pPr>
              <w:spacing w:before="60" w:after="40"/>
              <w:jc w:val="both"/>
              <w:rPr>
                <w:sz w:val="22"/>
                <w:szCs w:val="22"/>
              </w:rPr>
            </w:pPr>
            <w:r w:rsidRPr="00DF37E5">
              <w:rPr>
                <w:sz w:val="22"/>
                <w:szCs w:val="22"/>
              </w:rPr>
              <w:t>В чл. 5 на проекта на наредба, респективно Приложение № 1</w:t>
            </w:r>
            <w:r w:rsidR="003806E8">
              <w:rPr>
                <w:sz w:val="22"/>
                <w:szCs w:val="22"/>
              </w:rPr>
              <w:t>,</w:t>
            </w:r>
            <w:r w:rsidRPr="00DF37E5">
              <w:rPr>
                <w:sz w:val="22"/>
                <w:szCs w:val="22"/>
              </w:rPr>
              <w:t xml:space="preserve"> са посочени допустимите класове на основната икономическа дейност на преработвателните предприятия за 2021 г. и 2022 г.</w:t>
            </w:r>
          </w:p>
        </w:tc>
      </w:tr>
      <w:tr w:rsidR="00192161" w:rsidRPr="0091438D" w:rsidTr="00687AB4">
        <w:trPr>
          <w:jc w:val="center"/>
        </w:trPr>
        <w:tc>
          <w:tcPr>
            <w:tcW w:w="620" w:type="dxa"/>
            <w:tcBorders>
              <w:top w:val="single" w:sz="18" w:space="0" w:color="2E74B5"/>
              <w:left w:val="single" w:sz="24" w:space="0" w:color="2E74B5"/>
              <w:bottom w:val="single" w:sz="18" w:space="0" w:color="2E74B5"/>
              <w:right w:val="single" w:sz="18" w:space="0" w:color="2E74B5"/>
            </w:tcBorders>
            <w:shd w:val="clear" w:color="auto" w:fill="auto"/>
          </w:tcPr>
          <w:p w:rsidR="00192161" w:rsidRPr="00E51A86" w:rsidRDefault="00192161" w:rsidP="00E03ECE">
            <w:pPr>
              <w:pStyle w:val="ListParagraph"/>
              <w:numPr>
                <w:ilvl w:val="0"/>
                <w:numId w:val="26"/>
              </w:numPr>
              <w:tabs>
                <w:tab w:val="left" w:pos="192"/>
              </w:tabs>
              <w:spacing w:before="60" w:after="40"/>
              <w:jc w:val="center"/>
              <w:rPr>
                <w:b/>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rsidR="00192161" w:rsidRPr="003C49B5" w:rsidRDefault="00192161" w:rsidP="00B34E56">
            <w:pPr>
              <w:spacing w:before="60" w:after="40"/>
              <w:rPr>
                <w:b/>
                <w:bCs/>
                <w:sz w:val="22"/>
                <w:szCs w:val="22"/>
              </w:rPr>
            </w:pPr>
            <w:r>
              <w:rPr>
                <w:b/>
                <w:bCs/>
                <w:sz w:val="22"/>
                <w:szCs w:val="22"/>
              </w:rPr>
              <w:t xml:space="preserve">Иван </w:t>
            </w:r>
            <w:proofErr w:type="spellStart"/>
            <w:r>
              <w:rPr>
                <w:b/>
                <w:bCs/>
                <w:sz w:val="22"/>
                <w:szCs w:val="22"/>
              </w:rPr>
              <w:t>Роглинов</w:t>
            </w:r>
            <w:proofErr w:type="spellEnd"/>
            <w:r>
              <w:rPr>
                <w:b/>
                <w:bCs/>
                <w:sz w:val="22"/>
                <w:szCs w:val="22"/>
              </w:rPr>
              <w:t xml:space="preserve"> - </w:t>
            </w:r>
            <w:r w:rsidR="00E51A86">
              <w:rPr>
                <w:b/>
                <w:bCs/>
                <w:sz w:val="22"/>
                <w:szCs w:val="22"/>
              </w:rPr>
              <w:br/>
            </w:r>
            <w:r>
              <w:rPr>
                <w:rStyle w:val="Hyperlink"/>
                <w:b/>
                <w:bCs/>
                <w:color w:val="auto"/>
                <w:sz w:val="22"/>
                <w:szCs w:val="22"/>
                <w:u w:val="none"/>
              </w:rPr>
              <w:t xml:space="preserve">получено </w:t>
            </w:r>
            <w:r w:rsidR="00B34E56">
              <w:rPr>
                <w:rStyle w:val="Hyperlink"/>
                <w:b/>
                <w:bCs/>
                <w:color w:val="auto"/>
                <w:sz w:val="22"/>
                <w:szCs w:val="22"/>
                <w:u w:val="none"/>
              </w:rPr>
              <w:t>по</w:t>
            </w:r>
            <w:r>
              <w:rPr>
                <w:rStyle w:val="Hyperlink"/>
                <w:b/>
                <w:bCs/>
                <w:color w:val="auto"/>
                <w:sz w:val="22"/>
                <w:szCs w:val="22"/>
                <w:u w:val="none"/>
              </w:rPr>
              <w:t xml:space="preserve"> </w:t>
            </w:r>
            <w:r w:rsidR="00E51A86">
              <w:rPr>
                <w:rStyle w:val="Hyperlink"/>
                <w:b/>
                <w:bCs/>
                <w:color w:val="auto"/>
                <w:sz w:val="22"/>
                <w:szCs w:val="22"/>
                <w:u w:val="none"/>
              </w:rPr>
              <w:br/>
            </w:r>
            <w:r>
              <w:rPr>
                <w:rStyle w:val="Hyperlink"/>
                <w:b/>
                <w:bCs/>
                <w:color w:val="auto"/>
                <w:sz w:val="22"/>
                <w:szCs w:val="22"/>
                <w:u w:val="none"/>
              </w:rPr>
              <w:t>електронна поща на 14.02.2023 г.</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192161" w:rsidRPr="0084461D" w:rsidRDefault="00192161" w:rsidP="00B34E56">
            <w:pPr>
              <w:pStyle w:val="BodyText"/>
              <w:spacing w:before="60" w:after="40"/>
              <w:jc w:val="both"/>
              <w:rPr>
                <w:sz w:val="22"/>
                <w:szCs w:val="22"/>
              </w:rPr>
            </w:pPr>
            <w:r w:rsidRPr="00192161">
              <w:rPr>
                <w:sz w:val="22"/>
                <w:szCs w:val="22"/>
              </w:rPr>
              <w:t xml:space="preserve">В проекта на наредбата чл. 8, ал. 1 гласи "Подпомагането по </w:t>
            </w:r>
            <w:proofErr w:type="spellStart"/>
            <w:r w:rsidRPr="00192161">
              <w:rPr>
                <w:sz w:val="22"/>
                <w:szCs w:val="22"/>
              </w:rPr>
              <w:t>подмярката</w:t>
            </w:r>
            <w:proofErr w:type="spellEnd"/>
            <w:r w:rsidRPr="00192161">
              <w:rPr>
                <w:sz w:val="22"/>
                <w:szCs w:val="22"/>
              </w:rPr>
              <w:t xml:space="preserve"> представлява еднократно платима сума в размер, изчислен въз основа на отрицателната разлика между приходите от оперативна дейност за 2022 г. и разходите за оперативна дейност за 2022 г.". Голяма част от преработвателите извършват и допълнителни дейности, например, отдаване под наем на обекти, транспортни, лабораторни и други услуги и т.н., които се отразяват в отчетите за приходи и разходи. Предвид горните две - приходите от допълнителна дейност ще се добавя ли към приходите от дейности, които подлежат на подпомагане?</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192161" w:rsidRPr="0091438D" w:rsidRDefault="00676E8F" w:rsidP="00676E8F">
            <w:pPr>
              <w:spacing w:before="60" w:after="40"/>
              <w:rPr>
                <w:color w:val="FF0000"/>
                <w:sz w:val="22"/>
                <w:szCs w:val="22"/>
              </w:rPr>
            </w:pPr>
            <w:r w:rsidRPr="00676E8F">
              <w:rPr>
                <w:sz w:val="22"/>
                <w:szCs w:val="22"/>
              </w:rPr>
              <w:t>Приема се по принцип</w:t>
            </w:r>
          </w:p>
        </w:tc>
        <w:tc>
          <w:tcPr>
            <w:tcW w:w="4522" w:type="dxa"/>
            <w:tcBorders>
              <w:top w:val="single" w:sz="18" w:space="0" w:color="2E74B5"/>
              <w:left w:val="single" w:sz="18" w:space="0" w:color="2E74B5"/>
              <w:bottom w:val="single" w:sz="18" w:space="0" w:color="2E74B5"/>
              <w:right w:val="single" w:sz="24" w:space="0" w:color="2E74B5"/>
            </w:tcBorders>
            <w:shd w:val="clear" w:color="auto" w:fill="auto"/>
          </w:tcPr>
          <w:p w:rsidR="00192161" w:rsidRPr="0091438D" w:rsidRDefault="00DF37E5" w:rsidP="007E433C">
            <w:pPr>
              <w:spacing w:before="60" w:after="40"/>
              <w:jc w:val="both"/>
              <w:rPr>
                <w:color w:val="FF0000"/>
                <w:sz w:val="22"/>
                <w:szCs w:val="22"/>
              </w:rPr>
            </w:pPr>
            <w:r w:rsidRPr="007E433C">
              <w:rPr>
                <w:sz w:val="22"/>
                <w:szCs w:val="22"/>
              </w:rPr>
              <w:t>В съответствие с чл. 8, ал. 1 от проекта на наредбата при определяне размера на подпомагането за кандидати, преработващи селскостопански продукти, ще бъдат взети данните от приходи от оперативна дейност в код 15000 и разходи за оперативна дейност в код 10000 от отчета за приходите и разходите за 2022 година</w:t>
            </w:r>
            <w:r w:rsidRPr="00362C53">
              <w:t>.</w:t>
            </w:r>
          </w:p>
        </w:tc>
      </w:tr>
      <w:tr w:rsidR="00AD74DF" w:rsidRPr="0091438D" w:rsidTr="00687AB4">
        <w:trPr>
          <w:jc w:val="center"/>
        </w:trPr>
        <w:tc>
          <w:tcPr>
            <w:tcW w:w="620" w:type="dxa"/>
            <w:tcBorders>
              <w:top w:val="single" w:sz="18" w:space="0" w:color="2E74B5"/>
              <w:left w:val="single" w:sz="24" w:space="0" w:color="2E74B5"/>
              <w:bottom w:val="single" w:sz="18" w:space="0" w:color="2E74B5"/>
              <w:right w:val="single" w:sz="18" w:space="0" w:color="2E74B5"/>
            </w:tcBorders>
            <w:shd w:val="clear" w:color="auto" w:fill="auto"/>
          </w:tcPr>
          <w:p w:rsidR="00FA70A7" w:rsidRPr="00E51A86" w:rsidRDefault="00FA70A7" w:rsidP="00E03ECE">
            <w:pPr>
              <w:pStyle w:val="ListParagraph"/>
              <w:numPr>
                <w:ilvl w:val="0"/>
                <w:numId w:val="26"/>
              </w:numPr>
              <w:tabs>
                <w:tab w:val="left" w:pos="192"/>
              </w:tabs>
              <w:spacing w:before="60" w:after="40"/>
              <w:jc w:val="center"/>
              <w:rPr>
                <w:b/>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91438D" w:rsidRDefault="003C49B5" w:rsidP="00E51A86">
            <w:pPr>
              <w:spacing w:before="60"/>
              <w:rPr>
                <w:b/>
                <w:bCs/>
                <w:sz w:val="22"/>
                <w:szCs w:val="22"/>
              </w:rPr>
            </w:pPr>
            <w:r w:rsidRPr="003C49B5">
              <w:rPr>
                <w:b/>
                <w:bCs/>
                <w:sz w:val="22"/>
                <w:szCs w:val="22"/>
              </w:rPr>
              <w:t xml:space="preserve">Данаил Антонов – </w:t>
            </w:r>
            <w:r w:rsidR="00E51A86">
              <w:rPr>
                <w:b/>
                <w:bCs/>
                <w:sz w:val="22"/>
                <w:szCs w:val="22"/>
              </w:rPr>
              <w:br/>
            </w:r>
            <w:r w:rsidRPr="003C49B5">
              <w:rPr>
                <w:b/>
                <w:bCs/>
                <w:color w:val="000000"/>
                <w:sz w:val="22"/>
                <w:szCs w:val="22"/>
              </w:rPr>
              <w:t>Порта</w:t>
            </w:r>
            <w:r>
              <w:rPr>
                <w:b/>
                <w:bCs/>
                <w:color w:val="000000"/>
                <w:sz w:val="22"/>
                <w:szCs w:val="22"/>
              </w:rPr>
              <w:t xml:space="preserve">л за </w:t>
            </w:r>
            <w:proofErr w:type="spellStart"/>
            <w:r>
              <w:rPr>
                <w:b/>
                <w:bCs/>
                <w:color w:val="000000"/>
                <w:sz w:val="22"/>
                <w:szCs w:val="22"/>
              </w:rPr>
              <w:t>общест</w:t>
            </w:r>
            <w:proofErr w:type="spellEnd"/>
            <w:r>
              <w:rPr>
                <w:b/>
                <w:bCs/>
                <w:color w:val="000000"/>
                <w:sz w:val="22"/>
                <w:szCs w:val="22"/>
              </w:rPr>
              <w:t>-</w:t>
            </w:r>
            <w:r>
              <w:rPr>
                <w:b/>
                <w:bCs/>
                <w:color w:val="000000"/>
                <w:sz w:val="22"/>
                <w:szCs w:val="22"/>
              </w:rPr>
              <w:lastRenderedPageBreak/>
              <w:t>вени консултации –15</w:t>
            </w:r>
            <w:r w:rsidRPr="003C49B5">
              <w:rPr>
                <w:b/>
                <w:bCs/>
                <w:color w:val="000000"/>
                <w:sz w:val="22"/>
                <w:szCs w:val="22"/>
              </w:rPr>
              <w:t>.02.2023 г.</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676037" w:rsidRPr="0091438D" w:rsidRDefault="0084461D" w:rsidP="00B34E56">
            <w:pPr>
              <w:pStyle w:val="BodyText"/>
              <w:spacing w:before="60" w:after="40"/>
              <w:jc w:val="both"/>
              <w:rPr>
                <w:sz w:val="22"/>
                <w:szCs w:val="22"/>
              </w:rPr>
            </w:pPr>
            <w:r w:rsidRPr="0084461D">
              <w:rPr>
                <w:sz w:val="22"/>
                <w:szCs w:val="22"/>
              </w:rPr>
              <w:lastRenderedPageBreak/>
              <w:t>Какво пречи войната на преработвателите, които внасят мед от Украйна на 3,60 лв</w:t>
            </w:r>
            <w:r w:rsidR="00ED09BF">
              <w:rPr>
                <w:sz w:val="22"/>
                <w:szCs w:val="22"/>
              </w:rPr>
              <w:t>.</w:t>
            </w:r>
            <w:r w:rsidRPr="0084461D">
              <w:rPr>
                <w:sz w:val="22"/>
                <w:szCs w:val="22"/>
              </w:rPr>
              <w:t xml:space="preserve"> за кг (възможно е и да е по-евтино), също и от Китай </w:t>
            </w:r>
            <w:r w:rsidRPr="0084461D">
              <w:rPr>
                <w:sz w:val="22"/>
                <w:szCs w:val="22"/>
              </w:rPr>
              <w:lastRenderedPageBreak/>
              <w:t>и откъде ли не още, вземани ли са някакви калкулации за реално извършените от тях разходи, или се разчита на счетоводни похвати.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91438D" w:rsidRDefault="00DF37E5" w:rsidP="0091438D">
            <w:pPr>
              <w:spacing w:before="60" w:after="40"/>
              <w:rPr>
                <w:color w:val="FF0000"/>
                <w:sz w:val="22"/>
                <w:szCs w:val="22"/>
              </w:rPr>
            </w:pPr>
            <w:r w:rsidRPr="0073596F">
              <w:rPr>
                <w:color w:val="000000" w:themeColor="text1"/>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24" w:space="0" w:color="2E74B5"/>
            </w:tcBorders>
            <w:shd w:val="clear" w:color="auto" w:fill="auto"/>
          </w:tcPr>
          <w:p w:rsidR="00FA70A7" w:rsidRPr="00505BF4" w:rsidRDefault="00DF37E5" w:rsidP="007E433C">
            <w:pPr>
              <w:spacing w:before="60" w:after="40"/>
              <w:jc w:val="both"/>
              <w:rPr>
                <w:color w:val="000000" w:themeColor="text1"/>
                <w:sz w:val="22"/>
                <w:szCs w:val="22"/>
              </w:rPr>
            </w:pPr>
            <w:r w:rsidRPr="00DF37E5">
              <w:rPr>
                <w:color w:val="000000" w:themeColor="text1"/>
                <w:sz w:val="22"/>
                <w:szCs w:val="22"/>
              </w:rPr>
              <w:t>В чл. 5 на проекта на наредба, респективно Приложение № 1</w:t>
            </w:r>
            <w:r w:rsidR="003806E8">
              <w:rPr>
                <w:color w:val="000000" w:themeColor="text1"/>
                <w:sz w:val="22"/>
                <w:szCs w:val="22"/>
              </w:rPr>
              <w:t>,</w:t>
            </w:r>
            <w:r w:rsidRPr="00DF37E5">
              <w:rPr>
                <w:color w:val="000000" w:themeColor="text1"/>
                <w:sz w:val="22"/>
                <w:szCs w:val="22"/>
              </w:rPr>
              <w:t xml:space="preserve"> са посочени допустимите </w:t>
            </w:r>
            <w:r w:rsidRPr="00DF37E5">
              <w:rPr>
                <w:color w:val="000000" w:themeColor="text1"/>
                <w:sz w:val="22"/>
                <w:szCs w:val="22"/>
              </w:rPr>
              <w:lastRenderedPageBreak/>
              <w:t>класове на основната икономическа дейност на преработвателните предприятия за 2021 г. и 2022 г.</w:t>
            </w:r>
          </w:p>
        </w:tc>
      </w:tr>
      <w:tr w:rsidR="007E433C" w:rsidRPr="0091438D" w:rsidTr="00687AB4">
        <w:trPr>
          <w:jc w:val="center"/>
        </w:trPr>
        <w:tc>
          <w:tcPr>
            <w:tcW w:w="620" w:type="dxa"/>
            <w:tcBorders>
              <w:top w:val="single" w:sz="18" w:space="0" w:color="2E74B5"/>
              <w:left w:val="single" w:sz="24" w:space="0" w:color="2E74B5"/>
              <w:bottom w:val="single" w:sz="18" w:space="0" w:color="2E74B5"/>
              <w:right w:val="single" w:sz="18" w:space="0" w:color="2E74B5"/>
            </w:tcBorders>
            <w:shd w:val="clear" w:color="auto" w:fill="auto"/>
          </w:tcPr>
          <w:p w:rsidR="007E433C" w:rsidRPr="00E51A86" w:rsidRDefault="007E433C" w:rsidP="00E03ECE">
            <w:pPr>
              <w:pStyle w:val="ListParagraph"/>
              <w:numPr>
                <w:ilvl w:val="0"/>
                <w:numId w:val="26"/>
              </w:numPr>
              <w:tabs>
                <w:tab w:val="left" w:pos="192"/>
              </w:tabs>
              <w:spacing w:before="60" w:after="40"/>
              <w:jc w:val="center"/>
              <w:rPr>
                <w:b/>
                <w:color w:val="FF0000"/>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rsidR="007E433C" w:rsidRPr="006E6669" w:rsidRDefault="007E433C" w:rsidP="00E51A86">
            <w:pPr>
              <w:spacing w:before="60"/>
              <w:rPr>
                <w:rStyle w:val="Hyperlink"/>
                <w:b/>
                <w:bCs/>
                <w:color w:val="auto"/>
                <w:sz w:val="22"/>
                <w:szCs w:val="22"/>
                <w:u w:val="none"/>
              </w:rPr>
            </w:pPr>
            <w:proofErr w:type="spellStart"/>
            <w:r w:rsidRPr="0066309A">
              <w:rPr>
                <w:b/>
                <w:bCs/>
                <w:sz w:val="22"/>
                <w:szCs w:val="22"/>
              </w:rPr>
              <w:t>Rnochev</w:t>
            </w:r>
            <w:proofErr w:type="spellEnd"/>
            <w:r>
              <w:rPr>
                <w:b/>
                <w:bCs/>
                <w:sz w:val="22"/>
                <w:szCs w:val="22"/>
              </w:rPr>
              <w:t xml:space="preserve"> – </w:t>
            </w:r>
            <w:r w:rsidR="00E51A86">
              <w:rPr>
                <w:b/>
                <w:bCs/>
                <w:sz w:val="22"/>
                <w:szCs w:val="22"/>
              </w:rPr>
              <w:br/>
            </w:r>
            <w:r w:rsidRPr="003C49B5">
              <w:rPr>
                <w:b/>
                <w:bCs/>
                <w:color w:val="000000"/>
                <w:sz w:val="22"/>
                <w:szCs w:val="22"/>
              </w:rPr>
              <w:t>Порта</w:t>
            </w:r>
            <w:r>
              <w:rPr>
                <w:b/>
                <w:bCs/>
                <w:color w:val="000000"/>
                <w:sz w:val="22"/>
                <w:szCs w:val="22"/>
              </w:rPr>
              <w:t xml:space="preserve">л за </w:t>
            </w:r>
            <w:proofErr w:type="spellStart"/>
            <w:r>
              <w:rPr>
                <w:b/>
                <w:bCs/>
                <w:color w:val="000000"/>
                <w:sz w:val="22"/>
                <w:szCs w:val="22"/>
              </w:rPr>
              <w:t>общест</w:t>
            </w:r>
            <w:proofErr w:type="spellEnd"/>
            <w:r>
              <w:rPr>
                <w:b/>
                <w:bCs/>
                <w:color w:val="000000"/>
                <w:sz w:val="22"/>
                <w:szCs w:val="22"/>
              </w:rPr>
              <w:t>-вени консултации –17</w:t>
            </w:r>
            <w:r w:rsidRPr="003C49B5">
              <w:rPr>
                <w:b/>
                <w:bCs/>
                <w:color w:val="000000"/>
                <w:sz w:val="22"/>
                <w:szCs w:val="22"/>
              </w:rPr>
              <w:t>.02.2023 г.</w:t>
            </w:r>
          </w:p>
        </w:tc>
        <w:tc>
          <w:tcPr>
            <w:tcW w:w="6639" w:type="dxa"/>
            <w:tcBorders>
              <w:top w:val="single" w:sz="18" w:space="0" w:color="2E74B5"/>
              <w:left w:val="single" w:sz="18" w:space="0" w:color="2E74B5"/>
              <w:bottom w:val="nil"/>
              <w:right w:val="single" w:sz="18" w:space="0" w:color="2E74B5"/>
            </w:tcBorders>
            <w:shd w:val="clear" w:color="auto" w:fill="auto"/>
          </w:tcPr>
          <w:p w:rsidR="007E433C" w:rsidRPr="0066309A" w:rsidRDefault="007E433C" w:rsidP="007E433C">
            <w:pPr>
              <w:pStyle w:val="BodyText"/>
              <w:spacing w:before="60" w:after="40"/>
              <w:jc w:val="both"/>
              <w:rPr>
                <w:sz w:val="22"/>
                <w:szCs w:val="22"/>
              </w:rPr>
            </w:pPr>
            <w:r w:rsidRPr="0066309A">
              <w:rPr>
                <w:sz w:val="22"/>
                <w:szCs w:val="22"/>
              </w:rPr>
              <w:t>След като смятате да подпомагате секторите заради пропуснат</w:t>
            </w:r>
            <w:r>
              <w:rPr>
                <w:sz w:val="22"/>
                <w:szCs w:val="22"/>
              </w:rPr>
              <w:t>ите ползи от войната в Украйна</w:t>
            </w:r>
            <w:r w:rsidRPr="0066309A">
              <w:rPr>
                <w:sz w:val="22"/>
                <w:szCs w:val="22"/>
              </w:rPr>
              <w:t>, то не е никак справедливо да се подпомагат всички предприятия, които са внасяли</w:t>
            </w:r>
            <w:r>
              <w:rPr>
                <w:sz w:val="22"/>
                <w:szCs w:val="22"/>
              </w:rPr>
              <w:t xml:space="preserve"> стоки от Украйна на ниска цена</w:t>
            </w:r>
            <w:r w:rsidRPr="0066309A">
              <w:rPr>
                <w:sz w:val="22"/>
                <w:szCs w:val="22"/>
              </w:rPr>
              <w:t xml:space="preserve">, но въпреки това цената на крайния продукт не е намаляла. </w:t>
            </w:r>
          </w:p>
          <w:p w:rsidR="007E433C" w:rsidRPr="0066309A" w:rsidRDefault="007E433C" w:rsidP="007E433C">
            <w:pPr>
              <w:pStyle w:val="BodyText"/>
              <w:spacing w:before="60" w:after="40"/>
              <w:jc w:val="both"/>
              <w:rPr>
                <w:sz w:val="22"/>
                <w:szCs w:val="22"/>
              </w:rPr>
            </w:pPr>
            <w:r w:rsidRPr="0066309A">
              <w:rPr>
                <w:sz w:val="22"/>
                <w:szCs w:val="22"/>
              </w:rPr>
              <w:t>Преработв</w:t>
            </w:r>
            <w:r>
              <w:rPr>
                <w:sz w:val="22"/>
                <w:szCs w:val="22"/>
              </w:rPr>
              <w:t>ателите внасят стоки от Украйна</w:t>
            </w:r>
            <w:r w:rsidRPr="0066309A">
              <w:rPr>
                <w:sz w:val="22"/>
                <w:szCs w:val="22"/>
              </w:rPr>
              <w:t>, а произведените у</w:t>
            </w:r>
            <w:r>
              <w:rPr>
                <w:sz w:val="22"/>
                <w:szCs w:val="22"/>
              </w:rPr>
              <w:t xml:space="preserve"> нас стоки стоят по складовете</w:t>
            </w:r>
            <w:r w:rsidRPr="0066309A">
              <w:rPr>
                <w:sz w:val="22"/>
                <w:szCs w:val="22"/>
              </w:rPr>
              <w:t xml:space="preserve">. Примера с меда е показен! </w:t>
            </w:r>
            <w:r>
              <w:rPr>
                <w:sz w:val="22"/>
                <w:szCs w:val="22"/>
              </w:rPr>
              <w:t xml:space="preserve"> Внася се Украински мед на 3.60</w:t>
            </w:r>
            <w:r w:rsidRPr="0066309A">
              <w:rPr>
                <w:sz w:val="22"/>
                <w:szCs w:val="22"/>
              </w:rPr>
              <w:t>, а меда на българските пчелари стои по складовете и цената му падна с повече от 1 лв. Пролетта първия</w:t>
            </w:r>
            <w:r>
              <w:rPr>
                <w:sz w:val="22"/>
                <w:szCs w:val="22"/>
              </w:rPr>
              <w:t xml:space="preserve"> мед се купуваше на 5.80 - 6 лв</w:t>
            </w:r>
            <w:r w:rsidRPr="0066309A">
              <w:rPr>
                <w:sz w:val="22"/>
                <w:szCs w:val="22"/>
              </w:rPr>
              <w:t>. А сега цената е 5 лв</w:t>
            </w:r>
            <w:r>
              <w:rPr>
                <w:sz w:val="22"/>
                <w:szCs w:val="22"/>
              </w:rPr>
              <w:t>.</w:t>
            </w:r>
            <w:r w:rsidRPr="0066309A">
              <w:rPr>
                <w:sz w:val="22"/>
                <w:szCs w:val="22"/>
              </w:rPr>
              <w:t xml:space="preserve"> и надолу и интерес почти няма.... От другата страна преработвател</w:t>
            </w:r>
            <w:r>
              <w:rPr>
                <w:sz w:val="22"/>
                <w:szCs w:val="22"/>
              </w:rPr>
              <w:t>ите</w:t>
            </w:r>
            <w:r w:rsidRPr="0066309A">
              <w:rPr>
                <w:sz w:val="22"/>
                <w:szCs w:val="22"/>
              </w:rPr>
              <w:t>, които внасят пчелен мед от трети страни</w:t>
            </w:r>
            <w:r>
              <w:rPr>
                <w:sz w:val="22"/>
                <w:szCs w:val="22"/>
              </w:rPr>
              <w:t xml:space="preserve"> </w:t>
            </w:r>
            <w:r w:rsidRPr="0066309A">
              <w:rPr>
                <w:sz w:val="22"/>
                <w:szCs w:val="22"/>
              </w:rPr>
              <w:t xml:space="preserve">(не само от Украйна) заливат пазара </w:t>
            </w:r>
            <w:r>
              <w:rPr>
                <w:sz w:val="22"/>
                <w:szCs w:val="22"/>
              </w:rPr>
              <w:t>с продукт на ниска себестойност</w:t>
            </w:r>
            <w:r w:rsidRPr="0066309A">
              <w:rPr>
                <w:sz w:val="22"/>
                <w:szCs w:val="22"/>
              </w:rPr>
              <w:t>, но  продават на висока цена....</w:t>
            </w:r>
          </w:p>
          <w:p w:rsidR="007E433C" w:rsidRDefault="007E433C" w:rsidP="007E433C">
            <w:pPr>
              <w:pStyle w:val="Default"/>
              <w:spacing w:before="60" w:after="40"/>
              <w:jc w:val="both"/>
              <w:rPr>
                <w:color w:val="auto"/>
                <w:sz w:val="22"/>
                <w:szCs w:val="22"/>
              </w:rPr>
            </w:pPr>
            <w:r w:rsidRPr="0066309A">
              <w:rPr>
                <w:sz w:val="22"/>
                <w:szCs w:val="22"/>
              </w:rPr>
              <w:t>Иначе преработвателите които не са внасяли стоки от трети страни следва да бъдат стимулирани и подпомогнати.</w:t>
            </w:r>
          </w:p>
        </w:tc>
        <w:tc>
          <w:tcPr>
            <w:tcW w:w="1608" w:type="dxa"/>
            <w:tcBorders>
              <w:top w:val="single" w:sz="18" w:space="0" w:color="2E74B5"/>
              <w:left w:val="single" w:sz="18" w:space="0" w:color="2E74B5"/>
              <w:bottom w:val="nil"/>
              <w:right w:val="single" w:sz="18" w:space="0" w:color="2E74B5"/>
            </w:tcBorders>
            <w:shd w:val="clear" w:color="auto" w:fill="auto"/>
          </w:tcPr>
          <w:p w:rsidR="007E433C" w:rsidRPr="00DF37E5" w:rsidRDefault="00152539" w:rsidP="00DF37E5">
            <w:pPr>
              <w:spacing w:before="60" w:after="40"/>
              <w:rPr>
                <w:color w:val="000000" w:themeColor="text1"/>
                <w:sz w:val="22"/>
                <w:szCs w:val="22"/>
              </w:rPr>
            </w:pPr>
            <w:r w:rsidRPr="00152539">
              <w:rPr>
                <w:color w:val="000000" w:themeColor="text1"/>
                <w:sz w:val="22"/>
                <w:szCs w:val="22"/>
              </w:rPr>
              <w:t>Не се приема</w:t>
            </w:r>
          </w:p>
        </w:tc>
        <w:tc>
          <w:tcPr>
            <w:tcW w:w="4522" w:type="dxa"/>
            <w:tcBorders>
              <w:top w:val="single" w:sz="18" w:space="0" w:color="2E74B5"/>
              <w:left w:val="single" w:sz="18" w:space="0" w:color="2E74B5"/>
              <w:bottom w:val="nil"/>
              <w:right w:val="single" w:sz="24" w:space="0" w:color="2E74B5"/>
            </w:tcBorders>
            <w:shd w:val="clear" w:color="auto" w:fill="auto"/>
          </w:tcPr>
          <w:p w:rsidR="007E433C" w:rsidRPr="00DF37E5" w:rsidRDefault="007E433C" w:rsidP="007E433C">
            <w:pPr>
              <w:spacing w:before="60" w:after="40"/>
              <w:jc w:val="both"/>
              <w:rPr>
                <w:color w:val="000000" w:themeColor="text1"/>
                <w:sz w:val="22"/>
                <w:szCs w:val="22"/>
              </w:rPr>
            </w:pPr>
            <w:r w:rsidRPr="007E433C">
              <w:rPr>
                <w:color w:val="000000" w:themeColor="text1"/>
                <w:sz w:val="22"/>
                <w:szCs w:val="22"/>
              </w:rPr>
              <w:t>В чл. 5 на проекта на наредба, респективно Приложение № 1</w:t>
            </w:r>
            <w:r w:rsidR="003806E8">
              <w:rPr>
                <w:color w:val="000000" w:themeColor="text1"/>
                <w:sz w:val="22"/>
                <w:szCs w:val="22"/>
              </w:rPr>
              <w:t>,</w:t>
            </w:r>
            <w:r w:rsidRPr="007E433C">
              <w:rPr>
                <w:color w:val="000000" w:themeColor="text1"/>
                <w:sz w:val="22"/>
                <w:szCs w:val="22"/>
              </w:rPr>
              <w:t xml:space="preserve"> са посочени допустимите класове на основната икономическа дейност на преработвателните предприятия за 2021 г. и 2022 г.</w:t>
            </w:r>
          </w:p>
        </w:tc>
      </w:tr>
      <w:tr w:rsidR="00DF37E5" w:rsidRPr="0091438D" w:rsidTr="00687AB4">
        <w:trPr>
          <w:jc w:val="center"/>
        </w:trPr>
        <w:tc>
          <w:tcPr>
            <w:tcW w:w="620" w:type="dxa"/>
            <w:tcBorders>
              <w:top w:val="single" w:sz="18" w:space="0" w:color="2E74B5"/>
              <w:left w:val="single" w:sz="24" w:space="0" w:color="2E74B5"/>
              <w:bottom w:val="single" w:sz="18" w:space="0" w:color="2E74B5"/>
              <w:right w:val="single" w:sz="18" w:space="0" w:color="2E74B5"/>
            </w:tcBorders>
            <w:shd w:val="clear" w:color="auto" w:fill="auto"/>
          </w:tcPr>
          <w:p w:rsidR="00DF37E5" w:rsidRPr="00E51A86" w:rsidRDefault="00DF37E5" w:rsidP="00E03ECE">
            <w:pPr>
              <w:pStyle w:val="ListParagraph"/>
              <w:numPr>
                <w:ilvl w:val="0"/>
                <w:numId w:val="26"/>
              </w:numPr>
              <w:tabs>
                <w:tab w:val="left" w:pos="192"/>
              </w:tabs>
              <w:spacing w:before="60" w:after="40"/>
              <w:jc w:val="center"/>
              <w:rPr>
                <w:b/>
                <w:color w:val="FF0000"/>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rsidR="00DF37E5" w:rsidRPr="006E6669" w:rsidRDefault="00DF37E5" w:rsidP="00DF37E5">
            <w:pPr>
              <w:spacing w:before="60" w:after="40"/>
              <w:rPr>
                <w:rStyle w:val="Hyperlink"/>
                <w:b/>
                <w:bCs/>
                <w:color w:val="auto"/>
                <w:sz w:val="22"/>
                <w:szCs w:val="22"/>
                <w:u w:val="none"/>
              </w:rPr>
            </w:pPr>
            <w:r w:rsidRPr="006E6669">
              <w:rPr>
                <w:rStyle w:val="Hyperlink"/>
                <w:b/>
                <w:bCs/>
                <w:color w:val="auto"/>
                <w:sz w:val="22"/>
                <w:szCs w:val="22"/>
                <w:u w:val="none"/>
              </w:rPr>
              <w:t xml:space="preserve">Петър Хаджиев - </w:t>
            </w:r>
            <w:r w:rsidR="00E51A86">
              <w:rPr>
                <w:rStyle w:val="Hyperlink"/>
                <w:b/>
                <w:bCs/>
                <w:color w:val="auto"/>
                <w:sz w:val="22"/>
                <w:szCs w:val="22"/>
                <w:u w:val="none"/>
              </w:rPr>
              <w:br/>
            </w:r>
            <w:proofErr w:type="spellStart"/>
            <w:r w:rsidRPr="006E6669">
              <w:rPr>
                <w:rStyle w:val="Hyperlink"/>
                <w:b/>
                <w:bCs/>
                <w:color w:val="auto"/>
                <w:sz w:val="22"/>
                <w:szCs w:val="22"/>
                <w:u w:val="none"/>
              </w:rPr>
              <w:t>ягод</w:t>
            </w:r>
            <w:r w:rsidR="00E51A86">
              <w:rPr>
                <w:rStyle w:val="Hyperlink"/>
                <w:b/>
                <w:bCs/>
                <w:color w:val="auto"/>
                <w:sz w:val="22"/>
                <w:szCs w:val="22"/>
                <w:u w:val="none"/>
              </w:rPr>
              <w:t>опроизводител</w:t>
            </w:r>
            <w:proofErr w:type="spellEnd"/>
            <w:r w:rsidR="00E51A86">
              <w:rPr>
                <w:rStyle w:val="Hyperlink"/>
                <w:b/>
                <w:bCs/>
                <w:color w:val="auto"/>
                <w:sz w:val="22"/>
                <w:szCs w:val="22"/>
                <w:u w:val="none"/>
              </w:rPr>
              <w:t>, област Хасково –</w:t>
            </w:r>
            <w:r w:rsidR="00E51A86">
              <w:rPr>
                <w:rStyle w:val="Hyperlink"/>
                <w:b/>
                <w:bCs/>
                <w:color w:val="auto"/>
                <w:sz w:val="22"/>
                <w:szCs w:val="22"/>
                <w:u w:val="none"/>
              </w:rPr>
              <w:br/>
            </w:r>
            <w:r>
              <w:rPr>
                <w:rStyle w:val="Hyperlink"/>
                <w:b/>
                <w:bCs/>
                <w:color w:val="auto"/>
                <w:sz w:val="22"/>
                <w:szCs w:val="22"/>
                <w:u w:val="none"/>
              </w:rPr>
              <w:t>получено по електронна поща на 18.02.2023 г.</w:t>
            </w:r>
          </w:p>
        </w:tc>
        <w:tc>
          <w:tcPr>
            <w:tcW w:w="6639" w:type="dxa"/>
            <w:tcBorders>
              <w:top w:val="single" w:sz="18" w:space="0" w:color="2E74B5"/>
              <w:left w:val="single" w:sz="18" w:space="0" w:color="2E74B5"/>
              <w:bottom w:val="nil"/>
              <w:right w:val="single" w:sz="18" w:space="0" w:color="2E74B5"/>
            </w:tcBorders>
            <w:shd w:val="clear" w:color="auto" w:fill="auto"/>
          </w:tcPr>
          <w:p w:rsidR="00DF37E5" w:rsidRPr="006E6669" w:rsidRDefault="00DF37E5" w:rsidP="00DF37E5">
            <w:pPr>
              <w:pStyle w:val="Default"/>
              <w:spacing w:before="60" w:after="40"/>
              <w:jc w:val="both"/>
              <w:rPr>
                <w:color w:val="auto"/>
                <w:sz w:val="22"/>
                <w:szCs w:val="22"/>
              </w:rPr>
            </w:pPr>
            <w:r>
              <w:rPr>
                <w:color w:val="auto"/>
                <w:sz w:val="22"/>
                <w:szCs w:val="22"/>
              </w:rPr>
              <w:t>И</w:t>
            </w:r>
            <w:r w:rsidRPr="006E6669">
              <w:rPr>
                <w:color w:val="auto"/>
                <w:sz w:val="22"/>
                <w:szCs w:val="22"/>
              </w:rPr>
              <w:t>скам да изразя мнение относно изискването за посадъчен материал при ягодите и малините.</w:t>
            </w:r>
          </w:p>
          <w:p w:rsidR="00DF37E5" w:rsidRPr="006E6669" w:rsidRDefault="00DF37E5" w:rsidP="00DF37E5">
            <w:pPr>
              <w:pStyle w:val="Default"/>
              <w:spacing w:before="60" w:after="40"/>
              <w:jc w:val="both"/>
              <w:rPr>
                <w:color w:val="auto"/>
                <w:sz w:val="22"/>
                <w:szCs w:val="22"/>
              </w:rPr>
            </w:pPr>
            <w:r w:rsidRPr="006E6669">
              <w:rPr>
                <w:color w:val="auto"/>
                <w:sz w:val="22"/>
                <w:szCs w:val="22"/>
              </w:rPr>
              <w:t>Посадъчният материал при тези култури се различава от плодните дръвчета и семената за редица хибридни сортове слънчоглед или зеленчуци.</w:t>
            </w:r>
          </w:p>
          <w:p w:rsidR="00DF37E5" w:rsidRPr="0091438D" w:rsidRDefault="00DF37E5" w:rsidP="00DF37E5">
            <w:pPr>
              <w:pStyle w:val="Default"/>
              <w:spacing w:before="60" w:after="40"/>
              <w:jc w:val="both"/>
              <w:rPr>
                <w:color w:val="auto"/>
                <w:sz w:val="22"/>
                <w:szCs w:val="22"/>
              </w:rPr>
            </w:pPr>
            <w:r w:rsidRPr="006E6669">
              <w:rPr>
                <w:color w:val="auto"/>
                <w:sz w:val="22"/>
                <w:szCs w:val="22"/>
              </w:rPr>
              <w:t>При ягодата и малината е напълно н</w:t>
            </w:r>
            <w:r>
              <w:rPr>
                <w:color w:val="auto"/>
                <w:sz w:val="22"/>
                <w:szCs w:val="22"/>
              </w:rPr>
              <w:t>о</w:t>
            </w:r>
            <w:r w:rsidRPr="006E6669">
              <w:rPr>
                <w:color w:val="auto"/>
                <w:sz w:val="22"/>
                <w:szCs w:val="22"/>
              </w:rPr>
              <w:t xml:space="preserve">рмално всеки стопанин да си закупи изходен посадъчен материал и да си създаде </w:t>
            </w:r>
            <w:proofErr w:type="spellStart"/>
            <w:r w:rsidRPr="006E6669">
              <w:rPr>
                <w:color w:val="auto"/>
                <w:sz w:val="22"/>
                <w:szCs w:val="22"/>
              </w:rPr>
              <w:t>маточник</w:t>
            </w:r>
            <w:proofErr w:type="spellEnd"/>
            <w:r w:rsidRPr="006E6669">
              <w:rPr>
                <w:color w:val="auto"/>
                <w:sz w:val="22"/>
                <w:szCs w:val="22"/>
              </w:rPr>
              <w:t xml:space="preserve"> за собствени нужди с цел оптимизиране и </w:t>
            </w:r>
            <w:proofErr w:type="spellStart"/>
            <w:r w:rsidRPr="006E6669">
              <w:rPr>
                <w:color w:val="auto"/>
                <w:sz w:val="22"/>
                <w:szCs w:val="22"/>
              </w:rPr>
              <w:t>намаляне</w:t>
            </w:r>
            <w:proofErr w:type="spellEnd"/>
            <w:r w:rsidRPr="006E6669">
              <w:rPr>
                <w:color w:val="auto"/>
                <w:sz w:val="22"/>
                <w:szCs w:val="22"/>
              </w:rPr>
              <w:t xml:space="preserve"> на разходите. Практиката широка застъпена при редица култури - житни, картофи и други.</w:t>
            </w:r>
          </w:p>
        </w:tc>
        <w:tc>
          <w:tcPr>
            <w:tcW w:w="1608" w:type="dxa"/>
            <w:tcBorders>
              <w:top w:val="single" w:sz="18" w:space="0" w:color="2E74B5"/>
              <w:left w:val="single" w:sz="18" w:space="0" w:color="2E74B5"/>
              <w:bottom w:val="nil"/>
              <w:right w:val="single" w:sz="18" w:space="0" w:color="2E74B5"/>
            </w:tcBorders>
            <w:shd w:val="clear" w:color="auto" w:fill="auto"/>
          </w:tcPr>
          <w:p w:rsidR="00DF37E5" w:rsidRPr="00DF37E5" w:rsidRDefault="00DF37E5" w:rsidP="00DF37E5">
            <w:pPr>
              <w:spacing w:before="60" w:after="40"/>
              <w:rPr>
                <w:color w:val="000000" w:themeColor="text1"/>
                <w:sz w:val="22"/>
                <w:szCs w:val="22"/>
              </w:rPr>
            </w:pPr>
            <w:r w:rsidRPr="00DF37E5">
              <w:rPr>
                <w:color w:val="000000" w:themeColor="text1"/>
                <w:sz w:val="22"/>
                <w:szCs w:val="22"/>
              </w:rPr>
              <w:t>Не се приема</w:t>
            </w:r>
          </w:p>
        </w:tc>
        <w:tc>
          <w:tcPr>
            <w:tcW w:w="4522" w:type="dxa"/>
            <w:tcBorders>
              <w:top w:val="single" w:sz="18" w:space="0" w:color="2E74B5"/>
              <w:left w:val="single" w:sz="18" w:space="0" w:color="2E74B5"/>
              <w:bottom w:val="nil"/>
              <w:right w:val="single" w:sz="24" w:space="0" w:color="2E74B5"/>
            </w:tcBorders>
            <w:shd w:val="clear" w:color="auto" w:fill="auto"/>
          </w:tcPr>
          <w:p w:rsidR="00DF37E5" w:rsidRPr="00DF37E5" w:rsidRDefault="00DF37E5" w:rsidP="007E433C">
            <w:pPr>
              <w:spacing w:before="60" w:after="40"/>
              <w:jc w:val="both"/>
              <w:rPr>
                <w:color w:val="000000" w:themeColor="text1"/>
                <w:sz w:val="22"/>
                <w:szCs w:val="22"/>
              </w:rPr>
            </w:pPr>
            <w:r w:rsidRPr="00DF37E5">
              <w:rPr>
                <w:color w:val="000000" w:themeColor="text1"/>
                <w:sz w:val="22"/>
                <w:szCs w:val="22"/>
              </w:rPr>
              <w:t xml:space="preserve">Изразеното становище не е свързано с проекта на Наредба за прилагане на </w:t>
            </w:r>
            <w:proofErr w:type="spellStart"/>
            <w:r w:rsidRPr="00DF37E5">
              <w:rPr>
                <w:color w:val="000000" w:themeColor="text1"/>
                <w:sz w:val="22"/>
                <w:szCs w:val="22"/>
              </w:rPr>
              <w:t>подмярка</w:t>
            </w:r>
            <w:proofErr w:type="spellEnd"/>
            <w:r w:rsidRPr="00DF37E5">
              <w:rPr>
                <w:color w:val="000000" w:themeColor="text1"/>
                <w:sz w:val="22"/>
                <w:szCs w:val="22"/>
              </w:rPr>
              <w:t xml:space="preserve"> 22.2 „Извънредно временно подпомагане за малки и средни предприятия, засегнати от последиците от руското нашествие в Украйна“ от Програмата за развитие на селските райони за периода 2014 – 2020 г.</w:t>
            </w:r>
          </w:p>
        </w:tc>
      </w:tr>
      <w:tr w:rsidR="00DF37E5" w:rsidRPr="0091438D" w:rsidTr="00687AB4">
        <w:trPr>
          <w:jc w:val="center"/>
        </w:trPr>
        <w:tc>
          <w:tcPr>
            <w:tcW w:w="620" w:type="dxa"/>
            <w:tcBorders>
              <w:top w:val="single" w:sz="18" w:space="0" w:color="2E74B5"/>
              <w:left w:val="single" w:sz="24" w:space="0" w:color="2E74B5"/>
              <w:bottom w:val="nil"/>
              <w:right w:val="single" w:sz="18" w:space="0" w:color="2E74B5"/>
            </w:tcBorders>
            <w:shd w:val="clear" w:color="auto" w:fill="auto"/>
          </w:tcPr>
          <w:p w:rsidR="00DF37E5" w:rsidRPr="00E51A86" w:rsidRDefault="00DF37E5" w:rsidP="00E03ECE">
            <w:pPr>
              <w:pStyle w:val="ListParagraph"/>
              <w:numPr>
                <w:ilvl w:val="0"/>
                <w:numId w:val="26"/>
              </w:numPr>
              <w:tabs>
                <w:tab w:val="left" w:pos="192"/>
              </w:tabs>
              <w:spacing w:before="60" w:after="40"/>
              <w:jc w:val="center"/>
              <w:rPr>
                <w:b/>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DF37E5" w:rsidRPr="007E0679" w:rsidRDefault="00DF37E5" w:rsidP="00DF37E5">
            <w:pPr>
              <w:spacing w:before="60" w:after="40"/>
              <w:rPr>
                <w:rStyle w:val="Hyperlink"/>
                <w:b/>
                <w:bCs/>
                <w:color w:val="auto"/>
                <w:sz w:val="22"/>
                <w:szCs w:val="22"/>
                <w:u w:val="none"/>
              </w:rPr>
            </w:pPr>
            <w:r w:rsidRPr="007E0679">
              <w:rPr>
                <w:rStyle w:val="Hyperlink"/>
                <w:b/>
                <w:bCs/>
                <w:color w:val="auto"/>
                <w:sz w:val="22"/>
                <w:szCs w:val="22"/>
                <w:u w:val="none"/>
              </w:rPr>
              <w:t xml:space="preserve">Национален съюз на градинарите в България – </w:t>
            </w:r>
            <w:r w:rsidRPr="007E0679">
              <w:rPr>
                <w:rStyle w:val="Hyperlink"/>
                <w:b/>
                <w:bCs/>
                <w:color w:val="auto"/>
                <w:sz w:val="22"/>
                <w:szCs w:val="22"/>
                <w:u w:val="none"/>
              </w:rPr>
              <w:br/>
              <w:t xml:space="preserve">получено в </w:t>
            </w:r>
            <w:proofErr w:type="spellStart"/>
            <w:r w:rsidRPr="007E0679">
              <w:rPr>
                <w:rStyle w:val="Hyperlink"/>
                <w:b/>
                <w:bCs/>
                <w:color w:val="auto"/>
                <w:sz w:val="22"/>
                <w:szCs w:val="22"/>
                <w:u w:val="none"/>
              </w:rPr>
              <w:t>МЗм</w:t>
            </w:r>
            <w:proofErr w:type="spellEnd"/>
            <w:r w:rsidRPr="007E0679">
              <w:rPr>
                <w:rStyle w:val="Hyperlink"/>
                <w:b/>
                <w:bCs/>
                <w:color w:val="auto"/>
                <w:sz w:val="22"/>
                <w:szCs w:val="22"/>
                <w:u w:val="none"/>
              </w:rPr>
              <w:t xml:space="preserve"> с </w:t>
            </w:r>
            <w:r w:rsidRPr="007E0679">
              <w:rPr>
                <w:rStyle w:val="Hyperlink"/>
                <w:b/>
                <w:bCs/>
                <w:color w:val="auto"/>
                <w:sz w:val="22"/>
                <w:szCs w:val="22"/>
                <w:u w:val="none"/>
              </w:rPr>
              <w:lastRenderedPageBreak/>
              <w:t>вх. № 62-82 от 20.02.2023 г.</w:t>
            </w:r>
          </w:p>
        </w:tc>
        <w:tc>
          <w:tcPr>
            <w:tcW w:w="6639" w:type="dxa"/>
            <w:tcBorders>
              <w:top w:val="single" w:sz="18" w:space="0" w:color="2E74B5"/>
              <w:left w:val="single" w:sz="18" w:space="0" w:color="2E74B5"/>
              <w:bottom w:val="nil"/>
              <w:right w:val="single" w:sz="18" w:space="0" w:color="2E74B5"/>
            </w:tcBorders>
            <w:shd w:val="clear" w:color="auto" w:fill="auto"/>
          </w:tcPr>
          <w:p w:rsidR="00DF37E5" w:rsidRPr="00763283" w:rsidRDefault="00DF37E5" w:rsidP="00DF37E5">
            <w:pPr>
              <w:pStyle w:val="BodyText"/>
              <w:spacing w:after="40"/>
              <w:jc w:val="both"/>
              <w:rPr>
                <w:sz w:val="22"/>
                <w:szCs w:val="22"/>
              </w:rPr>
            </w:pPr>
            <w:r w:rsidRPr="00763283">
              <w:rPr>
                <w:sz w:val="22"/>
                <w:szCs w:val="22"/>
              </w:rPr>
              <w:lastRenderedPageBreak/>
              <w:t xml:space="preserve">Във връзка с проведена </w:t>
            </w:r>
            <w:proofErr w:type="spellStart"/>
            <w:r w:rsidRPr="00763283">
              <w:rPr>
                <w:sz w:val="22"/>
                <w:szCs w:val="22"/>
              </w:rPr>
              <w:t>он-лайн</w:t>
            </w:r>
            <w:proofErr w:type="spellEnd"/>
            <w:r w:rsidRPr="00763283">
              <w:rPr>
                <w:sz w:val="22"/>
                <w:szCs w:val="22"/>
              </w:rPr>
              <w:t xml:space="preserve"> среща на 17.02.2023 и обсъждане на предложените условия в проекта за НАРЕДБА за прилагане на </w:t>
            </w:r>
            <w:proofErr w:type="spellStart"/>
            <w:r w:rsidRPr="00763283">
              <w:rPr>
                <w:sz w:val="22"/>
                <w:szCs w:val="22"/>
              </w:rPr>
              <w:t>подмярка</w:t>
            </w:r>
            <w:proofErr w:type="spellEnd"/>
            <w:r w:rsidRPr="00763283">
              <w:rPr>
                <w:sz w:val="22"/>
                <w:szCs w:val="22"/>
              </w:rPr>
              <w:t xml:space="preserve"> 22.2 „Извънредно временно подпомагане за малки и средни </w:t>
            </w:r>
            <w:r w:rsidRPr="00763283">
              <w:rPr>
                <w:sz w:val="22"/>
                <w:szCs w:val="22"/>
              </w:rPr>
              <w:lastRenderedPageBreak/>
              <w:t>предприятия, засегнати от последиците от руското нашествие в Украйна“ от Програмата за развитие на селските райони за периода 2014 – 2020 г., публикуван за обществено обсъждане на интернет страницата на Министерство на земеделието (</w:t>
            </w:r>
            <w:proofErr w:type="spellStart"/>
            <w:r w:rsidRPr="00763283">
              <w:rPr>
                <w:sz w:val="22"/>
                <w:szCs w:val="22"/>
              </w:rPr>
              <w:t>МЗм</w:t>
            </w:r>
            <w:proofErr w:type="spellEnd"/>
            <w:r w:rsidRPr="00763283">
              <w:rPr>
                <w:sz w:val="22"/>
                <w:szCs w:val="22"/>
              </w:rPr>
              <w:t>), се прави похвален опит да бъдат подпомогнати малките и средни предприятия, осъществяващи преработка на земеделска продукция, както и групите и организации на производители от сектора. В същото време наредбата създава неприемлива, според нас, неравнопоставеност между икономическите субекти и условия за неравно положение на едни преработватели спрямо други.</w:t>
            </w:r>
          </w:p>
          <w:p w:rsidR="00676E8F" w:rsidRDefault="00DF37E5" w:rsidP="00DF37E5">
            <w:pPr>
              <w:pStyle w:val="BodyText"/>
              <w:spacing w:after="40"/>
              <w:jc w:val="both"/>
              <w:rPr>
                <w:sz w:val="22"/>
                <w:szCs w:val="22"/>
              </w:rPr>
            </w:pPr>
            <w:r w:rsidRPr="00763283">
              <w:rPr>
                <w:sz w:val="22"/>
                <w:szCs w:val="22"/>
              </w:rPr>
              <w:t>Разпоредбите на проекта не отчит</w:t>
            </w:r>
            <w:r>
              <w:rPr>
                <w:sz w:val="22"/>
                <w:szCs w:val="22"/>
              </w:rPr>
              <w:t>ат</w:t>
            </w:r>
            <w:r w:rsidRPr="00763283">
              <w:rPr>
                <w:sz w:val="22"/>
                <w:szCs w:val="22"/>
              </w:rPr>
              <w:t xml:space="preserve"> една специфична особеност в сектора, а именно – че част от земеделските производители са ангажирани не само пряко в производството на земеделска продукция – плодове, зеленчуци и др., но и в последващата й преработка, в стремеж да намалят риска от липсата на реализация на пресния продукт, задържане на работна сила и увеличаване на приходите. Немалко земеделски стопани са едновременно с това и преработватели, като в някои години приходите от преработката превишават приходите от реализацията на пресните продукти, които те произвеждат. </w:t>
            </w:r>
          </w:p>
          <w:p w:rsidR="000A5190" w:rsidRDefault="00676E8F" w:rsidP="00DF37E5">
            <w:pPr>
              <w:pStyle w:val="BodyText"/>
              <w:spacing w:after="40"/>
              <w:jc w:val="both"/>
              <w:rPr>
                <w:sz w:val="22"/>
                <w:szCs w:val="22"/>
              </w:rPr>
            </w:pPr>
            <w:r w:rsidRPr="00763283">
              <w:rPr>
                <w:sz w:val="22"/>
                <w:szCs w:val="22"/>
              </w:rPr>
              <w:t xml:space="preserve">Предлаганият проект за наредба неоснователно дискриминира тази група земеделски производители. Тези малки и средни предприятия, които не само отглеждат земеделски култури, но и извършват тяхната преработка, а в някои случаи и купуват земеделска продукция за преработка от други стопани „напр. плодове, които те самите не отглеждат, но преработват), по презумпция са изключени от възможността да получат подпомагане по наредбата, тъй като чл. 8 ал. 3 от предлагания проект изрично предвижда, че „при определяне максималния размер на подпомагането ДФЗ взема предвид подпомагането на кандидата, предоставено по други инструменти за подпомагане....“ </w:t>
            </w:r>
          </w:p>
          <w:p w:rsidR="00DF37E5" w:rsidRDefault="00676E8F" w:rsidP="00DF37E5">
            <w:pPr>
              <w:pStyle w:val="BodyText"/>
              <w:spacing w:after="40"/>
              <w:jc w:val="both"/>
              <w:rPr>
                <w:sz w:val="22"/>
                <w:szCs w:val="22"/>
                <w:lang w:val="ru-RU"/>
              </w:rPr>
            </w:pPr>
            <w:r w:rsidRPr="00763283">
              <w:rPr>
                <w:sz w:val="22"/>
                <w:szCs w:val="22"/>
              </w:rPr>
              <w:t>Разбираме, че този текст се стреми да изключи възможността определени кандидати да бъдат „</w:t>
            </w:r>
            <w:proofErr w:type="spellStart"/>
            <w:r w:rsidRPr="00763283">
              <w:rPr>
                <w:sz w:val="22"/>
                <w:szCs w:val="22"/>
              </w:rPr>
              <w:t>надфинансирани</w:t>
            </w:r>
            <w:proofErr w:type="spellEnd"/>
            <w:r w:rsidRPr="00763283">
              <w:rPr>
                <w:sz w:val="22"/>
                <w:szCs w:val="22"/>
              </w:rPr>
              <w:t xml:space="preserve">“, но не отчита обстоятелството, че макар и в рамките на една и съща правна структура </w:t>
            </w:r>
            <w:r w:rsidRPr="00763283">
              <w:rPr>
                <w:sz w:val="22"/>
                <w:szCs w:val="22"/>
              </w:rPr>
              <w:lastRenderedPageBreak/>
              <w:t>(едно и също юридическо лице), дейностите по отглеждане на селскостопанска продукция и дейностите по преработка на селскостопанска продукция са самостоятелни, изискват различен тип оборудване, специално обучен персонал и единствено обстоятелството, че не са обособени в различни правни субекти в случая ще се яви пречка за получаването на помощ по наредбата. В резултат на така предвиденото ограничение едни преработватели ще имат право да получат помощ, а други – не, поради единствения факт, че осъществяват два различни типа икономическа дейност от името на един и същ правен субект.</w:t>
            </w:r>
            <w:r w:rsidR="000A5190" w:rsidRPr="00763283">
              <w:rPr>
                <w:sz w:val="22"/>
                <w:szCs w:val="22"/>
              </w:rPr>
              <w:t xml:space="preserve"> Това ще създаде недопустимо изкривяване и дискриминация на едни икономически субекти спрямо други. Следва да се отбележи също така, че икономическите субекти, занимаващи се единствено с преработка, по същество имат достъп и до други инструменти за подпомагане (напр. по програмата „</w:t>
            </w:r>
            <w:proofErr w:type="spellStart"/>
            <w:r w:rsidR="000A5190" w:rsidRPr="00763283">
              <w:rPr>
                <w:sz w:val="22"/>
                <w:szCs w:val="22"/>
              </w:rPr>
              <w:t>Конкурентноспособност</w:t>
            </w:r>
            <w:proofErr w:type="spellEnd"/>
            <w:r w:rsidR="000A5190" w:rsidRPr="00763283">
              <w:rPr>
                <w:sz w:val="22"/>
                <w:szCs w:val="22"/>
              </w:rPr>
              <w:t>“), от които преработвателите – земеделски производители са лишени, както и тези, които имат в дейността си две  дейности, при която едната не е предвидено да се подпомага по мярка 22.2, а другата е в обсега на предложената мярка. Като пример можем да посочим производство на био плодови сокове и вино, които са две дейности, които се осъществяват в едно юридическо лице, но са лишени от подкрепа, както от Програма „</w:t>
            </w:r>
            <w:proofErr w:type="spellStart"/>
            <w:r w:rsidR="000A5190" w:rsidRPr="00763283">
              <w:rPr>
                <w:sz w:val="22"/>
                <w:szCs w:val="22"/>
              </w:rPr>
              <w:t>Конкурентноспособност</w:t>
            </w:r>
            <w:proofErr w:type="spellEnd"/>
            <w:r w:rsidR="000A5190" w:rsidRPr="00763283">
              <w:rPr>
                <w:sz w:val="22"/>
                <w:szCs w:val="22"/>
              </w:rPr>
              <w:t>“ така и от Мярка 22.2, тъй като кода на производствената дейност не съответства на изписаната в мярката. Счетоводно не съществува проблем да се докажат приходите и разходите по отделно за двете икономически дейности</w:t>
            </w:r>
            <w:r w:rsidR="000A5190" w:rsidRPr="00505BF4">
              <w:rPr>
                <w:sz w:val="22"/>
                <w:szCs w:val="22"/>
                <w:lang w:val="ru-RU"/>
              </w:rPr>
              <w:t>.</w:t>
            </w:r>
          </w:p>
          <w:p w:rsidR="00505BF4" w:rsidRDefault="00505BF4" w:rsidP="00DF37E5">
            <w:pPr>
              <w:pStyle w:val="BodyText"/>
              <w:spacing w:after="40"/>
              <w:jc w:val="both"/>
              <w:rPr>
                <w:sz w:val="22"/>
                <w:szCs w:val="22"/>
                <w:lang w:val="ru-RU"/>
              </w:rPr>
            </w:pPr>
            <w:r w:rsidRPr="00763283">
              <w:rPr>
                <w:sz w:val="22"/>
                <w:szCs w:val="22"/>
              </w:rPr>
              <w:t xml:space="preserve">Този подход считаме за нарушаващ конкуренцията и равнопоставеността между икономическите оператори, чиято продукция е предназначена за един и същи пазар и в чиято себестойност не може да не се отрази наличието или липсата на подпомагане. Подпомагането от страна на </w:t>
            </w:r>
            <w:proofErr w:type="spellStart"/>
            <w:r w:rsidRPr="00763283">
              <w:rPr>
                <w:sz w:val="22"/>
                <w:szCs w:val="22"/>
              </w:rPr>
              <w:t>МЗм</w:t>
            </w:r>
            <w:proofErr w:type="spellEnd"/>
            <w:r w:rsidRPr="00763283">
              <w:rPr>
                <w:sz w:val="22"/>
                <w:szCs w:val="22"/>
              </w:rPr>
              <w:t xml:space="preserve"> на лица, които не са земеделски производители и по критерии, ощетяващи земеделските производители, които са и преработватели, считаме за дискриминационно и увреждащо интересите на сериозна група земеделски стопани, наши членове и създаващи допълнителна принадена стойност в сектора. Не намираме </w:t>
            </w:r>
            <w:r w:rsidRPr="00763283">
              <w:rPr>
                <w:sz w:val="22"/>
                <w:szCs w:val="22"/>
              </w:rPr>
              <w:lastRenderedPageBreak/>
              <w:t>обяснение защо едно предприятие, чиято единствена дейност е производството на зеленчукови консерви от закупени за това суровини, ще получи помощ по наредбата, а друго предприятие, което отглежда домати и пипер и също произвежда консерви от своята продукция, както и от допълнително закупени зеленчуци, ще получи помощ в намален размер или изобщо няма да получи подпомагане.</w:t>
            </w:r>
          </w:p>
          <w:p w:rsidR="00505BF4" w:rsidRDefault="00505BF4" w:rsidP="00DF37E5">
            <w:pPr>
              <w:pStyle w:val="BodyText"/>
              <w:spacing w:after="40"/>
              <w:jc w:val="both"/>
              <w:rPr>
                <w:sz w:val="22"/>
                <w:szCs w:val="22"/>
                <w:lang w:val="ru-RU"/>
              </w:rPr>
            </w:pPr>
            <w:r w:rsidRPr="00763283">
              <w:rPr>
                <w:sz w:val="22"/>
                <w:szCs w:val="22"/>
              </w:rPr>
              <w:t>Считаме, че мярката трябва да бъде съобразена с тази специфика на сектора, като не се намалява помощта, която може да се получи по мярка 22.2. с помощите, получени във връзка с ПЪРВИЧНОТО производство и реализация на земеделска продукция. Това важи особено в случаите, когато кандидатите – МСП могат да докажат, че из</w:t>
            </w:r>
            <w:r>
              <w:rPr>
                <w:sz w:val="22"/>
                <w:szCs w:val="22"/>
              </w:rPr>
              <w:t>к</w:t>
            </w:r>
            <w:r w:rsidRPr="00763283">
              <w:rPr>
                <w:sz w:val="22"/>
                <w:szCs w:val="22"/>
              </w:rPr>
              <w:t>упуват за целите на извършваната от тях преработка земеделска продукция и от други земеделски стопани. Именно в тази насока предлагаме да се помисли за изключение от предвиденото в чл. 8 намаляване на помощта и за тези кандидати да не се прилага въпросното ограничение и кумулативно натрупване. Освен това при предприятия, които имат две икономически дейности, едната от които е допустима следва да не бъдат изключвани от подпомагането по мярка 22.2,с ограничението на КИД, което се явява ограничителна мярка за подпомагане, само защото не са разделили предприятието си на два правни субекта.</w:t>
            </w:r>
          </w:p>
          <w:p w:rsidR="00505BF4" w:rsidRDefault="00505BF4" w:rsidP="00DF37E5">
            <w:pPr>
              <w:pStyle w:val="BodyText"/>
              <w:spacing w:after="40"/>
              <w:jc w:val="both"/>
              <w:rPr>
                <w:sz w:val="22"/>
                <w:szCs w:val="22"/>
              </w:rPr>
            </w:pPr>
            <w:r w:rsidRPr="00763283">
              <w:rPr>
                <w:sz w:val="22"/>
                <w:szCs w:val="22"/>
              </w:rPr>
              <w:t>Евентуалният контрааргумент, че може да</w:t>
            </w:r>
            <w:r>
              <w:rPr>
                <w:sz w:val="22"/>
                <w:szCs w:val="22"/>
              </w:rPr>
              <w:t xml:space="preserve"> се получи „двойно финансиране“</w:t>
            </w:r>
            <w:r w:rsidRPr="00763283">
              <w:rPr>
                <w:sz w:val="22"/>
                <w:szCs w:val="22"/>
              </w:rPr>
              <w:t xml:space="preserve">, считаме за </w:t>
            </w:r>
            <w:proofErr w:type="spellStart"/>
            <w:r w:rsidRPr="00763283">
              <w:rPr>
                <w:sz w:val="22"/>
                <w:szCs w:val="22"/>
              </w:rPr>
              <w:t>неотносим</w:t>
            </w:r>
            <w:proofErr w:type="spellEnd"/>
            <w:r w:rsidRPr="00763283">
              <w:rPr>
                <w:sz w:val="22"/>
                <w:szCs w:val="22"/>
              </w:rPr>
              <w:t xml:space="preserve">, тъй като проектът на наредбата предвижда подпомагане на групи  и организации на производители, независимо от това, че техните членове са получили подпомагане по другите мерки за ПЪРВИЧНО  ПРОИЗВОДСТВО свързани с войната в Украйна и в този случай редукция не се предвижда. </w:t>
            </w:r>
            <w:proofErr w:type="spellStart"/>
            <w:r w:rsidRPr="00763283">
              <w:rPr>
                <w:sz w:val="22"/>
                <w:szCs w:val="22"/>
              </w:rPr>
              <w:t>Т.е</w:t>
            </w:r>
            <w:proofErr w:type="spellEnd"/>
            <w:r w:rsidRPr="00763283">
              <w:rPr>
                <w:sz w:val="22"/>
                <w:szCs w:val="22"/>
              </w:rPr>
              <w:t xml:space="preserve"> случаят е аналогичен със земеделски производител извършващ и преработка на земеделска продукция.</w:t>
            </w:r>
          </w:p>
          <w:p w:rsidR="00505BF4" w:rsidRPr="00505BF4" w:rsidRDefault="00505BF4" w:rsidP="00DF37E5">
            <w:pPr>
              <w:pStyle w:val="BodyText"/>
              <w:spacing w:after="40"/>
              <w:jc w:val="both"/>
              <w:rPr>
                <w:sz w:val="22"/>
                <w:szCs w:val="22"/>
                <w:lang w:val="ru-RU"/>
              </w:rPr>
            </w:pPr>
            <w:r w:rsidRPr="00763283">
              <w:rPr>
                <w:sz w:val="22"/>
                <w:szCs w:val="22"/>
              </w:rPr>
              <w:t xml:space="preserve">На следващо място искаме да обърнем внимание и на обстоятелството, че определени обстоятелства за допустимост е предвидено да бъдат доказвани с декларация, а едва при проверка – с представяне на документ. Не виждаме защо копие от този документ да не бъде представяно още при кандидатстване или поне на етап – заявка за </w:t>
            </w:r>
            <w:r w:rsidRPr="00763283">
              <w:rPr>
                <w:sz w:val="22"/>
                <w:szCs w:val="22"/>
              </w:rPr>
              <w:lastRenderedPageBreak/>
              <w:t>плащане. Наясно сме с обстоятелството, че ДФЗ не разполага с възможност да провери всички кандидати на място, а приемането на декларация за обстоятелство, за което може да бъде представен документ, ни се вижда необосновано.</w:t>
            </w:r>
          </w:p>
        </w:tc>
        <w:tc>
          <w:tcPr>
            <w:tcW w:w="1608" w:type="dxa"/>
            <w:tcBorders>
              <w:top w:val="single" w:sz="18" w:space="0" w:color="2E74B5"/>
              <w:left w:val="single" w:sz="18" w:space="0" w:color="2E74B5"/>
              <w:bottom w:val="nil"/>
              <w:right w:val="single" w:sz="18" w:space="0" w:color="2E74B5"/>
            </w:tcBorders>
            <w:shd w:val="clear" w:color="auto" w:fill="auto"/>
          </w:tcPr>
          <w:p w:rsidR="00DF37E5" w:rsidRPr="0073596F" w:rsidRDefault="00DF37E5" w:rsidP="00E51A86">
            <w:pPr>
              <w:spacing w:before="60" w:after="40"/>
              <w:rPr>
                <w:color w:val="000000" w:themeColor="text1"/>
                <w:sz w:val="22"/>
                <w:szCs w:val="22"/>
              </w:rPr>
            </w:pPr>
            <w:r w:rsidRPr="0073596F">
              <w:rPr>
                <w:color w:val="000000" w:themeColor="text1"/>
                <w:sz w:val="22"/>
                <w:szCs w:val="22"/>
              </w:rPr>
              <w:lastRenderedPageBreak/>
              <w:t>Не се приема</w:t>
            </w:r>
          </w:p>
        </w:tc>
        <w:tc>
          <w:tcPr>
            <w:tcW w:w="4522" w:type="dxa"/>
            <w:tcBorders>
              <w:top w:val="single" w:sz="18" w:space="0" w:color="2E74B5"/>
              <w:left w:val="single" w:sz="18" w:space="0" w:color="2E74B5"/>
              <w:bottom w:val="nil"/>
              <w:right w:val="single" w:sz="24" w:space="0" w:color="2E74B5"/>
            </w:tcBorders>
            <w:shd w:val="clear" w:color="auto" w:fill="auto"/>
          </w:tcPr>
          <w:p w:rsidR="00DF37E5" w:rsidRPr="0073596F" w:rsidRDefault="00DF37E5" w:rsidP="007E433C">
            <w:pPr>
              <w:spacing w:before="60" w:after="40"/>
              <w:jc w:val="both"/>
              <w:rPr>
                <w:color w:val="000000" w:themeColor="text1"/>
                <w:sz w:val="22"/>
                <w:szCs w:val="22"/>
              </w:rPr>
            </w:pPr>
            <w:r w:rsidRPr="0073596F">
              <w:rPr>
                <w:color w:val="000000" w:themeColor="text1"/>
                <w:sz w:val="22"/>
                <w:szCs w:val="22"/>
              </w:rPr>
              <w:t>В чл. 5 на проекта на наредба, респективно Приложение № 1</w:t>
            </w:r>
            <w:r w:rsidR="003806E8">
              <w:rPr>
                <w:color w:val="000000" w:themeColor="text1"/>
                <w:sz w:val="22"/>
                <w:szCs w:val="22"/>
              </w:rPr>
              <w:t>,</w:t>
            </w:r>
            <w:r w:rsidRPr="0073596F">
              <w:rPr>
                <w:color w:val="000000" w:themeColor="text1"/>
                <w:sz w:val="22"/>
                <w:szCs w:val="22"/>
              </w:rPr>
              <w:t xml:space="preserve"> са посочени допустимите класове на основната икономическа дейност </w:t>
            </w:r>
            <w:r w:rsidRPr="0073596F">
              <w:rPr>
                <w:color w:val="000000" w:themeColor="text1"/>
                <w:sz w:val="22"/>
                <w:szCs w:val="22"/>
              </w:rPr>
              <w:t>на преработвателните предприятия за 2021 г. и 2022 г.</w:t>
            </w:r>
          </w:p>
          <w:p w:rsidR="00DF37E5" w:rsidRPr="003806E8" w:rsidRDefault="00DF37E5" w:rsidP="007E433C">
            <w:pPr>
              <w:spacing w:before="60" w:after="40"/>
              <w:jc w:val="both"/>
              <w:rPr>
                <w:color w:val="000000" w:themeColor="text1"/>
                <w:sz w:val="22"/>
                <w:szCs w:val="22"/>
              </w:rPr>
            </w:pPr>
            <w:r w:rsidRPr="0073596F">
              <w:rPr>
                <w:color w:val="000000" w:themeColor="text1"/>
                <w:sz w:val="22"/>
                <w:szCs w:val="22"/>
              </w:rPr>
              <w:t xml:space="preserve">По </w:t>
            </w:r>
            <w:proofErr w:type="spellStart"/>
            <w:r w:rsidRPr="0073596F">
              <w:rPr>
                <w:color w:val="000000" w:themeColor="text1"/>
                <w:sz w:val="22"/>
                <w:szCs w:val="22"/>
              </w:rPr>
              <w:t>подмярката</w:t>
            </w:r>
            <w:proofErr w:type="spellEnd"/>
            <w:r w:rsidRPr="0073596F">
              <w:rPr>
                <w:color w:val="000000" w:themeColor="text1"/>
                <w:sz w:val="22"/>
                <w:szCs w:val="22"/>
              </w:rPr>
              <w:t xml:space="preserve"> са допустими </w:t>
            </w:r>
            <w:proofErr w:type="spellStart"/>
            <w:r w:rsidRPr="0073596F">
              <w:rPr>
                <w:color w:val="000000" w:themeColor="text1"/>
                <w:sz w:val="22"/>
                <w:szCs w:val="22"/>
              </w:rPr>
              <w:t>микро</w:t>
            </w:r>
            <w:proofErr w:type="spellEnd"/>
            <w:r w:rsidRPr="0073596F">
              <w:rPr>
                <w:color w:val="000000" w:themeColor="text1"/>
                <w:sz w:val="22"/>
                <w:szCs w:val="22"/>
              </w:rPr>
              <w:t xml:space="preserve"> малки и средни предприятия с код на основната им икономическа дейност за 2021 г. и 2022 г. попадаща и в класовете10.32 Производство на плодови и зеленчукови сокове и 11.02 Производство на </w:t>
            </w:r>
            <w:r w:rsidRPr="003806E8">
              <w:rPr>
                <w:color w:val="000000" w:themeColor="text1"/>
                <w:sz w:val="22"/>
                <w:szCs w:val="22"/>
              </w:rPr>
              <w:t>вина от грозде.</w:t>
            </w:r>
          </w:p>
          <w:p w:rsidR="00DF37E5" w:rsidRPr="0073596F" w:rsidRDefault="00DF37E5" w:rsidP="007E433C">
            <w:pPr>
              <w:spacing w:before="60" w:after="40"/>
              <w:jc w:val="both"/>
              <w:rPr>
                <w:color w:val="000000" w:themeColor="text1"/>
                <w:sz w:val="22"/>
                <w:szCs w:val="22"/>
              </w:rPr>
            </w:pPr>
            <w:r w:rsidRPr="003806E8">
              <w:rPr>
                <w:color w:val="000000" w:themeColor="text1"/>
                <w:sz w:val="22"/>
                <w:szCs w:val="22"/>
              </w:rPr>
              <w:t>Размерът на финансовата помощ за кандидати, преработващи селскостопански продукти, се определя въз основа на отрицателната разлика между приходите от оперативна дейност и разходите за оперативна дейност. В тази връзка е разработена методиката за определяне на максималната финансова помощ на база официални данни от Националния статистически институт.</w:t>
            </w:r>
            <w:r w:rsidRPr="0073596F">
              <w:rPr>
                <w:color w:val="000000" w:themeColor="text1"/>
                <w:sz w:val="22"/>
                <w:szCs w:val="22"/>
              </w:rPr>
              <w:t xml:space="preserve"> </w:t>
            </w:r>
          </w:p>
          <w:p w:rsidR="00DF37E5" w:rsidRPr="0073596F" w:rsidRDefault="00DF37E5" w:rsidP="007E433C">
            <w:pPr>
              <w:spacing w:before="60" w:after="40"/>
              <w:jc w:val="both"/>
              <w:rPr>
                <w:color w:val="000000" w:themeColor="text1"/>
                <w:sz w:val="22"/>
                <w:szCs w:val="22"/>
              </w:rPr>
            </w:pPr>
            <w:r w:rsidRPr="0073596F">
              <w:rPr>
                <w:color w:val="000000" w:themeColor="text1"/>
                <w:sz w:val="22"/>
                <w:szCs w:val="22"/>
              </w:rPr>
              <w:t xml:space="preserve">Следва да имате предвид, че условието за определяне на максималния размер на подпомагане е съобразено с изискването на чл. 39в, </w:t>
            </w:r>
            <w:proofErr w:type="spellStart"/>
            <w:r w:rsidRPr="0073596F">
              <w:rPr>
                <w:color w:val="000000" w:themeColor="text1"/>
                <w:sz w:val="22"/>
                <w:szCs w:val="22"/>
              </w:rPr>
              <w:t>пар</w:t>
            </w:r>
            <w:proofErr w:type="spellEnd"/>
            <w:r w:rsidRPr="0073596F">
              <w:rPr>
                <w:color w:val="000000" w:themeColor="text1"/>
                <w:sz w:val="22"/>
                <w:szCs w:val="22"/>
              </w:rPr>
              <w:t>. 6 от Регламент (ЕС) № 1305/2013.</w:t>
            </w:r>
          </w:p>
          <w:p w:rsidR="00DF37E5" w:rsidRPr="0073596F" w:rsidRDefault="00DF37E5" w:rsidP="007E433C">
            <w:pPr>
              <w:spacing w:before="60" w:after="40"/>
              <w:jc w:val="both"/>
              <w:rPr>
                <w:color w:val="000000" w:themeColor="text1"/>
                <w:sz w:val="22"/>
                <w:szCs w:val="22"/>
              </w:rPr>
            </w:pPr>
            <w:r w:rsidRPr="0073596F">
              <w:rPr>
                <w:color w:val="000000" w:themeColor="text1"/>
                <w:sz w:val="22"/>
                <w:szCs w:val="22"/>
              </w:rPr>
              <w:t xml:space="preserve">В проекта на наредбата е предвидено предоставяне на декларация за приходи и разходи за 2022 г., в случаите които кандидатът не е подал отчет за приходите и разходите за 2022 г. в Националния статистически институт (НСИ) към датата на кандидатстване, във останалите случаи се извършва служебна проверка. </w:t>
            </w:r>
          </w:p>
          <w:p w:rsidR="00DF37E5" w:rsidRPr="0073596F" w:rsidRDefault="00DF37E5" w:rsidP="007E433C">
            <w:pPr>
              <w:spacing w:before="60" w:after="40"/>
              <w:jc w:val="both"/>
              <w:rPr>
                <w:color w:val="000000" w:themeColor="text1"/>
                <w:sz w:val="22"/>
                <w:szCs w:val="22"/>
              </w:rPr>
            </w:pPr>
            <w:r w:rsidRPr="0073596F">
              <w:rPr>
                <w:color w:val="000000" w:themeColor="text1"/>
                <w:sz w:val="22"/>
                <w:szCs w:val="22"/>
              </w:rPr>
              <w:t>Преди изплащане на помощта се извършва служебна проверка за съответствие с поставеното условие за допустимост.</w:t>
            </w:r>
          </w:p>
        </w:tc>
      </w:tr>
      <w:tr w:rsidR="000A5190" w:rsidRPr="0091438D" w:rsidTr="00505BF4">
        <w:trPr>
          <w:jc w:val="center"/>
        </w:trPr>
        <w:tc>
          <w:tcPr>
            <w:tcW w:w="620" w:type="dxa"/>
            <w:tcBorders>
              <w:top w:val="single" w:sz="18" w:space="0" w:color="2E74B5"/>
              <w:left w:val="single" w:sz="24" w:space="0" w:color="2E74B5"/>
              <w:bottom w:val="nil"/>
              <w:right w:val="single" w:sz="18" w:space="0" w:color="2E74B5"/>
            </w:tcBorders>
            <w:shd w:val="clear" w:color="auto" w:fill="auto"/>
          </w:tcPr>
          <w:p w:rsidR="000A5190" w:rsidRPr="00E51A86" w:rsidRDefault="000A5190" w:rsidP="00E03ECE">
            <w:pPr>
              <w:pStyle w:val="ListParagraph"/>
              <w:numPr>
                <w:ilvl w:val="0"/>
                <w:numId w:val="26"/>
              </w:numPr>
              <w:tabs>
                <w:tab w:val="left" w:pos="192"/>
              </w:tabs>
              <w:spacing w:before="60" w:after="40"/>
              <w:jc w:val="center"/>
              <w:rPr>
                <w:b/>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0A5190" w:rsidRPr="003F4D05" w:rsidRDefault="000A5190" w:rsidP="000A5190">
            <w:pPr>
              <w:spacing w:before="60" w:after="40"/>
              <w:rPr>
                <w:rStyle w:val="Hyperlink"/>
                <w:b/>
                <w:bCs/>
                <w:color w:val="FF0000"/>
                <w:sz w:val="22"/>
                <w:szCs w:val="22"/>
                <w:u w:val="none"/>
              </w:rPr>
            </w:pPr>
            <w:r w:rsidRPr="003F4D05">
              <w:rPr>
                <w:rStyle w:val="Hyperlink"/>
                <w:b/>
                <w:bCs/>
                <w:color w:val="auto"/>
                <w:sz w:val="22"/>
                <w:szCs w:val="22"/>
                <w:u w:val="none"/>
              </w:rPr>
              <w:t xml:space="preserve">Светослав Иванов – </w:t>
            </w:r>
            <w:r w:rsidR="00E51A86">
              <w:rPr>
                <w:rStyle w:val="Hyperlink"/>
                <w:b/>
                <w:bCs/>
                <w:color w:val="auto"/>
                <w:sz w:val="22"/>
                <w:szCs w:val="22"/>
                <w:u w:val="none"/>
              </w:rPr>
              <w:br/>
            </w:r>
            <w:r w:rsidRPr="003F4D05">
              <w:rPr>
                <w:rStyle w:val="Hyperlink"/>
                <w:b/>
                <w:bCs/>
                <w:color w:val="auto"/>
                <w:sz w:val="22"/>
                <w:szCs w:val="22"/>
                <w:u w:val="none"/>
              </w:rPr>
              <w:t xml:space="preserve">получено </w:t>
            </w:r>
            <w:r>
              <w:rPr>
                <w:rStyle w:val="Hyperlink"/>
                <w:b/>
                <w:bCs/>
                <w:color w:val="auto"/>
                <w:sz w:val="22"/>
                <w:szCs w:val="22"/>
                <w:u w:val="none"/>
              </w:rPr>
              <w:t>по</w:t>
            </w:r>
            <w:r w:rsidRPr="003F4D05">
              <w:rPr>
                <w:rStyle w:val="Hyperlink"/>
                <w:b/>
                <w:bCs/>
                <w:color w:val="auto"/>
                <w:sz w:val="22"/>
                <w:szCs w:val="22"/>
                <w:u w:val="none"/>
              </w:rPr>
              <w:t xml:space="preserve"> </w:t>
            </w:r>
            <w:r w:rsidR="00E51A86">
              <w:rPr>
                <w:rStyle w:val="Hyperlink"/>
                <w:b/>
                <w:bCs/>
                <w:color w:val="auto"/>
                <w:sz w:val="22"/>
                <w:szCs w:val="22"/>
                <w:u w:val="none"/>
              </w:rPr>
              <w:br/>
            </w:r>
            <w:r w:rsidRPr="003F4D05">
              <w:rPr>
                <w:rStyle w:val="Hyperlink"/>
                <w:b/>
                <w:bCs/>
                <w:color w:val="auto"/>
                <w:sz w:val="22"/>
                <w:szCs w:val="22"/>
                <w:u w:val="none"/>
              </w:rPr>
              <w:t>електронна поща</w:t>
            </w:r>
            <w:r>
              <w:rPr>
                <w:rStyle w:val="Hyperlink"/>
                <w:b/>
                <w:bCs/>
                <w:color w:val="FF0000"/>
                <w:sz w:val="22"/>
                <w:szCs w:val="22"/>
                <w:u w:val="none"/>
              </w:rPr>
              <w:t xml:space="preserve"> </w:t>
            </w:r>
            <w:r>
              <w:rPr>
                <w:rStyle w:val="Hyperlink"/>
                <w:b/>
                <w:bCs/>
                <w:color w:val="auto"/>
                <w:sz w:val="22"/>
                <w:szCs w:val="22"/>
                <w:u w:val="none"/>
              </w:rPr>
              <w:t>на 21.02.2023 г.</w:t>
            </w:r>
          </w:p>
        </w:tc>
        <w:tc>
          <w:tcPr>
            <w:tcW w:w="6639" w:type="dxa"/>
            <w:tcBorders>
              <w:top w:val="single" w:sz="18" w:space="0" w:color="2E74B5"/>
              <w:left w:val="single" w:sz="18" w:space="0" w:color="2E74B5"/>
              <w:bottom w:val="nil"/>
              <w:right w:val="single" w:sz="18" w:space="0" w:color="2E74B5"/>
            </w:tcBorders>
            <w:shd w:val="clear" w:color="auto" w:fill="auto"/>
          </w:tcPr>
          <w:p w:rsidR="000A5190" w:rsidRDefault="000A5190" w:rsidP="000A5190">
            <w:pPr>
              <w:pStyle w:val="Default"/>
              <w:spacing w:before="60" w:after="40"/>
              <w:jc w:val="both"/>
              <w:rPr>
                <w:bCs/>
                <w:sz w:val="22"/>
                <w:szCs w:val="22"/>
              </w:rPr>
            </w:pPr>
            <w:r w:rsidRPr="002B5367">
              <w:rPr>
                <w:bCs/>
                <w:sz w:val="22"/>
                <w:szCs w:val="22"/>
              </w:rPr>
              <w:t>В чл.</w:t>
            </w:r>
            <w:r w:rsidRPr="00967985">
              <w:rPr>
                <w:bCs/>
                <w:sz w:val="22"/>
                <w:szCs w:val="22"/>
                <w:lang w:val="ru-RU"/>
              </w:rPr>
              <w:t xml:space="preserve"> </w:t>
            </w:r>
            <w:r w:rsidRPr="002B5367">
              <w:rPr>
                <w:bCs/>
                <w:sz w:val="22"/>
                <w:szCs w:val="22"/>
              </w:rPr>
              <w:t>5 от НАР</w:t>
            </w:r>
            <w:r>
              <w:rPr>
                <w:bCs/>
                <w:sz w:val="22"/>
                <w:szCs w:val="22"/>
              </w:rPr>
              <w:t>ЕДБА № …… от ………</w:t>
            </w:r>
            <w:r w:rsidRPr="002B5367">
              <w:rPr>
                <w:bCs/>
                <w:sz w:val="22"/>
                <w:szCs w:val="22"/>
              </w:rPr>
              <w:t>г.</w:t>
            </w:r>
            <w:r>
              <w:rPr>
                <w:bCs/>
                <w:sz w:val="22"/>
                <w:szCs w:val="22"/>
              </w:rPr>
              <w:t xml:space="preserve"> </w:t>
            </w:r>
            <w:r w:rsidRPr="002B5367">
              <w:rPr>
                <w:bCs/>
                <w:sz w:val="22"/>
                <w:szCs w:val="22"/>
              </w:rPr>
              <w:t xml:space="preserve">за прилагане на </w:t>
            </w:r>
            <w:proofErr w:type="spellStart"/>
            <w:r w:rsidRPr="002B5367">
              <w:rPr>
                <w:bCs/>
                <w:sz w:val="22"/>
                <w:szCs w:val="22"/>
              </w:rPr>
              <w:t>подмярка</w:t>
            </w:r>
            <w:proofErr w:type="spellEnd"/>
            <w:r w:rsidRPr="002B5367">
              <w:rPr>
                <w:bCs/>
                <w:sz w:val="22"/>
                <w:szCs w:val="22"/>
              </w:rPr>
              <w:t xml:space="preserve"> 22.2</w:t>
            </w:r>
            <w:r w:rsidRPr="0050007F">
              <w:rPr>
                <w:bCs/>
                <w:sz w:val="22"/>
                <w:szCs w:val="22"/>
                <w:lang w:val="ru-RU"/>
              </w:rPr>
              <w:t xml:space="preserve"> </w:t>
            </w:r>
            <w:r w:rsidRPr="002B5367">
              <w:rPr>
                <w:bCs/>
                <w:sz w:val="22"/>
                <w:szCs w:val="22"/>
              </w:rPr>
              <w:t>„Извънредно временно подпомагане за малки и средни предприятия, засегнати от последиците от руското нашествие в Украйна“ от Програмата за развитие на селските райони за периода 2014 – 2020 г. допустими кандидати са, ако съгласно Класификация на икономическите дейности (КИД-2008), основната им икономическа дейност за 2021 г. и 2022 г., попада в класовете, посочени в приложение № 1. В тази връзка молим да бъдат извършени корекции в текста за 2021г., поради следното:</w:t>
            </w:r>
          </w:p>
          <w:p w:rsidR="000A5190" w:rsidRPr="003806E8" w:rsidRDefault="000A5190" w:rsidP="000A5190">
            <w:pPr>
              <w:pStyle w:val="Default"/>
              <w:spacing w:before="60" w:after="40"/>
              <w:jc w:val="both"/>
              <w:rPr>
                <w:bCs/>
                <w:sz w:val="22"/>
                <w:szCs w:val="22"/>
              </w:rPr>
            </w:pPr>
            <w:r w:rsidRPr="003806E8">
              <w:rPr>
                <w:bCs/>
                <w:sz w:val="22"/>
                <w:szCs w:val="22"/>
              </w:rPr>
              <w:t>Във връзка с определяне на основната икономическа дейност за 2021 г. има два начина за определянето й, а имено:</w:t>
            </w:r>
          </w:p>
          <w:p w:rsidR="000A5190" w:rsidRDefault="000A5190" w:rsidP="000A5190">
            <w:pPr>
              <w:pStyle w:val="Default"/>
              <w:spacing w:before="60" w:after="40"/>
              <w:jc w:val="both"/>
              <w:rPr>
                <w:bCs/>
                <w:sz w:val="22"/>
                <w:szCs w:val="22"/>
              </w:rPr>
            </w:pPr>
            <w:r w:rsidRPr="003806E8">
              <w:rPr>
                <w:bCs/>
                <w:sz w:val="22"/>
                <w:szCs w:val="22"/>
              </w:rPr>
              <w:t xml:space="preserve">1. Съгласно „Методология за определяне на код на основна икономическа дейност по КИД-2008” Националният статистически институт определя основната икономическа дейност на стопанските субекти само веднъж годишно на базата на представените от тях годишни отчети за дейността (ГОД) и осигурено съответствие между съдържанието на отчета и определената дейност. В съответствие с общоприетата единна европейска методология за определяне на основната икономическа дейност на дадено предприятие НСИ използва показателя „Нетни приходи от продажби”, който се съдържа в Отчета за приходите и разходите като част от ГОД. В „Справка за предприятието“ - част от ГОД, раздел „Икономическа дейност“, стопанският субект/предприятието посочва относителните дялове на нетните приходи от продажби от осъществяваните от него икономически дейности. Въз основа на посочените дейности и съответствието им с останалите отчети и справки в ГОД се изчислява основната дейност съгласно Класификацията на икономическите дейности (КИД-2008) по методология, хармонизирана с европейските регламенти. Когато дадена стопанска единица изпълнява повече от две </w:t>
            </w:r>
            <w:r w:rsidRPr="003806E8">
              <w:rPr>
                <w:bCs/>
                <w:sz w:val="22"/>
                <w:szCs w:val="22"/>
              </w:rPr>
              <w:lastRenderedPageBreak/>
              <w:t>дейности, които попадат в повече от два различни класа на Класификацията на икономическите дейности (КИД-2008), и никоя от тях не формира повече от 50% от нетните приходи, класифицирането на единицата по основна икономическа дейност се определя по т.нар. Метод „от горе надолу” (</w:t>
            </w:r>
            <w:proofErr w:type="spellStart"/>
            <w:r w:rsidRPr="003806E8">
              <w:rPr>
                <w:bCs/>
                <w:sz w:val="22"/>
                <w:szCs w:val="22"/>
              </w:rPr>
              <w:t>Top</w:t>
            </w:r>
            <w:proofErr w:type="spellEnd"/>
            <w:r w:rsidRPr="003806E8">
              <w:rPr>
                <w:bCs/>
                <w:sz w:val="22"/>
                <w:szCs w:val="22"/>
              </w:rPr>
              <w:t xml:space="preserve"> </w:t>
            </w:r>
            <w:proofErr w:type="spellStart"/>
            <w:r w:rsidRPr="003806E8">
              <w:rPr>
                <w:bCs/>
                <w:sz w:val="22"/>
                <w:szCs w:val="22"/>
              </w:rPr>
              <w:t>down</w:t>
            </w:r>
            <w:proofErr w:type="spellEnd"/>
            <w:r w:rsidRPr="003806E8">
              <w:rPr>
                <w:bCs/>
                <w:sz w:val="22"/>
                <w:szCs w:val="22"/>
              </w:rPr>
              <w:t xml:space="preserve"> </w:t>
            </w:r>
            <w:proofErr w:type="spellStart"/>
            <w:r w:rsidRPr="003806E8">
              <w:rPr>
                <w:bCs/>
                <w:sz w:val="22"/>
                <w:szCs w:val="22"/>
              </w:rPr>
              <w:t>method</w:t>
            </w:r>
            <w:proofErr w:type="spellEnd"/>
            <w:r w:rsidRPr="003806E8">
              <w:rPr>
                <w:bCs/>
                <w:sz w:val="22"/>
                <w:szCs w:val="22"/>
              </w:rPr>
              <w:t xml:space="preserve">) съгласно методологичните указания на Класификацията на икономическите дейности (КИД-2008) (NACE </w:t>
            </w:r>
            <w:proofErr w:type="spellStart"/>
            <w:r w:rsidRPr="003806E8">
              <w:rPr>
                <w:bCs/>
                <w:sz w:val="22"/>
                <w:szCs w:val="22"/>
              </w:rPr>
              <w:t>Rev</w:t>
            </w:r>
            <w:proofErr w:type="spellEnd"/>
            <w:r w:rsidRPr="003806E8">
              <w:rPr>
                <w:bCs/>
                <w:sz w:val="22"/>
                <w:szCs w:val="22"/>
              </w:rPr>
              <w:t>. 2) в съответствие с разпоредбите на Регламент (ЕО) № 1893/2006 на Европейския парламент и на Съвета. ВАЖНО! Когато в Годишния отчет за дейността на предприятието, в частта му „Отчет за приходите и разходите“, няма посочени нетни приходи от продажби, определянето на код на основна икономическа дейност по Класификацията на икономическите дейности (КИД-2008) по гореописания алгоритъм е невъзможно</w:t>
            </w:r>
          </w:p>
          <w:p w:rsidR="000A5190" w:rsidRPr="003806E8" w:rsidRDefault="000A5190" w:rsidP="000A5190">
            <w:pPr>
              <w:pStyle w:val="Default"/>
              <w:spacing w:before="60" w:after="40"/>
              <w:jc w:val="both"/>
              <w:rPr>
                <w:bCs/>
                <w:sz w:val="22"/>
                <w:szCs w:val="22"/>
              </w:rPr>
            </w:pPr>
            <w:r w:rsidRPr="003806E8">
              <w:rPr>
                <w:bCs/>
                <w:sz w:val="22"/>
                <w:szCs w:val="22"/>
              </w:rPr>
              <w:t>2. Съгласно чл. 9. от  ЗАКОН ЗА БЮДЖЕТА НА ДЪРЖАВНОТО ОБЩЕСТВЕНО ОСИГУРЯВАНЕ ЗА 2021 Г.</w:t>
            </w:r>
          </w:p>
          <w:p w:rsidR="000A5190" w:rsidRPr="003806E8" w:rsidRDefault="000A5190" w:rsidP="000A5190">
            <w:pPr>
              <w:pStyle w:val="Default"/>
              <w:spacing w:before="60" w:after="40"/>
              <w:jc w:val="both"/>
              <w:rPr>
                <w:bCs/>
                <w:sz w:val="22"/>
                <w:szCs w:val="22"/>
              </w:rPr>
            </w:pPr>
            <w:r w:rsidRPr="003806E8">
              <w:rPr>
                <w:bCs/>
                <w:sz w:val="22"/>
                <w:szCs w:val="22"/>
              </w:rPr>
              <w:t>„Определят се следните размери на месечния осигурителен доход за 2021 г.:</w:t>
            </w:r>
          </w:p>
          <w:p w:rsidR="000A5190" w:rsidRPr="003806E8" w:rsidRDefault="000A5190" w:rsidP="000A5190">
            <w:pPr>
              <w:pStyle w:val="Default"/>
              <w:spacing w:before="60" w:after="40"/>
              <w:jc w:val="both"/>
              <w:rPr>
                <w:bCs/>
                <w:sz w:val="22"/>
                <w:szCs w:val="22"/>
              </w:rPr>
            </w:pPr>
            <w:r w:rsidRPr="003806E8">
              <w:rPr>
                <w:bCs/>
                <w:sz w:val="22"/>
                <w:szCs w:val="22"/>
              </w:rPr>
              <w:t>1. минимален месечен размер на осигурителния доход през календарната година по основни икономически дейности и квалификационни групи професии съгласно приложение № 1;”, а т.3 от забележките към Приложение1 е записано, че:</w:t>
            </w:r>
          </w:p>
          <w:p w:rsidR="000A5190" w:rsidRDefault="000A5190" w:rsidP="000A5190">
            <w:pPr>
              <w:pStyle w:val="Default"/>
              <w:spacing w:before="60" w:after="40"/>
              <w:jc w:val="both"/>
              <w:rPr>
                <w:bCs/>
                <w:sz w:val="22"/>
                <w:szCs w:val="22"/>
              </w:rPr>
            </w:pPr>
            <w:r w:rsidRPr="003806E8">
              <w:rPr>
                <w:bCs/>
                <w:sz w:val="22"/>
                <w:szCs w:val="22"/>
              </w:rPr>
              <w:t>„3. Осигурителят определя основната икономическа дейност съобразно преобладаващия брой заети лица по трудови правоотношения. Определянето на групата професии се извършва по структурата на Националната класификация на професиите и длъжностите - приложение 2 към Заповед № РД01-931 от 27.12.2010 г. на министъра на труда и социалната политика.</w:t>
            </w:r>
          </w:p>
          <w:p w:rsidR="00505BF4" w:rsidRDefault="00505BF4" w:rsidP="000A5190">
            <w:pPr>
              <w:pStyle w:val="Default"/>
              <w:spacing w:before="60" w:after="40"/>
              <w:jc w:val="both"/>
              <w:rPr>
                <w:bCs/>
                <w:sz w:val="22"/>
                <w:szCs w:val="22"/>
              </w:rPr>
            </w:pPr>
            <w:r w:rsidRPr="002B5367">
              <w:rPr>
                <w:bCs/>
                <w:sz w:val="22"/>
                <w:szCs w:val="22"/>
              </w:rPr>
              <w:t xml:space="preserve">Когато осигурителят осъществява две или повече икономически дейности, основната му икономическа дейност се определя от дейността, в която са заети най-голям брой лица, работещи по трудово правоотношение. В този случай при определянето и не се вземат предвид работниците и служителите, които са </w:t>
            </w:r>
            <w:proofErr w:type="spellStart"/>
            <w:r w:rsidRPr="002B5367">
              <w:rPr>
                <w:bCs/>
                <w:sz w:val="22"/>
                <w:szCs w:val="22"/>
              </w:rPr>
              <w:t>общофункционално</w:t>
            </w:r>
            <w:proofErr w:type="spellEnd"/>
            <w:r w:rsidRPr="002B5367">
              <w:rPr>
                <w:bCs/>
                <w:sz w:val="22"/>
                <w:szCs w:val="22"/>
              </w:rPr>
              <w:t xml:space="preserve"> </w:t>
            </w:r>
            <w:r w:rsidRPr="002B5367">
              <w:rPr>
                <w:bCs/>
                <w:sz w:val="22"/>
                <w:szCs w:val="22"/>
              </w:rPr>
              <w:lastRenderedPageBreak/>
              <w:t>свързани с всички дейности на осигурителя. При равен брой работещи по трудови правоотношения в отделните дейности основната икономическа дейност на осигурителя се определя по негов избор.”</w:t>
            </w:r>
          </w:p>
          <w:p w:rsidR="00505BF4" w:rsidRDefault="00505BF4" w:rsidP="000A5190">
            <w:pPr>
              <w:pStyle w:val="Default"/>
              <w:spacing w:before="60" w:after="40"/>
              <w:jc w:val="both"/>
              <w:rPr>
                <w:bCs/>
                <w:sz w:val="22"/>
                <w:szCs w:val="22"/>
              </w:rPr>
            </w:pPr>
            <w:r>
              <w:rPr>
                <w:bCs/>
                <w:sz w:val="22"/>
                <w:szCs w:val="22"/>
              </w:rPr>
              <w:t>От казано</w:t>
            </w:r>
            <w:r w:rsidRPr="002B5367">
              <w:rPr>
                <w:bCs/>
                <w:sz w:val="22"/>
                <w:szCs w:val="22"/>
              </w:rPr>
              <w:t>то по-горе следва да бъде разрешено доказване на основна икономическа дейност, да не се извъ</w:t>
            </w:r>
            <w:r>
              <w:rPr>
                <w:bCs/>
                <w:sz w:val="22"/>
                <w:szCs w:val="22"/>
              </w:rPr>
              <w:t>р</w:t>
            </w:r>
            <w:r w:rsidRPr="002B5367">
              <w:rPr>
                <w:bCs/>
                <w:sz w:val="22"/>
                <w:szCs w:val="22"/>
              </w:rPr>
              <w:t>шва само на база приходи от продажби, а и от брой назначени лица в съответната дейност. Това е необходимо, защото подпомагането е имено заради по-ниски приходи от преработката на селс</w:t>
            </w:r>
            <w:r>
              <w:rPr>
                <w:bCs/>
                <w:sz w:val="22"/>
                <w:szCs w:val="22"/>
              </w:rPr>
              <w:t>костопан</w:t>
            </w:r>
            <w:r w:rsidRPr="002B5367">
              <w:rPr>
                <w:bCs/>
                <w:sz w:val="22"/>
                <w:szCs w:val="22"/>
              </w:rPr>
              <w:t>ски суровини и с цел подпомагане й с ликвидни средства, се налага, теглене на кредити и/или извършването на друг вид дейност.</w:t>
            </w:r>
          </w:p>
          <w:p w:rsidR="00505BF4" w:rsidRDefault="00505BF4" w:rsidP="000A5190">
            <w:pPr>
              <w:pStyle w:val="Default"/>
              <w:spacing w:before="60" w:after="40"/>
              <w:jc w:val="both"/>
              <w:rPr>
                <w:bCs/>
                <w:sz w:val="22"/>
                <w:szCs w:val="22"/>
              </w:rPr>
            </w:pPr>
            <w:r w:rsidRPr="002B5367">
              <w:rPr>
                <w:bCs/>
                <w:sz w:val="22"/>
                <w:szCs w:val="22"/>
              </w:rPr>
              <w:t>Нашият случай е следният:</w:t>
            </w:r>
          </w:p>
          <w:p w:rsidR="00505BF4" w:rsidRDefault="00505BF4" w:rsidP="000A5190">
            <w:pPr>
              <w:pStyle w:val="Default"/>
              <w:spacing w:before="60" w:after="40"/>
              <w:jc w:val="both"/>
              <w:rPr>
                <w:bCs/>
                <w:sz w:val="22"/>
                <w:szCs w:val="22"/>
              </w:rPr>
            </w:pPr>
            <w:r w:rsidRPr="00505BF4">
              <w:rPr>
                <w:bCs/>
                <w:sz w:val="22"/>
                <w:szCs w:val="22"/>
              </w:rPr>
              <w:t xml:space="preserve">1. През м. 09. 2021 г. завършихме инвестиция, свързана с преработка на орехови ядки и започнахме изкупуването на суровина. Последваха регистрация за биологично производство и регистрация на обекта в БАБХ. През това време назначихме и работници, които да подпомагат извършването на този вид дейност, но приходите от преработката вече бяха през 2022 г. За да можем да завършим инвестицията, тъй като конюнктурата на пазара се </w:t>
            </w:r>
            <w:proofErr w:type="spellStart"/>
            <w:r w:rsidRPr="00505BF4">
              <w:rPr>
                <w:bCs/>
                <w:sz w:val="22"/>
                <w:szCs w:val="22"/>
              </w:rPr>
              <w:t>измeни</w:t>
            </w:r>
            <w:proofErr w:type="spellEnd"/>
            <w:r w:rsidRPr="00505BF4">
              <w:rPr>
                <w:bCs/>
                <w:sz w:val="22"/>
                <w:szCs w:val="22"/>
              </w:rPr>
              <w:t xml:space="preserve"> след пандемията /нараснаха цени, удължиха се срокове за изпълнение/ се наложи да продължим да извършваме дейността си от преди започване на инвестицията. Поради това в НСИ за 2021 г. приходите ни са от консултантска дейност, но в НАП основният код на икономическа дейност  при назначаване на работниците е от ” Преработка и консервиране на плодове и зеленчуци, без готови ястия”. Поради това според нас за 2021 г. следва да може да се доказва основния вид дейност, не само от НСИ, а и от НАП според броя назначени лица.</w:t>
            </w:r>
          </w:p>
          <w:p w:rsidR="00505BF4" w:rsidRPr="002B5367" w:rsidRDefault="00505BF4" w:rsidP="000A5190">
            <w:pPr>
              <w:pStyle w:val="Default"/>
              <w:spacing w:before="60" w:after="40"/>
              <w:jc w:val="both"/>
              <w:rPr>
                <w:bCs/>
                <w:sz w:val="22"/>
                <w:szCs w:val="22"/>
              </w:rPr>
            </w:pPr>
            <w:r w:rsidRPr="00505BF4">
              <w:rPr>
                <w:bCs/>
                <w:sz w:val="22"/>
                <w:szCs w:val="22"/>
              </w:rPr>
              <w:t>2. Войната в Украйна започна през 2022 г. и реално от там на-</w:t>
            </w:r>
            <w:proofErr w:type="spellStart"/>
            <w:r w:rsidRPr="00505BF4">
              <w:rPr>
                <w:bCs/>
                <w:sz w:val="22"/>
                <w:szCs w:val="22"/>
              </w:rPr>
              <w:t>татък</w:t>
            </w:r>
            <w:proofErr w:type="spellEnd"/>
            <w:r w:rsidRPr="00505BF4">
              <w:rPr>
                <w:bCs/>
                <w:sz w:val="22"/>
                <w:szCs w:val="22"/>
              </w:rPr>
              <w:t xml:space="preserve"> преработватели и производители започнаха да търпят загуби. Поради тази причина, защо да се взема в предвид 2021 г. след като събитията и негативните последици от войната са вече през 2022 г. Реално, който и да е претърпял загуби от нега-</w:t>
            </w:r>
            <w:proofErr w:type="spellStart"/>
            <w:r w:rsidRPr="00505BF4">
              <w:rPr>
                <w:bCs/>
                <w:sz w:val="22"/>
                <w:szCs w:val="22"/>
              </w:rPr>
              <w:t>тивните</w:t>
            </w:r>
            <w:proofErr w:type="spellEnd"/>
            <w:r w:rsidRPr="00505BF4">
              <w:rPr>
                <w:bCs/>
                <w:sz w:val="22"/>
                <w:szCs w:val="22"/>
              </w:rPr>
              <w:t xml:space="preserve"> последици от войната ги е претърпял през 2022г., а не през 2021г. Не следва ли при определяне на негативните после-</w:t>
            </w:r>
            <w:proofErr w:type="spellStart"/>
            <w:r w:rsidRPr="00505BF4">
              <w:rPr>
                <w:bCs/>
                <w:sz w:val="22"/>
                <w:szCs w:val="22"/>
              </w:rPr>
              <w:t>дици</w:t>
            </w:r>
            <w:proofErr w:type="spellEnd"/>
            <w:r w:rsidRPr="00505BF4">
              <w:rPr>
                <w:bCs/>
                <w:sz w:val="22"/>
                <w:szCs w:val="22"/>
              </w:rPr>
              <w:t xml:space="preserve"> от войната в Украйна да се разглежда 2022 г., защото ни-кой не е знаел през 2021г., че ще има </w:t>
            </w:r>
            <w:r w:rsidRPr="00505BF4">
              <w:rPr>
                <w:bCs/>
                <w:sz w:val="22"/>
                <w:szCs w:val="22"/>
              </w:rPr>
              <w:lastRenderedPageBreak/>
              <w:t>война и ще има негативни последици от това за българс</w:t>
            </w:r>
            <w:r>
              <w:rPr>
                <w:bCs/>
                <w:sz w:val="22"/>
                <w:szCs w:val="22"/>
              </w:rPr>
              <w:t>ки производители и преработвате</w:t>
            </w:r>
            <w:r w:rsidRPr="00505BF4">
              <w:rPr>
                <w:bCs/>
                <w:sz w:val="22"/>
                <w:szCs w:val="22"/>
              </w:rPr>
              <w:t>ли.</w:t>
            </w:r>
          </w:p>
        </w:tc>
        <w:tc>
          <w:tcPr>
            <w:tcW w:w="1608" w:type="dxa"/>
            <w:tcBorders>
              <w:top w:val="single" w:sz="18" w:space="0" w:color="2E74B5"/>
              <w:left w:val="single" w:sz="18" w:space="0" w:color="2E74B5"/>
              <w:bottom w:val="nil"/>
              <w:right w:val="single" w:sz="18" w:space="0" w:color="2E74B5"/>
            </w:tcBorders>
            <w:shd w:val="clear" w:color="auto" w:fill="auto"/>
          </w:tcPr>
          <w:p w:rsidR="000A5190" w:rsidRPr="0091438D" w:rsidRDefault="000A5190" w:rsidP="000A5190">
            <w:pPr>
              <w:spacing w:before="60" w:after="40"/>
              <w:rPr>
                <w:color w:val="FF0000"/>
                <w:sz w:val="22"/>
                <w:szCs w:val="22"/>
              </w:rPr>
            </w:pPr>
            <w:r w:rsidRPr="0073596F">
              <w:rPr>
                <w:color w:val="000000" w:themeColor="text1"/>
                <w:sz w:val="22"/>
                <w:szCs w:val="22"/>
              </w:rPr>
              <w:lastRenderedPageBreak/>
              <w:t>Не се приема</w:t>
            </w:r>
          </w:p>
        </w:tc>
        <w:tc>
          <w:tcPr>
            <w:tcW w:w="4522" w:type="dxa"/>
            <w:tcBorders>
              <w:top w:val="single" w:sz="18" w:space="0" w:color="2E74B5"/>
              <w:left w:val="single" w:sz="18" w:space="0" w:color="2E74B5"/>
              <w:bottom w:val="nil"/>
              <w:right w:val="single" w:sz="24" w:space="0" w:color="2E74B5"/>
            </w:tcBorders>
            <w:shd w:val="clear" w:color="auto" w:fill="auto"/>
          </w:tcPr>
          <w:p w:rsidR="000A5190" w:rsidRDefault="000A5190" w:rsidP="000A5190">
            <w:pPr>
              <w:jc w:val="both"/>
              <w:rPr>
                <w:sz w:val="22"/>
                <w:szCs w:val="22"/>
              </w:rPr>
            </w:pPr>
            <w:r w:rsidRPr="00F97680">
              <w:rPr>
                <w:sz w:val="22"/>
                <w:szCs w:val="22"/>
              </w:rPr>
              <w:t xml:space="preserve">Подкрепата по </w:t>
            </w:r>
            <w:proofErr w:type="spellStart"/>
            <w:r w:rsidRPr="00F97680">
              <w:rPr>
                <w:sz w:val="22"/>
                <w:szCs w:val="22"/>
              </w:rPr>
              <w:t>подмярката</w:t>
            </w:r>
            <w:proofErr w:type="spellEnd"/>
            <w:r w:rsidRPr="00F97680">
              <w:rPr>
                <w:sz w:val="22"/>
                <w:szCs w:val="22"/>
              </w:rPr>
              <w:t xml:space="preserve"> има за цел да предостави спешна извънредна помощ във връзка с преодоляване на последиците от руското нашествие в Украйна. Размерът на финансовата помощ за кандидати, преработващи селскостопански продукти, се определя въз основа на отрицателната разлика между приходите от оперативна дейност и разходите за оперативна дейност. В тази връзка е разработена методиката за определяне на максималната финансова помощ на база официални данни от Националния статистически институт. Данните съпоставят състоянието на кандидатите, преработващи селскостопански продукти, преди настъпване на извънредните обстоятелства и състоянието след това, а именно данните от 2021 г. спрямо тези от 2022 г. Използвани са данни за приходи от оперативна дейност и разходи за оперативна дейност за 2021 г., индекси на цени на производител в промишлеността за трето тримесечие на 2022 г. спрямо 2021 г. по икономически дейности, индекси на цени на селскостопанска продукция за трето тримесечие на 2022 г. спрямо 2021 г., индекси на производител при производство и разпределение на електрическа и топлоенергия и газ за трето тримесечие на 2022 г. спрямо 2021 г., средната брутна месечна работна заплата в преработващата про</w:t>
            </w:r>
            <w:r w:rsidRPr="00F97680">
              <w:rPr>
                <w:sz w:val="22"/>
                <w:szCs w:val="22"/>
              </w:rPr>
              <w:lastRenderedPageBreak/>
              <w:t>мишленост за 2022 г. Приходите от оперативна дейност на предприятията за 2022 г. са изчислени въз основа  данните на НСИ за приходите за 2021 г. и индексите на цени на производител в промишлеността по икономически дейности за трето тримесечие на 2022 г. спрямо 2021 г.</w:t>
            </w:r>
          </w:p>
          <w:p w:rsidR="000A5190" w:rsidRPr="00F97680" w:rsidRDefault="000A5190" w:rsidP="000A5190">
            <w:pPr>
              <w:jc w:val="both"/>
              <w:rPr>
                <w:sz w:val="22"/>
                <w:szCs w:val="22"/>
              </w:rPr>
            </w:pPr>
            <w:r w:rsidRPr="00F97680">
              <w:rPr>
                <w:sz w:val="22"/>
                <w:szCs w:val="22"/>
              </w:rPr>
              <w:t>Разходите за оперативна дейност за 2022 г. са изчислени въз основа на данните на НСИ за разходите за 2021 г. и индекса на разходите за оперативна дейност за трето тримесечие на 2022 г. спрямо 2021 г.</w:t>
            </w:r>
          </w:p>
          <w:p w:rsidR="000A5190" w:rsidRPr="00F97680" w:rsidRDefault="000A5190" w:rsidP="000A5190">
            <w:pPr>
              <w:jc w:val="both"/>
              <w:rPr>
                <w:sz w:val="22"/>
                <w:szCs w:val="22"/>
              </w:rPr>
            </w:pPr>
            <w:r w:rsidRPr="00F97680">
              <w:rPr>
                <w:sz w:val="22"/>
                <w:szCs w:val="22"/>
              </w:rPr>
              <w:t xml:space="preserve">В тази връзка за определяне на кода на основната икономическа дейност на предприятието кандидат за 2021 </w:t>
            </w:r>
            <w:r>
              <w:rPr>
                <w:sz w:val="22"/>
                <w:szCs w:val="22"/>
              </w:rPr>
              <w:t xml:space="preserve">и 2022 г. се определя съгласно </w:t>
            </w:r>
            <w:r w:rsidRPr="00F97680">
              <w:rPr>
                <w:sz w:val="22"/>
                <w:szCs w:val="22"/>
              </w:rPr>
              <w:t>справка за предприятието от Годишен финансов отчет за дейността на предприятията от НСИ за определяне на кода на основната и допълнителните икономически дейности, за което кандидатите попълват декларация, която е приложение към проекта на наредба. Изискването за код на икономическа дейност е в съответствие с методиката, както и като доказателство, че предприятието кандидат е извършвало дейност по преработка на селскостопански продукти в съответната икономическа дейност и през 2021 г.</w:t>
            </w:r>
          </w:p>
        </w:tc>
      </w:tr>
      <w:tr w:rsidR="00E51A86" w:rsidRPr="0091438D" w:rsidTr="00773AFB">
        <w:trPr>
          <w:jc w:val="center"/>
        </w:trPr>
        <w:tc>
          <w:tcPr>
            <w:tcW w:w="620" w:type="dxa"/>
            <w:tcBorders>
              <w:top w:val="single" w:sz="18" w:space="0" w:color="2E74B5"/>
              <w:left w:val="single" w:sz="24" w:space="0" w:color="2E74B5"/>
              <w:bottom w:val="nil"/>
              <w:right w:val="single" w:sz="18" w:space="0" w:color="2E74B5"/>
            </w:tcBorders>
            <w:shd w:val="clear" w:color="auto" w:fill="auto"/>
          </w:tcPr>
          <w:p w:rsidR="00E51A86" w:rsidRPr="00E51A86" w:rsidRDefault="00E51A86" w:rsidP="00E03ECE">
            <w:pPr>
              <w:pStyle w:val="ListParagraph"/>
              <w:numPr>
                <w:ilvl w:val="0"/>
                <w:numId w:val="26"/>
              </w:numPr>
              <w:tabs>
                <w:tab w:val="left" w:pos="192"/>
              </w:tabs>
              <w:spacing w:before="60" w:after="40"/>
              <w:jc w:val="center"/>
              <w:rPr>
                <w:b/>
                <w:color w:val="FF0000"/>
                <w:sz w:val="22"/>
                <w:szCs w:val="22"/>
              </w:rPr>
            </w:pPr>
          </w:p>
        </w:tc>
        <w:tc>
          <w:tcPr>
            <w:tcW w:w="2261" w:type="dxa"/>
            <w:vMerge w:val="restart"/>
            <w:tcBorders>
              <w:top w:val="single" w:sz="18" w:space="0" w:color="2E74B5"/>
              <w:left w:val="single" w:sz="18" w:space="0" w:color="2E74B5"/>
              <w:right w:val="single" w:sz="18" w:space="0" w:color="2E74B5"/>
            </w:tcBorders>
            <w:shd w:val="clear" w:color="auto" w:fill="auto"/>
          </w:tcPr>
          <w:p w:rsidR="00E51A86" w:rsidRPr="000D2596" w:rsidRDefault="00E51A86" w:rsidP="00E51A86">
            <w:pPr>
              <w:spacing w:before="60" w:after="40"/>
              <w:rPr>
                <w:rStyle w:val="Hyperlink"/>
                <w:b/>
                <w:bCs/>
                <w:color w:val="FF0000"/>
                <w:sz w:val="22"/>
                <w:szCs w:val="22"/>
                <w:u w:val="none"/>
              </w:rPr>
            </w:pPr>
            <w:r w:rsidRPr="00DF462A">
              <w:rPr>
                <w:rStyle w:val="Hyperlink"/>
                <w:b/>
                <w:bCs/>
                <w:color w:val="auto"/>
                <w:sz w:val="22"/>
                <w:szCs w:val="22"/>
                <w:u w:val="none"/>
              </w:rPr>
              <w:t xml:space="preserve">Национална </w:t>
            </w:r>
            <w:r>
              <w:rPr>
                <w:rStyle w:val="Hyperlink"/>
                <w:b/>
                <w:bCs/>
                <w:color w:val="auto"/>
                <w:sz w:val="22"/>
                <w:szCs w:val="22"/>
                <w:u w:val="none"/>
              </w:rPr>
              <w:br/>
            </w:r>
            <w:r w:rsidRPr="00DF462A">
              <w:rPr>
                <w:rStyle w:val="Hyperlink"/>
                <w:b/>
                <w:bCs/>
                <w:color w:val="auto"/>
                <w:sz w:val="22"/>
                <w:szCs w:val="22"/>
                <w:u w:val="none"/>
              </w:rPr>
              <w:t xml:space="preserve">овцевъдна и </w:t>
            </w:r>
            <w:r>
              <w:rPr>
                <w:rStyle w:val="Hyperlink"/>
                <w:b/>
                <w:bCs/>
                <w:color w:val="auto"/>
                <w:sz w:val="22"/>
                <w:szCs w:val="22"/>
                <w:u w:val="none"/>
              </w:rPr>
              <w:br/>
            </w:r>
            <w:proofErr w:type="spellStart"/>
            <w:r w:rsidRPr="00DF462A">
              <w:rPr>
                <w:rStyle w:val="Hyperlink"/>
                <w:b/>
                <w:bCs/>
                <w:color w:val="auto"/>
                <w:sz w:val="22"/>
                <w:szCs w:val="22"/>
                <w:u w:val="none"/>
              </w:rPr>
              <w:t>козевъдна</w:t>
            </w:r>
            <w:proofErr w:type="spellEnd"/>
            <w:r w:rsidRPr="00DF462A">
              <w:rPr>
                <w:rStyle w:val="Hyperlink"/>
                <w:b/>
                <w:bCs/>
                <w:color w:val="auto"/>
                <w:sz w:val="22"/>
                <w:szCs w:val="22"/>
                <w:u w:val="none"/>
              </w:rPr>
              <w:t xml:space="preserve"> </w:t>
            </w:r>
            <w:r>
              <w:rPr>
                <w:rStyle w:val="Hyperlink"/>
                <w:b/>
                <w:bCs/>
                <w:color w:val="auto"/>
                <w:sz w:val="22"/>
                <w:szCs w:val="22"/>
                <w:u w:val="none"/>
              </w:rPr>
              <w:br/>
            </w:r>
            <w:r w:rsidRPr="00DF462A">
              <w:rPr>
                <w:rStyle w:val="Hyperlink"/>
                <w:b/>
                <w:bCs/>
                <w:color w:val="auto"/>
                <w:sz w:val="22"/>
                <w:szCs w:val="22"/>
                <w:u w:val="none"/>
              </w:rPr>
              <w:t xml:space="preserve">асоциация – </w:t>
            </w:r>
            <w:r>
              <w:rPr>
                <w:rStyle w:val="Hyperlink"/>
                <w:b/>
                <w:bCs/>
                <w:color w:val="auto"/>
                <w:sz w:val="22"/>
                <w:szCs w:val="22"/>
                <w:u w:val="none"/>
              </w:rPr>
              <w:br/>
            </w:r>
            <w:r w:rsidRPr="00DF462A">
              <w:rPr>
                <w:rStyle w:val="Hyperlink"/>
                <w:b/>
                <w:bCs/>
                <w:color w:val="auto"/>
                <w:sz w:val="22"/>
                <w:szCs w:val="22"/>
                <w:u w:val="none"/>
              </w:rPr>
              <w:t xml:space="preserve">получено по </w:t>
            </w:r>
            <w:r>
              <w:rPr>
                <w:rStyle w:val="Hyperlink"/>
                <w:b/>
                <w:bCs/>
                <w:color w:val="auto"/>
                <w:sz w:val="22"/>
                <w:szCs w:val="22"/>
                <w:u w:val="none"/>
              </w:rPr>
              <w:br/>
            </w:r>
            <w:r w:rsidRPr="00DF462A">
              <w:rPr>
                <w:rStyle w:val="Hyperlink"/>
                <w:b/>
                <w:bCs/>
                <w:color w:val="auto"/>
                <w:sz w:val="22"/>
                <w:szCs w:val="22"/>
                <w:u w:val="none"/>
              </w:rPr>
              <w:t>електронна поща на 27.02.2023 г.</w:t>
            </w:r>
          </w:p>
        </w:tc>
        <w:tc>
          <w:tcPr>
            <w:tcW w:w="6639" w:type="dxa"/>
            <w:tcBorders>
              <w:top w:val="single" w:sz="18" w:space="0" w:color="2E74B5"/>
              <w:left w:val="single" w:sz="18" w:space="0" w:color="2E74B5"/>
              <w:bottom w:val="nil"/>
              <w:right w:val="single" w:sz="18" w:space="0" w:color="2E74B5"/>
            </w:tcBorders>
            <w:shd w:val="clear" w:color="auto" w:fill="auto"/>
          </w:tcPr>
          <w:p w:rsidR="00E51A86" w:rsidRPr="00DF462A" w:rsidRDefault="00E51A86" w:rsidP="000A5190">
            <w:pPr>
              <w:pStyle w:val="BodyText"/>
              <w:spacing w:before="60" w:after="40"/>
              <w:jc w:val="both"/>
              <w:rPr>
                <w:sz w:val="22"/>
                <w:szCs w:val="22"/>
              </w:rPr>
            </w:pPr>
            <w:r w:rsidRPr="00DF462A">
              <w:rPr>
                <w:sz w:val="22"/>
                <w:szCs w:val="22"/>
              </w:rPr>
              <w:t>В чл. 3. да се създаде т.</w:t>
            </w:r>
            <w:r>
              <w:rPr>
                <w:sz w:val="22"/>
                <w:szCs w:val="22"/>
              </w:rPr>
              <w:t xml:space="preserve"> </w:t>
            </w:r>
            <w:r w:rsidRPr="00DF462A">
              <w:rPr>
                <w:sz w:val="22"/>
                <w:szCs w:val="22"/>
              </w:rPr>
              <w:t xml:space="preserve">4: </w:t>
            </w:r>
          </w:p>
          <w:p w:rsidR="00E51A86" w:rsidRPr="0091438D" w:rsidRDefault="00E51A86" w:rsidP="000A5190">
            <w:pPr>
              <w:pStyle w:val="BodyText"/>
              <w:spacing w:before="60" w:after="40"/>
              <w:jc w:val="both"/>
              <w:rPr>
                <w:sz w:val="22"/>
                <w:szCs w:val="22"/>
              </w:rPr>
            </w:pPr>
            <w:r>
              <w:rPr>
                <w:sz w:val="22"/>
                <w:szCs w:val="22"/>
              </w:rPr>
              <w:t xml:space="preserve">4. </w:t>
            </w:r>
            <w:r w:rsidRPr="00DF462A">
              <w:rPr>
                <w:sz w:val="22"/>
                <w:szCs w:val="22"/>
              </w:rPr>
              <w:t>Производители регистрирани Наредба № 26 от 14 октомври 2010 г. за специфичните изисквания за директни доставки на малки количества суровини и храни от животински произход</w:t>
            </w:r>
            <w:r>
              <w:rPr>
                <w:sz w:val="22"/>
                <w:szCs w:val="22"/>
              </w:rPr>
              <w:t>.</w:t>
            </w:r>
          </w:p>
        </w:tc>
        <w:tc>
          <w:tcPr>
            <w:tcW w:w="1608" w:type="dxa"/>
            <w:tcBorders>
              <w:top w:val="single" w:sz="18" w:space="0" w:color="2E74B5"/>
              <w:left w:val="single" w:sz="18" w:space="0" w:color="2E74B5"/>
              <w:bottom w:val="nil"/>
              <w:right w:val="single" w:sz="18" w:space="0" w:color="2E74B5"/>
            </w:tcBorders>
            <w:shd w:val="clear" w:color="auto" w:fill="auto"/>
          </w:tcPr>
          <w:p w:rsidR="00E51A86" w:rsidRPr="008071C3" w:rsidRDefault="00E51A86" w:rsidP="000A5190">
            <w:pPr>
              <w:spacing w:before="60" w:after="40"/>
              <w:rPr>
                <w:sz w:val="22"/>
                <w:szCs w:val="22"/>
              </w:rPr>
            </w:pPr>
            <w:r w:rsidRPr="008071C3">
              <w:rPr>
                <w:sz w:val="22"/>
                <w:szCs w:val="22"/>
              </w:rPr>
              <w:t>Приема се по принцип</w:t>
            </w:r>
          </w:p>
        </w:tc>
        <w:tc>
          <w:tcPr>
            <w:tcW w:w="4522" w:type="dxa"/>
            <w:tcBorders>
              <w:top w:val="single" w:sz="18" w:space="0" w:color="2E74B5"/>
              <w:left w:val="single" w:sz="18" w:space="0" w:color="2E74B5"/>
              <w:bottom w:val="nil"/>
              <w:right w:val="single" w:sz="24" w:space="0" w:color="2E74B5"/>
            </w:tcBorders>
            <w:shd w:val="clear" w:color="auto" w:fill="auto"/>
          </w:tcPr>
          <w:p w:rsidR="00E51A86" w:rsidRPr="008071C3" w:rsidRDefault="00E51A86" w:rsidP="00DA60B7">
            <w:pPr>
              <w:spacing w:before="60" w:after="40"/>
              <w:jc w:val="both"/>
              <w:rPr>
                <w:sz w:val="22"/>
                <w:szCs w:val="22"/>
              </w:rPr>
            </w:pPr>
            <w:r w:rsidRPr="008071C3">
              <w:rPr>
                <w:sz w:val="22"/>
                <w:szCs w:val="22"/>
              </w:rPr>
              <w:t>Този вид субекти са включени като допустими</w:t>
            </w:r>
            <w:r w:rsidRPr="008071C3">
              <w:rPr>
                <w:sz w:val="22"/>
                <w:szCs w:val="22"/>
                <w:lang w:val="ru-RU"/>
              </w:rPr>
              <w:t xml:space="preserve"> </w:t>
            </w:r>
            <w:r w:rsidRPr="008071C3">
              <w:rPr>
                <w:sz w:val="22"/>
                <w:szCs w:val="22"/>
              </w:rPr>
              <w:t>кандидати</w:t>
            </w:r>
            <w:r w:rsidRPr="00306B58">
              <w:rPr>
                <w:sz w:val="22"/>
                <w:szCs w:val="22"/>
                <w:lang w:val="ru-RU"/>
              </w:rPr>
              <w:t xml:space="preserve">, </w:t>
            </w:r>
            <w:r>
              <w:rPr>
                <w:sz w:val="22"/>
                <w:szCs w:val="22"/>
              </w:rPr>
              <w:t>като</w:t>
            </w:r>
            <w:r w:rsidRPr="008071C3">
              <w:rPr>
                <w:sz w:val="22"/>
                <w:szCs w:val="22"/>
              </w:rPr>
              <w:t xml:space="preserve"> специфични изисквания за тях са предвидени в чл. 4, ал. 5, 6 и 7 и чл. 5, ал.</w:t>
            </w:r>
            <w:r w:rsidR="00DA60B7" w:rsidRPr="005D3A3E">
              <w:rPr>
                <w:sz w:val="22"/>
                <w:szCs w:val="22"/>
                <w:lang w:val="ru-RU"/>
              </w:rPr>
              <w:t xml:space="preserve"> </w:t>
            </w:r>
            <w:r w:rsidRPr="008071C3">
              <w:rPr>
                <w:sz w:val="22"/>
                <w:szCs w:val="22"/>
              </w:rPr>
              <w:t>2.</w:t>
            </w:r>
          </w:p>
        </w:tc>
      </w:tr>
      <w:tr w:rsidR="00E51A86" w:rsidRPr="0091438D" w:rsidTr="00773AFB">
        <w:trPr>
          <w:jc w:val="center"/>
        </w:trPr>
        <w:tc>
          <w:tcPr>
            <w:tcW w:w="620" w:type="dxa"/>
            <w:tcBorders>
              <w:top w:val="nil"/>
              <w:left w:val="single" w:sz="24" w:space="0" w:color="2E74B5"/>
              <w:bottom w:val="nil"/>
              <w:right w:val="single" w:sz="18" w:space="0" w:color="2E74B5"/>
            </w:tcBorders>
            <w:shd w:val="clear" w:color="auto" w:fill="auto"/>
          </w:tcPr>
          <w:p w:rsidR="00E51A86" w:rsidRPr="0091438D" w:rsidRDefault="00E51A86" w:rsidP="000A5190">
            <w:pPr>
              <w:tabs>
                <w:tab w:val="left" w:pos="192"/>
              </w:tabs>
              <w:spacing w:before="60" w:after="40"/>
              <w:rPr>
                <w:b/>
                <w:color w:val="FF0000"/>
                <w:sz w:val="22"/>
                <w:szCs w:val="22"/>
              </w:rPr>
            </w:pPr>
          </w:p>
        </w:tc>
        <w:tc>
          <w:tcPr>
            <w:tcW w:w="2261" w:type="dxa"/>
            <w:vMerge/>
            <w:tcBorders>
              <w:left w:val="single" w:sz="18" w:space="0" w:color="2E74B5"/>
              <w:bottom w:val="nil"/>
              <w:right w:val="single" w:sz="18" w:space="0" w:color="2E74B5"/>
            </w:tcBorders>
            <w:shd w:val="clear" w:color="auto" w:fill="auto"/>
          </w:tcPr>
          <w:p w:rsidR="00E51A86" w:rsidRPr="000D2596" w:rsidRDefault="00E51A86" w:rsidP="000A5190">
            <w:pPr>
              <w:spacing w:before="60" w:after="40"/>
              <w:rPr>
                <w:rStyle w:val="Hyperlink"/>
                <w:b/>
                <w:bCs/>
                <w:color w:val="FF0000"/>
                <w:sz w:val="22"/>
                <w:szCs w:val="22"/>
                <w:u w:val="none"/>
              </w:rPr>
            </w:pPr>
          </w:p>
        </w:tc>
        <w:tc>
          <w:tcPr>
            <w:tcW w:w="6639" w:type="dxa"/>
            <w:tcBorders>
              <w:top w:val="nil"/>
              <w:left w:val="single" w:sz="18" w:space="0" w:color="2E74B5"/>
              <w:bottom w:val="nil"/>
              <w:right w:val="single" w:sz="18" w:space="0" w:color="2E74B5"/>
            </w:tcBorders>
            <w:shd w:val="clear" w:color="auto" w:fill="auto"/>
          </w:tcPr>
          <w:p w:rsidR="00E51A86" w:rsidRPr="00DF462A" w:rsidRDefault="00E51A86" w:rsidP="000A5190">
            <w:pPr>
              <w:pStyle w:val="Default"/>
              <w:spacing w:before="60" w:after="40"/>
              <w:jc w:val="both"/>
              <w:rPr>
                <w:bCs/>
                <w:sz w:val="22"/>
                <w:szCs w:val="22"/>
              </w:rPr>
            </w:pPr>
            <w:r w:rsidRPr="00DF462A">
              <w:rPr>
                <w:bCs/>
                <w:sz w:val="22"/>
                <w:szCs w:val="22"/>
              </w:rPr>
              <w:t>В чл. 4. да се създаде ал.</w:t>
            </w:r>
            <w:r>
              <w:rPr>
                <w:bCs/>
                <w:sz w:val="22"/>
                <w:szCs w:val="22"/>
              </w:rPr>
              <w:t xml:space="preserve"> </w:t>
            </w:r>
            <w:r w:rsidRPr="00DF462A">
              <w:rPr>
                <w:bCs/>
                <w:sz w:val="22"/>
                <w:szCs w:val="22"/>
              </w:rPr>
              <w:t>6</w:t>
            </w:r>
            <w:r>
              <w:rPr>
                <w:bCs/>
                <w:sz w:val="22"/>
                <w:szCs w:val="22"/>
              </w:rPr>
              <w:t>:</w:t>
            </w:r>
            <w:r w:rsidRPr="00DF462A">
              <w:rPr>
                <w:bCs/>
                <w:sz w:val="22"/>
                <w:szCs w:val="22"/>
              </w:rPr>
              <w:t xml:space="preserve"> </w:t>
            </w:r>
          </w:p>
          <w:p w:rsidR="00E51A86" w:rsidRPr="00DF462A" w:rsidRDefault="00E51A86" w:rsidP="000A5190">
            <w:pPr>
              <w:pStyle w:val="Default"/>
              <w:spacing w:before="60" w:after="40"/>
              <w:jc w:val="both"/>
              <w:rPr>
                <w:bCs/>
                <w:sz w:val="22"/>
                <w:szCs w:val="22"/>
              </w:rPr>
            </w:pPr>
            <w:r w:rsidRPr="00DF462A">
              <w:rPr>
                <w:bCs/>
                <w:sz w:val="22"/>
                <w:szCs w:val="22"/>
              </w:rPr>
              <w:t xml:space="preserve">(6) За </w:t>
            </w:r>
            <w:proofErr w:type="spellStart"/>
            <w:r w:rsidRPr="00DF462A">
              <w:rPr>
                <w:bCs/>
                <w:sz w:val="22"/>
                <w:szCs w:val="22"/>
              </w:rPr>
              <w:t>регистирани</w:t>
            </w:r>
            <w:proofErr w:type="spellEnd"/>
            <w:r w:rsidRPr="00DF462A">
              <w:rPr>
                <w:bCs/>
                <w:sz w:val="22"/>
                <w:szCs w:val="22"/>
              </w:rPr>
              <w:t xml:space="preserve"> по Наредба № 26 от 14 октомври 2010 г. за специфичните изисквания за директни доставки на малки количества суровини и храни от животински произход</w:t>
            </w:r>
            <w:r>
              <w:rPr>
                <w:bCs/>
                <w:sz w:val="22"/>
                <w:szCs w:val="22"/>
              </w:rPr>
              <w:t>.</w:t>
            </w:r>
          </w:p>
          <w:p w:rsidR="00E51A86" w:rsidRPr="00DF462A" w:rsidRDefault="00E51A86" w:rsidP="000A5190">
            <w:pPr>
              <w:pStyle w:val="Default"/>
              <w:spacing w:before="60" w:after="40"/>
              <w:jc w:val="both"/>
              <w:rPr>
                <w:bCs/>
                <w:sz w:val="22"/>
                <w:szCs w:val="22"/>
              </w:rPr>
            </w:pPr>
            <w:r w:rsidRPr="00DF462A">
              <w:rPr>
                <w:bCs/>
                <w:sz w:val="22"/>
                <w:szCs w:val="22"/>
              </w:rPr>
              <w:t xml:space="preserve">1. отглеждат животни в действащ животновъден обект по чл. 137 от Закона за ветеринарномедицинската дейност и са регистрирани в Интегрираната информационна система на Българска агенция по безопасност на храните – </w:t>
            </w:r>
            <w:proofErr w:type="spellStart"/>
            <w:r w:rsidRPr="00DF462A">
              <w:rPr>
                <w:bCs/>
                <w:sz w:val="22"/>
                <w:szCs w:val="22"/>
              </w:rPr>
              <w:t>ВетИс</w:t>
            </w:r>
            <w:proofErr w:type="spellEnd"/>
            <w:r w:rsidRPr="00DF462A">
              <w:rPr>
                <w:bCs/>
                <w:sz w:val="22"/>
                <w:szCs w:val="22"/>
              </w:rPr>
              <w:t xml:space="preserve"> или</w:t>
            </w:r>
          </w:p>
          <w:p w:rsidR="00E51A86" w:rsidRPr="0091438D" w:rsidRDefault="00E51A86" w:rsidP="000A5190">
            <w:pPr>
              <w:pStyle w:val="Default"/>
              <w:spacing w:before="60" w:after="40"/>
              <w:jc w:val="both"/>
              <w:rPr>
                <w:bCs/>
                <w:sz w:val="22"/>
                <w:szCs w:val="22"/>
              </w:rPr>
            </w:pPr>
            <w:r w:rsidRPr="00DF462A">
              <w:rPr>
                <w:bCs/>
                <w:sz w:val="22"/>
                <w:szCs w:val="22"/>
              </w:rPr>
              <w:t>2. са регистрирани по реда на Наредба № 3 от 1999 г. за създаване и поддържане на регистър на земеделските стопани (ДВ, бр. 10 от 1999 г.) за стопанската 2021 – 2022 г.</w:t>
            </w:r>
          </w:p>
        </w:tc>
        <w:tc>
          <w:tcPr>
            <w:tcW w:w="1608" w:type="dxa"/>
            <w:tcBorders>
              <w:top w:val="nil"/>
              <w:left w:val="single" w:sz="18" w:space="0" w:color="2E74B5"/>
              <w:bottom w:val="nil"/>
              <w:right w:val="single" w:sz="18" w:space="0" w:color="2E74B5"/>
            </w:tcBorders>
            <w:shd w:val="clear" w:color="auto" w:fill="auto"/>
          </w:tcPr>
          <w:p w:rsidR="00E51A86" w:rsidRPr="00152539" w:rsidRDefault="00E51A86" w:rsidP="000A5190">
            <w:pPr>
              <w:spacing w:before="60" w:after="40"/>
              <w:rPr>
                <w:sz w:val="22"/>
                <w:szCs w:val="22"/>
              </w:rPr>
            </w:pPr>
            <w:r w:rsidRPr="008071C3">
              <w:rPr>
                <w:sz w:val="22"/>
                <w:szCs w:val="22"/>
              </w:rPr>
              <w:t>Приема се</w:t>
            </w:r>
            <w:r>
              <w:rPr>
                <w:sz w:val="22"/>
                <w:szCs w:val="22"/>
                <w:lang w:val="en-US"/>
              </w:rPr>
              <w:t xml:space="preserve"> </w:t>
            </w:r>
          </w:p>
        </w:tc>
        <w:tc>
          <w:tcPr>
            <w:tcW w:w="4522" w:type="dxa"/>
            <w:tcBorders>
              <w:top w:val="nil"/>
              <w:left w:val="single" w:sz="18" w:space="0" w:color="2E74B5"/>
              <w:bottom w:val="nil"/>
              <w:right w:val="single" w:sz="24" w:space="0" w:color="2E74B5"/>
            </w:tcBorders>
            <w:shd w:val="clear" w:color="auto" w:fill="auto"/>
          </w:tcPr>
          <w:p w:rsidR="00E51A86" w:rsidRPr="008071C3" w:rsidRDefault="00E51A86" w:rsidP="000A5190">
            <w:pPr>
              <w:spacing w:before="60" w:after="40"/>
              <w:rPr>
                <w:sz w:val="22"/>
                <w:szCs w:val="22"/>
              </w:rPr>
            </w:pPr>
          </w:p>
        </w:tc>
      </w:tr>
      <w:tr w:rsidR="000A5190" w:rsidRPr="0091438D" w:rsidTr="00687AB4">
        <w:trPr>
          <w:jc w:val="center"/>
        </w:trPr>
        <w:tc>
          <w:tcPr>
            <w:tcW w:w="620" w:type="dxa"/>
            <w:tcBorders>
              <w:top w:val="nil"/>
              <w:left w:val="single" w:sz="24" w:space="0" w:color="2E74B5"/>
              <w:bottom w:val="nil"/>
              <w:right w:val="single" w:sz="18" w:space="0" w:color="2E74B5"/>
            </w:tcBorders>
            <w:shd w:val="clear" w:color="auto" w:fill="auto"/>
          </w:tcPr>
          <w:p w:rsidR="000A5190" w:rsidRPr="0091438D" w:rsidRDefault="000A5190" w:rsidP="000A5190">
            <w:pPr>
              <w:tabs>
                <w:tab w:val="left" w:pos="192"/>
              </w:tabs>
              <w:spacing w:before="60" w:after="40"/>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0A5190" w:rsidRPr="000D2596" w:rsidRDefault="000A5190" w:rsidP="000A5190">
            <w:pPr>
              <w:spacing w:before="60" w:after="40"/>
              <w:rPr>
                <w:rStyle w:val="Hyperlink"/>
                <w:b/>
                <w:bCs/>
                <w:color w:val="FF0000"/>
                <w:sz w:val="22"/>
                <w:szCs w:val="22"/>
                <w:u w:val="none"/>
              </w:rPr>
            </w:pPr>
          </w:p>
        </w:tc>
        <w:tc>
          <w:tcPr>
            <w:tcW w:w="6639" w:type="dxa"/>
            <w:tcBorders>
              <w:top w:val="nil"/>
              <w:left w:val="single" w:sz="18" w:space="0" w:color="2E74B5"/>
              <w:bottom w:val="nil"/>
              <w:right w:val="single" w:sz="18" w:space="0" w:color="2E74B5"/>
            </w:tcBorders>
            <w:shd w:val="clear" w:color="auto" w:fill="auto"/>
          </w:tcPr>
          <w:p w:rsidR="000A5190" w:rsidRPr="00DF462A" w:rsidRDefault="000A5190" w:rsidP="000A5190">
            <w:pPr>
              <w:pStyle w:val="Default"/>
              <w:spacing w:before="60" w:after="40"/>
              <w:jc w:val="both"/>
              <w:rPr>
                <w:bCs/>
                <w:sz w:val="22"/>
                <w:szCs w:val="22"/>
              </w:rPr>
            </w:pPr>
            <w:r w:rsidRPr="00DF462A">
              <w:rPr>
                <w:bCs/>
                <w:sz w:val="22"/>
                <w:szCs w:val="22"/>
              </w:rPr>
              <w:t>В чл. 8. (2) да се допълни а за кандидат по чл. 3, т. 4</w:t>
            </w:r>
          </w:p>
          <w:p w:rsidR="000A5190" w:rsidRPr="0091438D" w:rsidRDefault="000A5190" w:rsidP="000A5190">
            <w:pPr>
              <w:pStyle w:val="Default"/>
              <w:spacing w:before="60" w:after="40"/>
              <w:jc w:val="both"/>
              <w:rPr>
                <w:bCs/>
                <w:sz w:val="22"/>
                <w:szCs w:val="22"/>
              </w:rPr>
            </w:pPr>
            <w:r w:rsidRPr="00DF462A">
              <w:rPr>
                <w:bCs/>
                <w:sz w:val="22"/>
                <w:szCs w:val="22"/>
              </w:rPr>
              <w:t xml:space="preserve">(2) Максималният допустим размер на финансовата помощ за кандидат по чл. 3, т. 1 е 100 000 лева, а за кандидат по чл. 3, т. 2 и т. 3  е </w:t>
            </w:r>
            <w:r>
              <w:rPr>
                <w:bCs/>
                <w:sz w:val="22"/>
                <w:szCs w:val="22"/>
              </w:rPr>
              <w:t xml:space="preserve">17 000 лева., а за кандидат по </w:t>
            </w:r>
            <w:r w:rsidRPr="00DF462A">
              <w:rPr>
                <w:bCs/>
                <w:sz w:val="22"/>
                <w:szCs w:val="22"/>
              </w:rPr>
              <w:t>чл. 3, т. 4</w:t>
            </w:r>
          </w:p>
        </w:tc>
        <w:tc>
          <w:tcPr>
            <w:tcW w:w="1608" w:type="dxa"/>
            <w:tcBorders>
              <w:top w:val="nil"/>
              <w:left w:val="single" w:sz="18" w:space="0" w:color="2E74B5"/>
              <w:bottom w:val="nil"/>
              <w:right w:val="single" w:sz="18" w:space="0" w:color="2E74B5"/>
            </w:tcBorders>
            <w:shd w:val="clear" w:color="auto" w:fill="auto"/>
          </w:tcPr>
          <w:p w:rsidR="000A5190" w:rsidRPr="008071C3" w:rsidRDefault="000A5190" w:rsidP="000A5190">
            <w:pPr>
              <w:spacing w:before="60" w:after="40"/>
              <w:rPr>
                <w:sz w:val="22"/>
                <w:szCs w:val="22"/>
              </w:rPr>
            </w:pPr>
            <w:r w:rsidRPr="008071C3">
              <w:rPr>
                <w:sz w:val="22"/>
                <w:szCs w:val="22"/>
              </w:rPr>
              <w:t>Приема се по принцип</w:t>
            </w:r>
          </w:p>
        </w:tc>
        <w:tc>
          <w:tcPr>
            <w:tcW w:w="4522" w:type="dxa"/>
            <w:tcBorders>
              <w:top w:val="nil"/>
              <w:left w:val="single" w:sz="18" w:space="0" w:color="2E74B5"/>
              <w:bottom w:val="nil"/>
              <w:right w:val="single" w:sz="24" w:space="0" w:color="2E74B5"/>
            </w:tcBorders>
            <w:shd w:val="clear" w:color="auto" w:fill="auto"/>
          </w:tcPr>
          <w:p w:rsidR="000A5190" w:rsidRPr="008071C3" w:rsidRDefault="000A5190" w:rsidP="000A5190">
            <w:pPr>
              <w:spacing w:before="60" w:after="40"/>
              <w:jc w:val="both"/>
              <w:rPr>
                <w:sz w:val="22"/>
                <w:szCs w:val="22"/>
              </w:rPr>
            </w:pPr>
            <w:r w:rsidRPr="008071C3">
              <w:rPr>
                <w:sz w:val="22"/>
                <w:szCs w:val="22"/>
              </w:rPr>
              <w:t>Максималният размер на финансовата помощ за всички кандидати е 100 000 лв.</w:t>
            </w:r>
          </w:p>
        </w:tc>
      </w:tr>
      <w:tr w:rsidR="000A5190" w:rsidRPr="0091438D" w:rsidTr="00AC57F8">
        <w:trPr>
          <w:jc w:val="center"/>
        </w:trPr>
        <w:tc>
          <w:tcPr>
            <w:tcW w:w="620" w:type="dxa"/>
            <w:tcBorders>
              <w:top w:val="single" w:sz="18" w:space="0" w:color="2E74B5"/>
              <w:left w:val="single" w:sz="24" w:space="0" w:color="2E74B5"/>
              <w:bottom w:val="single" w:sz="18" w:space="0" w:color="2E74B5"/>
              <w:right w:val="single" w:sz="18" w:space="0" w:color="2E74B5"/>
            </w:tcBorders>
            <w:shd w:val="clear" w:color="auto" w:fill="auto"/>
          </w:tcPr>
          <w:p w:rsidR="000A5190" w:rsidRPr="00E51A86" w:rsidRDefault="000A5190" w:rsidP="00E03ECE">
            <w:pPr>
              <w:pStyle w:val="ListParagraph"/>
              <w:numPr>
                <w:ilvl w:val="0"/>
                <w:numId w:val="26"/>
              </w:numPr>
              <w:tabs>
                <w:tab w:val="left" w:pos="192"/>
              </w:tabs>
              <w:spacing w:before="60" w:after="40"/>
              <w:jc w:val="center"/>
              <w:rPr>
                <w:b/>
                <w:color w:val="FF0000"/>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rsidR="000A5190" w:rsidRPr="00AC57F8" w:rsidRDefault="000A5190" w:rsidP="00E51A86">
            <w:pPr>
              <w:spacing w:before="60" w:after="40"/>
              <w:rPr>
                <w:rStyle w:val="Hyperlink"/>
                <w:b/>
                <w:bCs/>
                <w:color w:val="FF0000"/>
                <w:sz w:val="22"/>
                <w:szCs w:val="22"/>
                <w:u w:val="none"/>
              </w:rPr>
            </w:pPr>
            <w:r w:rsidRPr="00AC57F8">
              <w:rPr>
                <w:rStyle w:val="Hyperlink"/>
                <w:b/>
                <w:bCs/>
                <w:color w:val="auto"/>
                <w:sz w:val="22"/>
                <w:szCs w:val="22"/>
                <w:u w:val="none"/>
              </w:rPr>
              <w:t>Petkov66</w:t>
            </w:r>
            <w:r w:rsidRPr="00AC57F8">
              <w:rPr>
                <w:rStyle w:val="Hyperlink"/>
                <w:b/>
                <w:bCs/>
                <w:color w:val="auto"/>
                <w:sz w:val="22"/>
                <w:szCs w:val="22"/>
                <w:u w:val="none"/>
                <w:lang w:val="ru-RU"/>
              </w:rPr>
              <w:t xml:space="preserve"> </w:t>
            </w:r>
            <w:r w:rsidRPr="00AC57F8">
              <w:rPr>
                <w:rStyle w:val="Hyperlink"/>
                <w:b/>
                <w:bCs/>
                <w:color w:val="auto"/>
                <w:sz w:val="22"/>
                <w:szCs w:val="22"/>
                <w:u w:val="none"/>
              </w:rPr>
              <w:t xml:space="preserve">/становище на Българска асоциация на </w:t>
            </w:r>
            <w:proofErr w:type="spellStart"/>
            <w:r w:rsidRPr="00AC57F8">
              <w:rPr>
                <w:rStyle w:val="Hyperlink"/>
                <w:b/>
                <w:bCs/>
                <w:color w:val="auto"/>
                <w:sz w:val="22"/>
                <w:szCs w:val="22"/>
                <w:u w:val="none"/>
              </w:rPr>
              <w:t>малинопроизводителите</w:t>
            </w:r>
            <w:proofErr w:type="spellEnd"/>
            <w:r w:rsidRPr="00AC57F8">
              <w:rPr>
                <w:rStyle w:val="Hyperlink"/>
                <w:b/>
                <w:bCs/>
                <w:color w:val="auto"/>
                <w:sz w:val="22"/>
                <w:szCs w:val="22"/>
                <w:u w:val="none"/>
              </w:rPr>
              <w:t xml:space="preserve"> и </w:t>
            </w:r>
            <w:proofErr w:type="spellStart"/>
            <w:r w:rsidRPr="00AC57F8">
              <w:rPr>
                <w:rStyle w:val="Hyperlink"/>
                <w:b/>
                <w:bCs/>
                <w:color w:val="auto"/>
                <w:sz w:val="22"/>
                <w:szCs w:val="22"/>
                <w:u w:val="none"/>
              </w:rPr>
              <w:t>ягодоплодните</w:t>
            </w:r>
            <w:proofErr w:type="spellEnd"/>
            <w:r w:rsidRPr="00AC57F8">
              <w:rPr>
                <w:rStyle w:val="Hyperlink"/>
                <w:b/>
                <w:bCs/>
                <w:color w:val="auto"/>
                <w:sz w:val="22"/>
                <w:szCs w:val="22"/>
                <w:u w:val="none"/>
              </w:rPr>
              <w:t xml:space="preserve">/ - </w:t>
            </w:r>
            <w:r w:rsidR="00E51A86">
              <w:rPr>
                <w:rStyle w:val="Hyperlink"/>
                <w:b/>
                <w:bCs/>
                <w:color w:val="auto"/>
                <w:sz w:val="22"/>
                <w:szCs w:val="22"/>
                <w:u w:val="none"/>
              </w:rPr>
              <w:br/>
            </w:r>
            <w:r w:rsidRPr="0091438D">
              <w:rPr>
                <w:b/>
                <w:bCs/>
                <w:sz w:val="22"/>
                <w:szCs w:val="22"/>
              </w:rPr>
              <w:t>Портал за обществени консултации –</w:t>
            </w:r>
            <w:r>
              <w:rPr>
                <w:b/>
                <w:bCs/>
                <w:sz w:val="22"/>
                <w:szCs w:val="22"/>
              </w:rPr>
              <w:t>27.</w:t>
            </w:r>
            <w:r w:rsidRPr="003C49B5">
              <w:rPr>
                <w:b/>
                <w:bCs/>
                <w:sz w:val="22"/>
                <w:szCs w:val="22"/>
                <w:lang w:val="ru-RU"/>
              </w:rPr>
              <w:t>02</w:t>
            </w:r>
            <w:r>
              <w:rPr>
                <w:b/>
                <w:bCs/>
                <w:sz w:val="22"/>
                <w:szCs w:val="22"/>
              </w:rPr>
              <w:t>.2023</w:t>
            </w:r>
            <w:r w:rsidRPr="0091438D">
              <w:rPr>
                <w:b/>
                <w:bCs/>
                <w:sz w:val="22"/>
                <w:szCs w:val="22"/>
              </w:rPr>
              <w:t xml:space="preserve"> г.</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0A5190" w:rsidRPr="00AC57F8" w:rsidRDefault="000A5190" w:rsidP="000A5190">
            <w:pPr>
              <w:pStyle w:val="BodyText"/>
              <w:spacing w:before="60" w:after="40"/>
              <w:jc w:val="both"/>
              <w:rPr>
                <w:b/>
                <w:sz w:val="22"/>
                <w:szCs w:val="22"/>
              </w:rPr>
            </w:pPr>
            <w:r w:rsidRPr="00AC57F8">
              <w:rPr>
                <w:b/>
                <w:sz w:val="22"/>
                <w:szCs w:val="22"/>
              </w:rPr>
              <w:t>„Извънредно временно подпомагане за малки и средни предприятия, засегнати от последиците от руското нашествие в Украйна“</w:t>
            </w:r>
          </w:p>
          <w:p w:rsidR="000A5190" w:rsidRPr="00AC57F8" w:rsidRDefault="000A5190" w:rsidP="000A5190">
            <w:pPr>
              <w:pStyle w:val="BodyText"/>
              <w:spacing w:before="60" w:after="40"/>
              <w:jc w:val="both"/>
              <w:rPr>
                <w:sz w:val="22"/>
                <w:szCs w:val="22"/>
              </w:rPr>
            </w:pPr>
            <w:r w:rsidRPr="00AC57F8">
              <w:rPr>
                <w:sz w:val="22"/>
                <w:szCs w:val="22"/>
              </w:rPr>
              <w:t>Да бъде насочена с приоритет към преработвателни предприятия и организации на производители които работят с 50 и повече процента български плодове и зеленчуци защото именно тези преработватели са засегнати най</w:t>
            </w:r>
            <w:r w:rsidRPr="0004095C">
              <w:rPr>
                <w:sz w:val="22"/>
                <w:szCs w:val="22"/>
                <w:lang w:val="ru-RU"/>
              </w:rPr>
              <w:t>-</w:t>
            </w:r>
            <w:r w:rsidRPr="00AC57F8">
              <w:rPr>
                <w:sz w:val="22"/>
                <w:szCs w:val="22"/>
              </w:rPr>
              <w:t xml:space="preserve">много от последиците от Руското нашествие в Украйна. породени </w:t>
            </w:r>
            <w:r>
              <w:rPr>
                <w:sz w:val="22"/>
                <w:szCs w:val="22"/>
              </w:rPr>
              <w:t>от изключителния дъмпингов внос</w:t>
            </w:r>
            <w:r w:rsidRPr="00AC57F8">
              <w:rPr>
                <w:sz w:val="22"/>
                <w:szCs w:val="22"/>
              </w:rPr>
              <w:t>.</w:t>
            </w:r>
          </w:p>
          <w:p w:rsidR="000A5190" w:rsidRPr="00AC57F8" w:rsidRDefault="000A5190" w:rsidP="000A5190">
            <w:pPr>
              <w:pStyle w:val="BodyText"/>
              <w:spacing w:before="60" w:after="40"/>
              <w:jc w:val="both"/>
              <w:rPr>
                <w:sz w:val="22"/>
                <w:szCs w:val="22"/>
              </w:rPr>
            </w:pPr>
            <w:r w:rsidRPr="00AC57F8">
              <w:rPr>
                <w:sz w:val="22"/>
                <w:szCs w:val="22"/>
              </w:rPr>
              <w:lastRenderedPageBreak/>
              <w:t>Втори критерии за оценка за размера на подпомагане да бъде налични количества готова продукция и/или суровини от 2022 година не продаден</w:t>
            </w:r>
            <w:r>
              <w:rPr>
                <w:sz w:val="22"/>
                <w:szCs w:val="22"/>
              </w:rPr>
              <w:t>и към датата на кандидатстване.</w:t>
            </w:r>
          </w:p>
          <w:p w:rsidR="000A5190" w:rsidRPr="00AC57F8" w:rsidRDefault="000A5190" w:rsidP="000A5190">
            <w:pPr>
              <w:pStyle w:val="BodyText"/>
              <w:spacing w:before="60" w:after="40"/>
              <w:jc w:val="both"/>
              <w:rPr>
                <w:sz w:val="22"/>
                <w:szCs w:val="22"/>
              </w:rPr>
            </w:pPr>
            <w:r w:rsidRPr="00AC57F8">
              <w:rPr>
                <w:sz w:val="22"/>
                <w:szCs w:val="22"/>
              </w:rPr>
              <w:t xml:space="preserve">Трети критерии подпомагането  да бъдат обвързани с оборотите на предприятията и подпомагането да е като процент за всеки милион оборот свързан с работата на предприятието. </w:t>
            </w:r>
            <w:proofErr w:type="spellStart"/>
            <w:r w:rsidRPr="00AC57F8">
              <w:rPr>
                <w:sz w:val="22"/>
                <w:szCs w:val="22"/>
              </w:rPr>
              <w:t>Презумцията</w:t>
            </w:r>
            <w:proofErr w:type="spellEnd"/>
            <w:r w:rsidRPr="00AC57F8">
              <w:rPr>
                <w:sz w:val="22"/>
                <w:szCs w:val="22"/>
              </w:rPr>
              <w:t xml:space="preserve"> е, че големите обороти са предпоставка за по големи разходи на скъпа ел</w:t>
            </w:r>
            <w:r>
              <w:rPr>
                <w:sz w:val="22"/>
                <w:szCs w:val="22"/>
              </w:rPr>
              <w:t>.</w:t>
            </w:r>
            <w:r w:rsidRPr="00AC57F8">
              <w:rPr>
                <w:sz w:val="22"/>
                <w:szCs w:val="22"/>
              </w:rPr>
              <w:t xml:space="preserve"> ене</w:t>
            </w:r>
            <w:r>
              <w:rPr>
                <w:sz w:val="22"/>
                <w:szCs w:val="22"/>
              </w:rPr>
              <w:t>р</w:t>
            </w:r>
            <w:r w:rsidRPr="00AC57F8">
              <w:rPr>
                <w:sz w:val="22"/>
                <w:szCs w:val="22"/>
              </w:rPr>
              <w:t>гия, данъци, осигуровки и заплати, а наличието на не продадена продукция може да е показател и за лош фина</w:t>
            </w:r>
            <w:r>
              <w:rPr>
                <w:sz w:val="22"/>
                <w:szCs w:val="22"/>
              </w:rPr>
              <w:t>н</w:t>
            </w:r>
            <w:r w:rsidRPr="00AC57F8">
              <w:rPr>
                <w:sz w:val="22"/>
                <w:szCs w:val="22"/>
              </w:rPr>
              <w:t>сов резултат през настоящата година продажба на по-ниски цени породени отново от руското нашествие в Украйна</w:t>
            </w:r>
            <w:r>
              <w:rPr>
                <w:sz w:val="22"/>
                <w:szCs w:val="22"/>
              </w:rPr>
              <w:t>.</w:t>
            </w:r>
          </w:p>
          <w:p w:rsidR="000A5190" w:rsidRPr="0091438D" w:rsidRDefault="000A5190" w:rsidP="000A5190">
            <w:pPr>
              <w:pStyle w:val="BodyText"/>
              <w:spacing w:before="60" w:after="40"/>
              <w:jc w:val="both"/>
              <w:rPr>
                <w:sz w:val="22"/>
                <w:szCs w:val="22"/>
              </w:rPr>
            </w:pPr>
            <w:r w:rsidRPr="00AC57F8">
              <w:rPr>
                <w:sz w:val="22"/>
                <w:szCs w:val="22"/>
              </w:rPr>
              <w:t>Ставката да бъде както предварително бе коментираната 100 000 ЕВРО, а не 100 000 лева</w:t>
            </w:r>
            <w:r>
              <w:rPr>
                <w:sz w:val="22"/>
                <w:szCs w:val="22"/>
              </w:rPr>
              <w:t>.</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0A5190" w:rsidRPr="008071C3" w:rsidRDefault="000A5190" w:rsidP="000A5190">
            <w:pPr>
              <w:spacing w:before="60" w:after="40"/>
              <w:rPr>
                <w:sz w:val="22"/>
                <w:szCs w:val="22"/>
              </w:rPr>
            </w:pPr>
            <w:r w:rsidRPr="008071C3">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24" w:space="0" w:color="2E74B5"/>
            </w:tcBorders>
            <w:shd w:val="clear" w:color="auto" w:fill="auto"/>
          </w:tcPr>
          <w:p w:rsidR="000A5190" w:rsidRDefault="000A5190" w:rsidP="000A5190">
            <w:pPr>
              <w:spacing w:before="60" w:after="40"/>
              <w:jc w:val="both"/>
              <w:rPr>
                <w:sz w:val="22"/>
                <w:szCs w:val="22"/>
              </w:rPr>
            </w:pPr>
            <w:r w:rsidRPr="008071C3">
              <w:rPr>
                <w:sz w:val="22"/>
                <w:szCs w:val="22"/>
              </w:rPr>
              <w:t xml:space="preserve">Съгласно чл. 39в, параграф 3 от </w:t>
            </w:r>
            <w:r w:rsidRPr="008071C3">
              <w:rPr>
                <w:i/>
                <w:sz w:val="22"/>
                <w:szCs w:val="22"/>
              </w:rPr>
              <w:t>Регламент (ЕС) № 1305/2013</w:t>
            </w:r>
            <w:r w:rsidRPr="008071C3">
              <w:rPr>
                <w:sz w:val="22"/>
                <w:szCs w:val="22"/>
              </w:rPr>
              <w:t xml:space="preserve"> </w:t>
            </w:r>
            <w:r>
              <w:rPr>
                <w:sz w:val="22"/>
                <w:szCs w:val="22"/>
              </w:rPr>
              <w:t>д</w:t>
            </w:r>
            <w:r w:rsidRPr="00B07892">
              <w:rPr>
                <w:sz w:val="22"/>
                <w:szCs w:val="22"/>
              </w:rPr>
              <w:t xml:space="preserve">ържавите членки насочват подпомагането към </w:t>
            </w:r>
            <w:proofErr w:type="spellStart"/>
            <w:r w:rsidRPr="00B07892">
              <w:rPr>
                <w:sz w:val="22"/>
                <w:szCs w:val="22"/>
              </w:rPr>
              <w:t>бенефициерите</w:t>
            </w:r>
            <w:proofErr w:type="spellEnd"/>
            <w:r w:rsidRPr="00B07892">
              <w:rPr>
                <w:sz w:val="22"/>
                <w:szCs w:val="22"/>
              </w:rPr>
              <w:t>, които са най-засегнати от последиците от руското нашествие в Украйна, като определят въз основа на наличните доказателства условия за допустимост и, когато се счита за целесъобразно от съответната държава членка, обективни и недискриминационни критерии за подбор.</w:t>
            </w:r>
          </w:p>
          <w:p w:rsidR="000A5190" w:rsidRPr="008071C3" w:rsidRDefault="000A5190" w:rsidP="000A5190">
            <w:pPr>
              <w:spacing w:before="60" w:after="40"/>
              <w:jc w:val="both"/>
              <w:rPr>
                <w:sz w:val="22"/>
                <w:szCs w:val="22"/>
              </w:rPr>
            </w:pPr>
            <w:r w:rsidRPr="008071C3">
              <w:rPr>
                <w:sz w:val="22"/>
                <w:szCs w:val="22"/>
              </w:rPr>
              <w:lastRenderedPageBreak/>
              <w:t xml:space="preserve">Размерът на финансовата помощ </w:t>
            </w:r>
            <w:r>
              <w:rPr>
                <w:sz w:val="22"/>
                <w:szCs w:val="22"/>
              </w:rPr>
              <w:t xml:space="preserve">за кандидати, </w:t>
            </w:r>
            <w:r w:rsidRPr="00F97680">
              <w:rPr>
                <w:sz w:val="22"/>
                <w:szCs w:val="22"/>
              </w:rPr>
              <w:t xml:space="preserve">преработващи селскостопански продукти, </w:t>
            </w:r>
            <w:r w:rsidRPr="008071C3">
              <w:rPr>
                <w:sz w:val="22"/>
                <w:szCs w:val="22"/>
              </w:rPr>
              <w:t xml:space="preserve">се определя въз основа на отрицателната разлика между приходите от оперативна дейност и разходите за оперативна дейност. В тази връзка е разработена методиката за определяне на максималната финансова помощ на база официални данни от Националния статистически институт. </w:t>
            </w:r>
          </w:p>
          <w:p w:rsidR="000A5190" w:rsidRPr="008071C3" w:rsidRDefault="000A5190" w:rsidP="000A5190">
            <w:pPr>
              <w:spacing w:before="60" w:after="40"/>
              <w:jc w:val="both"/>
              <w:rPr>
                <w:sz w:val="22"/>
                <w:szCs w:val="22"/>
              </w:rPr>
            </w:pPr>
            <w:r w:rsidRPr="008071C3">
              <w:rPr>
                <w:sz w:val="22"/>
                <w:szCs w:val="22"/>
              </w:rPr>
              <w:t>Съгласно член 39в, параграф 1 от Регламент (ЕС) № 1305/2013, чрез мярката се осигурява спешна помощ на земеделските стопани и МСП, които са особено засегнати от последиците от руското нашествие в Украйна, като целта е да се осигури непрекъснатост на стопанската им дейност. Предприятия с положителен, макар и намаляващ (за 2022 г. спрямо 2021 г.), финансов резултат не биха отговорили на условията на Регламента.</w:t>
            </w:r>
          </w:p>
        </w:tc>
      </w:tr>
      <w:tr w:rsidR="000A5190" w:rsidRPr="0091438D" w:rsidTr="00AC57F8">
        <w:trPr>
          <w:jc w:val="center"/>
        </w:trPr>
        <w:tc>
          <w:tcPr>
            <w:tcW w:w="620" w:type="dxa"/>
            <w:tcBorders>
              <w:top w:val="single" w:sz="18" w:space="0" w:color="2E74B5"/>
              <w:left w:val="single" w:sz="24" w:space="0" w:color="2E74B5"/>
              <w:bottom w:val="nil"/>
              <w:right w:val="single" w:sz="18" w:space="0" w:color="2E74B5"/>
            </w:tcBorders>
            <w:shd w:val="clear" w:color="auto" w:fill="auto"/>
          </w:tcPr>
          <w:p w:rsidR="000A5190" w:rsidRPr="00E51A86" w:rsidRDefault="000A5190" w:rsidP="00E03ECE">
            <w:pPr>
              <w:pStyle w:val="ListParagraph"/>
              <w:numPr>
                <w:ilvl w:val="0"/>
                <w:numId w:val="26"/>
              </w:numPr>
              <w:tabs>
                <w:tab w:val="left" w:pos="192"/>
              </w:tabs>
              <w:spacing w:before="60" w:after="40"/>
              <w:jc w:val="center"/>
              <w:rPr>
                <w:b/>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0A5190" w:rsidRPr="000D2596" w:rsidRDefault="00F62439" w:rsidP="00E51A86">
            <w:pPr>
              <w:spacing w:before="60" w:after="40"/>
              <w:rPr>
                <w:rStyle w:val="Hyperlink"/>
                <w:b/>
                <w:bCs/>
                <w:color w:val="FF0000"/>
                <w:sz w:val="22"/>
                <w:szCs w:val="22"/>
                <w:u w:val="none"/>
              </w:rPr>
            </w:pPr>
            <w:hyperlink r:id="rId8" w:history="1">
              <w:r w:rsidR="000A5190" w:rsidRPr="00111DEB">
                <w:rPr>
                  <w:rStyle w:val="Hyperlink"/>
                  <w:b/>
                  <w:bCs/>
                  <w:sz w:val="22"/>
                  <w:szCs w:val="22"/>
                </w:rPr>
                <w:t>tarpanova@mail.bg</w:t>
              </w:r>
            </w:hyperlink>
            <w:r w:rsidR="000A5190">
              <w:rPr>
                <w:rStyle w:val="Hyperlink"/>
                <w:b/>
                <w:bCs/>
                <w:color w:val="FF0000"/>
                <w:sz w:val="22"/>
                <w:szCs w:val="22"/>
                <w:u w:val="none"/>
              </w:rPr>
              <w:t xml:space="preserve"> </w:t>
            </w:r>
            <w:r w:rsidR="000A5190" w:rsidRPr="0004095C">
              <w:rPr>
                <w:rStyle w:val="Hyperlink"/>
                <w:b/>
                <w:bCs/>
                <w:color w:val="auto"/>
                <w:sz w:val="22"/>
                <w:szCs w:val="22"/>
                <w:u w:val="none"/>
              </w:rPr>
              <w:t>–</w:t>
            </w:r>
            <w:r w:rsidR="000A5190">
              <w:rPr>
                <w:rStyle w:val="Hyperlink"/>
                <w:b/>
                <w:bCs/>
                <w:color w:val="FF0000"/>
                <w:sz w:val="22"/>
                <w:szCs w:val="22"/>
                <w:u w:val="none"/>
              </w:rPr>
              <w:t xml:space="preserve"> </w:t>
            </w:r>
            <w:r w:rsidR="00E51A86">
              <w:rPr>
                <w:rStyle w:val="Hyperlink"/>
                <w:b/>
                <w:bCs/>
                <w:color w:val="FF0000"/>
                <w:sz w:val="22"/>
                <w:szCs w:val="22"/>
                <w:u w:val="none"/>
              </w:rPr>
              <w:br/>
            </w:r>
            <w:r w:rsidR="000A5190" w:rsidRPr="0004095C">
              <w:rPr>
                <w:rStyle w:val="Hyperlink"/>
                <w:b/>
                <w:bCs/>
                <w:color w:val="auto"/>
                <w:sz w:val="22"/>
                <w:szCs w:val="22"/>
                <w:u w:val="none"/>
              </w:rPr>
              <w:t xml:space="preserve">становище от </w:t>
            </w:r>
            <w:r w:rsidR="00E51A86">
              <w:rPr>
                <w:rStyle w:val="Hyperlink"/>
                <w:b/>
                <w:bCs/>
                <w:color w:val="auto"/>
                <w:sz w:val="22"/>
                <w:szCs w:val="22"/>
                <w:u w:val="none"/>
              </w:rPr>
              <w:br/>
            </w:r>
            <w:r w:rsidR="000A5190" w:rsidRPr="0004095C">
              <w:rPr>
                <w:rStyle w:val="Hyperlink"/>
                <w:b/>
                <w:bCs/>
                <w:color w:val="auto"/>
                <w:sz w:val="22"/>
                <w:szCs w:val="22"/>
                <w:u w:val="none"/>
              </w:rPr>
              <w:t>Асоциация на овощарите в България</w:t>
            </w:r>
            <w:r w:rsidR="000A5190">
              <w:rPr>
                <w:rStyle w:val="Hyperlink"/>
                <w:b/>
                <w:bCs/>
                <w:color w:val="auto"/>
                <w:sz w:val="22"/>
                <w:szCs w:val="22"/>
                <w:u w:val="none"/>
              </w:rPr>
              <w:t>,</w:t>
            </w:r>
            <w:r w:rsidR="000A5190" w:rsidRPr="0004095C">
              <w:rPr>
                <w:rStyle w:val="Hyperlink"/>
                <w:b/>
                <w:bCs/>
                <w:color w:val="auto"/>
                <w:sz w:val="22"/>
                <w:szCs w:val="22"/>
                <w:u w:val="none"/>
              </w:rPr>
              <w:t xml:space="preserve"> </w:t>
            </w:r>
            <w:r w:rsidR="00E51A86">
              <w:rPr>
                <w:rStyle w:val="Hyperlink"/>
                <w:b/>
                <w:bCs/>
                <w:color w:val="auto"/>
                <w:sz w:val="22"/>
                <w:szCs w:val="22"/>
                <w:u w:val="none"/>
              </w:rPr>
              <w:br/>
            </w:r>
            <w:r w:rsidR="000A5190" w:rsidRPr="0004095C">
              <w:rPr>
                <w:rStyle w:val="Hyperlink"/>
                <w:b/>
                <w:bCs/>
                <w:color w:val="auto"/>
                <w:sz w:val="22"/>
                <w:szCs w:val="22"/>
                <w:u w:val="none"/>
              </w:rPr>
              <w:t>Съюз на Дунавските овощари</w:t>
            </w:r>
            <w:r w:rsidR="000A5190">
              <w:rPr>
                <w:rStyle w:val="Hyperlink"/>
                <w:b/>
                <w:bCs/>
                <w:color w:val="auto"/>
                <w:sz w:val="22"/>
                <w:szCs w:val="22"/>
                <w:u w:val="none"/>
              </w:rPr>
              <w:t>,</w:t>
            </w:r>
            <w:r w:rsidR="000A5190" w:rsidRPr="0004095C">
              <w:rPr>
                <w:rStyle w:val="Hyperlink"/>
                <w:b/>
                <w:bCs/>
                <w:color w:val="auto"/>
                <w:sz w:val="22"/>
                <w:szCs w:val="22"/>
                <w:u w:val="none"/>
              </w:rPr>
              <w:t xml:space="preserve"> </w:t>
            </w:r>
            <w:r w:rsidR="00E51A86">
              <w:rPr>
                <w:rStyle w:val="Hyperlink"/>
                <w:b/>
                <w:bCs/>
                <w:color w:val="auto"/>
                <w:sz w:val="22"/>
                <w:szCs w:val="22"/>
                <w:u w:val="none"/>
              </w:rPr>
              <w:br/>
            </w:r>
            <w:r w:rsidR="000A5190" w:rsidRPr="00C92B57">
              <w:rPr>
                <w:rStyle w:val="Hyperlink"/>
                <w:b/>
                <w:bCs/>
                <w:color w:val="auto"/>
                <w:sz w:val="22"/>
                <w:szCs w:val="22"/>
                <w:u w:val="none"/>
              </w:rPr>
              <w:t xml:space="preserve">Добруджански овощарски съюз – </w:t>
            </w:r>
            <w:r w:rsidR="00E51A86">
              <w:rPr>
                <w:rStyle w:val="Hyperlink"/>
                <w:b/>
                <w:bCs/>
                <w:color w:val="auto"/>
                <w:sz w:val="22"/>
                <w:szCs w:val="22"/>
                <w:u w:val="none"/>
              </w:rPr>
              <w:br/>
            </w:r>
            <w:r w:rsidR="000A5190">
              <w:rPr>
                <w:b/>
                <w:bCs/>
                <w:sz w:val="22"/>
                <w:szCs w:val="22"/>
              </w:rPr>
              <w:t xml:space="preserve">с вх. № 62-82 от 27.02.2023 г. в </w:t>
            </w:r>
            <w:proofErr w:type="spellStart"/>
            <w:r w:rsidR="000A5190">
              <w:rPr>
                <w:b/>
                <w:bCs/>
                <w:sz w:val="22"/>
                <w:szCs w:val="22"/>
              </w:rPr>
              <w:t>МЗм</w:t>
            </w:r>
            <w:proofErr w:type="spellEnd"/>
          </w:p>
        </w:tc>
        <w:tc>
          <w:tcPr>
            <w:tcW w:w="6639" w:type="dxa"/>
            <w:tcBorders>
              <w:top w:val="single" w:sz="18" w:space="0" w:color="2E74B5"/>
              <w:left w:val="single" w:sz="18" w:space="0" w:color="2E74B5"/>
              <w:bottom w:val="nil"/>
              <w:right w:val="single" w:sz="18" w:space="0" w:color="2E74B5"/>
            </w:tcBorders>
            <w:shd w:val="clear" w:color="auto" w:fill="auto"/>
          </w:tcPr>
          <w:p w:rsidR="000A5190" w:rsidRPr="0004095C" w:rsidRDefault="000A5190" w:rsidP="000A5190">
            <w:pPr>
              <w:pStyle w:val="Default"/>
              <w:spacing w:before="60" w:after="40"/>
              <w:jc w:val="both"/>
              <w:rPr>
                <w:bCs/>
                <w:sz w:val="22"/>
                <w:szCs w:val="22"/>
              </w:rPr>
            </w:pPr>
            <w:r w:rsidRPr="0004095C">
              <w:rPr>
                <w:bCs/>
                <w:sz w:val="22"/>
                <w:szCs w:val="22"/>
              </w:rPr>
              <w:t xml:space="preserve">Подкрепа по </w:t>
            </w:r>
            <w:proofErr w:type="spellStart"/>
            <w:r w:rsidRPr="0004095C">
              <w:rPr>
                <w:bCs/>
                <w:sz w:val="22"/>
                <w:szCs w:val="22"/>
              </w:rPr>
              <w:t>подмярка</w:t>
            </w:r>
            <w:proofErr w:type="spellEnd"/>
            <w:r w:rsidRPr="0004095C">
              <w:rPr>
                <w:bCs/>
                <w:sz w:val="22"/>
                <w:szCs w:val="22"/>
              </w:rPr>
              <w:t xml:space="preserve"> 22.2. „Извънредно временно подпомагане за МСП, които са особено засегнати от последиците от руското нашествие в Украйна“ се предоставя  под формата на еднократна помощ и има за цел да допринесе за подсигуряване на продоволствената сигурност, за преодоляване на пазарните дисбаланси и непрекъснатост на стопанската дейност на малките и средни предприятия, осъществяващи преработка, предлагане на пазара или развитие на селскостопански продукти. “</w:t>
            </w:r>
          </w:p>
          <w:p w:rsidR="000A5190" w:rsidRPr="0004095C" w:rsidRDefault="000A5190" w:rsidP="000A5190">
            <w:pPr>
              <w:pStyle w:val="Default"/>
              <w:spacing w:before="60" w:after="40"/>
              <w:jc w:val="both"/>
              <w:rPr>
                <w:bCs/>
                <w:sz w:val="22"/>
                <w:szCs w:val="22"/>
              </w:rPr>
            </w:pPr>
            <w:r w:rsidRPr="0004095C">
              <w:rPr>
                <w:bCs/>
                <w:sz w:val="22"/>
                <w:szCs w:val="22"/>
              </w:rPr>
              <w:t>„Финансовата помощ по под мярката се определя въз основа на отрицателната разлика между приходите от оперативна дейност за 2022 г. и разходите за оперативна дейност за 2022 г. в отчетите за приходите и разходите.“</w:t>
            </w:r>
          </w:p>
          <w:p w:rsidR="000A5190" w:rsidRPr="0004095C" w:rsidRDefault="000A5190" w:rsidP="000A5190">
            <w:pPr>
              <w:pStyle w:val="Default"/>
              <w:spacing w:before="60" w:after="40"/>
              <w:jc w:val="both"/>
              <w:rPr>
                <w:bCs/>
                <w:sz w:val="22"/>
                <w:szCs w:val="22"/>
              </w:rPr>
            </w:pPr>
            <w:r w:rsidRPr="0004095C">
              <w:rPr>
                <w:bCs/>
                <w:sz w:val="22"/>
                <w:szCs w:val="22"/>
              </w:rPr>
              <w:t xml:space="preserve">За да могат да получат планираната помощ, в чл. 4, ал.2., т.4 се поставя условие към Групи и Организации на производители разходите </w:t>
            </w:r>
            <w:r w:rsidRPr="0004095C">
              <w:rPr>
                <w:bCs/>
                <w:sz w:val="22"/>
                <w:szCs w:val="22"/>
              </w:rPr>
              <w:lastRenderedPageBreak/>
              <w:t>за оперативна дейност да превишават приходите от същата за 2022 г. не разбираме с каква цел се поставя това условие към ГОП и го намираме за крайно необосновано. Имайки предвид същността на самото подпомагане, а именно преодоляване на негативните последствия от войната в Украйна, е необосновано ГОП с дейност в една и съща област да бъдат третирани различно, според това кое е реализирало загуба. Предлагаме, ако е необходимо някакво съпоставяне между приходи и разходи, то да се вземат предвид разходите от оперативна дейност и нетните приходи от продажби.</w:t>
            </w:r>
          </w:p>
          <w:p w:rsidR="000A5190" w:rsidRPr="0004095C" w:rsidRDefault="000A5190" w:rsidP="000A5190">
            <w:pPr>
              <w:pStyle w:val="Default"/>
              <w:spacing w:before="60" w:after="40"/>
              <w:jc w:val="both"/>
              <w:rPr>
                <w:bCs/>
                <w:sz w:val="22"/>
                <w:szCs w:val="22"/>
              </w:rPr>
            </w:pPr>
            <w:r w:rsidRPr="0004095C">
              <w:rPr>
                <w:bCs/>
                <w:sz w:val="22"/>
                <w:szCs w:val="22"/>
              </w:rPr>
              <w:t>Определената горна граница за еднократно плащане за ГОП от 17.000 лв. е обидно ниска. На какво основание е определена тази сума и какви точно последствия от войната ще покрие тя – високите разходи за електричество и опаковки, ниските цени на плодовете и зеленчуците , увеличените разходи за труд и заплати, свитият пазар ли? Знаете ли, че заради свитият пазар и постоянният евтин внос от Турция, Гърция, Македония, Полша, а от няколко месеца и от Молдова, разходите за съхранение на  плодовете и зеленчуците се е увеличил многократно!</w:t>
            </w:r>
          </w:p>
          <w:p w:rsidR="000A5190" w:rsidRPr="0004095C" w:rsidRDefault="000A5190" w:rsidP="000A5190">
            <w:pPr>
              <w:pStyle w:val="Default"/>
              <w:spacing w:before="60" w:after="40"/>
              <w:jc w:val="both"/>
              <w:rPr>
                <w:bCs/>
                <w:sz w:val="22"/>
                <w:szCs w:val="22"/>
              </w:rPr>
            </w:pPr>
            <w:r w:rsidRPr="0004095C">
              <w:rPr>
                <w:bCs/>
                <w:sz w:val="22"/>
                <w:szCs w:val="22"/>
              </w:rPr>
              <w:t xml:space="preserve"> В сектор плодове и зеленчуци имаме много производители които, освен производство на плодове имат и малки цехове за преработка. В голяма част от тези предприятия, приходите от оперативна дейност и разходите за оперативна дейност,  в отчетите за приходите и разходите се водят общо за дейността производство и преработка на плодове . Коя разлика ще се иска за доказване само от дейностите по преработка или от цялата дейност по производство и преработка на плодове .</w:t>
            </w:r>
          </w:p>
          <w:p w:rsidR="000A5190" w:rsidRPr="0004095C" w:rsidRDefault="000A5190" w:rsidP="000A5190">
            <w:pPr>
              <w:pStyle w:val="Default"/>
              <w:spacing w:before="60" w:after="40"/>
              <w:jc w:val="both"/>
              <w:rPr>
                <w:bCs/>
                <w:sz w:val="22"/>
                <w:szCs w:val="22"/>
              </w:rPr>
            </w:pPr>
            <w:r>
              <w:rPr>
                <w:bCs/>
                <w:sz w:val="22"/>
                <w:szCs w:val="22"/>
              </w:rPr>
              <w:t>„</w:t>
            </w:r>
            <w:r w:rsidRPr="0004095C">
              <w:rPr>
                <w:bCs/>
                <w:sz w:val="22"/>
                <w:szCs w:val="22"/>
              </w:rPr>
              <w:t>При определяне на максималния размер на подпомагането се отчита и подпомагането на кандидата, предоставено по други инструменти за подпомагане на национално равнище или на равнището на Съюза, или по частни схеми в отговор на последиците от руското нашествие в Украйна.“ Максималният допустим размер на финансовата помощ за кандидати преработвателни предприятия е 100 000 лева, като на производителите които са преработватели ще се нат</w:t>
            </w:r>
            <w:r w:rsidRPr="0004095C">
              <w:rPr>
                <w:bCs/>
                <w:sz w:val="22"/>
                <w:szCs w:val="22"/>
              </w:rPr>
              <w:lastRenderedPageBreak/>
              <w:t xml:space="preserve">рупва стойността на получената „Помощ в подкрепа на ликвидността на земеделски стопани за преодоляване на негативното икономическо въздействие на руската агресия срещу Украйна“ за 2022 г. получена за отглежданите от тях трайни насаждения. Не става ясно натрупването с каква максимално допустима помощ ще е до 250 х. евро както е по правилата на получената вече Държавна  помощ,  до 100 х. евро както е по регламента на ПРСР или до 100 х. лева определен като максимална помощ по предложената </w:t>
            </w:r>
            <w:proofErr w:type="spellStart"/>
            <w:r w:rsidRPr="0004095C">
              <w:rPr>
                <w:bCs/>
                <w:sz w:val="22"/>
                <w:szCs w:val="22"/>
              </w:rPr>
              <w:t>Подмярка</w:t>
            </w:r>
            <w:proofErr w:type="spellEnd"/>
            <w:r w:rsidRPr="0004095C">
              <w:rPr>
                <w:bCs/>
                <w:sz w:val="22"/>
                <w:szCs w:val="22"/>
              </w:rPr>
              <w:t xml:space="preserve"> 22.2.</w:t>
            </w:r>
          </w:p>
          <w:p w:rsidR="000A5190" w:rsidRPr="0091438D" w:rsidRDefault="000A5190" w:rsidP="000A5190">
            <w:pPr>
              <w:pStyle w:val="Default"/>
              <w:spacing w:before="60" w:after="40"/>
              <w:jc w:val="both"/>
              <w:rPr>
                <w:bCs/>
                <w:sz w:val="22"/>
                <w:szCs w:val="22"/>
              </w:rPr>
            </w:pPr>
            <w:r w:rsidRPr="0004095C">
              <w:rPr>
                <w:bCs/>
                <w:sz w:val="22"/>
                <w:szCs w:val="22"/>
              </w:rPr>
              <w:t>Как е  определен максималния размер за подпомагане на ГОП при положение че сумата от 17 000 евро е по-малка даже от максималния допустим размер на подпомагане на всеки един от нейните членове, и загубите които търпят малкото работещи организации на производители, не могат да бъдат компенсирани по други държавни помощи. Ако визията на МЗХ за коопериране и обединяване на производители се изразява в този размер на подпомагане, смятаме, че не само няма да се сдружават но и даже ще прекратяват опитите на сдружаване. Организациите които продават общо продукцията си търпят изключителни загуби от транспорта и логистиката на малки количества плодове и зеленчуци. Поради свитото потребление имаме увеличаване на върнатите или отказани от търговските вериги плодове и зеленчуци които вече са транспортирани и се налага връщане от големи разстояния. Цените на опаковките и разходите за съхранение също са с много голям ръст и това е основание на много от групите да се откажат да правят разходи и да работят с търговските вериги. Настояваме подпомагането за ГОП да е с максимален размер не по малък от 100 000 лева. за да се компенсират загубите и да не прекратяват дейността на организациите.</w:t>
            </w:r>
          </w:p>
        </w:tc>
        <w:tc>
          <w:tcPr>
            <w:tcW w:w="1608" w:type="dxa"/>
            <w:tcBorders>
              <w:top w:val="single" w:sz="18" w:space="0" w:color="2E74B5"/>
              <w:left w:val="single" w:sz="18" w:space="0" w:color="2E74B5"/>
              <w:bottom w:val="nil"/>
              <w:right w:val="single" w:sz="18" w:space="0" w:color="2E74B5"/>
            </w:tcBorders>
            <w:shd w:val="clear" w:color="auto" w:fill="auto"/>
          </w:tcPr>
          <w:p w:rsidR="000A5190" w:rsidRPr="00C92B57" w:rsidRDefault="000A5190" w:rsidP="000A5190">
            <w:pPr>
              <w:spacing w:before="60" w:after="40"/>
              <w:rPr>
                <w:color w:val="FF0000"/>
                <w:sz w:val="22"/>
                <w:szCs w:val="22"/>
              </w:rPr>
            </w:pPr>
            <w:r w:rsidRPr="00C92B57">
              <w:rPr>
                <w:sz w:val="22"/>
                <w:szCs w:val="22"/>
              </w:rPr>
              <w:lastRenderedPageBreak/>
              <w:t>Приема се</w:t>
            </w:r>
          </w:p>
        </w:tc>
        <w:tc>
          <w:tcPr>
            <w:tcW w:w="4522" w:type="dxa"/>
            <w:tcBorders>
              <w:top w:val="single" w:sz="18" w:space="0" w:color="2E74B5"/>
              <w:left w:val="single" w:sz="18" w:space="0" w:color="2E74B5"/>
              <w:bottom w:val="nil"/>
              <w:right w:val="single" w:sz="24" w:space="0" w:color="2E74B5"/>
            </w:tcBorders>
            <w:shd w:val="clear" w:color="auto" w:fill="auto"/>
          </w:tcPr>
          <w:p w:rsidR="000A5190" w:rsidRPr="0091438D" w:rsidRDefault="000A5190" w:rsidP="000A5190">
            <w:pPr>
              <w:spacing w:before="60" w:after="40"/>
              <w:rPr>
                <w:color w:val="FF0000"/>
                <w:sz w:val="22"/>
                <w:szCs w:val="22"/>
              </w:rPr>
            </w:pPr>
          </w:p>
        </w:tc>
      </w:tr>
      <w:tr w:rsidR="000A5190" w:rsidRPr="0091438D" w:rsidTr="00306B58">
        <w:trPr>
          <w:jc w:val="center"/>
        </w:trPr>
        <w:tc>
          <w:tcPr>
            <w:tcW w:w="620" w:type="dxa"/>
            <w:tcBorders>
              <w:top w:val="single" w:sz="18" w:space="0" w:color="2E74B5"/>
              <w:left w:val="single" w:sz="24" w:space="0" w:color="2E74B5"/>
              <w:bottom w:val="single" w:sz="18" w:space="0" w:color="2E74B5"/>
              <w:right w:val="single" w:sz="18" w:space="0" w:color="2E74B5"/>
            </w:tcBorders>
            <w:shd w:val="clear" w:color="auto" w:fill="auto"/>
          </w:tcPr>
          <w:p w:rsidR="000A5190" w:rsidRPr="00E51A86" w:rsidRDefault="000A5190" w:rsidP="00E03ECE">
            <w:pPr>
              <w:pStyle w:val="ListParagraph"/>
              <w:numPr>
                <w:ilvl w:val="0"/>
                <w:numId w:val="26"/>
              </w:numPr>
              <w:tabs>
                <w:tab w:val="left" w:pos="192"/>
              </w:tabs>
              <w:spacing w:before="60" w:after="40"/>
              <w:jc w:val="center"/>
              <w:rPr>
                <w:b/>
                <w:color w:val="FF0000"/>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rsidR="000A5190" w:rsidRPr="000D2596" w:rsidRDefault="000A5190" w:rsidP="000A5190">
            <w:pPr>
              <w:spacing w:before="60" w:after="40"/>
              <w:rPr>
                <w:rStyle w:val="Hyperlink"/>
                <w:b/>
                <w:bCs/>
                <w:color w:val="FF0000"/>
                <w:sz w:val="22"/>
                <w:szCs w:val="22"/>
                <w:u w:val="none"/>
              </w:rPr>
            </w:pPr>
            <w:r w:rsidRPr="00306B58">
              <w:rPr>
                <w:rStyle w:val="Hyperlink"/>
                <w:b/>
                <w:bCs/>
                <w:color w:val="auto"/>
                <w:sz w:val="22"/>
                <w:szCs w:val="22"/>
                <w:u w:val="none"/>
              </w:rPr>
              <w:t xml:space="preserve">Държавен фонд </w:t>
            </w:r>
            <w:r w:rsidR="00E51A86">
              <w:rPr>
                <w:rStyle w:val="Hyperlink"/>
                <w:b/>
                <w:bCs/>
                <w:color w:val="auto"/>
                <w:sz w:val="22"/>
                <w:szCs w:val="22"/>
                <w:u w:val="none"/>
              </w:rPr>
              <w:br/>
            </w:r>
            <w:r w:rsidRPr="00306B58">
              <w:rPr>
                <w:rStyle w:val="Hyperlink"/>
                <w:b/>
                <w:bCs/>
                <w:color w:val="auto"/>
                <w:sz w:val="22"/>
                <w:szCs w:val="22"/>
                <w:u w:val="none"/>
              </w:rPr>
              <w:t xml:space="preserve">„Земеделие“ </w:t>
            </w:r>
            <w:r w:rsidR="00E51A86">
              <w:rPr>
                <w:rStyle w:val="Hyperlink"/>
                <w:b/>
                <w:bCs/>
                <w:color w:val="auto"/>
                <w:sz w:val="22"/>
                <w:szCs w:val="22"/>
                <w:u w:val="none"/>
              </w:rPr>
              <w:t>–</w:t>
            </w:r>
            <w:r w:rsidRPr="00306B58">
              <w:rPr>
                <w:rStyle w:val="Hyperlink"/>
                <w:b/>
                <w:bCs/>
                <w:color w:val="auto"/>
                <w:sz w:val="22"/>
                <w:szCs w:val="22"/>
                <w:u w:val="none"/>
              </w:rPr>
              <w:t xml:space="preserve"> </w:t>
            </w:r>
            <w:r w:rsidR="00E51A86">
              <w:rPr>
                <w:rStyle w:val="Hyperlink"/>
                <w:b/>
                <w:bCs/>
                <w:color w:val="auto"/>
                <w:sz w:val="22"/>
                <w:szCs w:val="22"/>
                <w:u w:val="none"/>
              </w:rPr>
              <w:br/>
            </w:r>
            <w:r w:rsidRPr="00306B58">
              <w:rPr>
                <w:rStyle w:val="Hyperlink"/>
                <w:b/>
                <w:bCs/>
                <w:color w:val="auto"/>
                <w:sz w:val="22"/>
                <w:szCs w:val="22"/>
                <w:u w:val="none"/>
              </w:rPr>
              <w:t xml:space="preserve">получено </w:t>
            </w:r>
            <w:r w:rsidRPr="00DF462A">
              <w:rPr>
                <w:rStyle w:val="Hyperlink"/>
                <w:b/>
                <w:bCs/>
                <w:color w:val="auto"/>
                <w:sz w:val="22"/>
                <w:szCs w:val="22"/>
                <w:u w:val="none"/>
              </w:rPr>
              <w:t xml:space="preserve">по </w:t>
            </w:r>
            <w:r w:rsidR="00E51A86">
              <w:rPr>
                <w:rStyle w:val="Hyperlink"/>
                <w:b/>
                <w:bCs/>
                <w:color w:val="auto"/>
                <w:sz w:val="22"/>
                <w:szCs w:val="22"/>
                <w:u w:val="none"/>
              </w:rPr>
              <w:br/>
            </w:r>
            <w:r w:rsidRPr="00DF462A">
              <w:rPr>
                <w:rStyle w:val="Hyperlink"/>
                <w:b/>
                <w:bCs/>
                <w:color w:val="auto"/>
                <w:sz w:val="22"/>
                <w:szCs w:val="22"/>
                <w:u w:val="none"/>
              </w:rPr>
              <w:t>електронна поща на 27.02.2023 г.</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0A5190" w:rsidRPr="00306B58" w:rsidRDefault="000A5190" w:rsidP="000A5190">
            <w:pPr>
              <w:pStyle w:val="BodyText"/>
              <w:spacing w:before="60" w:after="40"/>
              <w:jc w:val="both"/>
              <w:rPr>
                <w:sz w:val="22"/>
                <w:szCs w:val="22"/>
              </w:rPr>
            </w:pPr>
            <w:r w:rsidRPr="00306B58">
              <w:rPr>
                <w:sz w:val="22"/>
                <w:szCs w:val="22"/>
              </w:rPr>
              <w:t xml:space="preserve">Във връзка с чл. 26 от Закона за нормативните актове на интернет страницата на Министерството на земеделието са публикувани за провеждане на обществени консултации, проект на наредба за прилагане на </w:t>
            </w:r>
            <w:proofErr w:type="spellStart"/>
            <w:r w:rsidRPr="00306B58">
              <w:rPr>
                <w:sz w:val="22"/>
                <w:szCs w:val="22"/>
              </w:rPr>
              <w:t>подмярка</w:t>
            </w:r>
            <w:proofErr w:type="spellEnd"/>
            <w:r w:rsidRPr="00306B58">
              <w:rPr>
                <w:sz w:val="22"/>
                <w:szCs w:val="22"/>
              </w:rPr>
              <w:t xml:space="preserve"> 22.2 „Извънредно временно подпомагане за малки и средни предприятия, засегнати от последиците от руското </w:t>
            </w:r>
            <w:r w:rsidRPr="00306B58">
              <w:rPr>
                <w:sz w:val="22"/>
                <w:szCs w:val="22"/>
              </w:rPr>
              <w:lastRenderedPageBreak/>
              <w:t xml:space="preserve">нашествие в Украйна“ от Програмата за развитие на селските райони за периода 2014 – 2020 г. </w:t>
            </w:r>
          </w:p>
          <w:p w:rsidR="000A5190" w:rsidRPr="00306B58" w:rsidRDefault="000A5190" w:rsidP="000A5190">
            <w:pPr>
              <w:pStyle w:val="BodyText"/>
              <w:spacing w:before="60" w:after="40"/>
              <w:jc w:val="both"/>
              <w:rPr>
                <w:sz w:val="22"/>
                <w:szCs w:val="22"/>
              </w:rPr>
            </w:pPr>
            <w:r w:rsidRPr="00306B58">
              <w:rPr>
                <w:sz w:val="22"/>
                <w:szCs w:val="22"/>
              </w:rPr>
              <w:t xml:space="preserve">ДФ ”Земеделие” счита, че е необходимо добавяне на текст, който изрично посочва териториалния обхват на прилагане по </w:t>
            </w:r>
            <w:proofErr w:type="spellStart"/>
            <w:r w:rsidRPr="00306B58">
              <w:rPr>
                <w:sz w:val="22"/>
                <w:szCs w:val="22"/>
              </w:rPr>
              <w:t>подмярката</w:t>
            </w:r>
            <w:proofErr w:type="spellEnd"/>
            <w:r w:rsidRPr="00306B58">
              <w:rPr>
                <w:sz w:val="22"/>
                <w:szCs w:val="22"/>
              </w:rPr>
              <w:t xml:space="preserve">. </w:t>
            </w:r>
          </w:p>
          <w:p w:rsidR="000A5190" w:rsidRPr="0091438D" w:rsidRDefault="000A5190" w:rsidP="000A5190">
            <w:pPr>
              <w:pStyle w:val="BodyText"/>
              <w:spacing w:before="60" w:after="40"/>
              <w:jc w:val="both"/>
              <w:rPr>
                <w:sz w:val="22"/>
                <w:szCs w:val="22"/>
              </w:rPr>
            </w:pPr>
            <w:r w:rsidRPr="00306B58">
              <w:rPr>
                <w:sz w:val="22"/>
                <w:szCs w:val="22"/>
              </w:rPr>
              <w:t>В тази връзка ДФ ”Земеделие” предлага към Чл. 4, ал.1, да се включи т.8 “Финансова помощ се предоставя на кандидати, които осъществяват дейността си на територията на Република България.”</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0A5190" w:rsidRPr="00C165D4" w:rsidRDefault="000A5190" w:rsidP="000A5190">
            <w:pPr>
              <w:spacing w:before="60" w:after="40"/>
              <w:rPr>
                <w:sz w:val="22"/>
                <w:szCs w:val="22"/>
              </w:rPr>
            </w:pPr>
            <w:r w:rsidRPr="00C165D4">
              <w:rPr>
                <w:sz w:val="22"/>
                <w:szCs w:val="22"/>
              </w:rPr>
              <w:lastRenderedPageBreak/>
              <w:t>Приема се</w:t>
            </w:r>
          </w:p>
        </w:tc>
        <w:tc>
          <w:tcPr>
            <w:tcW w:w="4522" w:type="dxa"/>
            <w:tcBorders>
              <w:top w:val="single" w:sz="18" w:space="0" w:color="2E74B5"/>
              <w:left w:val="single" w:sz="18" w:space="0" w:color="2E74B5"/>
              <w:bottom w:val="single" w:sz="18" w:space="0" w:color="2E74B5"/>
              <w:right w:val="single" w:sz="24" w:space="0" w:color="2E74B5"/>
            </w:tcBorders>
            <w:shd w:val="clear" w:color="auto" w:fill="auto"/>
          </w:tcPr>
          <w:p w:rsidR="000A5190" w:rsidRPr="0091438D" w:rsidRDefault="000A5190" w:rsidP="000A5190">
            <w:pPr>
              <w:spacing w:before="60" w:after="40"/>
              <w:rPr>
                <w:color w:val="FF0000"/>
                <w:sz w:val="22"/>
                <w:szCs w:val="22"/>
              </w:rPr>
            </w:pPr>
          </w:p>
        </w:tc>
      </w:tr>
    </w:tbl>
    <w:p w:rsidR="0091438D" w:rsidRDefault="0091438D" w:rsidP="0091438D">
      <w:pPr>
        <w:pStyle w:val="BodyText"/>
        <w:spacing w:after="0"/>
        <w:jc w:val="both"/>
      </w:pPr>
    </w:p>
    <w:p w:rsidR="00AC57F8" w:rsidRDefault="00AC57F8" w:rsidP="0091438D">
      <w:pPr>
        <w:pStyle w:val="BodyText"/>
        <w:spacing w:after="0"/>
        <w:jc w:val="both"/>
      </w:pPr>
    </w:p>
    <w:p w:rsidR="00677576" w:rsidRDefault="00677576" w:rsidP="0091438D">
      <w:pPr>
        <w:pStyle w:val="BodyText"/>
        <w:spacing w:after="0"/>
        <w:jc w:val="both"/>
      </w:pPr>
    </w:p>
    <w:p w:rsidR="00AC57F8" w:rsidRPr="0091438D" w:rsidRDefault="00AC57F8" w:rsidP="0091438D">
      <w:pPr>
        <w:pStyle w:val="BodyText"/>
        <w:spacing w:after="0"/>
        <w:jc w:val="both"/>
      </w:pPr>
      <w:bookmarkStart w:id="0" w:name="_GoBack"/>
      <w:bookmarkEnd w:id="0"/>
    </w:p>
    <w:sectPr w:rsidR="00AC57F8" w:rsidRPr="0091438D" w:rsidSect="005E3A50">
      <w:footerReference w:type="even" r:id="rId9"/>
      <w:footerReference w:type="default" r:id="rId10"/>
      <w:headerReference w:type="first" r:id="rId11"/>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439" w:rsidRDefault="00F62439">
      <w:r>
        <w:separator/>
      </w:r>
    </w:p>
  </w:endnote>
  <w:endnote w:type="continuationSeparator" w:id="0">
    <w:p w:rsidR="00F62439" w:rsidRDefault="00F6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99" w:rsidRDefault="00EF2C99"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2C99" w:rsidRDefault="00EF2C99"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EF2C99" w:rsidRPr="00AF12B7" w:rsidRDefault="00EF2C99"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5D3A3E">
          <w:rPr>
            <w:noProof/>
            <w:sz w:val="18"/>
            <w:szCs w:val="18"/>
          </w:rPr>
          <w:t>12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439" w:rsidRDefault="00F62439">
      <w:r>
        <w:separator/>
      </w:r>
    </w:p>
  </w:footnote>
  <w:footnote w:type="continuationSeparator" w:id="0">
    <w:p w:rsidR="00F62439" w:rsidRDefault="00F62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73" w:rsidRPr="00896E11" w:rsidRDefault="00AA5E73" w:rsidP="00AA5E73">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AA5E73" w:rsidRDefault="00AA5E73" w:rsidP="00AA5E73">
    <w:pPr>
      <w:pStyle w:val="Header"/>
      <w:jc w:val="right"/>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F242BD4"/>
    <w:multiLevelType w:val="multilevel"/>
    <w:tmpl w:val="5CF0E76C"/>
    <w:lvl w:ilvl="0">
      <w:start w:val="1"/>
      <w:numFmt w:val="decimal"/>
      <w:suff w:val="space"/>
      <w:lvlText w:val="%1."/>
      <w:lvlJc w:val="right"/>
      <w:pPr>
        <w:ind w:left="0" w:firstLine="34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0"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1" w15:restartNumberingAfterBreak="0">
    <w:nsid w:val="393E2C3A"/>
    <w:multiLevelType w:val="singleLevel"/>
    <w:tmpl w:val="CF882D90"/>
    <w:lvl w:ilvl="0">
      <w:start w:val="1"/>
      <w:numFmt w:val="russianLower"/>
      <w:lvlText w:val="%1)"/>
      <w:lvlJc w:val="left"/>
    </w:lvl>
  </w:abstractNum>
  <w:abstractNum w:abstractNumId="12" w15:restartNumberingAfterBreak="0">
    <w:nsid w:val="3BC37A8C"/>
    <w:multiLevelType w:val="singleLevel"/>
    <w:tmpl w:val="596280AA"/>
    <w:lvl w:ilvl="0">
      <w:start w:val="3"/>
      <w:numFmt w:val="russianLower"/>
      <w:lvlText w:val="%1)"/>
      <w:lvlJc w:val="left"/>
    </w:lvl>
  </w:abstractNum>
  <w:abstractNum w:abstractNumId="13"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6"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43A0C1B"/>
    <w:multiLevelType w:val="multilevel"/>
    <w:tmpl w:val="5CF0E76C"/>
    <w:lvl w:ilvl="0">
      <w:start w:val="1"/>
      <w:numFmt w:val="decimal"/>
      <w:suff w:val="space"/>
      <w:lvlText w:val="%1."/>
      <w:lvlJc w:val="right"/>
      <w:pPr>
        <w:ind w:left="0" w:firstLine="34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9"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1"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2"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5"/>
  </w:num>
  <w:num w:numId="3">
    <w:abstractNumId w:val="23"/>
  </w:num>
  <w:num w:numId="4">
    <w:abstractNumId w:val="25"/>
  </w:num>
  <w:num w:numId="5">
    <w:abstractNumId w:val="17"/>
  </w:num>
  <w:num w:numId="6">
    <w:abstractNumId w:val="8"/>
  </w:num>
  <w:num w:numId="7">
    <w:abstractNumId w:val="19"/>
  </w:num>
  <w:num w:numId="8">
    <w:abstractNumId w:val="24"/>
  </w:num>
  <w:num w:numId="9">
    <w:abstractNumId w:val="4"/>
  </w:num>
  <w:num w:numId="10">
    <w:abstractNumId w:val="11"/>
  </w:num>
  <w:num w:numId="11">
    <w:abstractNumId w:val="12"/>
  </w:num>
  <w:num w:numId="12">
    <w:abstractNumId w:val="7"/>
  </w:num>
  <w:num w:numId="13">
    <w:abstractNumId w:val="3"/>
  </w:num>
  <w:num w:numId="14">
    <w:abstractNumId w:val="13"/>
  </w:num>
  <w:num w:numId="15">
    <w:abstractNumId w:val="14"/>
  </w:num>
  <w:num w:numId="16">
    <w:abstractNumId w:val="22"/>
  </w:num>
  <w:num w:numId="17">
    <w:abstractNumId w:val="1"/>
  </w:num>
  <w:num w:numId="18">
    <w:abstractNumId w:val="9"/>
  </w:num>
  <w:num w:numId="19">
    <w:abstractNumId w:val="20"/>
  </w:num>
  <w:num w:numId="20">
    <w:abstractNumId w:val="15"/>
  </w:num>
  <w:num w:numId="21">
    <w:abstractNumId w:val="2"/>
  </w:num>
  <w:num w:numId="22">
    <w:abstractNumId w:val="21"/>
  </w:num>
  <w:num w:numId="23">
    <w:abstractNumId w:val="0"/>
  </w:num>
  <w:num w:numId="24">
    <w:abstractNumId w:val="10"/>
  </w:num>
  <w:num w:numId="25">
    <w:abstractNumId w:val="1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2A98"/>
    <w:rsid w:val="000042F6"/>
    <w:rsid w:val="0000470F"/>
    <w:rsid w:val="00004862"/>
    <w:rsid w:val="00005688"/>
    <w:rsid w:val="000101A6"/>
    <w:rsid w:val="00010282"/>
    <w:rsid w:val="000115D5"/>
    <w:rsid w:val="000123D6"/>
    <w:rsid w:val="00012CAB"/>
    <w:rsid w:val="00016086"/>
    <w:rsid w:val="000200AF"/>
    <w:rsid w:val="00022060"/>
    <w:rsid w:val="00024421"/>
    <w:rsid w:val="0002513E"/>
    <w:rsid w:val="000252C0"/>
    <w:rsid w:val="0002544E"/>
    <w:rsid w:val="000257AA"/>
    <w:rsid w:val="00025A23"/>
    <w:rsid w:val="00025DD3"/>
    <w:rsid w:val="000279C9"/>
    <w:rsid w:val="00033183"/>
    <w:rsid w:val="00033713"/>
    <w:rsid w:val="000357B4"/>
    <w:rsid w:val="0004095C"/>
    <w:rsid w:val="00040AE0"/>
    <w:rsid w:val="000414B6"/>
    <w:rsid w:val="00043D50"/>
    <w:rsid w:val="00044E65"/>
    <w:rsid w:val="0004610E"/>
    <w:rsid w:val="00046AB8"/>
    <w:rsid w:val="00046C3E"/>
    <w:rsid w:val="00051CC2"/>
    <w:rsid w:val="00052350"/>
    <w:rsid w:val="0005435E"/>
    <w:rsid w:val="0005470C"/>
    <w:rsid w:val="00055D5F"/>
    <w:rsid w:val="000572CA"/>
    <w:rsid w:val="0006038C"/>
    <w:rsid w:val="0006091E"/>
    <w:rsid w:val="00062907"/>
    <w:rsid w:val="00062A4B"/>
    <w:rsid w:val="00062ADE"/>
    <w:rsid w:val="00062F02"/>
    <w:rsid w:val="000632EC"/>
    <w:rsid w:val="00063709"/>
    <w:rsid w:val="00063E4B"/>
    <w:rsid w:val="000673CE"/>
    <w:rsid w:val="00067C92"/>
    <w:rsid w:val="00070496"/>
    <w:rsid w:val="000708B1"/>
    <w:rsid w:val="000718C7"/>
    <w:rsid w:val="00075594"/>
    <w:rsid w:val="000757FC"/>
    <w:rsid w:val="00076623"/>
    <w:rsid w:val="000769B1"/>
    <w:rsid w:val="0008079F"/>
    <w:rsid w:val="00081D6F"/>
    <w:rsid w:val="00082171"/>
    <w:rsid w:val="00084700"/>
    <w:rsid w:val="00086434"/>
    <w:rsid w:val="000902D1"/>
    <w:rsid w:val="00090401"/>
    <w:rsid w:val="000937D4"/>
    <w:rsid w:val="00094AB2"/>
    <w:rsid w:val="000953A8"/>
    <w:rsid w:val="00097783"/>
    <w:rsid w:val="000A084C"/>
    <w:rsid w:val="000A1017"/>
    <w:rsid w:val="000A228F"/>
    <w:rsid w:val="000A3E16"/>
    <w:rsid w:val="000A5190"/>
    <w:rsid w:val="000A68A0"/>
    <w:rsid w:val="000B279A"/>
    <w:rsid w:val="000B298E"/>
    <w:rsid w:val="000B2EB1"/>
    <w:rsid w:val="000B354E"/>
    <w:rsid w:val="000B3D5F"/>
    <w:rsid w:val="000B6D57"/>
    <w:rsid w:val="000C036A"/>
    <w:rsid w:val="000C1697"/>
    <w:rsid w:val="000C27A1"/>
    <w:rsid w:val="000C46A7"/>
    <w:rsid w:val="000C5E61"/>
    <w:rsid w:val="000C64C9"/>
    <w:rsid w:val="000C727B"/>
    <w:rsid w:val="000D0414"/>
    <w:rsid w:val="000D0638"/>
    <w:rsid w:val="000D0D3A"/>
    <w:rsid w:val="000D1E2E"/>
    <w:rsid w:val="000D2596"/>
    <w:rsid w:val="000D3F6C"/>
    <w:rsid w:val="000D4198"/>
    <w:rsid w:val="000E145B"/>
    <w:rsid w:val="000E3570"/>
    <w:rsid w:val="000E38E0"/>
    <w:rsid w:val="000F02C5"/>
    <w:rsid w:val="000F31C8"/>
    <w:rsid w:val="000F3490"/>
    <w:rsid w:val="000F4E61"/>
    <w:rsid w:val="000F73D3"/>
    <w:rsid w:val="001012EC"/>
    <w:rsid w:val="0010687D"/>
    <w:rsid w:val="00110FB3"/>
    <w:rsid w:val="001143E4"/>
    <w:rsid w:val="001146B4"/>
    <w:rsid w:val="0011484F"/>
    <w:rsid w:val="00115EDD"/>
    <w:rsid w:val="00116995"/>
    <w:rsid w:val="00116FC6"/>
    <w:rsid w:val="001171CC"/>
    <w:rsid w:val="00120ABA"/>
    <w:rsid w:val="001311AD"/>
    <w:rsid w:val="00133A14"/>
    <w:rsid w:val="00134E1D"/>
    <w:rsid w:val="0013629D"/>
    <w:rsid w:val="00140C69"/>
    <w:rsid w:val="00141BFB"/>
    <w:rsid w:val="00144034"/>
    <w:rsid w:val="001440FE"/>
    <w:rsid w:val="0014437A"/>
    <w:rsid w:val="00152539"/>
    <w:rsid w:val="00152D3A"/>
    <w:rsid w:val="001551C4"/>
    <w:rsid w:val="00155CAF"/>
    <w:rsid w:val="0016097E"/>
    <w:rsid w:val="00162248"/>
    <w:rsid w:val="001668E1"/>
    <w:rsid w:val="00167F77"/>
    <w:rsid w:val="00170505"/>
    <w:rsid w:val="00172CCB"/>
    <w:rsid w:val="00175004"/>
    <w:rsid w:val="00177AA6"/>
    <w:rsid w:val="00177CAC"/>
    <w:rsid w:val="00177D2B"/>
    <w:rsid w:val="001808B4"/>
    <w:rsid w:val="0018509E"/>
    <w:rsid w:val="00192161"/>
    <w:rsid w:val="00192D6A"/>
    <w:rsid w:val="001948B0"/>
    <w:rsid w:val="00195AD0"/>
    <w:rsid w:val="001A02C9"/>
    <w:rsid w:val="001A0680"/>
    <w:rsid w:val="001A2110"/>
    <w:rsid w:val="001A3975"/>
    <w:rsid w:val="001A3D29"/>
    <w:rsid w:val="001B4CD8"/>
    <w:rsid w:val="001C23BF"/>
    <w:rsid w:val="001C6E95"/>
    <w:rsid w:val="001D2756"/>
    <w:rsid w:val="001D362A"/>
    <w:rsid w:val="001D3BFB"/>
    <w:rsid w:val="001D60F3"/>
    <w:rsid w:val="001E13F5"/>
    <w:rsid w:val="001E174B"/>
    <w:rsid w:val="001E317C"/>
    <w:rsid w:val="001E4FE9"/>
    <w:rsid w:val="001E64F2"/>
    <w:rsid w:val="001F0567"/>
    <w:rsid w:val="001F1F60"/>
    <w:rsid w:val="001F314D"/>
    <w:rsid w:val="001F6BC2"/>
    <w:rsid w:val="001F718C"/>
    <w:rsid w:val="00200292"/>
    <w:rsid w:val="0020103A"/>
    <w:rsid w:val="002013FA"/>
    <w:rsid w:val="00201455"/>
    <w:rsid w:val="00201739"/>
    <w:rsid w:val="00206678"/>
    <w:rsid w:val="00210233"/>
    <w:rsid w:val="0021035B"/>
    <w:rsid w:val="00212D43"/>
    <w:rsid w:val="00214B75"/>
    <w:rsid w:val="00215178"/>
    <w:rsid w:val="00220442"/>
    <w:rsid w:val="00221143"/>
    <w:rsid w:val="002217C0"/>
    <w:rsid w:val="00221B68"/>
    <w:rsid w:val="00223F2E"/>
    <w:rsid w:val="00227D14"/>
    <w:rsid w:val="0023062F"/>
    <w:rsid w:val="00230821"/>
    <w:rsid w:val="00230E0E"/>
    <w:rsid w:val="00231D0F"/>
    <w:rsid w:val="00233C04"/>
    <w:rsid w:val="002348DC"/>
    <w:rsid w:val="002369C8"/>
    <w:rsid w:val="002375B3"/>
    <w:rsid w:val="00237A17"/>
    <w:rsid w:val="00241F4C"/>
    <w:rsid w:val="00243442"/>
    <w:rsid w:val="002440AF"/>
    <w:rsid w:val="0024444A"/>
    <w:rsid w:val="00245FCD"/>
    <w:rsid w:val="002472CF"/>
    <w:rsid w:val="00252F1E"/>
    <w:rsid w:val="002536A8"/>
    <w:rsid w:val="00254CE4"/>
    <w:rsid w:val="00257983"/>
    <w:rsid w:val="00260F55"/>
    <w:rsid w:val="002632C1"/>
    <w:rsid w:val="00263E76"/>
    <w:rsid w:val="002640E1"/>
    <w:rsid w:val="0027210E"/>
    <w:rsid w:val="00272EE3"/>
    <w:rsid w:val="00273219"/>
    <w:rsid w:val="00273678"/>
    <w:rsid w:val="00273CAC"/>
    <w:rsid w:val="002804CF"/>
    <w:rsid w:val="002820C6"/>
    <w:rsid w:val="00282A08"/>
    <w:rsid w:val="002854C9"/>
    <w:rsid w:val="002900C5"/>
    <w:rsid w:val="00291E9B"/>
    <w:rsid w:val="002926CE"/>
    <w:rsid w:val="002939DA"/>
    <w:rsid w:val="00293CA6"/>
    <w:rsid w:val="0029482B"/>
    <w:rsid w:val="00295B2B"/>
    <w:rsid w:val="002961A2"/>
    <w:rsid w:val="002964C1"/>
    <w:rsid w:val="00297DB0"/>
    <w:rsid w:val="002A0706"/>
    <w:rsid w:val="002A0A9B"/>
    <w:rsid w:val="002A0C5D"/>
    <w:rsid w:val="002A3B76"/>
    <w:rsid w:val="002A59D9"/>
    <w:rsid w:val="002A5A11"/>
    <w:rsid w:val="002A67D5"/>
    <w:rsid w:val="002B5367"/>
    <w:rsid w:val="002B61E4"/>
    <w:rsid w:val="002B7F76"/>
    <w:rsid w:val="002C03AF"/>
    <w:rsid w:val="002C1E20"/>
    <w:rsid w:val="002C2EEA"/>
    <w:rsid w:val="002C3EA2"/>
    <w:rsid w:val="002C5843"/>
    <w:rsid w:val="002C7F10"/>
    <w:rsid w:val="002D083C"/>
    <w:rsid w:val="002D0A30"/>
    <w:rsid w:val="002D2176"/>
    <w:rsid w:val="002E484A"/>
    <w:rsid w:val="002E537C"/>
    <w:rsid w:val="002E57D4"/>
    <w:rsid w:val="002E5E3F"/>
    <w:rsid w:val="002E6ADF"/>
    <w:rsid w:val="002E73FF"/>
    <w:rsid w:val="002F0752"/>
    <w:rsid w:val="002F7B2A"/>
    <w:rsid w:val="00300B99"/>
    <w:rsid w:val="00300D63"/>
    <w:rsid w:val="003039A5"/>
    <w:rsid w:val="00306298"/>
    <w:rsid w:val="00306B58"/>
    <w:rsid w:val="00312FB3"/>
    <w:rsid w:val="00314B98"/>
    <w:rsid w:val="00314F63"/>
    <w:rsid w:val="003154C2"/>
    <w:rsid w:val="00316618"/>
    <w:rsid w:val="00320701"/>
    <w:rsid w:val="00321BD0"/>
    <w:rsid w:val="0032394D"/>
    <w:rsid w:val="003246BD"/>
    <w:rsid w:val="00324FB5"/>
    <w:rsid w:val="00326B58"/>
    <w:rsid w:val="003302BD"/>
    <w:rsid w:val="00330936"/>
    <w:rsid w:val="003336CE"/>
    <w:rsid w:val="00333BD7"/>
    <w:rsid w:val="00340212"/>
    <w:rsid w:val="00344138"/>
    <w:rsid w:val="00345B9F"/>
    <w:rsid w:val="00346639"/>
    <w:rsid w:val="00346856"/>
    <w:rsid w:val="00351063"/>
    <w:rsid w:val="00352461"/>
    <w:rsid w:val="00356131"/>
    <w:rsid w:val="003628A2"/>
    <w:rsid w:val="003640F0"/>
    <w:rsid w:val="003645F1"/>
    <w:rsid w:val="00367DA5"/>
    <w:rsid w:val="0037191E"/>
    <w:rsid w:val="00371937"/>
    <w:rsid w:val="003737F2"/>
    <w:rsid w:val="00377A96"/>
    <w:rsid w:val="00377FE2"/>
    <w:rsid w:val="003806E8"/>
    <w:rsid w:val="00382966"/>
    <w:rsid w:val="00384B8B"/>
    <w:rsid w:val="00387130"/>
    <w:rsid w:val="00387162"/>
    <w:rsid w:val="003903E2"/>
    <w:rsid w:val="00390D8E"/>
    <w:rsid w:val="00395655"/>
    <w:rsid w:val="003A0233"/>
    <w:rsid w:val="003A060F"/>
    <w:rsid w:val="003A48EE"/>
    <w:rsid w:val="003B4449"/>
    <w:rsid w:val="003C1F1E"/>
    <w:rsid w:val="003C49B5"/>
    <w:rsid w:val="003C557F"/>
    <w:rsid w:val="003C563D"/>
    <w:rsid w:val="003C5C7B"/>
    <w:rsid w:val="003D3BAA"/>
    <w:rsid w:val="003D49CF"/>
    <w:rsid w:val="003D6231"/>
    <w:rsid w:val="003E361D"/>
    <w:rsid w:val="003F2026"/>
    <w:rsid w:val="003F29BC"/>
    <w:rsid w:val="003F3728"/>
    <w:rsid w:val="003F4D05"/>
    <w:rsid w:val="003F7612"/>
    <w:rsid w:val="003F76E4"/>
    <w:rsid w:val="003F7CD4"/>
    <w:rsid w:val="004027A6"/>
    <w:rsid w:val="0040510D"/>
    <w:rsid w:val="00407815"/>
    <w:rsid w:val="00414F26"/>
    <w:rsid w:val="00415D7B"/>
    <w:rsid w:val="00417315"/>
    <w:rsid w:val="00417665"/>
    <w:rsid w:val="00420A7D"/>
    <w:rsid w:val="00420F8B"/>
    <w:rsid w:val="0042418B"/>
    <w:rsid w:val="0042440B"/>
    <w:rsid w:val="00424540"/>
    <w:rsid w:val="00426AC8"/>
    <w:rsid w:val="00427EF4"/>
    <w:rsid w:val="00430245"/>
    <w:rsid w:val="00430323"/>
    <w:rsid w:val="00435BAC"/>
    <w:rsid w:val="004361F2"/>
    <w:rsid w:val="004376C2"/>
    <w:rsid w:val="004420F6"/>
    <w:rsid w:val="004427B2"/>
    <w:rsid w:val="00442824"/>
    <w:rsid w:val="004444E8"/>
    <w:rsid w:val="004444F4"/>
    <w:rsid w:val="00446EC1"/>
    <w:rsid w:val="00450BCC"/>
    <w:rsid w:val="0045180F"/>
    <w:rsid w:val="00452217"/>
    <w:rsid w:val="00453C28"/>
    <w:rsid w:val="00453E7F"/>
    <w:rsid w:val="00453E85"/>
    <w:rsid w:val="00455D0B"/>
    <w:rsid w:val="004604F1"/>
    <w:rsid w:val="0046759A"/>
    <w:rsid w:val="00467C52"/>
    <w:rsid w:val="0047261C"/>
    <w:rsid w:val="004739BA"/>
    <w:rsid w:val="00483378"/>
    <w:rsid w:val="00487E51"/>
    <w:rsid w:val="004942CA"/>
    <w:rsid w:val="00496618"/>
    <w:rsid w:val="004A0A82"/>
    <w:rsid w:val="004A207E"/>
    <w:rsid w:val="004A27CC"/>
    <w:rsid w:val="004A285F"/>
    <w:rsid w:val="004A55AC"/>
    <w:rsid w:val="004A5E2A"/>
    <w:rsid w:val="004A6AE4"/>
    <w:rsid w:val="004A70C4"/>
    <w:rsid w:val="004B00C4"/>
    <w:rsid w:val="004B290C"/>
    <w:rsid w:val="004B2E13"/>
    <w:rsid w:val="004B4FC8"/>
    <w:rsid w:val="004B5B51"/>
    <w:rsid w:val="004B735F"/>
    <w:rsid w:val="004C0606"/>
    <w:rsid w:val="004C0F07"/>
    <w:rsid w:val="004C1080"/>
    <w:rsid w:val="004C2F1C"/>
    <w:rsid w:val="004C420B"/>
    <w:rsid w:val="004C6279"/>
    <w:rsid w:val="004C7869"/>
    <w:rsid w:val="004D24E9"/>
    <w:rsid w:val="004D3191"/>
    <w:rsid w:val="004D5FF9"/>
    <w:rsid w:val="004E0260"/>
    <w:rsid w:val="004E16EE"/>
    <w:rsid w:val="004E2961"/>
    <w:rsid w:val="004E3F53"/>
    <w:rsid w:val="004E4897"/>
    <w:rsid w:val="004E6D10"/>
    <w:rsid w:val="004F11C4"/>
    <w:rsid w:val="004F17EA"/>
    <w:rsid w:val="004F2B1B"/>
    <w:rsid w:val="004F4B94"/>
    <w:rsid w:val="004F70FF"/>
    <w:rsid w:val="004F77AB"/>
    <w:rsid w:val="004F7953"/>
    <w:rsid w:val="0050007F"/>
    <w:rsid w:val="0050084D"/>
    <w:rsid w:val="00500B85"/>
    <w:rsid w:val="00501E0F"/>
    <w:rsid w:val="00501E65"/>
    <w:rsid w:val="00505BF4"/>
    <w:rsid w:val="00506006"/>
    <w:rsid w:val="005061E4"/>
    <w:rsid w:val="0050754B"/>
    <w:rsid w:val="00507B53"/>
    <w:rsid w:val="005121ED"/>
    <w:rsid w:val="005128EA"/>
    <w:rsid w:val="005130D6"/>
    <w:rsid w:val="00514384"/>
    <w:rsid w:val="00514AC6"/>
    <w:rsid w:val="0051624B"/>
    <w:rsid w:val="00517A62"/>
    <w:rsid w:val="00520109"/>
    <w:rsid w:val="00520903"/>
    <w:rsid w:val="00521850"/>
    <w:rsid w:val="00522F73"/>
    <w:rsid w:val="00524038"/>
    <w:rsid w:val="0052467D"/>
    <w:rsid w:val="00524AA8"/>
    <w:rsid w:val="005260B9"/>
    <w:rsid w:val="00527393"/>
    <w:rsid w:val="0053103C"/>
    <w:rsid w:val="00532E4B"/>
    <w:rsid w:val="00534E66"/>
    <w:rsid w:val="00540693"/>
    <w:rsid w:val="00540C53"/>
    <w:rsid w:val="00540EEE"/>
    <w:rsid w:val="00541692"/>
    <w:rsid w:val="005424B9"/>
    <w:rsid w:val="00543E05"/>
    <w:rsid w:val="005462B1"/>
    <w:rsid w:val="005525EA"/>
    <w:rsid w:val="005531AA"/>
    <w:rsid w:val="00554B28"/>
    <w:rsid w:val="00554CC1"/>
    <w:rsid w:val="00555954"/>
    <w:rsid w:val="00563FA3"/>
    <w:rsid w:val="005644C8"/>
    <w:rsid w:val="00564E98"/>
    <w:rsid w:val="00566018"/>
    <w:rsid w:val="005712F1"/>
    <w:rsid w:val="00573E06"/>
    <w:rsid w:val="005778C6"/>
    <w:rsid w:val="00583A7E"/>
    <w:rsid w:val="00586A0B"/>
    <w:rsid w:val="00586CF4"/>
    <w:rsid w:val="00587AC0"/>
    <w:rsid w:val="005913D0"/>
    <w:rsid w:val="00597BAA"/>
    <w:rsid w:val="00597D5D"/>
    <w:rsid w:val="005A1896"/>
    <w:rsid w:val="005A338B"/>
    <w:rsid w:val="005A3AC5"/>
    <w:rsid w:val="005A407D"/>
    <w:rsid w:val="005A4A9A"/>
    <w:rsid w:val="005A5DAE"/>
    <w:rsid w:val="005A6C42"/>
    <w:rsid w:val="005A6EE7"/>
    <w:rsid w:val="005A7100"/>
    <w:rsid w:val="005C2DFD"/>
    <w:rsid w:val="005C43C6"/>
    <w:rsid w:val="005C6F6B"/>
    <w:rsid w:val="005C7A87"/>
    <w:rsid w:val="005D0610"/>
    <w:rsid w:val="005D06F0"/>
    <w:rsid w:val="005D094A"/>
    <w:rsid w:val="005D276C"/>
    <w:rsid w:val="005D3A3E"/>
    <w:rsid w:val="005D3B47"/>
    <w:rsid w:val="005D4491"/>
    <w:rsid w:val="005D5B4B"/>
    <w:rsid w:val="005D72C5"/>
    <w:rsid w:val="005D733F"/>
    <w:rsid w:val="005E08BD"/>
    <w:rsid w:val="005E0F94"/>
    <w:rsid w:val="005E36D5"/>
    <w:rsid w:val="005E3A50"/>
    <w:rsid w:val="005E4874"/>
    <w:rsid w:val="005E4C23"/>
    <w:rsid w:val="005E4CF0"/>
    <w:rsid w:val="005E507D"/>
    <w:rsid w:val="005E7CA6"/>
    <w:rsid w:val="005F0C39"/>
    <w:rsid w:val="005F421E"/>
    <w:rsid w:val="005F53D2"/>
    <w:rsid w:val="005F630F"/>
    <w:rsid w:val="005F7A1E"/>
    <w:rsid w:val="0060094C"/>
    <w:rsid w:val="00600B63"/>
    <w:rsid w:val="00601137"/>
    <w:rsid w:val="006040E1"/>
    <w:rsid w:val="006047CE"/>
    <w:rsid w:val="00604A61"/>
    <w:rsid w:val="006076A5"/>
    <w:rsid w:val="00610231"/>
    <w:rsid w:val="00616D3D"/>
    <w:rsid w:val="00617D55"/>
    <w:rsid w:val="00617F06"/>
    <w:rsid w:val="006240D8"/>
    <w:rsid w:val="006242FA"/>
    <w:rsid w:val="00626132"/>
    <w:rsid w:val="006310A1"/>
    <w:rsid w:val="0063318F"/>
    <w:rsid w:val="00634CFB"/>
    <w:rsid w:val="00634DDD"/>
    <w:rsid w:val="006361E3"/>
    <w:rsid w:val="00636320"/>
    <w:rsid w:val="0063730A"/>
    <w:rsid w:val="00641EF4"/>
    <w:rsid w:val="00642470"/>
    <w:rsid w:val="00642D90"/>
    <w:rsid w:val="00645DFC"/>
    <w:rsid w:val="0065019C"/>
    <w:rsid w:val="00654804"/>
    <w:rsid w:val="00656642"/>
    <w:rsid w:val="00661A0C"/>
    <w:rsid w:val="00662BFF"/>
    <w:rsid w:val="0066309A"/>
    <w:rsid w:val="006712A6"/>
    <w:rsid w:val="00671E4E"/>
    <w:rsid w:val="0067456E"/>
    <w:rsid w:val="00675133"/>
    <w:rsid w:val="00676037"/>
    <w:rsid w:val="00676E8F"/>
    <w:rsid w:val="006773A2"/>
    <w:rsid w:val="00677576"/>
    <w:rsid w:val="00677D9A"/>
    <w:rsid w:val="006802C1"/>
    <w:rsid w:val="00682E63"/>
    <w:rsid w:val="006834C4"/>
    <w:rsid w:val="00685E6E"/>
    <w:rsid w:val="00686496"/>
    <w:rsid w:val="00687136"/>
    <w:rsid w:val="00687AB4"/>
    <w:rsid w:val="00690FE6"/>
    <w:rsid w:val="00691BD4"/>
    <w:rsid w:val="006940E7"/>
    <w:rsid w:val="00694141"/>
    <w:rsid w:val="006941C8"/>
    <w:rsid w:val="006947E8"/>
    <w:rsid w:val="00697863"/>
    <w:rsid w:val="006A0D8A"/>
    <w:rsid w:val="006A36D7"/>
    <w:rsid w:val="006A512F"/>
    <w:rsid w:val="006A70E2"/>
    <w:rsid w:val="006B3339"/>
    <w:rsid w:val="006B4070"/>
    <w:rsid w:val="006B5E2B"/>
    <w:rsid w:val="006B7445"/>
    <w:rsid w:val="006C1FAA"/>
    <w:rsid w:val="006C605F"/>
    <w:rsid w:val="006C6A82"/>
    <w:rsid w:val="006D1F20"/>
    <w:rsid w:val="006D2BDD"/>
    <w:rsid w:val="006D4254"/>
    <w:rsid w:val="006D5F6F"/>
    <w:rsid w:val="006D6C3E"/>
    <w:rsid w:val="006D6EC4"/>
    <w:rsid w:val="006D745F"/>
    <w:rsid w:val="006D7881"/>
    <w:rsid w:val="006D7E56"/>
    <w:rsid w:val="006E23DE"/>
    <w:rsid w:val="006E32E7"/>
    <w:rsid w:val="006E3D3C"/>
    <w:rsid w:val="006E46A3"/>
    <w:rsid w:val="006E58C1"/>
    <w:rsid w:val="006E6669"/>
    <w:rsid w:val="006E7B3B"/>
    <w:rsid w:val="006F282A"/>
    <w:rsid w:val="006F33DD"/>
    <w:rsid w:val="006F35F8"/>
    <w:rsid w:val="006F5502"/>
    <w:rsid w:val="006F6420"/>
    <w:rsid w:val="007030A8"/>
    <w:rsid w:val="00704988"/>
    <w:rsid w:val="00705659"/>
    <w:rsid w:val="00707A8E"/>
    <w:rsid w:val="007106FE"/>
    <w:rsid w:val="0071354E"/>
    <w:rsid w:val="00715FC7"/>
    <w:rsid w:val="007160B3"/>
    <w:rsid w:val="00716B72"/>
    <w:rsid w:val="00717394"/>
    <w:rsid w:val="007201DC"/>
    <w:rsid w:val="00720625"/>
    <w:rsid w:val="0072098B"/>
    <w:rsid w:val="00720D45"/>
    <w:rsid w:val="00722803"/>
    <w:rsid w:val="00723D89"/>
    <w:rsid w:val="007261CF"/>
    <w:rsid w:val="00727278"/>
    <w:rsid w:val="00730C13"/>
    <w:rsid w:val="00731B88"/>
    <w:rsid w:val="00732DEB"/>
    <w:rsid w:val="0073596F"/>
    <w:rsid w:val="007362EB"/>
    <w:rsid w:val="00736749"/>
    <w:rsid w:val="00736B76"/>
    <w:rsid w:val="00736C03"/>
    <w:rsid w:val="007377F2"/>
    <w:rsid w:val="00737BC4"/>
    <w:rsid w:val="00737D3E"/>
    <w:rsid w:val="00741BA9"/>
    <w:rsid w:val="007423F8"/>
    <w:rsid w:val="007431DE"/>
    <w:rsid w:val="0074324C"/>
    <w:rsid w:val="00743EFE"/>
    <w:rsid w:val="00745349"/>
    <w:rsid w:val="0074534D"/>
    <w:rsid w:val="007511D5"/>
    <w:rsid w:val="007516D1"/>
    <w:rsid w:val="00751E85"/>
    <w:rsid w:val="0075213E"/>
    <w:rsid w:val="00753049"/>
    <w:rsid w:val="00756242"/>
    <w:rsid w:val="00756290"/>
    <w:rsid w:val="00756A19"/>
    <w:rsid w:val="0076108C"/>
    <w:rsid w:val="00761B5E"/>
    <w:rsid w:val="00763283"/>
    <w:rsid w:val="0076408A"/>
    <w:rsid w:val="00773DD9"/>
    <w:rsid w:val="00774BE7"/>
    <w:rsid w:val="00776A84"/>
    <w:rsid w:val="00777754"/>
    <w:rsid w:val="0078042F"/>
    <w:rsid w:val="00781306"/>
    <w:rsid w:val="00781635"/>
    <w:rsid w:val="007836C8"/>
    <w:rsid w:val="007867A1"/>
    <w:rsid w:val="007934F1"/>
    <w:rsid w:val="007936A8"/>
    <w:rsid w:val="00794229"/>
    <w:rsid w:val="00795A1B"/>
    <w:rsid w:val="007970F0"/>
    <w:rsid w:val="007971F3"/>
    <w:rsid w:val="007A1BCA"/>
    <w:rsid w:val="007A4157"/>
    <w:rsid w:val="007B1141"/>
    <w:rsid w:val="007B24F7"/>
    <w:rsid w:val="007B3D33"/>
    <w:rsid w:val="007B4CFC"/>
    <w:rsid w:val="007B6FFE"/>
    <w:rsid w:val="007C393A"/>
    <w:rsid w:val="007C4312"/>
    <w:rsid w:val="007C6C8E"/>
    <w:rsid w:val="007D09DC"/>
    <w:rsid w:val="007D6B06"/>
    <w:rsid w:val="007D76D7"/>
    <w:rsid w:val="007E0679"/>
    <w:rsid w:val="007E249E"/>
    <w:rsid w:val="007E433C"/>
    <w:rsid w:val="007E5ED7"/>
    <w:rsid w:val="007E6242"/>
    <w:rsid w:val="007E633B"/>
    <w:rsid w:val="007E6AD6"/>
    <w:rsid w:val="007F135A"/>
    <w:rsid w:val="007F5275"/>
    <w:rsid w:val="0080232E"/>
    <w:rsid w:val="00803CA0"/>
    <w:rsid w:val="00806AD2"/>
    <w:rsid w:val="008071C3"/>
    <w:rsid w:val="00807ACC"/>
    <w:rsid w:val="00812789"/>
    <w:rsid w:val="00813EBF"/>
    <w:rsid w:val="00817D17"/>
    <w:rsid w:val="00824BA3"/>
    <w:rsid w:val="00825F4B"/>
    <w:rsid w:val="00826F86"/>
    <w:rsid w:val="00831124"/>
    <w:rsid w:val="00831D3C"/>
    <w:rsid w:val="00831E24"/>
    <w:rsid w:val="00831E9A"/>
    <w:rsid w:val="00833124"/>
    <w:rsid w:val="00841854"/>
    <w:rsid w:val="00842C8D"/>
    <w:rsid w:val="0084461D"/>
    <w:rsid w:val="00844CC3"/>
    <w:rsid w:val="00845BC3"/>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4481"/>
    <w:rsid w:val="00875D88"/>
    <w:rsid w:val="00881967"/>
    <w:rsid w:val="00884EC0"/>
    <w:rsid w:val="0088605D"/>
    <w:rsid w:val="00887913"/>
    <w:rsid w:val="00890675"/>
    <w:rsid w:val="0089123B"/>
    <w:rsid w:val="00891BE7"/>
    <w:rsid w:val="00893F0A"/>
    <w:rsid w:val="00894170"/>
    <w:rsid w:val="00894526"/>
    <w:rsid w:val="00894946"/>
    <w:rsid w:val="0089506D"/>
    <w:rsid w:val="008A00BC"/>
    <w:rsid w:val="008A0B79"/>
    <w:rsid w:val="008A1687"/>
    <w:rsid w:val="008A2346"/>
    <w:rsid w:val="008A2DF5"/>
    <w:rsid w:val="008A3A73"/>
    <w:rsid w:val="008A52D8"/>
    <w:rsid w:val="008A5E27"/>
    <w:rsid w:val="008A67A1"/>
    <w:rsid w:val="008A6FF9"/>
    <w:rsid w:val="008A721D"/>
    <w:rsid w:val="008B48E6"/>
    <w:rsid w:val="008B6A6F"/>
    <w:rsid w:val="008C01F4"/>
    <w:rsid w:val="008C0503"/>
    <w:rsid w:val="008C4A55"/>
    <w:rsid w:val="008C5E5E"/>
    <w:rsid w:val="008D08F5"/>
    <w:rsid w:val="008D0DDB"/>
    <w:rsid w:val="008D2350"/>
    <w:rsid w:val="008D56D6"/>
    <w:rsid w:val="008D579B"/>
    <w:rsid w:val="008D583E"/>
    <w:rsid w:val="008D7657"/>
    <w:rsid w:val="008E1CC8"/>
    <w:rsid w:val="008E24D8"/>
    <w:rsid w:val="008E3970"/>
    <w:rsid w:val="008E3AC0"/>
    <w:rsid w:val="008E6946"/>
    <w:rsid w:val="008E6E39"/>
    <w:rsid w:val="008E7705"/>
    <w:rsid w:val="008E77F4"/>
    <w:rsid w:val="008E7AF3"/>
    <w:rsid w:val="008E7E4D"/>
    <w:rsid w:val="008F3218"/>
    <w:rsid w:val="008F35DB"/>
    <w:rsid w:val="008F39D3"/>
    <w:rsid w:val="008F4969"/>
    <w:rsid w:val="008F5129"/>
    <w:rsid w:val="008F6393"/>
    <w:rsid w:val="00902FF9"/>
    <w:rsid w:val="00905EB8"/>
    <w:rsid w:val="00905F3A"/>
    <w:rsid w:val="0090679B"/>
    <w:rsid w:val="0090782D"/>
    <w:rsid w:val="00912765"/>
    <w:rsid w:val="0091438D"/>
    <w:rsid w:val="0091523F"/>
    <w:rsid w:val="0091558A"/>
    <w:rsid w:val="009167F2"/>
    <w:rsid w:val="00917058"/>
    <w:rsid w:val="00923C45"/>
    <w:rsid w:val="00924F7D"/>
    <w:rsid w:val="0092693D"/>
    <w:rsid w:val="00931102"/>
    <w:rsid w:val="009312BE"/>
    <w:rsid w:val="0093186D"/>
    <w:rsid w:val="00932D4A"/>
    <w:rsid w:val="00936B7F"/>
    <w:rsid w:val="0094097C"/>
    <w:rsid w:val="009415CD"/>
    <w:rsid w:val="0094334A"/>
    <w:rsid w:val="00943E2F"/>
    <w:rsid w:val="00952D0A"/>
    <w:rsid w:val="00953FD7"/>
    <w:rsid w:val="00954732"/>
    <w:rsid w:val="009551F9"/>
    <w:rsid w:val="00956BD2"/>
    <w:rsid w:val="0096092A"/>
    <w:rsid w:val="00963058"/>
    <w:rsid w:val="00963AE2"/>
    <w:rsid w:val="00963E96"/>
    <w:rsid w:val="00966C16"/>
    <w:rsid w:val="00967985"/>
    <w:rsid w:val="00972F4C"/>
    <w:rsid w:val="00975F5E"/>
    <w:rsid w:val="00977612"/>
    <w:rsid w:val="009827FE"/>
    <w:rsid w:val="00983B09"/>
    <w:rsid w:val="0098541A"/>
    <w:rsid w:val="00990860"/>
    <w:rsid w:val="00990FC4"/>
    <w:rsid w:val="00992009"/>
    <w:rsid w:val="00994FD7"/>
    <w:rsid w:val="0099513B"/>
    <w:rsid w:val="00996B48"/>
    <w:rsid w:val="009A1269"/>
    <w:rsid w:val="009A19C4"/>
    <w:rsid w:val="009A453C"/>
    <w:rsid w:val="009B1744"/>
    <w:rsid w:val="009B1EE9"/>
    <w:rsid w:val="009B3DAC"/>
    <w:rsid w:val="009B568A"/>
    <w:rsid w:val="009C08B5"/>
    <w:rsid w:val="009C4545"/>
    <w:rsid w:val="009C4DFC"/>
    <w:rsid w:val="009D0944"/>
    <w:rsid w:val="009D281A"/>
    <w:rsid w:val="009D3873"/>
    <w:rsid w:val="009D6D2E"/>
    <w:rsid w:val="009D753B"/>
    <w:rsid w:val="009E0CEB"/>
    <w:rsid w:val="009E6C5E"/>
    <w:rsid w:val="009E7717"/>
    <w:rsid w:val="009E7FF1"/>
    <w:rsid w:val="009F142B"/>
    <w:rsid w:val="009F23CB"/>
    <w:rsid w:val="009F5722"/>
    <w:rsid w:val="009F7176"/>
    <w:rsid w:val="00A02072"/>
    <w:rsid w:val="00A0334B"/>
    <w:rsid w:val="00A04A98"/>
    <w:rsid w:val="00A11D46"/>
    <w:rsid w:val="00A12BDA"/>
    <w:rsid w:val="00A163D9"/>
    <w:rsid w:val="00A23452"/>
    <w:rsid w:val="00A25D0F"/>
    <w:rsid w:val="00A26499"/>
    <w:rsid w:val="00A27F81"/>
    <w:rsid w:val="00A30636"/>
    <w:rsid w:val="00A30F0D"/>
    <w:rsid w:val="00A31338"/>
    <w:rsid w:val="00A32258"/>
    <w:rsid w:val="00A3356F"/>
    <w:rsid w:val="00A34220"/>
    <w:rsid w:val="00A342A5"/>
    <w:rsid w:val="00A3568B"/>
    <w:rsid w:val="00A377AE"/>
    <w:rsid w:val="00A426CE"/>
    <w:rsid w:val="00A428B2"/>
    <w:rsid w:val="00A42D10"/>
    <w:rsid w:val="00A4509D"/>
    <w:rsid w:val="00A45D99"/>
    <w:rsid w:val="00A46303"/>
    <w:rsid w:val="00A50CD4"/>
    <w:rsid w:val="00A52FAE"/>
    <w:rsid w:val="00A53909"/>
    <w:rsid w:val="00A5623C"/>
    <w:rsid w:val="00A57A10"/>
    <w:rsid w:val="00A57F06"/>
    <w:rsid w:val="00A600FC"/>
    <w:rsid w:val="00A606F7"/>
    <w:rsid w:val="00A60884"/>
    <w:rsid w:val="00A610CB"/>
    <w:rsid w:val="00A643D6"/>
    <w:rsid w:val="00A64DC1"/>
    <w:rsid w:val="00A6623B"/>
    <w:rsid w:val="00A669EE"/>
    <w:rsid w:val="00A7058C"/>
    <w:rsid w:val="00A70B39"/>
    <w:rsid w:val="00A72224"/>
    <w:rsid w:val="00A85598"/>
    <w:rsid w:val="00A856B0"/>
    <w:rsid w:val="00A8607A"/>
    <w:rsid w:val="00A86D8D"/>
    <w:rsid w:val="00A90530"/>
    <w:rsid w:val="00A917A9"/>
    <w:rsid w:val="00A919EA"/>
    <w:rsid w:val="00A91A2A"/>
    <w:rsid w:val="00A94B87"/>
    <w:rsid w:val="00A9750F"/>
    <w:rsid w:val="00AA4521"/>
    <w:rsid w:val="00AA599A"/>
    <w:rsid w:val="00AA5E2F"/>
    <w:rsid w:val="00AA5E73"/>
    <w:rsid w:val="00AB5812"/>
    <w:rsid w:val="00AB5BFC"/>
    <w:rsid w:val="00AB7845"/>
    <w:rsid w:val="00AC135D"/>
    <w:rsid w:val="00AC2072"/>
    <w:rsid w:val="00AC40DC"/>
    <w:rsid w:val="00AC4ECB"/>
    <w:rsid w:val="00AC57F8"/>
    <w:rsid w:val="00AD3F9D"/>
    <w:rsid w:val="00AD4746"/>
    <w:rsid w:val="00AD5010"/>
    <w:rsid w:val="00AD6362"/>
    <w:rsid w:val="00AD74DF"/>
    <w:rsid w:val="00AE0811"/>
    <w:rsid w:val="00AE20C4"/>
    <w:rsid w:val="00AE2731"/>
    <w:rsid w:val="00AE3244"/>
    <w:rsid w:val="00AE4C05"/>
    <w:rsid w:val="00AE564E"/>
    <w:rsid w:val="00AE6725"/>
    <w:rsid w:val="00AE6BE8"/>
    <w:rsid w:val="00AE6FA9"/>
    <w:rsid w:val="00AF12B7"/>
    <w:rsid w:val="00AF2498"/>
    <w:rsid w:val="00AF4D26"/>
    <w:rsid w:val="00AF4D77"/>
    <w:rsid w:val="00AF73A4"/>
    <w:rsid w:val="00B00BAD"/>
    <w:rsid w:val="00B00DA4"/>
    <w:rsid w:val="00B03860"/>
    <w:rsid w:val="00B054D4"/>
    <w:rsid w:val="00B05A10"/>
    <w:rsid w:val="00B0677C"/>
    <w:rsid w:val="00B0691A"/>
    <w:rsid w:val="00B07892"/>
    <w:rsid w:val="00B07C49"/>
    <w:rsid w:val="00B11252"/>
    <w:rsid w:val="00B1358E"/>
    <w:rsid w:val="00B145B3"/>
    <w:rsid w:val="00B152AE"/>
    <w:rsid w:val="00B17C41"/>
    <w:rsid w:val="00B17FDB"/>
    <w:rsid w:val="00B21EA4"/>
    <w:rsid w:val="00B24B51"/>
    <w:rsid w:val="00B31B92"/>
    <w:rsid w:val="00B320D9"/>
    <w:rsid w:val="00B321D4"/>
    <w:rsid w:val="00B32676"/>
    <w:rsid w:val="00B330B9"/>
    <w:rsid w:val="00B3495F"/>
    <w:rsid w:val="00B34AF6"/>
    <w:rsid w:val="00B34CBF"/>
    <w:rsid w:val="00B34E56"/>
    <w:rsid w:val="00B37C7C"/>
    <w:rsid w:val="00B40DAD"/>
    <w:rsid w:val="00B42361"/>
    <w:rsid w:val="00B429D4"/>
    <w:rsid w:val="00B433E4"/>
    <w:rsid w:val="00B458D2"/>
    <w:rsid w:val="00B463C9"/>
    <w:rsid w:val="00B46541"/>
    <w:rsid w:val="00B4660F"/>
    <w:rsid w:val="00B5191C"/>
    <w:rsid w:val="00B53E42"/>
    <w:rsid w:val="00B5758A"/>
    <w:rsid w:val="00B6355E"/>
    <w:rsid w:val="00B64471"/>
    <w:rsid w:val="00B65B84"/>
    <w:rsid w:val="00B7272A"/>
    <w:rsid w:val="00B73133"/>
    <w:rsid w:val="00B74629"/>
    <w:rsid w:val="00B75F90"/>
    <w:rsid w:val="00B7730C"/>
    <w:rsid w:val="00B8036D"/>
    <w:rsid w:val="00B82C78"/>
    <w:rsid w:val="00B84A5C"/>
    <w:rsid w:val="00B87124"/>
    <w:rsid w:val="00B92D10"/>
    <w:rsid w:val="00B93671"/>
    <w:rsid w:val="00B93841"/>
    <w:rsid w:val="00B948D2"/>
    <w:rsid w:val="00B95598"/>
    <w:rsid w:val="00BA478A"/>
    <w:rsid w:val="00BA66F5"/>
    <w:rsid w:val="00BA726F"/>
    <w:rsid w:val="00BC2111"/>
    <w:rsid w:val="00BC532D"/>
    <w:rsid w:val="00BC6272"/>
    <w:rsid w:val="00BD0FA0"/>
    <w:rsid w:val="00BD0FD6"/>
    <w:rsid w:val="00BD2510"/>
    <w:rsid w:val="00BD2B98"/>
    <w:rsid w:val="00BD7382"/>
    <w:rsid w:val="00BD7BD3"/>
    <w:rsid w:val="00BE0D0E"/>
    <w:rsid w:val="00BE1037"/>
    <w:rsid w:val="00BE395D"/>
    <w:rsid w:val="00BE482D"/>
    <w:rsid w:val="00BE5DB7"/>
    <w:rsid w:val="00BE6BFB"/>
    <w:rsid w:val="00BF0159"/>
    <w:rsid w:val="00BF3308"/>
    <w:rsid w:val="00BF512A"/>
    <w:rsid w:val="00BF5B8B"/>
    <w:rsid w:val="00C03495"/>
    <w:rsid w:val="00C10B62"/>
    <w:rsid w:val="00C118F2"/>
    <w:rsid w:val="00C11946"/>
    <w:rsid w:val="00C1385A"/>
    <w:rsid w:val="00C165D4"/>
    <w:rsid w:val="00C20CDA"/>
    <w:rsid w:val="00C20DC3"/>
    <w:rsid w:val="00C216FA"/>
    <w:rsid w:val="00C221F5"/>
    <w:rsid w:val="00C2421A"/>
    <w:rsid w:val="00C27D33"/>
    <w:rsid w:val="00C31286"/>
    <w:rsid w:val="00C31A5B"/>
    <w:rsid w:val="00C32478"/>
    <w:rsid w:val="00C34C0E"/>
    <w:rsid w:val="00C35EF2"/>
    <w:rsid w:val="00C403B4"/>
    <w:rsid w:val="00C406DE"/>
    <w:rsid w:val="00C40953"/>
    <w:rsid w:val="00C411FE"/>
    <w:rsid w:val="00C41B61"/>
    <w:rsid w:val="00C434F9"/>
    <w:rsid w:val="00C45CC3"/>
    <w:rsid w:val="00C45CCE"/>
    <w:rsid w:val="00C46170"/>
    <w:rsid w:val="00C467CA"/>
    <w:rsid w:val="00C467D4"/>
    <w:rsid w:val="00C46941"/>
    <w:rsid w:val="00C47381"/>
    <w:rsid w:val="00C5278E"/>
    <w:rsid w:val="00C538D8"/>
    <w:rsid w:val="00C550EA"/>
    <w:rsid w:val="00C57F0D"/>
    <w:rsid w:val="00C63AA7"/>
    <w:rsid w:val="00C64522"/>
    <w:rsid w:val="00C666AF"/>
    <w:rsid w:val="00C67081"/>
    <w:rsid w:val="00C711DA"/>
    <w:rsid w:val="00C718DA"/>
    <w:rsid w:val="00C72BBA"/>
    <w:rsid w:val="00C73873"/>
    <w:rsid w:val="00C75027"/>
    <w:rsid w:val="00C75FCC"/>
    <w:rsid w:val="00C80322"/>
    <w:rsid w:val="00C86431"/>
    <w:rsid w:val="00C91224"/>
    <w:rsid w:val="00C92B57"/>
    <w:rsid w:val="00C9316D"/>
    <w:rsid w:val="00C9387E"/>
    <w:rsid w:val="00C948FD"/>
    <w:rsid w:val="00C975B4"/>
    <w:rsid w:val="00C97FB9"/>
    <w:rsid w:val="00CA04CE"/>
    <w:rsid w:val="00CA155E"/>
    <w:rsid w:val="00CA2E10"/>
    <w:rsid w:val="00CA3D9D"/>
    <w:rsid w:val="00CA6A60"/>
    <w:rsid w:val="00CA7999"/>
    <w:rsid w:val="00CB2E55"/>
    <w:rsid w:val="00CB4E0C"/>
    <w:rsid w:val="00CB6814"/>
    <w:rsid w:val="00CC0DD8"/>
    <w:rsid w:val="00CC5912"/>
    <w:rsid w:val="00CD056E"/>
    <w:rsid w:val="00CD1405"/>
    <w:rsid w:val="00CD518F"/>
    <w:rsid w:val="00CE2A7F"/>
    <w:rsid w:val="00CE3610"/>
    <w:rsid w:val="00CF00CF"/>
    <w:rsid w:val="00CF24CD"/>
    <w:rsid w:val="00CF5221"/>
    <w:rsid w:val="00CF5822"/>
    <w:rsid w:val="00CF5841"/>
    <w:rsid w:val="00CF5A9B"/>
    <w:rsid w:val="00CF61A2"/>
    <w:rsid w:val="00CF62DF"/>
    <w:rsid w:val="00CF6672"/>
    <w:rsid w:val="00D03A5F"/>
    <w:rsid w:val="00D054D4"/>
    <w:rsid w:val="00D07E6A"/>
    <w:rsid w:val="00D11E74"/>
    <w:rsid w:val="00D11FEB"/>
    <w:rsid w:val="00D144A4"/>
    <w:rsid w:val="00D20423"/>
    <w:rsid w:val="00D22435"/>
    <w:rsid w:val="00D23711"/>
    <w:rsid w:val="00D25823"/>
    <w:rsid w:val="00D2649F"/>
    <w:rsid w:val="00D2742F"/>
    <w:rsid w:val="00D27D14"/>
    <w:rsid w:val="00D309E0"/>
    <w:rsid w:val="00D34D79"/>
    <w:rsid w:val="00D36CA4"/>
    <w:rsid w:val="00D37896"/>
    <w:rsid w:val="00D4181C"/>
    <w:rsid w:val="00D41A30"/>
    <w:rsid w:val="00D469E3"/>
    <w:rsid w:val="00D47A7B"/>
    <w:rsid w:val="00D52ABB"/>
    <w:rsid w:val="00D5313C"/>
    <w:rsid w:val="00D532DC"/>
    <w:rsid w:val="00D53C62"/>
    <w:rsid w:val="00D62F5A"/>
    <w:rsid w:val="00D63557"/>
    <w:rsid w:val="00D63E9B"/>
    <w:rsid w:val="00D71C75"/>
    <w:rsid w:val="00D76AAD"/>
    <w:rsid w:val="00D76DCC"/>
    <w:rsid w:val="00D82A70"/>
    <w:rsid w:val="00D82B55"/>
    <w:rsid w:val="00D83702"/>
    <w:rsid w:val="00D838C4"/>
    <w:rsid w:val="00D92AB6"/>
    <w:rsid w:val="00D93068"/>
    <w:rsid w:val="00D96DF5"/>
    <w:rsid w:val="00DA0F8B"/>
    <w:rsid w:val="00DA4C8E"/>
    <w:rsid w:val="00DA60B7"/>
    <w:rsid w:val="00DB5EFB"/>
    <w:rsid w:val="00DB75E1"/>
    <w:rsid w:val="00DC60E2"/>
    <w:rsid w:val="00DC61A2"/>
    <w:rsid w:val="00DC7576"/>
    <w:rsid w:val="00DD139E"/>
    <w:rsid w:val="00DD4DA6"/>
    <w:rsid w:val="00DD7AA4"/>
    <w:rsid w:val="00DE1C7B"/>
    <w:rsid w:val="00DE33B8"/>
    <w:rsid w:val="00DE370C"/>
    <w:rsid w:val="00DE3D56"/>
    <w:rsid w:val="00DE48BE"/>
    <w:rsid w:val="00DE4ACD"/>
    <w:rsid w:val="00DE5489"/>
    <w:rsid w:val="00DF25A4"/>
    <w:rsid w:val="00DF37E5"/>
    <w:rsid w:val="00DF462A"/>
    <w:rsid w:val="00DF4AC7"/>
    <w:rsid w:val="00DF568A"/>
    <w:rsid w:val="00DF5EF4"/>
    <w:rsid w:val="00DF72F3"/>
    <w:rsid w:val="00E00230"/>
    <w:rsid w:val="00E00442"/>
    <w:rsid w:val="00E015B8"/>
    <w:rsid w:val="00E02445"/>
    <w:rsid w:val="00E03ECE"/>
    <w:rsid w:val="00E043C4"/>
    <w:rsid w:val="00E047E9"/>
    <w:rsid w:val="00E0521D"/>
    <w:rsid w:val="00E074E3"/>
    <w:rsid w:val="00E127E1"/>
    <w:rsid w:val="00E13B7B"/>
    <w:rsid w:val="00E142EC"/>
    <w:rsid w:val="00E158DF"/>
    <w:rsid w:val="00E2203D"/>
    <w:rsid w:val="00E220AD"/>
    <w:rsid w:val="00E222BB"/>
    <w:rsid w:val="00E23954"/>
    <w:rsid w:val="00E26258"/>
    <w:rsid w:val="00E278C8"/>
    <w:rsid w:val="00E27FFC"/>
    <w:rsid w:val="00E335F8"/>
    <w:rsid w:val="00E34490"/>
    <w:rsid w:val="00E3454D"/>
    <w:rsid w:val="00E34DD1"/>
    <w:rsid w:val="00E352D8"/>
    <w:rsid w:val="00E36D56"/>
    <w:rsid w:val="00E377AA"/>
    <w:rsid w:val="00E41613"/>
    <w:rsid w:val="00E4166F"/>
    <w:rsid w:val="00E41BB3"/>
    <w:rsid w:val="00E42966"/>
    <w:rsid w:val="00E43E1F"/>
    <w:rsid w:val="00E45DA7"/>
    <w:rsid w:val="00E47E16"/>
    <w:rsid w:val="00E51A86"/>
    <w:rsid w:val="00E52B88"/>
    <w:rsid w:val="00E53B43"/>
    <w:rsid w:val="00E54558"/>
    <w:rsid w:val="00E55296"/>
    <w:rsid w:val="00E61C1E"/>
    <w:rsid w:val="00E61E3D"/>
    <w:rsid w:val="00E61F16"/>
    <w:rsid w:val="00E65C58"/>
    <w:rsid w:val="00E67755"/>
    <w:rsid w:val="00E67830"/>
    <w:rsid w:val="00E72CDA"/>
    <w:rsid w:val="00E76BD1"/>
    <w:rsid w:val="00E77098"/>
    <w:rsid w:val="00E7793E"/>
    <w:rsid w:val="00E7794B"/>
    <w:rsid w:val="00E804F0"/>
    <w:rsid w:val="00E8474D"/>
    <w:rsid w:val="00E85101"/>
    <w:rsid w:val="00E87046"/>
    <w:rsid w:val="00E932E8"/>
    <w:rsid w:val="00E9569E"/>
    <w:rsid w:val="00E959BD"/>
    <w:rsid w:val="00E95E51"/>
    <w:rsid w:val="00E96851"/>
    <w:rsid w:val="00EA0351"/>
    <w:rsid w:val="00EA151B"/>
    <w:rsid w:val="00EA28DD"/>
    <w:rsid w:val="00EA2ADC"/>
    <w:rsid w:val="00EA3777"/>
    <w:rsid w:val="00EA759A"/>
    <w:rsid w:val="00EA76B8"/>
    <w:rsid w:val="00EA7FE4"/>
    <w:rsid w:val="00EB06DD"/>
    <w:rsid w:val="00EB11E2"/>
    <w:rsid w:val="00EB59D0"/>
    <w:rsid w:val="00EB648A"/>
    <w:rsid w:val="00EB6C95"/>
    <w:rsid w:val="00EB6E90"/>
    <w:rsid w:val="00EB71B3"/>
    <w:rsid w:val="00EC103F"/>
    <w:rsid w:val="00EC18A9"/>
    <w:rsid w:val="00EC2608"/>
    <w:rsid w:val="00EC2DD4"/>
    <w:rsid w:val="00EC2FD2"/>
    <w:rsid w:val="00EC388A"/>
    <w:rsid w:val="00EC5DBC"/>
    <w:rsid w:val="00EC6E06"/>
    <w:rsid w:val="00EC7D85"/>
    <w:rsid w:val="00ED09BF"/>
    <w:rsid w:val="00ED343A"/>
    <w:rsid w:val="00ED364A"/>
    <w:rsid w:val="00ED4284"/>
    <w:rsid w:val="00ED7690"/>
    <w:rsid w:val="00EE137A"/>
    <w:rsid w:val="00EE1A08"/>
    <w:rsid w:val="00EE22E1"/>
    <w:rsid w:val="00EE3199"/>
    <w:rsid w:val="00EE34D1"/>
    <w:rsid w:val="00EF21BC"/>
    <w:rsid w:val="00EF22DA"/>
    <w:rsid w:val="00EF2C99"/>
    <w:rsid w:val="00EF3B04"/>
    <w:rsid w:val="00EF431B"/>
    <w:rsid w:val="00EF48CE"/>
    <w:rsid w:val="00EF4920"/>
    <w:rsid w:val="00EF72B0"/>
    <w:rsid w:val="00F00C40"/>
    <w:rsid w:val="00F00CD5"/>
    <w:rsid w:val="00F01245"/>
    <w:rsid w:val="00F03EE5"/>
    <w:rsid w:val="00F04A79"/>
    <w:rsid w:val="00F05DE8"/>
    <w:rsid w:val="00F06310"/>
    <w:rsid w:val="00F12F9E"/>
    <w:rsid w:val="00F15297"/>
    <w:rsid w:val="00F21CF6"/>
    <w:rsid w:val="00F23427"/>
    <w:rsid w:val="00F30D37"/>
    <w:rsid w:val="00F32C36"/>
    <w:rsid w:val="00F37E2C"/>
    <w:rsid w:val="00F426EE"/>
    <w:rsid w:val="00F43176"/>
    <w:rsid w:val="00F4439D"/>
    <w:rsid w:val="00F44CFD"/>
    <w:rsid w:val="00F456C2"/>
    <w:rsid w:val="00F4570D"/>
    <w:rsid w:val="00F5180C"/>
    <w:rsid w:val="00F51B36"/>
    <w:rsid w:val="00F521F4"/>
    <w:rsid w:val="00F54121"/>
    <w:rsid w:val="00F54AC6"/>
    <w:rsid w:val="00F61E91"/>
    <w:rsid w:val="00F62439"/>
    <w:rsid w:val="00F7261B"/>
    <w:rsid w:val="00F73987"/>
    <w:rsid w:val="00F7694A"/>
    <w:rsid w:val="00F77E9E"/>
    <w:rsid w:val="00F80CD3"/>
    <w:rsid w:val="00F80FDF"/>
    <w:rsid w:val="00F86B8A"/>
    <w:rsid w:val="00F86FC4"/>
    <w:rsid w:val="00F8787B"/>
    <w:rsid w:val="00F87E94"/>
    <w:rsid w:val="00F91229"/>
    <w:rsid w:val="00F92145"/>
    <w:rsid w:val="00F93CB3"/>
    <w:rsid w:val="00F94C2A"/>
    <w:rsid w:val="00F94E39"/>
    <w:rsid w:val="00F95CFC"/>
    <w:rsid w:val="00F96E87"/>
    <w:rsid w:val="00F97680"/>
    <w:rsid w:val="00F97925"/>
    <w:rsid w:val="00F979A2"/>
    <w:rsid w:val="00F97DD0"/>
    <w:rsid w:val="00FA26A0"/>
    <w:rsid w:val="00FA2D8D"/>
    <w:rsid w:val="00FA3B4C"/>
    <w:rsid w:val="00FA54B3"/>
    <w:rsid w:val="00FA59CF"/>
    <w:rsid w:val="00FA6E4F"/>
    <w:rsid w:val="00FA70A7"/>
    <w:rsid w:val="00FB0D80"/>
    <w:rsid w:val="00FB1992"/>
    <w:rsid w:val="00FB4BB4"/>
    <w:rsid w:val="00FB55BD"/>
    <w:rsid w:val="00FC3975"/>
    <w:rsid w:val="00FC53F3"/>
    <w:rsid w:val="00FC6F59"/>
    <w:rsid w:val="00FC7D58"/>
    <w:rsid w:val="00FD00C0"/>
    <w:rsid w:val="00FD0C75"/>
    <w:rsid w:val="00FD0C89"/>
    <w:rsid w:val="00FD125F"/>
    <w:rsid w:val="00FD2E83"/>
    <w:rsid w:val="00FD49E9"/>
    <w:rsid w:val="00FD4A17"/>
    <w:rsid w:val="00FD6185"/>
    <w:rsid w:val="00FE05A8"/>
    <w:rsid w:val="00FE09D2"/>
    <w:rsid w:val="00FE49AA"/>
    <w:rsid w:val="00FF26F3"/>
    <w:rsid w:val="00FF2D34"/>
    <w:rsid w:val="00FF4113"/>
    <w:rsid w:val="00FF4458"/>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0C27A1"/>
    <w:pPr>
      <w:spacing w:before="100" w:beforeAutospacing="1" w:after="100" w:afterAutospacing="1"/>
    </w:pPr>
  </w:style>
  <w:style w:type="paragraph" w:customStyle="1" w:styleId="Default">
    <w:name w:val="Default"/>
    <w:rsid w:val="00EF2C99"/>
    <w:pPr>
      <w:autoSpaceDE w:val="0"/>
      <w:autoSpaceDN w:val="0"/>
      <w:adjustRightInd w:val="0"/>
    </w:pPr>
    <w:rPr>
      <w:color w:val="000000"/>
      <w:sz w:val="24"/>
      <w:szCs w:val="24"/>
    </w:rPr>
  </w:style>
  <w:style w:type="character" w:styleId="IntenseReference">
    <w:name w:val="Intense Reference"/>
    <w:basedOn w:val="DefaultParagraphFont"/>
    <w:uiPriority w:val="32"/>
    <w:qFormat/>
    <w:rsid w:val="00555954"/>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64057967">
      <w:bodyDiv w:val="1"/>
      <w:marLeft w:val="0"/>
      <w:marRight w:val="0"/>
      <w:marTop w:val="0"/>
      <w:marBottom w:val="0"/>
      <w:divBdr>
        <w:top w:val="none" w:sz="0" w:space="0" w:color="auto"/>
        <w:left w:val="none" w:sz="0" w:space="0" w:color="auto"/>
        <w:bottom w:val="none" w:sz="0" w:space="0" w:color="auto"/>
        <w:right w:val="none" w:sz="0" w:space="0" w:color="auto"/>
      </w:divBdr>
    </w:div>
    <w:div w:id="885676525">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panova@mail.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BD330-D7B5-455D-980C-C4850759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4539</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30352</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2023-02-28T07:50:00Z</dcterms:created>
  <dcterms:modified xsi:type="dcterms:W3CDTF">2023-02-28T10:08:00Z</dcterms:modified>
</cp:coreProperties>
</file>