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41" w:rightFromText="141" w:vertAnchor="text" w:horzAnchor="margin" w:tblpX="-158" w:tblpY="-336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75"/>
        <w:gridCol w:w="2570"/>
        <w:gridCol w:w="1984"/>
        <w:gridCol w:w="3828"/>
      </w:tblGrid>
      <w:tr w:rsidR="00E914A8" w:rsidRPr="00E914A8" w:rsidTr="00763752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914A8" w:rsidRPr="00E914A8" w:rsidRDefault="00E914A8" w:rsidP="00284102">
            <w:pPr>
              <w:ind w:firstLine="737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E914A8">
              <w:rPr>
                <w:b/>
                <w:sz w:val="36"/>
                <w:szCs w:val="36"/>
              </w:rPr>
              <w:t xml:space="preserve">Становище на </w:t>
            </w:r>
          </w:p>
          <w:p w:rsidR="00E914A8" w:rsidRPr="00E914A8" w:rsidRDefault="00E914A8" w:rsidP="00284102">
            <w:pPr>
              <w:ind w:firstLine="737"/>
              <w:jc w:val="center"/>
              <w:rPr>
                <w:b/>
                <w:sz w:val="36"/>
                <w:szCs w:val="36"/>
                <w:lang w:val="ru-RU"/>
              </w:rPr>
            </w:pPr>
            <w:r w:rsidRPr="00E914A8">
              <w:rPr>
                <w:b/>
                <w:sz w:val="36"/>
                <w:szCs w:val="36"/>
              </w:rPr>
              <w:t>администрацията на Министерския съвет</w:t>
            </w:r>
          </w:p>
          <w:p w:rsidR="00E914A8" w:rsidRPr="00E914A8" w:rsidRDefault="00E914A8" w:rsidP="00284102">
            <w:pPr>
              <w:ind w:firstLine="737"/>
              <w:jc w:val="center"/>
              <w:rPr>
                <w:i/>
                <w:sz w:val="16"/>
                <w:szCs w:val="16"/>
              </w:rPr>
            </w:pPr>
            <w:r w:rsidRPr="00E914A8">
              <w:rPr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E914A8" w:rsidRPr="00E914A8" w:rsidTr="005E1A10">
        <w:trPr>
          <w:trHeight w:val="151"/>
        </w:trPr>
        <w:tc>
          <w:tcPr>
            <w:tcW w:w="4245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E914A8">
            <w:pPr>
              <w:ind w:firstLine="0"/>
            </w:pPr>
            <w:r w:rsidRPr="00E914A8">
              <w:rPr>
                <w:b/>
                <w:sz w:val="24"/>
                <w:szCs w:val="24"/>
              </w:rPr>
              <w:t>Проект на акт: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 xml:space="preserve">Вид </w:t>
            </w: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  <w:shd w:val="clear" w:color="auto" w:fill="000000" w:themeFill="text1"/>
              </w:rPr>
              <w:t>оценка: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4A8" w:rsidRPr="008453AE" w:rsidRDefault="00E914A8" w:rsidP="00284102">
            <w:pPr>
              <w:ind w:firstLine="0"/>
              <w:jc w:val="left"/>
            </w:pPr>
            <w:r w:rsidRPr="008453AE">
              <w:rPr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1" w:name="Dropdown1"/>
            <w:r w:rsidRPr="008453AE">
              <w:rPr>
                <w:shd w:val="clear" w:color="auto" w:fill="FFFFFF" w:themeFill="background1"/>
              </w:rPr>
              <w:instrText xml:space="preserve"> FORMDROPDOWN </w:instrText>
            </w:r>
            <w:r w:rsidR="00401E78">
              <w:rPr>
                <w:shd w:val="clear" w:color="auto" w:fill="FFFFFF" w:themeFill="background1"/>
              </w:rPr>
            </w:r>
            <w:r w:rsidR="00401E78">
              <w:rPr>
                <w:shd w:val="clear" w:color="auto" w:fill="FFFFFF" w:themeFill="background1"/>
              </w:rPr>
              <w:fldChar w:fldCharType="separate"/>
            </w:r>
            <w:r w:rsidRPr="008453AE">
              <w:rPr>
                <w:shd w:val="clear" w:color="auto" w:fill="FFFFFF" w:themeFill="background1"/>
              </w:rPr>
              <w:fldChar w:fldCharType="end"/>
            </w:r>
            <w:bookmarkEnd w:id="1"/>
          </w:p>
        </w:tc>
      </w:tr>
      <w:tr w:rsidR="00E914A8" w:rsidRPr="00E914A8" w:rsidTr="005E1A10">
        <w:trPr>
          <w:trHeight w:val="271"/>
        </w:trPr>
        <w:tc>
          <w:tcPr>
            <w:tcW w:w="4245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E914A8" w:rsidRPr="00E914A8" w:rsidRDefault="00F61327" w:rsidP="00E914A8">
            <w:pPr>
              <w:ind w:firstLine="0"/>
            </w:pPr>
            <w:r w:rsidRPr="00F61327">
              <w:t>Проект на Закон за изменение и допълнение на Закона за защита на растенията</w:t>
            </w: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Становище по ред:</w:t>
            </w:r>
          </w:p>
        </w:tc>
        <w:tc>
          <w:tcPr>
            <w:tcW w:w="382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4A8" w:rsidRPr="008453AE" w:rsidRDefault="00E914A8" w:rsidP="00284102">
            <w:pPr>
              <w:ind w:firstLine="0"/>
              <w:jc w:val="left"/>
            </w:pPr>
            <w:r w:rsidRPr="008453AE"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2" w:name="Dropdown2"/>
            <w:r w:rsidRPr="008453AE">
              <w:instrText xml:space="preserve"> FORMDROPDOWN </w:instrText>
            </w:r>
            <w:r w:rsidR="00401E78">
              <w:fldChar w:fldCharType="separate"/>
            </w:r>
            <w:r w:rsidRPr="008453AE">
              <w:fldChar w:fldCharType="end"/>
            </w:r>
            <w:bookmarkEnd w:id="2"/>
          </w:p>
        </w:tc>
      </w:tr>
      <w:tr w:rsidR="00E914A8" w:rsidRPr="00E914A8" w:rsidTr="00F61327">
        <w:trPr>
          <w:trHeight w:val="555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E914A8" w:rsidRPr="00E914A8" w:rsidRDefault="00E914A8" w:rsidP="00E914A8">
            <w:pPr>
              <w:ind w:firstLine="0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D925F7" w:rsidP="00F33713">
            <w:pPr>
              <w:ind w:left="13" w:firstLine="0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Номер и д</w:t>
            </w:r>
            <w:r w:rsidR="00E914A8"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ата:</w:t>
            </w:r>
          </w:p>
        </w:tc>
        <w:tc>
          <w:tcPr>
            <w:tcW w:w="382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4A8" w:rsidRPr="008453AE" w:rsidRDefault="000D788C" w:rsidP="00284102">
            <w:pPr>
              <w:ind w:firstLine="0"/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1.5pt;height:23pt">
                  <v:imagedata r:id="rId8" o:title=""/>
                  <o:lock v:ext="edit" ungrouping="t" rotation="t" cropping="t" verticies="t" text="t" grouping="t"/>
                  <o:signatureline v:ext="edit" id="{45027083-26C0-4EC9-AF5B-F659ACC07000}" provid="{00000000-0000-0000-0000-000000000000}" issignatureline="t"/>
                </v:shape>
              </w:pict>
            </w:r>
          </w:p>
        </w:tc>
      </w:tr>
      <w:tr w:rsidR="00E914A8" w:rsidRPr="00E914A8" w:rsidTr="005E1A10">
        <w:trPr>
          <w:trHeight w:val="198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E914A8" w:rsidRPr="00E914A8" w:rsidRDefault="00E914A8" w:rsidP="00E914A8">
            <w:pPr>
              <w:ind w:firstLine="0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В отговор на №:</w:t>
            </w:r>
          </w:p>
        </w:tc>
        <w:tc>
          <w:tcPr>
            <w:tcW w:w="3828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E914A8" w:rsidRPr="008453AE" w:rsidRDefault="00401E78" w:rsidP="00F61327">
            <w:pPr>
              <w:ind w:firstLine="0"/>
              <w:jc w:val="left"/>
            </w:pPr>
            <w:sdt>
              <w:sdtPr>
                <w:id w:val="752936331"/>
                <w:placeholder>
                  <w:docPart w:val="765A2D74EA764FD4AD94561FC72F403A"/>
                </w:placeholder>
              </w:sdtPr>
              <w:sdtEndPr/>
              <w:sdtContent>
                <w:sdt>
                  <w:sdtPr>
                    <w:id w:val="-2017300562"/>
                    <w:placeholder>
                      <w:docPart w:val="DBEAD984779449E7B7A980D6DE305141"/>
                    </w:placeholder>
                  </w:sdtPr>
                  <w:sdtEndPr/>
                  <w:sdtContent>
                    <w:r w:rsidR="00E52D72" w:rsidRPr="00E52D72">
                      <w:t>03-</w:t>
                    </w:r>
                    <w:r w:rsidR="00F61327">
                      <w:t>00-668</w:t>
                    </w:r>
                    <w:r w:rsidR="00E52D72" w:rsidRPr="00E52D72">
                      <w:t>/</w:t>
                    </w:r>
                    <w:r w:rsidR="00F61327">
                      <w:t>07.12</w:t>
                    </w:r>
                    <w:r w:rsidR="00E52D72" w:rsidRPr="00E52D72">
                      <w:t>.2022 г.</w:t>
                    </w:r>
                  </w:sdtContent>
                </w:sdt>
              </w:sdtContent>
            </w:sdt>
          </w:p>
        </w:tc>
      </w:tr>
      <w:tr w:rsidR="00E914A8" w:rsidRPr="00E914A8" w:rsidTr="005E1A10">
        <w:trPr>
          <w:trHeight w:val="133"/>
        </w:trPr>
        <w:tc>
          <w:tcPr>
            <w:tcW w:w="4245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E914A8" w:rsidRPr="00E914A8" w:rsidRDefault="00E914A8" w:rsidP="00E914A8">
            <w:pPr>
              <w:ind w:firstLine="0"/>
            </w:pPr>
          </w:p>
        </w:tc>
        <w:tc>
          <w:tcPr>
            <w:tcW w:w="1984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13"/>
              <w:contextualSpacing/>
              <w:jc w:val="left"/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</w:pPr>
            <w:r w:rsidRPr="00E914A8">
              <w:rPr>
                <w:rFonts w:asciiTheme="majorHAnsi" w:eastAsiaTheme="majorEastAsia" w:hAnsiTheme="majorHAnsi" w:cstheme="majorBidi"/>
                <w:b/>
                <w:spacing w:val="-10"/>
                <w:kern w:val="28"/>
                <w:sz w:val="24"/>
                <w:szCs w:val="56"/>
              </w:rPr>
              <w:t>Институция:</w:t>
            </w:r>
          </w:p>
        </w:tc>
        <w:sdt>
          <w:sdtPr>
            <w:id w:val="-390038682"/>
            <w:placeholder>
              <w:docPart w:val="A4672B8309D84DFC9EEAE4F94BA0F5A0"/>
            </w:placeholder>
          </w:sdtPr>
          <w:sdtEndPr/>
          <w:sdtContent>
            <w:sdt>
              <w:sdtPr>
                <w:id w:val="687492188"/>
                <w:placeholder>
                  <w:docPart w:val="B99EDE92853D48A1A72CCF187CF3FD02"/>
                </w:placeholder>
              </w:sdtPr>
              <w:sdtEndPr/>
              <w:sdtContent>
                <w:tc>
                  <w:tcPr>
                    <w:tcW w:w="3828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E914A8" w:rsidRPr="008453AE" w:rsidRDefault="00F61327" w:rsidP="00E52D72">
                    <w:pPr>
                      <w:ind w:firstLine="0"/>
                      <w:jc w:val="left"/>
                    </w:pPr>
                    <w:r w:rsidRPr="00F61327">
                      <w:t xml:space="preserve">Министерство на икономиката и индустрията </w:t>
                    </w:r>
                  </w:p>
                </w:tc>
              </w:sdtContent>
            </w:sdt>
          </w:sdtContent>
        </w:sdt>
      </w:tr>
      <w:tr w:rsidR="00E914A8" w:rsidRPr="00E914A8" w:rsidTr="008772C6">
        <w:trPr>
          <w:trHeight w:val="353"/>
        </w:trPr>
        <w:tc>
          <w:tcPr>
            <w:tcW w:w="1675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E914A8">
              <w:rPr>
                <w:b/>
                <w:sz w:val="24"/>
                <w:szCs w:val="24"/>
              </w:rPr>
              <w:t>Диспозитив:</w:t>
            </w:r>
          </w:p>
        </w:tc>
        <w:tc>
          <w:tcPr>
            <w:tcW w:w="83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914A8" w:rsidRPr="00E914A8" w:rsidRDefault="00401E78" w:rsidP="00F33713">
            <w:pPr>
              <w:ind w:firstLine="0"/>
              <w:jc w:val="left"/>
            </w:pPr>
            <w:hyperlink w:anchor="Dropdown3" w:tooltip="Съобразете текста от раздела с ограниченията спрямо диспозитива." w:history="1">
              <w:r w:rsidR="00E914A8" w:rsidRPr="00E914A8">
                <w:fldChar w:fldCharType="begin">
                  <w:ffData>
                    <w:name w:val="Dropdown3"/>
                    <w:enabled/>
                    <w:calcOnExit w:val="0"/>
                    <w:ddList>
                      <w:result w:val="1"/>
                      <w:listEntry w:val="Съгласува без препоръки"/>
                      <w:listEntry w:val="Съгласува с препоръки"/>
                      <w:listEntry w:val="Съгласува с препоръка за извършване на цялостна ОВ"/>
                    </w:ddList>
                  </w:ffData>
                </w:fldChar>
              </w:r>
              <w:bookmarkStart w:id="3" w:name="Dropdown3"/>
              <w:r w:rsidR="00E914A8" w:rsidRPr="00E914A8">
                <w:instrText xml:space="preserve"> FORMDROPDOWN </w:instrText>
              </w:r>
              <w:r>
                <w:fldChar w:fldCharType="separate"/>
              </w:r>
              <w:r w:rsidR="00E914A8" w:rsidRPr="00E914A8">
                <w:fldChar w:fldCharType="end"/>
              </w:r>
              <w:bookmarkEnd w:id="3"/>
            </w:hyperlink>
          </w:p>
        </w:tc>
      </w:tr>
      <w:tr w:rsidR="00E914A8" w:rsidRPr="00E914A8" w:rsidTr="00F61327">
        <w:trPr>
          <w:trHeight w:val="537"/>
        </w:trPr>
        <w:tc>
          <w:tcPr>
            <w:tcW w:w="1675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E914A8" w:rsidRPr="00E914A8" w:rsidRDefault="00E914A8" w:rsidP="00F33713">
            <w:pPr>
              <w:ind w:firstLine="0"/>
              <w:jc w:val="left"/>
            </w:pPr>
            <w:r w:rsidRPr="00E914A8">
              <w:rPr>
                <w:b/>
                <w:sz w:val="24"/>
                <w:szCs w:val="24"/>
              </w:rPr>
              <w:t>Основание:</w:t>
            </w:r>
          </w:p>
        </w:tc>
        <w:tc>
          <w:tcPr>
            <w:tcW w:w="2570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E914A8" w:rsidRPr="00E914A8" w:rsidRDefault="00E914A8" w:rsidP="00F33713">
            <w:pPr>
              <w:ind w:firstLine="0"/>
              <w:jc w:val="left"/>
            </w:pPr>
            <w:r w:rsidRPr="00E914A8">
              <w:t>Чл. 30б, ал. 3, т. 2, б. “а</w:t>
            </w:r>
            <w:r w:rsidRPr="00E914A8">
              <w:rPr>
                <w:lang w:val="ru-RU"/>
              </w:rPr>
              <w:t>”</w:t>
            </w:r>
          </w:p>
        </w:tc>
        <w:tc>
          <w:tcPr>
            <w:tcW w:w="5812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E914A8" w:rsidRPr="00E914A8" w:rsidRDefault="00E914A8" w:rsidP="00F33713">
            <w:pPr>
              <w:ind w:firstLine="0"/>
              <w:jc w:val="left"/>
            </w:pPr>
            <w:r w:rsidRPr="00E914A8">
              <w:t>от Устройствения правилник на Министерския съвет и на неговата администрация</w:t>
            </w:r>
          </w:p>
        </w:tc>
      </w:tr>
    </w:tbl>
    <w:p w:rsidR="00763752" w:rsidRDefault="00763752" w:rsidP="00763752">
      <w:pPr>
        <w:ind w:firstLine="0"/>
        <w:rPr>
          <w:sz w:val="6"/>
          <w:szCs w:val="6"/>
        </w:rPr>
      </w:pPr>
    </w:p>
    <w:tbl>
      <w:tblPr>
        <w:tblStyle w:val="TableGrid"/>
        <w:tblW w:w="9923" w:type="dxa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93BAD" w:rsidTr="00127707">
        <w:tc>
          <w:tcPr>
            <w:tcW w:w="9923" w:type="dxa"/>
            <w:shd w:val="clear" w:color="auto" w:fill="FFFFFF" w:themeFill="background1"/>
          </w:tcPr>
          <w:p w:rsidR="005403BB" w:rsidRPr="005403BB" w:rsidRDefault="005403BB" w:rsidP="00E95422">
            <w:pPr>
              <w:pStyle w:val="a"/>
            </w:pPr>
            <w:r w:rsidRPr="005403BB">
              <w:t>Относно раздел 1 „Проблем/проблеми за решаване”</w:t>
            </w:r>
          </w:p>
          <w:p w:rsidR="00E95422" w:rsidRDefault="00AF0B29" w:rsidP="00E95422">
            <w:r>
              <w:t xml:space="preserve">Липсата на съответствие на </w:t>
            </w:r>
            <w:r w:rsidRPr="00A76AC2">
              <w:rPr>
                <w:i/>
              </w:rPr>
              <w:t>Закона за защита на растенията</w:t>
            </w:r>
            <w:r>
              <w:t xml:space="preserve"> с нормативните актове на Европейския съюз не може да бъде определено като проблем. </w:t>
            </w:r>
            <w:r w:rsidR="00A76AC2">
              <w:t>П</w:t>
            </w:r>
            <w:r>
              <w:t xml:space="preserve">риложението на </w:t>
            </w:r>
            <w:r w:rsidRPr="00A76AC2">
              <w:rPr>
                <w:i/>
              </w:rPr>
              <w:t xml:space="preserve">Регламент (EС) </w:t>
            </w:r>
            <w:r w:rsidR="00A76AC2" w:rsidRPr="00A76AC2">
              <w:rPr>
                <w:i/>
              </w:rPr>
              <w:t xml:space="preserve">2019/1009, Регламент (ЕС) 2019/1020 </w:t>
            </w:r>
            <w:r w:rsidRPr="00A76AC2">
              <w:rPr>
                <w:i/>
              </w:rPr>
              <w:t xml:space="preserve">и </w:t>
            </w:r>
            <w:r w:rsidR="00A76AC2" w:rsidRPr="00A76AC2">
              <w:rPr>
                <w:i/>
              </w:rPr>
              <w:t>Регламент (ЕС) 2019/515</w:t>
            </w:r>
            <w:r>
              <w:t xml:space="preserve"> не предвижда само формално приемане на нормативния акт, а обхваща </w:t>
            </w:r>
            <w:r w:rsidRPr="00A76AC2">
              <w:rPr>
                <w:b/>
              </w:rPr>
              <w:t>конкретни мерки</w:t>
            </w:r>
            <w:r>
              <w:t>, които следва да се приложат в националното ни законодателство. В тази връзка, когато става въпрос за приемане на мерки за прилагането на</w:t>
            </w:r>
            <w:r w:rsidR="0054399F">
              <w:t xml:space="preserve"> актове на ЕС,</w:t>
            </w:r>
            <w:r w:rsidR="00A76AC2">
              <w:t xml:space="preserve"> </w:t>
            </w:r>
            <w:r>
              <w:t>оценка</w:t>
            </w:r>
            <w:r w:rsidR="00A76AC2">
              <w:t>та</w:t>
            </w:r>
            <w:r>
              <w:t xml:space="preserve"> на въздействието следва да включва проблемите и целите, залегнали в изготвените от европейските институции оценки на въздействието на съответния нормативен акт</w:t>
            </w:r>
            <w:r w:rsidR="00E95422">
              <w:t xml:space="preserve"> (раздел 8)</w:t>
            </w:r>
            <w:r w:rsidR="00A76AC2">
              <w:t>.</w:t>
            </w:r>
            <w:r w:rsidR="0054399F">
              <w:t xml:space="preserve"> </w:t>
            </w:r>
          </w:p>
          <w:p w:rsidR="009D3892" w:rsidRDefault="00E95422" w:rsidP="00E95422">
            <w:r>
              <w:t xml:space="preserve">В допълнение на горното </w:t>
            </w:r>
            <w:r w:rsidR="0054399F" w:rsidRPr="0054399F">
              <w:t xml:space="preserve">препоръчваме да се разгледат като </w:t>
            </w:r>
            <w:r w:rsidR="0054399F" w:rsidRPr="000D0753">
              <w:rPr>
                <w:i/>
              </w:rPr>
              <w:t>Проблем 1</w:t>
            </w:r>
            <w:r w:rsidR="0054399F" w:rsidRPr="0054399F">
              <w:t xml:space="preserve">, </w:t>
            </w:r>
            <w:r w:rsidR="0054399F" w:rsidRPr="000D0753">
              <w:rPr>
                <w:i/>
              </w:rPr>
              <w:t>Проблем 2</w:t>
            </w:r>
            <w:r w:rsidR="000D0753">
              <w:rPr>
                <w:i/>
              </w:rPr>
              <w:t xml:space="preserve"> и Проблем 3 </w:t>
            </w:r>
            <w:r w:rsidR="0054399F" w:rsidRPr="0054399F">
              <w:t>отделните регламенти, така че за всеки проблем или група сходни да се дефинират съответните цели и се предложат варианти за действие.</w:t>
            </w:r>
            <w:r>
              <w:t xml:space="preserve"> </w:t>
            </w:r>
            <w:r w:rsidR="00AF0B29">
              <w:t xml:space="preserve">В случай че са налице данни от изготвени анализи, доклади или друга </w:t>
            </w:r>
            <w:r w:rsidR="0054399F">
              <w:t xml:space="preserve">относима информация на ниво ЕС следва също да </w:t>
            </w:r>
            <w:r w:rsidR="00AF0B29">
              <w:t>се включи в този раздел.</w:t>
            </w:r>
          </w:p>
          <w:p w:rsidR="009D3892" w:rsidRPr="009D3892" w:rsidRDefault="009D3892" w:rsidP="00E95422">
            <w:pPr>
              <w:pStyle w:val="a"/>
            </w:pPr>
            <w:r w:rsidRPr="00054E92">
              <w:t>Относно</w:t>
            </w:r>
            <w:r w:rsidRPr="009D3892">
              <w:t xml:space="preserve"> раздел 2 „Цели”</w:t>
            </w:r>
          </w:p>
          <w:p w:rsidR="000D0753" w:rsidRDefault="000D0753" w:rsidP="00E95422">
            <w:r>
              <w:t xml:space="preserve">Целите не са </w:t>
            </w:r>
            <w:r w:rsidRPr="000D0753">
              <w:t>само да се осигури прилагането на регламент</w:t>
            </w:r>
            <w:r>
              <w:t>ите</w:t>
            </w:r>
            <w:r w:rsidRPr="000D0753">
              <w:t xml:space="preserve">, а </w:t>
            </w:r>
            <w:r>
              <w:t xml:space="preserve">следва </w:t>
            </w:r>
            <w:r w:rsidRPr="000D0753">
              <w:t xml:space="preserve">да станат ясни </w:t>
            </w:r>
            <w:r w:rsidR="00E95422">
              <w:t xml:space="preserve">и </w:t>
            </w:r>
            <w:r w:rsidRPr="000D0753">
              <w:t>конкретните цели, обвързани с политиката на ЕС в тази област и очакваните резултати от нейното въвеждане.</w:t>
            </w:r>
            <w:r>
              <w:t xml:space="preserve"> </w:t>
            </w:r>
            <w:r w:rsidR="00054E92" w:rsidRPr="00054E92">
              <w:t>В</w:t>
            </w:r>
            <w:r>
              <w:t xml:space="preserve"> този контекст и с оглед </w:t>
            </w:r>
            <w:r w:rsidR="00054E92" w:rsidRPr="00054E92">
              <w:t>препоръките по раздел първи, след ясното дефиниране на проблемите, следва да бъдат формулирани и съответните цели, при възможност количест</w:t>
            </w:r>
            <w:r>
              <w:t>вено или качествено представени, така че в бъдеще да е възможно да се прецени дали са били постигнати или не.</w:t>
            </w:r>
            <w:r w:rsidRPr="0009759F">
              <w:t xml:space="preserve"> </w:t>
            </w:r>
          </w:p>
          <w:p w:rsidR="0054399F" w:rsidRDefault="000D0753" w:rsidP="00E95422">
            <w:r>
              <w:t>Напомняме, че ц</w:t>
            </w:r>
            <w:r w:rsidR="00054E92" w:rsidRPr="00054E92">
              <w:t xml:space="preserve">елите трябва да са измерими </w:t>
            </w:r>
            <w:r w:rsidR="00054E92">
              <w:t xml:space="preserve">и </w:t>
            </w:r>
            <w:r w:rsidR="00054E92" w:rsidRPr="00054E92">
              <w:t>да водят до решаването на дефинирания проблем.</w:t>
            </w:r>
            <w:r>
              <w:t xml:space="preserve"> В</w:t>
            </w:r>
            <w:r w:rsidR="0008097E">
              <w:t xml:space="preserve"> тази връзка,</w:t>
            </w:r>
            <w:r>
              <w:t xml:space="preserve"> за </w:t>
            </w:r>
            <w:r w:rsidRPr="000D0753">
              <w:t>коректното дефиниране на целите</w:t>
            </w:r>
            <w:r>
              <w:t>,</w:t>
            </w:r>
            <w:r w:rsidRPr="000D0753">
              <w:t xml:space="preserve"> препоръчваме да се ползва </w:t>
            </w:r>
            <w:r w:rsidRPr="000D0753">
              <w:rPr>
                <w:i/>
              </w:rPr>
              <w:t>Ръководството за извършване на предварителна оценка на въздействието</w:t>
            </w:r>
            <w:r w:rsidRPr="000D0753">
              <w:t xml:space="preserve"> (стр. 22 - 24)</w:t>
            </w:r>
            <w:r>
              <w:t>.</w:t>
            </w:r>
          </w:p>
          <w:p w:rsidR="00482F9B" w:rsidRPr="00482F9B" w:rsidRDefault="00482F9B" w:rsidP="00E95422">
            <w:pPr>
              <w:pStyle w:val="a"/>
            </w:pPr>
            <w:r w:rsidRPr="00482F9B">
              <w:t>Относно раздел 3 „Заинтересовани страни”</w:t>
            </w:r>
          </w:p>
          <w:p w:rsidR="005E1A10" w:rsidRDefault="0008097E" w:rsidP="00E95422">
            <w:pPr>
              <w:ind w:firstLine="747"/>
            </w:pPr>
            <w:r w:rsidRPr="0008097E">
              <w:t xml:space="preserve">В раздела са идентифицирани голям брой заинтересовани страни, за които промените биха могли да имат различно въздействие. </w:t>
            </w:r>
            <w:r w:rsidR="00AE4ED8" w:rsidRPr="00AE4ED8">
              <w:t xml:space="preserve">Предлагаме </w:t>
            </w:r>
            <w:r w:rsidR="005E1A10">
              <w:t xml:space="preserve">те </w:t>
            </w:r>
            <w:r w:rsidR="00AE4ED8" w:rsidRPr="00AE4ED8">
              <w:t xml:space="preserve">да се определят по групи </w:t>
            </w:r>
            <w:r w:rsidR="005E1A10">
              <w:t>на преки</w:t>
            </w:r>
            <w:r w:rsidR="00AE4ED8" w:rsidRPr="00AE4ED8">
              <w:t xml:space="preserve"> и косвено засегнати страни</w:t>
            </w:r>
            <w:r w:rsidR="005E1A10">
              <w:t>.</w:t>
            </w:r>
            <w:r w:rsidR="00AE4ED8">
              <w:t xml:space="preserve"> </w:t>
            </w:r>
            <w:r w:rsidR="005E1A10">
              <w:t>Необходимо е</w:t>
            </w:r>
            <w:r w:rsidR="00AE4ED8" w:rsidRPr="00AE4ED8">
              <w:t xml:space="preserve"> да се посочи конкретен брой на заинтересованите страни (</w:t>
            </w:r>
            <w:r w:rsidR="00AE4ED8">
              <w:t>п</w:t>
            </w:r>
            <w:r w:rsidR="00AE4ED8" w:rsidRPr="0008097E">
              <w:t>роизводители</w:t>
            </w:r>
            <w:r w:rsidR="00AE4ED8">
              <w:t>,</w:t>
            </w:r>
            <w:r w:rsidR="00AE4ED8" w:rsidRPr="0008097E">
              <w:t xml:space="preserve"> вносители и дистрибутори</w:t>
            </w:r>
            <w:r w:rsidR="00AE4ED8">
              <w:t>)</w:t>
            </w:r>
            <w:r w:rsidR="005E1A10">
              <w:t>.</w:t>
            </w:r>
            <w:r w:rsidR="00AE4ED8">
              <w:t xml:space="preserve"> И</w:t>
            </w:r>
            <w:r w:rsidR="00AE4ED8" w:rsidRPr="00AE4ED8">
              <w:t>нформацията може да бъде взета от регистри, статистическа информация, по</w:t>
            </w:r>
            <w:r w:rsidR="00AE4ED8">
              <w:t>ддържана от институцията, НСИ и др.)</w:t>
            </w:r>
            <w:r w:rsidR="00AE4ED8" w:rsidRPr="00AE4ED8">
              <w:t xml:space="preserve">. За някои от заинтересованите страни, като например потребителите, броят може да е за определен период от време. </w:t>
            </w:r>
          </w:p>
          <w:p w:rsidR="00AE4ED8" w:rsidRDefault="00AE4ED8" w:rsidP="00E95422">
            <w:pPr>
              <w:ind w:firstLine="747"/>
            </w:pPr>
            <w:r w:rsidRPr="00AE4ED8">
              <w:lastRenderedPageBreak/>
              <w:t>Използваме възможността да Ви напомним, че при извършването на бъдещи оценки на въздействието, ако Ви е необходима конкретна информация, с която не разполагате, бихте могли да я поискате от държавните органи и бюджетните организации по смисъла на Закона за публичните финанси. Основанието за това е въведено в чл. 23 от Закона за нормативните актове.</w:t>
            </w:r>
            <w:r>
              <w:t xml:space="preserve"> </w:t>
            </w:r>
          </w:p>
          <w:p w:rsidR="00AF0B29" w:rsidRDefault="00482F9B" w:rsidP="00E95422">
            <w:pPr>
              <w:pStyle w:val="a"/>
            </w:pPr>
            <w:r w:rsidRPr="00482F9B">
              <w:t>Относно раздел 4 „Варианти на действие. Анализ на въздействията:”</w:t>
            </w:r>
          </w:p>
          <w:p w:rsidR="00482F9B" w:rsidRPr="00482F9B" w:rsidRDefault="00601FBD" w:rsidP="00E95422">
            <w:r w:rsidRPr="00601FBD">
              <w:t>Вариантите на действие трябва да бъдат разгледани поотделно за всеки проблем.</w:t>
            </w:r>
            <w:r>
              <w:t xml:space="preserve"> </w:t>
            </w:r>
            <w:r w:rsidR="00AF0B29">
              <w:t xml:space="preserve">При разработването на </w:t>
            </w:r>
            <w:r w:rsidR="00AF0B29" w:rsidRPr="00601FBD">
              <w:rPr>
                <w:i/>
              </w:rPr>
              <w:t xml:space="preserve">Вариант </w:t>
            </w:r>
            <w:r w:rsidRPr="00601FBD">
              <w:rPr>
                <w:i/>
              </w:rPr>
              <w:t xml:space="preserve">1 </w:t>
            </w:r>
            <w:r w:rsidR="00AF0B29" w:rsidRPr="00601FBD">
              <w:rPr>
                <w:i/>
              </w:rPr>
              <w:t>„Без действие“</w:t>
            </w:r>
            <w:r w:rsidR="00AF0B29">
              <w:t xml:space="preserve"> трябва да се разглеждат действащите правни норми</w:t>
            </w:r>
            <w:r>
              <w:t xml:space="preserve">, </w:t>
            </w:r>
            <w:r w:rsidR="00AF0B29">
              <w:t>сегашното развитие на сектора</w:t>
            </w:r>
            <w:r w:rsidR="005E1A10">
              <w:t xml:space="preserve">, </w:t>
            </w:r>
            <w:r w:rsidR="00AF0B29">
              <w:t>отрасъла</w:t>
            </w:r>
            <w:r w:rsidR="005E1A10">
              <w:t xml:space="preserve"> и т.н. </w:t>
            </w:r>
            <w:r w:rsidR="00AF0B29">
              <w:t>В тази връзка</w:t>
            </w:r>
            <w:r>
              <w:t xml:space="preserve"> </w:t>
            </w:r>
            <w:r w:rsidR="00AF0B29" w:rsidRPr="00601FBD">
              <w:rPr>
                <w:i/>
              </w:rPr>
              <w:t>Вариант 1</w:t>
            </w:r>
            <w:r w:rsidR="00AF0B29">
              <w:t xml:space="preserve"> </w:t>
            </w:r>
            <w:r>
              <w:t xml:space="preserve">трябва </w:t>
            </w:r>
            <w:r w:rsidR="00AF0B29">
              <w:t xml:space="preserve">да </w:t>
            </w:r>
            <w:r>
              <w:t>съдържа</w:t>
            </w:r>
            <w:r w:rsidR="00AF0B29">
              <w:t xml:space="preserve"> информация </w:t>
            </w:r>
            <w:r>
              <w:t xml:space="preserve">за настоящите </w:t>
            </w:r>
            <w:r w:rsidRPr="00601FBD">
              <w:t>правила за предоставяне на пазара на ЕС продукти за наторяване</w:t>
            </w:r>
            <w:r w:rsidR="00AF0B29">
              <w:t xml:space="preserve">, а </w:t>
            </w:r>
            <w:r w:rsidR="00AF0B29" w:rsidRPr="0088564C">
              <w:rPr>
                <w:i/>
              </w:rPr>
              <w:t>Вариант 2</w:t>
            </w:r>
            <w:r w:rsidR="00AF0B29">
              <w:t xml:space="preserve"> да съдържа конкретните предложения за промяна в </w:t>
            </w:r>
            <w:r w:rsidR="00AF0B29" w:rsidRPr="0088564C">
              <w:rPr>
                <w:i/>
              </w:rPr>
              <w:t>Закона за защита на растенията</w:t>
            </w:r>
            <w:r w:rsidR="00AF0B29">
              <w:t xml:space="preserve">. Следва да се </w:t>
            </w:r>
            <w:r w:rsidR="002F0525">
              <w:t xml:space="preserve">опишат новите </w:t>
            </w:r>
            <w:r w:rsidR="002F0525" w:rsidRPr="002F0525">
              <w:t>правила за предоставяне на пазара на продукти за</w:t>
            </w:r>
            <w:r w:rsidR="002F0525">
              <w:t xml:space="preserve"> наторяване с маркировката „СЕ“, </w:t>
            </w:r>
            <w:r w:rsidR="00FD611D" w:rsidRPr="00FD611D">
              <w:t>правилата и процедурите за взаимно признаване на торове, подобрители на почвата, биологично активни вещества и хранителни субстрати</w:t>
            </w:r>
            <w:r w:rsidR="00FD611D">
              <w:t xml:space="preserve">, </w:t>
            </w:r>
            <w:r w:rsidR="00FD611D" w:rsidRPr="00FD611D">
              <w:t>езикови</w:t>
            </w:r>
            <w:r w:rsidR="00FD611D">
              <w:t>те</w:t>
            </w:r>
            <w:r w:rsidR="00FD611D" w:rsidRPr="00FD611D">
              <w:t xml:space="preserve"> изисквания за предоставяне на информация от страна на икономическите оператори</w:t>
            </w:r>
            <w:r w:rsidR="00FD611D">
              <w:t xml:space="preserve">, </w:t>
            </w:r>
            <w:r w:rsidR="00FD611D" w:rsidRPr="00FD611D">
              <w:t>санкции</w:t>
            </w:r>
            <w:r w:rsidR="00FD611D">
              <w:t xml:space="preserve">те за нарушаване на изискванията, </w:t>
            </w:r>
            <w:r w:rsidR="002F0525">
              <w:t xml:space="preserve">задълженията на </w:t>
            </w:r>
            <w:r w:rsidR="002F0525" w:rsidRPr="00FD611D">
              <w:rPr>
                <w:i/>
              </w:rPr>
              <w:t>Изпълнителна агенция „Българска служба за акредитация“</w:t>
            </w:r>
            <w:r w:rsidR="002F0525">
              <w:t xml:space="preserve"> и </w:t>
            </w:r>
            <w:r w:rsidR="002F0525" w:rsidRPr="00FD611D">
              <w:rPr>
                <w:i/>
              </w:rPr>
              <w:t>Българска агенция по безопасност на храните</w:t>
            </w:r>
            <w:r w:rsidR="00FD611D">
              <w:rPr>
                <w:i/>
              </w:rPr>
              <w:t xml:space="preserve"> </w:t>
            </w:r>
            <w:r w:rsidR="00FD611D" w:rsidRPr="00FD611D">
              <w:t>и др.</w:t>
            </w:r>
            <w:r w:rsidR="00FD611D">
              <w:t xml:space="preserve"> Напомняме , че ако се </w:t>
            </w:r>
            <w:r w:rsidR="00AF0B29">
              <w:t>предвиждат административни наказания, следва да се опиш</w:t>
            </w:r>
            <w:r w:rsidR="00482F9B">
              <w:t>е какъв ще е механизма за определяне размерите</w:t>
            </w:r>
            <w:r w:rsidR="00AF0B29">
              <w:t xml:space="preserve"> на санкциите при установ</w:t>
            </w:r>
            <w:r w:rsidR="00FD611D">
              <w:t>яване на нарушения</w:t>
            </w:r>
            <w:r w:rsidR="00482F9B">
              <w:t>, както и да се даде и</w:t>
            </w:r>
            <w:r w:rsidR="00482F9B" w:rsidRPr="00482F9B">
              <w:t>нформация относно финансовата и ресурсна обезпеченост</w:t>
            </w:r>
            <w:r w:rsidR="00482F9B">
              <w:t xml:space="preserve"> при реализирането на този вариант.</w:t>
            </w:r>
          </w:p>
          <w:p w:rsidR="00482F9B" w:rsidRPr="00482F9B" w:rsidRDefault="00482F9B" w:rsidP="00E95422">
            <w:pPr>
              <w:ind w:firstLine="747"/>
              <w:rPr>
                <w:b/>
              </w:rPr>
            </w:pPr>
            <w:r w:rsidRPr="00482F9B">
              <w:rPr>
                <w:b/>
              </w:rPr>
              <w:t>Относно Анализ на въздействията</w:t>
            </w:r>
          </w:p>
          <w:p w:rsidR="005403BB" w:rsidRDefault="005403BB" w:rsidP="00E95422">
            <w:r w:rsidRPr="005403BB">
              <w:t>Към момента информацията</w:t>
            </w:r>
            <w:r>
              <w:t xml:space="preserve"> за очакваните въздействия</w:t>
            </w:r>
            <w:r w:rsidRPr="005403BB">
              <w:t xml:space="preserve"> е обща и недостатъчна. Необходимо е да се посочат конкретните икономически, социални, екологични или други въздействия върху всички заинтересовани страни</w:t>
            </w:r>
            <w:r>
              <w:t xml:space="preserve"> от </w:t>
            </w:r>
            <w:r w:rsidRPr="005403BB">
              <w:t>раздел 3.</w:t>
            </w:r>
            <w:r>
              <w:t xml:space="preserve"> В случай че очакваните въздействия са сходни, това следва да се посочи в изложението.</w:t>
            </w:r>
          </w:p>
          <w:p w:rsidR="005E1A10" w:rsidRDefault="005E1A10" w:rsidP="005E1A10">
            <w:pPr>
              <w:ind w:firstLine="747"/>
            </w:pPr>
            <w:r>
              <w:t xml:space="preserve">Поради факта, че са идентифицирани в раздел 3 търговци, дистрибутори и производители, които се явяват МСП, следва да се ревизира твърдението, че </w:t>
            </w:r>
            <w:r w:rsidRPr="005E1A10">
              <w:t>няма въздействия върху МСП</w:t>
            </w:r>
            <w:r>
              <w:t xml:space="preserve">. </w:t>
            </w:r>
          </w:p>
          <w:p w:rsidR="005403BB" w:rsidRDefault="005403BB" w:rsidP="00E95422">
            <w:r>
              <w:t>Отново препоръчваме п</w:t>
            </w:r>
            <w:r w:rsidRPr="005403BB">
              <w:t xml:space="preserve">ри разглеждане на въздействията да се </w:t>
            </w:r>
            <w:r>
              <w:t>следват</w:t>
            </w:r>
            <w:r w:rsidRPr="005403BB">
              <w:t xml:space="preserve"> насоките от </w:t>
            </w:r>
            <w:r w:rsidRPr="005403BB">
              <w:rPr>
                <w:i/>
              </w:rPr>
              <w:t>Ръководството за извършване на предварителна оценка на въздействието</w:t>
            </w:r>
            <w:r w:rsidRPr="005403BB">
              <w:t xml:space="preserve"> (стр. 28-37).</w:t>
            </w:r>
          </w:p>
          <w:p w:rsidR="005403BB" w:rsidRPr="005403BB" w:rsidRDefault="005403BB" w:rsidP="00E95422">
            <w:pPr>
              <w:pStyle w:val="a"/>
            </w:pPr>
            <w:r w:rsidRPr="005403BB">
              <w:t>Относно раздел 6 „Избор на препоръчителен вариант:”</w:t>
            </w:r>
          </w:p>
          <w:p w:rsidR="005403BB" w:rsidRPr="005403BB" w:rsidRDefault="005403BB" w:rsidP="00E95422">
            <w:pPr>
              <w:ind w:firstLine="747"/>
              <w:rPr>
                <w:b/>
              </w:rPr>
            </w:pPr>
            <w:r w:rsidRPr="005403BB">
              <w:rPr>
                <w:b/>
              </w:rPr>
              <w:t>Относно подраздел 6.1 „Промяна в административната тежест …….:“</w:t>
            </w:r>
          </w:p>
          <w:p w:rsidR="005403BB" w:rsidRPr="00087ADE" w:rsidRDefault="005403BB" w:rsidP="00E95422">
            <w:r w:rsidRPr="00087ADE">
              <w:t xml:space="preserve">Следва да се има предвид, че при определяне на възможни действия е задължително да се прецени възможността от евентуално създаване на допълнителна административна тежест за заинтересованите лица. Съгласно чл. 3, ал. 3 от </w:t>
            </w:r>
            <w:r w:rsidRPr="00087ADE">
              <w:rPr>
                <w:i/>
              </w:rPr>
              <w:t>Закона за административното регулиране и административния контрол върху стопанската дейност</w:t>
            </w:r>
            <w:r w:rsidRPr="00087ADE">
              <w:rPr>
                <w:lang w:val="ru-RU"/>
              </w:rPr>
              <w:t xml:space="preserve"> </w:t>
            </w:r>
            <w:r w:rsidRPr="00087ADE">
              <w:t>не могат да налагат ограничения и тежести, които не са необходими за постигане на целите на закона. Необходимо е да се прецени дали има варианти за постигане на целите без да се създава допълнителна тежест. Към момента това не става ясно, защото не са посочени конкретните действия.</w:t>
            </w:r>
          </w:p>
          <w:p w:rsidR="005403BB" w:rsidRPr="00087ADE" w:rsidRDefault="00087ADE" w:rsidP="00E95422">
            <w:pPr>
              <w:ind w:firstLine="747"/>
              <w:rPr>
                <w:b/>
              </w:rPr>
            </w:pPr>
            <w:r w:rsidRPr="00087ADE">
              <w:rPr>
                <w:b/>
              </w:rPr>
              <w:t>Относно информацията за препоръчителния вариант в раздел 6.2. и раздел 6.3.:</w:t>
            </w:r>
          </w:p>
          <w:p w:rsidR="005403BB" w:rsidRDefault="00087ADE" w:rsidP="00E95422">
            <w:pPr>
              <w:ind w:firstLine="747"/>
            </w:pPr>
            <w:r w:rsidRPr="00087ADE">
              <w:t xml:space="preserve">След допълване на информацията в раздел 4 от оценката и въз основа на тази информация, в раздел 6.2. и раздел 6.3. </w:t>
            </w:r>
            <w:r>
              <w:t xml:space="preserve">следва </w:t>
            </w:r>
            <w:r w:rsidRPr="00087ADE">
              <w:t xml:space="preserve">да се опише накратко каква е същността на </w:t>
            </w:r>
            <w:r w:rsidRPr="00087ADE">
              <w:rPr>
                <w:i/>
              </w:rPr>
              <w:t>Вариант 2</w:t>
            </w:r>
            <w:r w:rsidRPr="00087ADE">
              <w:t xml:space="preserve"> и степента на </w:t>
            </w:r>
            <w:r w:rsidRPr="00087ADE">
              <w:lastRenderedPageBreak/>
              <w:t xml:space="preserve">нормативна намеса, за да се обоснове твърдението, че няма да бъдат засегнати съществуващи режими и услуги </w:t>
            </w:r>
            <w:r>
              <w:t>и</w:t>
            </w:r>
            <w:r w:rsidRPr="00087ADE">
              <w:t xml:space="preserve"> не се засяга дейността на регистри.</w:t>
            </w:r>
          </w:p>
          <w:p w:rsidR="00AD21EB" w:rsidRPr="00087ADE" w:rsidRDefault="00087ADE" w:rsidP="00E95422">
            <w:pPr>
              <w:ind w:firstLine="747"/>
              <w:rPr>
                <w:b/>
              </w:rPr>
            </w:pPr>
            <w:r w:rsidRPr="00087ADE">
              <w:rPr>
                <w:b/>
              </w:rPr>
              <w:t>Относно подраздел 6.4 „По какъв начин препоръчителният в</w:t>
            </w:r>
            <w:r>
              <w:rPr>
                <w:b/>
              </w:rPr>
              <w:t>ариант въздейства върху МСП</w:t>
            </w:r>
          </w:p>
          <w:p w:rsidR="008246F0" w:rsidRPr="008246F0" w:rsidRDefault="00087ADE" w:rsidP="00E95422">
            <w:r w:rsidRPr="00087ADE">
              <w:t xml:space="preserve">Бихме искали да отбележим, че поради липсата на информация относно конкретните действия (изменения), които се предлага да се предприемат, към момента не става ясно дали (как) предложенията ще се отразят </w:t>
            </w:r>
            <w:r w:rsidR="008246F0">
              <w:t xml:space="preserve">на бизнеса. </w:t>
            </w:r>
            <w:r w:rsidR="008246F0" w:rsidRPr="008246F0">
              <w:t xml:space="preserve">В тази връзка </w:t>
            </w:r>
            <w:r w:rsidR="008246F0">
              <w:t>т</w:t>
            </w:r>
            <w:r w:rsidR="008246F0" w:rsidRPr="008246F0">
              <w:t>рябва да се посочи конкретното въздействие върху МСП по отношение на произлизащи от това финансови, административни или други задължения</w:t>
            </w:r>
            <w:r w:rsidR="008246F0">
              <w:t xml:space="preserve">, като </w:t>
            </w:r>
            <w:r w:rsidR="008246F0" w:rsidRPr="008246F0">
              <w:t>при възможност това да бъде остойностено. Ако те са засегнати в значителна степен, трябва да се извърши оценка и измерване на действителното въздействие, съгласно точка 4.5 Специфични въздействия: оценка на въздействието върху МСП от „</w:t>
            </w:r>
            <w:r w:rsidR="008246F0" w:rsidRPr="008246F0">
              <w:rPr>
                <w:i/>
              </w:rPr>
              <w:t>Методиката за предварителна оценка на въздействието на нормативни актове и програми”</w:t>
            </w:r>
            <w:r w:rsidR="008246F0" w:rsidRPr="008246F0">
              <w:t xml:space="preserve"> или да се използва МСП тест, достъпен на адрес </w:t>
            </w:r>
            <w:hyperlink r:id="rId9" w:history="1">
              <w:r w:rsidR="008246F0" w:rsidRPr="008246F0">
                <w:rPr>
                  <w:rStyle w:val="Hyperlink"/>
                </w:rPr>
                <w:t>https://www.mi.government.bg/bg/themes/msp-test-1283-343.html</w:t>
              </w:r>
            </w:hyperlink>
            <w:r w:rsidR="008246F0" w:rsidRPr="008246F0">
              <w:t>.</w:t>
            </w:r>
          </w:p>
          <w:p w:rsidR="008246F0" w:rsidRDefault="008246F0" w:rsidP="00E95422">
            <w:pPr>
              <w:pStyle w:val="a"/>
            </w:pPr>
            <w:r>
              <w:t>Относно извършване на последваща оценка на въздействието:</w:t>
            </w:r>
          </w:p>
          <w:p w:rsidR="00AD21EB" w:rsidRPr="00E05D74" w:rsidRDefault="008246F0" w:rsidP="00E95422">
            <w:r>
              <w:t>За осигуряване на проверката на съотношението между формулираните цели и постигнатите резултати е необходимо в заключителните разпоредби на законопроекта да бъде посочено в какъв срок ще бъде извършена последваща оценка на въздействието на закона и кой е компетентният орган, който ще организира нейното извършване.</w:t>
            </w:r>
          </w:p>
        </w:tc>
      </w:tr>
    </w:tbl>
    <w:p w:rsidR="00602DA4" w:rsidRPr="00737FA8" w:rsidRDefault="00602DA4">
      <w:pPr>
        <w:rPr>
          <w:sz w:val="6"/>
          <w:szCs w:val="6"/>
        </w:rPr>
      </w:pPr>
    </w:p>
    <w:tbl>
      <w:tblPr>
        <w:tblStyle w:val="TableGrid"/>
        <w:tblW w:w="9923" w:type="dxa"/>
        <w:tblInd w:w="-15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86062D" w:rsidRPr="0086062D" w:rsidTr="00127707"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</w:tcPr>
          <w:p w:rsidR="0086062D" w:rsidRPr="0086062D" w:rsidRDefault="0086062D" w:rsidP="00026DC9">
            <w:r w:rsidRPr="0086062D">
              <w:t>*  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86062D" w:rsidRPr="0086062D" w:rsidRDefault="0086062D" w:rsidP="00026DC9">
            <w:r w:rsidRPr="0086062D">
              <w:t xml:space="preserve">**   При съгласуването по чл. 32 от Устройствения правилник на Министерския съвет и на неговата администрация се съпоставят кръгът от въпроси, проблеми и решения, разгледани в оценката на въздействието и кръгът от въпроси, засегнати от обхвата на нормативната намеса в проекта на акт. </w:t>
            </w:r>
          </w:p>
          <w:p w:rsidR="0086062D" w:rsidRPr="0086062D" w:rsidRDefault="0086062D" w:rsidP="00026DC9">
            <w:r w:rsidRPr="0086062D">
              <w:t xml:space="preserve">***   На основание чл. 30б, ал. 4 от Устройствения правилник на Министерския съвет и на неговата администрация е необходимо окончателната оценка на въздействието да бъде съобразена с препоръките от становището. </w:t>
            </w:r>
          </w:p>
          <w:p w:rsidR="0086062D" w:rsidRPr="0086062D" w:rsidRDefault="0086062D" w:rsidP="00026DC9">
            <w:r w:rsidRPr="0086062D">
              <w:t>****  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преработената оценка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86062D" w:rsidRPr="0086062D" w:rsidTr="008165D1"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</w:tcPr>
          <w:p w:rsidR="0086062D" w:rsidRPr="008165D1" w:rsidRDefault="0086062D" w:rsidP="00026DC9">
            <w:pPr>
              <w:spacing w:before="20" w:after="20"/>
              <w:ind w:right="-646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ДИРЕКТОР НА ДИРЕКЦИЯ </w:t>
            </w:r>
          </w:p>
          <w:p w:rsidR="0086062D" w:rsidRPr="008165D1" w:rsidRDefault="0086062D" w:rsidP="00026DC9">
            <w:pPr>
              <w:spacing w:before="20" w:after="20"/>
              <w:ind w:right="-646" w:firstLine="56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„МОДЕРНИЗАЦИЯ НА АДМИНИСТРАЦИЯТА</w:t>
            </w: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”      </w:t>
            </w:r>
          </w:p>
          <w:p w:rsidR="0086062D" w:rsidRPr="008165D1" w:rsidRDefault="000D788C" w:rsidP="00026DC9">
            <w:pPr>
              <w:spacing w:before="20" w:after="20"/>
              <w:ind w:right="1596" w:firstLine="5842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pict>
                <v:shape id="_x0000_i1026" type="#_x0000_t75" alt="Microsoft Office Signature Line..." style="width:104.95pt;height:32.95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620172" w:rsidRPr="008165D1" w:rsidRDefault="0086062D" w:rsidP="008165D1">
            <w:pPr>
              <w:spacing w:before="20" w:after="20"/>
              <w:ind w:right="-646" w:firstLine="570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НИКОЛИНА СТОЯНОВА</w:t>
            </w:r>
            <w:r w:rsidRPr="008165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602DA4" w:rsidRPr="008772C6" w:rsidRDefault="00602DA4" w:rsidP="008772C6">
      <w:pPr>
        <w:ind w:firstLine="0"/>
        <w:rPr>
          <w:sz w:val="2"/>
          <w:szCs w:val="2"/>
        </w:rPr>
      </w:pPr>
    </w:p>
    <w:sectPr w:rsidR="00602DA4" w:rsidRPr="008772C6" w:rsidSect="00FB6F75">
      <w:footerReference w:type="default" r:id="rId10"/>
      <w:footerReference w:type="first" r:id="rId11"/>
      <w:type w:val="continuous"/>
      <w:pgSz w:w="11906" w:h="16838"/>
      <w:pgMar w:top="1417" w:right="1417" w:bottom="1417" w:left="1417" w:header="708" w:footer="708" w:gutter="0"/>
      <w:pgNumType w:chapStyle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E78" w:rsidRDefault="00401E78" w:rsidP="004568A7">
      <w:pPr>
        <w:spacing w:line="240" w:lineRule="auto"/>
      </w:pPr>
      <w:r>
        <w:separator/>
      </w:r>
    </w:p>
  </w:endnote>
  <w:endnote w:type="continuationSeparator" w:id="0">
    <w:p w:rsidR="00401E78" w:rsidRDefault="00401E78" w:rsidP="004568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F75" w:rsidRPr="00551C3A" w:rsidRDefault="00FB6F75" w:rsidP="00FB6F75">
    <w:pPr>
      <w:tabs>
        <w:tab w:val="center" w:pos="4153"/>
        <w:tab w:val="left" w:pos="4248"/>
        <w:tab w:val="left" w:pos="4956"/>
        <w:tab w:val="left" w:pos="5664"/>
      </w:tabs>
      <w:rPr>
        <w:rFonts w:ascii="Times New Roman" w:eastAsia="Times New Roman" w:hAnsi="Times New Roman" w:cs="Times New Roman"/>
        <w:i/>
        <w:sz w:val="20"/>
        <w:szCs w:val="20"/>
      </w:rPr>
    </w:pP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  <w:r>
      <w:rPr>
        <w:rFonts w:ascii="Times New Roman" w:eastAsia="Times New Roman" w:hAnsi="Times New Roman" w:cs="Times New Roman"/>
        <w:i/>
        <w:sz w:val="20"/>
        <w:szCs w:val="20"/>
      </w:rPr>
      <w:tab/>
    </w:r>
  </w:p>
  <w:p w:rsidR="00FB6F75" w:rsidRPr="00DB0CA9" w:rsidRDefault="00FB6F75" w:rsidP="00FB6F75">
    <w:pPr>
      <w:pBdr>
        <w:top w:val="single" w:sz="6" w:space="1" w:color="auto"/>
      </w:pBdr>
      <w:tabs>
        <w:tab w:val="center" w:pos="4153"/>
        <w:tab w:val="right" w:pos="8306"/>
      </w:tabs>
      <w:spacing w:before="120" w:after="120"/>
      <w:jc w:val="center"/>
      <w:rPr>
        <w:rFonts w:ascii="Times New Roman" w:hAnsi="Times New Roman"/>
        <w:i/>
        <w:sz w:val="20"/>
      </w:rPr>
    </w:pPr>
    <w:r w:rsidRPr="00DB0CA9">
      <w:rPr>
        <w:rFonts w:ascii="Times New Roman" w:hAnsi="Times New Roman"/>
        <w:i/>
        <w:sz w:val="20"/>
      </w:rPr>
      <w:t>гр. София, бул. „Дондуков” № 1, тел. централа: 02/ 940-29-99, факс: 02/  981-81-70</w:t>
    </w:r>
  </w:p>
  <w:p w:rsidR="00FB6F75" w:rsidRPr="00D42109" w:rsidRDefault="00FB6F75" w:rsidP="00FB6F75">
    <w:pPr>
      <w:tabs>
        <w:tab w:val="right" w:pos="9072"/>
      </w:tabs>
      <w:jc w:val="right"/>
    </w:pPr>
    <w:r w:rsidRPr="00DB0CA9">
      <w:rPr>
        <w:rFonts w:ascii="Times New Roman" w:hAnsi="Times New Roman"/>
        <w:b/>
        <w:sz w:val="16"/>
        <w:szCs w:val="16"/>
      </w:rPr>
      <w:t xml:space="preserve">Страница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PAGE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0D788C">
      <w:rPr>
        <w:rFonts w:ascii="Times New Roman" w:hAnsi="Times New Roman"/>
        <w:b/>
        <w:bCs/>
        <w:noProof/>
        <w:sz w:val="16"/>
        <w:szCs w:val="16"/>
      </w:rPr>
      <w:t>3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  <w:r w:rsidRPr="00DB0CA9">
      <w:rPr>
        <w:rFonts w:ascii="Times New Roman" w:hAnsi="Times New Roman"/>
        <w:b/>
        <w:sz w:val="16"/>
        <w:szCs w:val="16"/>
      </w:rPr>
      <w:t xml:space="preserve"> от </w:t>
    </w:r>
    <w:r w:rsidRPr="00DB0CA9">
      <w:rPr>
        <w:rFonts w:ascii="Times New Roman" w:hAnsi="Times New Roman"/>
        <w:b/>
        <w:bCs/>
        <w:sz w:val="16"/>
        <w:szCs w:val="16"/>
      </w:rPr>
      <w:fldChar w:fldCharType="begin"/>
    </w:r>
    <w:r w:rsidRPr="00DB0CA9">
      <w:rPr>
        <w:rFonts w:ascii="Times New Roman" w:hAnsi="Times New Roman"/>
        <w:b/>
        <w:bCs/>
        <w:sz w:val="16"/>
        <w:szCs w:val="16"/>
      </w:rPr>
      <w:instrText xml:space="preserve"> NUMPAGES  </w:instrText>
    </w:r>
    <w:r w:rsidRPr="00DB0CA9">
      <w:rPr>
        <w:rFonts w:ascii="Times New Roman" w:hAnsi="Times New Roman"/>
        <w:b/>
        <w:bCs/>
        <w:sz w:val="16"/>
        <w:szCs w:val="16"/>
      </w:rPr>
      <w:fldChar w:fldCharType="separate"/>
    </w:r>
    <w:r w:rsidR="000D788C">
      <w:rPr>
        <w:rFonts w:ascii="Times New Roman" w:hAnsi="Times New Roman"/>
        <w:b/>
        <w:bCs/>
        <w:noProof/>
        <w:sz w:val="16"/>
        <w:szCs w:val="16"/>
      </w:rPr>
      <w:t>3</w:t>
    </w:r>
    <w:r w:rsidRPr="00DB0CA9">
      <w:rPr>
        <w:rFonts w:ascii="Times New Roman" w:hAnsi="Times New Roman"/>
        <w:b/>
        <w:bCs/>
        <w:sz w:val="16"/>
        <w:szCs w:val="16"/>
      </w:rPr>
      <w:fldChar w:fldCharType="end"/>
    </w:r>
  </w:p>
  <w:p w:rsidR="00FB6F75" w:rsidRDefault="00FB6F75" w:rsidP="00FB6F75">
    <w:pPr>
      <w:pStyle w:val="Footer"/>
      <w:tabs>
        <w:tab w:val="left" w:pos="210"/>
        <w:tab w:val="right" w:pos="9630"/>
      </w:tabs>
    </w:pPr>
  </w:p>
  <w:p w:rsidR="004568A7" w:rsidRPr="00FB6F75" w:rsidRDefault="004568A7" w:rsidP="00FB6F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4568A7" w:rsidRDefault="00551C3A" w:rsidP="00551C3A">
    <w:pPr>
      <w:pBdr>
        <w:top w:val="single" w:sz="6" w:space="1" w:color="auto"/>
      </w:pBdr>
      <w:tabs>
        <w:tab w:val="center" w:pos="4153"/>
        <w:tab w:val="right" w:pos="8306"/>
      </w:tabs>
      <w:spacing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  <w:r w:rsidRPr="004568A7">
      <w:rPr>
        <w:rFonts w:ascii="Times New Roman" w:eastAsia="Times New Roman" w:hAnsi="Times New Roman" w:cs="Times New Roman"/>
        <w:i/>
        <w:sz w:val="20"/>
        <w:szCs w:val="20"/>
      </w:rPr>
      <w:t>София, бул. „Дондуков“ № 1, тел. централа: 02/ 940-29-99, факс: 02/ 981-81-70</w:t>
    </w:r>
  </w:p>
  <w:p w:rsidR="00551C3A" w:rsidRDefault="00551C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E78" w:rsidRDefault="00401E78" w:rsidP="004568A7">
      <w:pPr>
        <w:spacing w:line="240" w:lineRule="auto"/>
      </w:pPr>
      <w:r>
        <w:separator/>
      </w:r>
    </w:p>
  </w:footnote>
  <w:footnote w:type="continuationSeparator" w:id="0">
    <w:p w:rsidR="00401E78" w:rsidRDefault="00401E78" w:rsidP="004568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74D05"/>
    <w:multiLevelType w:val="hybridMultilevel"/>
    <w:tmpl w:val="1CD8D102"/>
    <w:lvl w:ilvl="0" w:tplc="040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52944B40"/>
    <w:multiLevelType w:val="hybridMultilevel"/>
    <w:tmpl w:val="3054826C"/>
    <w:lvl w:ilvl="0" w:tplc="04020001">
      <w:start w:val="1"/>
      <w:numFmt w:val="bullet"/>
      <w:lvlText w:val=""/>
      <w:lvlJc w:val="left"/>
      <w:pPr>
        <w:ind w:left="116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29" w:hanging="360"/>
      </w:pPr>
      <w:rPr>
        <w:rFonts w:ascii="Wingdings" w:hAnsi="Wingdings" w:hint="default"/>
      </w:rPr>
    </w:lvl>
  </w:abstractNum>
  <w:abstractNum w:abstractNumId="3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5F1762"/>
    <w:multiLevelType w:val="hybridMultilevel"/>
    <w:tmpl w:val="34E6CA7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58DA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E7032"/>
    <w:multiLevelType w:val="hybridMultilevel"/>
    <w:tmpl w:val="0F3CDDDE"/>
    <w:lvl w:ilvl="0" w:tplc="0402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14EC"/>
    <w:rsid w:val="00003692"/>
    <w:rsid w:val="0001658C"/>
    <w:rsid w:val="000201A1"/>
    <w:rsid w:val="00023D4D"/>
    <w:rsid w:val="000257D5"/>
    <w:rsid w:val="00026DC9"/>
    <w:rsid w:val="0005265F"/>
    <w:rsid w:val="00053C9A"/>
    <w:rsid w:val="00054E92"/>
    <w:rsid w:val="00075293"/>
    <w:rsid w:val="0008097E"/>
    <w:rsid w:val="000851AE"/>
    <w:rsid w:val="000879ED"/>
    <w:rsid w:val="00087ADE"/>
    <w:rsid w:val="00090D3B"/>
    <w:rsid w:val="00094215"/>
    <w:rsid w:val="000A68D9"/>
    <w:rsid w:val="000B0289"/>
    <w:rsid w:val="000C3DF0"/>
    <w:rsid w:val="000D0753"/>
    <w:rsid w:val="000D788C"/>
    <w:rsid w:val="000F4F7E"/>
    <w:rsid w:val="000F5418"/>
    <w:rsid w:val="000F6A9C"/>
    <w:rsid w:val="001008CD"/>
    <w:rsid w:val="001039E3"/>
    <w:rsid w:val="001043BF"/>
    <w:rsid w:val="00126555"/>
    <w:rsid w:val="00131886"/>
    <w:rsid w:val="00143F16"/>
    <w:rsid w:val="00152F23"/>
    <w:rsid w:val="001554DE"/>
    <w:rsid w:val="001568FA"/>
    <w:rsid w:val="00182180"/>
    <w:rsid w:val="001A08D6"/>
    <w:rsid w:val="001A1BD1"/>
    <w:rsid w:val="001B5817"/>
    <w:rsid w:val="001D601B"/>
    <w:rsid w:val="001D6A67"/>
    <w:rsid w:val="001D7F92"/>
    <w:rsid w:val="00205A97"/>
    <w:rsid w:val="002061BC"/>
    <w:rsid w:val="00206693"/>
    <w:rsid w:val="00225091"/>
    <w:rsid w:val="00227856"/>
    <w:rsid w:val="00240BDC"/>
    <w:rsid w:val="00247168"/>
    <w:rsid w:val="0024731C"/>
    <w:rsid w:val="0025745C"/>
    <w:rsid w:val="00262385"/>
    <w:rsid w:val="00263678"/>
    <w:rsid w:val="00267F02"/>
    <w:rsid w:val="00274543"/>
    <w:rsid w:val="00277B2B"/>
    <w:rsid w:val="002802AD"/>
    <w:rsid w:val="00282C85"/>
    <w:rsid w:val="00284102"/>
    <w:rsid w:val="00285E25"/>
    <w:rsid w:val="00290145"/>
    <w:rsid w:val="00292933"/>
    <w:rsid w:val="002C1D3A"/>
    <w:rsid w:val="002C53C1"/>
    <w:rsid w:val="002C7459"/>
    <w:rsid w:val="002D08BE"/>
    <w:rsid w:val="002D3CB0"/>
    <w:rsid w:val="002E28D1"/>
    <w:rsid w:val="002E7D91"/>
    <w:rsid w:val="002F0525"/>
    <w:rsid w:val="00314B6A"/>
    <w:rsid w:val="00315D7B"/>
    <w:rsid w:val="00324E9F"/>
    <w:rsid w:val="0034117D"/>
    <w:rsid w:val="0034521A"/>
    <w:rsid w:val="00351063"/>
    <w:rsid w:val="00356E73"/>
    <w:rsid w:val="0036052C"/>
    <w:rsid w:val="00365F24"/>
    <w:rsid w:val="00372C00"/>
    <w:rsid w:val="00373D4A"/>
    <w:rsid w:val="00380C9B"/>
    <w:rsid w:val="003911F8"/>
    <w:rsid w:val="003916A4"/>
    <w:rsid w:val="00394AA9"/>
    <w:rsid w:val="003A3CA8"/>
    <w:rsid w:val="003A4582"/>
    <w:rsid w:val="003A59D2"/>
    <w:rsid w:val="003A731C"/>
    <w:rsid w:val="003C1E9E"/>
    <w:rsid w:val="003C5409"/>
    <w:rsid w:val="003D0A20"/>
    <w:rsid w:val="003D5314"/>
    <w:rsid w:val="003F05E8"/>
    <w:rsid w:val="00401E78"/>
    <w:rsid w:val="00421A3A"/>
    <w:rsid w:val="004308A7"/>
    <w:rsid w:val="00431CC4"/>
    <w:rsid w:val="00436027"/>
    <w:rsid w:val="004568A7"/>
    <w:rsid w:val="004631FD"/>
    <w:rsid w:val="00480074"/>
    <w:rsid w:val="00482F9B"/>
    <w:rsid w:val="004834A5"/>
    <w:rsid w:val="004837FE"/>
    <w:rsid w:val="00486D31"/>
    <w:rsid w:val="00500D7E"/>
    <w:rsid w:val="0050294F"/>
    <w:rsid w:val="005355EE"/>
    <w:rsid w:val="005403BB"/>
    <w:rsid w:val="00542542"/>
    <w:rsid w:val="0054399F"/>
    <w:rsid w:val="0054673B"/>
    <w:rsid w:val="00546EAA"/>
    <w:rsid w:val="00551C3A"/>
    <w:rsid w:val="00553CCA"/>
    <w:rsid w:val="0055751D"/>
    <w:rsid w:val="00562FF2"/>
    <w:rsid w:val="00564081"/>
    <w:rsid w:val="0056568D"/>
    <w:rsid w:val="00566B50"/>
    <w:rsid w:val="005717CC"/>
    <w:rsid w:val="00575DF2"/>
    <w:rsid w:val="00583999"/>
    <w:rsid w:val="00585DEB"/>
    <w:rsid w:val="005860E2"/>
    <w:rsid w:val="005A20E8"/>
    <w:rsid w:val="005A22DA"/>
    <w:rsid w:val="005B5FB7"/>
    <w:rsid w:val="005B7E99"/>
    <w:rsid w:val="005D3149"/>
    <w:rsid w:val="005D479D"/>
    <w:rsid w:val="005D55AD"/>
    <w:rsid w:val="005D5C5F"/>
    <w:rsid w:val="005D74DA"/>
    <w:rsid w:val="005E1A10"/>
    <w:rsid w:val="005E27F9"/>
    <w:rsid w:val="005E5FFF"/>
    <w:rsid w:val="005F1939"/>
    <w:rsid w:val="005F2242"/>
    <w:rsid w:val="00601FBD"/>
    <w:rsid w:val="00602DA4"/>
    <w:rsid w:val="00620172"/>
    <w:rsid w:val="0064274C"/>
    <w:rsid w:val="00664208"/>
    <w:rsid w:val="00664A4E"/>
    <w:rsid w:val="00667037"/>
    <w:rsid w:val="006703A6"/>
    <w:rsid w:val="006717EA"/>
    <w:rsid w:val="006718A8"/>
    <w:rsid w:val="0067713A"/>
    <w:rsid w:val="006818CB"/>
    <w:rsid w:val="00686C3A"/>
    <w:rsid w:val="00694AB3"/>
    <w:rsid w:val="006B1131"/>
    <w:rsid w:val="006B19DD"/>
    <w:rsid w:val="006B61B4"/>
    <w:rsid w:val="006B733B"/>
    <w:rsid w:val="006C05A6"/>
    <w:rsid w:val="006D4637"/>
    <w:rsid w:val="00704F5C"/>
    <w:rsid w:val="00715FD8"/>
    <w:rsid w:val="00737FA8"/>
    <w:rsid w:val="00755B26"/>
    <w:rsid w:val="00763752"/>
    <w:rsid w:val="007637B4"/>
    <w:rsid w:val="00776772"/>
    <w:rsid w:val="00776C85"/>
    <w:rsid w:val="007829AE"/>
    <w:rsid w:val="00783C52"/>
    <w:rsid w:val="0079424E"/>
    <w:rsid w:val="007B0A7C"/>
    <w:rsid w:val="007B251F"/>
    <w:rsid w:val="007B4CD9"/>
    <w:rsid w:val="007C039F"/>
    <w:rsid w:val="007C0B86"/>
    <w:rsid w:val="007D0247"/>
    <w:rsid w:val="007D40DA"/>
    <w:rsid w:val="007D5CC8"/>
    <w:rsid w:val="007E7E8F"/>
    <w:rsid w:val="007F6E39"/>
    <w:rsid w:val="008004E3"/>
    <w:rsid w:val="00801CC1"/>
    <w:rsid w:val="00802DFB"/>
    <w:rsid w:val="008165D1"/>
    <w:rsid w:val="00816B74"/>
    <w:rsid w:val="008246F0"/>
    <w:rsid w:val="008453AE"/>
    <w:rsid w:val="00852EF9"/>
    <w:rsid w:val="008569ED"/>
    <w:rsid w:val="0086062D"/>
    <w:rsid w:val="00865773"/>
    <w:rsid w:val="008772C6"/>
    <w:rsid w:val="00883230"/>
    <w:rsid w:val="0088564C"/>
    <w:rsid w:val="00894836"/>
    <w:rsid w:val="00897FB9"/>
    <w:rsid w:val="008A2EFF"/>
    <w:rsid w:val="008A6551"/>
    <w:rsid w:val="008C5454"/>
    <w:rsid w:val="008D1A2E"/>
    <w:rsid w:val="008F68DD"/>
    <w:rsid w:val="00903FB2"/>
    <w:rsid w:val="00916CB5"/>
    <w:rsid w:val="00947A53"/>
    <w:rsid w:val="009649BF"/>
    <w:rsid w:val="009726DD"/>
    <w:rsid w:val="00980082"/>
    <w:rsid w:val="0098072B"/>
    <w:rsid w:val="00981CBD"/>
    <w:rsid w:val="00994722"/>
    <w:rsid w:val="009A3050"/>
    <w:rsid w:val="009B3515"/>
    <w:rsid w:val="009B6F55"/>
    <w:rsid w:val="009D1A1B"/>
    <w:rsid w:val="009D3892"/>
    <w:rsid w:val="009E3DA0"/>
    <w:rsid w:val="009F68CE"/>
    <w:rsid w:val="00A07BE3"/>
    <w:rsid w:val="00A11132"/>
    <w:rsid w:val="00A11C32"/>
    <w:rsid w:val="00A25D9F"/>
    <w:rsid w:val="00A37850"/>
    <w:rsid w:val="00A413B7"/>
    <w:rsid w:val="00A43E0E"/>
    <w:rsid w:val="00A50003"/>
    <w:rsid w:val="00A724E8"/>
    <w:rsid w:val="00A751F4"/>
    <w:rsid w:val="00A75F5C"/>
    <w:rsid w:val="00A76AC2"/>
    <w:rsid w:val="00A8338D"/>
    <w:rsid w:val="00A836A4"/>
    <w:rsid w:val="00A86130"/>
    <w:rsid w:val="00AA0D08"/>
    <w:rsid w:val="00AA337D"/>
    <w:rsid w:val="00AB6FAA"/>
    <w:rsid w:val="00AC6248"/>
    <w:rsid w:val="00AD21EB"/>
    <w:rsid w:val="00AE3ABC"/>
    <w:rsid w:val="00AE4086"/>
    <w:rsid w:val="00AE4ED8"/>
    <w:rsid w:val="00AF0B29"/>
    <w:rsid w:val="00B03509"/>
    <w:rsid w:val="00B0551A"/>
    <w:rsid w:val="00B108E2"/>
    <w:rsid w:val="00B20372"/>
    <w:rsid w:val="00B204CD"/>
    <w:rsid w:val="00B23EDE"/>
    <w:rsid w:val="00B634E3"/>
    <w:rsid w:val="00B849C4"/>
    <w:rsid w:val="00B966FC"/>
    <w:rsid w:val="00BA5806"/>
    <w:rsid w:val="00BB2188"/>
    <w:rsid w:val="00BB5C34"/>
    <w:rsid w:val="00BE426B"/>
    <w:rsid w:val="00BE51B7"/>
    <w:rsid w:val="00BF6FA0"/>
    <w:rsid w:val="00C04EDB"/>
    <w:rsid w:val="00C1590B"/>
    <w:rsid w:val="00C307F0"/>
    <w:rsid w:val="00C32EDC"/>
    <w:rsid w:val="00C33E98"/>
    <w:rsid w:val="00C45E18"/>
    <w:rsid w:val="00C47F72"/>
    <w:rsid w:val="00C529E8"/>
    <w:rsid w:val="00C53050"/>
    <w:rsid w:val="00C87011"/>
    <w:rsid w:val="00C948A8"/>
    <w:rsid w:val="00CB394D"/>
    <w:rsid w:val="00CC3A85"/>
    <w:rsid w:val="00CD1444"/>
    <w:rsid w:val="00CE7F65"/>
    <w:rsid w:val="00CF109C"/>
    <w:rsid w:val="00CF7248"/>
    <w:rsid w:val="00D04285"/>
    <w:rsid w:val="00D16F6F"/>
    <w:rsid w:val="00D34E9D"/>
    <w:rsid w:val="00D4506B"/>
    <w:rsid w:val="00D46096"/>
    <w:rsid w:val="00D50DE1"/>
    <w:rsid w:val="00D55C9C"/>
    <w:rsid w:val="00D62368"/>
    <w:rsid w:val="00D640D4"/>
    <w:rsid w:val="00D71609"/>
    <w:rsid w:val="00D86B21"/>
    <w:rsid w:val="00D925F7"/>
    <w:rsid w:val="00DA1248"/>
    <w:rsid w:val="00DA5512"/>
    <w:rsid w:val="00DB0697"/>
    <w:rsid w:val="00DC1B11"/>
    <w:rsid w:val="00DC58ED"/>
    <w:rsid w:val="00DD736E"/>
    <w:rsid w:val="00DE33AD"/>
    <w:rsid w:val="00DE708B"/>
    <w:rsid w:val="00DE781E"/>
    <w:rsid w:val="00DF3CB5"/>
    <w:rsid w:val="00E0369F"/>
    <w:rsid w:val="00E05D74"/>
    <w:rsid w:val="00E06537"/>
    <w:rsid w:val="00E13F64"/>
    <w:rsid w:val="00E14879"/>
    <w:rsid w:val="00E267EA"/>
    <w:rsid w:val="00E52D72"/>
    <w:rsid w:val="00E54431"/>
    <w:rsid w:val="00E57CBF"/>
    <w:rsid w:val="00E7178B"/>
    <w:rsid w:val="00E82537"/>
    <w:rsid w:val="00E85D7F"/>
    <w:rsid w:val="00E914A8"/>
    <w:rsid w:val="00E94A73"/>
    <w:rsid w:val="00E95422"/>
    <w:rsid w:val="00EA0617"/>
    <w:rsid w:val="00EA2212"/>
    <w:rsid w:val="00EB2349"/>
    <w:rsid w:val="00ED3137"/>
    <w:rsid w:val="00EF0E8B"/>
    <w:rsid w:val="00EF2A45"/>
    <w:rsid w:val="00EF7EE7"/>
    <w:rsid w:val="00F10FB5"/>
    <w:rsid w:val="00F1178C"/>
    <w:rsid w:val="00F117D4"/>
    <w:rsid w:val="00F3067F"/>
    <w:rsid w:val="00F33713"/>
    <w:rsid w:val="00F3563B"/>
    <w:rsid w:val="00F35D7C"/>
    <w:rsid w:val="00F441EF"/>
    <w:rsid w:val="00F45076"/>
    <w:rsid w:val="00F5146D"/>
    <w:rsid w:val="00F61327"/>
    <w:rsid w:val="00F63A2F"/>
    <w:rsid w:val="00F64E9F"/>
    <w:rsid w:val="00F8315B"/>
    <w:rsid w:val="00F834DB"/>
    <w:rsid w:val="00F93BAD"/>
    <w:rsid w:val="00FA2C17"/>
    <w:rsid w:val="00FA56F0"/>
    <w:rsid w:val="00FA7C5C"/>
    <w:rsid w:val="00FB28A4"/>
    <w:rsid w:val="00FB6F75"/>
    <w:rsid w:val="00FC0DE6"/>
    <w:rsid w:val="00FD611D"/>
    <w:rsid w:val="00FE10E6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753"/>
    <w:pPr>
      <w:spacing w:after="0" w:line="276" w:lineRule="auto"/>
      <w:ind w:firstLine="680"/>
      <w:jc w:val="both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054E92"/>
    <w:pPr>
      <w:numPr>
        <w:numId w:val="2"/>
      </w:numPr>
      <w:ind w:left="0" w:firstLine="0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054E92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E91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.government.bg/bg/themes/msp-test-1283-343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5A2D74EA764FD4AD94561FC72F4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9057E-205D-4C99-9D14-2A507F993A5F}"/>
      </w:docPartPr>
      <w:docPartBody>
        <w:p w:rsidR="00CD1DAD" w:rsidRDefault="002C2964" w:rsidP="002C2964">
          <w:pPr>
            <w:pStyle w:val="765A2D74EA764FD4AD94561FC72F403A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DBEAD984779449E7B7A980D6DE30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8C78B-D20D-4D5C-9AD1-72D1015D9ED7}"/>
      </w:docPartPr>
      <w:docPartBody>
        <w:p w:rsidR="00CD1DAD" w:rsidRDefault="002C2964" w:rsidP="002C2964">
          <w:pPr>
            <w:pStyle w:val="DBEAD984779449E7B7A980D6DE305141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4672B8309D84DFC9EEAE4F94BA0F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3873-E527-4B17-8A94-C98FE28B8F0B}"/>
      </w:docPartPr>
      <w:docPartBody>
        <w:p w:rsidR="00CD1DAD" w:rsidRDefault="002C2964" w:rsidP="002C2964">
          <w:pPr>
            <w:pStyle w:val="A4672B8309D84DFC9EEAE4F94BA0F5A0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B99EDE92853D48A1A72CCF187CF3F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7D613-2A7C-4106-8846-47C575AB059B}"/>
      </w:docPartPr>
      <w:docPartBody>
        <w:p w:rsidR="00CD1DAD" w:rsidRDefault="002C2964" w:rsidP="002C2964">
          <w:pPr>
            <w:pStyle w:val="B99EDE92853D48A1A72CCF187CF3FD02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34FC7"/>
    <w:rsid w:val="000868C4"/>
    <w:rsid w:val="000C6A12"/>
    <w:rsid w:val="000D51D1"/>
    <w:rsid w:val="000E292A"/>
    <w:rsid w:val="00166893"/>
    <w:rsid w:val="00217012"/>
    <w:rsid w:val="002623A6"/>
    <w:rsid w:val="002646CF"/>
    <w:rsid w:val="0028181F"/>
    <w:rsid w:val="002B6C5A"/>
    <w:rsid w:val="002C2964"/>
    <w:rsid w:val="002F2554"/>
    <w:rsid w:val="00302C7D"/>
    <w:rsid w:val="0035473A"/>
    <w:rsid w:val="00365052"/>
    <w:rsid w:val="003A6AB6"/>
    <w:rsid w:val="003F4474"/>
    <w:rsid w:val="00461020"/>
    <w:rsid w:val="00462E91"/>
    <w:rsid w:val="0047382A"/>
    <w:rsid w:val="00485539"/>
    <w:rsid w:val="00490423"/>
    <w:rsid w:val="004C0D41"/>
    <w:rsid w:val="00562318"/>
    <w:rsid w:val="005F6154"/>
    <w:rsid w:val="00672054"/>
    <w:rsid w:val="006B0232"/>
    <w:rsid w:val="00785F88"/>
    <w:rsid w:val="007B399F"/>
    <w:rsid w:val="007E7BAB"/>
    <w:rsid w:val="0084483A"/>
    <w:rsid w:val="0094156A"/>
    <w:rsid w:val="00A15891"/>
    <w:rsid w:val="00AC04E0"/>
    <w:rsid w:val="00AD27BC"/>
    <w:rsid w:val="00B83F15"/>
    <w:rsid w:val="00BE473D"/>
    <w:rsid w:val="00BF5089"/>
    <w:rsid w:val="00C769A9"/>
    <w:rsid w:val="00CD1DAD"/>
    <w:rsid w:val="00CF4F74"/>
    <w:rsid w:val="00CF7E76"/>
    <w:rsid w:val="00D577B3"/>
    <w:rsid w:val="00DA6484"/>
    <w:rsid w:val="00E84714"/>
    <w:rsid w:val="00EB4305"/>
    <w:rsid w:val="00ED6597"/>
    <w:rsid w:val="00EE4BFD"/>
    <w:rsid w:val="00F0172C"/>
    <w:rsid w:val="00F75292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2964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10926DE94CB45BCA37B332812648F5A">
    <w:name w:val="610926DE94CB45BCA37B332812648F5A"/>
    <w:rsid w:val="002C2964"/>
  </w:style>
  <w:style w:type="paragraph" w:customStyle="1" w:styleId="2E51EEB1CE4E49B186CAC73CCF9F40DA">
    <w:name w:val="2E51EEB1CE4E49B186CAC73CCF9F40DA"/>
    <w:rsid w:val="002C2964"/>
  </w:style>
  <w:style w:type="paragraph" w:customStyle="1" w:styleId="DC36115D6E36408580546AFE7405FDF4">
    <w:name w:val="DC36115D6E36408580546AFE7405FDF4"/>
    <w:rsid w:val="002C2964"/>
  </w:style>
  <w:style w:type="paragraph" w:customStyle="1" w:styleId="1378C5B30B4C49A18B1C104E42083DF6">
    <w:name w:val="1378C5B30B4C49A18B1C104E42083DF6"/>
    <w:rsid w:val="002C2964"/>
  </w:style>
  <w:style w:type="paragraph" w:customStyle="1" w:styleId="A1BF1628D3F2445983F08DDA68441833">
    <w:name w:val="A1BF1628D3F2445983F08DDA68441833"/>
    <w:rsid w:val="002C2964"/>
  </w:style>
  <w:style w:type="paragraph" w:customStyle="1" w:styleId="ED54D38A213A430E8FAA496B7E0E6426">
    <w:name w:val="ED54D38A213A430E8FAA496B7E0E6426"/>
    <w:rsid w:val="002C2964"/>
  </w:style>
  <w:style w:type="paragraph" w:customStyle="1" w:styleId="765A2D74EA764FD4AD94561FC72F403A">
    <w:name w:val="765A2D74EA764FD4AD94561FC72F403A"/>
    <w:rsid w:val="002C2964"/>
  </w:style>
  <w:style w:type="paragraph" w:customStyle="1" w:styleId="DBEAD984779449E7B7A980D6DE305141">
    <w:name w:val="DBEAD984779449E7B7A980D6DE305141"/>
    <w:rsid w:val="002C2964"/>
  </w:style>
  <w:style w:type="paragraph" w:customStyle="1" w:styleId="A4672B8309D84DFC9EEAE4F94BA0F5A0">
    <w:name w:val="A4672B8309D84DFC9EEAE4F94BA0F5A0"/>
    <w:rsid w:val="002C2964"/>
  </w:style>
  <w:style w:type="paragraph" w:customStyle="1" w:styleId="B99EDE92853D48A1A72CCF187CF3FD02">
    <w:name w:val="B99EDE92853D48A1A72CCF187CF3FD02"/>
    <w:rsid w:val="002C29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A9265-E248-412D-B376-35C2882E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ИЛИАНА ВЕЛЕВА</cp:lastModifiedBy>
  <cp:revision>2</cp:revision>
  <cp:lastPrinted>2020-03-04T14:24:00Z</cp:lastPrinted>
  <dcterms:created xsi:type="dcterms:W3CDTF">2022-12-14T06:41:00Z</dcterms:created>
  <dcterms:modified xsi:type="dcterms:W3CDTF">2022-12-14T06:42:00Z</dcterms:modified>
</cp:coreProperties>
</file>