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EB4E" w14:textId="5807B2B5" w:rsidR="00076E63" w:rsidRPr="002B6C61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850DFC" w14:paraId="1D8F2074" w14:textId="77777777" w:rsidTr="009D4DA5">
        <w:trPr>
          <w:trHeight w:val="309"/>
        </w:trPr>
        <w:tc>
          <w:tcPr>
            <w:tcW w:w="4467" w:type="dxa"/>
          </w:tcPr>
          <w:p w14:paraId="50606853" w14:textId="584068EC" w:rsidR="009D4DA5" w:rsidRPr="00850DFC" w:rsidRDefault="00FE55C5" w:rsidP="009D4DA5">
            <w:pPr>
              <w:rPr>
                <w:rFonts w:ascii="Century" w:hAnsi="Century"/>
                <w:b/>
              </w:rPr>
            </w:pPr>
            <w:r w:rsidRPr="00850DFC">
              <w:rPr>
                <w:rFonts w:ascii="Century" w:hAnsi="Century"/>
                <w:b/>
              </w:rPr>
              <w:t>Образецът н</w:t>
            </w:r>
            <w:r w:rsidR="009D4DA5" w:rsidRPr="00850DFC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3A5FA6AA" w14:textId="11ED8AFE" w:rsidR="009D4DA5" w:rsidRPr="00850DFC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0F9E9CB" w14:textId="77777777" w:rsidR="009D4DA5" w:rsidRPr="00850DFC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850DFC" w14:paraId="2109902E" w14:textId="77777777" w:rsidTr="00C93DF1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850DFC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F8745D" w:rsidRPr="00850DFC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28780049" w14:textId="77777777" w:rsidR="00F8745D" w:rsidRPr="00850DFC" w:rsidRDefault="00F8745D" w:rsidP="00F8745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3BDEB2D3" w:rsidR="00F8745D" w:rsidRPr="00850DFC" w:rsidRDefault="00F8745D" w:rsidP="00F8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икономиката</w:t>
            </w:r>
            <w:r w:rsidR="00943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индустрията</w:t>
            </w:r>
          </w:p>
        </w:tc>
        <w:tc>
          <w:tcPr>
            <w:tcW w:w="5216" w:type="dxa"/>
          </w:tcPr>
          <w:p w14:paraId="09469C5A" w14:textId="77777777" w:rsidR="00F8745D" w:rsidRPr="00850DFC" w:rsidRDefault="00F8745D" w:rsidP="00F8745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74E8D1C1" w:rsidR="00F8745D" w:rsidRPr="00850DFC" w:rsidRDefault="00F8745D" w:rsidP="00F8745D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Проект на Закон за изменение и допълнение на Закона за защита на растенията</w:t>
            </w:r>
          </w:p>
        </w:tc>
      </w:tr>
      <w:tr w:rsidR="00F8745D" w:rsidRPr="00850DFC" w14:paraId="37CC55A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1AB573E" w14:textId="0DDA57F0" w:rsidR="00F8745D" w:rsidRPr="00850DFC" w:rsidRDefault="00F8745D" w:rsidP="00F8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BCE68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5216" w:type="dxa"/>
          </w:tcPr>
          <w:p w14:paraId="6EACCA70" w14:textId="3ADBC436" w:rsidR="00F8745D" w:rsidRPr="00850DFC" w:rsidRDefault="00F8745D" w:rsidP="00F87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204E15F3">
                <v:shape id="_x0000_i1061" type="#_x0000_t75" style="width:202.5pt;height:39pt" o:ole="">
                  <v:imagedata r:id="rId9" o:title=""/>
                </v:shape>
                <w:control r:id="rId10" w:name="OptionButton1" w:shapeid="_x0000_i1061"/>
              </w:object>
            </w:r>
          </w:p>
          <w:p w14:paraId="6830EBA0" w14:textId="75DF2F9B" w:rsidR="00F8745D" w:rsidRPr="00850DFC" w:rsidRDefault="00F8745D" w:rsidP="00F8745D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F8745D" w:rsidRPr="00850DFC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C2D5CD1" w14:textId="77777777" w:rsidR="00F8745D" w:rsidRPr="00850DFC" w:rsidRDefault="00F8745D" w:rsidP="00F8745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334EA27B" w:rsidR="00F8745D" w:rsidRPr="00850DFC" w:rsidRDefault="00F8745D" w:rsidP="00F8745D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Маргарита Александрова</w:t>
            </w:r>
          </w:p>
        </w:tc>
        <w:tc>
          <w:tcPr>
            <w:tcW w:w="5216" w:type="dxa"/>
          </w:tcPr>
          <w:p w14:paraId="4D269021" w14:textId="77777777" w:rsidR="00F8745D" w:rsidRPr="00850DFC" w:rsidRDefault="00F8745D" w:rsidP="00F8745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 и ел. поща:</w:t>
            </w:r>
          </w:p>
          <w:p w14:paraId="5B741F6C" w14:textId="77777777" w:rsidR="00F8745D" w:rsidRPr="00850DFC" w:rsidRDefault="00F8745D" w:rsidP="00F87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02/ 940 7262</w:t>
            </w:r>
          </w:p>
          <w:p w14:paraId="55D0CF32" w14:textId="10E65F7C" w:rsidR="00F8745D" w:rsidRPr="00850DFC" w:rsidRDefault="00F8745D" w:rsidP="00F8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m.alexandrova@mi.government.bg</w:t>
            </w:r>
          </w:p>
        </w:tc>
      </w:tr>
      <w:tr w:rsidR="00076E63" w:rsidRPr="00850DFC" w14:paraId="2757906E" w14:textId="77777777" w:rsidTr="00C93DF1">
        <w:tc>
          <w:tcPr>
            <w:tcW w:w="10266" w:type="dxa"/>
            <w:gridSpan w:val="3"/>
          </w:tcPr>
          <w:p w14:paraId="71074557" w14:textId="332C4B9D" w:rsidR="00076E63" w:rsidRDefault="00076E63" w:rsidP="00E929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455D93A9" w14:textId="77777777" w:rsidR="00E929FD" w:rsidRPr="00850DFC" w:rsidRDefault="00E929FD" w:rsidP="00E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0DE00F7" w14:textId="45780702" w:rsidR="00C84B69" w:rsidRDefault="00C84B69" w:rsidP="00E138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Необходимо е действащата нормативна уредба в областта на </w:t>
            </w:r>
            <w:r w:rsidR="00E973CA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торовете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бъде приведена в съответствие с новоприетото европейско законодателство в областта - Регламент (ЕС) 201</w:t>
            </w:r>
            <w:r w:rsidR="00E973CA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9/1009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Ев</w:t>
            </w:r>
            <w:r w:rsid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ропейския парламент и на Съвета</w:t>
            </w:r>
            <w:r w:rsidR="00E973CA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определяне на правила за предоставяне на пазара на ЕС продукти за наторяване и за изменение на регламенти (ЕО) № 1069/2009 и (ЕО) № 1107/2009 и за отмяна на Регламент (ЕО) № 2003/2003</w:t>
            </w:r>
            <w:r w:rsidR="003C301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да се уредят надзора на пазара и взаимното признаване в съответствие с новите Регламенти,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които заменят действащите.</w:t>
            </w:r>
          </w:p>
          <w:p w14:paraId="323A6552" w14:textId="4E0F9C0B" w:rsidR="00113FFF" w:rsidRPr="003C3015" w:rsidRDefault="00113FFF" w:rsidP="00E138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C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</w:t>
            </w:r>
          </w:p>
          <w:p w14:paraId="58C42FAB" w14:textId="4BECF58A" w:rsidR="00582A21" w:rsidRPr="00850DFC" w:rsidRDefault="00582A21" w:rsidP="00582A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687B2040" w14:textId="77777777" w:rsidR="00113FFF" w:rsidRDefault="00113FFF" w:rsidP="006B13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Въвеждане на мерки, гарантиращи прилагането на пряко приложимо право на ЕС, а именно:</w:t>
            </w:r>
          </w:p>
          <w:p w14:paraId="260C34C1" w14:textId="77777777" w:rsidR="00CF2CC9" w:rsidRDefault="00113FFF" w:rsidP="006B13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 на </w:t>
            </w:r>
            <w:r w:rsidR="00026A9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 на Ев</w:t>
            </w:r>
            <w:r w:rsidR="00026A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ропейския парламент и на Съвета</w:t>
            </w:r>
            <w:r w:rsidR="00026A9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определяне на правила за предоставяне на пазара на ЕС продукти за наторяване и за изменение на регламенти (ЕО) № 1069/2009 и (ЕО) № 1107/2009 и за отмяна на Регламент (ЕО) № 2003/2003.</w:t>
            </w:r>
            <w:r w:rsidR="00026A91" w:rsidRP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Регламентът е публикуван в официален вестник на ЕС на 25 юни 2019 г. и се прилага от 16 юли 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D5BD517" w14:textId="2B5CE6BA" w:rsidR="006B1389" w:rsidRPr="0073422D" w:rsidRDefault="0074240C" w:rsidP="006B138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Действащият Закон</w:t>
            </w:r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защита на растенията урежда дейностите по </w:t>
            </w:r>
            <w:r w:rsidR="001857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регистрация</w:t>
            </w:r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торове, подобрители на почвата, биологично активни вещества и хранителни субстрати, пускането им на пазара и тяхната употреба на територията на </w:t>
            </w:r>
            <w:proofErr w:type="spellStart"/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мерките по прилагане на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2003/2003</w:t>
            </w:r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5AD3A77" w14:textId="22D2A97C" w:rsidR="00D90255" w:rsidRPr="00850DFC" w:rsidRDefault="00B4130D" w:rsidP="005A3F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6B1389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ниво Европейски съюз</w:t>
            </w:r>
            <w:r w:rsid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857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беше приет</w:t>
            </w:r>
            <w:r>
              <w:t xml:space="preserve"> </w:t>
            </w:r>
            <w:r w:rsidRPr="00B413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 за определяне на правила за предоставяне на пазара на ЕС продукти за наторяване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 него</w:t>
            </w:r>
            <w:r w:rsidR="006622A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2503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освен</w:t>
            </w:r>
            <w:r w:rsidR="001857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5826B7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словията за предоставяне на вътрешния </w:t>
            </w:r>
            <w:r w:rsidR="005826B7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пазар </w:t>
            </w:r>
            <w:r w:rsidR="00D952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ЕС </w:t>
            </w:r>
            <w:r w:rsidR="005826B7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торове, произведени с неорганични материали, получени от полезни изкопаеми или произведени по химичен път</w:t>
            </w:r>
            <w:r w:rsidR="0012503F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се уреждат и </w:t>
            </w:r>
            <w:r w:rsid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правила за</w:t>
            </w:r>
            <w:r w:rsidR="00DC7689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</w:t>
            </w:r>
            <w:r w:rsidR="00F65B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наторяване</w:t>
            </w:r>
            <w:r w:rsidR="00DC7689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предназначени да доставят на растенията хранителни елементи</w:t>
            </w:r>
            <w:r w:rsidR="0056459B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C7689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или да подобряват ефикасността на храненето на растенията</w:t>
            </w:r>
            <w:r w:rsidR="0056459B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</w:t>
            </w:r>
            <w:r w:rsid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="0056459B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иновативни продукти, получени от рециклирани или органични материали</w:t>
            </w:r>
            <w:r w:rsidR="00D30D77" w:rsidRPr="0010099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A04A7EF" w14:textId="452AC740" w:rsidR="00A56574" w:rsidRDefault="006B1389" w:rsidP="00B44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отменя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2003/2003</w:t>
            </w:r>
            <w:r w:rsidR="002E3E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се </w:t>
            </w:r>
            <w:r w:rsidR="002E3E3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разширява обхвата на хармонизиран</w:t>
            </w:r>
            <w:r w:rsidR="002E3E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 продукти</w:t>
            </w:r>
            <w:r w:rsidR="00F65BD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които могат да се предлагат на пазара на целия Европейски Съюз</w:t>
            </w:r>
            <w:r w:rsidR="002E3E3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1B172B6" w14:textId="4EEF02A9" w:rsidR="00EB3645" w:rsidRDefault="00A56574" w:rsidP="00B44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следствие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действащата нормативна уредба не е в съответствие с новоприетото европейско законодателство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няма разписани правила </w:t>
            </w:r>
            <w:r w:rsidR="009C10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относно изискванията 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пускането на пазара </w:t>
            </w:r>
            <w:r w:rsidR="009C10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ЕС продуктите за наторяване, които обх</w:t>
            </w:r>
            <w:r w:rsidR="00F60C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ващат не само продуктите, регулирани с </w:t>
            </w:r>
            <w:r w:rsidR="00F60C7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2003/2003</w:t>
            </w:r>
            <w:r w:rsidR="00F60C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но и други продукти</w:t>
            </w:r>
            <w:r w:rsidR="00D54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като органични и </w:t>
            </w:r>
            <w:proofErr w:type="spellStart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органо</w:t>
            </w:r>
            <w:proofErr w:type="spellEnd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-минерални торове, </w:t>
            </w:r>
            <w:proofErr w:type="spellStart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инхибитори</w:t>
            </w:r>
            <w:proofErr w:type="spellEnd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растителни </w:t>
            </w:r>
            <w:proofErr w:type="spellStart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биостимуланти</w:t>
            </w:r>
            <w:proofErr w:type="spellEnd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9C10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подобрители на почвата, </w:t>
            </w:r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смесени продукти </w:t>
            </w:r>
            <w:r w:rsidR="009C10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наторяване </w:t>
            </w:r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proofErr w:type="spellStart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</w:t>
            </w:r>
            <w:proofErr w:type="spellEnd"/>
            <w:r w:rsidR="00D5463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60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6D26833" w14:textId="77777777" w:rsidR="00E929FD" w:rsidRPr="00D807C3" w:rsidRDefault="00E929FD" w:rsidP="00B447C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val="bg-BG"/>
              </w:rPr>
            </w:pPr>
          </w:p>
          <w:p w14:paraId="46DC90C6" w14:textId="206620E2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06F0A38" w14:textId="6EB22659" w:rsidR="004F6A1C" w:rsidRPr="00850DFC" w:rsidRDefault="00B83202" w:rsidP="00B83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Проблемът не може да се</w:t>
            </w:r>
            <w:r w:rsidR="00276267"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реши в рамките на съществуващото законодателство без промяна на нормативната уредба</w:t>
            </w:r>
            <w:r w:rsidR="00276267"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. </w:t>
            </w:r>
            <w:r w:rsidR="004F6A1C"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В тази връзка е необходимо да бъдат предприети действия за приемане на проект на Закон за изменение и допълнение на Закона за защита на растенията.</w:t>
            </w:r>
          </w:p>
          <w:p w14:paraId="2B16EC42" w14:textId="77777777" w:rsidR="008437F0" w:rsidRPr="00D807C3" w:rsidRDefault="008437F0" w:rsidP="00B8320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bg-BG"/>
              </w:rPr>
            </w:pPr>
          </w:p>
          <w:p w14:paraId="16AACFDA" w14:textId="799152C0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а/</w:t>
            </w:r>
            <w:r w:rsidR="009D4DA5"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проблем</w:t>
            </w: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ите.</w:t>
            </w:r>
          </w:p>
          <w:p w14:paraId="57207DD2" w14:textId="4BFB9B8A" w:rsidR="00276267" w:rsidRPr="00850DFC" w:rsidRDefault="00DA2458" w:rsidP="002762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Действащата нормативна уредба не позволява разрешаването на посочения проблем, докол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кото към настоящия момент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правила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та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 предвидени в европейското законодателство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по отношение на ЕС продуктите за наторяване</w:t>
            </w:r>
            <w:r w:rsidR="008437F0"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 не са регламентирани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.</w:t>
            </w:r>
          </w:p>
          <w:p w14:paraId="5636C18E" w14:textId="77777777" w:rsidR="00276267" w:rsidRPr="00D807C3" w:rsidRDefault="00276267" w:rsidP="002762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16"/>
                <w:lang w:val="bg-BG"/>
              </w:rPr>
            </w:pPr>
          </w:p>
          <w:p w14:paraId="31F4A275" w14:textId="046A14F4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актове</w:t>
            </w: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 xml:space="preserve"> от правото на ЕС.</w:t>
            </w:r>
          </w:p>
          <w:p w14:paraId="10790E8F" w14:textId="77777777" w:rsidR="002032BC" w:rsidRDefault="00DA2458" w:rsidP="008519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Предложените промени са в резултат от предприетите мерки за </w:t>
            </w:r>
            <w:r w:rsidR="002872BF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осигуряване прилагането на</w:t>
            </w:r>
            <w:r w:rsidR="002032B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:</w:t>
            </w:r>
          </w:p>
          <w:p w14:paraId="326E1ACB" w14:textId="23CD1DCE" w:rsidR="002032BC" w:rsidRDefault="00384361" w:rsidP="008519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 на Европейския парламент и на Съвета от 5 юни 2019 година за определяне на правила за предоставяне на пазара на ЕС продукти за наторяване и за изменение на регламенти (ЕО) № 1069/2009 и (ЕО) № 1107/2009 и за отмяна на Регламент (ЕО) № 2003/2003</w:t>
            </w:r>
            <w:r w:rsidR="009337C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96F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F38221E" w14:textId="77777777" w:rsidR="0038570B" w:rsidRPr="00A44958" w:rsidRDefault="009B3C35" w:rsidP="008519C4">
            <w:pPr>
              <w:spacing w:line="240" w:lineRule="auto"/>
              <w:jc w:val="both"/>
            </w:pPr>
            <w:r w:rsidRPr="009B3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Регламента </w:t>
            </w:r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основен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законодателен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70B" w:rsidRPr="009B3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Е</w:t>
            </w:r>
            <w:r w:rsidR="003857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вропейския </w:t>
            </w:r>
            <w:r w:rsidR="0038570B" w:rsidRPr="009B3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3857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ъюз</w:t>
            </w:r>
            <w:r w:rsidR="0038570B" w:rsidRPr="009B3C3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>кръговата</w:t>
            </w:r>
            <w:proofErr w:type="spellEnd"/>
            <w:r w:rsidRPr="009B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цели</w:t>
            </w:r>
            <w:r w:rsidRP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да осигури хармонизиран подход във всички държави членки по отношение на ЕС продуктите за наторяване. Регламента е</w:t>
            </w:r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изготвен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съответствие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модела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Новата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законодателна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съществени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изисквания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продуктите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наторяване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оценяване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съответствието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пропорционално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разпределение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задълженията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икономическите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оператори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ясни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механизми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85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70B" w:rsidRPr="008519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различните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изисквания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зависимост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предвидената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употреба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продуктите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наторяване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разделени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различни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продуктови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функционални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компонентите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отделни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съставни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всяка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със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специфични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изисквания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гарантира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качеството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продуктите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наторяване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„СЕ“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минимално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съдържание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хранителните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въвеждат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пределни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стойности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някои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замърсители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тежки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метали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биологични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микробни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примеси</w:t>
            </w:r>
            <w:proofErr w:type="spellEnd"/>
            <w:r w:rsidR="0038570B" w:rsidRPr="0085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5E0DB" w14:textId="5DA2DC27" w:rsidR="00554F77" w:rsidRDefault="00D54637" w:rsidP="00554F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Необходимо е да </w:t>
            </w:r>
            <w:r w:rsidR="009C10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554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посочат задълженията</w:t>
            </w:r>
            <w:r w:rsidR="009B3C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554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различните икономически оператори производители, вносители, дистрибутори и упълномощени представители</w:t>
            </w:r>
            <w:r w:rsidR="009B3C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зависимост от тяхната роля при предоставяне на ЕС продуктите за наторяване </w:t>
            </w:r>
            <w:r w:rsidR="00554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определяне на </w:t>
            </w:r>
            <w:proofErr w:type="spellStart"/>
            <w:r w:rsidR="00554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нотифициращ</w:t>
            </w:r>
            <w:proofErr w:type="spellEnd"/>
            <w:r w:rsidR="00554F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 по Регламента, включване на езикови изисквания за предоставяне на информация от страна на икономическите оператори и разписване на санкции за нарушаване на изискванията на Регламента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BE4A559" w14:textId="77777777" w:rsidR="008519C4" w:rsidRPr="008425D3" w:rsidRDefault="008519C4" w:rsidP="008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5B1D55A" w14:textId="77777777" w:rsidR="00076E63" w:rsidRPr="00850DFC" w:rsidRDefault="00076E63" w:rsidP="0060089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850DFC"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  <w:t xml:space="preserve"> </w:t>
            </w:r>
          </w:p>
          <w:p w14:paraId="2AF63B6B" w14:textId="3A26D3A3" w:rsidR="00363881" w:rsidRDefault="00363881" w:rsidP="0027626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1C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извършени последващи оценки на нормативния акт, както и анализи за изпълнението на политиката.</w:t>
            </w:r>
          </w:p>
          <w:p w14:paraId="4007BC17" w14:textId="66D6DB06" w:rsidR="00CF2CC9" w:rsidRDefault="00CF2CC9" w:rsidP="008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C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Проблем 2</w:t>
            </w:r>
          </w:p>
          <w:p w14:paraId="5B9D5264" w14:textId="77777777" w:rsidR="008519C4" w:rsidRPr="003C3015" w:rsidRDefault="008519C4" w:rsidP="008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F407536" w14:textId="77777777" w:rsidR="00B129D6" w:rsidRPr="00850DFC" w:rsidRDefault="00B129D6" w:rsidP="002872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26DD7169" w14:textId="77777777" w:rsidR="00B129D6" w:rsidRDefault="00B129D6" w:rsidP="00B129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Въвеждане на мерки, гарантиращи прилагането на пряко приложимо право на ЕС, а именно:</w:t>
            </w:r>
          </w:p>
          <w:p w14:paraId="185485FD" w14:textId="1EDC78A4" w:rsidR="00B129D6" w:rsidRDefault="00B129D6" w:rsidP="00B129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 на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</w:t>
            </w:r>
            <w:r w:rsidR="00AA31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A3104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2019/1020 </w:t>
            </w:r>
            <w:r w:rsidR="00AA3104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Европейския парламент и на Съвета от </w:t>
            </w:r>
            <w:r w:rsidR="00AA31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AA3104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юни 2019 година</w:t>
            </w:r>
            <w:r w:rsidR="00AA3104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 w:rsidR="00AA3104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относно надзора на пазара и съответствието на продуктите и за изменение на Директива 2004/42/ЕО и регламенти (ЕО) № 765/2008 и (ЕС) № 305/2011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Регламентът е публикуван в официален вестник на ЕС на 25 юни 2019 г. и се прилага от 16 юли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AE5D744" w14:textId="0C39E193" w:rsidR="00DE1901" w:rsidRDefault="00B129D6" w:rsidP="00B129D6">
            <w:pPr>
              <w:spacing w:before="120" w:after="120" w:line="240" w:lineRule="auto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Действащият Закон</w:t>
            </w:r>
            <w:r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защита на растенията урежда </w:t>
            </w:r>
            <w:r w:rsidR="00DE19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надзора на пазара на 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 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торовете в обхвата на </w:t>
            </w:r>
            <w:r w:rsidR="00DE190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(ЕО) № 2003/2003</w:t>
            </w:r>
            <w:r w:rsidR="00DE19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</w:t>
            </w:r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(ЕО) № 765/2008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Европейския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Съвета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изискванията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акредитация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във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връзка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предлагането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отмяна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 w:rsidR="00DE1901"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 (ЕИО) № 339/93</w:t>
            </w:r>
            <w:r w:rsidR="00DE1901" w:rsidRPr="000176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241BC20A" w14:textId="0A1190D2" w:rsidR="00DE1901" w:rsidRPr="00AA3104" w:rsidRDefault="0001769B" w:rsidP="00B129D6">
            <w:pPr>
              <w:spacing w:before="120" w:after="120" w:line="240" w:lineRule="auto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E19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ият</w:t>
            </w:r>
            <w:r w:rsidR="00DE19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нов </w:t>
            </w:r>
            <w:r w:rsidR="00AA3104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</w:t>
            </w:r>
            <w:r w:rsidR="00AA31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изменя </w:t>
            </w:r>
            <w:proofErr w:type="spellStart"/>
            <w:r w:rsidR="00AA3104" w:rsidRPr="00670FAE">
              <w:t>Регламент</w:t>
            </w:r>
            <w:proofErr w:type="spellEnd"/>
            <w:r w:rsidR="00AA3104" w:rsidRPr="00670FAE">
              <w:t xml:space="preserve"> (ЕО) № 765/2008</w:t>
            </w:r>
            <w:r w:rsidR="00AA3104">
              <w:rPr>
                <w:lang w:val="bg-BG"/>
              </w:rPr>
              <w:t xml:space="preserve"> в частта свързана с </w:t>
            </w:r>
            <w:r w:rsidR="00AA310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надзора на пазара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посочва законодателството но Съюза за хармонизация, за което се прилага. Част от това законодателство е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8A5974B" w14:textId="46409913" w:rsidR="00B129D6" w:rsidRDefault="00B129D6" w:rsidP="00B129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следствие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действащата нормативна уредба не е в съответствие с новоприетото европейско законодателство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няма разписани правила относно 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пазара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ЕС продуктите за наторяване в обхвата на </w:t>
            </w:r>
            <w:r w:rsidR="007420BE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="007420BE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2019/1020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3A9D77C" w14:textId="77777777" w:rsidR="00B129D6" w:rsidRPr="00D807C3" w:rsidRDefault="00B129D6" w:rsidP="00B129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val="bg-BG"/>
              </w:rPr>
            </w:pPr>
          </w:p>
          <w:p w14:paraId="65BC9593" w14:textId="77777777" w:rsidR="00B129D6" w:rsidRPr="00850DFC" w:rsidRDefault="00B129D6" w:rsidP="002872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0EC306F7" w14:textId="77777777" w:rsidR="00B129D6" w:rsidRPr="00850DFC" w:rsidRDefault="00B129D6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Проблемът не може да се реши в рамките на съществуващото законодателство без промяна на нормативната уредба. В тази връзка е необходимо да бъдат предприети действия за приемане на проект на Закон за изменение и допълнение на Закона за защита на растенията.</w:t>
            </w:r>
          </w:p>
          <w:p w14:paraId="6AEEEE0C" w14:textId="77777777" w:rsidR="00B129D6" w:rsidRPr="00D807C3" w:rsidRDefault="00B129D6" w:rsidP="002872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bg-BG"/>
              </w:rPr>
            </w:pPr>
          </w:p>
          <w:p w14:paraId="6B2F24AA" w14:textId="77777777" w:rsidR="00B129D6" w:rsidRPr="00850DFC" w:rsidRDefault="00B129D6" w:rsidP="002872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14:paraId="0A9E7397" w14:textId="67E450D2" w:rsidR="00B129D6" w:rsidRPr="00850DFC" w:rsidRDefault="00B129D6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Действащата нормативна уредба не позволява разрешаването на посочения проблем, докол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кото към настоящия момент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правила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та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 предвидени в европейското законодателство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по отношение </w:t>
            </w:r>
            <w:proofErr w:type="spellStart"/>
            <w:r w:rsidR="007420B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назора</w:t>
            </w:r>
            <w:proofErr w:type="spellEnd"/>
            <w:r w:rsidR="007420B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на пазара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на ЕС продуктите за наторяване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 не са регламентирани.</w:t>
            </w:r>
          </w:p>
          <w:p w14:paraId="7BC515A2" w14:textId="77777777" w:rsidR="00B129D6" w:rsidRPr="00D807C3" w:rsidRDefault="00B129D6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16"/>
                <w:lang w:val="bg-BG"/>
              </w:rPr>
            </w:pPr>
          </w:p>
          <w:p w14:paraId="52DBE761" w14:textId="77777777" w:rsidR="00B129D6" w:rsidRPr="00850DFC" w:rsidRDefault="00B129D6" w:rsidP="002872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46CE1C97" w14:textId="6B08B292" w:rsidR="00B129D6" w:rsidRDefault="00B129D6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Предложените промени са в резултат от предприетите мерки за 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осигуряване прилагането на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</w:t>
            </w:r>
            <w:r w:rsidR="007420BE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(ЕС) </w:t>
            </w:r>
            <w:r w:rsidR="007420BE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2019/1020 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по отношение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ЕС продукти</w:t>
            </w:r>
            <w:r w:rsidR="007420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за наторяване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5A89668B" w14:textId="77C714C7" w:rsidR="00B129D6" w:rsidRPr="002872A6" w:rsidRDefault="00B129D6" w:rsidP="00B129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87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Необходимо е да се </w:t>
            </w:r>
            <w:r w:rsidR="0001769B" w:rsidRPr="00287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уреди надзора на пазара в съответствие с Регламент (ЕС) 2019/1020, доколкото в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(ЕС) 2019/1009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съществуват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специални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разпоредби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със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същата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които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уреждат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по-специален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пазара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наторяване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както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национално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компетентен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пазара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като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разпишат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правомощията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съответствие</w:t>
            </w:r>
            <w:proofErr w:type="spellEnd"/>
            <w:r w:rsidR="0001769B" w:rsidRPr="00287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01769B" w:rsidRPr="002872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Регламент (ЕС) 2019/1020. </w:t>
            </w:r>
          </w:p>
          <w:p w14:paraId="5CA3BF9F" w14:textId="77777777" w:rsidR="0001769B" w:rsidRDefault="0001769B" w:rsidP="0085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</w:p>
          <w:p w14:paraId="44608ED4" w14:textId="6434E78C" w:rsidR="00B129D6" w:rsidRPr="00850DFC" w:rsidRDefault="00B129D6" w:rsidP="00B129D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850DFC"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  <w:t xml:space="preserve"> </w:t>
            </w:r>
          </w:p>
          <w:p w14:paraId="47543A79" w14:textId="1B031F60" w:rsidR="00B129D6" w:rsidRDefault="00B129D6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1C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извършени последващи оценки на нормативния акт, както и анализи за изпълнението на политиката.</w:t>
            </w:r>
          </w:p>
          <w:p w14:paraId="61D776B9" w14:textId="27BB1AB0" w:rsidR="008519C4" w:rsidRDefault="008519C4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FFB8EEE" w14:textId="77777777" w:rsidR="008519C4" w:rsidRDefault="008519C4" w:rsidP="00B129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EE97A72" w14:textId="577ABCBA" w:rsidR="003C3015" w:rsidRDefault="003C3015" w:rsidP="003C30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C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Проблем 3</w:t>
            </w:r>
          </w:p>
          <w:p w14:paraId="466AA95F" w14:textId="77777777" w:rsidR="002765EF" w:rsidRPr="00850DFC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04F07429" w14:textId="77777777" w:rsidR="002765EF" w:rsidRDefault="002765EF" w:rsidP="002765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Въвеждане на мерки, гарантиращи прилагането на пряко приложимо право на ЕС, а именно:</w:t>
            </w:r>
          </w:p>
          <w:p w14:paraId="0DD7AEC6" w14:textId="65D39256" w:rsidR="002765EF" w:rsidRDefault="002765EF" w:rsidP="002765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 на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2019/515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Европейския парламент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на Съвета от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19 март 2019 година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относно взаимното признаване на стоки, законно предлагани на пазара в друга държава членка, и за отмяна на Регламент (ЕО) № 764/2008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.</w:t>
            </w:r>
            <w:r w:rsidRP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Регламентът е публикуван</w:t>
            </w:r>
            <w:r w:rsidR="00B003B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официален вестник на ЕС на 29 март 2019 г. и се прилага от 19 април 2020</w:t>
            </w:r>
            <w:r w:rsidRPr="004521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  <w:p w14:paraId="31752309" w14:textId="2F54B00B" w:rsidR="002765EF" w:rsidRDefault="002765EF" w:rsidP="002765EF">
            <w:pPr>
              <w:spacing w:before="120" w:after="120" w:line="240" w:lineRule="auto"/>
              <w:jc w:val="both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Действащият Закон</w:t>
            </w:r>
            <w:r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защита на растенията урежда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взаимното признаване на торове,</w:t>
            </w:r>
            <w:r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подобрители на почвата, биологично активни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ещества и хранителни субстрати в съответствие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(ЕО) № 764</w:t>
            </w:r>
            <w:r w:rsidRPr="0001769B">
              <w:rPr>
                <w:rFonts w:ascii="Times New Roman" w:hAnsi="Times New Roman" w:cs="Times New Roman"/>
                <w:sz w:val="24"/>
                <w:szCs w:val="24"/>
              </w:rPr>
              <w:t xml:space="preserve">/2008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Европейския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Съвета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2008 г. </w:t>
            </w:r>
            <w:proofErr w:type="spellStart"/>
            <w:proofErr w:type="gram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  <w:proofErr w:type="spellEnd"/>
            <w:proofErr w:type="gram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установяване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процедурите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свързани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прилагането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някои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национални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законно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предлагани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държави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членки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отмяна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2765EF">
              <w:rPr>
                <w:rFonts w:ascii="Times New Roman" w:hAnsi="Times New Roman" w:cs="Times New Roman"/>
                <w:sz w:val="24"/>
                <w:szCs w:val="24"/>
              </w:rPr>
              <w:t xml:space="preserve"> № 3052/95/ЕО</w:t>
            </w:r>
            <w:r w:rsidRPr="002765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0176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EC4416D" w14:textId="22DF394C" w:rsidR="002765EF" w:rsidRDefault="002765EF" w:rsidP="002765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областта на взаимното признаване на стоки е приет нов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2019/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515</w:t>
            </w:r>
            <w:r w:rsidR="00B003BB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, които отменя </w:t>
            </w:r>
            <w:proofErr w:type="spellStart"/>
            <w:r w:rsidR="00B003B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 w:rsidR="00B003BB">
              <w:rPr>
                <w:rFonts w:ascii="Times New Roman" w:hAnsi="Times New Roman" w:cs="Times New Roman"/>
                <w:sz w:val="24"/>
                <w:szCs w:val="24"/>
              </w:rPr>
              <w:t xml:space="preserve"> (ЕО) № 764</w:t>
            </w:r>
            <w:r w:rsidR="00B003BB" w:rsidRPr="0001769B">
              <w:rPr>
                <w:rFonts w:ascii="Times New Roman" w:hAnsi="Times New Roman" w:cs="Times New Roman"/>
                <w:sz w:val="24"/>
                <w:szCs w:val="24"/>
              </w:rPr>
              <w:t>/2008</w:t>
            </w:r>
            <w:r w:rsidR="00B003BB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нормативната уредба следва да бъде актуализирана по отношение правилата за предлагането на българския пазар на продукти, които са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законно предлагани на пазара в друга държава членка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763975BF" w14:textId="1E707E82" w:rsidR="002765EF" w:rsidRDefault="002765EF" w:rsidP="002765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следствие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действащата нормативна уредба не е в съответствие с новоприетото европейско законодателство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не 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уредени процедурите за взаимно признаване в съответствие с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2019/515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513B4B9" w14:textId="77777777" w:rsidR="002765EF" w:rsidRPr="00850DFC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5008DBD9" w14:textId="77777777" w:rsidR="002765EF" w:rsidRPr="00850DFC" w:rsidRDefault="002765EF" w:rsidP="002765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Проблемът не може да се реши в рамките на съществуващото законодателство без промяна на нормативната уредба. В тази връзка е необходимо да бъдат предприети действия за приемане на проект на Закон за изменение и допълнение на Закона за защита на растенията.</w:t>
            </w:r>
          </w:p>
          <w:p w14:paraId="7EE6E7F9" w14:textId="77777777" w:rsidR="002765EF" w:rsidRPr="00D807C3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bg-BG"/>
              </w:rPr>
            </w:pPr>
          </w:p>
          <w:p w14:paraId="7B5E3AFB" w14:textId="77777777" w:rsidR="002765EF" w:rsidRPr="00850DFC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14:paraId="6909B561" w14:textId="79D63F80" w:rsidR="002765EF" w:rsidRPr="00850DFC" w:rsidRDefault="002765EF" w:rsidP="002765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Действащата нормативна уредба не позволява разрешаването на посочения проблем, докол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кото 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принципа за взаимно признаване на 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торове,</w:t>
            </w:r>
            <w:r w:rsidR="007F464C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подобрители на почвата, биологично активни в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ещества и хранителни субстрати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 не е съответствие с действащите правила на ниво ЕС и не може да бъде прилаган по отношение на тези продукти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.</w:t>
            </w:r>
          </w:p>
          <w:p w14:paraId="3480305E" w14:textId="77777777" w:rsidR="002765EF" w:rsidRPr="00D807C3" w:rsidRDefault="002765EF" w:rsidP="002765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16"/>
                <w:lang w:val="bg-BG"/>
              </w:rPr>
            </w:pPr>
          </w:p>
          <w:p w14:paraId="34CC4FBB" w14:textId="77777777" w:rsidR="002765EF" w:rsidRPr="00850DFC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1D1B7AA6" w14:textId="75EA63B1" w:rsidR="002765EF" w:rsidRDefault="002765EF" w:rsidP="002765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Предложените промени са в резултат от предприетите мерки за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осигуряване прилагането на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2019/1020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по отношение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продукти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закона, регулирани на национално ниво - торове,</w:t>
            </w:r>
            <w:r w:rsidR="007F464C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подобрители на почвата, биологично активни в</w:t>
            </w:r>
            <w:r w:rsidR="007F46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ещества и хранителни субстрати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6FFC78B" w14:textId="62E0569D" w:rsidR="002765EF" w:rsidRDefault="002765EF" w:rsidP="00B003B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Необходимо е да </w:t>
            </w:r>
            <w:r w:rsidR="00B003BB" w:rsidRPr="00B00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бъде уточнено, че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(ЕС) 2019/515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процедурата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вписване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регистъра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торове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подобрители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почвата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биологично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активни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хранителни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субстрати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законно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предлагани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такива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пазара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държава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членка</w:t>
            </w:r>
            <w:proofErr w:type="spellEnd"/>
            <w:r w:rsidR="00B003BB" w:rsidRPr="00B00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изключение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случаите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когато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изиска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становище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Експертната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ефикасността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безопасността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заявения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="00B003BB" w:rsidRPr="00B00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7B6DA" w14:textId="77777777" w:rsidR="008519C4" w:rsidRPr="00B003BB" w:rsidRDefault="008519C4" w:rsidP="0085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14:paraId="0D96E82E" w14:textId="77777777" w:rsidR="002765EF" w:rsidRPr="00850DFC" w:rsidRDefault="002765EF" w:rsidP="002765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850DFC">
              <w:rPr>
                <w:rFonts w:ascii="Times New Roman" w:eastAsia="Times New Roman" w:hAnsi="Times New Roman" w:cs="Times New Roman"/>
                <w:i/>
                <w:sz w:val="32"/>
                <w:szCs w:val="24"/>
                <w:lang w:val="bg-BG"/>
              </w:rPr>
              <w:t xml:space="preserve"> </w:t>
            </w:r>
          </w:p>
          <w:p w14:paraId="11092831" w14:textId="706E2155" w:rsidR="00CF2CC9" w:rsidRPr="00850DFC" w:rsidRDefault="002765EF" w:rsidP="008519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31C5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извършени последващи оценки на нормативния акт, както и анализи за изпълнението на политиката</w:t>
            </w:r>
          </w:p>
        </w:tc>
      </w:tr>
      <w:tr w:rsidR="00076E63" w:rsidRPr="00850DFC" w14:paraId="1749561E" w14:textId="77777777" w:rsidTr="00C93DF1">
        <w:tc>
          <w:tcPr>
            <w:tcW w:w="10266" w:type="dxa"/>
            <w:gridSpan w:val="3"/>
          </w:tcPr>
          <w:p w14:paraId="654CA161" w14:textId="62C1882C" w:rsidR="00076E63" w:rsidRPr="00850DFC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289DE966" w14:textId="77777777" w:rsidR="00A617B6" w:rsidRDefault="00A617B6" w:rsidP="00A617B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Изготвеният проект на ЗИД на ЗЗР ще гарантира правилното прилагане на европейските и национални разпоредби и </w:t>
            </w:r>
            <w:r w:rsidRPr="003945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непротиворечиво тълкуване от страна на адресатите на акта. </w:t>
            </w:r>
          </w:p>
          <w:p w14:paraId="39969B4D" w14:textId="4BB20729" w:rsidR="00B03E6F" w:rsidRPr="006E1B4E" w:rsidRDefault="00A617B6" w:rsidP="00B03E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приемане на предложените изменения и допълнения на Закона за защита на растенията се ц</w:t>
            </w:r>
            <w:r w:rsidR="00B03E6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и:</w:t>
            </w:r>
          </w:p>
          <w:p w14:paraId="206308DE" w14:textId="6CEC0F5C" w:rsidR="008519C4" w:rsidRPr="00394523" w:rsidRDefault="008519C4" w:rsidP="00B03E6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Проблем 1:</w:t>
            </w:r>
          </w:p>
          <w:p w14:paraId="6DE971B8" w14:textId="7B3C13D7" w:rsidR="00620959" w:rsidRDefault="00FD56D6" w:rsidP="002C1FF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425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Цел 1: </w:t>
            </w:r>
            <w:r w:rsidR="00A617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ясно да се </w:t>
            </w:r>
            <w:r w:rsidR="00A617B6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регламентират </w:t>
            </w:r>
            <w:r w:rsidR="00A617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една страна </w:t>
            </w:r>
            <w:r w:rsidR="00A617B6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правилата и процедурите, приложими за </w:t>
            </w:r>
            <w:r w:rsidR="00A617B6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торове, подобрители на почвата, биологично активни в</w:t>
            </w:r>
            <w:r w:rsidR="00A617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ещества и хранителни субстрати, като продукти регулирани по националното законодателство, а от друга да се осигури прилагането на новото европейско законодателство по отношение на ЕС </w:t>
            </w:r>
            <w:r w:rsidR="00A617B6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за наторяване</w:t>
            </w:r>
            <w:r w:rsidR="00A617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за които са приети хармонизирани европейски изисквания;</w:t>
            </w:r>
          </w:p>
          <w:p w14:paraId="224E1A68" w14:textId="409E2168" w:rsidR="00134773" w:rsidRPr="00134773" w:rsidRDefault="00620959" w:rsidP="00134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2</w:t>
            </w:r>
            <w:r w:rsidRPr="008425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34773" w:rsidRP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Осигуряване прилагането на Регламент (ЕС) 2019/1009, с което ще се постигнат неговите основни цели:</w:t>
            </w:r>
          </w:p>
          <w:p w14:paraId="2957D988" w14:textId="249E678C" w:rsidR="00134773" w:rsidRPr="00134773" w:rsidRDefault="00134773" w:rsidP="003A0132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293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цялостно</w:t>
            </w:r>
            <w:proofErr w:type="spellEnd"/>
            <w:proofErr w:type="gram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хармонизиране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предоставяне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вътрешния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FC73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ЕС на</w:t>
            </w:r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продуктите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наторяване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иновативни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органични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вторични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суровини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40F067" w14:textId="47193BD8" w:rsidR="00134773" w:rsidRPr="00134773" w:rsidRDefault="00134773" w:rsidP="00CD1DC2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295" w:hanging="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ограничаване</w:t>
            </w:r>
            <w:proofErr w:type="spellEnd"/>
            <w:proofErr w:type="gram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негативното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въздействие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околната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човешкото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чрез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въвеждане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хармонизирани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пределни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стойности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различните</w:t>
            </w:r>
            <w:proofErr w:type="spellEnd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773">
              <w:rPr>
                <w:rFonts w:ascii="Times New Roman" w:hAnsi="Times New Roman" w:cs="Times New Roman"/>
                <w:sz w:val="24"/>
                <w:szCs w:val="24"/>
              </w:rPr>
              <w:t>замърсит</w:t>
            </w:r>
            <w:r w:rsidR="00CD1DC2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spellEnd"/>
            <w:r w:rsidR="00CD1D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D1DC2">
              <w:rPr>
                <w:rFonts w:ascii="Times New Roman" w:hAnsi="Times New Roman" w:cs="Times New Roman"/>
                <w:sz w:val="24"/>
                <w:szCs w:val="24"/>
              </w:rPr>
              <w:t>продуктите</w:t>
            </w:r>
            <w:proofErr w:type="spellEnd"/>
            <w:r w:rsidR="00CD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D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D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1DC2">
              <w:rPr>
                <w:rFonts w:ascii="Times New Roman" w:hAnsi="Times New Roman" w:cs="Times New Roman"/>
                <w:sz w:val="24"/>
                <w:szCs w:val="24"/>
              </w:rPr>
              <w:t>наторяване</w:t>
            </w:r>
            <w:proofErr w:type="spellEnd"/>
            <w:r w:rsidR="00CD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27C82" w14:textId="7E8CF029" w:rsidR="00134773" w:rsidRPr="00134773" w:rsidRDefault="00620959" w:rsidP="0013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3:</w:t>
            </w:r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Определяне на </w:t>
            </w:r>
            <w:proofErr w:type="spellStart"/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нотифициращ</w:t>
            </w:r>
            <w:proofErr w:type="spellEnd"/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 по Регламент (ЕС) 2019/1009, с което ще се осигури възможност за определянето и наблюдението на </w:t>
            </w:r>
            <w:proofErr w:type="spellStart"/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нотифицираните</w:t>
            </w:r>
            <w:proofErr w:type="spellEnd"/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органите и ще се гарантира спазването на дейностите по оценка на съответствието на ЕС </w:t>
            </w:r>
            <w:r w:rsidR="00134773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за наторяване</w:t>
            </w:r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изискванията на Регламента</w:t>
            </w:r>
            <w:r w:rsidR="00FC73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2FE52B7" w14:textId="6C488335" w:rsidR="008519C4" w:rsidRPr="00394523" w:rsidRDefault="008519C4" w:rsidP="008519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Проблем 2:</w:t>
            </w:r>
          </w:p>
          <w:p w14:paraId="59E44E97" w14:textId="6BC3CDE2" w:rsidR="002C1FF2" w:rsidRDefault="007C7A57" w:rsidP="002C1FF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1</w:t>
            </w:r>
            <w:r w:rsidR="00FD56D6" w:rsidRPr="008425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</w:t>
            </w:r>
            <w:r w:rsidR="00FD56D6" w:rsidRPr="008425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13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определяне на орган по надзор на пазара </w:t>
            </w:r>
            <w:r w:rsidR="007A11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отношение на ЕС продуктите за наторяване </w:t>
            </w:r>
            <w:r w:rsidR="00E13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разписване на 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неговите правомощия</w:t>
            </w:r>
            <w:r w:rsidR="007A11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049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свързани с надзора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A11F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Регламент (ЕС) 2019/1020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осигури възможност за ефективен контрол от страна на </w:t>
            </w:r>
            <w:proofErr w:type="spellStart"/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компететния</w:t>
            </w:r>
            <w:r w:rsidR="00FC73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proofErr w:type="spellEnd"/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</w:t>
            </w:r>
            <w:r w:rsidR="00FC73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 както</w:t>
            </w:r>
            <w:r w:rsidR="008519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недопускане на наличието на несъответстващи продукти на пазара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75CA428" w14:textId="2C250238" w:rsidR="008519C4" w:rsidRPr="00394523" w:rsidRDefault="008519C4" w:rsidP="008519C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Проблем 3:</w:t>
            </w:r>
          </w:p>
          <w:p w14:paraId="0E79D44A" w14:textId="5CD42CEC" w:rsidR="002C1FF2" w:rsidRDefault="007C7A57" w:rsidP="002C1FF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 1</w:t>
            </w:r>
            <w:r w:rsidR="00FD56D6" w:rsidRPr="008425D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</w:t>
            </w:r>
            <w:r w:rsidR="006829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уреждане на </w:t>
            </w:r>
            <w:r w:rsidR="007049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правилата и процедурите</w:t>
            </w:r>
            <w:r w:rsidR="006829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взаимно признаване на </w:t>
            </w:r>
            <w:r w:rsidR="006829D0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торове, подобрители на почвата, биологично активни в</w:t>
            </w:r>
            <w:r w:rsidR="006829D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ещества и хранителни субстрати, които </w:t>
            </w:r>
            <w:r w:rsidR="00DA2989" w:rsidRPr="00DA29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законно предлагани като такива продукти на пазара в друга държава членка </w:t>
            </w:r>
            <w:r w:rsidR="00DA29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съответствие с</w:t>
            </w:r>
            <w:r w:rsidR="00DA2989" w:rsidRPr="00DA29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 (ЕС) 2019/515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гарантира правилното прилагане на принципа на взаимното признаване по отношение на тези продукти </w:t>
            </w:r>
            <w:r w:rsidR="00FC73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предлагането им на пазара в България</w:t>
            </w:r>
            <w:r w:rsidR="00DA29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C41A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AC9A692" w14:textId="77777777" w:rsidR="00E929FD" w:rsidRPr="00850DFC" w:rsidRDefault="00E929FD" w:rsidP="00E92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F4A0FB5" w14:textId="002A100E" w:rsidR="00076E63" w:rsidRPr="00850DFC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850DFC" w14:paraId="70468BFA" w14:textId="77777777" w:rsidTr="00C93DF1">
        <w:tc>
          <w:tcPr>
            <w:tcW w:w="10266" w:type="dxa"/>
            <w:gridSpan w:val="3"/>
          </w:tcPr>
          <w:p w14:paraId="73797BAF" w14:textId="212309C2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3B959082" w14:textId="34C8EF91" w:rsidR="002E0BD7" w:rsidRPr="003A0132" w:rsidRDefault="00940325" w:rsidP="003A0132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Производители, </w:t>
            </w:r>
            <w:r w:rsidR="00756520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упълномощени представители, 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вносители и дистрибутори на </w:t>
            </w:r>
            <w:r w:rsidR="00756520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="002E0BD7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 за наторяване</w:t>
            </w:r>
            <w:r w:rsidR="00756520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A56574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756520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торове, подобрители на почвата, биологично активни вещества и хранителни субстрати</w:t>
            </w:r>
            <w:r w:rsidR="002E0BD7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63FCC966" w14:textId="0D0BCB40" w:rsidR="006147BE" w:rsidRPr="003A0132" w:rsidRDefault="006147BE" w:rsidP="003A0132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Държавни органи, изпълняващи функции</w:t>
            </w:r>
            <w:r w:rsidR="00756520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закона - 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агенция по безопасност на храните</w:t>
            </w:r>
            <w:r w:rsidR="001626D7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26D7" w:rsidRPr="003A013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626D7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БАБХ</w:t>
            </w:r>
            <w:r w:rsidR="001626D7" w:rsidRPr="003A01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C35688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служба за акредитация</w:t>
            </w:r>
            <w:r w:rsidR="00C35688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49B79336" w14:textId="27DA5360" w:rsidR="00CA50B9" w:rsidRPr="003A0132" w:rsidRDefault="00CA50B9" w:rsidP="003A0132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Нотифицирани</w:t>
            </w:r>
            <w:proofErr w:type="spellEnd"/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 за оценка на съответствието по Регламент (ЕС) 2019/1009.</w:t>
            </w:r>
          </w:p>
          <w:p w14:paraId="6C2D44F4" w14:textId="382B3789" w:rsidR="00076E63" w:rsidRPr="003A0132" w:rsidRDefault="00CA50B9" w:rsidP="003A0132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6147BE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отребители на</w:t>
            </w:r>
            <w:r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ЕС</w:t>
            </w:r>
            <w:r w:rsidR="006147BE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 за наторяване</w:t>
            </w:r>
            <w:r w:rsidR="00B53A06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A56574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B53A06" w:rsidRPr="003A01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торове, подобрители на почвата, биологично активни вещества и хранителни субстрати</w:t>
            </w:r>
            <w:r w:rsidR="006147BE" w:rsidRPr="003A0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7F7B8F06" w14:textId="77777777" w:rsidR="00F2283A" w:rsidRPr="00E929FD" w:rsidRDefault="00F2283A" w:rsidP="00E9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/>
              </w:rPr>
            </w:pPr>
          </w:p>
          <w:p w14:paraId="13103825" w14:textId="00D17B80" w:rsidR="00076E63" w:rsidRPr="00850DFC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850DFC" w14:paraId="66D92659" w14:textId="77777777" w:rsidTr="00C93DF1">
        <w:tc>
          <w:tcPr>
            <w:tcW w:w="10266" w:type="dxa"/>
            <w:gridSpan w:val="3"/>
          </w:tcPr>
          <w:p w14:paraId="5D74D9EC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850DFC" w14:paraId="43D33DAE" w14:textId="77777777" w:rsidTr="00C93DF1">
        <w:tc>
          <w:tcPr>
            <w:tcW w:w="10266" w:type="dxa"/>
            <w:gridSpan w:val="3"/>
          </w:tcPr>
          <w:p w14:paraId="33A10896" w14:textId="77777777" w:rsidR="00042D08" w:rsidRPr="00850DFC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850DFC" w14:paraId="0DBF4389" w14:textId="77777777" w:rsidTr="00C93DF1">
        <w:tc>
          <w:tcPr>
            <w:tcW w:w="10266" w:type="dxa"/>
            <w:gridSpan w:val="3"/>
          </w:tcPr>
          <w:p w14:paraId="19F2183A" w14:textId="40894531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1F8D3C4D" w14:textId="74F6F01C" w:rsidR="00BD553D" w:rsidRPr="00850DFC" w:rsidRDefault="00BD553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нормативната уредба не се изменя и не се осигурява прилагането на Регламент (ЕС) 2019/1009</w:t>
            </w:r>
            <w:r w:rsidR="00BF4E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BF4ED4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="00BF4ED4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2019/1020 </w:t>
            </w:r>
            <w:r w:rsidR="00BF4ED4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и </w:t>
            </w:r>
            <w:r w:rsidR="00BF4ED4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="00BF4ED4"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2019/515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31449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продължи да се прилага действащото законодателство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 което не се решават Проблем 1, 2 и 3</w:t>
            </w:r>
            <w:r w:rsidR="0031449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Настоящият Закон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защита на растенията 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урежда изискванията за пускането на пазара на </w:t>
            </w:r>
            <w:r w:rsidR="0031449D"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торове, подобрители на почвата, биологично активни вещества и хранителни субстрати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и не регламентира ЕС продуктите за наторяване, които са с по-широк обхват и включват продукти, произведени от органични </w:t>
            </w:r>
            <w:r w:rsidR="00753E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вторични суровини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нови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технологии</w:t>
            </w:r>
            <w:r w:rsidR="00314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производство.</w:t>
            </w:r>
            <w:r w:rsidR="0031449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17DE7E3" w14:textId="0A6D561D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635AFC0" w14:textId="505A59F7" w:rsidR="00076E63" w:rsidRPr="00850DFC" w:rsidRDefault="004917A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proofErr w:type="spellStart"/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неприемане</w:t>
            </w:r>
            <w:proofErr w:type="spellEnd"/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проекта на ЗИД на ЗЗР положителни въздействия върху заинтересованите страни не се очакват. </w:t>
            </w:r>
          </w:p>
          <w:p w14:paraId="04A4531D" w14:textId="746338AD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27C8B4F8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BCB6DA4" w14:textId="5C187378" w:rsidR="00BF4982" w:rsidRPr="00850DFC" w:rsidRDefault="00BF4982" w:rsidP="00BF498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случай, че не се приеме предложената промяна и не се осигури прилагането на Регламент (ЕС) 2019/1009</w:t>
            </w:r>
            <w:r w:rsidR="008A02C5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639F2A3" w14:textId="7006623F" w:rsidR="00BF4982" w:rsidRPr="00836A58" w:rsidRDefault="00BF4982" w:rsidP="00AD126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е налице несъответствие между националното законодателство и законодателството на ЕС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отношение на ЕС продуктите за наторяване и на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взаимното признаване на регулираните по национално законодателство продукти, 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което може да доведе до 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стартиране 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процедура за нарушение срещу България</w:t>
            </w:r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</w:t>
            </w:r>
            <w:proofErr w:type="spellStart"/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неприлагане</w:t>
            </w:r>
            <w:proofErr w:type="spellEnd"/>
            <w:r w:rsidR="00E138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европейските разпоредби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592524DA" w14:textId="212BF1E9" w:rsidR="00076E63" w:rsidRPr="00836A58" w:rsidRDefault="00BF4982" w:rsidP="00AD126B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резултат на несъответствията и на възможно противоречиво тълкуване между разпоредбите на </w:t>
            </w:r>
            <w:r w:rsidR="00394523"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регламента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тези на закона за защита на растенията може да бъде нарушено нормалното функциониране на пазара на </w:t>
            </w:r>
            <w:r w:rsidR="00FF2F47"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продукти за наторяване в България. </w:t>
            </w:r>
            <w:r w:rsidR="009E5F1D"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Това би поставило българските икономически оператори в неравностойно положение по отношение на участието им в единния европейски пазар</w:t>
            </w:r>
            <w:r w:rsidR="008A02C5" w:rsidRP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1039272" w14:textId="2619A67B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1791BCF2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1408362" w14:textId="59FD3BAA" w:rsidR="00E50480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</w:p>
          <w:p w14:paraId="16FDBA6F" w14:textId="42D99BF3" w:rsidR="00076E63" w:rsidRPr="00850DFC" w:rsidRDefault="00E50480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Вариант 1 „Без действие“ не се очакват въздействия върху малките и средните предприятия.</w:t>
            </w:r>
          </w:p>
          <w:p w14:paraId="4593415F" w14:textId="77777777" w:rsidR="00E50480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7D1B46C" w14:textId="60BBDA88" w:rsidR="00076E63" w:rsidRPr="00850DFC" w:rsidRDefault="00E50480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Вариант 1 „Без действие“ няма промяна по отношение на административната тежест.</w:t>
            </w:r>
          </w:p>
          <w:p w14:paraId="1CC47583" w14:textId="77777777" w:rsidR="00394523" w:rsidRDefault="003945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7A252E0D" w14:textId="62B38A10" w:rsidR="00076E63" w:rsidRPr="00850DFC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Pr="00850DFC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03E8290" w14:textId="41721BF0" w:rsidR="00E44DE0" w:rsidRPr="00850DFC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BD553D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ЗИД на Закона за защита на растенията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923BC29" w14:textId="77777777" w:rsidR="00E44DE0" w:rsidRPr="00850DFC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Описание:</w:t>
            </w:r>
          </w:p>
          <w:p w14:paraId="1F21F1C7" w14:textId="786B0520" w:rsidR="00B02A72" w:rsidRPr="00850DFC" w:rsidRDefault="00084BB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 2 предвижда п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риема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Закон за изменение и допълнение на Закона за защита на растенията. Осигурява се прилагането на </w:t>
            </w:r>
            <w:r w:rsid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регламентите посочени в точка 1.4 и се и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зпълняват </w:t>
            </w:r>
            <w:r w:rsidR="00836A58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поставени</w:t>
            </w:r>
            <w:r w:rsid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в тях</w:t>
            </w:r>
            <w:r w:rsidR="00836A58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цели</w:t>
            </w:r>
            <w:r w:rsid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което 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3B0B75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постига</w:t>
            </w:r>
            <w:r w:rsidR="00BD553D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съответствие с новите европейски изисквания в областта на </w:t>
            </w:r>
            <w:r w:rsidR="00FF2F4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="00B02A72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за наторяване</w:t>
            </w:r>
            <w:r w:rsidR="00B52E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надзора на пазара</w:t>
            </w:r>
            <w:r w:rsidR="00836A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взаимното признаване</w:t>
            </w:r>
            <w:r w:rsidR="00B02A72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F04F354" w14:textId="2D3417E0" w:rsidR="00B02A72" w:rsidRPr="00850DFC" w:rsidRDefault="00B02A72" w:rsidP="00B02A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По-конкретно </w:t>
            </w:r>
            <w:r w:rsidR="00B52E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проекта</w:t>
            </w:r>
            <w:r w:rsidR="00B52E3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акт се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регламентира следното:</w:t>
            </w:r>
          </w:p>
          <w:p w14:paraId="35F89676" w14:textId="5AAC3544" w:rsidR="003B0B75" w:rsidRPr="00AD126B" w:rsidRDefault="00FF2F47" w:rsidP="00AD126B">
            <w:pPr>
              <w:pStyle w:val="ListParagraph"/>
              <w:numPr>
                <w:ilvl w:val="0"/>
                <w:numId w:val="19"/>
              </w:numPr>
              <w:tabs>
                <w:tab w:val="left" w:pos="5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осигурява</w:t>
            </w:r>
            <w:r w:rsidR="00B52E3A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се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B0B75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мерките по прилагане на Регламент (ЕС) 2019/1009</w:t>
            </w:r>
            <w:r w:rsidR="007E73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включително</w:t>
            </w:r>
            <w:r w:rsidR="003821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82112" w:rsidRP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посочване на задълженията на икономическите оператори,  включване на езиковите изисквания за предоставяне</w:t>
            </w:r>
            <w:r w:rsidR="0038211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382112" w:rsidRPr="001347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информация от страна на икономическите оператори и разписване на санкции за нарушаване на изискванията на Регламента</w:t>
            </w:r>
            <w:r w:rsidR="003B0B75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4EBFEE39" w14:textId="356EE8A2" w:rsidR="0068379C" w:rsidRPr="00AD126B" w:rsidRDefault="0068379C" w:rsidP="00AD126B">
            <w:pPr>
              <w:pStyle w:val="ListParagraph"/>
              <w:numPr>
                <w:ilvl w:val="0"/>
                <w:numId w:val="19"/>
              </w:numPr>
              <w:tabs>
                <w:tab w:val="left" w:pos="5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</w:t>
            </w:r>
            <w:r w:rsidR="00FF2F47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52E3A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FF2F47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Изпълнителна агенция „Българска служба за акредитация“ като</w:t>
            </w:r>
            <w:r w:rsidRPr="00AD126B">
              <w:rPr>
                <w:lang w:val="bg-BG"/>
              </w:rPr>
              <w:t xml:space="preserve"> </w:t>
            </w:r>
            <w:proofErr w:type="spellStart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нотифициращ</w:t>
            </w:r>
            <w:proofErr w:type="spellEnd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</w:t>
            </w:r>
            <w:r w:rsidR="003B0B75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Регламент (ЕС) 2019/1009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отговорен за установяването и провеждането на необходимите процедури за оценка и </w:t>
            </w:r>
            <w:proofErr w:type="spellStart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нотифициране</w:t>
            </w:r>
            <w:proofErr w:type="spellEnd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органите за оценяване на съответствието, както и за наблюдението на </w:t>
            </w:r>
            <w:proofErr w:type="spellStart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нотифицираните</w:t>
            </w:r>
            <w:proofErr w:type="spellEnd"/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органи;</w:t>
            </w:r>
          </w:p>
          <w:p w14:paraId="5889886A" w14:textId="4A00AFC2" w:rsidR="00DF1735" w:rsidRPr="00AD126B" w:rsidRDefault="00DF1735" w:rsidP="00AD126B">
            <w:pPr>
              <w:pStyle w:val="ListParagraph"/>
              <w:numPr>
                <w:ilvl w:val="0"/>
                <w:numId w:val="19"/>
              </w:numPr>
              <w:tabs>
                <w:tab w:val="left" w:pos="5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определя </w:t>
            </w:r>
            <w:r w:rsidR="00B52E3A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агенция по безопасност на храните като орган по надзор на пазара</w:t>
            </w:r>
            <w:r w:rsidR="00DF4A8D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отношение на ЕС продуктите за наторяване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336C8674" w14:textId="5ADF9B81" w:rsidR="00355840" w:rsidRPr="00AD126B" w:rsidRDefault="001526CC" w:rsidP="00AD126B">
            <w:pPr>
              <w:pStyle w:val="ListParagraph"/>
              <w:numPr>
                <w:ilvl w:val="0"/>
                <w:numId w:val="19"/>
              </w:numPr>
              <w:tabs>
                <w:tab w:val="left" w:pos="5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въвежда</w:t>
            </w:r>
            <w:r w:rsidR="00B52E3A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 се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ясни разпоредби, с които се разграничават продуктите, регулирани на национално ниво, и ЕС</w:t>
            </w:r>
            <w:r>
              <w:t xml:space="preserve"> 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за наторяване, за които са въведени хармонизирани изисквания на ниво ЕС</w:t>
            </w:r>
            <w:r w:rsidR="00AD126B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2F9E3767" w14:textId="6B1637C2" w:rsidR="007C5D42" w:rsidRPr="00AD126B" w:rsidRDefault="007C5D42" w:rsidP="00AD126B">
            <w:pPr>
              <w:pStyle w:val="ListParagraph"/>
              <w:numPr>
                <w:ilvl w:val="0"/>
                <w:numId w:val="19"/>
              </w:numPr>
              <w:tabs>
                <w:tab w:val="left" w:pos="57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урежда </w:t>
            </w:r>
            <w:r w:rsidR="00B52E3A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взаимното признаване на </w:t>
            </w:r>
            <w:r w:rsidR="00DF4A8D"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торовете, подобрителите на почвата, биологично активните вещества и хранителните субстрати 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съответствие с Регламент (ЕС) </w:t>
            </w:r>
            <w:r w:rsidRPr="00AD126B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2019/515.</w:t>
            </w:r>
          </w:p>
          <w:p w14:paraId="31878F0B" w14:textId="5AACA838" w:rsidR="00E44DE0" w:rsidRPr="00850DFC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AC5E687" w14:textId="570BC219" w:rsidR="00DF4A8D" w:rsidRDefault="00E45C28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ще се осигури пълно съответствие на националното законодателство с европейското в областта на </w:t>
            </w:r>
            <w:r w:rsidR="00DF4A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="0089658A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продуктите за наторяване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EA2E4C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увеличат възможностите на </w:t>
            </w:r>
            <w:r w:rsidR="00CA31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икономическите оператори</w:t>
            </w:r>
            <w:r w:rsidR="00EA2E4C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313F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участва</w:t>
            </w:r>
            <w:r w:rsidR="00CA31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3313F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ефективно във</w:t>
            </w:r>
            <w:r w:rsidR="00EA2E4C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вътрешния пазар</w:t>
            </w:r>
            <w:r w:rsidR="0045217E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DF4A8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="0045217E" w:rsidRPr="00963E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продукти за наторяване, </w:t>
            </w:r>
            <w:r w:rsidR="00CA31E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те ще</w:t>
            </w:r>
            <w:r w:rsidR="0045217E" w:rsidRPr="00963E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получат достъп до повече от една национална територия</w:t>
            </w:r>
            <w:r w:rsidR="00D72B4B" w:rsidRPr="00963E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8877648" w14:textId="0BA7B2E0" w:rsidR="00E44DE0" w:rsidRDefault="00C328E0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D72B4B" w:rsidRPr="00963E0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улесни достъпа до хармонизирания пазар на иновативни продукти, произведени от органични или вторични суровини и ще се отговори на нуждите на земеделските стопани</w:t>
            </w:r>
            <w:r w:rsidR="007B4B69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0A8902B7" w14:textId="21A1C12E" w:rsidR="00747335" w:rsidRDefault="00B52E3A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създадат условия за пускането на пазара и употребата на </w:t>
            </w:r>
            <w:r w:rsidR="007473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к</w:t>
            </w:r>
            <w:r w:rsidR="001626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оито е гарантирано</w:t>
            </w:r>
            <w:r w:rsidR="007473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високо ниво на защита на здравето на човека, животните</w:t>
            </w:r>
            <w:r w:rsidR="001626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растенията, и на околната среда.</w:t>
            </w:r>
          </w:p>
          <w:p w14:paraId="07C7BBEF" w14:textId="0F9DE69D" w:rsidR="00270596" w:rsidRDefault="001626D7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дадените на БАБХ правомощия ще се осигури възможност на Агенцията за да осъществява ефективен надзор на пазара на ЕС продуктите за наторяване. </w:t>
            </w:r>
          </w:p>
          <w:p w14:paraId="37A4C118" w14:textId="2130F172" w:rsidR="00745D8A" w:rsidRPr="00745D8A" w:rsidRDefault="00745D8A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гарантира правилното прилагане на процедурата за взаимно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признаване на </w:t>
            </w:r>
            <w:r w:rsidRPr="006B13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торове, подобрители на почвата, биологично активни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ещества и хранителни субстрати, които </w:t>
            </w:r>
            <w:r w:rsidRPr="00DA298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 законно предлагани като такива продукти на пазара в друга държава членка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D18777" w14:textId="00B0B68D" w:rsidR="00E44DE0" w:rsidRPr="00850DFC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6446BBDE" w14:textId="77777777" w:rsidR="00E44DE0" w:rsidRPr="00850DFC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1441F3EA" w14:textId="64A3F258" w:rsidR="00FD010E" w:rsidRPr="00850DFC" w:rsidRDefault="00FD010E" w:rsidP="00FD010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този вариант е възможно да възникнат по-високи финансови разходи за икономически оператори, които изберат варианта с хармонизиране</w:t>
            </w:r>
            <w:r w:rsidR="00DE1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тъй като те трябва да изпълнят или гарантират изпълнението на съответните процедури 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оценяване </w:t>
            </w:r>
            <w:r w:rsidR="00DE1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съответствието, както и да спазят други изисквания </w:t>
            </w:r>
            <w:r w:rsidR="00805E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DE10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E1072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2019/1009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Това се отнася по-специално за производители на 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ЕС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наторяване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относително непостоянен състав, което 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наложи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висока степен на участие на трети страни в процеса на оценка на съответствието.</w:t>
            </w:r>
          </w:p>
          <w:p w14:paraId="10095D28" w14:textId="77777777" w:rsidR="00923F4E" w:rsidRPr="00850DFC" w:rsidRDefault="00923F4E" w:rsidP="00F6561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 е хармонизирането да доведе до по-висока конкуренция между икономическите оператори от съседни или трети страни.</w:t>
            </w:r>
          </w:p>
          <w:p w14:paraId="4CC3DC62" w14:textId="41B6C0BD" w:rsidR="00E44DE0" w:rsidRPr="00850DFC" w:rsidRDefault="004C6E9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0EA72D2" w14:textId="725C4290" w:rsidR="00E44DE0" w:rsidRPr="003C09B1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C0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Специфични въздействия:</w:t>
            </w:r>
          </w:p>
          <w:p w14:paraId="7F7A638A" w14:textId="4A640692" w:rsidR="004C6E90" w:rsidRPr="00E85340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C0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09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въздействия</w:t>
            </w:r>
            <w:r w:rsidR="00DB48A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27059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върху МСП</w:t>
            </w:r>
            <w:r w:rsidR="00DB48A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се различават по същество от въздействията </w:t>
            </w:r>
            <w:r w:rsidR="00E8534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върху останалите </w:t>
            </w:r>
            <w:r w:rsidR="00E85340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икономически оператори</w:t>
            </w:r>
          </w:p>
          <w:p w14:paraId="5CCF103E" w14:textId="01C2482A" w:rsidR="00D60ECE" w:rsidRPr="00850DFC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C0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тежест: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B274F9" w14:textId="7CDBA9FD" w:rsidR="00540843" w:rsidRPr="00850DFC" w:rsidRDefault="00540843" w:rsidP="0054084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 Вариант 2 няма да има промяна по отношение на административната тежест.</w:t>
            </w:r>
          </w:p>
          <w:p w14:paraId="527F64D6" w14:textId="07A648F6" w:rsidR="00E44DE0" w:rsidRPr="00850DFC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15CD9AA5" w14:textId="45D68F65" w:rsidR="0078311F" w:rsidRPr="00850DFC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757C477" w14:textId="37230F05" w:rsidR="00E44DE0" w:rsidRPr="00850DFC" w:rsidRDefault="0078311F" w:rsidP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7CA0F72" w14:textId="74B9AD82" w:rsidR="00E44DE0" w:rsidRPr="00850DFC" w:rsidRDefault="00E44DE0" w:rsidP="005408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850DFC" w14:paraId="061F8D4E" w14:textId="77777777" w:rsidTr="00C93DF1">
        <w:tc>
          <w:tcPr>
            <w:tcW w:w="10266" w:type="dxa"/>
            <w:gridSpan w:val="3"/>
          </w:tcPr>
          <w:p w14:paraId="427D7AC1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Pr="00850DFC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7C7E4CFA" w:rsidR="004E4FD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p w14:paraId="145C0A8F" w14:textId="77777777" w:rsidR="0073422D" w:rsidRPr="00850DFC" w:rsidRDefault="0073422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946"/>
              <w:gridCol w:w="3260"/>
              <w:gridCol w:w="3544"/>
            </w:tblGrid>
            <w:tr w:rsidR="004365A5" w:rsidRPr="00850DFC" w14:paraId="30607C91" w14:textId="77777777" w:rsidTr="00887B17">
              <w:trPr>
                <w:trHeight w:val="357"/>
              </w:trPr>
              <w:tc>
                <w:tcPr>
                  <w:tcW w:w="24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4365A5" w:rsidRPr="00850DFC" w:rsidRDefault="004365A5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604C96CD" w:rsidR="004365A5" w:rsidRPr="00850DFC" w:rsidRDefault="004365A5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2660F0B9" w14:textId="17BC3189" w:rsidR="004365A5" w:rsidRPr="00850DFC" w:rsidRDefault="004365A5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917FF3F" w14:textId="77777777" w:rsidR="004365A5" w:rsidRPr="00850DFC" w:rsidRDefault="004365A5" w:rsidP="004365A5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6FFFA61F" w14:textId="47E3C9BF" w:rsidR="004365A5" w:rsidRPr="00850DFC" w:rsidRDefault="004365A5" w:rsidP="004365A5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ЗИД на ЗЗР“</w:t>
                  </w:r>
                </w:p>
              </w:tc>
            </w:tr>
            <w:tr w:rsidR="004365A5" w:rsidRPr="00850DFC" w14:paraId="4A8C5A32" w14:textId="77777777" w:rsidTr="00887B17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4365A5" w:rsidRPr="00850DFC" w:rsidRDefault="004365A5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0DFF933E" w:rsidR="004365A5" w:rsidRPr="00850DFC" w:rsidRDefault="004365A5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8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7506D599" w:rsidR="004365A5" w:rsidRPr="00850DFC" w:rsidRDefault="004365A5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4362E62D" w:rsidR="004365A5" w:rsidRPr="00850DFC" w:rsidRDefault="004365A5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262F4E" w:rsidRPr="00850DFC" w14:paraId="4142D6AA" w14:textId="77777777" w:rsidTr="00887B17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6D1BB1" w14:textId="77777777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5CBFB84" w14:textId="7FCD6CA4" w:rsidR="00262F4E" w:rsidRPr="00850DFC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8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7CC2DB" w14:textId="191E1452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4C2578" w14:textId="31FE55F2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262F4E" w:rsidRPr="00850DFC" w14:paraId="2291D680" w14:textId="77777777" w:rsidTr="00887B17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32223B" w14:textId="77777777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F5926BB" w14:textId="421C7296" w:rsidR="00262F4E" w:rsidRPr="00850DFC" w:rsidRDefault="00262F4E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8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2FA89B" w14:textId="2596DB85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163FF87" w14:textId="27703391" w:rsidR="00262F4E" w:rsidRPr="00850DFC" w:rsidRDefault="00262F4E" w:rsidP="00262F4E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49D9CB28" w14:textId="77777777" w:rsidTr="00887B17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6C24E013" w:rsidR="00887B17" w:rsidRPr="00850DFC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1D015338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56E256DF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3776E747" w14:textId="77777777" w:rsidTr="00887B17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353A24F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A86964C" w14:textId="0A48CA8F" w:rsidR="00887B17" w:rsidRPr="00850DFC" w:rsidDel="00512211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40ED81" w14:textId="0B7316CB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E42623" w14:textId="593E239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6458CCE9" w14:textId="77777777" w:rsidTr="00887B17">
              <w:trPr>
                <w:trHeight w:val="478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7935F57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BD7090" w14:textId="0EFC4F66" w:rsidR="00887B17" w:rsidRPr="00850DFC" w:rsidDel="00512211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9403A0" w14:textId="7589F6F2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25BFD9F" w14:textId="48D39B99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773F1B90" w14:textId="77777777" w:rsidTr="00887B17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798D522B" w:rsidR="00887B17" w:rsidRPr="00850DFC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3B29538C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3B77006B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3C2B4103" w14:textId="77777777" w:rsidTr="00887B17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4B116D41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993FE2" w14:textId="476240BF" w:rsidR="00887B17" w:rsidRPr="00850DFC" w:rsidDel="00512211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34C92B" w14:textId="1C74BADF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416716E" w14:textId="4531D115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887B17" w:rsidRPr="00850DFC" w14:paraId="0C57147E" w14:textId="77777777" w:rsidTr="00887B17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14:paraId="6269F398" w14:textId="77777777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9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B2F074" w14:textId="777ACC7D" w:rsidR="00887B17" w:rsidRPr="00850DFC" w:rsidDel="00512211" w:rsidRDefault="00887B17" w:rsidP="0073422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CBF4AA4" w14:textId="6FBA9E3E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19F2768" w14:textId="6555A543" w:rsidR="00887B17" w:rsidRPr="00850DFC" w:rsidRDefault="00887B17" w:rsidP="00887B1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76055530" w14:textId="77777777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45A218DC" w14:textId="44E91EFD" w:rsidR="00076E63" w:rsidRPr="00850DFC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850DFC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850DFC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44DE0" w:rsidRPr="00850DFC" w14:paraId="7C85661D" w14:textId="77777777" w:rsidTr="00042D08">
        <w:tc>
          <w:tcPr>
            <w:tcW w:w="10266" w:type="dxa"/>
            <w:gridSpan w:val="3"/>
          </w:tcPr>
          <w:p w14:paraId="037C9087" w14:textId="240B4F07" w:rsidR="00E44DE0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5.2. По проблем 2: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843"/>
              <w:gridCol w:w="3260"/>
              <w:gridCol w:w="3544"/>
            </w:tblGrid>
            <w:tr w:rsidR="00D06F47" w:rsidRPr="00850DFC" w14:paraId="1954F346" w14:textId="77777777" w:rsidTr="001706AA">
              <w:trPr>
                <w:trHeight w:val="357"/>
              </w:trPr>
              <w:tc>
                <w:tcPr>
                  <w:tcW w:w="24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5B0A9861" w14:textId="77777777" w:rsidR="00D06F47" w:rsidRPr="00850DFC" w:rsidRDefault="00D06F47" w:rsidP="00D06F4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084B41B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3DFE34BE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5C3A3B0F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40F886B7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ЗИД на ЗЗР“</w:t>
                  </w:r>
                </w:p>
              </w:tc>
            </w:tr>
            <w:tr w:rsidR="00D06F47" w:rsidRPr="00850DFC" w14:paraId="0ED91E1F" w14:textId="77777777" w:rsidTr="00D06F47">
              <w:trPr>
                <w:trHeight w:val="1145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6B058145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lastRenderedPageBreak/>
                    <w:t>Ефективност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3D20C9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8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1FAE70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373DC5A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06F47" w:rsidRPr="00850DFC" w14:paraId="09E093E1" w14:textId="77777777" w:rsidTr="00D06F47">
              <w:trPr>
                <w:trHeight w:val="963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02B723E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CA7FC1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C93D0AD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DB95437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06F47" w:rsidRPr="00850DFC" w14:paraId="5366B5D5" w14:textId="77777777" w:rsidTr="00D06F47">
              <w:trPr>
                <w:trHeight w:val="964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3E9AD5F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ACD0DC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ED53601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485930A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6A838982" w14:textId="77777777" w:rsidR="00D06F47" w:rsidRPr="00850DFC" w:rsidRDefault="00D06F4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CC13E71" w14:textId="310D391C" w:rsidR="00E44DE0" w:rsidRPr="00850DFC" w:rsidRDefault="00E44DE0" w:rsidP="00064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* </w:t>
            </w:r>
            <w:r w:rsidR="00C93DF1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При повече от един 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поставен </w:t>
            </w:r>
            <w:r w:rsidR="00C93DF1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 мултиплицирайте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таблицата за всеки отделен проблем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44DE0" w:rsidRPr="00850DFC" w14:paraId="1EBF04EA" w14:textId="77777777" w:rsidTr="00042D08">
        <w:tc>
          <w:tcPr>
            <w:tcW w:w="10266" w:type="dxa"/>
            <w:gridSpan w:val="3"/>
          </w:tcPr>
          <w:p w14:paraId="24AB6A69" w14:textId="7799A32E" w:rsidR="00E44DE0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</w:t>
            </w:r>
            <w:r w:rsidR="00D0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D0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C162128" w14:textId="77777777" w:rsidR="00D06F47" w:rsidRDefault="00D06F4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843"/>
              <w:gridCol w:w="3260"/>
              <w:gridCol w:w="3544"/>
            </w:tblGrid>
            <w:tr w:rsidR="00D06F47" w:rsidRPr="00850DFC" w14:paraId="09B8DB74" w14:textId="77777777" w:rsidTr="001706AA">
              <w:trPr>
                <w:trHeight w:val="357"/>
              </w:trPr>
              <w:tc>
                <w:tcPr>
                  <w:tcW w:w="24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5990F05" w14:textId="77777777" w:rsidR="00D06F47" w:rsidRPr="00850DFC" w:rsidRDefault="00D06F47" w:rsidP="00D06F4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BE220A9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6D0BD82C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A70F595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5A8A6105" w14:textId="77777777" w:rsidR="00D06F47" w:rsidRPr="00850DFC" w:rsidRDefault="00D06F47" w:rsidP="00D06F47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ЗИД на ЗЗР“</w:t>
                  </w:r>
                </w:p>
              </w:tc>
            </w:tr>
            <w:tr w:rsidR="00D06F47" w:rsidRPr="00850DFC" w14:paraId="42DEC88C" w14:textId="77777777" w:rsidTr="001706AA">
              <w:trPr>
                <w:trHeight w:val="1145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13C7B46E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6197C8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8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E08B9DD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CEFD77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06F47" w:rsidRPr="00850DFC" w14:paraId="0F9990CF" w14:textId="77777777" w:rsidTr="001706AA">
              <w:trPr>
                <w:trHeight w:val="963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7C088AF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489C02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C95CB12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99C6348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D06F47" w:rsidRPr="00850DFC" w14:paraId="3E622BCE" w14:textId="77777777" w:rsidTr="001706AA">
              <w:trPr>
                <w:trHeight w:val="964"/>
              </w:trPr>
              <w:tc>
                <w:tcPr>
                  <w:tcW w:w="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1550BE6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B640F6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E6DF02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3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C0607B2" w14:textId="77777777" w:rsidR="00D06F47" w:rsidRPr="00850DFC" w:rsidRDefault="00D06F47" w:rsidP="00D06F4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850DFC">
                    <w:rPr>
                      <w:rFonts w:ascii="Times New Roman" w:eastAsia="Times New Roman" w:hAnsi="Times New Roman" w:cs="Times New Roman"/>
                      <w:w w:val="105"/>
                      <w:sz w:val="24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56DDD1F0" w14:textId="77777777" w:rsidR="00D06F47" w:rsidRPr="00850DFC" w:rsidRDefault="00D06F4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F1E0BFE" w14:textId="31D1F927" w:rsidR="00E44DE0" w:rsidRPr="00850DFC" w:rsidRDefault="00E44DE0" w:rsidP="00064C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* </w:t>
            </w:r>
            <w:r w:rsidR="00C93DF1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При повече от един 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поставен</w:t>
            </w:r>
            <w:r w:rsidR="00C93DF1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проблем мултиплицирайте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таблицата за всеки отделен проблем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850DFC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79A7B733" w14:textId="0BF377EA" w:rsidR="00262F4E" w:rsidRPr="00850DFC" w:rsidRDefault="00262F4E" w:rsidP="00262F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„Приемане на ЗИД на Закона за защита на растенията“.</w:t>
            </w:r>
          </w:p>
          <w:p w14:paraId="44C0DA42" w14:textId="08086662" w:rsidR="0078311F" w:rsidRPr="00850DFC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850DFC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42924577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54E52D">
                <v:shape id="_x0000_i1122" type="#_x0000_t75" style="width:108pt;height:18pt" o:ole="">
                  <v:imagedata r:id="rId11" o:title=""/>
                </v:shape>
                <w:control r:id="rId12" w:name="OptionButton3" w:shapeid="_x0000_i1122"/>
              </w:object>
            </w:r>
          </w:p>
          <w:p w14:paraId="6711743F" w14:textId="59D48D16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124" type="#_x0000_t75" style="width:108pt;height:18pt" o:ole="">
                  <v:imagedata r:id="rId13" o:title=""/>
                </v:shape>
                <w:control r:id="rId14" w:name="OptionButton4" w:shapeid="_x0000_i1124"/>
              </w:object>
            </w:r>
          </w:p>
          <w:p w14:paraId="23A587D4" w14:textId="464FDB26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125" type="#_x0000_t75" style="width:108pt;height:18pt" o:ole="">
                  <v:imagedata r:id="rId15" o:title=""/>
                </v:shape>
                <w:control r:id="rId16" w:name="OptionButton5" w:shapeid="_x0000_i1125"/>
              </w:object>
            </w:r>
          </w:p>
          <w:p w14:paraId="0262604A" w14:textId="77777777" w:rsidR="00D82CFD" w:rsidRPr="00850DFC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1314A92A" w14:textId="43A7545C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850DFC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0775D6E8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69" type="#_x0000_t75" style="width:108pt;height:18pt" o:ole="">
                  <v:imagedata r:id="rId17" o:title=""/>
                </v:shape>
                <w:control r:id="rId18" w:name="OptionButton16" w:shapeid="_x0000_i1069"/>
              </w:object>
            </w:r>
          </w:p>
          <w:p w14:paraId="49413BEC" w14:textId="77777777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66A4AF1D" w14:textId="01F917B3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1" type="#_x0000_t75" style="width:108pt;height:18pt" o:ole="">
                  <v:imagedata r:id="rId19" o:title=""/>
                </v:shape>
                <w:control r:id="rId20" w:name="OptionButton17" w:shapeid="_x0000_i1071"/>
              </w:object>
            </w:r>
          </w:p>
          <w:p w14:paraId="56DED854" w14:textId="1B67F7FD" w:rsidR="00F04B4E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850DFC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850DFC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850DFC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7B1ABF34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3" type="#_x0000_t75" style="width:108pt;height:18pt" o:ole="">
                  <v:imagedata r:id="rId17" o:title=""/>
                </v:shape>
                <w:control r:id="rId21" w:name="OptionButton18" w:shapeid="_x0000_i1073"/>
              </w:object>
            </w:r>
          </w:p>
          <w:p w14:paraId="143960F9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7849EC3F" w14:textId="68609F71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5" type="#_x0000_t75" style="width:108pt;height:18pt" o:ole="">
                  <v:imagedata r:id="rId19" o:title=""/>
                </v:shape>
                <w:control r:id="rId22" w:name="OptionButton19" w:shapeid="_x0000_i1075"/>
              </w:object>
            </w:r>
          </w:p>
          <w:p w14:paraId="46F92B24" w14:textId="77777777" w:rsidR="00076E63" w:rsidRPr="00850DFC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076E63" w:rsidRPr="00850DFC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</w:t>
            </w:r>
            <w:r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какъв начин </w:t>
            </w:r>
            <w:r w:rsidR="00FF7077"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AB7EE4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AB7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4F789187" w:rsidR="00076E63" w:rsidRPr="00850DFC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50DFC">
              <w:rPr>
                <w:rFonts w:ascii="Calibri" w:eastAsia="MS Mincho" w:hAnsi="Calibri" w:cs="MS Mincho"/>
                <w:sz w:val="24"/>
                <w:szCs w:val="24"/>
                <w:highlight w:val="yellow"/>
              </w:rPr>
              <w:object w:dxaOrig="225" w:dyaOrig="225" w14:anchorId="616DB3D9">
                <v:shape id="_x0000_i1119" type="#_x0000_t75" style="width:259.5pt;height:18pt" o:ole="">
                  <v:imagedata r:id="rId23" o:title=""/>
                </v:shape>
                <w:control r:id="rId24" w:name="OptionButton6" w:shapeid="_x0000_i1119"/>
              </w:object>
            </w:r>
          </w:p>
          <w:p w14:paraId="003CD017" w14:textId="3E2CDAC4" w:rsidR="00076E63" w:rsidRPr="00850DFC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50DFC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79" type="#_x0000_t75" style="width:161.25pt;height:18pt" o:ole="">
                  <v:imagedata r:id="rId25" o:title=""/>
                </v:shape>
                <w:control r:id="rId26" w:name="OptionButton7" w:shapeid="_x0000_i1079"/>
              </w:object>
            </w:r>
          </w:p>
          <w:p w14:paraId="3807A31A" w14:textId="0543FF16" w:rsidR="00076E63" w:rsidRPr="00696220" w:rsidRDefault="00696220" w:rsidP="00AB7EE4">
            <w:pPr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Въздействието върху МСП не се различава по същество от това върху останалите икономически оператори.</w:t>
            </w:r>
          </w:p>
          <w:p w14:paraId="1808DE63" w14:textId="0DA1C374" w:rsidR="00076E63" w:rsidRPr="00850DFC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850DFC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4A419D9C" w14:textId="205CAF24" w:rsidR="0007659E" w:rsidRPr="008B0AD2" w:rsidRDefault="008B0AD2" w:rsidP="000765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A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 идентифицирани </w:t>
            </w:r>
            <w:r w:rsidR="008D55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потенциални </w:t>
            </w:r>
            <w:r w:rsidRPr="008B0AD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рискове от прилагането на препоръчителния 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2C8784" w14:textId="0BD01EFE" w:rsidR="00076E63" w:rsidRPr="00850DFC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850DFC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240FB27F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1" type="#_x0000_t75" style="width:498.75pt;height:18pt" o:ole="">
                  <v:imagedata r:id="rId27" o:title=""/>
                </v:shape>
                <w:control r:id="rId28" w:name="OptionButton13" w:shapeid="_x0000_i1081"/>
              </w:object>
            </w:r>
          </w:p>
          <w:p w14:paraId="60657BD9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304D0C1A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16D60AE1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2C6C0D84" w14:textId="555FB655" w:rsidR="00076E63" w:rsidRPr="00850DFC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484F4823" w14:textId="77777777" w:rsidR="000A2E06" w:rsidRPr="00850DFC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48F2F9F" w14:textId="46A3765A" w:rsidR="00076E63" w:rsidRPr="00850DFC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118" type="#_x0000_t75" style="width:502.5pt;height:18pt" o:ole="">
                  <v:imagedata r:id="rId29" o:title=""/>
                </v:shape>
                <w:control r:id="rId30" w:name="OptionButton15" w:shapeid="_x0000_i1118"/>
              </w:object>
            </w:r>
          </w:p>
          <w:p w14:paraId="2422B67D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484079A" w14:textId="4FB3D961" w:rsidR="00206F1B" w:rsidRPr="00850DFC" w:rsidRDefault="00206F1B" w:rsidP="0020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се публично обсъждане на проекта на Закона за изменение и допълнение на </w:t>
            </w:r>
            <w:r w:rsidR="00EA5F9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Закона за защита на растенията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824714B" w14:textId="39C3907F" w:rsidR="00206F1B" w:rsidRPr="00850DFC" w:rsidRDefault="00206F1B" w:rsidP="00206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ще бъде публикуван за обществено обсъждане на електронната страница на </w:t>
            </w:r>
            <w:r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1626D7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EA5F91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икономиката</w:t>
            </w:r>
            <w:r w:rsidR="00A2626D" w:rsidRPr="00F7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2626D" w:rsidRPr="00F73DE5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индустрията</w:t>
            </w:r>
            <w:proofErr w:type="spellEnd"/>
            <w:r w:rsidR="001626D7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</w:t>
            </w:r>
            <w:r w:rsidR="00EA5F91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1626D7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EA5F91" w:rsidRP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</w:t>
            </w:r>
            <w:r w:rsid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земеделието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Портала за обществени консултации</w:t>
            </w:r>
            <w:r w:rsid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7659E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срок от 30 дни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AAEFED5" w14:textId="77777777" w:rsidR="00206F1B" w:rsidRPr="00850DFC" w:rsidRDefault="00206F1B" w:rsidP="00206F1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Направените предложения ще бъдат включени в Справка за отразените становища, която ще бъде публикувана на Портала за обществени консултации след приключване на обществените консултации.</w:t>
            </w:r>
          </w:p>
          <w:p w14:paraId="6D9FEFAF" w14:textId="78E76C28" w:rsidR="00076E63" w:rsidRPr="00850DFC" w:rsidRDefault="00076E63" w:rsidP="00206F1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850DFC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850DFC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14:paraId="5D8AE962" w14:textId="12160FF7" w:rsidR="00076E63" w:rsidRPr="00850DFC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50DFC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548FBA1">
                <v:shape id="_x0000_i1085" type="#_x0000_t75" style="width:108pt;height:18pt" o:ole="">
                  <v:imagedata r:id="rId31" o:title=""/>
                </v:shape>
                <w:control r:id="rId32" w:name="OptionButton9" w:shapeid="_x0000_i1085"/>
              </w:object>
            </w:r>
          </w:p>
          <w:p w14:paraId="35283808" w14:textId="1C717563" w:rsidR="00076E63" w:rsidRPr="00850DFC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850DFC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7" type="#_x0000_t75" style="width:108pt;height:18pt" o:ole="">
                  <v:imagedata r:id="rId33" o:title=""/>
                </v:shape>
                <w:control r:id="rId34" w:name="OptionButton10" w:shapeid="_x0000_i1087"/>
              </w:object>
            </w:r>
          </w:p>
          <w:p w14:paraId="6738F55D" w14:textId="11369C67" w:rsidR="00BE2EC1" w:rsidRDefault="0020570F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Предложените промени са продиктувани от необходимостта от съобразяване на действащата нормативна уредба с</w:t>
            </w:r>
            <w:r w:rsidR="00BE2EC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2FA662B" w14:textId="56206833" w:rsidR="00076E63" w:rsidRDefault="00BE2EC1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20570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2019/1009 на Европейския парламент и на Съвета от 5 юни 2019 година за определяне на правила за предоставяне на пазара на ЕС продукти за наторяване и за изменение на регламенти (ЕО) № 1069/2009 и (ЕО) № 1107/2009 и за отмяна на Регламент (ЕО) № </w:t>
            </w:r>
            <w:r w:rsidR="000775B1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20570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003/2003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14:paraId="02FBD296" w14:textId="6B0C85E6" w:rsidR="00BE2EC1" w:rsidRDefault="00BE2EC1" w:rsidP="00F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2019/1020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Европейския парламент и на Съвета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юни 2019 година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относно надзора на пазара и съответствието на продуктите и за изменение на Директива 2004/42/ЕО и регламенти (ЕО) № 765/2008 и (ЕС) № 305/2011</w:t>
            </w:r>
            <w:r w:rsidR="00F73D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0CB23E3" w14:textId="48346E67" w:rsidR="00BE2EC1" w:rsidRPr="00850DFC" w:rsidRDefault="00BE2EC1" w:rsidP="00F7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 (ЕС)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2019/515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Европейския парламент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на Съвета от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19 март 2019 година </w:t>
            </w:r>
            <w:r w:rsidRPr="0048042A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относно взаимното признаване на стоки, законно предлагани на пазара в друга държава членка, и за отмяна на Регламент (ЕО) № 764/2008</w:t>
            </w:r>
          </w:p>
          <w:p w14:paraId="48CD0A27" w14:textId="77777777" w:rsidR="000775B1" w:rsidRPr="00850DFC" w:rsidRDefault="000775B1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C0558CC" w14:textId="306CDB65" w:rsidR="000775B1" w:rsidRPr="00850DFC" w:rsidRDefault="000775B1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Оценката на въздействие и обобщената оценка на въздействие по отношение на </w:t>
            </w:r>
            <w:r w:rsidR="00CC69AF"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Регламент (ЕС) 2019/1009 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 да бъдат намерени на следните интернет страници:</w:t>
            </w:r>
          </w:p>
          <w:p w14:paraId="239B7403" w14:textId="53D50216" w:rsidR="000775B1" w:rsidRPr="00850DFC" w:rsidRDefault="000775B1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DBDD797" w14:textId="341A90CE" w:rsidR="000775B1" w:rsidRPr="00850DFC" w:rsidRDefault="00CD1DC2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5" w:history="1">
              <w:r w:rsidR="00D41A9D" w:rsidRPr="00850DF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https://eur-lex.europa.eu/legal-content/EN/TXT/?uri=CELEX%3A52016SC0064</w:t>
              </w:r>
            </w:hyperlink>
          </w:p>
          <w:p w14:paraId="22CFF44D" w14:textId="1583797E" w:rsidR="00D41A9D" w:rsidRPr="00850DFC" w:rsidRDefault="00CD1DC2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6" w:history="1">
              <w:r w:rsidR="00D41A9D" w:rsidRPr="00850DF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https://eur-lex.europa.eu/legal-content/EN/TXT/?uri=CELEX%3A52016SC0065</w:t>
              </w:r>
            </w:hyperlink>
          </w:p>
          <w:p w14:paraId="4C23E725" w14:textId="77777777" w:rsidR="00D41A9D" w:rsidRPr="00850DFC" w:rsidRDefault="00D41A9D" w:rsidP="00077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B2E629A" w14:textId="47DE5BEC" w:rsidR="00076E63" w:rsidRPr="00850DFC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850DFC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850DFC" w14:paraId="6F722E12" w14:textId="77777777" w:rsidTr="00C93DF1">
        <w:tc>
          <w:tcPr>
            <w:tcW w:w="10266" w:type="dxa"/>
            <w:gridSpan w:val="3"/>
          </w:tcPr>
          <w:p w14:paraId="0A9963B9" w14:textId="7F01FFBB" w:rsidR="00076E63" w:rsidRPr="00850DFC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3EAB407A" w:rsidR="00076E63" w:rsidRPr="00850DFC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850DFC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89" type="#_x0000_t75" style="width:108pt;height:18pt" o:ole="">
                  <v:imagedata r:id="rId17" o:title=""/>
                </v:shape>
                <w:control r:id="rId37" w:name="OptionButton20" w:shapeid="_x0000_i1089"/>
              </w:object>
            </w:r>
          </w:p>
          <w:p w14:paraId="498787D1" w14:textId="608090B9" w:rsidR="00076E63" w:rsidRPr="00850DFC" w:rsidRDefault="00076E63" w:rsidP="00CC69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1" type="#_x0000_t75" style="width:108pt;height:18pt" o:ole="">
                  <v:imagedata r:id="rId19" o:title=""/>
                </v:shape>
                <w:control r:id="rId38" w:name="OptionButton21" w:shapeid="_x0000_i1091"/>
              </w:objec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850DFC" w14:paraId="06C71DB2" w14:textId="77777777" w:rsidTr="00C93DF1">
        <w:tc>
          <w:tcPr>
            <w:tcW w:w="10266" w:type="dxa"/>
            <w:gridSpan w:val="3"/>
          </w:tcPr>
          <w:p w14:paraId="0A5E5DE1" w14:textId="77777777" w:rsidR="00076E63" w:rsidRPr="00850DFC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61444598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132ED5A7" w14:textId="5C175B6F" w:rsidR="00076E63" w:rsidRPr="00850DFC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850DFC" w14:paraId="1549F574" w14:textId="77777777" w:rsidTr="00C93DF1">
        <w:tc>
          <w:tcPr>
            <w:tcW w:w="10266" w:type="dxa"/>
            <w:gridSpan w:val="3"/>
          </w:tcPr>
          <w:p w14:paraId="1FCAE7B8" w14:textId="77777777" w:rsidR="00076E63" w:rsidRPr="00850DFC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46283E35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10E75238" w14:textId="1DD8555F" w:rsidR="00076E63" w:rsidRPr="00850DFC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850D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850DFC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850DFC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2BE02FB" w14:textId="7AB4AEF6" w:rsidR="00483E11" w:rsidRPr="00850DFC" w:rsidRDefault="00CC69AF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</w:p>
          <w:p w14:paraId="513AC9D3" w14:textId="0F0C1812" w:rsidR="00076E63" w:rsidRPr="00850DFC" w:rsidRDefault="00483E11" w:rsidP="00483E1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Силвана Любенова, директор на дирекция „Техническа хармонизация“ </w:t>
            </w:r>
          </w:p>
          <w:p w14:paraId="0288F1D8" w14:textId="77777777" w:rsidR="00CC69AF" w:rsidRDefault="00CC69AF" w:rsidP="00F73DE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</w:p>
          <w:p w14:paraId="68DB5E38" w14:textId="7ACC1685" w:rsidR="00076E63" w:rsidRPr="00850DFC" w:rsidRDefault="00076E63" w:rsidP="00F73DE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850D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</w:tc>
      </w:tr>
    </w:tbl>
    <w:p w14:paraId="3519F3E8" w14:textId="77777777" w:rsidR="00E16D01" w:rsidRPr="00850DFC" w:rsidRDefault="00E16D01" w:rsidP="00F73D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850DFC" w:rsidSect="00076E63">
      <w:headerReference w:type="even" r:id="rId39"/>
      <w:footerReference w:type="default" r:id="rId40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5D96" w14:textId="77777777" w:rsidR="00DE1901" w:rsidRDefault="00DE1901">
      <w:pPr>
        <w:spacing w:after="0" w:line="240" w:lineRule="auto"/>
      </w:pPr>
      <w:r>
        <w:separator/>
      </w:r>
    </w:p>
  </w:endnote>
  <w:endnote w:type="continuationSeparator" w:id="0">
    <w:p w14:paraId="6BF759FD" w14:textId="77777777" w:rsidR="00DE1901" w:rsidRDefault="00DE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5F799E26" w:rsidR="00DE1901" w:rsidRPr="003E3642" w:rsidRDefault="00DE1901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CD1DC2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DE1901" w:rsidRDefault="00DE1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2365" w14:textId="77777777" w:rsidR="00DE1901" w:rsidRDefault="00DE1901">
      <w:pPr>
        <w:spacing w:after="0" w:line="240" w:lineRule="auto"/>
      </w:pPr>
      <w:r>
        <w:separator/>
      </w:r>
    </w:p>
  </w:footnote>
  <w:footnote w:type="continuationSeparator" w:id="0">
    <w:p w14:paraId="5E152DDE" w14:textId="77777777" w:rsidR="00DE1901" w:rsidRDefault="00DE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DE1901" w:rsidRDefault="00DE1901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DE1901" w:rsidRDefault="00DE1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CAE"/>
    <w:multiLevelType w:val="hybridMultilevel"/>
    <w:tmpl w:val="798A0796"/>
    <w:lvl w:ilvl="0" w:tplc="5E287F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B3268"/>
    <w:multiLevelType w:val="hybridMultilevel"/>
    <w:tmpl w:val="324AB554"/>
    <w:lvl w:ilvl="0" w:tplc="CB565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504B"/>
    <w:multiLevelType w:val="hybridMultilevel"/>
    <w:tmpl w:val="065C578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294D1D39"/>
    <w:multiLevelType w:val="hybridMultilevel"/>
    <w:tmpl w:val="9A181F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B08"/>
    <w:multiLevelType w:val="hybridMultilevel"/>
    <w:tmpl w:val="EB2CB134"/>
    <w:lvl w:ilvl="0" w:tplc="F634DCF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9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0" w15:restartNumberingAfterBreak="0">
    <w:nsid w:val="42F025CE"/>
    <w:multiLevelType w:val="hybridMultilevel"/>
    <w:tmpl w:val="3184EA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E0D07"/>
    <w:multiLevelType w:val="hybridMultilevel"/>
    <w:tmpl w:val="FD0EB7E6"/>
    <w:lvl w:ilvl="0" w:tplc="0402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0555"/>
    <w:multiLevelType w:val="hybridMultilevel"/>
    <w:tmpl w:val="9FD2DF5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5DD4"/>
    <w:multiLevelType w:val="hybridMultilevel"/>
    <w:tmpl w:val="A7EA6884"/>
    <w:lvl w:ilvl="0" w:tplc="5E287FFA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0A6A"/>
    <w:multiLevelType w:val="hybridMultilevel"/>
    <w:tmpl w:val="45BC956A"/>
    <w:lvl w:ilvl="0" w:tplc="04020009">
      <w:start w:val="1"/>
      <w:numFmt w:val="bullet"/>
      <w:lvlText w:val=""/>
      <w:lvlJc w:val="left"/>
      <w:pPr>
        <w:ind w:left="5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7" w15:restartNumberingAfterBreak="0">
    <w:nsid w:val="61013758"/>
    <w:multiLevelType w:val="hybridMultilevel"/>
    <w:tmpl w:val="EFAC533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E4E2C"/>
    <w:multiLevelType w:val="hybridMultilevel"/>
    <w:tmpl w:val="5D5E44D2"/>
    <w:lvl w:ilvl="0" w:tplc="0402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0" w15:restartNumberingAfterBreak="0">
    <w:nsid w:val="740B1918"/>
    <w:multiLevelType w:val="hybridMultilevel"/>
    <w:tmpl w:val="5204B474"/>
    <w:lvl w:ilvl="0" w:tplc="30D832D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2" w15:restartNumberingAfterBreak="0">
    <w:nsid w:val="7C7E2EBC"/>
    <w:multiLevelType w:val="hybridMultilevel"/>
    <w:tmpl w:val="3544CF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22"/>
  </w:num>
  <w:num w:numId="11">
    <w:abstractNumId w:val="5"/>
  </w:num>
  <w:num w:numId="12">
    <w:abstractNumId w:val="10"/>
  </w:num>
  <w:num w:numId="13">
    <w:abstractNumId w:val="20"/>
  </w:num>
  <w:num w:numId="14">
    <w:abstractNumId w:val="11"/>
  </w:num>
  <w:num w:numId="15">
    <w:abstractNumId w:val="16"/>
  </w:num>
  <w:num w:numId="16">
    <w:abstractNumId w:val="13"/>
  </w:num>
  <w:num w:numId="17">
    <w:abstractNumId w:val="18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1769B"/>
    <w:rsid w:val="00026A91"/>
    <w:rsid w:val="0002795B"/>
    <w:rsid w:val="00042D08"/>
    <w:rsid w:val="00060C97"/>
    <w:rsid w:val="00064387"/>
    <w:rsid w:val="00064CC7"/>
    <w:rsid w:val="0006504B"/>
    <w:rsid w:val="0007659E"/>
    <w:rsid w:val="00076E63"/>
    <w:rsid w:val="000775B1"/>
    <w:rsid w:val="00084BB0"/>
    <w:rsid w:val="000852F7"/>
    <w:rsid w:val="0009035B"/>
    <w:rsid w:val="000A1BC7"/>
    <w:rsid w:val="000A2E06"/>
    <w:rsid w:val="000B6B6E"/>
    <w:rsid w:val="000C0F81"/>
    <w:rsid w:val="000D10C0"/>
    <w:rsid w:val="000E2B3B"/>
    <w:rsid w:val="000F2373"/>
    <w:rsid w:val="000F5DB5"/>
    <w:rsid w:val="000F5DCB"/>
    <w:rsid w:val="00100994"/>
    <w:rsid w:val="001138D1"/>
    <w:rsid w:val="00113FFF"/>
    <w:rsid w:val="0012503F"/>
    <w:rsid w:val="00134773"/>
    <w:rsid w:val="00140750"/>
    <w:rsid w:val="001526CC"/>
    <w:rsid w:val="00153946"/>
    <w:rsid w:val="001626D7"/>
    <w:rsid w:val="00162CF6"/>
    <w:rsid w:val="00167093"/>
    <w:rsid w:val="001805D9"/>
    <w:rsid w:val="0018190E"/>
    <w:rsid w:val="00185722"/>
    <w:rsid w:val="00196B9D"/>
    <w:rsid w:val="001E44FB"/>
    <w:rsid w:val="0020224A"/>
    <w:rsid w:val="002032BC"/>
    <w:rsid w:val="00204854"/>
    <w:rsid w:val="0020570F"/>
    <w:rsid w:val="00206F1B"/>
    <w:rsid w:val="0025644A"/>
    <w:rsid w:val="00262F4E"/>
    <w:rsid w:val="00266932"/>
    <w:rsid w:val="00270596"/>
    <w:rsid w:val="00276267"/>
    <w:rsid w:val="002765EF"/>
    <w:rsid w:val="002872A6"/>
    <w:rsid w:val="002872BF"/>
    <w:rsid w:val="00291E82"/>
    <w:rsid w:val="002B6C61"/>
    <w:rsid w:val="002C0F85"/>
    <w:rsid w:val="002C1FF2"/>
    <w:rsid w:val="002C4258"/>
    <w:rsid w:val="002D05D4"/>
    <w:rsid w:val="002D06D2"/>
    <w:rsid w:val="002E0BD7"/>
    <w:rsid w:val="002E3E31"/>
    <w:rsid w:val="0031449D"/>
    <w:rsid w:val="00316B34"/>
    <w:rsid w:val="003217CA"/>
    <w:rsid w:val="003313FF"/>
    <w:rsid w:val="0034619C"/>
    <w:rsid w:val="00347FA3"/>
    <w:rsid w:val="00355840"/>
    <w:rsid w:val="00363881"/>
    <w:rsid w:val="003669F8"/>
    <w:rsid w:val="00370BFA"/>
    <w:rsid w:val="00374C31"/>
    <w:rsid w:val="00382112"/>
    <w:rsid w:val="00384361"/>
    <w:rsid w:val="0038570B"/>
    <w:rsid w:val="00394523"/>
    <w:rsid w:val="003A0132"/>
    <w:rsid w:val="003A583A"/>
    <w:rsid w:val="003B0B75"/>
    <w:rsid w:val="003C09B1"/>
    <w:rsid w:val="003C124D"/>
    <w:rsid w:val="003C3015"/>
    <w:rsid w:val="003C5FAD"/>
    <w:rsid w:val="003D3D5C"/>
    <w:rsid w:val="003D5C27"/>
    <w:rsid w:val="004365A5"/>
    <w:rsid w:val="004412A1"/>
    <w:rsid w:val="00452177"/>
    <w:rsid w:val="0045217E"/>
    <w:rsid w:val="00464F23"/>
    <w:rsid w:val="0048042A"/>
    <w:rsid w:val="00483E11"/>
    <w:rsid w:val="004851CD"/>
    <w:rsid w:val="004917A7"/>
    <w:rsid w:val="004A1513"/>
    <w:rsid w:val="004A5578"/>
    <w:rsid w:val="004A7881"/>
    <w:rsid w:val="004B669A"/>
    <w:rsid w:val="004C6E90"/>
    <w:rsid w:val="004D53B5"/>
    <w:rsid w:val="004D59D2"/>
    <w:rsid w:val="004E4FD6"/>
    <w:rsid w:val="004F1C8E"/>
    <w:rsid w:val="004F6A1C"/>
    <w:rsid w:val="00503482"/>
    <w:rsid w:val="00512211"/>
    <w:rsid w:val="00514049"/>
    <w:rsid w:val="005305F7"/>
    <w:rsid w:val="00540843"/>
    <w:rsid w:val="0054554C"/>
    <w:rsid w:val="005520A1"/>
    <w:rsid w:val="00554F77"/>
    <w:rsid w:val="0056459B"/>
    <w:rsid w:val="005826B7"/>
    <w:rsid w:val="00582A21"/>
    <w:rsid w:val="00592D28"/>
    <w:rsid w:val="005A3F7B"/>
    <w:rsid w:val="005C146B"/>
    <w:rsid w:val="005C2B6F"/>
    <w:rsid w:val="005C68B4"/>
    <w:rsid w:val="0060089B"/>
    <w:rsid w:val="006147BE"/>
    <w:rsid w:val="00620959"/>
    <w:rsid w:val="006622A8"/>
    <w:rsid w:val="006622D0"/>
    <w:rsid w:val="006829D0"/>
    <w:rsid w:val="0068379C"/>
    <w:rsid w:val="00696220"/>
    <w:rsid w:val="006B1389"/>
    <w:rsid w:val="006C3D9A"/>
    <w:rsid w:val="006C5776"/>
    <w:rsid w:val="006D7984"/>
    <w:rsid w:val="006E0BEB"/>
    <w:rsid w:val="006E1B4E"/>
    <w:rsid w:val="006E2622"/>
    <w:rsid w:val="0070495C"/>
    <w:rsid w:val="007108A0"/>
    <w:rsid w:val="00717A98"/>
    <w:rsid w:val="00722A53"/>
    <w:rsid w:val="0073422D"/>
    <w:rsid w:val="007420BE"/>
    <w:rsid w:val="0074240C"/>
    <w:rsid w:val="00745D8A"/>
    <w:rsid w:val="00747335"/>
    <w:rsid w:val="00753E1D"/>
    <w:rsid w:val="00756520"/>
    <w:rsid w:val="007571BD"/>
    <w:rsid w:val="00772B0A"/>
    <w:rsid w:val="0078311F"/>
    <w:rsid w:val="00786414"/>
    <w:rsid w:val="00786875"/>
    <w:rsid w:val="00793E4F"/>
    <w:rsid w:val="007A0E61"/>
    <w:rsid w:val="007A11F0"/>
    <w:rsid w:val="007B0173"/>
    <w:rsid w:val="007B2151"/>
    <w:rsid w:val="007B4B69"/>
    <w:rsid w:val="007C5D42"/>
    <w:rsid w:val="007C5FBB"/>
    <w:rsid w:val="007C7A57"/>
    <w:rsid w:val="007D540E"/>
    <w:rsid w:val="007D7CA2"/>
    <w:rsid w:val="007E2465"/>
    <w:rsid w:val="007E73D8"/>
    <w:rsid w:val="007F464C"/>
    <w:rsid w:val="0080345D"/>
    <w:rsid w:val="00805C4C"/>
    <w:rsid w:val="00805E5E"/>
    <w:rsid w:val="008101EA"/>
    <w:rsid w:val="00831A04"/>
    <w:rsid w:val="00832330"/>
    <w:rsid w:val="00836A58"/>
    <w:rsid w:val="008425D3"/>
    <w:rsid w:val="0084353E"/>
    <w:rsid w:val="008437F0"/>
    <w:rsid w:val="00850DFC"/>
    <w:rsid w:val="008519C4"/>
    <w:rsid w:val="00877DD3"/>
    <w:rsid w:val="00887B17"/>
    <w:rsid w:val="00891E13"/>
    <w:rsid w:val="0089658A"/>
    <w:rsid w:val="00896F29"/>
    <w:rsid w:val="00897A95"/>
    <w:rsid w:val="008A02C5"/>
    <w:rsid w:val="008B0AD2"/>
    <w:rsid w:val="008B6816"/>
    <w:rsid w:val="008D55B2"/>
    <w:rsid w:val="008E00CA"/>
    <w:rsid w:val="00911793"/>
    <w:rsid w:val="00923F4E"/>
    <w:rsid w:val="009337C2"/>
    <w:rsid w:val="00940325"/>
    <w:rsid w:val="00943157"/>
    <w:rsid w:val="00943767"/>
    <w:rsid w:val="009546F1"/>
    <w:rsid w:val="00963E05"/>
    <w:rsid w:val="009760C8"/>
    <w:rsid w:val="00995EAE"/>
    <w:rsid w:val="009A6A6C"/>
    <w:rsid w:val="009B13A5"/>
    <w:rsid w:val="009B3C35"/>
    <w:rsid w:val="009C10A6"/>
    <w:rsid w:val="009D4DA5"/>
    <w:rsid w:val="009E5F1D"/>
    <w:rsid w:val="009F3D09"/>
    <w:rsid w:val="00A06D9A"/>
    <w:rsid w:val="00A21CFD"/>
    <w:rsid w:val="00A25A34"/>
    <w:rsid w:val="00A2626D"/>
    <w:rsid w:val="00A46DB9"/>
    <w:rsid w:val="00A56574"/>
    <w:rsid w:val="00A617B6"/>
    <w:rsid w:val="00A879E4"/>
    <w:rsid w:val="00AA3104"/>
    <w:rsid w:val="00AB7EE4"/>
    <w:rsid w:val="00AD0817"/>
    <w:rsid w:val="00AD126B"/>
    <w:rsid w:val="00B003BB"/>
    <w:rsid w:val="00B02A72"/>
    <w:rsid w:val="00B03E6F"/>
    <w:rsid w:val="00B061E0"/>
    <w:rsid w:val="00B129D6"/>
    <w:rsid w:val="00B132C1"/>
    <w:rsid w:val="00B27B14"/>
    <w:rsid w:val="00B365C2"/>
    <w:rsid w:val="00B36D65"/>
    <w:rsid w:val="00B4130D"/>
    <w:rsid w:val="00B447CC"/>
    <w:rsid w:val="00B5214A"/>
    <w:rsid w:val="00B52E3A"/>
    <w:rsid w:val="00B53A06"/>
    <w:rsid w:val="00B722F7"/>
    <w:rsid w:val="00B83202"/>
    <w:rsid w:val="00B8386F"/>
    <w:rsid w:val="00BB487E"/>
    <w:rsid w:val="00BB50A5"/>
    <w:rsid w:val="00BD553D"/>
    <w:rsid w:val="00BE2EC1"/>
    <w:rsid w:val="00BF4982"/>
    <w:rsid w:val="00BF4ED4"/>
    <w:rsid w:val="00C02F30"/>
    <w:rsid w:val="00C07B2F"/>
    <w:rsid w:val="00C206A9"/>
    <w:rsid w:val="00C223F5"/>
    <w:rsid w:val="00C328E0"/>
    <w:rsid w:val="00C32951"/>
    <w:rsid w:val="00C35688"/>
    <w:rsid w:val="00C37176"/>
    <w:rsid w:val="00C40BCF"/>
    <w:rsid w:val="00C41AE0"/>
    <w:rsid w:val="00C83C8F"/>
    <w:rsid w:val="00C84B69"/>
    <w:rsid w:val="00C90B14"/>
    <w:rsid w:val="00C93DF1"/>
    <w:rsid w:val="00C96A96"/>
    <w:rsid w:val="00CA120B"/>
    <w:rsid w:val="00CA31EB"/>
    <w:rsid w:val="00CA50B9"/>
    <w:rsid w:val="00CB52B8"/>
    <w:rsid w:val="00CC69AF"/>
    <w:rsid w:val="00CD1DC2"/>
    <w:rsid w:val="00CD5802"/>
    <w:rsid w:val="00CD7AAF"/>
    <w:rsid w:val="00CE3B64"/>
    <w:rsid w:val="00CF2CC9"/>
    <w:rsid w:val="00D06F47"/>
    <w:rsid w:val="00D10CAE"/>
    <w:rsid w:val="00D15505"/>
    <w:rsid w:val="00D27ED3"/>
    <w:rsid w:val="00D30D77"/>
    <w:rsid w:val="00D366D7"/>
    <w:rsid w:val="00D41A9D"/>
    <w:rsid w:val="00D52B91"/>
    <w:rsid w:val="00D54637"/>
    <w:rsid w:val="00D60ECE"/>
    <w:rsid w:val="00D72B4B"/>
    <w:rsid w:val="00D807C3"/>
    <w:rsid w:val="00D82CFD"/>
    <w:rsid w:val="00D90255"/>
    <w:rsid w:val="00D952B2"/>
    <w:rsid w:val="00DA2458"/>
    <w:rsid w:val="00DA2989"/>
    <w:rsid w:val="00DA46AB"/>
    <w:rsid w:val="00DB48A4"/>
    <w:rsid w:val="00DB4B0F"/>
    <w:rsid w:val="00DB5149"/>
    <w:rsid w:val="00DC1B24"/>
    <w:rsid w:val="00DC6744"/>
    <w:rsid w:val="00DC7689"/>
    <w:rsid w:val="00DD3B06"/>
    <w:rsid w:val="00DE1072"/>
    <w:rsid w:val="00DE1901"/>
    <w:rsid w:val="00DE499B"/>
    <w:rsid w:val="00DF1735"/>
    <w:rsid w:val="00DF4A8D"/>
    <w:rsid w:val="00E13043"/>
    <w:rsid w:val="00E138F3"/>
    <w:rsid w:val="00E140D3"/>
    <w:rsid w:val="00E16D01"/>
    <w:rsid w:val="00E17613"/>
    <w:rsid w:val="00E30B98"/>
    <w:rsid w:val="00E44DE0"/>
    <w:rsid w:val="00E45C28"/>
    <w:rsid w:val="00E50480"/>
    <w:rsid w:val="00E60FC2"/>
    <w:rsid w:val="00E63F4B"/>
    <w:rsid w:val="00E653D3"/>
    <w:rsid w:val="00E65509"/>
    <w:rsid w:val="00E839B9"/>
    <w:rsid w:val="00E85340"/>
    <w:rsid w:val="00E868DF"/>
    <w:rsid w:val="00E929FD"/>
    <w:rsid w:val="00E973CA"/>
    <w:rsid w:val="00EA2E4C"/>
    <w:rsid w:val="00EA5F91"/>
    <w:rsid w:val="00EB3645"/>
    <w:rsid w:val="00EB5464"/>
    <w:rsid w:val="00EB7DBD"/>
    <w:rsid w:val="00ED3AFB"/>
    <w:rsid w:val="00F02431"/>
    <w:rsid w:val="00F04B4E"/>
    <w:rsid w:val="00F16E3F"/>
    <w:rsid w:val="00F2283A"/>
    <w:rsid w:val="00F26EE6"/>
    <w:rsid w:val="00F31C5F"/>
    <w:rsid w:val="00F512A9"/>
    <w:rsid w:val="00F51681"/>
    <w:rsid w:val="00F60C71"/>
    <w:rsid w:val="00F65616"/>
    <w:rsid w:val="00F65BDE"/>
    <w:rsid w:val="00F73DE5"/>
    <w:rsid w:val="00F75E30"/>
    <w:rsid w:val="00F8508C"/>
    <w:rsid w:val="00F8745D"/>
    <w:rsid w:val="00F87F7B"/>
    <w:rsid w:val="00F97AFA"/>
    <w:rsid w:val="00FC4097"/>
    <w:rsid w:val="00FC4A33"/>
    <w:rsid w:val="00FC73AD"/>
    <w:rsid w:val="00FD010E"/>
    <w:rsid w:val="00FD05B2"/>
    <w:rsid w:val="00FD56D6"/>
    <w:rsid w:val="00FE4FD5"/>
    <w:rsid w:val="00FE55C5"/>
    <w:rsid w:val="00FF2F4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529F2F02"/>
  <w15:chartTrackingRefBased/>
  <w15:docId w15:val="{230E2144-F5DA-4B4F-892A-BD9FCFE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A9D"/>
    <w:rPr>
      <w:color w:val="0563C1" w:themeColor="hyperlink"/>
      <w:u w:val="single"/>
    </w:rPr>
  </w:style>
  <w:style w:type="paragraph" w:customStyle="1" w:styleId="Default">
    <w:name w:val="Default"/>
    <w:rsid w:val="000F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hyperlink" Target="https://eur-lex.europa.eu/legal-content/EN/TXT/?uri=CELEX%3A52016SC0065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hyperlink" Target="https://eur-lex.europa.eu/legal-content/EN/TXT/?uri=CELEX%3A52016SC006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Administrator</cp:lastModifiedBy>
  <cp:revision>22</cp:revision>
  <dcterms:created xsi:type="dcterms:W3CDTF">2022-12-14T14:01:00Z</dcterms:created>
  <dcterms:modified xsi:type="dcterms:W3CDTF">2023-01-11T13:47:00Z</dcterms:modified>
</cp:coreProperties>
</file>