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E0" w:rsidRDefault="00FD60E0" w:rsidP="00FD60E0">
      <w:pPr>
        <w:spacing w:line="320" w:lineRule="exact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МОТИВИ</w:t>
      </w:r>
    </w:p>
    <w:p w:rsidR="00FD60E0" w:rsidRDefault="00FD60E0" w:rsidP="00FD60E0">
      <w:pPr>
        <w:spacing w:line="320" w:lineRule="exact"/>
        <w:jc w:val="center"/>
        <w:rPr>
          <w:b/>
          <w:spacing w:val="20"/>
          <w:sz w:val="28"/>
          <w:szCs w:val="28"/>
        </w:rPr>
      </w:pPr>
    </w:p>
    <w:p w:rsidR="00FD60E0" w:rsidRDefault="00FD60E0" w:rsidP="00FD60E0">
      <w:pPr>
        <w:spacing w:line="320" w:lineRule="exact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към проект на Инструкция за отмяна на </w:t>
      </w:r>
      <w:bookmarkStart w:id="0" w:name="_Hlk111122135"/>
      <w:r>
        <w:rPr>
          <w:sz w:val="24"/>
          <w:szCs w:val="24"/>
        </w:rPr>
        <w:t>Инструкция № Iз-1707 от 7 ноември 2007 г. за взаимодействие между Министерството на вътрешните работи и Държавната агенция по горите при опазването на горите, дивеча и рибата в обектите за любителски риболов на територията на Република България</w:t>
      </w:r>
      <w:bookmarkEnd w:id="0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обн</w:t>
      </w:r>
      <w:proofErr w:type="spellEnd"/>
      <w:r>
        <w:rPr>
          <w:sz w:val="24"/>
          <w:szCs w:val="24"/>
        </w:rPr>
        <w:t>. ДВ, бр. 97 от 2007 г.)</w:t>
      </w:r>
    </w:p>
    <w:p w:rsidR="00FD60E0" w:rsidRDefault="00FD60E0" w:rsidP="00FD60E0">
      <w:pPr>
        <w:widowControl/>
        <w:autoSpaceDE/>
        <w:adjustRightInd/>
        <w:spacing w:line="320" w:lineRule="exact"/>
        <w:ind w:firstLine="993"/>
        <w:jc w:val="both"/>
        <w:rPr>
          <w:bCs/>
          <w:iCs/>
          <w:sz w:val="24"/>
          <w:szCs w:val="24"/>
          <w:lang w:val="en-US"/>
        </w:rPr>
      </w:pPr>
    </w:p>
    <w:p w:rsidR="00FD60E0" w:rsidRDefault="00FD60E0" w:rsidP="00FD60E0">
      <w:pPr>
        <w:widowControl/>
        <w:autoSpaceDE/>
        <w:adjustRightInd/>
        <w:spacing w:line="320" w:lineRule="exact"/>
        <w:ind w:firstLine="993"/>
        <w:jc w:val="both"/>
        <w:rPr>
          <w:bCs/>
          <w:iCs/>
          <w:sz w:val="24"/>
          <w:szCs w:val="24"/>
          <w:lang w:val="en-US"/>
        </w:rPr>
      </w:pPr>
    </w:p>
    <w:p w:rsidR="00FD60E0" w:rsidRDefault="00FD60E0" w:rsidP="00FD60E0">
      <w:pPr>
        <w:widowControl/>
        <w:autoSpaceDE/>
        <w:adjustRightInd/>
        <w:spacing w:line="320" w:lineRule="exact"/>
        <w:ind w:firstLine="99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  <w:u w:val="single"/>
        </w:rPr>
        <w:t>1. Причини, които налагат приемането на проекта</w:t>
      </w:r>
      <w:r>
        <w:rPr>
          <w:bCs/>
          <w:iCs/>
          <w:sz w:val="24"/>
          <w:szCs w:val="24"/>
        </w:rPr>
        <w:t>:</w:t>
      </w:r>
    </w:p>
    <w:p w:rsidR="00FD60E0" w:rsidRDefault="00FD60E0" w:rsidP="00FD60E0">
      <w:pPr>
        <w:widowControl/>
        <w:autoSpaceDE/>
        <w:adjustRightInd/>
        <w:spacing w:line="320" w:lineRule="exact"/>
        <w:ind w:firstLine="99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При направен в Министерството на вътрешните работи (МВР) преглед на нормативни актове, регламентиращи взаимодействието на органи на министерството с различни органи на изпълнителната власт е установено, че липсва изрично правно основание за Инструкция № Iз-1707 от 7 ноември 2007 г. за взаимодействие между МВР и Държавната агенция по горите при опазването на горите, дивеча и рибата в обектите за любителски риболов на територията на Република България. </w:t>
      </w:r>
    </w:p>
    <w:p w:rsidR="00FD60E0" w:rsidRDefault="00FD60E0" w:rsidP="00FD60E0">
      <w:pPr>
        <w:widowControl/>
        <w:autoSpaceDE/>
        <w:adjustRightInd/>
        <w:spacing w:line="320" w:lineRule="exact"/>
        <w:ind w:firstLine="99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Инструкция № Iз-1707 от 2007 г. е издадена на основание чл. 21, т. 11 от Закона за Министерството на вътрешните работи </w:t>
      </w:r>
      <w:r>
        <w:rPr>
          <w:bCs/>
          <w:iCs/>
          <w:sz w:val="24"/>
          <w:szCs w:val="24"/>
          <w:lang w:val="en-US"/>
        </w:rPr>
        <w:t>(</w:t>
      </w:r>
      <w:r>
        <w:rPr>
          <w:bCs/>
          <w:iCs/>
          <w:sz w:val="24"/>
          <w:szCs w:val="24"/>
        </w:rPr>
        <w:t>ЗМВР</w:t>
      </w:r>
      <w:r>
        <w:rPr>
          <w:bCs/>
          <w:iCs/>
          <w:sz w:val="24"/>
          <w:szCs w:val="24"/>
          <w:lang w:val="en-US"/>
        </w:rPr>
        <w:t xml:space="preserve">) </w:t>
      </w:r>
      <w:r>
        <w:rPr>
          <w:bCs/>
          <w:iCs/>
          <w:sz w:val="24"/>
          <w:szCs w:val="24"/>
        </w:rPr>
        <w:t>(отменен) (</w:t>
      </w:r>
      <w:proofErr w:type="spellStart"/>
      <w:r>
        <w:rPr>
          <w:bCs/>
          <w:iCs/>
          <w:sz w:val="24"/>
          <w:szCs w:val="24"/>
        </w:rPr>
        <w:t>обн</w:t>
      </w:r>
      <w:proofErr w:type="spellEnd"/>
      <w:r>
        <w:rPr>
          <w:bCs/>
          <w:iCs/>
          <w:sz w:val="24"/>
          <w:szCs w:val="24"/>
        </w:rPr>
        <w:t>., ДВ, бр. 53 от 2014 г.) и чл. 70, ал. 1 от Закона за горите (отменен) (</w:t>
      </w:r>
      <w:proofErr w:type="spellStart"/>
      <w:r>
        <w:rPr>
          <w:bCs/>
          <w:iCs/>
          <w:sz w:val="24"/>
          <w:szCs w:val="24"/>
        </w:rPr>
        <w:t>обн</w:t>
      </w:r>
      <w:proofErr w:type="spellEnd"/>
      <w:r>
        <w:rPr>
          <w:bCs/>
          <w:iCs/>
          <w:sz w:val="24"/>
          <w:szCs w:val="24"/>
        </w:rPr>
        <w:t>., ДВ, бр. 19 от 2011 г.). Нормата на чл. 22, т. 11 от ЗМВР (отм.) регламентира общото правило, че министърът отговаря за правното осигуряване на дейността на министерството, като издава правилници, наредби и инструкции, а нормата на чл. 70, ал. 1 от ЗГ (отм.) предвижда, че органите на държавната и местната власт, организациите и лицата се задължават да оказват съдействие на служителите по горите при изпълнението на служебните им задължения по опазване на горите и земите от горския фонд. В действащия Закон за горите (</w:t>
      </w:r>
      <w:proofErr w:type="spellStart"/>
      <w:r>
        <w:rPr>
          <w:bCs/>
          <w:iCs/>
          <w:sz w:val="24"/>
          <w:szCs w:val="24"/>
        </w:rPr>
        <w:t>обн</w:t>
      </w:r>
      <w:proofErr w:type="spellEnd"/>
      <w:r>
        <w:rPr>
          <w:bCs/>
          <w:iCs/>
          <w:sz w:val="24"/>
          <w:szCs w:val="24"/>
        </w:rPr>
        <w:t>., ДВ, бр. 19 от 2011 г.) и в действащия ЗМВР (</w:t>
      </w:r>
      <w:proofErr w:type="spellStart"/>
      <w:r>
        <w:rPr>
          <w:bCs/>
          <w:iCs/>
          <w:sz w:val="24"/>
          <w:szCs w:val="24"/>
        </w:rPr>
        <w:t>обн</w:t>
      </w:r>
      <w:proofErr w:type="spellEnd"/>
      <w:r>
        <w:rPr>
          <w:bCs/>
          <w:iCs/>
          <w:sz w:val="24"/>
          <w:szCs w:val="24"/>
        </w:rPr>
        <w:t xml:space="preserve">., ДВ, бр. 53 от 2014 г.) няма изрична законова делегация за издаване на инструкция с предмета на регулиране на Инструкция № Iз-1707 от 2007 г.  </w:t>
      </w:r>
    </w:p>
    <w:p w:rsidR="00FD60E0" w:rsidRDefault="00FD60E0" w:rsidP="00FD60E0">
      <w:pPr>
        <w:widowControl/>
        <w:autoSpaceDE/>
        <w:adjustRightInd/>
        <w:spacing w:line="320" w:lineRule="exact"/>
        <w:ind w:firstLine="99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Липсата на действащо изрично правно основание за издаване на Инструкция № Iз-1707 от 2007 г. налага нейната отмяна.</w:t>
      </w:r>
    </w:p>
    <w:p w:rsidR="00FD60E0" w:rsidRDefault="00FD60E0" w:rsidP="00FD60E0">
      <w:pPr>
        <w:widowControl/>
        <w:autoSpaceDE/>
        <w:adjustRightInd/>
        <w:spacing w:line="320" w:lineRule="exact"/>
        <w:ind w:firstLine="99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Наред с горното, дейностите и правомощията на органите на компетентните държавни структури, адресати на инструкцията, както и взаимодействието между тях са регламентирани в действащите ЗГ, Закон за лова и опазване на дивеча, ЗМВР и издадените въз основа на тях подзаконови нормативни актове. Така например, взаимодействието на органите за пожарна безопасност и защита на населението с органите на Изпълнителната агенция по горите е уредено в действащия ЗГ и Наредба № 8 от 11.05.2012 г. за условията и реда за защита на горските територии от пожари (</w:t>
      </w:r>
      <w:proofErr w:type="spellStart"/>
      <w:r>
        <w:rPr>
          <w:bCs/>
          <w:iCs/>
          <w:sz w:val="24"/>
          <w:szCs w:val="24"/>
        </w:rPr>
        <w:t>обн</w:t>
      </w:r>
      <w:proofErr w:type="spellEnd"/>
      <w:r>
        <w:rPr>
          <w:bCs/>
          <w:iCs/>
          <w:sz w:val="24"/>
          <w:szCs w:val="24"/>
        </w:rPr>
        <w:t>., ДВ, бр. 38 от 2012 г.).</w:t>
      </w:r>
    </w:p>
    <w:p w:rsidR="00FD60E0" w:rsidRDefault="00FD60E0" w:rsidP="00FD60E0">
      <w:pPr>
        <w:widowControl/>
        <w:autoSpaceDE/>
        <w:adjustRightInd/>
        <w:spacing w:line="320" w:lineRule="exact"/>
        <w:ind w:firstLine="993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Инструкцията за отмяна следва да бъде издадена от министъра на земеделието и министъра на вътрешните работи с оглед правомощията на министъра на земеделието по Закона за горите. Съгласно чл. 76, ал. 1 от </w:t>
      </w:r>
      <w:proofErr w:type="spellStart"/>
      <w:r>
        <w:rPr>
          <w:bCs/>
          <w:iCs/>
          <w:sz w:val="24"/>
          <w:szCs w:val="24"/>
        </w:rPr>
        <w:t>Административнопроцесуалния</w:t>
      </w:r>
      <w:proofErr w:type="spellEnd"/>
      <w:r>
        <w:rPr>
          <w:bCs/>
          <w:iCs/>
          <w:sz w:val="24"/>
          <w:szCs w:val="24"/>
        </w:rPr>
        <w:t xml:space="preserve"> кодекс, нормативните административни актове се издават от изрично овластени от Конституцията или закон органи. В случая компетентен орган се явява министърът на </w:t>
      </w:r>
      <w:r>
        <w:rPr>
          <w:bCs/>
          <w:iCs/>
          <w:sz w:val="24"/>
          <w:szCs w:val="24"/>
        </w:rPr>
        <w:lastRenderedPageBreak/>
        <w:t>земеделието с оглед правомощията му по Закона за администрацията да издава инструкции от една страна и правомощията му по Закона за горите</w:t>
      </w:r>
      <w:r>
        <w:rPr>
          <w:bCs/>
          <w:iCs/>
          <w:sz w:val="24"/>
          <w:szCs w:val="24"/>
          <w:lang w:val="en-US"/>
        </w:rPr>
        <w:t xml:space="preserve"> </w:t>
      </w:r>
      <w:r>
        <w:rPr>
          <w:bCs/>
          <w:iCs/>
          <w:sz w:val="24"/>
          <w:szCs w:val="24"/>
        </w:rPr>
        <w:t>от друга страна.</w:t>
      </w:r>
    </w:p>
    <w:p w:rsidR="00FD60E0" w:rsidRDefault="00FD60E0" w:rsidP="00FD60E0">
      <w:pPr>
        <w:widowControl/>
        <w:autoSpaceDE/>
        <w:adjustRightInd/>
        <w:spacing w:line="320" w:lineRule="exact"/>
        <w:ind w:firstLine="993"/>
        <w:jc w:val="both"/>
        <w:rPr>
          <w:bCs/>
          <w:iCs/>
          <w:sz w:val="24"/>
          <w:szCs w:val="24"/>
        </w:rPr>
      </w:pPr>
    </w:p>
    <w:p w:rsidR="00FD60E0" w:rsidRDefault="00FD60E0" w:rsidP="00FD60E0">
      <w:pPr>
        <w:widowControl/>
        <w:autoSpaceDE/>
        <w:adjustRightInd/>
        <w:spacing w:line="320" w:lineRule="exact"/>
        <w:ind w:left="1274" w:right="-284" w:hanging="28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2. Цели, които се поставят</w:t>
      </w:r>
      <w:r>
        <w:rPr>
          <w:rFonts w:eastAsia="Calibri"/>
          <w:sz w:val="24"/>
          <w:szCs w:val="24"/>
          <w:lang w:eastAsia="en-US"/>
        </w:rPr>
        <w:t>:</w:t>
      </w:r>
    </w:p>
    <w:p w:rsidR="00FD60E0" w:rsidRDefault="00FD60E0" w:rsidP="00FD60E0">
      <w:pPr>
        <w:widowControl/>
        <w:autoSpaceDE/>
        <w:adjustRightInd/>
        <w:spacing w:line="320" w:lineRule="exact"/>
        <w:ind w:right="1" w:firstLine="99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 предлагания проект на инструкция за отмяна на Инструкция № Iз-1707 от 7 ноември 2007 г. за взаимодействие между МВР и Държавната агенция по горите при опазването на горите, дивеча и рибата в обектите за любителски риболов на територията на Република България се цели отмяната на подзаконов нормативен акт, за чието издаване не съществува </w:t>
      </w:r>
      <w:r>
        <w:rPr>
          <w:bCs/>
          <w:sz w:val="24"/>
          <w:szCs w:val="24"/>
        </w:rPr>
        <w:t xml:space="preserve">действащо </w:t>
      </w:r>
      <w:r>
        <w:rPr>
          <w:rFonts w:eastAsia="Calibri"/>
          <w:sz w:val="24"/>
          <w:szCs w:val="24"/>
          <w:lang w:eastAsia="en-US"/>
        </w:rPr>
        <w:t>правно основание и постигане на съответствие с действащата нормативна уредба.</w:t>
      </w:r>
    </w:p>
    <w:p w:rsidR="00FD60E0" w:rsidRDefault="00FD60E0" w:rsidP="00FD60E0">
      <w:pPr>
        <w:widowControl/>
        <w:autoSpaceDE/>
        <w:adjustRightInd/>
        <w:spacing w:line="320" w:lineRule="exact"/>
        <w:ind w:left="1302" w:right="-284" w:hanging="3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D60E0" w:rsidRDefault="00FD60E0" w:rsidP="00FD60E0">
      <w:pPr>
        <w:widowControl/>
        <w:autoSpaceDE/>
        <w:adjustRightInd/>
        <w:spacing w:line="320" w:lineRule="exact"/>
        <w:ind w:left="1302" w:right="-284" w:hanging="3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3. Финансови и други средства, необходими за прилагането на новата уредба</w:t>
      </w:r>
      <w:r>
        <w:rPr>
          <w:rFonts w:eastAsia="Calibri"/>
          <w:sz w:val="24"/>
          <w:szCs w:val="24"/>
          <w:lang w:eastAsia="en-US"/>
        </w:rPr>
        <w:t>:</w:t>
      </w:r>
    </w:p>
    <w:p w:rsidR="00FD60E0" w:rsidRDefault="00FD60E0" w:rsidP="00FD60E0">
      <w:pPr>
        <w:widowControl/>
        <w:autoSpaceDE/>
        <w:adjustRightInd/>
        <w:spacing w:line="320" w:lineRule="exact"/>
        <w:ind w:right="1" w:firstLine="993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1" w:name="_Hlk111123643"/>
      <w:r>
        <w:rPr>
          <w:rFonts w:eastAsia="Calibri"/>
          <w:sz w:val="24"/>
          <w:szCs w:val="24"/>
          <w:lang w:eastAsia="en-US"/>
        </w:rPr>
        <w:t>Издаването на акта не води до необходимост от допълнителни финансови и други средства.</w:t>
      </w:r>
    </w:p>
    <w:bookmarkEnd w:id="1"/>
    <w:p w:rsidR="00FD60E0" w:rsidRDefault="00FD60E0" w:rsidP="00FD60E0">
      <w:pPr>
        <w:widowControl/>
        <w:autoSpaceDE/>
        <w:adjustRightInd/>
        <w:spacing w:line="320" w:lineRule="exact"/>
        <w:ind w:right="-284" w:firstLine="993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D60E0" w:rsidRDefault="00FD60E0" w:rsidP="00FD60E0">
      <w:pPr>
        <w:widowControl/>
        <w:autoSpaceDE/>
        <w:adjustRightInd/>
        <w:spacing w:line="320" w:lineRule="exact"/>
        <w:ind w:right="1" w:firstLine="99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4.</w:t>
      </w:r>
      <w:r>
        <w:rPr>
          <w:rFonts w:eastAsia="Calibri"/>
          <w:sz w:val="24"/>
          <w:szCs w:val="24"/>
          <w:u w:val="single"/>
          <w:lang w:val="en-US" w:eastAsia="en-US"/>
        </w:rPr>
        <w:t xml:space="preserve"> </w:t>
      </w:r>
      <w:r>
        <w:rPr>
          <w:rFonts w:eastAsia="Calibri"/>
          <w:sz w:val="24"/>
          <w:szCs w:val="24"/>
          <w:u w:val="single"/>
          <w:lang w:eastAsia="en-US"/>
        </w:rPr>
        <w:t>Очаквани резултати от прилагането</w:t>
      </w:r>
      <w:r>
        <w:rPr>
          <w:rFonts w:eastAsia="Calibri"/>
          <w:sz w:val="24"/>
          <w:szCs w:val="24"/>
          <w:lang w:eastAsia="en-US"/>
        </w:rPr>
        <w:t>:</w:t>
      </w:r>
    </w:p>
    <w:p w:rsidR="00FD60E0" w:rsidRDefault="00FD60E0" w:rsidP="00FD60E0">
      <w:pPr>
        <w:widowControl/>
        <w:autoSpaceDE/>
        <w:adjustRightInd/>
        <w:spacing w:line="320" w:lineRule="exact"/>
        <w:ind w:right="1" w:firstLine="99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Като резултат от предложената отмяна на акта се очаква да се постигне съответствие с действащата нормативна уредба.</w:t>
      </w:r>
    </w:p>
    <w:p w:rsidR="00FD60E0" w:rsidRDefault="00FD60E0" w:rsidP="00FD60E0">
      <w:pPr>
        <w:widowControl/>
        <w:autoSpaceDE/>
        <w:adjustRightInd/>
        <w:spacing w:line="320" w:lineRule="exact"/>
        <w:ind w:left="1302" w:right="-1" w:hanging="3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D60E0" w:rsidRDefault="00FD60E0" w:rsidP="00FD60E0">
      <w:pPr>
        <w:widowControl/>
        <w:autoSpaceDE/>
        <w:adjustRightInd/>
        <w:spacing w:line="320" w:lineRule="exact"/>
        <w:ind w:left="1302" w:right="-284" w:hanging="309"/>
        <w:contextualSpacing/>
        <w:jc w:val="both"/>
        <w:rPr>
          <w:rFonts w:eastAsia="Calibri"/>
          <w:sz w:val="24"/>
          <w:szCs w:val="24"/>
          <w:u w:val="single"/>
          <w:lang w:val="en-US"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5. Анализ за съответствие с правото на Европейския съюз</w:t>
      </w:r>
      <w:r>
        <w:rPr>
          <w:rFonts w:eastAsia="Calibri"/>
          <w:sz w:val="24"/>
          <w:szCs w:val="24"/>
          <w:lang w:val="en-US" w:eastAsia="en-US"/>
        </w:rPr>
        <w:t>:</w:t>
      </w:r>
    </w:p>
    <w:p w:rsidR="00FD60E0" w:rsidRDefault="00FD60E0" w:rsidP="00FD60E0">
      <w:pPr>
        <w:widowControl/>
        <w:autoSpaceDE/>
        <w:adjustRightInd/>
        <w:spacing w:line="320" w:lineRule="exact"/>
        <w:ind w:firstLine="993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С проекта на акт не се въвеждат изисквания, произтичащи от правни актове на Европейския съюз, поради което не е изготвена справка за съответствие с правото на Европейския съюз.</w:t>
      </w:r>
    </w:p>
    <w:p w:rsidR="00574654" w:rsidRDefault="00574654">
      <w:bookmarkStart w:id="2" w:name="_GoBack"/>
      <w:bookmarkEnd w:id="2"/>
    </w:p>
    <w:sectPr w:rsidR="00574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E0"/>
    <w:rsid w:val="00574654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85514-80C3-44D1-A33D-BB6C28E3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Йорданов Соколов</dc:creator>
  <cp:keywords/>
  <dc:description/>
  <cp:lastModifiedBy>Георги Йорданов Соколов</cp:lastModifiedBy>
  <cp:revision>1</cp:revision>
  <dcterms:created xsi:type="dcterms:W3CDTF">2023-02-01T08:16:00Z</dcterms:created>
  <dcterms:modified xsi:type="dcterms:W3CDTF">2023-02-01T08:17:00Z</dcterms:modified>
</cp:coreProperties>
</file>