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BB" w:rsidRDefault="00164BBB" w:rsidP="00164BBB">
      <w:pPr>
        <w:tabs>
          <w:tab w:val="center" w:pos="4320"/>
          <w:tab w:val="right" w:pos="8640"/>
        </w:tabs>
        <w:overflowPunct w:val="0"/>
        <w:autoSpaceDE w:val="0"/>
        <w:autoSpaceDN w:val="0"/>
        <w:adjustRightInd w:val="0"/>
        <w:jc w:val="right"/>
        <w:textAlignment w:val="baseline"/>
        <w:rPr>
          <w:rFonts w:ascii="Verdana" w:hAnsi="Verdana"/>
          <w:sz w:val="16"/>
          <w:szCs w:val="16"/>
        </w:rPr>
      </w:pPr>
      <w:bookmarkStart w:id="0" w:name="_GoBack"/>
      <w:bookmarkEnd w:id="0"/>
      <w:r w:rsidRPr="00A270DB">
        <w:rPr>
          <w:rFonts w:ascii="Verdana" w:hAnsi="Verdana"/>
          <w:sz w:val="16"/>
          <w:szCs w:val="16"/>
        </w:rPr>
        <w:t>Класификация на информацията:</w:t>
      </w:r>
    </w:p>
    <w:p w:rsidR="00164BBB" w:rsidRPr="00A270DB" w:rsidRDefault="00164BBB" w:rsidP="00164BBB">
      <w:pPr>
        <w:tabs>
          <w:tab w:val="center" w:pos="4320"/>
          <w:tab w:val="right" w:pos="8640"/>
        </w:tabs>
        <w:overflowPunct w:val="0"/>
        <w:autoSpaceDE w:val="0"/>
        <w:autoSpaceDN w:val="0"/>
        <w:adjustRightInd w:val="0"/>
        <w:jc w:val="right"/>
        <w:textAlignment w:val="baseline"/>
        <w:rPr>
          <w:rFonts w:ascii="Verdana" w:hAnsi="Verdana"/>
          <w:sz w:val="16"/>
          <w:szCs w:val="16"/>
        </w:rPr>
      </w:pPr>
      <w:r w:rsidRPr="00A270DB">
        <w:rPr>
          <w:rFonts w:ascii="Verdana" w:hAnsi="Verdana"/>
          <w:sz w:val="16"/>
          <w:szCs w:val="16"/>
        </w:rPr>
        <w:t>Ниво 1, TLP-</w:t>
      </w:r>
      <w:r>
        <w:rPr>
          <w:rFonts w:ascii="Verdana" w:hAnsi="Verdana"/>
          <w:sz w:val="16"/>
          <w:szCs w:val="16"/>
          <w:lang w:val="en-US"/>
        </w:rPr>
        <w:t>WHITE</w:t>
      </w:r>
    </w:p>
    <w:p w:rsidR="00C42D33" w:rsidRDefault="00C42D33"/>
    <w:p w:rsidR="00C42D33" w:rsidRDefault="00C42D33"/>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D36CE4" w:rsidTr="00291E9B">
        <w:trPr>
          <w:trHeight w:val="958"/>
          <w:jc w:val="center"/>
        </w:trPr>
        <w:tc>
          <w:tcPr>
            <w:tcW w:w="15650" w:type="dxa"/>
            <w:tcBorders>
              <w:bottom w:val="single" w:sz="36" w:space="0" w:color="2E74B5"/>
            </w:tcBorders>
            <w:shd w:val="clear" w:color="auto" w:fill="BDD6EE"/>
          </w:tcPr>
          <w:p w:rsidR="00C975B4" w:rsidRPr="00D36CE4" w:rsidRDefault="00C975B4" w:rsidP="00230821">
            <w:pPr>
              <w:tabs>
                <w:tab w:val="left" w:pos="2190"/>
              </w:tabs>
              <w:spacing w:before="120" w:line="360" w:lineRule="auto"/>
              <w:ind w:left="454" w:right="454"/>
              <w:jc w:val="center"/>
              <w:rPr>
                <w:b/>
                <w:spacing w:val="60"/>
                <w:sz w:val="28"/>
                <w:szCs w:val="28"/>
              </w:rPr>
            </w:pPr>
            <w:r w:rsidRPr="00D36CE4">
              <w:rPr>
                <w:b/>
                <w:spacing w:val="60"/>
                <w:sz w:val="28"/>
                <w:szCs w:val="28"/>
              </w:rPr>
              <w:t>СПРАВКА</w:t>
            </w:r>
          </w:p>
          <w:p w:rsidR="00E220AD" w:rsidRPr="00D36CE4" w:rsidRDefault="00C975B4" w:rsidP="001E4984">
            <w:pPr>
              <w:tabs>
                <w:tab w:val="left" w:pos="2190"/>
              </w:tabs>
              <w:spacing w:after="120" w:line="360" w:lineRule="auto"/>
              <w:ind w:left="454" w:right="454"/>
              <w:jc w:val="center"/>
              <w:rPr>
                <w:b/>
                <w:caps/>
              </w:rPr>
            </w:pPr>
            <w:r w:rsidRPr="00D36CE4">
              <w:rPr>
                <w:b/>
                <w:caps/>
              </w:rPr>
              <w:t xml:space="preserve">ЗА ОТРАЗЯВАНЕ НА ПОСТЪПИЛИТЕ ПРЕДЛОЖЕНИЯ </w:t>
            </w:r>
            <w:r w:rsidR="00D8048E" w:rsidRPr="00D36CE4">
              <w:rPr>
                <w:b/>
                <w:caps/>
              </w:rPr>
              <w:t xml:space="preserve">и становища </w:t>
            </w:r>
            <w:r w:rsidRPr="00D36CE4">
              <w:rPr>
                <w:b/>
                <w:caps/>
              </w:rPr>
              <w:t xml:space="preserve">ОТ </w:t>
            </w:r>
            <w:r w:rsidR="00D8048E" w:rsidRPr="00D36CE4">
              <w:rPr>
                <w:b/>
                <w:caps/>
                <w:spacing w:val="-4"/>
              </w:rPr>
              <w:t xml:space="preserve">ПРОВЕДЕНАТА ОБЩЕСТВЕНА КОНСУЛТАЦИЯ </w:t>
            </w:r>
            <w:r w:rsidR="00164BBB">
              <w:rPr>
                <w:b/>
                <w:caps/>
                <w:spacing w:val="-4"/>
              </w:rPr>
              <w:t>по</w:t>
            </w:r>
            <w:r w:rsidR="000632EC" w:rsidRPr="00D36CE4">
              <w:rPr>
                <w:b/>
                <w:caps/>
              </w:rPr>
              <w:t xml:space="preserve"> </w:t>
            </w:r>
            <w:r w:rsidR="00DB72DD" w:rsidRPr="00D36CE4">
              <w:rPr>
                <w:b/>
                <w:caps/>
              </w:rPr>
              <w:t>ПРОЕКТ</w:t>
            </w:r>
            <w:r w:rsidR="00164BBB">
              <w:rPr>
                <w:b/>
                <w:caps/>
              </w:rPr>
              <w:t>а</w:t>
            </w:r>
            <w:r w:rsidR="00DB72DD" w:rsidRPr="00D36CE4">
              <w:rPr>
                <w:b/>
                <w:caps/>
              </w:rPr>
              <w:t xml:space="preserve"> НА </w:t>
            </w:r>
            <w:r w:rsidR="002633AC" w:rsidRPr="002633AC">
              <w:rPr>
                <w:b/>
                <w:caps/>
              </w:rPr>
              <w:t xml:space="preserve">Постановление на Министерския съвет за приемане на Наредба за изискванията към </w:t>
            </w:r>
            <w:r w:rsidR="00E66B47" w:rsidRPr="001E4984">
              <w:rPr>
                <w:b/>
                <w:caps/>
              </w:rPr>
              <w:t>захарите</w:t>
            </w:r>
            <w:r w:rsidR="002633AC" w:rsidRPr="002633AC">
              <w:rPr>
                <w:b/>
                <w:caps/>
              </w:rPr>
              <w:t>, предназначени за консумация от човека</w:t>
            </w:r>
            <w:r w:rsidR="00E66B47">
              <w:rPr>
                <w:rStyle w:val="FootnoteReference"/>
                <w:b/>
                <w:caps/>
              </w:rPr>
              <w:footnoteReference w:id="1"/>
            </w:r>
          </w:p>
        </w:tc>
      </w:tr>
    </w:tbl>
    <w:p w:rsidR="00230821" w:rsidRPr="009773E5" w:rsidRDefault="00230821">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501"/>
        <w:gridCol w:w="6399"/>
        <w:gridCol w:w="1608"/>
        <w:gridCol w:w="4522"/>
      </w:tblGrid>
      <w:tr w:rsidR="00B50A39" w:rsidRPr="00D36CE4" w:rsidTr="001919EB">
        <w:trPr>
          <w:trHeight w:val="565"/>
          <w:tblHeader/>
          <w:jc w:val="center"/>
        </w:trPr>
        <w:tc>
          <w:tcPr>
            <w:tcW w:w="620" w:type="dxa"/>
            <w:tcBorders>
              <w:top w:val="single" w:sz="24" w:space="0" w:color="2E74B5"/>
              <w:left w:val="single" w:sz="36" w:space="0" w:color="2E74B5"/>
              <w:right w:val="single" w:sz="18" w:space="0" w:color="2E74B5"/>
            </w:tcBorders>
            <w:shd w:val="clear" w:color="auto" w:fill="DEEAF6"/>
            <w:vAlign w:val="center"/>
          </w:tcPr>
          <w:p w:rsidR="00E220AD" w:rsidRPr="00D36CE4" w:rsidRDefault="00E220AD" w:rsidP="00E220AD">
            <w:pPr>
              <w:tabs>
                <w:tab w:val="left" w:pos="192"/>
              </w:tabs>
              <w:jc w:val="center"/>
              <w:rPr>
                <w:b/>
                <w:sz w:val="23"/>
                <w:szCs w:val="23"/>
              </w:rPr>
            </w:pPr>
            <w:r w:rsidRPr="00D36CE4">
              <w:rPr>
                <w:b/>
                <w:sz w:val="23"/>
                <w:szCs w:val="23"/>
              </w:rPr>
              <w:t>№</w:t>
            </w:r>
          </w:p>
        </w:tc>
        <w:tc>
          <w:tcPr>
            <w:tcW w:w="2501" w:type="dxa"/>
            <w:tcBorders>
              <w:top w:val="single" w:sz="24" w:space="0" w:color="2E74B5"/>
              <w:left w:val="single" w:sz="18" w:space="0" w:color="2E74B5"/>
              <w:bottom w:val="single" w:sz="18" w:space="0" w:color="2E74B5"/>
              <w:right w:val="single" w:sz="18" w:space="0" w:color="2E74B5"/>
            </w:tcBorders>
            <w:shd w:val="clear" w:color="auto" w:fill="DEEAF6"/>
            <w:vAlign w:val="center"/>
          </w:tcPr>
          <w:p w:rsidR="00E220AD" w:rsidRPr="00D36CE4" w:rsidRDefault="00E220AD" w:rsidP="00E220AD">
            <w:pPr>
              <w:jc w:val="center"/>
              <w:rPr>
                <w:b/>
                <w:sz w:val="23"/>
                <w:szCs w:val="23"/>
              </w:rPr>
            </w:pPr>
            <w:r w:rsidRPr="00D36CE4">
              <w:rPr>
                <w:b/>
                <w:sz w:val="23"/>
                <w:szCs w:val="23"/>
              </w:rPr>
              <w:t>Организация/</w:t>
            </w:r>
            <w:r w:rsidR="00230821" w:rsidRPr="00D36CE4">
              <w:rPr>
                <w:b/>
                <w:sz w:val="23"/>
                <w:szCs w:val="23"/>
              </w:rPr>
              <w:br/>
            </w:r>
            <w:r w:rsidRPr="00D36CE4">
              <w:rPr>
                <w:b/>
                <w:sz w:val="23"/>
                <w:szCs w:val="23"/>
              </w:rPr>
              <w:t>потребител</w:t>
            </w:r>
          </w:p>
          <w:p w:rsidR="005424B9" w:rsidRPr="00D36CE4" w:rsidRDefault="00291E9B" w:rsidP="00291E9B">
            <w:pPr>
              <w:jc w:val="center"/>
              <w:rPr>
                <w:b/>
                <w:sz w:val="16"/>
                <w:szCs w:val="16"/>
              </w:rPr>
            </w:pPr>
            <w:r w:rsidRPr="00D36CE4">
              <w:rPr>
                <w:b/>
                <w:sz w:val="16"/>
                <w:szCs w:val="16"/>
              </w:rPr>
              <w:t>(</w:t>
            </w:r>
            <w:r w:rsidR="005424B9" w:rsidRPr="00D36CE4">
              <w:rPr>
                <w:b/>
                <w:sz w:val="16"/>
                <w:szCs w:val="16"/>
              </w:rPr>
              <w:t>вкл. начина на получаване на предложението</w:t>
            </w:r>
            <w:r w:rsidRPr="00D36CE4">
              <w:rPr>
                <w:b/>
                <w:sz w:val="16"/>
                <w:szCs w:val="16"/>
              </w:rPr>
              <w:t>)</w:t>
            </w:r>
          </w:p>
        </w:tc>
        <w:tc>
          <w:tcPr>
            <w:tcW w:w="6399" w:type="dxa"/>
            <w:tcBorders>
              <w:top w:val="single" w:sz="24" w:space="0" w:color="2E74B5"/>
              <w:left w:val="single" w:sz="18" w:space="0" w:color="2E74B5"/>
              <w:bottom w:val="single" w:sz="18" w:space="0" w:color="2E74B5"/>
              <w:right w:val="single" w:sz="18" w:space="0" w:color="2E74B5"/>
            </w:tcBorders>
            <w:shd w:val="clear" w:color="auto" w:fill="DEEAF6"/>
            <w:vAlign w:val="center"/>
          </w:tcPr>
          <w:p w:rsidR="00E220AD" w:rsidRPr="00D36CE4" w:rsidRDefault="00E220AD" w:rsidP="00E220AD">
            <w:pPr>
              <w:jc w:val="center"/>
              <w:rPr>
                <w:b/>
                <w:sz w:val="23"/>
                <w:szCs w:val="23"/>
              </w:rPr>
            </w:pPr>
            <w:r w:rsidRPr="00D36CE4">
              <w:rPr>
                <w:b/>
                <w:sz w:val="23"/>
                <w:szCs w:val="23"/>
              </w:rPr>
              <w:t>Бележки и предложения</w:t>
            </w:r>
          </w:p>
        </w:tc>
        <w:tc>
          <w:tcPr>
            <w:tcW w:w="1608" w:type="dxa"/>
            <w:tcBorders>
              <w:top w:val="single" w:sz="24" w:space="0" w:color="2E74B5"/>
              <w:left w:val="single" w:sz="18" w:space="0" w:color="2E74B5"/>
              <w:bottom w:val="single" w:sz="18" w:space="0" w:color="2E74B5"/>
              <w:right w:val="single" w:sz="18" w:space="0" w:color="2E74B5"/>
            </w:tcBorders>
            <w:shd w:val="clear" w:color="auto" w:fill="DEEAF6"/>
            <w:vAlign w:val="center"/>
          </w:tcPr>
          <w:p w:rsidR="00E220AD" w:rsidRPr="00D36CE4" w:rsidRDefault="00E220AD" w:rsidP="00E220AD">
            <w:pPr>
              <w:jc w:val="center"/>
              <w:rPr>
                <w:b/>
                <w:sz w:val="23"/>
                <w:szCs w:val="23"/>
              </w:rPr>
            </w:pPr>
            <w:r w:rsidRPr="00D36CE4">
              <w:rPr>
                <w:b/>
                <w:sz w:val="23"/>
                <w:szCs w:val="23"/>
              </w:rPr>
              <w:t>Приети/</w:t>
            </w:r>
          </w:p>
          <w:p w:rsidR="00E220AD" w:rsidRPr="00D36CE4" w:rsidRDefault="00E220AD" w:rsidP="00E220AD">
            <w:pPr>
              <w:jc w:val="center"/>
              <w:rPr>
                <w:b/>
                <w:sz w:val="23"/>
                <w:szCs w:val="23"/>
              </w:rPr>
            </w:pPr>
            <w:r w:rsidRPr="00D36CE4">
              <w:rPr>
                <w:b/>
                <w:sz w:val="23"/>
                <w:szCs w:val="23"/>
              </w:rPr>
              <w:t>неприети</w:t>
            </w:r>
          </w:p>
        </w:tc>
        <w:tc>
          <w:tcPr>
            <w:tcW w:w="4522" w:type="dxa"/>
            <w:tcBorders>
              <w:top w:val="single" w:sz="24" w:space="0" w:color="2E74B5"/>
              <w:left w:val="single" w:sz="18" w:space="0" w:color="2E74B5"/>
              <w:bottom w:val="single" w:sz="18" w:space="0" w:color="2E74B5"/>
              <w:right w:val="single" w:sz="36" w:space="0" w:color="2E74B5"/>
            </w:tcBorders>
            <w:shd w:val="clear" w:color="auto" w:fill="DEEAF6"/>
            <w:vAlign w:val="center"/>
          </w:tcPr>
          <w:p w:rsidR="00E220AD" w:rsidRPr="00D36CE4" w:rsidRDefault="00E220AD" w:rsidP="00E220AD">
            <w:pPr>
              <w:jc w:val="center"/>
              <w:rPr>
                <w:sz w:val="23"/>
                <w:szCs w:val="23"/>
              </w:rPr>
            </w:pPr>
            <w:r w:rsidRPr="00D36CE4">
              <w:rPr>
                <w:b/>
                <w:sz w:val="23"/>
                <w:szCs w:val="23"/>
              </w:rPr>
              <w:t>Мотиви</w:t>
            </w:r>
          </w:p>
        </w:tc>
      </w:tr>
      <w:tr w:rsidR="00DB72DD" w:rsidRPr="00D36CE4" w:rsidTr="001919EB">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DB72DD" w:rsidRPr="006C070B" w:rsidRDefault="00DB72DD" w:rsidP="006C070B">
            <w:pPr>
              <w:pStyle w:val="ListParagraph"/>
              <w:numPr>
                <w:ilvl w:val="0"/>
                <w:numId w:val="26"/>
              </w:numPr>
              <w:tabs>
                <w:tab w:val="left" w:pos="192"/>
              </w:tabs>
              <w:jc w:val="center"/>
              <w:rPr>
                <w:b/>
                <w:color w:val="FF0000"/>
                <w:sz w:val="22"/>
                <w:szCs w:val="22"/>
              </w:rPr>
            </w:pPr>
          </w:p>
        </w:tc>
        <w:tc>
          <w:tcPr>
            <w:tcW w:w="2501" w:type="dxa"/>
            <w:tcBorders>
              <w:top w:val="single" w:sz="18" w:space="0" w:color="2E74B5"/>
              <w:left w:val="single" w:sz="18" w:space="0" w:color="2E74B5"/>
              <w:bottom w:val="nil"/>
              <w:right w:val="single" w:sz="18" w:space="0" w:color="2E74B5"/>
            </w:tcBorders>
            <w:shd w:val="clear" w:color="auto" w:fill="auto"/>
          </w:tcPr>
          <w:p w:rsidR="00F34BC8" w:rsidRPr="00F34BC8" w:rsidRDefault="00F34BC8" w:rsidP="00F34BC8">
            <w:pPr>
              <w:rPr>
                <w:rStyle w:val="Hyperlink"/>
                <w:b/>
                <w:bCs/>
                <w:color w:val="auto"/>
                <w:sz w:val="22"/>
                <w:szCs w:val="22"/>
                <w:u w:val="none"/>
              </w:rPr>
            </w:pPr>
            <w:r>
              <w:rPr>
                <w:rStyle w:val="Hyperlink"/>
                <w:b/>
                <w:bCs/>
                <w:color w:val="auto"/>
                <w:sz w:val="22"/>
                <w:szCs w:val="22"/>
                <w:u w:val="none"/>
              </w:rPr>
              <w:t>Боян Дойчинов</w:t>
            </w:r>
          </w:p>
          <w:p w:rsidR="00233EF2" w:rsidRPr="00233EF2" w:rsidRDefault="000C6898" w:rsidP="00F34BC8">
            <w:pPr>
              <w:rPr>
                <w:rStyle w:val="Hyperlink"/>
                <w:b/>
                <w:bCs/>
                <w:color w:val="auto"/>
                <w:sz w:val="20"/>
                <w:szCs w:val="20"/>
                <w:u w:val="none"/>
              </w:rPr>
            </w:pPr>
            <w:hyperlink r:id="rId9" w:history="1">
              <w:r w:rsidR="00233EF2" w:rsidRPr="00233EF2">
                <w:rPr>
                  <w:rStyle w:val="Hyperlink"/>
                  <w:b/>
                  <w:bCs/>
                  <w:sz w:val="20"/>
                  <w:szCs w:val="20"/>
                </w:rPr>
                <w:t>doychinov@proton.me</w:t>
              </w:r>
            </w:hyperlink>
          </w:p>
          <w:p w:rsidR="00F34BC8" w:rsidRPr="00F34BC8" w:rsidRDefault="007B0693" w:rsidP="00F34BC8">
            <w:pPr>
              <w:rPr>
                <w:rStyle w:val="Hyperlink"/>
                <w:b/>
                <w:bCs/>
                <w:color w:val="auto"/>
                <w:sz w:val="22"/>
                <w:szCs w:val="22"/>
                <w:u w:val="none"/>
              </w:rPr>
            </w:pPr>
            <w:r>
              <w:rPr>
                <w:rStyle w:val="Hyperlink"/>
                <w:b/>
                <w:bCs/>
                <w:color w:val="auto"/>
                <w:sz w:val="22"/>
                <w:szCs w:val="22"/>
                <w:u w:val="none"/>
              </w:rPr>
              <w:t>21.12.2022</w:t>
            </w:r>
            <w:r w:rsidR="00F34BC8" w:rsidRPr="00F34BC8">
              <w:rPr>
                <w:rStyle w:val="Hyperlink"/>
                <w:b/>
                <w:bCs/>
                <w:color w:val="auto"/>
                <w:sz w:val="22"/>
                <w:szCs w:val="22"/>
                <w:u w:val="none"/>
              </w:rPr>
              <w:t xml:space="preserve"> г.</w:t>
            </w:r>
          </w:p>
          <w:p w:rsidR="00DB72DD" w:rsidRPr="00F34BC8" w:rsidRDefault="00F34BC8" w:rsidP="00F34BC8">
            <w:pPr>
              <w:rPr>
                <w:rStyle w:val="Hyperlink"/>
                <w:b/>
                <w:bCs/>
                <w:color w:val="auto"/>
                <w:sz w:val="22"/>
                <w:szCs w:val="22"/>
                <w:u w:val="none"/>
              </w:rPr>
            </w:pPr>
            <w:r w:rsidRPr="00F34BC8">
              <w:rPr>
                <w:rStyle w:val="Hyperlink"/>
                <w:b/>
                <w:bCs/>
                <w:color w:val="auto"/>
                <w:sz w:val="22"/>
                <w:szCs w:val="22"/>
                <w:u w:val="none"/>
              </w:rPr>
              <w:t>(по електронен път)</w:t>
            </w:r>
          </w:p>
        </w:tc>
        <w:tc>
          <w:tcPr>
            <w:tcW w:w="6399" w:type="dxa"/>
            <w:tcBorders>
              <w:top w:val="single" w:sz="18" w:space="0" w:color="2E74B5"/>
              <w:left w:val="single" w:sz="18" w:space="0" w:color="2E74B5"/>
              <w:bottom w:val="single" w:sz="18" w:space="0" w:color="2E74B5"/>
              <w:right w:val="single" w:sz="18" w:space="0" w:color="2E74B5"/>
            </w:tcBorders>
            <w:shd w:val="clear" w:color="auto" w:fill="auto"/>
          </w:tcPr>
          <w:p w:rsidR="00125CC4" w:rsidRPr="00125CC4" w:rsidRDefault="00125CC4" w:rsidP="00125CC4">
            <w:pPr>
              <w:spacing w:after="120"/>
              <w:ind w:right="130"/>
              <w:jc w:val="both"/>
              <w:rPr>
                <w:sz w:val="22"/>
                <w:szCs w:val="22"/>
              </w:rPr>
            </w:pPr>
            <w:r w:rsidRPr="00125CC4">
              <w:rPr>
                <w:sz w:val="22"/>
                <w:szCs w:val="22"/>
              </w:rPr>
              <w:t xml:space="preserve">Как ще коментирате това Ваше решение? </w:t>
            </w:r>
          </w:p>
          <w:p w:rsidR="00125CC4" w:rsidRPr="00125CC4" w:rsidRDefault="000C6898" w:rsidP="00125CC4">
            <w:pPr>
              <w:spacing w:after="120"/>
              <w:ind w:right="130"/>
              <w:jc w:val="both"/>
              <w:rPr>
                <w:i/>
                <w:sz w:val="22"/>
                <w:szCs w:val="22"/>
                <w:lang w:val="en-US"/>
              </w:rPr>
            </w:pPr>
            <w:hyperlink r:id="rId10" w:history="1">
              <w:r w:rsidR="00125CC4" w:rsidRPr="00EA189D">
                <w:rPr>
                  <w:rStyle w:val="Hyperlink"/>
                  <w:i/>
                  <w:sz w:val="22"/>
                  <w:szCs w:val="22"/>
                </w:rPr>
                <w:t>https://www.strategy.bg/PublicConsultations/View.aspx?lang=bg-BG&amp;Id=7332</w:t>
              </w:r>
            </w:hyperlink>
            <w:r w:rsidR="00125CC4">
              <w:rPr>
                <w:i/>
                <w:sz w:val="22"/>
                <w:szCs w:val="22"/>
                <w:lang w:val="en-US"/>
              </w:rPr>
              <w:t xml:space="preserve"> </w:t>
            </w:r>
          </w:p>
          <w:p w:rsidR="00125CC4" w:rsidRPr="00125CC4" w:rsidRDefault="00125CC4" w:rsidP="008B4B0C">
            <w:pPr>
              <w:ind w:right="130"/>
              <w:jc w:val="both"/>
              <w:rPr>
                <w:sz w:val="22"/>
                <w:szCs w:val="22"/>
              </w:rPr>
            </w:pPr>
            <w:r w:rsidRPr="00125CC4">
              <w:rPr>
                <w:sz w:val="22"/>
                <w:szCs w:val="22"/>
              </w:rPr>
              <w:t>Цял свят се опитва да яде по-малко захар, а Вие правите така, че под 5% да не се брои, че има захар.</w:t>
            </w:r>
          </w:p>
          <w:p w:rsidR="00125CC4" w:rsidRPr="00125CC4" w:rsidRDefault="00125CC4" w:rsidP="008B4B0C">
            <w:pPr>
              <w:ind w:right="130"/>
              <w:jc w:val="both"/>
              <w:rPr>
                <w:sz w:val="22"/>
                <w:szCs w:val="22"/>
              </w:rPr>
            </w:pPr>
            <w:r w:rsidRPr="00125CC4">
              <w:rPr>
                <w:sz w:val="22"/>
                <w:szCs w:val="22"/>
              </w:rPr>
              <w:t xml:space="preserve">„...да се гарантира безопасността на храните и висока степен на защита на здравето...“ </w:t>
            </w:r>
            <w:r w:rsidR="00164BBB">
              <w:rPr>
                <w:sz w:val="22"/>
                <w:szCs w:val="22"/>
              </w:rPr>
              <w:t>–</w:t>
            </w:r>
            <w:r w:rsidRPr="00125CC4">
              <w:rPr>
                <w:sz w:val="22"/>
                <w:szCs w:val="22"/>
              </w:rPr>
              <w:t xml:space="preserve"> със захар в храните няма здраве. Ако човек иска да е здрав, първото нещо, което трябва да премахне от менюто си е захарта. </w:t>
            </w:r>
          </w:p>
          <w:p w:rsidR="00DB72DD" w:rsidRPr="00D36CE4" w:rsidRDefault="00125CC4" w:rsidP="00125CC4">
            <w:pPr>
              <w:spacing w:after="120"/>
              <w:ind w:right="130"/>
              <w:jc w:val="both"/>
              <w:rPr>
                <w:i/>
                <w:sz w:val="22"/>
                <w:szCs w:val="22"/>
              </w:rPr>
            </w:pPr>
            <w:r w:rsidRPr="00125CC4">
              <w:rPr>
                <w:sz w:val="22"/>
                <w:szCs w:val="22"/>
              </w:rPr>
              <w:t>Това е тотално грешна стъпка и никак не съм доволен, че вече няма да знам, че в храната ми има захар, пък била тя и 4%.</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DB72DD" w:rsidRPr="00E57FE0" w:rsidRDefault="00996032" w:rsidP="004C48F9">
            <w:pPr>
              <w:rPr>
                <w:sz w:val="22"/>
                <w:szCs w:val="22"/>
              </w:rPr>
            </w:pPr>
            <w:r w:rsidRPr="00E57FE0">
              <w:rPr>
                <w:sz w:val="22"/>
                <w:szCs w:val="22"/>
              </w:rPr>
              <w:t>Не се приема</w:t>
            </w:r>
          </w:p>
          <w:p w:rsidR="00996032" w:rsidRPr="00D36CE4" w:rsidRDefault="00996032" w:rsidP="004C48F9">
            <w:pPr>
              <w:rPr>
                <w:color w:val="FF0000"/>
                <w:sz w:val="22"/>
                <w:szCs w:val="22"/>
              </w:rPr>
            </w:pP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DB72DD" w:rsidRPr="00E57FE0" w:rsidRDefault="00996032" w:rsidP="00DA76EE">
            <w:pPr>
              <w:jc w:val="both"/>
              <w:rPr>
                <w:sz w:val="22"/>
                <w:szCs w:val="22"/>
              </w:rPr>
            </w:pPr>
            <w:r w:rsidRPr="00E57FE0">
              <w:rPr>
                <w:sz w:val="22"/>
                <w:szCs w:val="22"/>
              </w:rPr>
              <w:t>Бележката е неясна и не може да се определи за коя разпоредба от проекта на наредба се отнася.</w:t>
            </w:r>
          </w:p>
          <w:p w:rsidR="00996032" w:rsidRPr="00E57FE0" w:rsidRDefault="00996032" w:rsidP="00A035A3">
            <w:pPr>
              <w:jc w:val="both"/>
              <w:rPr>
                <w:sz w:val="22"/>
                <w:szCs w:val="22"/>
              </w:rPr>
            </w:pPr>
            <w:r w:rsidRPr="00E57FE0">
              <w:rPr>
                <w:sz w:val="22"/>
                <w:szCs w:val="22"/>
              </w:rPr>
              <w:t xml:space="preserve">Проектът на наредба е в пълно съответствие с изискванията на </w:t>
            </w:r>
            <w:r w:rsidR="00A035A3" w:rsidRPr="00E57FE0">
              <w:rPr>
                <w:sz w:val="22"/>
                <w:szCs w:val="22"/>
              </w:rPr>
              <w:t>Директива 2001/111/ЕО на Съвета от 20 декември 2001 година относно някои захари, предназначени за консумация от човека, която е въведена за първи път в националното законодателство през 2002 г. с действащата и към момента Наредба за изи</w:t>
            </w:r>
            <w:r w:rsidR="00A035A3" w:rsidRPr="00E57FE0">
              <w:rPr>
                <w:sz w:val="22"/>
                <w:szCs w:val="22"/>
              </w:rPr>
              <w:t>с</w:t>
            </w:r>
            <w:r w:rsidR="00A035A3" w:rsidRPr="00E57FE0">
              <w:rPr>
                <w:sz w:val="22"/>
                <w:szCs w:val="22"/>
              </w:rPr>
              <w:t>кванията към захарите, предназначени за консумация от човека, приета с Постановл</w:t>
            </w:r>
            <w:r w:rsidR="00A035A3" w:rsidRPr="00E57FE0">
              <w:rPr>
                <w:sz w:val="22"/>
                <w:szCs w:val="22"/>
              </w:rPr>
              <w:t>е</w:t>
            </w:r>
            <w:r w:rsidR="00A035A3" w:rsidRPr="00E57FE0">
              <w:rPr>
                <w:sz w:val="22"/>
                <w:szCs w:val="22"/>
              </w:rPr>
              <w:t>ние № 209 на Министерския съвет от 2002 г. (обн., ДВ, бр. 89 от 2002 г., изм. бр. 114 от 2003 г. и бр. 1 от 2004 г.).</w:t>
            </w:r>
          </w:p>
          <w:p w:rsidR="00A035A3" w:rsidRPr="00E57FE0" w:rsidRDefault="00A035A3" w:rsidP="00135D04">
            <w:pPr>
              <w:jc w:val="both"/>
              <w:rPr>
                <w:sz w:val="22"/>
                <w:szCs w:val="22"/>
              </w:rPr>
            </w:pPr>
            <w:r w:rsidRPr="00E57FE0">
              <w:rPr>
                <w:sz w:val="22"/>
                <w:szCs w:val="22"/>
              </w:rPr>
              <w:t>Целта на проекта на наредба, както става ясно от чл. 1, ал. 1, е да се определят изис</w:t>
            </w:r>
            <w:r w:rsidRPr="00E57FE0">
              <w:rPr>
                <w:sz w:val="22"/>
                <w:szCs w:val="22"/>
              </w:rPr>
              <w:t>к</w:t>
            </w:r>
            <w:r w:rsidRPr="00E57FE0">
              <w:rPr>
                <w:sz w:val="22"/>
                <w:szCs w:val="22"/>
              </w:rPr>
              <w:t>ванията към наименованията, характерист</w:t>
            </w:r>
            <w:r w:rsidRPr="00E57FE0">
              <w:rPr>
                <w:sz w:val="22"/>
                <w:szCs w:val="22"/>
              </w:rPr>
              <w:t>и</w:t>
            </w:r>
            <w:r w:rsidRPr="00E57FE0">
              <w:rPr>
                <w:sz w:val="22"/>
                <w:szCs w:val="22"/>
              </w:rPr>
              <w:t>ките, състава, етикетирането и методите за анализ на някои захари, предназначени за консумация от човека</w:t>
            </w:r>
            <w:r w:rsidR="00135D04" w:rsidRPr="00E57FE0">
              <w:rPr>
                <w:sz w:val="22"/>
                <w:szCs w:val="22"/>
              </w:rPr>
              <w:t xml:space="preserve">, т.е. изискванията към </w:t>
            </w:r>
            <w:r w:rsidR="00135D04" w:rsidRPr="00E57FE0">
              <w:rPr>
                <w:sz w:val="22"/>
                <w:szCs w:val="22"/>
              </w:rPr>
              <w:lastRenderedPageBreak/>
              <w:t>самите захари, а не към съдържанието на захари в храните.</w:t>
            </w:r>
          </w:p>
          <w:p w:rsidR="00135D04" w:rsidRPr="0081380A" w:rsidRDefault="0081380A" w:rsidP="009E7615">
            <w:pPr>
              <w:jc w:val="both"/>
              <w:rPr>
                <w:color w:val="FF0000"/>
                <w:sz w:val="22"/>
                <w:szCs w:val="22"/>
                <w:lang w:val="en-US"/>
              </w:rPr>
            </w:pPr>
            <w:r w:rsidRPr="00E57FE0">
              <w:rPr>
                <w:sz w:val="22"/>
                <w:szCs w:val="22"/>
              </w:rPr>
              <w:t>Съгласно член 9, параграф 1, буква л)</w:t>
            </w:r>
            <w:r w:rsidR="009E7615" w:rsidRPr="00E57FE0">
              <w:rPr>
                <w:sz w:val="22"/>
                <w:szCs w:val="22"/>
              </w:rPr>
              <w:t xml:space="preserve"> и член 30, параграф 1</w:t>
            </w:r>
            <w:r w:rsidRPr="00E57FE0">
              <w:rPr>
                <w:sz w:val="22"/>
                <w:szCs w:val="22"/>
              </w:rPr>
              <w:t xml:space="preserve"> </w:t>
            </w:r>
            <w:r w:rsidR="004B460A" w:rsidRPr="00E57FE0">
              <w:rPr>
                <w:sz w:val="22"/>
                <w:szCs w:val="22"/>
              </w:rPr>
              <w:t xml:space="preserve">от Регламент </w:t>
            </w:r>
            <w:r w:rsidR="004E3FE3" w:rsidRPr="00E57FE0">
              <w:rPr>
                <w:sz w:val="22"/>
                <w:szCs w:val="22"/>
              </w:rPr>
              <w:t xml:space="preserve">(ЕС) </w:t>
            </w:r>
            <w:r w:rsidR="00E66B47">
              <w:rPr>
                <w:sz w:val="22"/>
                <w:szCs w:val="22"/>
              </w:rPr>
              <w:t xml:space="preserve">                           </w:t>
            </w:r>
            <w:r w:rsidR="004E3FE3" w:rsidRPr="00E57FE0">
              <w:rPr>
                <w:sz w:val="22"/>
                <w:szCs w:val="22"/>
              </w:rPr>
              <w:t>№ 1169/2011 на Европейския парламент и на Съвета от 25 октомври 2011 година за пр</w:t>
            </w:r>
            <w:r w:rsidR="004E3FE3" w:rsidRPr="00E57FE0">
              <w:rPr>
                <w:sz w:val="22"/>
                <w:szCs w:val="22"/>
              </w:rPr>
              <w:t>е</w:t>
            </w:r>
            <w:r w:rsidR="004E3FE3" w:rsidRPr="00E57FE0">
              <w:rPr>
                <w:sz w:val="22"/>
                <w:szCs w:val="22"/>
              </w:rPr>
              <w:t>доставянето на информация за храните на потребителите</w:t>
            </w:r>
            <w:r w:rsidR="004B460A" w:rsidRPr="00E57FE0">
              <w:rPr>
                <w:sz w:val="22"/>
                <w:szCs w:val="22"/>
              </w:rPr>
              <w:t>,</w:t>
            </w:r>
            <w:r w:rsidR="004E3FE3" w:rsidRPr="00E57FE0">
              <w:rPr>
                <w:sz w:val="22"/>
                <w:szCs w:val="22"/>
              </w:rPr>
              <w:t xml:space="preserve"> </w:t>
            </w:r>
            <w:r w:rsidR="004B460A" w:rsidRPr="00E57FE0">
              <w:rPr>
                <w:sz w:val="22"/>
                <w:szCs w:val="22"/>
              </w:rPr>
              <w:t>о</w:t>
            </w:r>
            <w:r w:rsidRPr="00E57FE0">
              <w:rPr>
                <w:sz w:val="22"/>
                <w:szCs w:val="22"/>
              </w:rPr>
              <w:t>бявяването на хранителната стойност</w:t>
            </w:r>
            <w:r w:rsidR="009E7615" w:rsidRPr="00E57FE0">
              <w:rPr>
                <w:sz w:val="22"/>
                <w:szCs w:val="22"/>
              </w:rPr>
              <w:t xml:space="preserve"> (енергийната стойност и количес</w:t>
            </w:r>
            <w:r w:rsidR="009E7615" w:rsidRPr="00E57FE0">
              <w:rPr>
                <w:sz w:val="22"/>
                <w:szCs w:val="22"/>
              </w:rPr>
              <w:t>т</w:t>
            </w:r>
            <w:r w:rsidR="009E7615" w:rsidRPr="00E57FE0">
              <w:rPr>
                <w:sz w:val="22"/>
                <w:szCs w:val="22"/>
              </w:rPr>
              <w:t>вата мазнини, наситени мастни киселини, въглехидрати, захари, белтък и сол)</w:t>
            </w:r>
            <w:r w:rsidRPr="00E57FE0">
              <w:rPr>
                <w:sz w:val="22"/>
                <w:szCs w:val="22"/>
              </w:rPr>
              <w:t>, е задъ</w:t>
            </w:r>
            <w:r w:rsidRPr="00E57FE0">
              <w:rPr>
                <w:sz w:val="22"/>
                <w:szCs w:val="22"/>
              </w:rPr>
              <w:t>л</w:t>
            </w:r>
            <w:r w:rsidRPr="00E57FE0">
              <w:rPr>
                <w:sz w:val="22"/>
                <w:szCs w:val="22"/>
              </w:rPr>
              <w:t>жително</w:t>
            </w:r>
            <w:r w:rsidR="009E7615" w:rsidRPr="00E57FE0">
              <w:rPr>
                <w:sz w:val="22"/>
                <w:szCs w:val="22"/>
              </w:rPr>
              <w:t>, независимо от конкретното им к</w:t>
            </w:r>
            <w:r w:rsidR="009E7615" w:rsidRPr="00E57FE0">
              <w:rPr>
                <w:sz w:val="22"/>
                <w:szCs w:val="22"/>
              </w:rPr>
              <w:t>о</w:t>
            </w:r>
            <w:r w:rsidR="009E7615" w:rsidRPr="00E57FE0">
              <w:rPr>
                <w:sz w:val="22"/>
                <w:szCs w:val="22"/>
              </w:rPr>
              <w:t xml:space="preserve">личествено съдържание в дадена </w:t>
            </w:r>
            <w:r w:rsidRPr="00E57FE0">
              <w:rPr>
                <w:sz w:val="22"/>
                <w:szCs w:val="22"/>
              </w:rPr>
              <w:t>хран</w:t>
            </w:r>
            <w:r w:rsidR="009E7615" w:rsidRPr="00E57FE0">
              <w:rPr>
                <w:sz w:val="22"/>
                <w:szCs w:val="22"/>
              </w:rPr>
              <w:t>а.</w:t>
            </w:r>
            <w:r w:rsidRPr="00E57FE0">
              <w:rPr>
                <w:sz w:val="22"/>
                <w:szCs w:val="22"/>
              </w:rPr>
              <w:t xml:space="preserve"> </w:t>
            </w:r>
          </w:p>
        </w:tc>
      </w:tr>
      <w:tr w:rsidR="00164BBB" w:rsidRPr="00D36CE4" w:rsidTr="00164BBB">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164BBB" w:rsidRPr="009773E5" w:rsidRDefault="00164BBB" w:rsidP="009773E5">
            <w:pPr>
              <w:pStyle w:val="ListParagraph"/>
              <w:numPr>
                <w:ilvl w:val="0"/>
                <w:numId w:val="26"/>
              </w:numPr>
              <w:tabs>
                <w:tab w:val="left" w:pos="192"/>
              </w:tabs>
              <w:jc w:val="center"/>
              <w:rPr>
                <w:b/>
                <w:color w:val="FF0000"/>
                <w:sz w:val="22"/>
                <w:szCs w:val="22"/>
              </w:rPr>
            </w:pPr>
          </w:p>
        </w:tc>
        <w:tc>
          <w:tcPr>
            <w:tcW w:w="2501" w:type="dxa"/>
            <w:vMerge w:val="restart"/>
            <w:tcBorders>
              <w:top w:val="single" w:sz="18" w:space="0" w:color="2E74B5"/>
              <w:left w:val="single" w:sz="18" w:space="0" w:color="2E74B5"/>
              <w:right w:val="single" w:sz="18" w:space="0" w:color="2E74B5"/>
            </w:tcBorders>
            <w:shd w:val="clear" w:color="auto" w:fill="auto"/>
          </w:tcPr>
          <w:p w:rsidR="00164BBB" w:rsidRDefault="00164BBB" w:rsidP="00B629DB">
            <w:pPr>
              <w:rPr>
                <w:rStyle w:val="Hyperlink"/>
                <w:b/>
                <w:bCs/>
                <w:color w:val="auto"/>
                <w:sz w:val="22"/>
                <w:szCs w:val="22"/>
                <w:u w:val="none"/>
              </w:rPr>
            </w:pPr>
            <w:r>
              <w:rPr>
                <w:rStyle w:val="Hyperlink"/>
                <w:b/>
                <w:bCs/>
                <w:color w:val="auto"/>
                <w:sz w:val="22"/>
                <w:szCs w:val="22"/>
                <w:u w:val="none"/>
              </w:rPr>
              <w:t xml:space="preserve">„Захарни заводи“ </w:t>
            </w:r>
            <w:r w:rsidRPr="001919EB">
              <w:rPr>
                <w:rStyle w:val="Hyperlink"/>
                <w:b/>
                <w:bCs/>
                <w:color w:val="auto"/>
                <w:sz w:val="22"/>
                <w:szCs w:val="22"/>
                <w:u w:val="none"/>
              </w:rPr>
              <w:t>АД</w:t>
            </w:r>
            <w:r>
              <w:rPr>
                <w:rStyle w:val="Hyperlink"/>
                <w:b/>
                <w:bCs/>
                <w:color w:val="auto"/>
                <w:sz w:val="22"/>
                <w:szCs w:val="22"/>
                <w:u w:val="none"/>
              </w:rPr>
              <w:br/>
            </w:r>
            <w:r w:rsidRPr="001919EB">
              <w:rPr>
                <w:rStyle w:val="Hyperlink"/>
                <w:b/>
                <w:bCs/>
                <w:color w:val="auto"/>
                <w:sz w:val="22"/>
                <w:szCs w:val="22"/>
                <w:u w:val="none"/>
              </w:rPr>
              <w:t xml:space="preserve"> гр.</w:t>
            </w:r>
            <w:r>
              <w:rPr>
                <w:rStyle w:val="Hyperlink"/>
                <w:b/>
                <w:bCs/>
                <w:color w:val="auto"/>
                <w:sz w:val="22"/>
                <w:szCs w:val="22"/>
                <w:u w:val="none"/>
              </w:rPr>
              <w:t xml:space="preserve"> </w:t>
            </w:r>
            <w:r w:rsidRPr="001919EB">
              <w:rPr>
                <w:rStyle w:val="Hyperlink"/>
                <w:b/>
                <w:bCs/>
                <w:color w:val="auto"/>
                <w:sz w:val="22"/>
                <w:szCs w:val="22"/>
                <w:u w:val="none"/>
              </w:rPr>
              <w:t>Горна Оряховица</w:t>
            </w:r>
          </w:p>
          <w:p w:rsidR="00164BBB" w:rsidRPr="001919EB" w:rsidRDefault="00164BBB" w:rsidP="001919EB">
            <w:pPr>
              <w:rPr>
                <w:rStyle w:val="Hyperlink"/>
                <w:b/>
                <w:bCs/>
                <w:color w:val="auto"/>
                <w:sz w:val="22"/>
                <w:szCs w:val="22"/>
                <w:u w:val="none"/>
              </w:rPr>
            </w:pPr>
            <w:r w:rsidRPr="001919EB">
              <w:rPr>
                <w:rStyle w:val="Hyperlink"/>
                <w:b/>
                <w:bCs/>
                <w:color w:val="auto"/>
                <w:sz w:val="22"/>
                <w:szCs w:val="22"/>
                <w:u w:val="none"/>
              </w:rPr>
              <w:t xml:space="preserve">Изпълнителен </w:t>
            </w:r>
            <w:r>
              <w:rPr>
                <w:rStyle w:val="Hyperlink"/>
                <w:b/>
                <w:bCs/>
                <w:color w:val="auto"/>
                <w:sz w:val="22"/>
                <w:szCs w:val="22"/>
                <w:u w:val="none"/>
              </w:rPr>
              <w:br/>
            </w:r>
            <w:r w:rsidRPr="001919EB">
              <w:rPr>
                <w:rStyle w:val="Hyperlink"/>
                <w:b/>
                <w:bCs/>
                <w:color w:val="auto"/>
                <w:sz w:val="22"/>
                <w:szCs w:val="22"/>
                <w:u w:val="none"/>
              </w:rPr>
              <w:t>директор</w:t>
            </w:r>
          </w:p>
          <w:p w:rsidR="00164BBB" w:rsidRDefault="00164BBB" w:rsidP="001919EB">
            <w:pPr>
              <w:rPr>
                <w:rStyle w:val="Hyperlink"/>
                <w:b/>
                <w:bCs/>
                <w:color w:val="auto"/>
                <w:sz w:val="22"/>
                <w:szCs w:val="22"/>
                <w:u w:val="none"/>
              </w:rPr>
            </w:pPr>
            <w:r w:rsidRPr="001919EB">
              <w:rPr>
                <w:rStyle w:val="Hyperlink"/>
                <w:b/>
                <w:bCs/>
                <w:color w:val="auto"/>
                <w:sz w:val="22"/>
                <w:szCs w:val="22"/>
                <w:u w:val="none"/>
              </w:rPr>
              <w:t>Валентина Ралева</w:t>
            </w:r>
          </w:p>
          <w:p w:rsidR="00164BBB" w:rsidRDefault="000C6898" w:rsidP="00B629DB">
            <w:pPr>
              <w:rPr>
                <w:rStyle w:val="Hyperlink"/>
                <w:b/>
                <w:bCs/>
                <w:color w:val="auto"/>
                <w:sz w:val="22"/>
                <w:szCs w:val="22"/>
                <w:u w:val="none"/>
              </w:rPr>
            </w:pPr>
            <w:hyperlink r:id="rId11" w:history="1">
              <w:r w:rsidR="00164BBB" w:rsidRPr="00F5662D">
                <w:rPr>
                  <w:rStyle w:val="Hyperlink"/>
                  <w:b/>
                  <w:bCs/>
                  <w:sz w:val="22"/>
                  <w:szCs w:val="22"/>
                </w:rPr>
                <w:t>office@zaharnizavodi.com</w:t>
              </w:r>
            </w:hyperlink>
            <w:r w:rsidR="00164BBB">
              <w:rPr>
                <w:rStyle w:val="Hyperlink"/>
                <w:b/>
                <w:bCs/>
                <w:color w:val="auto"/>
                <w:sz w:val="22"/>
                <w:szCs w:val="22"/>
                <w:u w:val="none"/>
              </w:rPr>
              <w:t xml:space="preserve"> </w:t>
            </w:r>
          </w:p>
          <w:p w:rsidR="00164BBB" w:rsidRPr="00B629DB" w:rsidRDefault="00164BBB" w:rsidP="00B629DB">
            <w:pPr>
              <w:rPr>
                <w:rStyle w:val="Hyperlink"/>
                <w:b/>
                <w:bCs/>
                <w:color w:val="auto"/>
                <w:sz w:val="22"/>
                <w:szCs w:val="22"/>
                <w:u w:val="none"/>
              </w:rPr>
            </w:pPr>
            <w:r>
              <w:rPr>
                <w:rStyle w:val="Hyperlink"/>
                <w:b/>
                <w:bCs/>
                <w:color w:val="auto"/>
                <w:sz w:val="22"/>
                <w:szCs w:val="22"/>
                <w:u w:val="none"/>
              </w:rPr>
              <w:t>11.01.2023</w:t>
            </w:r>
            <w:r w:rsidRPr="00B629DB">
              <w:rPr>
                <w:rStyle w:val="Hyperlink"/>
                <w:b/>
                <w:bCs/>
                <w:color w:val="auto"/>
                <w:sz w:val="22"/>
                <w:szCs w:val="22"/>
                <w:u w:val="none"/>
              </w:rPr>
              <w:t xml:space="preserve"> г.</w:t>
            </w:r>
          </w:p>
          <w:p w:rsidR="00164BBB" w:rsidRPr="00D36CE4" w:rsidRDefault="00164BBB" w:rsidP="00B629DB">
            <w:pPr>
              <w:rPr>
                <w:rStyle w:val="Hyperlink"/>
                <w:b/>
                <w:bCs/>
                <w:color w:val="auto"/>
                <w:sz w:val="22"/>
                <w:szCs w:val="22"/>
                <w:u w:val="none"/>
              </w:rPr>
            </w:pPr>
            <w:r w:rsidRPr="00B629DB">
              <w:rPr>
                <w:rStyle w:val="Hyperlink"/>
                <w:b/>
                <w:bCs/>
                <w:color w:val="auto"/>
                <w:sz w:val="22"/>
                <w:szCs w:val="22"/>
                <w:u w:val="none"/>
              </w:rPr>
              <w:t>(по електронен път)</w:t>
            </w:r>
          </w:p>
        </w:tc>
        <w:tc>
          <w:tcPr>
            <w:tcW w:w="6399" w:type="dxa"/>
            <w:tcBorders>
              <w:top w:val="single" w:sz="18" w:space="0" w:color="2E74B5"/>
              <w:left w:val="single" w:sz="18" w:space="0" w:color="2E74B5"/>
              <w:bottom w:val="nil"/>
              <w:right w:val="single" w:sz="18" w:space="0" w:color="2E74B5"/>
            </w:tcBorders>
            <w:shd w:val="clear" w:color="auto" w:fill="auto"/>
          </w:tcPr>
          <w:p w:rsidR="00164BBB" w:rsidRPr="00B37FFC" w:rsidRDefault="00164BBB" w:rsidP="003741AA">
            <w:pPr>
              <w:spacing w:after="120"/>
              <w:ind w:right="130"/>
              <w:jc w:val="both"/>
              <w:rPr>
                <w:sz w:val="22"/>
                <w:szCs w:val="22"/>
              </w:rPr>
            </w:pPr>
            <w:r w:rsidRPr="00B37FFC">
              <w:rPr>
                <w:sz w:val="22"/>
                <w:szCs w:val="22"/>
              </w:rPr>
              <w:t>По повод публикувания на 12.12.2022 г. Проект на Наредба за изискванията към захарите, предназначени за консумация от човека и в срокът предоставен за обществени консултации по чл.</w:t>
            </w:r>
            <w:r>
              <w:rPr>
                <w:sz w:val="22"/>
                <w:szCs w:val="22"/>
              </w:rPr>
              <w:t xml:space="preserve"> </w:t>
            </w:r>
            <w:r w:rsidRPr="00B37FFC">
              <w:rPr>
                <w:sz w:val="22"/>
                <w:szCs w:val="22"/>
              </w:rPr>
              <w:t>26 ал.</w:t>
            </w:r>
            <w:r>
              <w:rPr>
                <w:sz w:val="22"/>
                <w:szCs w:val="22"/>
              </w:rPr>
              <w:t xml:space="preserve"> </w:t>
            </w:r>
            <w:r w:rsidRPr="00B37FFC">
              <w:rPr>
                <w:sz w:val="22"/>
                <w:szCs w:val="22"/>
              </w:rPr>
              <w:t>2 от Закона за нормативните актове, изразяваме сле</w:t>
            </w:r>
            <w:r w:rsidRPr="00B37FFC">
              <w:rPr>
                <w:sz w:val="22"/>
                <w:szCs w:val="22"/>
              </w:rPr>
              <w:t>д</w:t>
            </w:r>
            <w:r w:rsidRPr="00B37FFC">
              <w:rPr>
                <w:sz w:val="22"/>
                <w:szCs w:val="22"/>
              </w:rPr>
              <w:t>ното становище:</w:t>
            </w:r>
          </w:p>
        </w:tc>
        <w:tc>
          <w:tcPr>
            <w:tcW w:w="1608" w:type="dxa"/>
            <w:tcBorders>
              <w:top w:val="single" w:sz="18" w:space="0" w:color="2E74B5"/>
              <w:left w:val="single" w:sz="18" w:space="0" w:color="2E74B5"/>
              <w:bottom w:val="nil"/>
              <w:right w:val="single" w:sz="18" w:space="0" w:color="2E74B5"/>
            </w:tcBorders>
            <w:shd w:val="clear" w:color="auto" w:fill="auto"/>
          </w:tcPr>
          <w:p w:rsidR="00164BBB" w:rsidRPr="000B191D" w:rsidRDefault="00164BBB" w:rsidP="002A0A9B">
            <w:pPr>
              <w:rPr>
                <w:sz w:val="22"/>
                <w:szCs w:val="22"/>
              </w:rPr>
            </w:pPr>
          </w:p>
        </w:tc>
        <w:tc>
          <w:tcPr>
            <w:tcW w:w="4522" w:type="dxa"/>
            <w:tcBorders>
              <w:top w:val="single" w:sz="18" w:space="0" w:color="2E74B5"/>
              <w:left w:val="single" w:sz="18" w:space="0" w:color="2E74B5"/>
              <w:bottom w:val="nil"/>
              <w:right w:val="single" w:sz="36" w:space="0" w:color="2E74B5"/>
            </w:tcBorders>
            <w:shd w:val="clear" w:color="auto" w:fill="auto"/>
          </w:tcPr>
          <w:p w:rsidR="00164BBB" w:rsidRPr="00D36CE4" w:rsidRDefault="00164BBB" w:rsidP="00DA76EE">
            <w:pPr>
              <w:jc w:val="both"/>
              <w:rPr>
                <w:color w:val="FF0000"/>
                <w:sz w:val="22"/>
                <w:szCs w:val="22"/>
              </w:rPr>
            </w:pPr>
          </w:p>
        </w:tc>
      </w:tr>
      <w:tr w:rsidR="00164BBB" w:rsidRPr="00D36CE4" w:rsidTr="00164BBB">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rsidR="00164BBB" w:rsidRPr="00D36CE4" w:rsidRDefault="00164BBB" w:rsidP="008A6FF9">
            <w:pPr>
              <w:tabs>
                <w:tab w:val="left" w:pos="192"/>
              </w:tabs>
              <w:rPr>
                <w:b/>
                <w:color w:val="FF0000"/>
                <w:sz w:val="22"/>
                <w:szCs w:val="22"/>
              </w:rPr>
            </w:pPr>
          </w:p>
        </w:tc>
        <w:tc>
          <w:tcPr>
            <w:tcW w:w="2501" w:type="dxa"/>
            <w:vMerge/>
            <w:tcBorders>
              <w:left w:val="single" w:sz="18" w:space="0" w:color="2E74B5"/>
              <w:bottom w:val="single" w:sz="18" w:space="0" w:color="2E74B5"/>
              <w:right w:val="single" w:sz="18" w:space="0" w:color="2E74B5"/>
            </w:tcBorders>
            <w:shd w:val="clear" w:color="auto" w:fill="auto"/>
          </w:tcPr>
          <w:p w:rsidR="00164BBB" w:rsidRPr="00D36CE4" w:rsidRDefault="00164BBB" w:rsidP="008A6FF9">
            <w:pPr>
              <w:rPr>
                <w:rStyle w:val="Hyperlink"/>
                <w:b/>
                <w:bCs/>
                <w:color w:val="FF0000"/>
                <w:sz w:val="22"/>
                <w:szCs w:val="22"/>
                <w:u w:val="none"/>
              </w:rPr>
            </w:pPr>
          </w:p>
        </w:tc>
        <w:tc>
          <w:tcPr>
            <w:tcW w:w="6399" w:type="dxa"/>
            <w:tcBorders>
              <w:top w:val="nil"/>
              <w:left w:val="single" w:sz="18" w:space="0" w:color="2E74B5"/>
              <w:bottom w:val="single" w:sz="18" w:space="0" w:color="2E74B5"/>
              <w:right w:val="single" w:sz="18" w:space="0" w:color="2E74B5"/>
            </w:tcBorders>
            <w:shd w:val="clear" w:color="auto" w:fill="auto"/>
          </w:tcPr>
          <w:p w:rsidR="00164BBB" w:rsidRDefault="00164BBB" w:rsidP="00B629DB">
            <w:pPr>
              <w:widowControl w:val="0"/>
              <w:tabs>
                <w:tab w:val="left" w:pos="1565"/>
              </w:tabs>
              <w:autoSpaceDE w:val="0"/>
              <w:autoSpaceDN w:val="0"/>
              <w:jc w:val="both"/>
              <w:rPr>
                <w:sz w:val="22"/>
                <w:szCs w:val="22"/>
              </w:rPr>
            </w:pPr>
            <w:r>
              <w:rPr>
                <w:sz w:val="22"/>
                <w:szCs w:val="22"/>
              </w:rPr>
              <w:t>„Захарни заводи“</w:t>
            </w:r>
            <w:r w:rsidRPr="00B37FFC">
              <w:rPr>
                <w:sz w:val="22"/>
                <w:szCs w:val="22"/>
              </w:rPr>
              <w:t xml:space="preserve"> АД е едноличен собствен</w:t>
            </w:r>
            <w:r>
              <w:rPr>
                <w:sz w:val="22"/>
                <w:szCs w:val="22"/>
              </w:rPr>
              <w:t>ик на „ЗАХАР“</w:t>
            </w:r>
            <w:r w:rsidRPr="00B37FFC">
              <w:rPr>
                <w:sz w:val="22"/>
                <w:szCs w:val="22"/>
              </w:rPr>
              <w:t xml:space="preserve"> ЕАД, ЕИК 123724063, което дружество след 2018</w:t>
            </w:r>
            <w:r>
              <w:rPr>
                <w:sz w:val="22"/>
                <w:szCs w:val="22"/>
              </w:rPr>
              <w:t xml:space="preserve"> </w:t>
            </w:r>
            <w:r w:rsidRPr="00B37FFC">
              <w:rPr>
                <w:sz w:val="22"/>
                <w:szCs w:val="22"/>
              </w:rPr>
              <w:t>г. е единствената действаща рафинерия за захар в страната. С оглед на основната дейност на дружеството, приветстваме привеждането на наци</w:t>
            </w:r>
            <w:r w:rsidRPr="00B37FFC">
              <w:rPr>
                <w:sz w:val="22"/>
                <w:szCs w:val="22"/>
              </w:rPr>
              <w:t>о</w:t>
            </w:r>
            <w:r w:rsidRPr="00B37FFC">
              <w:rPr>
                <w:sz w:val="22"/>
                <w:szCs w:val="22"/>
              </w:rPr>
              <w:t>налната нормативна уредба в областта с изискванията на евр</w:t>
            </w:r>
            <w:r w:rsidRPr="00B37FFC">
              <w:rPr>
                <w:sz w:val="22"/>
                <w:szCs w:val="22"/>
              </w:rPr>
              <w:t>о</w:t>
            </w:r>
            <w:r w:rsidRPr="00B37FFC">
              <w:rPr>
                <w:sz w:val="22"/>
                <w:szCs w:val="22"/>
              </w:rPr>
              <w:t>пейското законодателство. С публикуваната за обществено о</w:t>
            </w:r>
            <w:r w:rsidRPr="00B37FFC">
              <w:rPr>
                <w:sz w:val="22"/>
                <w:szCs w:val="22"/>
              </w:rPr>
              <w:t>б</w:t>
            </w:r>
            <w:r w:rsidRPr="00B37FFC">
              <w:rPr>
                <w:sz w:val="22"/>
                <w:szCs w:val="22"/>
              </w:rPr>
              <w:t>съждане Наредбата за изискванията към захарите, предназначени за консумация от човека се цели транспониране на разпоредбите на Директива 2001/111/ЕО на Съвета от 20 декември 2001 година относно някои захари, предназначени за консумация от човека.</w:t>
            </w:r>
          </w:p>
          <w:p w:rsidR="00164BBB" w:rsidRPr="00B37FFC" w:rsidRDefault="00164BBB" w:rsidP="00B629DB">
            <w:pPr>
              <w:widowControl w:val="0"/>
              <w:tabs>
                <w:tab w:val="left" w:pos="1565"/>
              </w:tabs>
              <w:autoSpaceDE w:val="0"/>
              <w:autoSpaceDN w:val="0"/>
              <w:jc w:val="both"/>
              <w:rPr>
                <w:sz w:val="22"/>
                <w:szCs w:val="22"/>
              </w:rPr>
            </w:pPr>
            <w:r w:rsidRPr="00B37FFC">
              <w:rPr>
                <w:sz w:val="22"/>
                <w:szCs w:val="22"/>
              </w:rPr>
              <w:t>Изразяваме притеснение, че заг</w:t>
            </w:r>
            <w:r>
              <w:rPr>
                <w:sz w:val="22"/>
                <w:szCs w:val="22"/>
              </w:rPr>
              <w:t>лавието езиково не съответства н</w:t>
            </w:r>
            <w:r w:rsidRPr="00B37FFC">
              <w:rPr>
                <w:sz w:val="22"/>
                <w:szCs w:val="22"/>
              </w:rPr>
              <w:t>а заглавието, а и на целта на Директивата. При чисто лексика</w:t>
            </w:r>
            <w:r w:rsidRPr="00B37FFC">
              <w:rPr>
                <w:sz w:val="22"/>
                <w:szCs w:val="22"/>
              </w:rPr>
              <w:t>л</w:t>
            </w:r>
            <w:r w:rsidRPr="00B37FFC">
              <w:rPr>
                <w:sz w:val="22"/>
                <w:szCs w:val="22"/>
              </w:rPr>
              <w:t>но тълкуване на заглавието на наредбата се създава представа за изчерпателно изброяване на видовете захар и предлагаме изм</w:t>
            </w:r>
            <w:r w:rsidRPr="00B37FFC">
              <w:rPr>
                <w:sz w:val="22"/>
                <w:szCs w:val="22"/>
              </w:rPr>
              <w:t>е</w:t>
            </w:r>
            <w:r w:rsidRPr="00B37FFC">
              <w:rPr>
                <w:sz w:val="22"/>
                <w:szCs w:val="22"/>
              </w:rPr>
              <w:t xml:space="preserve">нение на заглавието в тази насока, за да се постигне съответствие </w:t>
            </w:r>
            <w:r w:rsidRPr="00B37FFC">
              <w:rPr>
                <w:sz w:val="22"/>
                <w:szCs w:val="22"/>
              </w:rPr>
              <w:lastRenderedPageBreak/>
              <w:t>между двата нормативни акта. За постигне пълно припокриване на приложното поле на Наредбата с това зададено в Директива 2001/1</w:t>
            </w:r>
            <w:r>
              <w:rPr>
                <w:sz w:val="22"/>
                <w:szCs w:val="22"/>
              </w:rPr>
              <w:t>11</w:t>
            </w:r>
            <w:r w:rsidRPr="00B37FFC">
              <w:rPr>
                <w:sz w:val="22"/>
                <w:szCs w:val="22"/>
              </w:rPr>
              <w:t>/ЕО, следва да се добав</w:t>
            </w:r>
            <w:r>
              <w:rPr>
                <w:sz w:val="22"/>
                <w:szCs w:val="22"/>
              </w:rPr>
              <w:t>и думата „някои“</w:t>
            </w:r>
            <w:r w:rsidRPr="00B37FFC">
              <w:rPr>
                <w:sz w:val="22"/>
                <w:szCs w:val="22"/>
              </w:rPr>
              <w:t xml:space="preserve"> преди захари в заглавието на Наредбата, както и в самия текст на чл.</w:t>
            </w:r>
            <w:r>
              <w:rPr>
                <w:sz w:val="22"/>
                <w:szCs w:val="22"/>
              </w:rPr>
              <w:t xml:space="preserve"> </w:t>
            </w:r>
            <w:r w:rsidRPr="00B37FFC">
              <w:rPr>
                <w:sz w:val="22"/>
                <w:szCs w:val="22"/>
              </w:rPr>
              <w:t>1 ал. 1 от същата.</w:t>
            </w:r>
          </w:p>
          <w:p w:rsidR="00164BBB" w:rsidRPr="00B37FFC" w:rsidRDefault="00164BBB" w:rsidP="00B629DB">
            <w:pPr>
              <w:widowControl w:val="0"/>
              <w:tabs>
                <w:tab w:val="left" w:pos="1565"/>
              </w:tabs>
              <w:autoSpaceDE w:val="0"/>
              <w:autoSpaceDN w:val="0"/>
              <w:jc w:val="both"/>
              <w:rPr>
                <w:sz w:val="22"/>
                <w:szCs w:val="22"/>
              </w:rPr>
            </w:pPr>
            <w:r w:rsidRPr="00B37FFC">
              <w:rPr>
                <w:sz w:val="22"/>
                <w:szCs w:val="22"/>
              </w:rPr>
              <w:t>По Директива 2001/111/ЕО изброяването не е изчерпателно и не се забранява търговията с продукти извън обхванатите в пр</w:t>
            </w:r>
            <w:r w:rsidRPr="00B37FFC">
              <w:rPr>
                <w:sz w:val="22"/>
                <w:szCs w:val="22"/>
              </w:rPr>
              <w:t>и</w:t>
            </w:r>
            <w:r w:rsidRPr="00B37FFC">
              <w:rPr>
                <w:sz w:val="22"/>
                <w:szCs w:val="22"/>
              </w:rPr>
              <w:t>ложното й поле, а се цели да се зададе единна правна рамка на показателите, на които следва да отговарят включените видове захар, за да се избегне заблуждение и нелоялна конкуренция.</w:t>
            </w:r>
          </w:p>
          <w:p w:rsidR="00164BBB" w:rsidRPr="00B37FFC" w:rsidRDefault="00164BBB" w:rsidP="00B629DB">
            <w:pPr>
              <w:widowControl w:val="0"/>
              <w:tabs>
                <w:tab w:val="left" w:pos="1565"/>
              </w:tabs>
              <w:autoSpaceDE w:val="0"/>
              <w:autoSpaceDN w:val="0"/>
              <w:jc w:val="both"/>
              <w:rPr>
                <w:sz w:val="22"/>
                <w:szCs w:val="22"/>
              </w:rPr>
            </w:pPr>
            <w:r w:rsidRPr="00B37FFC">
              <w:rPr>
                <w:sz w:val="22"/>
                <w:szCs w:val="22"/>
              </w:rPr>
              <w:t>В директивата изрично е посочено, че се прилага само за посоч</w:t>
            </w:r>
            <w:r w:rsidRPr="00B37FFC">
              <w:rPr>
                <w:sz w:val="22"/>
                <w:szCs w:val="22"/>
              </w:rPr>
              <w:t>е</w:t>
            </w:r>
            <w:r w:rsidRPr="00B37FFC">
              <w:rPr>
                <w:sz w:val="22"/>
                <w:szCs w:val="22"/>
              </w:rPr>
              <w:t>ните в Част А от Приложението видове захар (чл. 1), а от съо</w:t>
            </w:r>
            <w:r w:rsidRPr="00B37FFC">
              <w:rPr>
                <w:sz w:val="22"/>
                <w:szCs w:val="22"/>
              </w:rPr>
              <w:t>б</w:t>
            </w:r>
            <w:r w:rsidRPr="00B37FFC">
              <w:rPr>
                <w:sz w:val="22"/>
                <w:szCs w:val="22"/>
              </w:rPr>
              <w:t>ражения 2 и 3 от преамбюла се извлича, че целта е фиксиране на определения и общи правила за производствените характерист</w:t>
            </w:r>
            <w:r w:rsidRPr="00B37FFC">
              <w:rPr>
                <w:sz w:val="22"/>
                <w:szCs w:val="22"/>
              </w:rPr>
              <w:t>и</w:t>
            </w:r>
            <w:r w:rsidRPr="00B37FFC">
              <w:rPr>
                <w:sz w:val="22"/>
                <w:szCs w:val="22"/>
              </w:rPr>
              <w:t>ки, опаковането и етикетирането на продуктите, за да се избегне нелоялна конкуренция или</w:t>
            </w:r>
            <w:r>
              <w:rPr>
                <w:sz w:val="22"/>
                <w:szCs w:val="22"/>
              </w:rPr>
              <w:t xml:space="preserve"> </w:t>
            </w:r>
            <w:r w:rsidRPr="00B37FFC">
              <w:rPr>
                <w:sz w:val="22"/>
                <w:szCs w:val="22"/>
              </w:rPr>
              <w:t>заблуждаваме на потребителите. В този смисъл всички продукти, които не са в приложното поле на директивата не са забранени за използване от човека, а по-скоро за тях не се въвежда подобна регламентация, доколкото при и</w:t>
            </w:r>
            <w:r w:rsidRPr="00B37FFC">
              <w:rPr>
                <w:sz w:val="22"/>
                <w:szCs w:val="22"/>
              </w:rPr>
              <w:t>з</w:t>
            </w:r>
            <w:r w:rsidRPr="00B37FFC">
              <w:rPr>
                <w:sz w:val="22"/>
                <w:szCs w:val="22"/>
              </w:rPr>
              <w:t>ползване на техните наименования не се застрашава конкуре</w:t>
            </w:r>
            <w:r w:rsidRPr="00B37FFC">
              <w:rPr>
                <w:sz w:val="22"/>
                <w:szCs w:val="22"/>
              </w:rPr>
              <w:t>н</w:t>
            </w:r>
            <w:r w:rsidRPr="00B37FFC">
              <w:rPr>
                <w:sz w:val="22"/>
                <w:szCs w:val="22"/>
              </w:rPr>
              <w:t>цията между субектите или представата на потребителите.</w:t>
            </w:r>
          </w:p>
          <w:p w:rsidR="00164BBB" w:rsidRPr="00B37FFC" w:rsidRDefault="00164BBB" w:rsidP="00B629DB">
            <w:pPr>
              <w:widowControl w:val="0"/>
              <w:tabs>
                <w:tab w:val="left" w:pos="1565"/>
              </w:tabs>
              <w:autoSpaceDE w:val="0"/>
              <w:autoSpaceDN w:val="0"/>
              <w:jc w:val="both"/>
              <w:rPr>
                <w:sz w:val="22"/>
                <w:szCs w:val="22"/>
              </w:rPr>
            </w:pPr>
            <w:r w:rsidRPr="00B37FFC">
              <w:rPr>
                <w:sz w:val="22"/>
                <w:szCs w:val="22"/>
              </w:rPr>
              <w:t>Съображенията ни са свързани със статута на кафявата захар, която по никакъв начин не е засегната в предложения проект за наредба, понеже не отговаря на зададените физико-химични п</w:t>
            </w:r>
            <w:r w:rsidRPr="00B37FFC">
              <w:rPr>
                <w:sz w:val="22"/>
                <w:szCs w:val="22"/>
              </w:rPr>
              <w:t>о</w:t>
            </w:r>
            <w:r w:rsidRPr="00B37FFC">
              <w:rPr>
                <w:sz w:val="22"/>
                <w:szCs w:val="22"/>
              </w:rPr>
              <w:t>казатели. Освен това в б. А т.</w:t>
            </w:r>
            <w:r>
              <w:rPr>
                <w:sz w:val="22"/>
                <w:szCs w:val="22"/>
              </w:rPr>
              <w:t xml:space="preserve"> </w:t>
            </w:r>
            <w:r w:rsidRPr="00B37FFC">
              <w:rPr>
                <w:sz w:val="22"/>
                <w:szCs w:val="22"/>
              </w:rPr>
              <w:t>5 от Приложение III на Директива 2001/113/ относно плодови конфитюри, желета и мармалади и подсладено пюре от кестени, предназначени за консумация от човека, се въвежда дефиниция за разрешени захари и кафявата захар е обособена в отделна позиция, различна от захарите, ко</w:t>
            </w:r>
            <w:r w:rsidRPr="00B37FFC">
              <w:rPr>
                <w:sz w:val="22"/>
                <w:szCs w:val="22"/>
              </w:rPr>
              <w:t>и</w:t>
            </w:r>
            <w:r w:rsidRPr="00B37FFC">
              <w:rPr>
                <w:sz w:val="22"/>
                <w:szCs w:val="22"/>
              </w:rPr>
              <w:t>то са определени в Директива 2001/111/ЕО, а именно:</w:t>
            </w:r>
          </w:p>
          <w:p w:rsidR="00164BBB" w:rsidRDefault="00164BBB" w:rsidP="00B629DB">
            <w:pPr>
              <w:widowControl w:val="0"/>
              <w:tabs>
                <w:tab w:val="left" w:pos="1565"/>
              </w:tabs>
              <w:autoSpaceDE w:val="0"/>
              <w:autoSpaceDN w:val="0"/>
              <w:jc w:val="both"/>
              <w:rPr>
                <w:sz w:val="22"/>
                <w:szCs w:val="22"/>
              </w:rPr>
            </w:pPr>
            <w:r w:rsidRPr="00B37FFC">
              <w:rPr>
                <w:sz w:val="22"/>
                <w:szCs w:val="22"/>
              </w:rPr>
              <w:t xml:space="preserve">„5. Захари </w:t>
            </w:r>
          </w:p>
          <w:p w:rsidR="00164BBB" w:rsidRPr="00B37FFC" w:rsidRDefault="00164BBB" w:rsidP="00B629DB">
            <w:pPr>
              <w:widowControl w:val="0"/>
              <w:tabs>
                <w:tab w:val="left" w:pos="1565"/>
              </w:tabs>
              <w:autoSpaceDE w:val="0"/>
              <w:autoSpaceDN w:val="0"/>
              <w:jc w:val="both"/>
              <w:rPr>
                <w:sz w:val="22"/>
                <w:szCs w:val="22"/>
              </w:rPr>
            </w:pPr>
            <w:r w:rsidRPr="00B37FFC">
              <w:rPr>
                <w:sz w:val="22"/>
                <w:szCs w:val="22"/>
              </w:rPr>
              <w:t>Разрешените .захари са:</w:t>
            </w:r>
          </w:p>
          <w:p w:rsidR="00164BBB" w:rsidRPr="00B37FFC" w:rsidRDefault="00164BBB" w:rsidP="00E66B47">
            <w:pPr>
              <w:widowControl w:val="0"/>
              <w:tabs>
                <w:tab w:val="left" w:pos="1565"/>
              </w:tabs>
              <w:autoSpaceDE w:val="0"/>
              <w:autoSpaceDN w:val="0"/>
              <w:jc w:val="both"/>
              <w:rPr>
                <w:sz w:val="22"/>
                <w:szCs w:val="22"/>
              </w:rPr>
            </w:pPr>
            <w:r>
              <w:rPr>
                <w:sz w:val="22"/>
                <w:szCs w:val="22"/>
              </w:rPr>
              <w:t xml:space="preserve">1. </w:t>
            </w:r>
            <w:r w:rsidRPr="00B37FFC">
              <w:rPr>
                <w:sz w:val="22"/>
                <w:szCs w:val="22"/>
              </w:rPr>
              <w:t>захарите, както са определени в Директива 2001/111/ЕО (1);</w:t>
            </w:r>
          </w:p>
          <w:p w:rsidR="00164BBB" w:rsidRPr="00B37FFC" w:rsidRDefault="00164BBB" w:rsidP="00E66B47">
            <w:pPr>
              <w:widowControl w:val="0"/>
              <w:tabs>
                <w:tab w:val="left" w:pos="1565"/>
              </w:tabs>
              <w:autoSpaceDE w:val="0"/>
              <w:autoSpaceDN w:val="0"/>
              <w:jc w:val="both"/>
              <w:rPr>
                <w:sz w:val="22"/>
                <w:szCs w:val="22"/>
              </w:rPr>
            </w:pPr>
            <w:r>
              <w:rPr>
                <w:sz w:val="22"/>
                <w:szCs w:val="22"/>
              </w:rPr>
              <w:t xml:space="preserve">2. </w:t>
            </w:r>
            <w:r w:rsidRPr="00B37FFC">
              <w:rPr>
                <w:sz w:val="22"/>
                <w:szCs w:val="22"/>
              </w:rPr>
              <w:t>фруктоз</w:t>
            </w:r>
            <w:r>
              <w:rPr>
                <w:sz w:val="22"/>
                <w:szCs w:val="22"/>
              </w:rPr>
              <w:t>е</w:t>
            </w:r>
            <w:r w:rsidRPr="00B37FFC">
              <w:rPr>
                <w:sz w:val="22"/>
                <w:szCs w:val="22"/>
              </w:rPr>
              <w:t>н сироп;</w:t>
            </w:r>
          </w:p>
          <w:p w:rsidR="00164BBB" w:rsidRPr="00B37FFC" w:rsidRDefault="00164BBB" w:rsidP="00E66B47">
            <w:pPr>
              <w:widowControl w:val="0"/>
              <w:tabs>
                <w:tab w:val="left" w:pos="1565"/>
              </w:tabs>
              <w:autoSpaceDE w:val="0"/>
              <w:autoSpaceDN w:val="0"/>
              <w:jc w:val="both"/>
              <w:rPr>
                <w:sz w:val="22"/>
                <w:szCs w:val="22"/>
              </w:rPr>
            </w:pPr>
            <w:r>
              <w:rPr>
                <w:sz w:val="22"/>
                <w:szCs w:val="22"/>
              </w:rPr>
              <w:lastRenderedPageBreak/>
              <w:t>3. захари, екстрахиран</w:t>
            </w:r>
            <w:r w:rsidRPr="00B37FFC">
              <w:rPr>
                <w:sz w:val="22"/>
                <w:szCs w:val="22"/>
              </w:rPr>
              <w:t>и от плод;</w:t>
            </w:r>
          </w:p>
          <w:p w:rsidR="00164BBB" w:rsidRPr="00B37FFC" w:rsidRDefault="00164BBB" w:rsidP="00E66B47">
            <w:pPr>
              <w:widowControl w:val="0"/>
              <w:tabs>
                <w:tab w:val="left" w:pos="1565"/>
              </w:tabs>
              <w:autoSpaceDE w:val="0"/>
              <w:autoSpaceDN w:val="0"/>
              <w:jc w:val="both"/>
              <w:rPr>
                <w:sz w:val="22"/>
                <w:szCs w:val="22"/>
              </w:rPr>
            </w:pPr>
            <w:r>
              <w:rPr>
                <w:sz w:val="22"/>
                <w:szCs w:val="22"/>
              </w:rPr>
              <w:t>4. кафява захар.“</w:t>
            </w:r>
          </w:p>
          <w:p w:rsidR="00164BBB" w:rsidRPr="00D36CE4" w:rsidRDefault="00164BBB" w:rsidP="00E66B47">
            <w:pPr>
              <w:widowControl w:val="0"/>
              <w:tabs>
                <w:tab w:val="left" w:pos="1565"/>
              </w:tabs>
              <w:autoSpaceDE w:val="0"/>
              <w:autoSpaceDN w:val="0"/>
              <w:spacing w:after="120"/>
              <w:jc w:val="both"/>
              <w:rPr>
                <w:sz w:val="22"/>
                <w:szCs w:val="22"/>
              </w:rPr>
            </w:pPr>
            <w:r w:rsidRPr="00B37FFC">
              <w:rPr>
                <w:sz w:val="22"/>
                <w:szCs w:val="22"/>
              </w:rPr>
              <w:t>Предвид гореизложеното, моля да вземете предвид изложените съображения и измените заглавието и приложното поле очертано в чл.</w:t>
            </w:r>
            <w:r>
              <w:rPr>
                <w:sz w:val="22"/>
                <w:szCs w:val="22"/>
              </w:rPr>
              <w:t xml:space="preserve"> </w:t>
            </w:r>
            <w:r w:rsidRPr="00B37FFC">
              <w:rPr>
                <w:sz w:val="22"/>
                <w:szCs w:val="22"/>
              </w:rPr>
              <w:t>1 от Проекта на Наредба за изискванията към захарите, предназначени за консумация от човека като и на двет</w:t>
            </w:r>
            <w:r>
              <w:rPr>
                <w:sz w:val="22"/>
                <w:szCs w:val="22"/>
              </w:rPr>
              <w:t>е места се добави думата „някои“</w:t>
            </w:r>
            <w:r w:rsidRPr="00B37FFC">
              <w:rPr>
                <w:sz w:val="22"/>
                <w:szCs w:val="22"/>
              </w:rPr>
              <w:t xml:space="preserve"> пред „</w:t>
            </w:r>
            <w:r>
              <w:rPr>
                <w:sz w:val="22"/>
                <w:szCs w:val="22"/>
              </w:rPr>
              <w:t>захари“</w:t>
            </w:r>
            <w:r w:rsidRPr="00B37FFC">
              <w:rPr>
                <w:sz w:val="22"/>
                <w:szCs w:val="22"/>
              </w:rPr>
              <w:t>.</w:t>
            </w:r>
          </w:p>
        </w:tc>
        <w:tc>
          <w:tcPr>
            <w:tcW w:w="1608" w:type="dxa"/>
            <w:tcBorders>
              <w:top w:val="nil"/>
              <w:left w:val="single" w:sz="18" w:space="0" w:color="2E74B5"/>
              <w:bottom w:val="single" w:sz="18" w:space="0" w:color="2E74B5"/>
              <w:right w:val="single" w:sz="18" w:space="0" w:color="2E74B5"/>
            </w:tcBorders>
            <w:shd w:val="clear" w:color="auto" w:fill="auto"/>
          </w:tcPr>
          <w:p w:rsidR="00164BBB" w:rsidRPr="005607F1" w:rsidRDefault="009040DB" w:rsidP="002A0A9B">
            <w:pPr>
              <w:rPr>
                <w:sz w:val="22"/>
                <w:szCs w:val="22"/>
              </w:rPr>
            </w:pPr>
            <w:r>
              <w:rPr>
                <w:sz w:val="22"/>
                <w:szCs w:val="22"/>
              </w:rPr>
              <w:lastRenderedPageBreak/>
              <w:t>Приема се</w:t>
            </w:r>
          </w:p>
        </w:tc>
        <w:tc>
          <w:tcPr>
            <w:tcW w:w="4522" w:type="dxa"/>
            <w:tcBorders>
              <w:top w:val="nil"/>
              <w:left w:val="single" w:sz="18" w:space="0" w:color="2E74B5"/>
              <w:bottom w:val="single" w:sz="18" w:space="0" w:color="2E74B5"/>
              <w:right w:val="single" w:sz="36" w:space="0" w:color="2E74B5"/>
            </w:tcBorders>
            <w:shd w:val="clear" w:color="auto" w:fill="auto"/>
          </w:tcPr>
          <w:p w:rsidR="00164BBB" w:rsidRPr="00D36CE4" w:rsidRDefault="00164BBB" w:rsidP="00DA76EE">
            <w:pPr>
              <w:jc w:val="both"/>
              <w:rPr>
                <w:color w:val="FF0000"/>
                <w:sz w:val="22"/>
                <w:szCs w:val="22"/>
              </w:rPr>
            </w:pPr>
          </w:p>
        </w:tc>
      </w:tr>
    </w:tbl>
    <w:p w:rsidR="00781635" w:rsidRDefault="00781635" w:rsidP="00AF12B7">
      <w:pPr>
        <w:rPr>
          <w:b/>
          <w:bCs/>
          <w:caps/>
          <w:color w:val="FF0000"/>
          <w:sz w:val="22"/>
          <w:szCs w:val="22"/>
        </w:rPr>
      </w:pPr>
    </w:p>
    <w:p w:rsidR="00DB3BCE" w:rsidRDefault="00DB3BCE" w:rsidP="00AF12B7">
      <w:pPr>
        <w:rPr>
          <w:b/>
          <w:bCs/>
          <w:caps/>
          <w:color w:val="FF0000"/>
          <w:sz w:val="22"/>
          <w:szCs w:val="22"/>
        </w:rPr>
      </w:pPr>
    </w:p>
    <w:p w:rsidR="008B4B0C" w:rsidRDefault="008B4B0C" w:rsidP="00AF12B7">
      <w:pPr>
        <w:rPr>
          <w:b/>
          <w:bCs/>
          <w:caps/>
          <w:color w:val="FF0000"/>
          <w:sz w:val="22"/>
          <w:szCs w:val="22"/>
        </w:rPr>
      </w:pPr>
    </w:p>
    <w:p w:rsidR="008B4B0C" w:rsidRDefault="008B4B0C" w:rsidP="00AF12B7">
      <w:pPr>
        <w:rPr>
          <w:b/>
          <w:bCs/>
          <w:caps/>
          <w:color w:val="FF0000"/>
          <w:sz w:val="22"/>
          <w:szCs w:val="22"/>
        </w:rPr>
      </w:pPr>
    </w:p>
    <w:sectPr w:rsidR="008B4B0C" w:rsidSect="005E3A50">
      <w:footerReference w:type="even" r:id="rId12"/>
      <w:footerReference w:type="default" r:id="rId13"/>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98" w:rsidRDefault="000C6898">
      <w:r>
        <w:separator/>
      </w:r>
    </w:p>
  </w:endnote>
  <w:endnote w:type="continuationSeparator" w:id="0">
    <w:p w:rsidR="000C6898" w:rsidRDefault="000C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DA" w:rsidRDefault="00062A4B" w:rsidP="00442824">
    <w:pPr>
      <w:pStyle w:val="Footer"/>
      <w:framePr w:wrap="around" w:vAnchor="text" w:hAnchor="margin" w:xAlign="right" w:y="1"/>
      <w:rPr>
        <w:rStyle w:val="PageNumber"/>
      </w:rPr>
    </w:pPr>
    <w:r>
      <w:rPr>
        <w:rStyle w:val="PageNumber"/>
      </w:rPr>
      <w:fldChar w:fldCharType="begin"/>
    </w:r>
    <w:r w:rsidR="00C711DA">
      <w:rPr>
        <w:rStyle w:val="PageNumber"/>
      </w:rPr>
      <w:instrText xml:space="preserve">PAGE  </w:instrText>
    </w:r>
    <w:r>
      <w:rPr>
        <w:rStyle w:val="PageNumber"/>
      </w:rPr>
      <w:fldChar w:fldCharType="end"/>
    </w:r>
  </w:p>
  <w:p w:rsidR="00C711DA" w:rsidRDefault="00C711DA"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C711DA" w:rsidRPr="00AF12B7" w:rsidRDefault="00062A4B" w:rsidP="00AF12B7">
        <w:pPr>
          <w:pStyle w:val="Footer"/>
          <w:jc w:val="right"/>
          <w:rPr>
            <w:sz w:val="18"/>
            <w:szCs w:val="18"/>
          </w:rPr>
        </w:pPr>
        <w:r w:rsidRPr="00AF12B7">
          <w:rPr>
            <w:sz w:val="18"/>
            <w:szCs w:val="18"/>
          </w:rPr>
          <w:fldChar w:fldCharType="begin"/>
        </w:r>
        <w:r w:rsidR="00C711DA" w:rsidRPr="00AF12B7">
          <w:rPr>
            <w:sz w:val="18"/>
            <w:szCs w:val="18"/>
          </w:rPr>
          <w:instrText xml:space="preserve"> PAGE   \* MERGEFORMAT </w:instrText>
        </w:r>
        <w:r w:rsidRPr="00AF12B7">
          <w:rPr>
            <w:sz w:val="18"/>
            <w:szCs w:val="18"/>
          </w:rPr>
          <w:fldChar w:fldCharType="separate"/>
        </w:r>
        <w:r w:rsidR="00AA3E04">
          <w:rPr>
            <w:noProof/>
            <w:sz w:val="18"/>
            <w:szCs w:val="18"/>
          </w:rPr>
          <w:t>4</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98" w:rsidRDefault="000C6898">
      <w:r>
        <w:separator/>
      </w:r>
    </w:p>
  </w:footnote>
  <w:footnote w:type="continuationSeparator" w:id="0">
    <w:p w:rsidR="000C6898" w:rsidRDefault="000C6898">
      <w:r>
        <w:continuationSeparator/>
      </w:r>
    </w:p>
  </w:footnote>
  <w:footnote w:id="1">
    <w:p w:rsidR="00E66B47" w:rsidRPr="00546019" w:rsidRDefault="00E66B47">
      <w:pPr>
        <w:pStyle w:val="FootnoteText"/>
      </w:pPr>
      <w:r w:rsidRPr="00546019">
        <w:rPr>
          <w:rStyle w:val="FootnoteReference"/>
        </w:rPr>
        <w:footnoteRef/>
      </w:r>
      <w:r w:rsidRPr="00546019">
        <w:t xml:space="preserve"> </w:t>
      </w:r>
      <w:r w:rsidRPr="00546019">
        <w:rPr>
          <w:sz w:val="18"/>
          <w:szCs w:val="18"/>
        </w:rPr>
        <w:t>Наименованието на проекта е променено във връзка с постъпили предложения и становища от проведената обществена консултация.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nsid w:val="229E4E83"/>
    <w:multiLevelType w:val="multilevel"/>
    <w:tmpl w:val="D4C42262"/>
    <w:lvl w:ilvl="0">
      <w:start w:val="1"/>
      <w:numFmt w:val="decimal"/>
      <w:suff w:val="space"/>
      <w:lvlText w:val="%1."/>
      <w:lvlJc w:val="right"/>
      <w:pPr>
        <w:ind w:left="425"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1">
    <w:nsid w:val="393E2C3A"/>
    <w:multiLevelType w:val="singleLevel"/>
    <w:tmpl w:val="CF882D90"/>
    <w:lvl w:ilvl="0">
      <w:start w:val="1"/>
      <w:numFmt w:val="russianLower"/>
      <w:lvlText w:val="%1)"/>
      <w:lvlJc w:val="left"/>
    </w:lvl>
  </w:abstractNum>
  <w:abstractNum w:abstractNumId="12">
    <w:nsid w:val="3BC37A8C"/>
    <w:multiLevelType w:val="singleLevel"/>
    <w:tmpl w:val="596280AA"/>
    <w:lvl w:ilvl="0">
      <w:start w:val="3"/>
      <w:numFmt w:val="russianLower"/>
      <w:lvlText w:val="%1)"/>
      <w:lvlJc w:val="left"/>
    </w:lvl>
  </w:abstractNum>
  <w:abstractNum w:abstractNumId="13">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6">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43A0C1B"/>
    <w:multiLevelType w:val="multilevel"/>
    <w:tmpl w:val="D4C42262"/>
    <w:lvl w:ilvl="0">
      <w:start w:val="1"/>
      <w:numFmt w:val="decimal"/>
      <w:suff w:val="space"/>
      <w:lvlText w:val="%1."/>
      <w:lvlJc w:val="right"/>
      <w:pPr>
        <w:ind w:left="340"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9">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1">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2">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6"/>
  </w:num>
  <w:num w:numId="3">
    <w:abstractNumId w:val="23"/>
  </w:num>
  <w:num w:numId="4">
    <w:abstractNumId w:val="25"/>
  </w:num>
  <w:num w:numId="5">
    <w:abstractNumId w:val="17"/>
  </w:num>
  <w:num w:numId="6">
    <w:abstractNumId w:val="8"/>
  </w:num>
  <w:num w:numId="7">
    <w:abstractNumId w:val="19"/>
  </w:num>
  <w:num w:numId="8">
    <w:abstractNumId w:val="24"/>
  </w:num>
  <w:num w:numId="9">
    <w:abstractNumId w:val="5"/>
  </w:num>
  <w:num w:numId="10">
    <w:abstractNumId w:val="11"/>
  </w:num>
  <w:num w:numId="11">
    <w:abstractNumId w:val="12"/>
  </w:num>
  <w:num w:numId="12">
    <w:abstractNumId w:val="7"/>
  </w:num>
  <w:num w:numId="13">
    <w:abstractNumId w:val="4"/>
  </w:num>
  <w:num w:numId="14">
    <w:abstractNumId w:val="13"/>
  </w:num>
  <w:num w:numId="15">
    <w:abstractNumId w:val="14"/>
  </w:num>
  <w:num w:numId="16">
    <w:abstractNumId w:val="22"/>
  </w:num>
  <w:num w:numId="17">
    <w:abstractNumId w:val="1"/>
  </w:num>
  <w:num w:numId="18">
    <w:abstractNumId w:val="9"/>
  </w:num>
  <w:num w:numId="19">
    <w:abstractNumId w:val="20"/>
  </w:num>
  <w:num w:numId="20">
    <w:abstractNumId w:val="15"/>
  </w:num>
  <w:num w:numId="21">
    <w:abstractNumId w:val="2"/>
  </w:num>
  <w:num w:numId="22">
    <w:abstractNumId w:val="21"/>
  </w:num>
  <w:num w:numId="23">
    <w:abstractNumId w:val="0"/>
  </w:num>
  <w:num w:numId="24">
    <w:abstractNumId w:val="10"/>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5688"/>
    <w:rsid w:val="00005DEB"/>
    <w:rsid w:val="000101A6"/>
    <w:rsid w:val="00010282"/>
    <w:rsid w:val="000115D5"/>
    <w:rsid w:val="00012CAB"/>
    <w:rsid w:val="00016086"/>
    <w:rsid w:val="0001681E"/>
    <w:rsid w:val="000200AF"/>
    <w:rsid w:val="00021153"/>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57D23"/>
    <w:rsid w:val="0006038C"/>
    <w:rsid w:val="0006091E"/>
    <w:rsid w:val="00062907"/>
    <w:rsid w:val="00062A4B"/>
    <w:rsid w:val="00062ADE"/>
    <w:rsid w:val="00062F02"/>
    <w:rsid w:val="000632EC"/>
    <w:rsid w:val="00063709"/>
    <w:rsid w:val="00063E4B"/>
    <w:rsid w:val="000673CE"/>
    <w:rsid w:val="00067C92"/>
    <w:rsid w:val="00070496"/>
    <w:rsid w:val="000708B1"/>
    <w:rsid w:val="000718C7"/>
    <w:rsid w:val="00075594"/>
    <w:rsid w:val="000757FC"/>
    <w:rsid w:val="000769B1"/>
    <w:rsid w:val="00080040"/>
    <w:rsid w:val="0008079F"/>
    <w:rsid w:val="00081D6F"/>
    <w:rsid w:val="00082171"/>
    <w:rsid w:val="00084700"/>
    <w:rsid w:val="00086434"/>
    <w:rsid w:val="000902D1"/>
    <w:rsid w:val="00090401"/>
    <w:rsid w:val="000937D4"/>
    <w:rsid w:val="00094AB2"/>
    <w:rsid w:val="000953A8"/>
    <w:rsid w:val="00097783"/>
    <w:rsid w:val="000A084C"/>
    <w:rsid w:val="000A1017"/>
    <w:rsid w:val="000A228F"/>
    <w:rsid w:val="000A3E16"/>
    <w:rsid w:val="000B191D"/>
    <w:rsid w:val="000B279A"/>
    <w:rsid w:val="000B298E"/>
    <w:rsid w:val="000B2BB0"/>
    <w:rsid w:val="000B2EB1"/>
    <w:rsid w:val="000B354E"/>
    <w:rsid w:val="000B3D5F"/>
    <w:rsid w:val="000B4EF3"/>
    <w:rsid w:val="000B6D57"/>
    <w:rsid w:val="000C036A"/>
    <w:rsid w:val="000C1697"/>
    <w:rsid w:val="000C46A7"/>
    <w:rsid w:val="000C5E61"/>
    <w:rsid w:val="000C6898"/>
    <w:rsid w:val="000D0414"/>
    <w:rsid w:val="000D1E2E"/>
    <w:rsid w:val="000D3F6C"/>
    <w:rsid w:val="000D4198"/>
    <w:rsid w:val="000E145B"/>
    <w:rsid w:val="000E3570"/>
    <w:rsid w:val="000E38E0"/>
    <w:rsid w:val="000E4A22"/>
    <w:rsid w:val="000F02C5"/>
    <w:rsid w:val="000F31C8"/>
    <w:rsid w:val="000F3490"/>
    <w:rsid w:val="000F4E61"/>
    <w:rsid w:val="000F73D3"/>
    <w:rsid w:val="001012EC"/>
    <w:rsid w:val="0010687D"/>
    <w:rsid w:val="00110FB3"/>
    <w:rsid w:val="001116DA"/>
    <w:rsid w:val="00114032"/>
    <w:rsid w:val="001143E4"/>
    <w:rsid w:val="001146B4"/>
    <w:rsid w:val="0011484F"/>
    <w:rsid w:val="00115A98"/>
    <w:rsid w:val="00115EDD"/>
    <w:rsid w:val="00116995"/>
    <w:rsid w:val="00116FC6"/>
    <w:rsid w:val="001171CC"/>
    <w:rsid w:val="00120ABA"/>
    <w:rsid w:val="00125CC4"/>
    <w:rsid w:val="001311AD"/>
    <w:rsid w:val="00131CA7"/>
    <w:rsid w:val="00133A14"/>
    <w:rsid w:val="00134E1D"/>
    <w:rsid w:val="00135D04"/>
    <w:rsid w:val="0013629D"/>
    <w:rsid w:val="00140C69"/>
    <w:rsid w:val="00141BFB"/>
    <w:rsid w:val="00144034"/>
    <w:rsid w:val="001440FE"/>
    <w:rsid w:val="0014437A"/>
    <w:rsid w:val="0015199A"/>
    <w:rsid w:val="00152121"/>
    <w:rsid w:val="00152D3A"/>
    <w:rsid w:val="001551C4"/>
    <w:rsid w:val="00155CAF"/>
    <w:rsid w:val="0016060D"/>
    <w:rsid w:val="0016097E"/>
    <w:rsid w:val="00162248"/>
    <w:rsid w:val="001644CE"/>
    <w:rsid w:val="00164BBB"/>
    <w:rsid w:val="001668E1"/>
    <w:rsid w:val="00167F77"/>
    <w:rsid w:val="00170505"/>
    <w:rsid w:val="00170895"/>
    <w:rsid w:val="00172CCB"/>
    <w:rsid w:val="00175004"/>
    <w:rsid w:val="00177AA6"/>
    <w:rsid w:val="00177CAC"/>
    <w:rsid w:val="00177D2B"/>
    <w:rsid w:val="001808B4"/>
    <w:rsid w:val="0018226A"/>
    <w:rsid w:val="0018509E"/>
    <w:rsid w:val="001903D2"/>
    <w:rsid w:val="001919EB"/>
    <w:rsid w:val="001929D4"/>
    <w:rsid w:val="00192D6A"/>
    <w:rsid w:val="001948B0"/>
    <w:rsid w:val="00195AD0"/>
    <w:rsid w:val="001A02C9"/>
    <w:rsid w:val="001A0680"/>
    <w:rsid w:val="001A0ACB"/>
    <w:rsid w:val="001A3975"/>
    <w:rsid w:val="001A3D29"/>
    <w:rsid w:val="001B4CD8"/>
    <w:rsid w:val="001C23BF"/>
    <w:rsid w:val="001C2643"/>
    <w:rsid w:val="001C5E1D"/>
    <w:rsid w:val="001C6E95"/>
    <w:rsid w:val="001D2756"/>
    <w:rsid w:val="001D291C"/>
    <w:rsid w:val="001D362A"/>
    <w:rsid w:val="001D4F63"/>
    <w:rsid w:val="001D5677"/>
    <w:rsid w:val="001D60F3"/>
    <w:rsid w:val="001E13F5"/>
    <w:rsid w:val="001E174B"/>
    <w:rsid w:val="001E317C"/>
    <w:rsid w:val="001E4984"/>
    <w:rsid w:val="001E4FE9"/>
    <w:rsid w:val="001E64F2"/>
    <w:rsid w:val="001F0567"/>
    <w:rsid w:val="001F1F60"/>
    <w:rsid w:val="001F314D"/>
    <w:rsid w:val="001F6BC2"/>
    <w:rsid w:val="001F718C"/>
    <w:rsid w:val="00200292"/>
    <w:rsid w:val="0020103A"/>
    <w:rsid w:val="00201455"/>
    <w:rsid w:val="00201739"/>
    <w:rsid w:val="00203D21"/>
    <w:rsid w:val="00206678"/>
    <w:rsid w:val="00210233"/>
    <w:rsid w:val="0021035B"/>
    <w:rsid w:val="00212D43"/>
    <w:rsid w:val="00214B75"/>
    <w:rsid w:val="00215178"/>
    <w:rsid w:val="00220442"/>
    <w:rsid w:val="00221143"/>
    <w:rsid w:val="002217C0"/>
    <w:rsid w:val="00221B68"/>
    <w:rsid w:val="00223F2E"/>
    <w:rsid w:val="00227D14"/>
    <w:rsid w:val="0023062F"/>
    <w:rsid w:val="00230821"/>
    <w:rsid w:val="00230E0E"/>
    <w:rsid w:val="00231D0F"/>
    <w:rsid w:val="00233C04"/>
    <w:rsid w:val="00233CC6"/>
    <w:rsid w:val="00233EF2"/>
    <w:rsid w:val="002348DC"/>
    <w:rsid w:val="002369C8"/>
    <w:rsid w:val="002375B3"/>
    <w:rsid w:val="00237A17"/>
    <w:rsid w:val="00241F4C"/>
    <w:rsid w:val="00243442"/>
    <w:rsid w:val="002440AF"/>
    <w:rsid w:val="0024444A"/>
    <w:rsid w:val="00245FCD"/>
    <w:rsid w:val="002472CF"/>
    <w:rsid w:val="00247930"/>
    <w:rsid w:val="002536A8"/>
    <w:rsid w:val="00254CE4"/>
    <w:rsid w:val="00257983"/>
    <w:rsid w:val="00260C47"/>
    <w:rsid w:val="00260F55"/>
    <w:rsid w:val="00260F73"/>
    <w:rsid w:val="002632C1"/>
    <w:rsid w:val="002633AC"/>
    <w:rsid w:val="00263E76"/>
    <w:rsid w:val="002640E1"/>
    <w:rsid w:val="0027210E"/>
    <w:rsid w:val="00272EE3"/>
    <w:rsid w:val="00273219"/>
    <w:rsid w:val="00273678"/>
    <w:rsid w:val="00273CAC"/>
    <w:rsid w:val="00276688"/>
    <w:rsid w:val="002804CF"/>
    <w:rsid w:val="002820C6"/>
    <w:rsid w:val="00282A08"/>
    <w:rsid w:val="002854C9"/>
    <w:rsid w:val="002879C2"/>
    <w:rsid w:val="002900A1"/>
    <w:rsid w:val="002900C5"/>
    <w:rsid w:val="0029073C"/>
    <w:rsid w:val="00291E9B"/>
    <w:rsid w:val="002939DA"/>
    <w:rsid w:val="00293CA6"/>
    <w:rsid w:val="0029482B"/>
    <w:rsid w:val="00295B2B"/>
    <w:rsid w:val="002961A2"/>
    <w:rsid w:val="002964C1"/>
    <w:rsid w:val="00297DB0"/>
    <w:rsid w:val="002A0706"/>
    <w:rsid w:val="002A0A9B"/>
    <w:rsid w:val="002A0C5D"/>
    <w:rsid w:val="002A3B76"/>
    <w:rsid w:val="002A4E11"/>
    <w:rsid w:val="002A59D9"/>
    <w:rsid w:val="002A5A11"/>
    <w:rsid w:val="002A67D5"/>
    <w:rsid w:val="002C03AF"/>
    <w:rsid w:val="002C27B4"/>
    <w:rsid w:val="002C2EEA"/>
    <w:rsid w:val="002C375D"/>
    <w:rsid w:val="002C5843"/>
    <w:rsid w:val="002C7F10"/>
    <w:rsid w:val="002D083C"/>
    <w:rsid w:val="002D0EDE"/>
    <w:rsid w:val="002D2176"/>
    <w:rsid w:val="002E537C"/>
    <w:rsid w:val="002E57D4"/>
    <w:rsid w:val="002E5E3F"/>
    <w:rsid w:val="002E6ADF"/>
    <w:rsid w:val="002E73FF"/>
    <w:rsid w:val="002F0752"/>
    <w:rsid w:val="002F7B2A"/>
    <w:rsid w:val="00300B99"/>
    <w:rsid w:val="00300D63"/>
    <w:rsid w:val="003039A5"/>
    <w:rsid w:val="00306298"/>
    <w:rsid w:val="003116EB"/>
    <w:rsid w:val="00312FB3"/>
    <w:rsid w:val="00314B98"/>
    <w:rsid w:val="00314F63"/>
    <w:rsid w:val="003154C2"/>
    <w:rsid w:val="00316618"/>
    <w:rsid w:val="00321BD0"/>
    <w:rsid w:val="0032394D"/>
    <w:rsid w:val="003246BD"/>
    <w:rsid w:val="00326B58"/>
    <w:rsid w:val="003302BD"/>
    <w:rsid w:val="00330936"/>
    <w:rsid w:val="003336CE"/>
    <w:rsid w:val="00333BD7"/>
    <w:rsid w:val="00340212"/>
    <w:rsid w:val="00344138"/>
    <w:rsid w:val="00345B9F"/>
    <w:rsid w:val="00346856"/>
    <w:rsid w:val="00351063"/>
    <w:rsid w:val="00351A03"/>
    <w:rsid w:val="00352461"/>
    <w:rsid w:val="00356131"/>
    <w:rsid w:val="003628A2"/>
    <w:rsid w:val="003640F0"/>
    <w:rsid w:val="003645F1"/>
    <w:rsid w:val="00367DA5"/>
    <w:rsid w:val="0037191E"/>
    <w:rsid w:val="00371937"/>
    <w:rsid w:val="003737F2"/>
    <w:rsid w:val="003741AA"/>
    <w:rsid w:val="00377A96"/>
    <w:rsid w:val="00377FE2"/>
    <w:rsid w:val="00382966"/>
    <w:rsid w:val="00384B8B"/>
    <w:rsid w:val="003856C0"/>
    <w:rsid w:val="00387130"/>
    <w:rsid w:val="00387162"/>
    <w:rsid w:val="003903E2"/>
    <w:rsid w:val="00390D8E"/>
    <w:rsid w:val="00395655"/>
    <w:rsid w:val="003A060F"/>
    <w:rsid w:val="003A48EE"/>
    <w:rsid w:val="003B4449"/>
    <w:rsid w:val="003B445B"/>
    <w:rsid w:val="003C0BF6"/>
    <w:rsid w:val="003C1F1E"/>
    <w:rsid w:val="003C557F"/>
    <w:rsid w:val="003C563D"/>
    <w:rsid w:val="003C5C7B"/>
    <w:rsid w:val="003D46E3"/>
    <w:rsid w:val="003D49CF"/>
    <w:rsid w:val="003D6231"/>
    <w:rsid w:val="003E361D"/>
    <w:rsid w:val="003E7556"/>
    <w:rsid w:val="003F2026"/>
    <w:rsid w:val="003F29BC"/>
    <w:rsid w:val="003F3728"/>
    <w:rsid w:val="003F59E4"/>
    <w:rsid w:val="003F7612"/>
    <w:rsid w:val="003F7CD4"/>
    <w:rsid w:val="004027A6"/>
    <w:rsid w:val="0040510D"/>
    <w:rsid w:val="00407815"/>
    <w:rsid w:val="00414F26"/>
    <w:rsid w:val="00415D7B"/>
    <w:rsid w:val="00417315"/>
    <w:rsid w:val="00420A7D"/>
    <w:rsid w:val="00420F8B"/>
    <w:rsid w:val="0042418B"/>
    <w:rsid w:val="004243E4"/>
    <w:rsid w:val="0042440B"/>
    <w:rsid w:val="00425470"/>
    <w:rsid w:val="00426AC8"/>
    <w:rsid w:val="00427EF4"/>
    <w:rsid w:val="00430245"/>
    <w:rsid w:val="00430323"/>
    <w:rsid w:val="00435BAC"/>
    <w:rsid w:val="004361F2"/>
    <w:rsid w:val="004376C2"/>
    <w:rsid w:val="004427B2"/>
    <w:rsid w:val="00442824"/>
    <w:rsid w:val="004444E8"/>
    <w:rsid w:val="004444F4"/>
    <w:rsid w:val="00446EC1"/>
    <w:rsid w:val="00450BCC"/>
    <w:rsid w:val="0045180F"/>
    <w:rsid w:val="00452217"/>
    <w:rsid w:val="00453C28"/>
    <w:rsid w:val="00453E7F"/>
    <w:rsid w:val="00453E85"/>
    <w:rsid w:val="00455D0B"/>
    <w:rsid w:val="004604F1"/>
    <w:rsid w:val="0046593D"/>
    <w:rsid w:val="0046759A"/>
    <w:rsid w:val="00467C52"/>
    <w:rsid w:val="0047261C"/>
    <w:rsid w:val="004739BA"/>
    <w:rsid w:val="00483378"/>
    <w:rsid w:val="00487E51"/>
    <w:rsid w:val="0049099C"/>
    <w:rsid w:val="004942CA"/>
    <w:rsid w:val="00496618"/>
    <w:rsid w:val="004A0A82"/>
    <w:rsid w:val="004A207E"/>
    <w:rsid w:val="004A259F"/>
    <w:rsid w:val="004A27CC"/>
    <w:rsid w:val="004A285F"/>
    <w:rsid w:val="004A2932"/>
    <w:rsid w:val="004A55AC"/>
    <w:rsid w:val="004A55E6"/>
    <w:rsid w:val="004A5E2A"/>
    <w:rsid w:val="004A6AE4"/>
    <w:rsid w:val="004A70C4"/>
    <w:rsid w:val="004B290C"/>
    <w:rsid w:val="004B2E13"/>
    <w:rsid w:val="004B460A"/>
    <w:rsid w:val="004B4FC8"/>
    <w:rsid w:val="004B5B51"/>
    <w:rsid w:val="004B735F"/>
    <w:rsid w:val="004C0606"/>
    <w:rsid w:val="004C0F07"/>
    <w:rsid w:val="004C1080"/>
    <w:rsid w:val="004C2F1C"/>
    <w:rsid w:val="004C420B"/>
    <w:rsid w:val="004C6279"/>
    <w:rsid w:val="004C7869"/>
    <w:rsid w:val="004D24E9"/>
    <w:rsid w:val="004D3191"/>
    <w:rsid w:val="004D5C7F"/>
    <w:rsid w:val="004D5FF9"/>
    <w:rsid w:val="004E0260"/>
    <w:rsid w:val="004E16EE"/>
    <w:rsid w:val="004E3F53"/>
    <w:rsid w:val="004E3FE3"/>
    <w:rsid w:val="004E4662"/>
    <w:rsid w:val="004E4897"/>
    <w:rsid w:val="004E6D10"/>
    <w:rsid w:val="004F11C4"/>
    <w:rsid w:val="004F17EA"/>
    <w:rsid w:val="004F2B1B"/>
    <w:rsid w:val="004F2C8C"/>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43DE"/>
    <w:rsid w:val="00514AC6"/>
    <w:rsid w:val="005159EA"/>
    <w:rsid w:val="0051624B"/>
    <w:rsid w:val="00517A62"/>
    <w:rsid w:val="00520109"/>
    <w:rsid w:val="005208CA"/>
    <w:rsid w:val="00520903"/>
    <w:rsid w:val="00521850"/>
    <w:rsid w:val="00522F73"/>
    <w:rsid w:val="00524038"/>
    <w:rsid w:val="0052467D"/>
    <w:rsid w:val="00524AA8"/>
    <w:rsid w:val="00524BCA"/>
    <w:rsid w:val="00525515"/>
    <w:rsid w:val="005260B9"/>
    <w:rsid w:val="00527393"/>
    <w:rsid w:val="0053103C"/>
    <w:rsid w:val="00531699"/>
    <w:rsid w:val="00532E4B"/>
    <w:rsid w:val="00534E66"/>
    <w:rsid w:val="00540693"/>
    <w:rsid w:val="00540C53"/>
    <w:rsid w:val="00540EEE"/>
    <w:rsid w:val="00541692"/>
    <w:rsid w:val="005424B9"/>
    <w:rsid w:val="00543E05"/>
    <w:rsid w:val="00546019"/>
    <w:rsid w:val="005462B1"/>
    <w:rsid w:val="005525EA"/>
    <w:rsid w:val="005531AA"/>
    <w:rsid w:val="00554B28"/>
    <w:rsid w:val="00554CC1"/>
    <w:rsid w:val="005607F1"/>
    <w:rsid w:val="00563FA3"/>
    <w:rsid w:val="005644C8"/>
    <w:rsid w:val="00564E98"/>
    <w:rsid w:val="00566018"/>
    <w:rsid w:val="00573E06"/>
    <w:rsid w:val="005763DF"/>
    <w:rsid w:val="005778C6"/>
    <w:rsid w:val="00583A7E"/>
    <w:rsid w:val="005854ED"/>
    <w:rsid w:val="00586A0B"/>
    <w:rsid w:val="00586CF4"/>
    <w:rsid w:val="005878A4"/>
    <w:rsid w:val="005913D0"/>
    <w:rsid w:val="00595BED"/>
    <w:rsid w:val="00597737"/>
    <w:rsid w:val="00597BAA"/>
    <w:rsid w:val="00597D5D"/>
    <w:rsid w:val="005A1896"/>
    <w:rsid w:val="005A338B"/>
    <w:rsid w:val="005A3AC5"/>
    <w:rsid w:val="005A407D"/>
    <w:rsid w:val="005A4A9A"/>
    <w:rsid w:val="005A5DAE"/>
    <w:rsid w:val="005A6C42"/>
    <w:rsid w:val="005B7086"/>
    <w:rsid w:val="005C2DFD"/>
    <w:rsid w:val="005C43C6"/>
    <w:rsid w:val="005C7A87"/>
    <w:rsid w:val="005D0610"/>
    <w:rsid w:val="005D06F0"/>
    <w:rsid w:val="005D094A"/>
    <w:rsid w:val="005D276C"/>
    <w:rsid w:val="005D3B47"/>
    <w:rsid w:val="005D5B4B"/>
    <w:rsid w:val="005D72C5"/>
    <w:rsid w:val="005D733F"/>
    <w:rsid w:val="005E08BD"/>
    <w:rsid w:val="005E0F94"/>
    <w:rsid w:val="005E36D5"/>
    <w:rsid w:val="005E3869"/>
    <w:rsid w:val="005E3A50"/>
    <w:rsid w:val="005E4874"/>
    <w:rsid w:val="005E4C23"/>
    <w:rsid w:val="005E4CF0"/>
    <w:rsid w:val="005E507D"/>
    <w:rsid w:val="005E6719"/>
    <w:rsid w:val="005E7DB5"/>
    <w:rsid w:val="005F0C39"/>
    <w:rsid w:val="005F3826"/>
    <w:rsid w:val="005F421E"/>
    <w:rsid w:val="005F53D2"/>
    <w:rsid w:val="005F630F"/>
    <w:rsid w:val="0060094C"/>
    <w:rsid w:val="00600B63"/>
    <w:rsid w:val="00601137"/>
    <w:rsid w:val="00602C0B"/>
    <w:rsid w:val="006040E1"/>
    <w:rsid w:val="006047CE"/>
    <w:rsid w:val="00604A61"/>
    <w:rsid w:val="00610231"/>
    <w:rsid w:val="00617D55"/>
    <w:rsid w:val="00617F06"/>
    <w:rsid w:val="006240D8"/>
    <w:rsid w:val="00626132"/>
    <w:rsid w:val="006310A1"/>
    <w:rsid w:val="0063318F"/>
    <w:rsid w:val="00634DDD"/>
    <w:rsid w:val="00635099"/>
    <w:rsid w:val="006361E3"/>
    <w:rsid w:val="00636320"/>
    <w:rsid w:val="0063730A"/>
    <w:rsid w:val="00641EF4"/>
    <w:rsid w:val="00642470"/>
    <w:rsid w:val="00642D90"/>
    <w:rsid w:val="00645DFC"/>
    <w:rsid w:val="0065019C"/>
    <w:rsid w:val="00656642"/>
    <w:rsid w:val="00661A0C"/>
    <w:rsid w:val="00662BFF"/>
    <w:rsid w:val="006712A6"/>
    <w:rsid w:val="00671E4E"/>
    <w:rsid w:val="0067456E"/>
    <w:rsid w:val="00675133"/>
    <w:rsid w:val="006756E2"/>
    <w:rsid w:val="00676037"/>
    <w:rsid w:val="006773A2"/>
    <w:rsid w:val="00677D9A"/>
    <w:rsid w:val="006802C1"/>
    <w:rsid w:val="00682E63"/>
    <w:rsid w:val="00685E6E"/>
    <w:rsid w:val="00686496"/>
    <w:rsid w:val="00690FE6"/>
    <w:rsid w:val="00691BD4"/>
    <w:rsid w:val="006940E7"/>
    <w:rsid w:val="00694141"/>
    <w:rsid w:val="006941C8"/>
    <w:rsid w:val="00697215"/>
    <w:rsid w:val="00697863"/>
    <w:rsid w:val="006A0D8A"/>
    <w:rsid w:val="006A1DAD"/>
    <w:rsid w:val="006A2C66"/>
    <w:rsid w:val="006A36D7"/>
    <w:rsid w:val="006A512F"/>
    <w:rsid w:val="006A70E2"/>
    <w:rsid w:val="006B4070"/>
    <w:rsid w:val="006B5E2B"/>
    <w:rsid w:val="006C070B"/>
    <w:rsid w:val="006C1FAA"/>
    <w:rsid w:val="006C605F"/>
    <w:rsid w:val="006C6A82"/>
    <w:rsid w:val="006D1F20"/>
    <w:rsid w:val="006D2BDD"/>
    <w:rsid w:val="006D4254"/>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5502"/>
    <w:rsid w:val="006F5F67"/>
    <w:rsid w:val="006F6420"/>
    <w:rsid w:val="007030A8"/>
    <w:rsid w:val="00704988"/>
    <w:rsid w:val="00705659"/>
    <w:rsid w:val="00707A8E"/>
    <w:rsid w:val="00710062"/>
    <w:rsid w:val="007106FE"/>
    <w:rsid w:val="007108D2"/>
    <w:rsid w:val="0071354E"/>
    <w:rsid w:val="00715FC7"/>
    <w:rsid w:val="007160B3"/>
    <w:rsid w:val="00716B72"/>
    <w:rsid w:val="00717394"/>
    <w:rsid w:val="007201DC"/>
    <w:rsid w:val="00720625"/>
    <w:rsid w:val="0072098B"/>
    <w:rsid w:val="00723D89"/>
    <w:rsid w:val="007261CF"/>
    <w:rsid w:val="00731B88"/>
    <w:rsid w:val="00732DEB"/>
    <w:rsid w:val="007362EB"/>
    <w:rsid w:val="00736B76"/>
    <w:rsid w:val="00736C03"/>
    <w:rsid w:val="007377F2"/>
    <w:rsid w:val="00737BC4"/>
    <w:rsid w:val="00737D3E"/>
    <w:rsid w:val="007406DE"/>
    <w:rsid w:val="007423F8"/>
    <w:rsid w:val="007431DE"/>
    <w:rsid w:val="00743EFE"/>
    <w:rsid w:val="00745349"/>
    <w:rsid w:val="0074534D"/>
    <w:rsid w:val="007511D5"/>
    <w:rsid w:val="007516D1"/>
    <w:rsid w:val="00751E85"/>
    <w:rsid w:val="0075213E"/>
    <w:rsid w:val="00753049"/>
    <w:rsid w:val="00756242"/>
    <w:rsid w:val="00756290"/>
    <w:rsid w:val="00756A19"/>
    <w:rsid w:val="0076108C"/>
    <w:rsid w:val="00761B5E"/>
    <w:rsid w:val="0076408A"/>
    <w:rsid w:val="00773DD9"/>
    <w:rsid w:val="00774BE7"/>
    <w:rsid w:val="00776A84"/>
    <w:rsid w:val="00777754"/>
    <w:rsid w:val="00781306"/>
    <w:rsid w:val="00781635"/>
    <w:rsid w:val="007836C8"/>
    <w:rsid w:val="0078746C"/>
    <w:rsid w:val="007934F1"/>
    <w:rsid w:val="00794229"/>
    <w:rsid w:val="00795A1B"/>
    <w:rsid w:val="007970F0"/>
    <w:rsid w:val="007971F3"/>
    <w:rsid w:val="007A1BCA"/>
    <w:rsid w:val="007A4157"/>
    <w:rsid w:val="007B0693"/>
    <w:rsid w:val="007B0C65"/>
    <w:rsid w:val="007B1141"/>
    <w:rsid w:val="007B24F7"/>
    <w:rsid w:val="007B3D33"/>
    <w:rsid w:val="007B4CFC"/>
    <w:rsid w:val="007B6FFE"/>
    <w:rsid w:val="007C04D6"/>
    <w:rsid w:val="007C1C9E"/>
    <w:rsid w:val="007C393A"/>
    <w:rsid w:val="007C5100"/>
    <w:rsid w:val="007C532B"/>
    <w:rsid w:val="007C6C8E"/>
    <w:rsid w:val="007D09DC"/>
    <w:rsid w:val="007D6B06"/>
    <w:rsid w:val="007D712C"/>
    <w:rsid w:val="007D76D7"/>
    <w:rsid w:val="007E249E"/>
    <w:rsid w:val="007E5ED7"/>
    <w:rsid w:val="007E6242"/>
    <w:rsid w:val="007E633B"/>
    <w:rsid w:val="007E6AD6"/>
    <w:rsid w:val="007F135A"/>
    <w:rsid w:val="007F5275"/>
    <w:rsid w:val="0080232E"/>
    <w:rsid w:val="00803CA0"/>
    <w:rsid w:val="00812789"/>
    <w:rsid w:val="0081380A"/>
    <w:rsid w:val="00813EBF"/>
    <w:rsid w:val="00817D17"/>
    <w:rsid w:val="00824BA3"/>
    <w:rsid w:val="00825F4B"/>
    <w:rsid w:val="00826F86"/>
    <w:rsid w:val="00831124"/>
    <w:rsid w:val="00831D3C"/>
    <w:rsid w:val="00831E9A"/>
    <w:rsid w:val="00833124"/>
    <w:rsid w:val="008333FA"/>
    <w:rsid w:val="00841854"/>
    <w:rsid w:val="00842C8D"/>
    <w:rsid w:val="00844CC3"/>
    <w:rsid w:val="00845BC3"/>
    <w:rsid w:val="00846A3E"/>
    <w:rsid w:val="008476BF"/>
    <w:rsid w:val="00847CFC"/>
    <w:rsid w:val="008508D5"/>
    <w:rsid w:val="0085319B"/>
    <w:rsid w:val="00853C0E"/>
    <w:rsid w:val="00854E7C"/>
    <w:rsid w:val="00855317"/>
    <w:rsid w:val="00855962"/>
    <w:rsid w:val="00857187"/>
    <w:rsid w:val="00860FE7"/>
    <w:rsid w:val="00861CE5"/>
    <w:rsid w:val="0086226E"/>
    <w:rsid w:val="008638B9"/>
    <w:rsid w:val="00864193"/>
    <w:rsid w:val="0086505F"/>
    <w:rsid w:val="008656C1"/>
    <w:rsid w:val="00865EE3"/>
    <w:rsid w:val="0086600C"/>
    <w:rsid w:val="00872A86"/>
    <w:rsid w:val="0087300B"/>
    <w:rsid w:val="00874481"/>
    <w:rsid w:val="00875D23"/>
    <w:rsid w:val="00875D88"/>
    <w:rsid w:val="00881967"/>
    <w:rsid w:val="0088605D"/>
    <w:rsid w:val="00887913"/>
    <w:rsid w:val="00890675"/>
    <w:rsid w:val="0089123B"/>
    <w:rsid w:val="00891BE7"/>
    <w:rsid w:val="00894526"/>
    <w:rsid w:val="00894946"/>
    <w:rsid w:val="0089506D"/>
    <w:rsid w:val="00895616"/>
    <w:rsid w:val="008A00BC"/>
    <w:rsid w:val="008A0B79"/>
    <w:rsid w:val="008A1687"/>
    <w:rsid w:val="008A2346"/>
    <w:rsid w:val="008A2DF5"/>
    <w:rsid w:val="008A3A73"/>
    <w:rsid w:val="008A52D8"/>
    <w:rsid w:val="008A5E27"/>
    <w:rsid w:val="008A6FF9"/>
    <w:rsid w:val="008A721D"/>
    <w:rsid w:val="008B48E6"/>
    <w:rsid w:val="008B4B0C"/>
    <w:rsid w:val="008B6A6F"/>
    <w:rsid w:val="008C01F4"/>
    <w:rsid w:val="008C0503"/>
    <w:rsid w:val="008C4A55"/>
    <w:rsid w:val="008C5E5E"/>
    <w:rsid w:val="008D08F5"/>
    <w:rsid w:val="008D0DDB"/>
    <w:rsid w:val="008D2350"/>
    <w:rsid w:val="008D56D6"/>
    <w:rsid w:val="008D579B"/>
    <w:rsid w:val="008D583E"/>
    <w:rsid w:val="008D7657"/>
    <w:rsid w:val="008E1CC8"/>
    <w:rsid w:val="008E24D8"/>
    <w:rsid w:val="008E3970"/>
    <w:rsid w:val="008E3AC0"/>
    <w:rsid w:val="008E671D"/>
    <w:rsid w:val="008E6946"/>
    <w:rsid w:val="008E6E39"/>
    <w:rsid w:val="008E7705"/>
    <w:rsid w:val="008E77F4"/>
    <w:rsid w:val="008E7AF3"/>
    <w:rsid w:val="008E7E4D"/>
    <w:rsid w:val="008F3218"/>
    <w:rsid w:val="008F35DB"/>
    <w:rsid w:val="008F39D3"/>
    <w:rsid w:val="008F4969"/>
    <w:rsid w:val="008F5129"/>
    <w:rsid w:val="008F6393"/>
    <w:rsid w:val="00902FF9"/>
    <w:rsid w:val="009040DB"/>
    <w:rsid w:val="00905EB8"/>
    <w:rsid w:val="00905F3A"/>
    <w:rsid w:val="0090679B"/>
    <w:rsid w:val="0090782D"/>
    <w:rsid w:val="00912765"/>
    <w:rsid w:val="0091523F"/>
    <w:rsid w:val="0091558A"/>
    <w:rsid w:val="009167F2"/>
    <w:rsid w:val="00917058"/>
    <w:rsid w:val="0092192D"/>
    <w:rsid w:val="00922798"/>
    <w:rsid w:val="00923C45"/>
    <w:rsid w:val="00924F7D"/>
    <w:rsid w:val="0092693D"/>
    <w:rsid w:val="00931102"/>
    <w:rsid w:val="009312BE"/>
    <w:rsid w:val="00932D4A"/>
    <w:rsid w:val="00936B7F"/>
    <w:rsid w:val="009415CD"/>
    <w:rsid w:val="0094334A"/>
    <w:rsid w:val="00943E2F"/>
    <w:rsid w:val="009441AA"/>
    <w:rsid w:val="00952D0A"/>
    <w:rsid w:val="00953FD7"/>
    <w:rsid w:val="00954732"/>
    <w:rsid w:val="009551F9"/>
    <w:rsid w:val="00956BD2"/>
    <w:rsid w:val="0096092A"/>
    <w:rsid w:val="00961790"/>
    <w:rsid w:val="00963058"/>
    <w:rsid w:val="00963AE2"/>
    <w:rsid w:val="00963E96"/>
    <w:rsid w:val="0096445C"/>
    <w:rsid w:val="00966C16"/>
    <w:rsid w:val="00967E4D"/>
    <w:rsid w:val="00972F4C"/>
    <w:rsid w:val="00975F5E"/>
    <w:rsid w:val="009773E5"/>
    <w:rsid w:val="00977612"/>
    <w:rsid w:val="00977C36"/>
    <w:rsid w:val="009827FE"/>
    <w:rsid w:val="0098369E"/>
    <w:rsid w:val="00983B09"/>
    <w:rsid w:val="0098541A"/>
    <w:rsid w:val="00990860"/>
    <w:rsid w:val="00990FC4"/>
    <w:rsid w:val="00992009"/>
    <w:rsid w:val="00994761"/>
    <w:rsid w:val="0099513B"/>
    <w:rsid w:val="00996032"/>
    <w:rsid w:val="00996B48"/>
    <w:rsid w:val="009A1269"/>
    <w:rsid w:val="009A19C4"/>
    <w:rsid w:val="009A453C"/>
    <w:rsid w:val="009B1744"/>
    <w:rsid w:val="009B1EE9"/>
    <w:rsid w:val="009B3DAC"/>
    <w:rsid w:val="009B568A"/>
    <w:rsid w:val="009B7975"/>
    <w:rsid w:val="009C08B5"/>
    <w:rsid w:val="009C4545"/>
    <w:rsid w:val="009C4DFC"/>
    <w:rsid w:val="009D0944"/>
    <w:rsid w:val="009D281A"/>
    <w:rsid w:val="009D6D2E"/>
    <w:rsid w:val="009D753B"/>
    <w:rsid w:val="009E0CEB"/>
    <w:rsid w:val="009E1962"/>
    <w:rsid w:val="009E6C5E"/>
    <w:rsid w:val="009E7615"/>
    <w:rsid w:val="009E7717"/>
    <w:rsid w:val="009E7FF1"/>
    <w:rsid w:val="009F142B"/>
    <w:rsid w:val="009F23CB"/>
    <w:rsid w:val="009F5722"/>
    <w:rsid w:val="009F7176"/>
    <w:rsid w:val="00A02072"/>
    <w:rsid w:val="00A0334B"/>
    <w:rsid w:val="00A035A3"/>
    <w:rsid w:val="00A04A98"/>
    <w:rsid w:val="00A076B4"/>
    <w:rsid w:val="00A11D46"/>
    <w:rsid w:val="00A163D9"/>
    <w:rsid w:val="00A23452"/>
    <w:rsid w:val="00A26499"/>
    <w:rsid w:val="00A27F81"/>
    <w:rsid w:val="00A30636"/>
    <w:rsid w:val="00A30F0D"/>
    <w:rsid w:val="00A31338"/>
    <w:rsid w:val="00A32258"/>
    <w:rsid w:val="00A3356F"/>
    <w:rsid w:val="00A34220"/>
    <w:rsid w:val="00A342A5"/>
    <w:rsid w:val="00A3568B"/>
    <w:rsid w:val="00A377AE"/>
    <w:rsid w:val="00A426CE"/>
    <w:rsid w:val="00A428B2"/>
    <w:rsid w:val="00A42D10"/>
    <w:rsid w:val="00A4509D"/>
    <w:rsid w:val="00A4550F"/>
    <w:rsid w:val="00A46303"/>
    <w:rsid w:val="00A50CD4"/>
    <w:rsid w:val="00A52FAE"/>
    <w:rsid w:val="00A53909"/>
    <w:rsid w:val="00A5623C"/>
    <w:rsid w:val="00A57A10"/>
    <w:rsid w:val="00A57F06"/>
    <w:rsid w:val="00A600FC"/>
    <w:rsid w:val="00A606F7"/>
    <w:rsid w:val="00A60884"/>
    <w:rsid w:val="00A610CB"/>
    <w:rsid w:val="00A636D2"/>
    <w:rsid w:val="00A643D6"/>
    <w:rsid w:val="00A64DC1"/>
    <w:rsid w:val="00A6623B"/>
    <w:rsid w:val="00A669EE"/>
    <w:rsid w:val="00A7058C"/>
    <w:rsid w:val="00A70B39"/>
    <w:rsid w:val="00A72224"/>
    <w:rsid w:val="00A83067"/>
    <w:rsid w:val="00A85598"/>
    <w:rsid w:val="00A856B0"/>
    <w:rsid w:val="00A8607A"/>
    <w:rsid w:val="00A86D8D"/>
    <w:rsid w:val="00A90530"/>
    <w:rsid w:val="00A917A9"/>
    <w:rsid w:val="00A919EA"/>
    <w:rsid w:val="00A91A2A"/>
    <w:rsid w:val="00A94B87"/>
    <w:rsid w:val="00A9750F"/>
    <w:rsid w:val="00AA3E04"/>
    <w:rsid w:val="00AA599A"/>
    <w:rsid w:val="00AA5E2F"/>
    <w:rsid w:val="00AB39DB"/>
    <w:rsid w:val="00AB5812"/>
    <w:rsid w:val="00AB5BFC"/>
    <w:rsid w:val="00AB7845"/>
    <w:rsid w:val="00AC135D"/>
    <w:rsid w:val="00AC2072"/>
    <w:rsid w:val="00AC40DC"/>
    <w:rsid w:val="00AC4ECB"/>
    <w:rsid w:val="00AC7C3D"/>
    <w:rsid w:val="00AD29B0"/>
    <w:rsid w:val="00AD3AF3"/>
    <w:rsid w:val="00AD3F9D"/>
    <w:rsid w:val="00AD4746"/>
    <w:rsid w:val="00AD5010"/>
    <w:rsid w:val="00AE20C4"/>
    <w:rsid w:val="00AE2731"/>
    <w:rsid w:val="00AE2C74"/>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77C"/>
    <w:rsid w:val="00B0691A"/>
    <w:rsid w:val="00B07C49"/>
    <w:rsid w:val="00B11252"/>
    <w:rsid w:val="00B1358E"/>
    <w:rsid w:val="00B145B3"/>
    <w:rsid w:val="00B152AE"/>
    <w:rsid w:val="00B17C41"/>
    <w:rsid w:val="00B17FDB"/>
    <w:rsid w:val="00B21810"/>
    <w:rsid w:val="00B24B51"/>
    <w:rsid w:val="00B30C15"/>
    <w:rsid w:val="00B31B92"/>
    <w:rsid w:val="00B320D9"/>
    <w:rsid w:val="00B321D4"/>
    <w:rsid w:val="00B32676"/>
    <w:rsid w:val="00B330B9"/>
    <w:rsid w:val="00B3495F"/>
    <w:rsid w:val="00B34AF6"/>
    <w:rsid w:val="00B34CBF"/>
    <w:rsid w:val="00B37C7C"/>
    <w:rsid w:val="00B37FFC"/>
    <w:rsid w:val="00B40DAD"/>
    <w:rsid w:val="00B42361"/>
    <w:rsid w:val="00B429D4"/>
    <w:rsid w:val="00B431C0"/>
    <w:rsid w:val="00B433E4"/>
    <w:rsid w:val="00B458D2"/>
    <w:rsid w:val="00B46541"/>
    <w:rsid w:val="00B4660F"/>
    <w:rsid w:val="00B503D0"/>
    <w:rsid w:val="00B50A39"/>
    <w:rsid w:val="00B5191C"/>
    <w:rsid w:val="00B5758A"/>
    <w:rsid w:val="00B629DB"/>
    <w:rsid w:val="00B6355E"/>
    <w:rsid w:val="00B64471"/>
    <w:rsid w:val="00B64BD0"/>
    <w:rsid w:val="00B65B84"/>
    <w:rsid w:val="00B7272A"/>
    <w:rsid w:val="00B73133"/>
    <w:rsid w:val="00B74629"/>
    <w:rsid w:val="00B75F90"/>
    <w:rsid w:val="00B8036D"/>
    <w:rsid w:val="00B82C78"/>
    <w:rsid w:val="00B84A5C"/>
    <w:rsid w:val="00B87124"/>
    <w:rsid w:val="00B92D10"/>
    <w:rsid w:val="00B93671"/>
    <w:rsid w:val="00B937FB"/>
    <w:rsid w:val="00B93841"/>
    <w:rsid w:val="00B948D2"/>
    <w:rsid w:val="00B95598"/>
    <w:rsid w:val="00BA06BC"/>
    <w:rsid w:val="00BA478A"/>
    <w:rsid w:val="00BA66F5"/>
    <w:rsid w:val="00BA726F"/>
    <w:rsid w:val="00BB5DD9"/>
    <w:rsid w:val="00BC05CB"/>
    <w:rsid w:val="00BC2111"/>
    <w:rsid w:val="00BC482E"/>
    <w:rsid w:val="00BC6272"/>
    <w:rsid w:val="00BD0FA0"/>
    <w:rsid w:val="00BD0FD6"/>
    <w:rsid w:val="00BD212B"/>
    <w:rsid w:val="00BD2757"/>
    <w:rsid w:val="00BD2B98"/>
    <w:rsid w:val="00BD7382"/>
    <w:rsid w:val="00BD7BD3"/>
    <w:rsid w:val="00BD7CDC"/>
    <w:rsid w:val="00BE0D0E"/>
    <w:rsid w:val="00BE1037"/>
    <w:rsid w:val="00BE395D"/>
    <w:rsid w:val="00BE482D"/>
    <w:rsid w:val="00BE5DB7"/>
    <w:rsid w:val="00BE6BFB"/>
    <w:rsid w:val="00BF0159"/>
    <w:rsid w:val="00BF24D1"/>
    <w:rsid w:val="00BF3308"/>
    <w:rsid w:val="00BF3DDD"/>
    <w:rsid w:val="00BF5B8B"/>
    <w:rsid w:val="00C03495"/>
    <w:rsid w:val="00C0358C"/>
    <w:rsid w:val="00C118F2"/>
    <w:rsid w:val="00C11946"/>
    <w:rsid w:val="00C1385A"/>
    <w:rsid w:val="00C20896"/>
    <w:rsid w:val="00C20CDA"/>
    <w:rsid w:val="00C20DC3"/>
    <w:rsid w:val="00C216FA"/>
    <w:rsid w:val="00C221F5"/>
    <w:rsid w:val="00C2421A"/>
    <w:rsid w:val="00C27D33"/>
    <w:rsid w:val="00C31286"/>
    <w:rsid w:val="00C31A5B"/>
    <w:rsid w:val="00C32478"/>
    <w:rsid w:val="00C34C0E"/>
    <w:rsid w:val="00C35EF2"/>
    <w:rsid w:val="00C403B4"/>
    <w:rsid w:val="00C406DE"/>
    <w:rsid w:val="00C411FE"/>
    <w:rsid w:val="00C41B61"/>
    <w:rsid w:val="00C42D33"/>
    <w:rsid w:val="00C434F9"/>
    <w:rsid w:val="00C45CC3"/>
    <w:rsid w:val="00C45CCE"/>
    <w:rsid w:val="00C46170"/>
    <w:rsid w:val="00C467CA"/>
    <w:rsid w:val="00C467D4"/>
    <w:rsid w:val="00C46941"/>
    <w:rsid w:val="00C47381"/>
    <w:rsid w:val="00C5278E"/>
    <w:rsid w:val="00C538D8"/>
    <w:rsid w:val="00C550EA"/>
    <w:rsid w:val="00C57F0D"/>
    <w:rsid w:val="00C63AA7"/>
    <w:rsid w:val="00C666AF"/>
    <w:rsid w:val="00C711DA"/>
    <w:rsid w:val="00C718DA"/>
    <w:rsid w:val="00C72BBA"/>
    <w:rsid w:val="00C73873"/>
    <w:rsid w:val="00C75FCC"/>
    <w:rsid w:val="00C80322"/>
    <w:rsid w:val="00C835BB"/>
    <w:rsid w:val="00C86431"/>
    <w:rsid w:val="00C87931"/>
    <w:rsid w:val="00C91224"/>
    <w:rsid w:val="00C9316D"/>
    <w:rsid w:val="00C9387E"/>
    <w:rsid w:val="00C948FD"/>
    <w:rsid w:val="00C975B4"/>
    <w:rsid w:val="00C97FB9"/>
    <w:rsid w:val="00CA155E"/>
    <w:rsid w:val="00CA2E10"/>
    <w:rsid w:val="00CA3D9D"/>
    <w:rsid w:val="00CA4788"/>
    <w:rsid w:val="00CA6A60"/>
    <w:rsid w:val="00CA7999"/>
    <w:rsid w:val="00CB39C4"/>
    <w:rsid w:val="00CB4E0C"/>
    <w:rsid w:val="00CB6814"/>
    <w:rsid w:val="00CC02F8"/>
    <w:rsid w:val="00CC0DD8"/>
    <w:rsid w:val="00CC2BEF"/>
    <w:rsid w:val="00CD056E"/>
    <w:rsid w:val="00CD1405"/>
    <w:rsid w:val="00CD518F"/>
    <w:rsid w:val="00CE2A7F"/>
    <w:rsid w:val="00CE3610"/>
    <w:rsid w:val="00CF00CF"/>
    <w:rsid w:val="00CF24CD"/>
    <w:rsid w:val="00CF5221"/>
    <w:rsid w:val="00CF5822"/>
    <w:rsid w:val="00CF5841"/>
    <w:rsid w:val="00CF5A9B"/>
    <w:rsid w:val="00CF61A2"/>
    <w:rsid w:val="00CF6672"/>
    <w:rsid w:val="00D00BAA"/>
    <w:rsid w:val="00D03A5F"/>
    <w:rsid w:val="00D07E6A"/>
    <w:rsid w:val="00D11E74"/>
    <w:rsid w:val="00D11FEB"/>
    <w:rsid w:val="00D13B65"/>
    <w:rsid w:val="00D1426F"/>
    <w:rsid w:val="00D144A4"/>
    <w:rsid w:val="00D20423"/>
    <w:rsid w:val="00D22435"/>
    <w:rsid w:val="00D23711"/>
    <w:rsid w:val="00D25823"/>
    <w:rsid w:val="00D2649F"/>
    <w:rsid w:val="00D2742F"/>
    <w:rsid w:val="00D309E0"/>
    <w:rsid w:val="00D34C80"/>
    <w:rsid w:val="00D34D79"/>
    <w:rsid w:val="00D36CA4"/>
    <w:rsid w:val="00D36CE4"/>
    <w:rsid w:val="00D36E51"/>
    <w:rsid w:val="00D37896"/>
    <w:rsid w:val="00D4181C"/>
    <w:rsid w:val="00D41A30"/>
    <w:rsid w:val="00D469E3"/>
    <w:rsid w:val="00D5026F"/>
    <w:rsid w:val="00D52ABB"/>
    <w:rsid w:val="00D5313C"/>
    <w:rsid w:val="00D532DC"/>
    <w:rsid w:val="00D53C62"/>
    <w:rsid w:val="00D62F5A"/>
    <w:rsid w:val="00D63557"/>
    <w:rsid w:val="00D63E9B"/>
    <w:rsid w:val="00D668E2"/>
    <w:rsid w:val="00D71C75"/>
    <w:rsid w:val="00D76AAD"/>
    <w:rsid w:val="00D76DCC"/>
    <w:rsid w:val="00D8048E"/>
    <w:rsid w:val="00D82147"/>
    <w:rsid w:val="00D82A70"/>
    <w:rsid w:val="00D82B55"/>
    <w:rsid w:val="00D83702"/>
    <w:rsid w:val="00D838C4"/>
    <w:rsid w:val="00D87547"/>
    <w:rsid w:val="00D92986"/>
    <w:rsid w:val="00D96DF5"/>
    <w:rsid w:val="00DA0F8B"/>
    <w:rsid w:val="00DA4C8E"/>
    <w:rsid w:val="00DA76EE"/>
    <w:rsid w:val="00DB2EF6"/>
    <w:rsid w:val="00DB3BCE"/>
    <w:rsid w:val="00DB5EFB"/>
    <w:rsid w:val="00DB72DD"/>
    <w:rsid w:val="00DB75E1"/>
    <w:rsid w:val="00DC60E2"/>
    <w:rsid w:val="00DC61A2"/>
    <w:rsid w:val="00DD139E"/>
    <w:rsid w:val="00DD4DA6"/>
    <w:rsid w:val="00DD6E50"/>
    <w:rsid w:val="00DD7AA4"/>
    <w:rsid w:val="00DE1C7B"/>
    <w:rsid w:val="00DE33B8"/>
    <w:rsid w:val="00DE370C"/>
    <w:rsid w:val="00DE48BE"/>
    <w:rsid w:val="00DE4ACD"/>
    <w:rsid w:val="00DE5489"/>
    <w:rsid w:val="00DE71F6"/>
    <w:rsid w:val="00DF25A4"/>
    <w:rsid w:val="00DF4AC7"/>
    <w:rsid w:val="00DF568A"/>
    <w:rsid w:val="00DF5EF4"/>
    <w:rsid w:val="00DF72F3"/>
    <w:rsid w:val="00E00230"/>
    <w:rsid w:val="00E00442"/>
    <w:rsid w:val="00E015B8"/>
    <w:rsid w:val="00E02445"/>
    <w:rsid w:val="00E043C4"/>
    <w:rsid w:val="00E047E9"/>
    <w:rsid w:val="00E0521D"/>
    <w:rsid w:val="00E068D6"/>
    <w:rsid w:val="00E074E3"/>
    <w:rsid w:val="00E13B7B"/>
    <w:rsid w:val="00E142EC"/>
    <w:rsid w:val="00E158DF"/>
    <w:rsid w:val="00E2203D"/>
    <w:rsid w:val="00E220AD"/>
    <w:rsid w:val="00E222BB"/>
    <w:rsid w:val="00E26258"/>
    <w:rsid w:val="00E27FFC"/>
    <w:rsid w:val="00E335F8"/>
    <w:rsid w:val="00E3454D"/>
    <w:rsid w:val="00E352D8"/>
    <w:rsid w:val="00E36D56"/>
    <w:rsid w:val="00E377AA"/>
    <w:rsid w:val="00E41613"/>
    <w:rsid w:val="00E4166F"/>
    <w:rsid w:val="00E41BB3"/>
    <w:rsid w:val="00E42966"/>
    <w:rsid w:val="00E47E16"/>
    <w:rsid w:val="00E52B88"/>
    <w:rsid w:val="00E53B43"/>
    <w:rsid w:val="00E54558"/>
    <w:rsid w:val="00E55296"/>
    <w:rsid w:val="00E5693B"/>
    <w:rsid w:val="00E57FE0"/>
    <w:rsid w:val="00E61C1E"/>
    <w:rsid w:val="00E61E3D"/>
    <w:rsid w:val="00E61F16"/>
    <w:rsid w:val="00E65C58"/>
    <w:rsid w:val="00E66B47"/>
    <w:rsid w:val="00E67722"/>
    <w:rsid w:val="00E67755"/>
    <w:rsid w:val="00E67830"/>
    <w:rsid w:val="00E72CDA"/>
    <w:rsid w:val="00E73655"/>
    <w:rsid w:val="00E76BD1"/>
    <w:rsid w:val="00E77098"/>
    <w:rsid w:val="00E7793E"/>
    <w:rsid w:val="00E7794B"/>
    <w:rsid w:val="00E804F0"/>
    <w:rsid w:val="00E8474D"/>
    <w:rsid w:val="00E868AB"/>
    <w:rsid w:val="00E87046"/>
    <w:rsid w:val="00E928A7"/>
    <w:rsid w:val="00E93073"/>
    <w:rsid w:val="00E932E8"/>
    <w:rsid w:val="00E9366D"/>
    <w:rsid w:val="00E9511A"/>
    <w:rsid w:val="00E9569E"/>
    <w:rsid w:val="00E959BD"/>
    <w:rsid w:val="00E96851"/>
    <w:rsid w:val="00E96A29"/>
    <w:rsid w:val="00EA0351"/>
    <w:rsid w:val="00EA151B"/>
    <w:rsid w:val="00EA28DD"/>
    <w:rsid w:val="00EA2ADC"/>
    <w:rsid w:val="00EA3777"/>
    <w:rsid w:val="00EA759A"/>
    <w:rsid w:val="00EA7FE4"/>
    <w:rsid w:val="00EB06DD"/>
    <w:rsid w:val="00EB11E2"/>
    <w:rsid w:val="00EB59D0"/>
    <w:rsid w:val="00EB60FB"/>
    <w:rsid w:val="00EB648A"/>
    <w:rsid w:val="00EB6C95"/>
    <w:rsid w:val="00EB6E90"/>
    <w:rsid w:val="00EB71B3"/>
    <w:rsid w:val="00EC103F"/>
    <w:rsid w:val="00EC18A9"/>
    <w:rsid w:val="00EC2608"/>
    <w:rsid w:val="00EC2DD4"/>
    <w:rsid w:val="00EC2FD2"/>
    <w:rsid w:val="00EC388A"/>
    <w:rsid w:val="00EC5DBC"/>
    <w:rsid w:val="00ED343A"/>
    <w:rsid w:val="00ED364A"/>
    <w:rsid w:val="00ED7690"/>
    <w:rsid w:val="00EE137A"/>
    <w:rsid w:val="00EE1A08"/>
    <w:rsid w:val="00EE22E1"/>
    <w:rsid w:val="00EE3199"/>
    <w:rsid w:val="00EE34D1"/>
    <w:rsid w:val="00EF21BC"/>
    <w:rsid w:val="00EF22DA"/>
    <w:rsid w:val="00EF3B04"/>
    <w:rsid w:val="00EF431B"/>
    <w:rsid w:val="00EF4920"/>
    <w:rsid w:val="00EF72B0"/>
    <w:rsid w:val="00F00C40"/>
    <w:rsid w:val="00F00CD5"/>
    <w:rsid w:val="00F01245"/>
    <w:rsid w:val="00F03EE5"/>
    <w:rsid w:val="00F04A79"/>
    <w:rsid w:val="00F05DE8"/>
    <w:rsid w:val="00F06310"/>
    <w:rsid w:val="00F068AA"/>
    <w:rsid w:val="00F1259E"/>
    <w:rsid w:val="00F12F9E"/>
    <w:rsid w:val="00F15297"/>
    <w:rsid w:val="00F21CF6"/>
    <w:rsid w:val="00F23427"/>
    <w:rsid w:val="00F30D37"/>
    <w:rsid w:val="00F31216"/>
    <w:rsid w:val="00F34BC8"/>
    <w:rsid w:val="00F37E13"/>
    <w:rsid w:val="00F37E2C"/>
    <w:rsid w:val="00F426EE"/>
    <w:rsid w:val="00F43176"/>
    <w:rsid w:val="00F4439D"/>
    <w:rsid w:val="00F44CFD"/>
    <w:rsid w:val="00F456C2"/>
    <w:rsid w:val="00F4570D"/>
    <w:rsid w:val="00F5180C"/>
    <w:rsid w:val="00F51B36"/>
    <w:rsid w:val="00F521F4"/>
    <w:rsid w:val="00F54121"/>
    <w:rsid w:val="00F54AC6"/>
    <w:rsid w:val="00F61E91"/>
    <w:rsid w:val="00F719C5"/>
    <w:rsid w:val="00F73987"/>
    <w:rsid w:val="00F7694A"/>
    <w:rsid w:val="00F8090E"/>
    <w:rsid w:val="00F80CD3"/>
    <w:rsid w:val="00F80FDF"/>
    <w:rsid w:val="00F86B8A"/>
    <w:rsid w:val="00F86FC4"/>
    <w:rsid w:val="00F8787B"/>
    <w:rsid w:val="00F87E94"/>
    <w:rsid w:val="00F91229"/>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B0D80"/>
    <w:rsid w:val="00FB1992"/>
    <w:rsid w:val="00FB4BB4"/>
    <w:rsid w:val="00FB55BD"/>
    <w:rsid w:val="00FC3975"/>
    <w:rsid w:val="00FC45BD"/>
    <w:rsid w:val="00FC53F3"/>
    <w:rsid w:val="00FC6F59"/>
    <w:rsid w:val="00FD0C75"/>
    <w:rsid w:val="00FD0C89"/>
    <w:rsid w:val="00FD125F"/>
    <w:rsid w:val="00FD2E83"/>
    <w:rsid w:val="00FD49E9"/>
    <w:rsid w:val="00FD58A7"/>
    <w:rsid w:val="00FD6137"/>
    <w:rsid w:val="00FD6185"/>
    <w:rsid w:val="00FE05A8"/>
    <w:rsid w:val="00FE09D2"/>
    <w:rsid w:val="00FE49AA"/>
    <w:rsid w:val="00FF26F3"/>
    <w:rsid w:val="00FF2D34"/>
    <w:rsid w:val="00FF4113"/>
    <w:rsid w:val="00FF4458"/>
    <w:rsid w:val="00FF6EB2"/>
    <w:rsid w:val="00FF74E3"/>
    <w:rsid w:val="00FF76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D2"/>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 w:type="paragraph" w:styleId="FootnoteText">
    <w:name w:val="footnote text"/>
    <w:basedOn w:val="Normal"/>
    <w:link w:val="FootnoteTextChar"/>
    <w:semiHidden/>
    <w:unhideWhenUsed/>
    <w:rsid w:val="00E66B47"/>
    <w:rPr>
      <w:sz w:val="20"/>
      <w:szCs w:val="20"/>
    </w:rPr>
  </w:style>
  <w:style w:type="character" w:customStyle="1" w:styleId="FootnoteTextChar">
    <w:name w:val="Footnote Text Char"/>
    <w:basedOn w:val="DefaultParagraphFont"/>
    <w:link w:val="FootnoteText"/>
    <w:semiHidden/>
    <w:rsid w:val="00E66B47"/>
    <w:rPr>
      <w:lang w:eastAsia="bg-BG"/>
    </w:rPr>
  </w:style>
  <w:style w:type="character" w:styleId="FootnoteReference">
    <w:name w:val="footnote reference"/>
    <w:basedOn w:val="DefaultParagraphFont"/>
    <w:semiHidden/>
    <w:unhideWhenUsed/>
    <w:rsid w:val="00E66B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D2"/>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 w:type="paragraph" w:styleId="FootnoteText">
    <w:name w:val="footnote text"/>
    <w:basedOn w:val="Normal"/>
    <w:link w:val="FootnoteTextChar"/>
    <w:semiHidden/>
    <w:unhideWhenUsed/>
    <w:rsid w:val="00E66B47"/>
    <w:rPr>
      <w:sz w:val="20"/>
      <w:szCs w:val="20"/>
    </w:rPr>
  </w:style>
  <w:style w:type="character" w:customStyle="1" w:styleId="FootnoteTextChar">
    <w:name w:val="Footnote Text Char"/>
    <w:basedOn w:val="DefaultParagraphFont"/>
    <w:link w:val="FootnoteText"/>
    <w:semiHidden/>
    <w:rsid w:val="00E66B47"/>
    <w:rPr>
      <w:lang w:eastAsia="bg-BG"/>
    </w:rPr>
  </w:style>
  <w:style w:type="character" w:styleId="FootnoteReference">
    <w:name w:val="footnote reference"/>
    <w:basedOn w:val="DefaultParagraphFont"/>
    <w:semiHidden/>
    <w:unhideWhenUsed/>
    <w:rsid w:val="00E66B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zaharnizavod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trategy.bg/PublicConsultations/View.aspx?lang=bg-BG&amp;Id=7332" TargetMode="External"/><Relationship Id="rId4" Type="http://schemas.microsoft.com/office/2007/relationships/stylesWithEffects" Target="stylesWithEffects.xml"/><Relationship Id="rId9" Type="http://schemas.openxmlformats.org/officeDocument/2006/relationships/hyperlink" Target="mailto:doychinov@proton.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5E87-BEA3-47D6-B2E3-396755DA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6130</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2023-01-24T11:57:00Z</dcterms:created>
  <dcterms:modified xsi:type="dcterms:W3CDTF">2023-01-24T11:57:00Z</dcterms:modified>
</cp:coreProperties>
</file>