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2D7" w:rsidRPr="001D411A" w:rsidRDefault="000542D7" w:rsidP="000542D7">
      <w:pPr>
        <w:overflowPunct w:val="0"/>
        <w:autoSpaceDE w:val="0"/>
        <w:autoSpaceDN w:val="0"/>
        <w:adjustRightInd w:val="0"/>
        <w:spacing w:line="360" w:lineRule="auto"/>
        <w:jc w:val="center"/>
        <w:textAlignment w:val="baseline"/>
        <w:rPr>
          <w:rFonts w:ascii="Verdana" w:hAnsi="Verdana"/>
          <w:b/>
          <w:spacing w:val="90"/>
          <w:lang w:eastAsia="en-US"/>
        </w:rPr>
      </w:pPr>
      <w:r w:rsidRPr="001D411A">
        <w:rPr>
          <w:rFonts w:ascii="Verdana" w:hAnsi="Verdana"/>
          <w:b/>
          <w:spacing w:val="90"/>
          <w:lang w:eastAsia="en-US"/>
        </w:rPr>
        <w:t>МОТИВИ</w:t>
      </w:r>
    </w:p>
    <w:p w:rsidR="000542D7" w:rsidRPr="001D411A" w:rsidRDefault="000542D7" w:rsidP="000542D7">
      <w:pPr>
        <w:overflowPunct w:val="0"/>
        <w:autoSpaceDE w:val="0"/>
        <w:autoSpaceDN w:val="0"/>
        <w:adjustRightInd w:val="0"/>
        <w:spacing w:line="360" w:lineRule="auto"/>
        <w:jc w:val="center"/>
        <w:textAlignment w:val="baseline"/>
        <w:rPr>
          <w:rFonts w:ascii="Verdana" w:hAnsi="Verdana"/>
          <w:b/>
          <w:sz w:val="20"/>
          <w:szCs w:val="20"/>
          <w:lang w:eastAsia="en-US"/>
        </w:rPr>
      </w:pPr>
      <w:r w:rsidRPr="001D411A">
        <w:rPr>
          <w:rFonts w:ascii="Verdana" w:hAnsi="Verdana"/>
          <w:b/>
          <w:sz w:val="20"/>
          <w:szCs w:val="20"/>
          <w:lang w:eastAsia="en-US"/>
        </w:rPr>
        <w:t xml:space="preserve">към </w:t>
      </w:r>
      <w:r w:rsidR="00721A84">
        <w:rPr>
          <w:rFonts w:ascii="Verdana" w:hAnsi="Verdana"/>
          <w:b/>
          <w:sz w:val="20"/>
          <w:szCs w:val="20"/>
        </w:rPr>
        <w:t xml:space="preserve">проекта на </w:t>
      </w:r>
      <w:r w:rsidR="009B18DD" w:rsidRPr="009B18DD">
        <w:rPr>
          <w:rFonts w:ascii="Verdana" w:hAnsi="Verdana"/>
          <w:b/>
          <w:sz w:val="20"/>
          <w:szCs w:val="20"/>
        </w:rPr>
        <w:t>Закон за представителните браншови организации за производство и преработка на селскостопански продукти</w:t>
      </w:r>
    </w:p>
    <w:p w:rsidR="000542D7" w:rsidRDefault="000542D7" w:rsidP="00E754B2">
      <w:pPr>
        <w:spacing w:line="360" w:lineRule="auto"/>
        <w:ind w:firstLine="720"/>
        <w:jc w:val="both"/>
        <w:rPr>
          <w:rFonts w:ascii="Verdana" w:hAnsi="Verdana"/>
          <w:sz w:val="20"/>
          <w:szCs w:val="20"/>
        </w:rPr>
      </w:pPr>
    </w:p>
    <w:p w:rsidR="000542D7" w:rsidRPr="000542D7" w:rsidRDefault="000542D7" w:rsidP="00E754B2">
      <w:pPr>
        <w:spacing w:line="360" w:lineRule="auto"/>
        <w:ind w:firstLine="720"/>
        <w:jc w:val="both"/>
        <w:rPr>
          <w:rFonts w:ascii="Verdana" w:hAnsi="Verdana"/>
          <w:sz w:val="20"/>
          <w:szCs w:val="20"/>
        </w:rPr>
      </w:pPr>
      <w:r w:rsidRPr="000542D7">
        <w:rPr>
          <w:rFonts w:ascii="Verdana" w:hAnsi="Verdana"/>
          <w:sz w:val="20"/>
          <w:szCs w:val="20"/>
        </w:rPr>
        <w:t>Законопроектът има за цел да уреди функционирането на браншови организации в съответствие с Правилата за определяне на национално, регионално и областно представителни браншови организации (Правилата), част от Стратегически план за развитие на земеделието и селските райони за п</w:t>
      </w:r>
      <w:r w:rsidR="00F04935">
        <w:rPr>
          <w:rFonts w:ascii="Verdana" w:hAnsi="Verdana"/>
          <w:sz w:val="20"/>
          <w:szCs w:val="20"/>
        </w:rPr>
        <w:t xml:space="preserve">рограмен период 2023 – 2027 г. </w:t>
      </w:r>
      <w:r w:rsidRPr="000542D7">
        <w:rPr>
          <w:rFonts w:ascii="Verdana" w:hAnsi="Verdana"/>
          <w:sz w:val="20"/>
          <w:szCs w:val="20"/>
        </w:rPr>
        <w:t>(Стратегическия план), което определя потребността от създаване на законова рамка.</w:t>
      </w:r>
    </w:p>
    <w:p w:rsidR="000542D7" w:rsidRPr="000542D7" w:rsidRDefault="000542D7" w:rsidP="00E754B2">
      <w:pPr>
        <w:spacing w:line="360" w:lineRule="auto"/>
        <w:ind w:firstLine="720"/>
        <w:jc w:val="both"/>
        <w:rPr>
          <w:rFonts w:ascii="Verdana" w:hAnsi="Verdana"/>
          <w:sz w:val="20"/>
          <w:szCs w:val="20"/>
        </w:rPr>
      </w:pPr>
      <w:r w:rsidRPr="000542D7">
        <w:rPr>
          <w:rFonts w:ascii="Verdana" w:hAnsi="Verdana"/>
          <w:sz w:val="20"/>
          <w:szCs w:val="20"/>
        </w:rPr>
        <w:t>Към настоящия момент съществуват множество браншови организации,  които динамично променят членската си маса и териториалния си обхват. Това създава затруднения в Министерство на земеделието при определяне на представителността им с оглед комуникацията с тях. В допълнение</w:t>
      </w:r>
      <w:r w:rsidR="0066388F">
        <w:rPr>
          <w:rFonts w:ascii="Verdana" w:hAnsi="Verdana"/>
          <w:sz w:val="20"/>
          <w:szCs w:val="20"/>
        </w:rPr>
        <w:t>,</w:t>
      </w:r>
      <w:r w:rsidRPr="000542D7">
        <w:rPr>
          <w:rFonts w:ascii="Verdana" w:hAnsi="Verdana"/>
          <w:sz w:val="20"/>
          <w:szCs w:val="20"/>
        </w:rPr>
        <w:t xml:space="preserve"> липсата на ясни критерии за представителност създава предпоставка за различни и противоречащи </w:t>
      </w:r>
      <w:r w:rsidR="0066388F">
        <w:rPr>
          <w:rFonts w:ascii="Verdana" w:hAnsi="Verdana"/>
          <w:sz w:val="20"/>
          <w:szCs w:val="20"/>
        </w:rPr>
        <w:t xml:space="preserve">си </w:t>
      </w:r>
      <w:r w:rsidRPr="000542D7">
        <w:rPr>
          <w:rFonts w:ascii="Verdana" w:hAnsi="Verdana"/>
          <w:sz w:val="20"/>
          <w:szCs w:val="20"/>
        </w:rPr>
        <w:t>позиции в един и същ земеделски бранш. Последствия</w:t>
      </w:r>
      <w:r w:rsidR="00F04935">
        <w:rPr>
          <w:rFonts w:ascii="Verdana" w:hAnsi="Verdana"/>
          <w:sz w:val="20"/>
          <w:szCs w:val="20"/>
        </w:rPr>
        <w:t>та са значими и за двете страни</w:t>
      </w:r>
      <w:r w:rsidRPr="000542D7">
        <w:rPr>
          <w:rFonts w:ascii="Verdana" w:hAnsi="Verdana"/>
          <w:sz w:val="20"/>
          <w:szCs w:val="20"/>
        </w:rPr>
        <w:t xml:space="preserve">. При липса на единна позиция по разглеждания въпрос в министерството няма увереност, че при разработването на определена политика са взети предвид позициите на заинтересованите страни </w:t>
      </w:r>
      <w:r w:rsidR="00A65BD9">
        <w:rPr>
          <w:rFonts w:ascii="Verdana" w:hAnsi="Verdana"/>
          <w:sz w:val="20"/>
          <w:szCs w:val="20"/>
        </w:rPr>
        <w:t>–</w:t>
      </w:r>
      <w:r w:rsidRPr="000542D7">
        <w:rPr>
          <w:rFonts w:ascii="Verdana" w:hAnsi="Verdana"/>
          <w:sz w:val="20"/>
          <w:szCs w:val="20"/>
        </w:rPr>
        <w:t xml:space="preserve"> организации и земеделски стопани в дадения сектор. От страна на земеделските стопани неефективната комуникация създава впечатление, че позицията</w:t>
      </w:r>
      <w:r w:rsidR="003A0393">
        <w:rPr>
          <w:rFonts w:ascii="Verdana" w:hAnsi="Verdana"/>
          <w:sz w:val="20"/>
          <w:szCs w:val="20"/>
        </w:rPr>
        <w:t xml:space="preserve"> им може да остане </w:t>
      </w:r>
      <w:proofErr w:type="spellStart"/>
      <w:r w:rsidR="003A0393">
        <w:rPr>
          <w:rFonts w:ascii="Verdana" w:hAnsi="Verdana"/>
          <w:sz w:val="20"/>
          <w:szCs w:val="20"/>
        </w:rPr>
        <w:t>незачетена</w:t>
      </w:r>
      <w:proofErr w:type="spellEnd"/>
      <w:r w:rsidR="003A0393">
        <w:rPr>
          <w:rFonts w:ascii="Verdana" w:hAnsi="Verdana"/>
          <w:sz w:val="20"/>
          <w:szCs w:val="20"/>
        </w:rPr>
        <w:t xml:space="preserve">, </w:t>
      </w:r>
      <w:r w:rsidRPr="000542D7">
        <w:rPr>
          <w:rFonts w:ascii="Verdana" w:hAnsi="Verdana"/>
          <w:sz w:val="20"/>
          <w:szCs w:val="20"/>
        </w:rPr>
        <w:t>а направените предложения за промени в сектора да не отчитат последиците за определени групи земеделски стопани.</w:t>
      </w:r>
    </w:p>
    <w:p w:rsidR="000542D7" w:rsidRPr="000542D7" w:rsidRDefault="000542D7" w:rsidP="00E754B2">
      <w:pPr>
        <w:spacing w:line="360" w:lineRule="auto"/>
        <w:ind w:firstLine="720"/>
        <w:jc w:val="both"/>
        <w:rPr>
          <w:rFonts w:ascii="Verdana" w:hAnsi="Verdana"/>
          <w:sz w:val="20"/>
          <w:szCs w:val="20"/>
        </w:rPr>
      </w:pPr>
      <w:r w:rsidRPr="000542D7">
        <w:rPr>
          <w:rFonts w:ascii="Verdana" w:hAnsi="Verdana"/>
          <w:sz w:val="20"/>
          <w:szCs w:val="20"/>
        </w:rPr>
        <w:t xml:space="preserve">Прилагането на </w:t>
      </w:r>
      <w:r w:rsidR="002A5D2A" w:rsidRPr="002A5D2A">
        <w:rPr>
          <w:rFonts w:ascii="Verdana" w:hAnsi="Verdana"/>
          <w:sz w:val="20"/>
          <w:szCs w:val="20"/>
        </w:rPr>
        <w:t xml:space="preserve">Закон за представителните браншови организации за производство и преработка на селскостопански продукти </w:t>
      </w:r>
      <w:r w:rsidRPr="000542D7">
        <w:rPr>
          <w:rFonts w:ascii="Verdana" w:hAnsi="Verdana"/>
          <w:sz w:val="20"/>
          <w:szCs w:val="20"/>
        </w:rPr>
        <w:t xml:space="preserve">е стъпка в посока повишаване на информираността за вида на земеделските стопани, заетите в </w:t>
      </w:r>
      <w:proofErr w:type="spellStart"/>
      <w:r w:rsidRPr="000542D7">
        <w:rPr>
          <w:rFonts w:ascii="Verdana" w:hAnsi="Verdana"/>
          <w:sz w:val="20"/>
          <w:szCs w:val="20"/>
        </w:rPr>
        <w:t>агробизнеса</w:t>
      </w:r>
      <w:proofErr w:type="spellEnd"/>
      <w:r w:rsidRPr="000542D7">
        <w:rPr>
          <w:rFonts w:ascii="Verdana" w:hAnsi="Verdana"/>
          <w:sz w:val="20"/>
          <w:szCs w:val="20"/>
        </w:rPr>
        <w:t xml:space="preserve">, отглежданите и  произвежданите продукти в България, имащи важна роля в осигуряване на  продоволствената сигурност и осъществяването на амбицията ни като страна-членка на ЕС земеделските производители в Република България да бъдат обединени и сами да решават кой да ги представлява пред органите на централната и местната администрация и да защитава интересите им. </w:t>
      </w:r>
    </w:p>
    <w:p w:rsidR="000542D7" w:rsidRPr="000542D7" w:rsidRDefault="000542D7" w:rsidP="00E754B2">
      <w:pPr>
        <w:spacing w:line="360" w:lineRule="auto"/>
        <w:ind w:firstLine="720"/>
        <w:jc w:val="both"/>
        <w:rPr>
          <w:rFonts w:ascii="Verdana" w:hAnsi="Verdana"/>
          <w:sz w:val="20"/>
          <w:szCs w:val="20"/>
        </w:rPr>
      </w:pPr>
      <w:r w:rsidRPr="000542D7">
        <w:rPr>
          <w:rFonts w:ascii="Verdana" w:hAnsi="Verdana"/>
          <w:sz w:val="20"/>
          <w:szCs w:val="20"/>
        </w:rPr>
        <w:t>Законопроектът ще допринесе за очакваните ползи за земеделските производители и бизнес операторите, които, функционирайки обединени на национално, регионално и областно ниво, ще имат обща визия за развитие, прозрачен избор за членство и представителност и регламентирани отношения с държавните институции.</w:t>
      </w:r>
    </w:p>
    <w:p w:rsidR="000542D7" w:rsidRPr="000542D7" w:rsidRDefault="000542D7" w:rsidP="00E754B2">
      <w:pPr>
        <w:spacing w:line="360" w:lineRule="auto"/>
        <w:ind w:firstLine="720"/>
        <w:jc w:val="both"/>
        <w:rPr>
          <w:rFonts w:ascii="Verdana" w:hAnsi="Verdana"/>
          <w:sz w:val="20"/>
          <w:szCs w:val="20"/>
        </w:rPr>
      </w:pPr>
      <w:r w:rsidRPr="000542D7">
        <w:rPr>
          <w:rFonts w:ascii="Verdana" w:hAnsi="Verdana"/>
          <w:sz w:val="20"/>
          <w:szCs w:val="20"/>
        </w:rPr>
        <w:t xml:space="preserve">Законопроектът има за </w:t>
      </w:r>
      <w:r w:rsidR="00F04935">
        <w:rPr>
          <w:rFonts w:ascii="Verdana" w:hAnsi="Verdana"/>
          <w:sz w:val="20"/>
          <w:szCs w:val="20"/>
        </w:rPr>
        <w:t>цел</w:t>
      </w:r>
      <w:r w:rsidRPr="000542D7">
        <w:rPr>
          <w:rFonts w:ascii="Verdana" w:hAnsi="Verdana"/>
          <w:sz w:val="20"/>
          <w:szCs w:val="20"/>
        </w:rPr>
        <w:t xml:space="preserve"> </w:t>
      </w:r>
      <w:r w:rsidR="00F04935">
        <w:rPr>
          <w:rFonts w:ascii="Verdana" w:hAnsi="Verdana"/>
          <w:sz w:val="20"/>
          <w:szCs w:val="20"/>
        </w:rPr>
        <w:t>определяне на</w:t>
      </w:r>
      <w:r w:rsidRPr="000542D7">
        <w:rPr>
          <w:rFonts w:ascii="Verdana" w:hAnsi="Verdana"/>
          <w:sz w:val="20"/>
          <w:szCs w:val="20"/>
        </w:rPr>
        <w:t xml:space="preserve"> критериите за представителност на браншовите организации за производство и преработка на селскостопански продукти в Република България, което ще допринесе за яснота, кои са основните представители на различните браншове, които представляват земеделските стопани и </w:t>
      </w:r>
      <w:proofErr w:type="spellStart"/>
      <w:r w:rsidRPr="000542D7">
        <w:rPr>
          <w:rFonts w:ascii="Verdana" w:hAnsi="Verdana"/>
          <w:sz w:val="20"/>
          <w:szCs w:val="20"/>
        </w:rPr>
        <w:t>агробизнеса</w:t>
      </w:r>
      <w:proofErr w:type="spellEnd"/>
      <w:r w:rsidRPr="000542D7">
        <w:rPr>
          <w:rFonts w:ascii="Verdana" w:hAnsi="Verdana"/>
          <w:sz w:val="20"/>
          <w:szCs w:val="20"/>
        </w:rPr>
        <w:t xml:space="preserve"> в </w:t>
      </w:r>
      <w:r w:rsidR="005F61B7" w:rsidRPr="000542D7">
        <w:rPr>
          <w:rFonts w:ascii="Verdana" w:hAnsi="Verdana"/>
          <w:sz w:val="20"/>
          <w:szCs w:val="20"/>
        </w:rPr>
        <w:t>Министерство</w:t>
      </w:r>
      <w:r w:rsidR="005F61B7">
        <w:rPr>
          <w:rFonts w:ascii="Verdana" w:hAnsi="Verdana"/>
          <w:sz w:val="20"/>
          <w:szCs w:val="20"/>
        </w:rPr>
        <w:t xml:space="preserve"> </w:t>
      </w:r>
      <w:r w:rsidR="005F61B7" w:rsidRPr="000542D7">
        <w:rPr>
          <w:rFonts w:ascii="Verdana" w:hAnsi="Verdana"/>
          <w:sz w:val="20"/>
          <w:szCs w:val="20"/>
        </w:rPr>
        <w:t>на земеделието</w:t>
      </w:r>
      <w:r w:rsidRPr="000542D7">
        <w:rPr>
          <w:rFonts w:ascii="Verdana" w:hAnsi="Verdana"/>
          <w:sz w:val="20"/>
          <w:szCs w:val="20"/>
        </w:rPr>
        <w:t xml:space="preserve">. Създаване на нормативна рамка </w:t>
      </w:r>
      <w:r w:rsidR="00F04935">
        <w:rPr>
          <w:rFonts w:ascii="Verdana" w:hAnsi="Verdana"/>
          <w:sz w:val="20"/>
          <w:szCs w:val="20"/>
        </w:rPr>
        <w:t>ще</w:t>
      </w:r>
      <w:r w:rsidRPr="000542D7">
        <w:rPr>
          <w:rFonts w:ascii="Verdana" w:hAnsi="Verdana"/>
          <w:sz w:val="20"/>
          <w:szCs w:val="20"/>
        </w:rPr>
        <w:t xml:space="preserve"> осигури еднакво третиране при определяне на представителността на земеделските обединения. С </w:t>
      </w:r>
      <w:r w:rsidRPr="000542D7">
        <w:rPr>
          <w:rFonts w:ascii="Verdana" w:hAnsi="Verdana"/>
          <w:sz w:val="20"/>
          <w:szCs w:val="20"/>
        </w:rPr>
        <w:lastRenderedPageBreak/>
        <w:t>ефективното ѝ прилагане ще се гарантира по най-добрия начин представителността на различните браншове в сектор „Земеделие“.</w:t>
      </w:r>
    </w:p>
    <w:p w:rsidR="000542D7" w:rsidRPr="000542D7" w:rsidRDefault="0078649D" w:rsidP="00E754B2">
      <w:pPr>
        <w:spacing w:line="360" w:lineRule="auto"/>
        <w:ind w:firstLine="720"/>
        <w:jc w:val="both"/>
        <w:rPr>
          <w:rFonts w:ascii="Verdana" w:hAnsi="Verdana"/>
          <w:sz w:val="20"/>
          <w:szCs w:val="20"/>
        </w:rPr>
      </w:pPr>
      <w:r w:rsidRPr="0078649D">
        <w:rPr>
          <w:rFonts w:ascii="Verdana" w:hAnsi="Verdana"/>
          <w:sz w:val="20"/>
          <w:szCs w:val="20"/>
        </w:rPr>
        <w:t xml:space="preserve">Законът ще има за цел създаване на публичен регистър, подържан </w:t>
      </w:r>
      <w:r w:rsidR="0066388F">
        <w:rPr>
          <w:rFonts w:ascii="Verdana" w:hAnsi="Verdana"/>
          <w:sz w:val="20"/>
          <w:szCs w:val="20"/>
        </w:rPr>
        <w:t xml:space="preserve">от </w:t>
      </w:r>
      <w:r w:rsidRPr="0078649D">
        <w:rPr>
          <w:rFonts w:ascii="Verdana" w:hAnsi="Verdana"/>
          <w:sz w:val="20"/>
          <w:szCs w:val="20"/>
        </w:rPr>
        <w:t>Министерство на земеделието, чрез който да бъдат видими представителните браншови организации, членовете</w:t>
      </w:r>
      <w:r w:rsidR="0066388F">
        <w:rPr>
          <w:rFonts w:ascii="Verdana" w:hAnsi="Verdana"/>
          <w:sz w:val="20"/>
          <w:szCs w:val="20"/>
        </w:rPr>
        <w:t>,</w:t>
      </w:r>
      <w:r w:rsidRPr="0078649D">
        <w:rPr>
          <w:rFonts w:ascii="Verdana" w:hAnsi="Verdana"/>
          <w:sz w:val="20"/>
          <w:szCs w:val="20"/>
        </w:rPr>
        <w:t xml:space="preserve"> които те представляват, яснота, кои земеделски браншове с каква представителност са в съответствие</w:t>
      </w:r>
      <w:r>
        <w:rPr>
          <w:rFonts w:ascii="Verdana" w:hAnsi="Verdana"/>
          <w:sz w:val="20"/>
          <w:szCs w:val="20"/>
        </w:rPr>
        <w:t xml:space="preserve"> </w:t>
      </w:r>
      <w:r w:rsidR="000542D7" w:rsidRPr="000542D7">
        <w:rPr>
          <w:rFonts w:ascii="Verdana" w:hAnsi="Verdana"/>
          <w:sz w:val="20"/>
          <w:szCs w:val="20"/>
        </w:rPr>
        <w:t>с Правилата за определяне на национално, регионално и областно представителни браншови организации, част от Стратегическия план на Република България, което определя потребността от създаване на законова рамка.</w:t>
      </w:r>
    </w:p>
    <w:p w:rsidR="000542D7" w:rsidRPr="000542D7" w:rsidRDefault="000542D7" w:rsidP="00E754B2">
      <w:pPr>
        <w:spacing w:line="360" w:lineRule="auto"/>
        <w:ind w:firstLine="720"/>
        <w:jc w:val="both"/>
        <w:rPr>
          <w:rFonts w:ascii="Verdana" w:hAnsi="Verdana"/>
          <w:sz w:val="20"/>
          <w:szCs w:val="20"/>
        </w:rPr>
      </w:pPr>
      <w:r w:rsidRPr="000542D7">
        <w:rPr>
          <w:rFonts w:ascii="Verdana" w:hAnsi="Verdana"/>
          <w:sz w:val="20"/>
          <w:szCs w:val="20"/>
        </w:rPr>
        <w:t>Законопроектът ще донесе ползи за земеделските производители и бизнес операторите, които, функционирайки обединени на национално, регионално и областно ниво, ще имат обща визия за развитие, прозрачен избор за членство и представителност и регламентирани отношения с държавните институции.</w:t>
      </w:r>
    </w:p>
    <w:p w:rsidR="000542D7" w:rsidRPr="000542D7" w:rsidRDefault="000542D7" w:rsidP="00E754B2">
      <w:pPr>
        <w:spacing w:line="360" w:lineRule="auto"/>
        <w:ind w:firstLine="720"/>
        <w:jc w:val="both"/>
        <w:rPr>
          <w:rFonts w:ascii="Verdana" w:hAnsi="Verdana"/>
          <w:sz w:val="20"/>
          <w:szCs w:val="20"/>
        </w:rPr>
      </w:pPr>
      <w:r w:rsidRPr="000542D7">
        <w:rPr>
          <w:rFonts w:ascii="Verdana" w:hAnsi="Verdana"/>
          <w:sz w:val="20"/>
          <w:szCs w:val="20"/>
        </w:rPr>
        <w:t xml:space="preserve">В законопроекта са въведени специфични изисквания, въз основа на които </w:t>
      </w:r>
      <w:r w:rsidR="006B7417" w:rsidRPr="000542D7">
        <w:rPr>
          <w:rFonts w:ascii="Verdana" w:hAnsi="Verdana"/>
          <w:sz w:val="20"/>
          <w:szCs w:val="20"/>
        </w:rPr>
        <w:t xml:space="preserve">областно, регионално и национално представителни браншови организации за производство и преработка на селскостопански продукти </w:t>
      </w:r>
      <w:r w:rsidRPr="000542D7">
        <w:rPr>
          <w:rFonts w:ascii="Verdana" w:hAnsi="Verdana"/>
          <w:sz w:val="20"/>
          <w:szCs w:val="20"/>
        </w:rPr>
        <w:t>д</w:t>
      </w:r>
      <w:r w:rsidR="0066388F">
        <w:rPr>
          <w:rFonts w:ascii="Verdana" w:hAnsi="Verdana"/>
          <w:sz w:val="20"/>
          <w:szCs w:val="20"/>
        </w:rPr>
        <w:t>а бъдат вписани в регистъра на М</w:t>
      </w:r>
      <w:r w:rsidRPr="000542D7">
        <w:rPr>
          <w:rFonts w:ascii="Verdana" w:hAnsi="Verdana"/>
          <w:sz w:val="20"/>
          <w:szCs w:val="20"/>
        </w:rPr>
        <w:t>инистерство на земеделието, които най – общо се свеждат до следното:</w:t>
      </w:r>
    </w:p>
    <w:p w:rsidR="00543B69" w:rsidRDefault="006B7417" w:rsidP="00E754B2">
      <w:pPr>
        <w:pStyle w:val="ListParagraph"/>
        <w:numPr>
          <w:ilvl w:val="0"/>
          <w:numId w:val="4"/>
        </w:numPr>
        <w:spacing w:line="360" w:lineRule="auto"/>
        <w:ind w:left="0" w:firstLine="720"/>
        <w:jc w:val="both"/>
        <w:rPr>
          <w:rFonts w:ascii="Verdana" w:hAnsi="Verdana"/>
          <w:sz w:val="20"/>
          <w:szCs w:val="20"/>
        </w:rPr>
      </w:pPr>
      <w:r>
        <w:rPr>
          <w:rFonts w:ascii="Verdana" w:hAnsi="Verdana"/>
          <w:sz w:val="20"/>
          <w:szCs w:val="20"/>
        </w:rPr>
        <w:t>При о</w:t>
      </w:r>
      <w:r w:rsidR="000542D7" w:rsidRPr="00543B69">
        <w:rPr>
          <w:rFonts w:ascii="Verdana" w:hAnsi="Verdana"/>
          <w:sz w:val="20"/>
          <w:szCs w:val="20"/>
        </w:rPr>
        <w:t>бластно представителна браншова организация в различните браншове са въведени критерии за определяне на представителност на сектори „Растениевъдство“</w:t>
      </w:r>
      <w:r w:rsidR="00CB2457">
        <w:rPr>
          <w:rFonts w:ascii="Verdana" w:hAnsi="Verdana"/>
          <w:sz w:val="20"/>
          <w:szCs w:val="20"/>
        </w:rPr>
        <w:t>,</w:t>
      </w:r>
      <w:r w:rsidR="000542D7" w:rsidRPr="00543B69">
        <w:rPr>
          <w:rFonts w:ascii="Verdana" w:hAnsi="Verdana"/>
          <w:sz w:val="20"/>
          <w:szCs w:val="20"/>
        </w:rPr>
        <w:t xml:space="preserve"> „Животновъдство“ и „Преработка на селскостопански пр</w:t>
      </w:r>
      <w:r w:rsidR="008F7E08">
        <w:rPr>
          <w:rFonts w:ascii="Verdana" w:hAnsi="Verdana"/>
          <w:sz w:val="20"/>
          <w:szCs w:val="20"/>
        </w:rPr>
        <w:t xml:space="preserve">одукти“. Критериите се свеждат </w:t>
      </w:r>
      <w:r w:rsidR="000542D7" w:rsidRPr="00543B69">
        <w:rPr>
          <w:rFonts w:ascii="Verdana" w:hAnsi="Verdana"/>
          <w:sz w:val="20"/>
          <w:szCs w:val="20"/>
        </w:rPr>
        <w:t>най – общо до минимален брой членове за съответната област и процентно съотношение на представителност спрямо официално регистрираните производители и/или преработватели на даден</w:t>
      </w:r>
      <w:r w:rsidR="00CB2457">
        <w:rPr>
          <w:rFonts w:ascii="Verdana" w:hAnsi="Verdana"/>
          <w:sz w:val="20"/>
          <w:szCs w:val="20"/>
        </w:rPr>
        <w:t>/и</w:t>
      </w:r>
      <w:r w:rsidR="000542D7" w:rsidRPr="00543B69">
        <w:rPr>
          <w:rFonts w:ascii="Verdana" w:hAnsi="Verdana"/>
          <w:sz w:val="20"/>
          <w:szCs w:val="20"/>
        </w:rPr>
        <w:t xml:space="preserve"> селскостопански продукт/и за съответната/</w:t>
      </w:r>
      <w:proofErr w:type="spellStart"/>
      <w:r w:rsidR="000542D7" w:rsidRPr="00543B69">
        <w:rPr>
          <w:rFonts w:ascii="Verdana" w:hAnsi="Verdana"/>
          <w:sz w:val="20"/>
          <w:szCs w:val="20"/>
        </w:rPr>
        <w:t>ите</w:t>
      </w:r>
      <w:proofErr w:type="spellEnd"/>
      <w:r w:rsidR="000542D7" w:rsidRPr="00543B69">
        <w:rPr>
          <w:rFonts w:ascii="Verdana" w:hAnsi="Verdana"/>
          <w:sz w:val="20"/>
          <w:szCs w:val="20"/>
        </w:rPr>
        <w:t xml:space="preserve"> област/и. Предвидени са и варианти, в случай че производителите и/или преработвателите на селскостопански продукти не отговарят на </w:t>
      </w:r>
      <w:r w:rsidR="00CB2457">
        <w:rPr>
          <w:rFonts w:ascii="Verdana" w:hAnsi="Verdana"/>
          <w:sz w:val="20"/>
          <w:szCs w:val="20"/>
        </w:rPr>
        <w:t>нито едно</w:t>
      </w:r>
      <w:r w:rsidR="000542D7" w:rsidRPr="00543B69">
        <w:rPr>
          <w:rFonts w:ascii="Verdana" w:hAnsi="Verdana"/>
          <w:sz w:val="20"/>
          <w:szCs w:val="20"/>
        </w:rPr>
        <w:t xml:space="preserve"> от горепосочените изисквания поради териториални или други специфики на конкретния продукт, </w:t>
      </w:r>
      <w:r w:rsidR="00CB2457">
        <w:rPr>
          <w:rFonts w:ascii="Verdana" w:eastAsia="Calibri" w:hAnsi="Verdana"/>
          <w:iCs/>
          <w:sz w:val="20"/>
          <w:szCs w:val="20"/>
        </w:rPr>
        <w:t xml:space="preserve">също </w:t>
      </w:r>
      <w:r w:rsidR="00CB2457" w:rsidRPr="004B3A3C">
        <w:rPr>
          <w:rFonts w:ascii="Verdana" w:eastAsia="Calibri" w:hAnsi="Verdana"/>
          <w:iCs/>
          <w:sz w:val="20"/>
          <w:szCs w:val="20"/>
        </w:rPr>
        <w:t>да</w:t>
      </w:r>
      <w:r w:rsidR="00CB2457">
        <w:rPr>
          <w:rFonts w:ascii="Verdana" w:eastAsia="Calibri" w:hAnsi="Verdana"/>
          <w:iCs/>
          <w:sz w:val="20"/>
          <w:szCs w:val="20"/>
        </w:rPr>
        <w:t xml:space="preserve"> могат да</w:t>
      </w:r>
      <w:r w:rsidR="00CB2457" w:rsidRPr="004B3A3C">
        <w:rPr>
          <w:rFonts w:ascii="Verdana" w:eastAsia="Calibri" w:hAnsi="Verdana"/>
          <w:iCs/>
          <w:sz w:val="20"/>
          <w:szCs w:val="20"/>
        </w:rPr>
        <w:t xml:space="preserve"> образуват </w:t>
      </w:r>
      <w:r w:rsidR="000542D7" w:rsidRPr="00543B69">
        <w:rPr>
          <w:rFonts w:ascii="Verdana" w:hAnsi="Verdana"/>
          <w:sz w:val="20"/>
          <w:szCs w:val="20"/>
        </w:rPr>
        <w:t>областно представителна браншова организация от най-малко 7 члена, които имат регистриран или одобрен обект за производство и/или преработка по Закона за храните и по Закона за фуражите за съответния бранш</w:t>
      </w:r>
      <w:r w:rsidR="008F7E08">
        <w:rPr>
          <w:rFonts w:ascii="Verdana" w:hAnsi="Verdana"/>
          <w:sz w:val="20"/>
          <w:szCs w:val="20"/>
        </w:rPr>
        <w:t>;</w:t>
      </w:r>
    </w:p>
    <w:p w:rsidR="00543B69" w:rsidRDefault="00CB2457" w:rsidP="00E754B2">
      <w:pPr>
        <w:pStyle w:val="ListParagraph"/>
        <w:numPr>
          <w:ilvl w:val="0"/>
          <w:numId w:val="4"/>
        </w:numPr>
        <w:spacing w:line="360" w:lineRule="auto"/>
        <w:ind w:left="0" w:firstLine="720"/>
        <w:jc w:val="both"/>
        <w:rPr>
          <w:rFonts w:ascii="Verdana" w:hAnsi="Verdana"/>
          <w:sz w:val="20"/>
          <w:szCs w:val="20"/>
        </w:rPr>
      </w:pPr>
      <w:r>
        <w:rPr>
          <w:rFonts w:ascii="Verdana" w:hAnsi="Verdana"/>
          <w:sz w:val="20"/>
          <w:szCs w:val="20"/>
        </w:rPr>
        <w:t>Специфичното</w:t>
      </w:r>
      <w:r w:rsidR="006B7417">
        <w:rPr>
          <w:rFonts w:ascii="Verdana" w:hAnsi="Verdana"/>
          <w:sz w:val="20"/>
          <w:szCs w:val="20"/>
        </w:rPr>
        <w:t xml:space="preserve"> изискване при р</w:t>
      </w:r>
      <w:r w:rsidR="000542D7" w:rsidRPr="00543B69">
        <w:rPr>
          <w:rFonts w:ascii="Verdana" w:hAnsi="Verdana"/>
          <w:sz w:val="20"/>
          <w:szCs w:val="20"/>
        </w:rPr>
        <w:t>егионално представителн</w:t>
      </w:r>
      <w:r w:rsidR="006B7417">
        <w:rPr>
          <w:rFonts w:ascii="Verdana" w:hAnsi="Verdana"/>
          <w:sz w:val="20"/>
          <w:szCs w:val="20"/>
        </w:rPr>
        <w:t>а</w:t>
      </w:r>
      <w:r w:rsidR="000542D7" w:rsidRPr="00543B69">
        <w:rPr>
          <w:rFonts w:ascii="Verdana" w:hAnsi="Verdana"/>
          <w:sz w:val="20"/>
          <w:szCs w:val="20"/>
        </w:rPr>
        <w:t xml:space="preserve"> браншова организация е, че в </w:t>
      </w:r>
      <w:r w:rsidR="006B7417">
        <w:rPr>
          <w:rFonts w:ascii="Verdana" w:hAnsi="Verdana"/>
          <w:sz w:val="20"/>
          <w:szCs w:val="20"/>
        </w:rPr>
        <w:t xml:space="preserve">нея </w:t>
      </w:r>
      <w:r w:rsidR="000542D7" w:rsidRPr="00543B69">
        <w:rPr>
          <w:rFonts w:ascii="Verdana" w:hAnsi="Verdana"/>
          <w:sz w:val="20"/>
          <w:szCs w:val="20"/>
        </w:rPr>
        <w:t>трябва да членуват най-малко две областно представителни браншови организации от един и същи сектор и бранш, които трябва да бъдат в териториална непрекъснатост в областите, от които обединява членове</w:t>
      </w:r>
      <w:r w:rsidR="008F7E08">
        <w:rPr>
          <w:rFonts w:ascii="Verdana" w:hAnsi="Verdana"/>
          <w:sz w:val="20"/>
          <w:szCs w:val="20"/>
        </w:rPr>
        <w:t>;</w:t>
      </w:r>
    </w:p>
    <w:p w:rsidR="00092493" w:rsidRDefault="006B7417" w:rsidP="00E754B2">
      <w:pPr>
        <w:pStyle w:val="ListParagraph"/>
        <w:numPr>
          <w:ilvl w:val="0"/>
          <w:numId w:val="4"/>
        </w:numPr>
        <w:spacing w:line="360" w:lineRule="auto"/>
        <w:ind w:left="0" w:firstLine="720"/>
        <w:jc w:val="both"/>
        <w:rPr>
          <w:rFonts w:ascii="Verdana" w:hAnsi="Verdana"/>
          <w:sz w:val="20"/>
          <w:szCs w:val="20"/>
        </w:rPr>
      </w:pPr>
      <w:r>
        <w:rPr>
          <w:rFonts w:ascii="Verdana" w:hAnsi="Verdana"/>
          <w:sz w:val="20"/>
          <w:szCs w:val="20"/>
        </w:rPr>
        <w:t>При н</w:t>
      </w:r>
      <w:r w:rsidR="000542D7" w:rsidRPr="00543B69">
        <w:rPr>
          <w:rFonts w:ascii="Verdana" w:hAnsi="Verdana"/>
          <w:sz w:val="20"/>
          <w:szCs w:val="20"/>
        </w:rPr>
        <w:t>ационално представителна</w:t>
      </w:r>
      <w:r>
        <w:rPr>
          <w:rFonts w:ascii="Verdana" w:hAnsi="Verdana"/>
          <w:sz w:val="20"/>
          <w:szCs w:val="20"/>
        </w:rPr>
        <w:t>та</w:t>
      </w:r>
      <w:r w:rsidR="000542D7" w:rsidRPr="00543B69">
        <w:rPr>
          <w:rFonts w:ascii="Verdana" w:hAnsi="Verdana"/>
          <w:sz w:val="20"/>
          <w:szCs w:val="20"/>
        </w:rPr>
        <w:t xml:space="preserve"> браншова организация са определени специфични изисквания</w:t>
      </w:r>
      <w:r>
        <w:rPr>
          <w:rFonts w:ascii="Verdana" w:hAnsi="Verdana"/>
          <w:sz w:val="20"/>
          <w:szCs w:val="20"/>
        </w:rPr>
        <w:t>,</w:t>
      </w:r>
      <w:r w:rsidR="000542D7" w:rsidRPr="00543B69">
        <w:rPr>
          <w:rFonts w:ascii="Verdana" w:hAnsi="Verdana"/>
          <w:sz w:val="20"/>
          <w:szCs w:val="20"/>
        </w:rPr>
        <w:t xml:space="preserve"> на база на които обединенията д</w:t>
      </w:r>
      <w:r>
        <w:rPr>
          <w:rFonts w:ascii="Verdana" w:hAnsi="Verdana"/>
          <w:sz w:val="20"/>
          <w:szCs w:val="20"/>
        </w:rPr>
        <w:t>а бъдат вписани в регистъра на М</w:t>
      </w:r>
      <w:r w:rsidR="000542D7" w:rsidRPr="00543B69">
        <w:rPr>
          <w:rFonts w:ascii="Verdana" w:hAnsi="Verdana"/>
          <w:sz w:val="20"/>
          <w:szCs w:val="20"/>
        </w:rPr>
        <w:t>инистерство</w:t>
      </w:r>
      <w:r w:rsidR="00CB2457">
        <w:rPr>
          <w:rFonts w:ascii="Verdana" w:hAnsi="Verdana"/>
          <w:sz w:val="20"/>
          <w:szCs w:val="20"/>
        </w:rPr>
        <w:t>то</w:t>
      </w:r>
      <w:r w:rsidR="000542D7" w:rsidRPr="00543B69">
        <w:rPr>
          <w:rFonts w:ascii="Verdana" w:hAnsi="Verdana"/>
          <w:sz w:val="20"/>
          <w:szCs w:val="20"/>
        </w:rPr>
        <w:t xml:space="preserve"> на земеделието, </w:t>
      </w:r>
      <w:r w:rsidR="00CB2457">
        <w:rPr>
          <w:rFonts w:ascii="Verdana" w:hAnsi="Verdana"/>
          <w:noProof/>
          <w:sz w:val="20"/>
          <w:szCs w:val="20"/>
        </w:rPr>
        <w:t xml:space="preserve">като основно те трябва да </w:t>
      </w:r>
      <w:r w:rsidR="00CB2457">
        <w:rPr>
          <w:rFonts w:ascii="Verdana" w:eastAsia="Calibri" w:hAnsi="Verdana"/>
          <w:sz w:val="20"/>
          <w:szCs w:val="20"/>
          <w:lang w:val="ru-RU"/>
        </w:rPr>
        <w:t>обединяват</w:t>
      </w:r>
      <w:r w:rsidR="00CB2457" w:rsidRPr="004B3A3C">
        <w:rPr>
          <w:rFonts w:ascii="Verdana" w:eastAsia="Calibri" w:hAnsi="Verdana"/>
          <w:sz w:val="20"/>
          <w:szCs w:val="20"/>
          <w:lang w:val="ru-RU"/>
        </w:rPr>
        <w:t xml:space="preserve"> най-малко седем областно представителни браншови организации</w:t>
      </w:r>
      <w:r w:rsidR="00CB2457">
        <w:rPr>
          <w:rFonts w:ascii="Verdana" w:eastAsia="Calibri" w:hAnsi="Verdana"/>
          <w:sz w:val="20"/>
          <w:szCs w:val="20"/>
          <w:lang w:val="ru-RU"/>
        </w:rPr>
        <w:t>.</w:t>
      </w:r>
      <w:r w:rsidR="000542D7" w:rsidRPr="00543B69">
        <w:rPr>
          <w:rFonts w:ascii="Verdana" w:hAnsi="Verdana"/>
          <w:sz w:val="20"/>
          <w:szCs w:val="20"/>
        </w:rPr>
        <w:t xml:space="preserve"> </w:t>
      </w:r>
      <w:r>
        <w:rPr>
          <w:rFonts w:ascii="Verdana" w:hAnsi="Verdana"/>
          <w:sz w:val="20"/>
          <w:szCs w:val="20"/>
        </w:rPr>
        <w:t>И тук са предвидени възможности</w:t>
      </w:r>
      <w:r w:rsidR="000542D7" w:rsidRPr="00543B69">
        <w:rPr>
          <w:rFonts w:ascii="Verdana" w:hAnsi="Verdana"/>
          <w:sz w:val="20"/>
          <w:szCs w:val="20"/>
        </w:rPr>
        <w:t xml:space="preserve"> ако една браншова организация не отговоря на тези изисквания поради териториални или други специфики на съответния вид култури/животни,</w:t>
      </w:r>
      <w:r>
        <w:rPr>
          <w:rFonts w:ascii="Verdana" w:hAnsi="Verdana"/>
          <w:sz w:val="20"/>
          <w:szCs w:val="20"/>
        </w:rPr>
        <w:t xml:space="preserve"> да</w:t>
      </w:r>
      <w:r w:rsidR="000542D7" w:rsidRPr="00543B69">
        <w:rPr>
          <w:rFonts w:ascii="Verdana" w:hAnsi="Verdana"/>
          <w:sz w:val="20"/>
          <w:szCs w:val="20"/>
        </w:rPr>
        <w:t xml:space="preserve"> може да бъде вписана като национална само по преценка на министъра на земеделието.</w:t>
      </w:r>
    </w:p>
    <w:p w:rsidR="00D81D54" w:rsidRDefault="00D81D54" w:rsidP="00E754B2">
      <w:pPr>
        <w:spacing w:line="360" w:lineRule="auto"/>
        <w:ind w:firstLine="720"/>
        <w:jc w:val="both"/>
        <w:rPr>
          <w:rFonts w:ascii="Verdana" w:hAnsi="Verdana"/>
          <w:sz w:val="20"/>
          <w:szCs w:val="20"/>
        </w:rPr>
      </w:pPr>
    </w:p>
    <w:p w:rsidR="006B72A4" w:rsidRPr="002748F7" w:rsidRDefault="00D81D54" w:rsidP="006B72A4">
      <w:pPr>
        <w:spacing w:line="360" w:lineRule="auto"/>
        <w:ind w:firstLine="720"/>
        <w:jc w:val="both"/>
      </w:pPr>
      <w:r w:rsidRPr="002748F7">
        <w:rPr>
          <w:rFonts w:ascii="Verdana" w:hAnsi="Verdana"/>
          <w:sz w:val="20"/>
          <w:szCs w:val="20"/>
        </w:rPr>
        <w:t xml:space="preserve">Създаването на правна рамка ще изсветли </w:t>
      </w:r>
      <w:r w:rsidR="00BC3B97" w:rsidRPr="002748F7">
        <w:rPr>
          <w:rFonts w:ascii="Verdana" w:hAnsi="Verdana"/>
          <w:sz w:val="20"/>
          <w:szCs w:val="20"/>
        </w:rPr>
        <w:t xml:space="preserve">дейността на </w:t>
      </w:r>
      <w:r w:rsidRPr="002748F7">
        <w:rPr>
          <w:rFonts w:ascii="Verdana" w:hAnsi="Verdana"/>
          <w:sz w:val="20"/>
          <w:szCs w:val="20"/>
        </w:rPr>
        <w:t xml:space="preserve">браншовите организации за производство и преработка на селскостопански продукти, ще осигури прозрачност на обединенията и членовете им, обективност </w:t>
      </w:r>
      <w:r w:rsidR="000C27E9" w:rsidRPr="002748F7">
        <w:rPr>
          <w:rFonts w:ascii="Verdana" w:hAnsi="Verdana"/>
          <w:sz w:val="20"/>
          <w:szCs w:val="20"/>
        </w:rPr>
        <w:t>з</w:t>
      </w:r>
      <w:r w:rsidRPr="002748F7">
        <w:rPr>
          <w:rFonts w:ascii="Verdana" w:hAnsi="Verdana"/>
          <w:sz w:val="20"/>
          <w:szCs w:val="20"/>
        </w:rPr>
        <w:t xml:space="preserve">а ангажираните в земеделския сектор </w:t>
      </w:r>
      <w:r w:rsidR="00BC3B97" w:rsidRPr="002748F7">
        <w:rPr>
          <w:rFonts w:ascii="Verdana" w:hAnsi="Verdana"/>
          <w:sz w:val="20"/>
          <w:szCs w:val="20"/>
        </w:rPr>
        <w:t xml:space="preserve">и не на последно място ще улесни </w:t>
      </w:r>
      <w:r w:rsidR="006B7417" w:rsidRPr="002748F7">
        <w:rPr>
          <w:rFonts w:ascii="Verdana" w:hAnsi="Verdana"/>
          <w:sz w:val="20"/>
          <w:szCs w:val="20"/>
        </w:rPr>
        <w:t xml:space="preserve">и </w:t>
      </w:r>
      <w:proofErr w:type="spellStart"/>
      <w:r w:rsidR="0049057B" w:rsidRPr="002748F7">
        <w:rPr>
          <w:rFonts w:ascii="Verdana" w:hAnsi="Verdana"/>
          <w:sz w:val="20"/>
          <w:szCs w:val="20"/>
        </w:rPr>
        <w:t>обективизира</w:t>
      </w:r>
      <w:proofErr w:type="spellEnd"/>
      <w:r w:rsidR="0049057B" w:rsidRPr="002748F7">
        <w:rPr>
          <w:rFonts w:ascii="Verdana" w:hAnsi="Verdana"/>
          <w:sz w:val="20"/>
          <w:szCs w:val="20"/>
        </w:rPr>
        <w:t xml:space="preserve"> избора на Министерство на земеделието </w:t>
      </w:r>
      <w:r w:rsidR="006B7417" w:rsidRPr="002748F7">
        <w:rPr>
          <w:rFonts w:ascii="Verdana" w:hAnsi="Verdana"/>
          <w:sz w:val="20"/>
          <w:szCs w:val="20"/>
        </w:rPr>
        <w:t>с кого да работи при решаване на ключови проблеми и политики</w:t>
      </w:r>
      <w:r w:rsidR="000C27E9" w:rsidRPr="002748F7">
        <w:rPr>
          <w:rFonts w:ascii="Verdana" w:hAnsi="Verdana"/>
          <w:sz w:val="20"/>
          <w:szCs w:val="20"/>
        </w:rPr>
        <w:t xml:space="preserve"> в сектора</w:t>
      </w:r>
      <w:r w:rsidR="0049057B" w:rsidRPr="002748F7">
        <w:rPr>
          <w:rFonts w:ascii="Verdana" w:hAnsi="Verdana"/>
          <w:sz w:val="20"/>
          <w:szCs w:val="20"/>
        </w:rPr>
        <w:t>.</w:t>
      </w:r>
      <w:r w:rsidR="006B72A4" w:rsidRPr="002748F7">
        <w:t xml:space="preserve"> </w:t>
      </w:r>
    </w:p>
    <w:p w:rsidR="006B72A4" w:rsidRPr="006B72A4" w:rsidRDefault="006B72A4" w:rsidP="006B72A4">
      <w:pPr>
        <w:spacing w:line="360" w:lineRule="auto"/>
        <w:ind w:firstLine="720"/>
        <w:jc w:val="both"/>
        <w:rPr>
          <w:rFonts w:ascii="Verdana" w:hAnsi="Verdana"/>
          <w:sz w:val="20"/>
          <w:szCs w:val="20"/>
        </w:rPr>
      </w:pPr>
      <w:r w:rsidRPr="006B72A4">
        <w:rPr>
          <w:rFonts w:ascii="Verdana" w:hAnsi="Verdana"/>
          <w:sz w:val="20"/>
          <w:szCs w:val="20"/>
        </w:rPr>
        <w:t>В преходни и заключителни разпоредби на законопроекта са предвидени промени в Закона за животновъдството, в Закона за пчеларството и в Закона за храните, за да се синхронизират съответните разпоредби за признаване на браншови организации в съответните сектори.</w:t>
      </w:r>
    </w:p>
    <w:p w:rsidR="006B72A4" w:rsidRPr="006B72A4" w:rsidRDefault="006B72A4" w:rsidP="006B72A4">
      <w:pPr>
        <w:spacing w:line="360" w:lineRule="auto"/>
        <w:ind w:firstLine="720"/>
        <w:jc w:val="both"/>
        <w:rPr>
          <w:rFonts w:ascii="Verdana" w:hAnsi="Verdana"/>
          <w:sz w:val="20"/>
          <w:szCs w:val="20"/>
        </w:rPr>
      </w:pPr>
      <w:r w:rsidRPr="006B72A4">
        <w:rPr>
          <w:rFonts w:ascii="Verdana" w:hAnsi="Verdana"/>
          <w:sz w:val="20"/>
          <w:szCs w:val="20"/>
        </w:rPr>
        <w:t xml:space="preserve">В същия раздел е предвидена и промяна в Закона за опазване на селскостопанското имущество (ЗОСИ). Стопанисването на имоти в земеделски територии, обрасли с </w:t>
      </w:r>
      <w:proofErr w:type="spellStart"/>
      <w:r w:rsidRPr="006B72A4">
        <w:rPr>
          <w:rFonts w:ascii="Verdana" w:hAnsi="Verdana"/>
          <w:sz w:val="20"/>
          <w:szCs w:val="20"/>
        </w:rPr>
        <w:t>горскодървесна</w:t>
      </w:r>
      <w:proofErr w:type="spellEnd"/>
      <w:r w:rsidRPr="006B72A4">
        <w:rPr>
          <w:rFonts w:ascii="Verdana" w:hAnsi="Verdana"/>
          <w:sz w:val="20"/>
          <w:szCs w:val="20"/>
        </w:rPr>
        <w:t xml:space="preserve"> растителност, притежаващи или придобили характеристиките на гора по смисъла на Закона за горите, предизвиква сериозни проблеми, породени от различното тълкуване и прилагане на нормите на ЗОСИ и Закона за горите (ЗГ), касаещи такива имоти. Основният проблем произтича от „двойствения“ статут на тези имоти – от една страна вида на територията им е „земеделска“, със съответния начин на трайно ползване (ливада, нива, овощна градина и др.), а от друга по смисъла на Закона за горите същите тези имоти представляват „гора“ и съответно „горска територия“ – чл. 2 от ЗГ.</w:t>
      </w:r>
    </w:p>
    <w:p w:rsidR="006B72A4" w:rsidRPr="006B72A4" w:rsidRDefault="006B72A4" w:rsidP="006B72A4">
      <w:pPr>
        <w:spacing w:line="360" w:lineRule="auto"/>
        <w:ind w:firstLine="720"/>
        <w:jc w:val="both"/>
        <w:rPr>
          <w:rFonts w:ascii="Verdana" w:hAnsi="Verdana"/>
          <w:sz w:val="20"/>
          <w:szCs w:val="20"/>
        </w:rPr>
      </w:pPr>
      <w:r w:rsidRPr="006B72A4">
        <w:rPr>
          <w:rFonts w:ascii="Verdana" w:hAnsi="Verdana"/>
          <w:sz w:val="20"/>
          <w:szCs w:val="20"/>
        </w:rPr>
        <w:t xml:space="preserve">Различното прилагане на разпоредбите на чл. 32, ал. 2 и 3 от ЗОСИ от страна на длъжностни лица от местната администрация, в някои случаи водят до изсичане на значителни площи от имоти-общинска собственост, които реално са гори на възраст над 40-50 години и са със значителни запаси дървесина. </w:t>
      </w:r>
    </w:p>
    <w:p w:rsidR="006B72A4" w:rsidRPr="006B72A4" w:rsidRDefault="006B72A4" w:rsidP="006B72A4">
      <w:pPr>
        <w:spacing w:line="360" w:lineRule="auto"/>
        <w:ind w:firstLine="720"/>
        <w:jc w:val="both"/>
        <w:rPr>
          <w:rFonts w:ascii="Verdana" w:hAnsi="Verdana"/>
          <w:sz w:val="20"/>
          <w:szCs w:val="20"/>
        </w:rPr>
      </w:pPr>
      <w:r w:rsidRPr="006B72A4">
        <w:rPr>
          <w:rFonts w:ascii="Verdana" w:hAnsi="Verdana"/>
          <w:sz w:val="20"/>
          <w:szCs w:val="20"/>
        </w:rPr>
        <w:t>В много случаи, собствениците подават декларации по чл. 83 и 84 от Закона за горите до кмета на района или кметството, но получават отказ да им се издаде съответното разрешение за премахване на дървесната растителност, което от своя страна води до фактическа невъзможност за упражняване на правото на собственост върху тези имоти и ползването им по предназначение.</w:t>
      </w:r>
    </w:p>
    <w:p w:rsidR="006B72A4" w:rsidRPr="006B72A4" w:rsidRDefault="006B72A4" w:rsidP="006B72A4">
      <w:pPr>
        <w:spacing w:line="360" w:lineRule="auto"/>
        <w:ind w:firstLine="720"/>
        <w:jc w:val="both"/>
        <w:rPr>
          <w:rFonts w:ascii="Verdana" w:hAnsi="Verdana"/>
          <w:sz w:val="20"/>
          <w:szCs w:val="20"/>
        </w:rPr>
      </w:pPr>
      <w:r w:rsidRPr="006B72A4">
        <w:rPr>
          <w:rFonts w:ascii="Verdana" w:hAnsi="Verdana"/>
          <w:sz w:val="20"/>
          <w:szCs w:val="20"/>
        </w:rPr>
        <w:t xml:space="preserve">Съществен проблем при осъществяването на контрол по отношение на отсичането на дървесна и храстова растителност в имоти – земеделски територии, се явява и практическата невъзможност за удостоверяването на наличие на разрешение за тази дейност, както и какво и при какви условия е разрешено. </w:t>
      </w:r>
    </w:p>
    <w:p w:rsidR="006B72A4" w:rsidRPr="006B72A4" w:rsidRDefault="006B72A4" w:rsidP="006B72A4">
      <w:pPr>
        <w:spacing w:line="360" w:lineRule="auto"/>
        <w:ind w:firstLine="720"/>
        <w:jc w:val="both"/>
        <w:rPr>
          <w:rFonts w:ascii="Verdana" w:hAnsi="Verdana"/>
          <w:sz w:val="20"/>
          <w:szCs w:val="20"/>
        </w:rPr>
      </w:pPr>
      <w:r w:rsidRPr="006B72A4">
        <w:rPr>
          <w:rFonts w:ascii="Verdana" w:hAnsi="Verdana"/>
          <w:sz w:val="20"/>
          <w:szCs w:val="20"/>
        </w:rPr>
        <w:t xml:space="preserve">Като имаме предвид, че към настоящия момент със Закона за горите и подзаконовата нормативна уредба, в т. ч. и чрез образците на съответните документи, са регламентирани частично или изцяло дейностите по добив и транспорт на дървесина от горските територии, управлявани от Министерството на околната среда и водите, каквито са националните паркове, както и транспорта на дървесина, добита извън горски територии, в т. ч. и от земеделски имоти,  </w:t>
      </w:r>
      <w:r>
        <w:rPr>
          <w:rFonts w:ascii="Verdana" w:hAnsi="Verdana"/>
          <w:sz w:val="20"/>
          <w:szCs w:val="20"/>
        </w:rPr>
        <w:t>се предлага</w:t>
      </w:r>
      <w:r w:rsidRPr="006B72A4">
        <w:rPr>
          <w:rFonts w:ascii="Verdana" w:hAnsi="Verdana"/>
          <w:sz w:val="20"/>
          <w:szCs w:val="20"/>
        </w:rPr>
        <w:t xml:space="preserve"> разрешенията по </w:t>
      </w:r>
      <w:r w:rsidRPr="006B72A4">
        <w:rPr>
          <w:rFonts w:ascii="Verdana" w:hAnsi="Verdana"/>
          <w:sz w:val="20"/>
          <w:szCs w:val="20"/>
        </w:rPr>
        <w:lastRenderedPageBreak/>
        <w:t xml:space="preserve">чл. 32, ал. 2 и 3 от ЗОСИ да се издават чрез информационната система на Изпълнителна агенция по горите (ИАГ), по аналогия с издаването на позволителните за сеч, като образците за разрешения да бъдат определени със заповед на министъра на земеделието, която да се публикуват на интернет страниците на Министерството на земеделието и Изпълнителна агенция по горите. </w:t>
      </w:r>
    </w:p>
    <w:p w:rsidR="006B72A4" w:rsidRPr="006B72A4" w:rsidRDefault="006B72A4" w:rsidP="006B72A4">
      <w:pPr>
        <w:spacing w:line="360" w:lineRule="auto"/>
        <w:ind w:firstLine="720"/>
        <w:jc w:val="both"/>
        <w:rPr>
          <w:rFonts w:ascii="Verdana" w:hAnsi="Verdana"/>
          <w:sz w:val="20"/>
          <w:szCs w:val="20"/>
        </w:rPr>
      </w:pPr>
      <w:r w:rsidRPr="006B72A4">
        <w:rPr>
          <w:rFonts w:ascii="Verdana" w:hAnsi="Verdana"/>
          <w:sz w:val="20"/>
          <w:szCs w:val="20"/>
        </w:rPr>
        <w:t xml:space="preserve">В заповедта също така ще се посочи и редът, условията и лицата, които ще издават разрешенията, както и начинът за получаване на контролиран достъп до информационната </w:t>
      </w:r>
      <w:r>
        <w:rPr>
          <w:rFonts w:ascii="Verdana" w:hAnsi="Verdana"/>
          <w:sz w:val="20"/>
          <w:szCs w:val="20"/>
        </w:rPr>
        <w:t>система на ИАГ и др. Образците на разрешения ще</w:t>
      </w:r>
      <w:r w:rsidRPr="006B72A4">
        <w:rPr>
          <w:rFonts w:ascii="Verdana" w:hAnsi="Verdana"/>
          <w:sz w:val="20"/>
          <w:szCs w:val="20"/>
        </w:rPr>
        <w:t xml:space="preserve"> съдържат поне следните задължителни реквизити: данни за общината; населеното място; идентификатор на имота; данни на лицето, на което се разрешава отсичане/почистване на дървесно-храстова растителност; вид собственост; основни данни за подлежащите на отсичане дървета/растителност; място на складиране на дървесината преди нейното транспортиране; издал разрешението; получил разрешението и други. </w:t>
      </w:r>
    </w:p>
    <w:p w:rsidR="006B72A4" w:rsidRPr="006B72A4" w:rsidRDefault="006B72A4" w:rsidP="006B72A4">
      <w:pPr>
        <w:spacing w:line="360" w:lineRule="auto"/>
        <w:ind w:firstLine="720"/>
        <w:jc w:val="both"/>
        <w:rPr>
          <w:rFonts w:ascii="Verdana" w:hAnsi="Verdana"/>
          <w:sz w:val="20"/>
          <w:szCs w:val="20"/>
        </w:rPr>
      </w:pPr>
      <w:r w:rsidRPr="006B72A4">
        <w:rPr>
          <w:rFonts w:ascii="Verdana" w:hAnsi="Verdana"/>
          <w:sz w:val="20"/>
          <w:szCs w:val="20"/>
        </w:rPr>
        <w:t xml:space="preserve">С предлаганите изменения и допълнения на ЗОСИ и определянето на „електронни“ образци на разрешения, ще се регламентира в достатъчна степен дейността по добива на дървесина от земеделски имоти, ще се осигури възможност за значително подобряване на контрола и отчетността, ще се ограничат злоупотребите, свързването на превозните билети към разрешенията ще става автоматично, ще се създаде публичност и прозрачност при издаването на разрешения по реда на ЗОСИ, както и до голяма степен ще отговорим на очакванията на обществеността по отношение на сечта в земеделски земи, както в случаите по чл. 32, ал. 2 и 3 от ЗОСИ, така и в случаите по чл. 82 и 83 от ЗГ. </w:t>
      </w:r>
    </w:p>
    <w:p w:rsidR="0036539B" w:rsidRPr="006B72A4" w:rsidRDefault="006B72A4" w:rsidP="006B72A4">
      <w:pPr>
        <w:spacing w:line="360" w:lineRule="auto"/>
        <w:ind w:firstLine="720"/>
        <w:jc w:val="both"/>
        <w:rPr>
          <w:rFonts w:ascii="Verdana" w:hAnsi="Verdana"/>
          <w:sz w:val="20"/>
          <w:szCs w:val="20"/>
        </w:rPr>
      </w:pPr>
      <w:r w:rsidRPr="006B72A4">
        <w:rPr>
          <w:rFonts w:ascii="Verdana" w:hAnsi="Verdana"/>
          <w:sz w:val="20"/>
          <w:szCs w:val="20"/>
        </w:rPr>
        <w:t>Размерът на предвидената в новия чл. 40б санкция е в съответствие с този, предвиден за подобен вид нарушение в чл. 257, ал. 1, т. 2 от ЗГ, тъй като нарушението е аналогично - неизпълнение от страна на длъжностни лица на възложени със закон задължения. Лицата, които ще бъдат оправомощени да съставят актове за установяване на административни нарушения за неизпълнение на задълженията по чл. 32а, както и лицата, които ще издават наказателните постановления, следва да са извън органите на местната власт и местната администрация на териториален принцип.</w:t>
      </w:r>
    </w:p>
    <w:p w:rsidR="0036539B" w:rsidRDefault="0036539B" w:rsidP="00D972C9">
      <w:pPr>
        <w:shd w:val="clear" w:color="auto" w:fill="FFFFFF"/>
        <w:tabs>
          <w:tab w:val="left" w:leader="dot" w:pos="3802"/>
        </w:tabs>
        <w:spacing w:line="360" w:lineRule="auto"/>
        <w:outlineLvl w:val="0"/>
        <w:rPr>
          <w:rFonts w:ascii="Verdana" w:hAnsi="Verdana"/>
          <w:b/>
          <w:caps/>
          <w:sz w:val="20"/>
          <w:szCs w:val="20"/>
        </w:rPr>
      </w:pPr>
    </w:p>
    <w:p w:rsidR="00D972C9" w:rsidRDefault="00D972C9" w:rsidP="00D972C9">
      <w:pPr>
        <w:shd w:val="clear" w:color="auto" w:fill="FFFFFF"/>
        <w:tabs>
          <w:tab w:val="left" w:leader="dot" w:pos="3802"/>
        </w:tabs>
        <w:spacing w:line="360" w:lineRule="auto"/>
        <w:outlineLvl w:val="0"/>
        <w:rPr>
          <w:rFonts w:ascii="Verdana" w:hAnsi="Verdana"/>
          <w:b/>
          <w:caps/>
          <w:sz w:val="20"/>
          <w:szCs w:val="20"/>
        </w:rPr>
      </w:pPr>
    </w:p>
    <w:p w:rsidR="0036539B" w:rsidRDefault="0036539B" w:rsidP="00D972C9">
      <w:pPr>
        <w:shd w:val="clear" w:color="auto" w:fill="FFFFFF"/>
        <w:tabs>
          <w:tab w:val="left" w:leader="dot" w:pos="3802"/>
        </w:tabs>
        <w:spacing w:line="360" w:lineRule="auto"/>
        <w:ind w:left="4139"/>
        <w:outlineLvl w:val="0"/>
        <w:rPr>
          <w:rFonts w:ascii="Verdana" w:hAnsi="Verdana"/>
          <w:b/>
          <w:caps/>
          <w:sz w:val="20"/>
          <w:szCs w:val="20"/>
        </w:rPr>
      </w:pPr>
      <w:r>
        <w:rPr>
          <w:rFonts w:ascii="Verdana" w:hAnsi="Verdana"/>
          <w:b/>
          <w:caps/>
          <w:sz w:val="20"/>
          <w:szCs w:val="20"/>
        </w:rPr>
        <w:t>МИНИСТЪР-ПРЕДСЕДАТЕЛ:</w:t>
      </w:r>
    </w:p>
    <w:p w:rsidR="0036539B" w:rsidRPr="00CF47A3" w:rsidRDefault="0036539B" w:rsidP="00D972C9">
      <w:pPr>
        <w:pStyle w:val="BodyTextIndent"/>
        <w:spacing w:after="0" w:line="360" w:lineRule="auto"/>
        <w:ind w:left="7757" w:hanging="667"/>
        <w:jc w:val="right"/>
        <w:rPr>
          <w:rFonts w:ascii="Verdana" w:hAnsi="Verdana"/>
          <w:b/>
          <w:sz w:val="20"/>
          <w:szCs w:val="20"/>
          <w:lang w:val="ru-RU"/>
        </w:rPr>
      </w:pPr>
      <w:r>
        <w:rPr>
          <w:rFonts w:ascii="Verdana" w:hAnsi="Verdana"/>
          <w:b/>
          <w:sz w:val="20"/>
          <w:szCs w:val="20"/>
        </w:rPr>
        <w:t>ГЪЛЪБ ДОНЕВ</w:t>
      </w:r>
    </w:p>
    <w:p w:rsidR="0036539B" w:rsidRDefault="0036539B" w:rsidP="0036539B">
      <w:pPr>
        <w:spacing w:line="360" w:lineRule="auto"/>
        <w:jc w:val="both"/>
        <w:rPr>
          <w:rFonts w:ascii="Verdana" w:hAnsi="Verdana"/>
          <w:sz w:val="20"/>
          <w:szCs w:val="20"/>
        </w:rPr>
      </w:pPr>
      <w:bookmarkStart w:id="0" w:name="_GoBack"/>
      <w:bookmarkEnd w:id="0"/>
    </w:p>
    <w:sectPr w:rsidR="0036539B" w:rsidSect="003A0393">
      <w:footerReference w:type="default" r:id="rId8"/>
      <w:pgSz w:w="11907" w:h="16840" w:code="9"/>
      <w:pgMar w:top="1134" w:right="1134" w:bottom="567"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EF4" w:rsidRDefault="00236EF4" w:rsidP="001E6888">
      <w:r>
        <w:separator/>
      </w:r>
    </w:p>
  </w:endnote>
  <w:endnote w:type="continuationSeparator" w:id="0">
    <w:p w:rsidR="00236EF4" w:rsidRDefault="00236EF4" w:rsidP="001E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442725"/>
      <w:docPartObj>
        <w:docPartGallery w:val="Page Numbers (Bottom of Page)"/>
        <w:docPartUnique/>
      </w:docPartObj>
    </w:sdtPr>
    <w:sdtEndPr>
      <w:rPr>
        <w:rFonts w:ascii="Verdana" w:hAnsi="Verdana"/>
        <w:noProof/>
        <w:sz w:val="20"/>
        <w:szCs w:val="20"/>
      </w:rPr>
    </w:sdtEndPr>
    <w:sdtContent>
      <w:p w:rsidR="001E6888" w:rsidRPr="001E6888" w:rsidRDefault="001E6888">
        <w:pPr>
          <w:pStyle w:val="Footer"/>
          <w:jc w:val="right"/>
          <w:rPr>
            <w:rFonts w:ascii="Verdana" w:hAnsi="Verdana"/>
            <w:sz w:val="20"/>
            <w:szCs w:val="20"/>
          </w:rPr>
        </w:pPr>
        <w:r w:rsidRPr="001E6888">
          <w:rPr>
            <w:rFonts w:ascii="Verdana" w:hAnsi="Verdana"/>
            <w:sz w:val="20"/>
            <w:szCs w:val="20"/>
          </w:rPr>
          <w:fldChar w:fldCharType="begin"/>
        </w:r>
        <w:r w:rsidRPr="001E6888">
          <w:rPr>
            <w:rFonts w:ascii="Verdana" w:hAnsi="Verdana"/>
            <w:sz w:val="20"/>
            <w:szCs w:val="20"/>
          </w:rPr>
          <w:instrText xml:space="preserve"> PAGE   \* MERGEFORMAT </w:instrText>
        </w:r>
        <w:r w:rsidRPr="001E6888">
          <w:rPr>
            <w:rFonts w:ascii="Verdana" w:hAnsi="Verdana"/>
            <w:sz w:val="20"/>
            <w:szCs w:val="20"/>
          </w:rPr>
          <w:fldChar w:fldCharType="separate"/>
        </w:r>
        <w:r w:rsidR="004526B1">
          <w:rPr>
            <w:rFonts w:ascii="Verdana" w:hAnsi="Verdana"/>
            <w:noProof/>
            <w:sz w:val="20"/>
            <w:szCs w:val="20"/>
          </w:rPr>
          <w:t>3</w:t>
        </w:r>
        <w:r w:rsidRPr="001E6888">
          <w:rPr>
            <w:rFonts w:ascii="Verdana" w:hAnsi="Verdana"/>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EF4" w:rsidRDefault="00236EF4" w:rsidP="001E6888">
      <w:r>
        <w:separator/>
      </w:r>
    </w:p>
  </w:footnote>
  <w:footnote w:type="continuationSeparator" w:id="0">
    <w:p w:rsidR="00236EF4" w:rsidRDefault="00236EF4" w:rsidP="001E6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E575A"/>
    <w:multiLevelType w:val="hybridMultilevel"/>
    <w:tmpl w:val="AE7E97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83590A"/>
    <w:multiLevelType w:val="multilevel"/>
    <w:tmpl w:val="AE7E974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19A57E16"/>
    <w:multiLevelType w:val="multilevel"/>
    <w:tmpl w:val="51326618"/>
    <w:lvl w:ilvl="0">
      <w:start w:val="1"/>
      <w:numFmt w:val="bullet"/>
      <w:suff w:val="space"/>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3F7648E1"/>
    <w:multiLevelType w:val="multilevel"/>
    <w:tmpl w:val="AE7E974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2D7"/>
    <w:rsid w:val="000472E9"/>
    <w:rsid w:val="000542D7"/>
    <w:rsid w:val="00092493"/>
    <w:rsid w:val="00095227"/>
    <w:rsid w:val="000C27E9"/>
    <w:rsid w:val="000D3F2D"/>
    <w:rsid w:val="001E6888"/>
    <w:rsid w:val="00236EF4"/>
    <w:rsid w:val="002748F7"/>
    <w:rsid w:val="002A5D2A"/>
    <w:rsid w:val="002E3912"/>
    <w:rsid w:val="00355555"/>
    <w:rsid w:val="0036539B"/>
    <w:rsid w:val="003A0393"/>
    <w:rsid w:val="003C317E"/>
    <w:rsid w:val="004526B1"/>
    <w:rsid w:val="0049057B"/>
    <w:rsid w:val="00543B69"/>
    <w:rsid w:val="00554238"/>
    <w:rsid w:val="005F61B7"/>
    <w:rsid w:val="0066388F"/>
    <w:rsid w:val="006B72A4"/>
    <w:rsid w:val="006B7417"/>
    <w:rsid w:val="00721A84"/>
    <w:rsid w:val="00782D06"/>
    <w:rsid w:val="0078649D"/>
    <w:rsid w:val="008B5DF3"/>
    <w:rsid w:val="008F7E08"/>
    <w:rsid w:val="009A3F3A"/>
    <w:rsid w:val="009B18DD"/>
    <w:rsid w:val="009C60FF"/>
    <w:rsid w:val="00A65BD9"/>
    <w:rsid w:val="00BC3B97"/>
    <w:rsid w:val="00CB2457"/>
    <w:rsid w:val="00CF47A3"/>
    <w:rsid w:val="00D81D54"/>
    <w:rsid w:val="00D972C9"/>
    <w:rsid w:val="00E44EC2"/>
    <w:rsid w:val="00E754B2"/>
    <w:rsid w:val="00E866ED"/>
    <w:rsid w:val="00F04935"/>
    <w:rsid w:val="00F60A8D"/>
    <w:rsid w:val="00FF4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E9D37-80DD-441D-8D5B-59B3D0C7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2D7"/>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B69"/>
    <w:pPr>
      <w:ind w:left="720"/>
      <w:contextualSpacing/>
    </w:pPr>
  </w:style>
  <w:style w:type="paragraph" w:styleId="BodyTextIndent">
    <w:name w:val="Body Text Indent"/>
    <w:basedOn w:val="Normal"/>
    <w:link w:val="BodyTextIndentChar"/>
    <w:semiHidden/>
    <w:unhideWhenUsed/>
    <w:rsid w:val="0036539B"/>
    <w:pPr>
      <w:spacing w:after="120"/>
      <w:ind w:left="283"/>
    </w:pPr>
  </w:style>
  <w:style w:type="character" w:customStyle="1" w:styleId="BodyTextIndentChar">
    <w:name w:val="Body Text Indent Char"/>
    <w:basedOn w:val="DefaultParagraphFont"/>
    <w:link w:val="BodyTextIndent"/>
    <w:semiHidden/>
    <w:rsid w:val="0036539B"/>
    <w:rPr>
      <w:rFonts w:ascii="Times New Roman" w:eastAsia="Times New Roman" w:hAnsi="Times New Roman" w:cs="Times New Roman"/>
      <w:sz w:val="24"/>
      <w:szCs w:val="24"/>
      <w:lang w:val="bg-BG" w:eastAsia="bg-BG"/>
    </w:rPr>
  </w:style>
  <w:style w:type="paragraph" w:styleId="Header">
    <w:name w:val="header"/>
    <w:basedOn w:val="Normal"/>
    <w:link w:val="HeaderChar"/>
    <w:uiPriority w:val="99"/>
    <w:unhideWhenUsed/>
    <w:rsid w:val="001E6888"/>
    <w:pPr>
      <w:tabs>
        <w:tab w:val="center" w:pos="4703"/>
        <w:tab w:val="right" w:pos="9406"/>
      </w:tabs>
    </w:pPr>
  </w:style>
  <w:style w:type="character" w:customStyle="1" w:styleId="HeaderChar">
    <w:name w:val="Header Char"/>
    <w:basedOn w:val="DefaultParagraphFont"/>
    <w:link w:val="Header"/>
    <w:uiPriority w:val="99"/>
    <w:rsid w:val="001E6888"/>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1E6888"/>
    <w:pPr>
      <w:tabs>
        <w:tab w:val="center" w:pos="4703"/>
        <w:tab w:val="right" w:pos="9406"/>
      </w:tabs>
    </w:pPr>
  </w:style>
  <w:style w:type="character" w:customStyle="1" w:styleId="FooterChar">
    <w:name w:val="Footer Char"/>
    <w:basedOn w:val="DefaultParagraphFont"/>
    <w:link w:val="Footer"/>
    <w:uiPriority w:val="99"/>
    <w:rsid w:val="001E6888"/>
    <w:rPr>
      <w:rFonts w:ascii="Times New Roman" w:eastAsia="Times New Roman" w:hAnsi="Times New Roman" w:cs="Times New Roman"/>
      <w:sz w:val="24"/>
      <w:szCs w:val="24"/>
      <w:lang w:val="bg-BG" w:eastAsia="bg-BG"/>
    </w:rPr>
  </w:style>
  <w:style w:type="paragraph" w:styleId="BalloonText">
    <w:name w:val="Balloon Text"/>
    <w:basedOn w:val="Normal"/>
    <w:link w:val="BalloonTextChar"/>
    <w:uiPriority w:val="99"/>
    <w:semiHidden/>
    <w:unhideWhenUsed/>
    <w:rsid w:val="002A5D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D2A"/>
    <w:rPr>
      <w:rFonts w:ascii="Segoe UI" w:eastAsia="Times New Roman" w:hAnsi="Segoe UI" w:cs="Segoe UI"/>
      <w:sz w:val="18"/>
      <w:szCs w:val="18"/>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0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4E534-055A-464A-ABF2-3E0F20D06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4</Pages>
  <Words>1613</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Aleksandrova</dc:creator>
  <cp:keywords/>
  <dc:description/>
  <cp:lastModifiedBy>Aleksandar Angelov</cp:lastModifiedBy>
  <cp:revision>26</cp:revision>
  <cp:lastPrinted>2022-12-09T10:34:00Z</cp:lastPrinted>
  <dcterms:created xsi:type="dcterms:W3CDTF">2022-10-05T08:42:00Z</dcterms:created>
  <dcterms:modified xsi:type="dcterms:W3CDTF">2022-12-09T14:09:00Z</dcterms:modified>
</cp:coreProperties>
</file>