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F6" w:rsidRPr="003E07F5" w:rsidRDefault="00F7131D" w:rsidP="003E07F5">
      <w:pPr>
        <w:spacing w:after="0" w:line="360" w:lineRule="auto"/>
        <w:jc w:val="right"/>
        <w:rPr>
          <w:rFonts w:ascii="Verdana" w:hAnsi="Verdana" w:cs="Calibri"/>
          <w:sz w:val="20"/>
          <w:szCs w:val="20"/>
          <w:lang w:val="bg-BG"/>
        </w:rPr>
      </w:pPr>
      <w:bookmarkStart w:id="0" w:name="_GoBack"/>
      <w:bookmarkEnd w:id="0"/>
      <w:r w:rsidRPr="003E07F5">
        <w:rPr>
          <w:rFonts w:ascii="Verdana" w:hAnsi="Verdana" w:cs="Calibri"/>
          <w:sz w:val="20"/>
          <w:szCs w:val="20"/>
          <w:lang w:val="bg-BG"/>
        </w:rPr>
        <w:t>Приложение 4</w:t>
      </w:r>
    </w:p>
    <w:p w:rsidR="003E07F5" w:rsidRDefault="003E07F5" w:rsidP="003E07F5">
      <w:pPr>
        <w:spacing w:after="0" w:line="360" w:lineRule="auto"/>
        <w:rPr>
          <w:rFonts w:ascii="Verdana" w:hAnsi="Verdana" w:cs="Calibri"/>
          <w:b/>
          <w:sz w:val="20"/>
          <w:szCs w:val="20"/>
          <w:lang w:val="bg-BG"/>
        </w:rPr>
      </w:pPr>
    </w:p>
    <w:p w:rsidR="003E07F5" w:rsidRPr="003E07F5" w:rsidRDefault="003E07F5" w:rsidP="003E07F5">
      <w:pPr>
        <w:spacing w:after="0" w:line="360" w:lineRule="auto"/>
        <w:rPr>
          <w:rFonts w:ascii="Verdana" w:hAnsi="Verdana" w:cs="Calibri"/>
          <w:b/>
          <w:sz w:val="20"/>
          <w:szCs w:val="20"/>
          <w:lang w:val="bg-BG"/>
        </w:rPr>
      </w:pPr>
    </w:p>
    <w:p w:rsidR="00B073F6" w:rsidRPr="003E07F5" w:rsidRDefault="00F7131D" w:rsidP="003E07F5">
      <w:pPr>
        <w:spacing w:after="0" w:line="360" w:lineRule="auto"/>
        <w:rPr>
          <w:rFonts w:ascii="Verdana" w:hAnsi="Verdana" w:cs="Calibri"/>
          <w:b/>
          <w:sz w:val="20"/>
          <w:szCs w:val="20"/>
          <w:lang w:val="bg-BG"/>
        </w:rPr>
      </w:pPr>
      <w:r w:rsidRPr="003E07F5">
        <w:rPr>
          <w:rFonts w:ascii="Verdana" w:hAnsi="Verdana" w:cs="Calibri"/>
          <w:b/>
          <w:sz w:val="20"/>
          <w:szCs w:val="20"/>
          <w:lang w:val="bg-BG"/>
        </w:rPr>
        <w:t>Ключови понятия/определения</w:t>
      </w:r>
    </w:p>
    <w:p w:rsidR="003F4504" w:rsidRPr="003E07F5" w:rsidRDefault="003F4504" w:rsidP="003E07F5">
      <w:pPr>
        <w:spacing w:after="0" w:line="360" w:lineRule="auto"/>
        <w:rPr>
          <w:rFonts w:ascii="Verdana" w:hAnsi="Verdana" w:cs="Calibri"/>
          <w:b/>
          <w:sz w:val="20"/>
          <w:szCs w:val="20"/>
          <w:lang w:val="bg-BG"/>
        </w:rPr>
      </w:pPr>
    </w:p>
    <w:p w:rsidR="00AA0F0A" w:rsidRPr="003E07F5" w:rsidRDefault="00AA0F0A" w:rsidP="003E07F5">
      <w:pPr>
        <w:shd w:val="clear" w:color="auto" w:fill="FEFEFE"/>
        <w:spacing w:after="0" w:line="360" w:lineRule="auto"/>
        <w:rPr>
          <w:rFonts w:ascii="Verdana" w:eastAsia="Times New Roman" w:hAnsi="Verdana" w:cs="Calibri"/>
          <w:sz w:val="20"/>
          <w:szCs w:val="20"/>
          <w:lang w:val="bg-BG"/>
        </w:rPr>
      </w:pPr>
    </w:p>
    <w:p w:rsidR="002924F1" w:rsidRPr="003E07F5" w:rsidRDefault="002924F1" w:rsidP="003E07F5">
      <w:pPr>
        <w:spacing w:after="0" w:line="360" w:lineRule="auto"/>
        <w:jc w:val="both"/>
        <w:rPr>
          <w:rFonts w:ascii="Verdana" w:hAnsi="Verdana" w:cs="Calibri"/>
          <w:sz w:val="20"/>
          <w:szCs w:val="20"/>
          <w:lang w:val="en-GB"/>
        </w:rPr>
      </w:pPr>
      <w:r w:rsidRPr="003E07F5">
        <w:rPr>
          <w:rFonts w:ascii="Verdana" w:hAnsi="Verdana" w:cs="Calibri"/>
          <w:b/>
          <w:sz w:val="20"/>
          <w:szCs w:val="20"/>
          <w:lang w:val="bg-BG"/>
        </w:rPr>
        <w:t xml:space="preserve">Горски сектор </w:t>
      </w:r>
      <w:r w:rsidRPr="003E07F5">
        <w:rPr>
          <w:rFonts w:ascii="Verdana" w:hAnsi="Verdana" w:cs="Calibri"/>
          <w:sz w:val="20"/>
          <w:szCs w:val="20"/>
          <w:lang w:val="bg-BG"/>
        </w:rPr>
        <w:t xml:space="preserve">e понятие, което обхваща горските ресурси и производството, търговията и потреблението на горски продукти и услуги. (източник: European Forest </w:t>
      </w:r>
      <w:r w:rsidRPr="003E07F5">
        <w:rPr>
          <w:rFonts w:ascii="Verdana" w:hAnsi="Verdana" w:cs="Calibri"/>
          <w:sz w:val="20"/>
          <w:szCs w:val="20"/>
          <w:lang w:val="en-GB"/>
        </w:rPr>
        <w:t>Sector Outlook Study 1960-2000-2020, UNECE-FAO; SEC(2006)448 Staff Working Paper on an EU Forest Action Plan);</w:t>
      </w:r>
    </w:p>
    <w:p w:rsidR="002924F1" w:rsidRPr="003E07F5" w:rsidRDefault="002924F1" w:rsidP="003E07F5">
      <w:pPr>
        <w:spacing w:after="0" w:line="360" w:lineRule="auto"/>
        <w:jc w:val="both"/>
        <w:rPr>
          <w:rFonts w:ascii="Verdana" w:hAnsi="Verdana" w:cs="Calibri"/>
          <w:sz w:val="20"/>
          <w:szCs w:val="20"/>
          <w:lang w:val="en-GB"/>
        </w:rPr>
      </w:pPr>
      <w:r w:rsidRPr="003E07F5">
        <w:rPr>
          <w:rFonts w:ascii="Verdana" w:hAnsi="Verdana" w:cs="Calibri"/>
          <w:b/>
          <w:sz w:val="20"/>
          <w:szCs w:val="20"/>
          <w:lang w:val="en-GB"/>
        </w:rPr>
        <w:t>Forest sector:</w:t>
      </w:r>
      <w:r w:rsidRPr="003E07F5">
        <w:rPr>
          <w:rFonts w:ascii="Verdana" w:hAnsi="Verdana" w:cs="Calibri"/>
          <w:sz w:val="20"/>
          <w:szCs w:val="20"/>
          <w:lang w:val="en-GB"/>
        </w:rPr>
        <w:t xml:space="preserve"> The forest sector has been defined to cover forest resources and the production, trade and consumption of forest products and services. (source: European Forest Sector Outlook Study 1960-2000-2020, UNECE-FAO; SEC(2006)448 Staff Working Paper on an EU Forest Action Plan);</w:t>
      </w:r>
    </w:p>
    <w:p w:rsidR="002924F1" w:rsidRPr="003E07F5" w:rsidRDefault="002924F1" w:rsidP="003E07F5">
      <w:pPr>
        <w:spacing w:after="0" w:line="360" w:lineRule="auto"/>
        <w:jc w:val="both"/>
        <w:rPr>
          <w:rFonts w:ascii="Verdana" w:hAnsi="Verdana" w:cs="Calibri"/>
          <w:b/>
          <w:sz w:val="20"/>
          <w:szCs w:val="20"/>
          <w:lang w:val="bg-BG"/>
        </w:rPr>
      </w:pPr>
    </w:p>
    <w:p w:rsidR="002924F1" w:rsidRPr="003E07F5" w:rsidRDefault="002924F1" w:rsidP="003E07F5">
      <w:pPr>
        <w:spacing w:after="0" w:line="360" w:lineRule="auto"/>
        <w:jc w:val="both"/>
        <w:rPr>
          <w:rFonts w:ascii="Verdana" w:hAnsi="Verdana" w:cs="Calibri"/>
          <w:sz w:val="20"/>
          <w:szCs w:val="20"/>
          <w:lang w:val="en-GB"/>
        </w:rPr>
      </w:pPr>
      <w:r w:rsidRPr="003E07F5">
        <w:rPr>
          <w:rFonts w:ascii="Verdana" w:hAnsi="Verdana" w:cs="Calibri"/>
          <w:b/>
          <w:sz w:val="20"/>
          <w:szCs w:val="20"/>
          <w:lang w:val="bg-BG"/>
        </w:rPr>
        <w:t xml:space="preserve">Горска промишленост: </w:t>
      </w:r>
      <w:r w:rsidRPr="003E07F5">
        <w:rPr>
          <w:rFonts w:ascii="Verdana" w:hAnsi="Verdana" w:cs="Calibri"/>
          <w:sz w:val="20"/>
          <w:szCs w:val="20"/>
          <w:lang w:val="bg-BG"/>
        </w:rPr>
        <w:t>производства, свързани с горите, предимно за обработка на дървесина, както и други – основани на т.н. недървесни горски продукти (корк, смола и други). Те включват дървопреработване, целулозно-хартиена промишленост и печатни индустрии. (</w:t>
      </w:r>
      <w:r w:rsidRPr="003E07F5">
        <w:rPr>
          <w:rFonts w:ascii="Verdana" w:hAnsi="Verdana" w:cs="Calibri"/>
          <w:sz w:val="20"/>
          <w:szCs w:val="20"/>
          <w:lang w:val="en-GB"/>
        </w:rPr>
        <w:t>source: COM (2008) 113 Communication on innovative and sustainable forest-based industries in the EU);</w:t>
      </w:r>
    </w:p>
    <w:p w:rsidR="002924F1" w:rsidRPr="003E07F5" w:rsidRDefault="002924F1" w:rsidP="003E07F5">
      <w:pPr>
        <w:spacing w:after="0" w:line="360" w:lineRule="auto"/>
        <w:jc w:val="both"/>
        <w:rPr>
          <w:rFonts w:ascii="Verdana" w:hAnsi="Verdana" w:cs="Calibri"/>
          <w:b/>
          <w:i/>
          <w:sz w:val="20"/>
          <w:szCs w:val="20"/>
          <w:lang w:val="en-GB"/>
        </w:rPr>
      </w:pPr>
      <w:r w:rsidRPr="003E07F5">
        <w:rPr>
          <w:rFonts w:ascii="Verdana" w:hAnsi="Verdana" w:cs="Calibri"/>
          <w:b/>
          <w:i/>
          <w:sz w:val="20"/>
          <w:szCs w:val="20"/>
          <w:lang w:val="en-GB"/>
        </w:rPr>
        <w:t xml:space="preserve">Forest-based industries: </w:t>
      </w:r>
      <w:r w:rsidRPr="003E07F5">
        <w:rPr>
          <w:rFonts w:ascii="Verdana" w:hAnsi="Verdana" w:cs="Calibri"/>
          <w:i/>
          <w:sz w:val="20"/>
          <w:szCs w:val="20"/>
          <w:lang w:val="en-GB"/>
        </w:rPr>
        <w:t>industries, downstream from forests, principally wood processing but also others based on e.g. non wood forest products (cork, resin, et al.). It includes woodworking, pulp &amp; paper manufacture and converting, and printing industries (source: COM (2008) 113 Communication on innovative and sustainable forest-based industries in the EU);</w:t>
      </w:r>
    </w:p>
    <w:p w:rsidR="002924F1" w:rsidRPr="003E07F5" w:rsidRDefault="002924F1" w:rsidP="003E07F5">
      <w:pPr>
        <w:spacing w:after="0" w:line="360" w:lineRule="auto"/>
        <w:jc w:val="both"/>
        <w:rPr>
          <w:rFonts w:ascii="Verdana" w:hAnsi="Verdana" w:cs="Calibri"/>
          <w:b/>
          <w:sz w:val="20"/>
          <w:szCs w:val="20"/>
          <w:lang w:val="bg-BG"/>
        </w:rPr>
      </w:pPr>
    </w:p>
    <w:p w:rsidR="003F4504" w:rsidRPr="003E07F5" w:rsidRDefault="002924F1" w:rsidP="003E07F5">
      <w:pPr>
        <w:spacing w:after="0" w:line="360" w:lineRule="auto"/>
        <w:jc w:val="both"/>
        <w:rPr>
          <w:rFonts w:ascii="Verdana" w:hAnsi="Verdana" w:cs="Calibri"/>
          <w:sz w:val="20"/>
          <w:szCs w:val="20"/>
        </w:rPr>
      </w:pPr>
      <w:r w:rsidRPr="003E07F5">
        <w:rPr>
          <w:rFonts w:ascii="Verdana" w:hAnsi="Verdana" w:cs="Calibri"/>
          <w:b/>
          <w:sz w:val="20"/>
          <w:szCs w:val="20"/>
          <w:lang w:val="bg-BG"/>
        </w:rPr>
        <w:t>Екосистемни услуги</w:t>
      </w:r>
      <w:r w:rsidR="00663F53" w:rsidRPr="003E07F5">
        <w:rPr>
          <w:rFonts w:ascii="Verdana" w:hAnsi="Verdana" w:cs="Calibri"/>
          <w:b/>
          <w:sz w:val="20"/>
          <w:szCs w:val="20"/>
          <w:lang w:val="bg-BG"/>
        </w:rPr>
        <w:t xml:space="preserve"> </w:t>
      </w:r>
      <w:r w:rsidR="003F4504" w:rsidRPr="003E07F5">
        <w:rPr>
          <w:rFonts w:ascii="Verdana" w:hAnsi="Verdana" w:cs="Calibri"/>
          <w:sz w:val="20"/>
          <w:szCs w:val="20"/>
          <w:lang w:val="bg-BG"/>
        </w:rPr>
        <w:t>са ползите, които хората получават от екосистемите. Те включват услуги за обезпечаване с храна и вода; регулиращи услуги, като контрол на наводненията и борба с болестите; културни услуги като духовни, рекреационни и културни ползи и подкрепящи услуги като хранителен цикъл, който поддържа условията за живот на Земята. (източник</w:t>
      </w:r>
      <w:r w:rsidR="003F4504" w:rsidRPr="003E07F5">
        <w:rPr>
          <w:rFonts w:ascii="Verdana" w:hAnsi="Verdana" w:cs="Calibri"/>
          <w:sz w:val="20"/>
          <w:szCs w:val="20"/>
        </w:rPr>
        <w:t>: Millennium Ecosystem Assessment, 2001).</w:t>
      </w:r>
    </w:p>
    <w:p w:rsidR="003F4504" w:rsidRPr="003E07F5" w:rsidRDefault="003F4504" w:rsidP="003E07F5">
      <w:pPr>
        <w:spacing w:after="0" w:line="360" w:lineRule="auto"/>
        <w:jc w:val="both"/>
        <w:rPr>
          <w:rFonts w:ascii="Verdana" w:hAnsi="Verdana" w:cs="Calibri"/>
          <w:i/>
          <w:sz w:val="20"/>
          <w:szCs w:val="20"/>
        </w:rPr>
      </w:pPr>
      <w:r w:rsidRPr="003E07F5">
        <w:rPr>
          <w:rFonts w:ascii="Verdana" w:hAnsi="Verdana" w:cs="Calibri"/>
          <w:b/>
          <w:i/>
          <w:sz w:val="20"/>
          <w:szCs w:val="20"/>
        </w:rPr>
        <w:t>Ecosystem services</w:t>
      </w:r>
      <w:r w:rsidRPr="003E07F5">
        <w:rPr>
          <w:rFonts w:ascii="Verdana" w:hAnsi="Verdana" w:cs="Calibri"/>
          <w:b/>
          <w:i/>
          <w:sz w:val="20"/>
          <w:szCs w:val="20"/>
          <w:lang w:val="bg-BG"/>
        </w:rPr>
        <w:t xml:space="preserve"> </w:t>
      </w:r>
      <w:r w:rsidRPr="003E07F5">
        <w:rPr>
          <w:rFonts w:ascii="Verdana" w:hAnsi="Verdana" w:cs="Calibri"/>
          <w:i/>
          <w:sz w:val="20"/>
          <w:szCs w:val="20"/>
        </w:rPr>
        <w:t>are</w:t>
      </w:r>
      <w:r w:rsidRPr="003E07F5">
        <w:rPr>
          <w:rFonts w:ascii="Verdana" w:hAnsi="Verdana" w:cs="Calibri"/>
          <w:b/>
          <w:i/>
          <w:sz w:val="20"/>
          <w:szCs w:val="20"/>
        </w:rPr>
        <w:t xml:space="preserve"> </w:t>
      </w:r>
      <w:r w:rsidRPr="003E07F5">
        <w:rPr>
          <w:rFonts w:ascii="Verdana" w:hAnsi="Verdana" w:cs="Calibri"/>
          <w:i/>
          <w:sz w:val="20"/>
          <w:szCs w:val="20"/>
        </w:rPr>
        <w:t>the benefits people obtain from ecosystems. These include provisioning services such as food and water; regulating services such as flood and disease control; cultural services such as spiritual, recreational, and cultural benefits; and supporting services, such as nutrient cycling, that maintain the condition for life of Earth. (source: Millennium Ecosystem Assessment, 2001)</w:t>
      </w:r>
    </w:p>
    <w:p w:rsidR="00E11D28" w:rsidRPr="003E07F5" w:rsidRDefault="00E11D28" w:rsidP="003E07F5">
      <w:pPr>
        <w:spacing w:after="0" w:line="360" w:lineRule="auto"/>
        <w:jc w:val="both"/>
        <w:rPr>
          <w:rFonts w:ascii="Verdana" w:hAnsi="Verdana" w:cs="Calibri"/>
          <w:b/>
          <w:sz w:val="20"/>
          <w:szCs w:val="20"/>
          <w:lang w:val="bg-BG"/>
        </w:rPr>
      </w:pPr>
    </w:p>
    <w:p w:rsidR="00972EA6" w:rsidRPr="003E07F5" w:rsidRDefault="002924F1" w:rsidP="003E07F5">
      <w:pPr>
        <w:spacing w:after="0" w:line="360" w:lineRule="auto"/>
        <w:jc w:val="both"/>
        <w:rPr>
          <w:rFonts w:ascii="Verdana" w:hAnsi="Verdana" w:cs="Calibri"/>
          <w:sz w:val="20"/>
          <w:szCs w:val="20"/>
          <w:lang w:val="bg-BG"/>
        </w:rPr>
      </w:pPr>
      <w:r w:rsidRPr="003E07F5">
        <w:rPr>
          <w:rFonts w:ascii="Verdana" w:hAnsi="Verdana" w:cs="Calibri"/>
          <w:b/>
          <w:sz w:val="20"/>
          <w:szCs w:val="20"/>
          <w:lang w:val="bg-BG"/>
        </w:rPr>
        <w:t xml:space="preserve">Устойчиво управление на горите </w:t>
      </w:r>
      <w:r w:rsidR="003F4504" w:rsidRPr="003E07F5">
        <w:rPr>
          <w:rFonts w:ascii="Verdana" w:hAnsi="Verdana" w:cs="Calibri"/>
          <w:sz w:val="20"/>
          <w:szCs w:val="20"/>
          <w:lang w:val="bg-BG"/>
        </w:rPr>
        <w:t xml:space="preserve">e </w:t>
      </w:r>
      <w:r w:rsidR="00C634DA" w:rsidRPr="003E07F5">
        <w:rPr>
          <w:rFonts w:ascii="Verdana" w:hAnsi="Verdana" w:cs="Calibri"/>
          <w:sz w:val="20"/>
          <w:szCs w:val="20"/>
          <w:lang w:val="bg-BG"/>
        </w:rPr>
        <w:t>р</w:t>
      </w:r>
      <w:r w:rsidR="003F4504" w:rsidRPr="003E07F5">
        <w:rPr>
          <w:rFonts w:ascii="Verdana" w:hAnsi="Verdana" w:cs="Calibri"/>
          <w:sz w:val="20"/>
          <w:szCs w:val="20"/>
          <w:lang w:val="bg-BG"/>
        </w:rPr>
        <w:t xml:space="preserve">ационално, екологично (природосъобразно) и отговорно управление и ползване на гори и горски земи по начин и в степен, които поддържат тяхното биологично разнообразие, продуктивност, възобновителна способност, жизненост и потенциала им да изпълняват, сега и в бъдеще, съответни </w:t>
      </w:r>
      <w:r w:rsidR="003F4504" w:rsidRPr="003E07F5">
        <w:rPr>
          <w:rFonts w:ascii="Verdana" w:hAnsi="Verdana" w:cs="Calibri"/>
          <w:sz w:val="20"/>
          <w:szCs w:val="20"/>
          <w:lang w:val="bg-BG"/>
        </w:rPr>
        <w:lastRenderedPageBreak/>
        <w:t>екологични, икономически и социални функции на местно, национално и глобално ниво и което да не причинява вреда на други екосистеми (източник: Министерска конференция за защита на горите в Европа, 1993 г.)</w:t>
      </w:r>
      <w:r w:rsidRPr="003E07F5">
        <w:rPr>
          <w:rFonts w:ascii="Verdana" w:hAnsi="Verdana" w:cs="Calibri"/>
          <w:sz w:val="20"/>
          <w:szCs w:val="20"/>
          <w:lang w:val="bg-BG"/>
        </w:rPr>
        <w:t>;</w:t>
      </w:r>
    </w:p>
    <w:p w:rsidR="003F4504" w:rsidRPr="003E07F5" w:rsidRDefault="003F4504" w:rsidP="003E07F5">
      <w:pPr>
        <w:spacing w:after="0" w:line="360" w:lineRule="auto"/>
        <w:jc w:val="both"/>
        <w:rPr>
          <w:rFonts w:ascii="Verdana" w:hAnsi="Verdana" w:cs="Calibri"/>
          <w:i/>
          <w:sz w:val="20"/>
          <w:szCs w:val="20"/>
          <w:lang w:val="bg-BG"/>
        </w:rPr>
      </w:pPr>
      <w:r w:rsidRPr="003E07F5">
        <w:rPr>
          <w:rFonts w:ascii="Verdana" w:hAnsi="Verdana" w:cs="Calibri"/>
          <w:b/>
          <w:i/>
          <w:sz w:val="20"/>
          <w:szCs w:val="20"/>
        </w:rPr>
        <w:t xml:space="preserve">Sustainable Forest Management: </w:t>
      </w:r>
      <w:r w:rsidRPr="003E07F5">
        <w:rPr>
          <w:rFonts w:ascii="Verdana" w:hAnsi="Verdana" w:cs="Calibri"/>
          <w:i/>
          <w:sz w:val="20"/>
          <w:szCs w:val="20"/>
        </w:rPr>
        <w:t>The stewardship and use of forests and forest lands in a way, and at a rate, that maintains their biodiversity, productivity, regeneration capacity, vitality and their potential to fulfill, now and in the future, relevant ecological, economic and social functions, at local, national, and global levels, and that does not cause damage to other ecosystems (source: Ministerial Conference for Protection of Forests in Europe, Helsinki, 1993)</w:t>
      </w:r>
      <w:r w:rsidR="002924F1" w:rsidRPr="003E07F5">
        <w:rPr>
          <w:rFonts w:ascii="Verdana" w:hAnsi="Verdana" w:cs="Calibri"/>
          <w:i/>
          <w:sz w:val="20"/>
          <w:szCs w:val="20"/>
          <w:lang w:val="bg-BG"/>
        </w:rPr>
        <w:t>;</w:t>
      </w:r>
    </w:p>
    <w:p w:rsidR="002D0171" w:rsidRPr="003E07F5" w:rsidRDefault="002D0171" w:rsidP="003E07F5">
      <w:pPr>
        <w:shd w:val="clear" w:color="auto" w:fill="FEFEFE"/>
        <w:spacing w:after="0" w:line="360" w:lineRule="auto"/>
        <w:jc w:val="both"/>
        <w:rPr>
          <w:rStyle w:val="legaldocreference"/>
          <w:rFonts w:ascii="Verdana" w:eastAsia="Times New Roman" w:hAnsi="Verdana" w:cs="Calibri"/>
          <w:sz w:val="20"/>
          <w:szCs w:val="20"/>
          <w:lang w:val="bg-BG"/>
        </w:rPr>
      </w:pPr>
    </w:p>
    <w:p w:rsidR="00AB5B96" w:rsidRPr="003E07F5" w:rsidRDefault="002924F1" w:rsidP="003E07F5">
      <w:pPr>
        <w:spacing w:after="0" w:line="360" w:lineRule="auto"/>
        <w:jc w:val="both"/>
        <w:rPr>
          <w:rFonts w:ascii="Verdana" w:hAnsi="Verdana" w:cs="Calibri"/>
          <w:sz w:val="20"/>
          <w:szCs w:val="20"/>
          <w:lang w:val="bg-BG"/>
        </w:rPr>
      </w:pPr>
      <w:r w:rsidRPr="003E07F5">
        <w:rPr>
          <w:rFonts w:ascii="Verdana" w:hAnsi="Verdana" w:cs="Calibri"/>
          <w:b/>
          <w:sz w:val="20"/>
          <w:szCs w:val="20"/>
          <w:lang w:val="bg-BG"/>
        </w:rPr>
        <w:t>Зелена икономика</w:t>
      </w:r>
      <w:r w:rsidR="00F7131D" w:rsidRPr="003E07F5">
        <w:rPr>
          <w:rFonts w:ascii="Verdana" w:hAnsi="Verdana" w:cs="Calibri"/>
          <w:b/>
          <w:sz w:val="20"/>
          <w:szCs w:val="20"/>
          <w:lang w:val="bg-BG"/>
        </w:rPr>
        <w:t>:</w:t>
      </w:r>
      <w:r w:rsidR="00F7131D" w:rsidRPr="003E07F5">
        <w:rPr>
          <w:rFonts w:ascii="Verdana" w:hAnsi="Verdana" w:cs="Calibri"/>
          <w:sz w:val="20"/>
          <w:szCs w:val="20"/>
          <w:lang w:val="bg-BG"/>
        </w:rPr>
        <w:t xml:space="preserve"> икономика, която генерира растеж, създава работни места и премахва бедността чрез инвестиране в природния капитал и съхраняване на предлаганите от него възможности, от което зависи дълготрайното оцеляване на нашата планета.</w:t>
      </w:r>
      <w:r w:rsidR="00F7131D" w:rsidRPr="003E07F5">
        <w:rPr>
          <w:rFonts w:ascii="Verdana" w:hAnsi="Verdana" w:cs="Calibri"/>
          <w:sz w:val="20"/>
          <w:szCs w:val="20"/>
        </w:rPr>
        <w:t xml:space="preserve"> (source: COM(2011)333 “Rio+20: towards the green economy and better governance”)</w:t>
      </w:r>
      <w:r w:rsidRPr="003E07F5">
        <w:rPr>
          <w:rFonts w:ascii="Verdana" w:hAnsi="Verdana" w:cs="Calibri"/>
          <w:sz w:val="20"/>
          <w:szCs w:val="20"/>
          <w:lang w:val="bg-BG"/>
        </w:rPr>
        <w:t>;</w:t>
      </w:r>
      <w:r w:rsidR="00650EBA" w:rsidRPr="003E07F5">
        <w:rPr>
          <w:rFonts w:ascii="Verdana" w:hAnsi="Verdana" w:cs="Calibri"/>
          <w:sz w:val="20"/>
          <w:szCs w:val="20"/>
          <w:lang w:val="bg-BG"/>
        </w:rPr>
        <w:t xml:space="preserve"> </w:t>
      </w:r>
    </w:p>
    <w:p w:rsidR="00CA4CE2" w:rsidRPr="003E07F5" w:rsidRDefault="00F7131D" w:rsidP="003E07F5">
      <w:pPr>
        <w:spacing w:after="0" w:line="360" w:lineRule="auto"/>
        <w:jc w:val="both"/>
        <w:rPr>
          <w:rFonts w:ascii="Verdana" w:hAnsi="Verdana" w:cs="Calibri"/>
          <w:i/>
          <w:sz w:val="20"/>
          <w:szCs w:val="20"/>
          <w:lang w:val="bg-BG"/>
        </w:rPr>
      </w:pPr>
      <w:r w:rsidRPr="003E07F5">
        <w:rPr>
          <w:rFonts w:ascii="Verdana" w:hAnsi="Verdana" w:cs="Calibri"/>
          <w:b/>
          <w:i/>
          <w:sz w:val="20"/>
          <w:szCs w:val="20"/>
        </w:rPr>
        <w:t>Green Economy:</w:t>
      </w:r>
      <w:r w:rsidRPr="003E07F5">
        <w:rPr>
          <w:rFonts w:ascii="Verdana" w:hAnsi="Verdana" w:cs="Calibri"/>
          <w:i/>
          <w:sz w:val="20"/>
          <w:szCs w:val="20"/>
        </w:rPr>
        <w:t xml:space="preserve"> an economy that generates growth, creates jobs and eradicated poverty by investing in and preserving the natural capital offers upon which the long-term survival of our planets depends. (source: COM(2011)333 „Rio+20: towards the green economy and better governance”).</w:t>
      </w:r>
    </w:p>
    <w:p w:rsidR="00FB6C77" w:rsidRPr="003E07F5" w:rsidRDefault="00FB6C77" w:rsidP="003E07F5">
      <w:pPr>
        <w:spacing w:after="0" w:line="360" w:lineRule="auto"/>
        <w:jc w:val="both"/>
        <w:rPr>
          <w:rFonts w:ascii="Verdana" w:hAnsi="Verdana" w:cs="Calibri"/>
          <w:i/>
          <w:sz w:val="20"/>
          <w:szCs w:val="20"/>
          <w:lang w:val="bg-BG"/>
        </w:rPr>
      </w:pPr>
    </w:p>
    <w:p w:rsidR="001E786F" w:rsidRPr="003E07F5" w:rsidRDefault="001E786F" w:rsidP="003E07F5">
      <w:pPr>
        <w:spacing w:after="0" w:line="360" w:lineRule="auto"/>
        <w:jc w:val="both"/>
        <w:rPr>
          <w:rFonts w:ascii="Verdana" w:hAnsi="Verdana" w:cs="Calibri"/>
          <w:sz w:val="20"/>
          <w:szCs w:val="20"/>
          <w:lang w:val="bg-BG"/>
        </w:rPr>
      </w:pPr>
    </w:p>
    <w:p w:rsidR="002924F1" w:rsidRPr="003E07F5" w:rsidRDefault="002924F1" w:rsidP="003E07F5">
      <w:pPr>
        <w:spacing w:after="0" w:line="360" w:lineRule="auto"/>
        <w:jc w:val="both"/>
        <w:rPr>
          <w:rFonts w:ascii="Verdana" w:hAnsi="Verdana" w:cs="Calibri"/>
          <w:sz w:val="20"/>
          <w:szCs w:val="20"/>
          <w:lang w:val="bg-BG"/>
        </w:rPr>
      </w:pPr>
    </w:p>
    <w:sectPr w:rsidR="002924F1" w:rsidRPr="003E07F5" w:rsidSect="0043630A">
      <w:footerReference w:type="default" r:id="rId8"/>
      <w:pgSz w:w="11907" w:h="16840"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A1" w:rsidRDefault="00CE63A1" w:rsidP="002924F1">
      <w:pPr>
        <w:spacing w:after="0" w:line="240" w:lineRule="auto"/>
      </w:pPr>
      <w:r>
        <w:separator/>
      </w:r>
    </w:p>
  </w:endnote>
  <w:endnote w:type="continuationSeparator" w:id="0">
    <w:p w:rsidR="00CE63A1" w:rsidRDefault="00CE63A1" w:rsidP="0029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4F1" w:rsidRPr="003E07F5" w:rsidRDefault="002924F1" w:rsidP="003E07F5">
    <w:pPr>
      <w:pStyle w:val="Footer"/>
      <w:spacing w:after="0"/>
      <w:jc w:val="right"/>
      <w:rPr>
        <w:rFonts w:ascii="Verdana" w:hAnsi="Verdana"/>
        <w:sz w:val="16"/>
        <w:szCs w:val="16"/>
      </w:rPr>
    </w:pPr>
    <w:r w:rsidRPr="003E07F5">
      <w:rPr>
        <w:rFonts w:ascii="Verdana" w:hAnsi="Verdana"/>
        <w:sz w:val="16"/>
        <w:szCs w:val="16"/>
      </w:rPr>
      <w:fldChar w:fldCharType="begin"/>
    </w:r>
    <w:r w:rsidRPr="003E07F5">
      <w:rPr>
        <w:rFonts w:ascii="Verdana" w:hAnsi="Verdana"/>
        <w:sz w:val="16"/>
        <w:szCs w:val="16"/>
      </w:rPr>
      <w:instrText xml:space="preserve"> PAGE   \* MERGEFORMAT </w:instrText>
    </w:r>
    <w:r w:rsidRPr="003E07F5">
      <w:rPr>
        <w:rFonts w:ascii="Verdana" w:hAnsi="Verdana"/>
        <w:sz w:val="16"/>
        <w:szCs w:val="16"/>
      </w:rPr>
      <w:fldChar w:fldCharType="separate"/>
    </w:r>
    <w:r w:rsidR="00132017">
      <w:rPr>
        <w:rFonts w:ascii="Verdana" w:hAnsi="Verdana"/>
        <w:noProof/>
        <w:sz w:val="16"/>
        <w:szCs w:val="16"/>
      </w:rPr>
      <w:t>2</w:t>
    </w:r>
    <w:r w:rsidRPr="003E07F5">
      <w:rPr>
        <w:rFonts w:ascii="Verdana" w:hAnsi="Verdana"/>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A1" w:rsidRDefault="00CE63A1" w:rsidP="002924F1">
      <w:pPr>
        <w:spacing w:after="0" w:line="240" w:lineRule="auto"/>
      </w:pPr>
      <w:r>
        <w:separator/>
      </w:r>
    </w:p>
  </w:footnote>
  <w:footnote w:type="continuationSeparator" w:id="0">
    <w:p w:rsidR="00CE63A1" w:rsidRDefault="00CE63A1" w:rsidP="002924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B3675"/>
    <w:multiLevelType w:val="hybridMultilevel"/>
    <w:tmpl w:val="5AE6A62A"/>
    <w:lvl w:ilvl="0" w:tplc="C4B85F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D48B6"/>
    <w:multiLevelType w:val="hybridMultilevel"/>
    <w:tmpl w:val="40AEC6A6"/>
    <w:lvl w:ilvl="0" w:tplc="865629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1D"/>
    <w:rsid w:val="00002837"/>
    <w:rsid w:val="000154E1"/>
    <w:rsid w:val="00017006"/>
    <w:rsid w:val="000427FD"/>
    <w:rsid w:val="000A0777"/>
    <w:rsid w:val="000A199B"/>
    <w:rsid w:val="00104868"/>
    <w:rsid w:val="00132017"/>
    <w:rsid w:val="00142AAB"/>
    <w:rsid w:val="0015073C"/>
    <w:rsid w:val="00152A6F"/>
    <w:rsid w:val="00182262"/>
    <w:rsid w:val="001D777F"/>
    <w:rsid w:val="001D7D60"/>
    <w:rsid w:val="001E786F"/>
    <w:rsid w:val="002638F9"/>
    <w:rsid w:val="002924F1"/>
    <w:rsid w:val="00297CB1"/>
    <w:rsid w:val="002D0171"/>
    <w:rsid w:val="002E7C16"/>
    <w:rsid w:val="00306836"/>
    <w:rsid w:val="00386EBD"/>
    <w:rsid w:val="00392898"/>
    <w:rsid w:val="003A6224"/>
    <w:rsid w:val="003B1456"/>
    <w:rsid w:val="003C02CE"/>
    <w:rsid w:val="003C1811"/>
    <w:rsid w:val="003E07F5"/>
    <w:rsid w:val="003F4504"/>
    <w:rsid w:val="00406D86"/>
    <w:rsid w:val="0043630A"/>
    <w:rsid w:val="004615C9"/>
    <w:rsid w:val="00466287"/>
    <w:rsid w:val="004D37B6"/>
    <w:rsid w:val="004F29BE"/>
    <w:rsid w:val="00502D76"/>
    <w:rsid w:val="00525977"/>
    <w:rsid w:val="00535E3A"/>
    <w:rsid w:val="0054035F"/>
    <w:rsid w:val="005A0092"/>
    <w:rsid w:val="005C4902"/>
    <w:rsid w:val="00626FCC"/>
    <w:rsid w:val="006352B8"/>
    <w:rsid w:val="00650EBA"/>
    <w:rsid w:val="00663F53"/>
    <w:rsid w:val="006665D4"/>
    <w:rsid w:val="00666DC8"/>
    <w:rsid w:val="00680112"/>
    <w:rsid w:val="006B637E"/>
    <w:rsid w:val="006E2AE4"/>
    <w:rsid w:val="00700F93"/>
    <w:rsid w:val="00725E56"/>
    <w:rsid w:val="007F24EE"/>
    <w:rsid w:val="0087479F"/>
    <w:rsid w:val="00874AC7"/>
    <w:rsid w:val="00875769"/>
    <w:rsid w:val="008863B8"/>
    <w:rsid w:val="008C506E"/>
    <w:rsid w:val="008E1260"/>
    <w:rsid w:val="008F6E64"/>
    <w:rsid w:val="00921F5B"/>
    <w:rsid w:val="00972EA6"/>
    <w:rsid w:val="00975291"/>
    <w:rsid w:val="00A33913"/>
    <w:rsid w:val="00A7041D"/>
    <w:rsid w:val="00AA0F0A"/>
    <w:rsid w:val="00AB5B96"/>
    <w:rsid w:val="00B073F6"/>
    <w:rsid w:val="00B304B0"/>
    <w:rsid w:val="00B96CBC"/>
    <w:rsid w:val="00BA0591"/>
    <w:rsid w:val="00BA1B99"/>
    <w:rsid w:val="00BA27ED"/>
    <w:rsid w:val="00BD67C6"/>
    <w:rsid w:val="00C634DA"/>
    <w:rsid w:val="00C81D99"/>
    <w:rsid w:val="00C84F35"/>
    <w:rsid w:val="00C868F0"/>
    <w:rsid w:val="00CA4CE2"/>
    <w:rsid w:val="00CC3143"/>
    <w:rsid w:val="00CE63A1"/>
    <w:rsid w:val="00D02D12"/>
    <w:rsid w:val="00D052A3"/>
    <w:rsid w:val="00D82733"/>
    <w:rsid w:val="00D84BA0"/>
    <w:rsid w:val="00DC0588"/>
    <w:rsid w:val="00DD76E9"/>
    <w:rsid w:val="00E11D28"/>
    <w:rsid w:val="00E56AEE"/>
    <w:rsid w:val="00E63D34"/>
    <w:rsid w:val="00EB1FF7"/>
    <w:rsid w:val="00F46DE0"/>
    <w:rsid w:val="00F54457"/>
    <w:rsid w:val="00F673F1"/>
    <w:rsid w:val="00F7131D"/>
    <w:rsid w:val="00F87F44"/>
    <w:rsid w:val="00FB5611"/>
    <w:rsid w:val="00FB6C77"/>
    <w:rsid w:val="00FF18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4902"/>
    <w:rPr>
      <w:color w:val="0000FF"/>
      <w:u w:val="single"/>
    </w:rPr>
  </w:style>
  <w:style w:type="character" w:customStyle="1" w:styleId="legaldocreference">
    <w:name w:val="legaldocreference"/>
    <w:rsid w:val="001E786F"/>
  </w:style>
  <w:style w:type="paragraph" w:styleId="Header">
    <w:name w:val="header"/>
    <w:basedOn w:val="Normal"/>
    <w:link w:val="HeaderChar"/>
    <w:uiPriority w:val="99"/>
    <w:unhideWhenUsed/>
    <w:rsid w:val="002924F1"/>
    <w:pPr>
      <w:tabs>
        <w:tab w:val="center" w:pos="4536"/>
        <w:tab w:val="right" w:pos="9072"/>
      </w:tabs>
    </w:pPr>
  </w:style>
  <w:style w:type="character" w:customStyle="1" w:styleId="HeaderChar">
    <w:name w:val="Header Char"/>
    <w:link w:val="Header"/>
    <w:uiPriority w:val="99"/>
    <w:rsid w:val="002924F1"/>
    <w:rPr>
      <w:sz w:val="22"/>
      <w:szCs w:val="22"/>
      <w:lang w:val="en-US" w:eastAsia="en-US"/>
    </w:rPr>
  </w:style>
  <w:style w:type="paragraph" w:styleId="Footer">
    <w:name w:val="footer"/>
    <w:basedOn w:val="Normal"/>
    <w:link w:val="FooterChar"/>
    <w:uiPriority w:val="99"/>
    <w:unhideWhenUsed/>
    <w:rsid w:val="002924F1"/>
    <w:pPr>
      <w:tabs>
        <w:tab w:val="center" w:pos="4536"/>
        <w:tab w:val="right" w:pos="9072"/>
      </w:tabs>
    </w:pPr>
  </w:style>
  <w:style w:type="character" w:customStyle="1" w:styleId="FooterChar">
    <w:name w:val="Footer Char"/>
    <w:link w:val="Footer"/>
    <w:uiPriority w:val="99"/>
    <w:rsid w:val="002924F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4902"/>
    <w:rPr>
      <w:color w:val="0000FF"/>
      <w:u w:val="single"/>
    </w:rPr>
  </w:style>
  <w:style w:type="character" w:customStyle="1" w:styleId="legaldocreference">
    <w:name w:val="legaldocreference"/>
    <w:rsid w:val="001E786F"/>
  </w:style>
  <w:style w:type="paragraph" w:styleId="Header">
    <w:name w:val="header"/>
    <w:basedOn w:val="Normal"/>
    <w:link w:val="HeaderChar"/>
    <w:uiPriority w:val="99"/>
    <w:unhideWhenUsed/>
    <w:rsid w:val="002924F1"/>
    <w:pPr>
      <w:tabs>
        <w:tab w:val="center" w:pos="4536"/>
        <w:tab w:val="right" w:pos="9072"/>
      </w:tabs>
    </w:pPr>
  </w:style>
  <w:style w:type="character" w:customStyle="1" w:styleId="HeaderChar">
    <w:name w:val="Header Char"/>
    <w:link w:val="Header"/>
    <w:uiPriority w:val="99"/>
    <w:rsid w:val="002924F1"/>
    <w:rPr>
      <w:sz w:val="22"/>
      <w:szCs w:val="22"/>
      <w:lang w:val="en-US" w:eastAsia="en-US"/>
    </w:rPr>
  </w:style>
  <w:style w:type="paragraph" w:styleId="Footer">
    <w:name w:val="footer"/>
    <w:basedOn w:val="Normal"/>
    <w:link w:val="FooterChar"/>
    <w:uiPriority w:val="99"/>
    <w:unhideWhenUsed/>
    <w:rsid w:val="002924F1"/>
    <w:pPr>
      <w:tabs>
        <w:tab w:val="center" w:pos="4536"/>
        <w:tab w:val="right" w:pos="9072"/>
      </w:tabs>
    </w:pPr>
  </w:style>
  <w:style w:type="character" w:customStyle="1" w:styleId="FooterChar">
    <w:name w:val="Footer Char"/>
    <w:link w:val="Footer"/>
    <w:uiPriority w:val="99"/>
    <w:rsid w:val="002924F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351">
      <w:bodyDiv w:val="1"/>
      <w:marLeft w:val="0"/>
      <w:marRight w:val="0"/>
      <w:marTop w:val="0"/>
      <w:marBottom w:val="0"/>
      <w:divBdr>
        <w:top w:val="none" w:sz="0" w:space="0" w:color="auto"/>
        <w:left w:val="none" w:sz="0" w:space="0" w:color="auto"/>
        <w:bottom w:val="none" w:sz="0" w:space="0" w:color="auto"/>
        <w:right w:val="none" w:sz="0" w:space="0" w:color="auto"/>
      </w:divBdr>
      <w:divsChild>
        <w:div w:id="232086234">
          <w:marLeft w:val="0"/>
          <w:marRight w:val="0"/>
          <w:marTop w:val="0"/>
          <w:marBottom w:val="0"/>
          <w:divBdr>
            <w:top w:val="none" w:sz="0" w:space="0" w:color="auto"/>
            <w:left w:val="none" w:sz="0" w:space="0" w:color="auto"/>
            <w:bottom w:val="none" w:sz="0" w:space="0" w:color="auto"/>
            <w:right w:val="none" w:sz="0" w:space="0" w:color="auto"/>
          </w:divBdr>
        </w:div>
        <w:div w:id="277026801">
          <w:marLeft w:val="0"/>
          <w:marRight w:val="0"/>
          <w:marTop w:val="0"/>
          <w:marBottom w:val="0"/>
          <w:divBdr>
            <w:top w:val="none" w:sz="0" w:space="0" w:color="auto"/>
            <w:left w:val="none" w:sz="0" w:space="0" w:color="auto"/>
            <w:bottom w:val="none" w:sz="0" w:space="0" w:color="auto"/>
            <w:right w:val="none" w:sz="0" w:space="0" w:color="auto"/>
          </w:divBdr>
        </w:div>
        <w:div w:id="616258570">
          <w:marLeft w:val="0"/>
          <w:marRight w:val="0"/>
          <w:marTop w:val="0"/>
          <w:marBottom w:val="0"/>
          <w:divBdr>
            <w:top w:val="none" w:sz="0" w:space="0" w:color="auto"/>
            <w:left w:val="none" w:sz="0" w:space="0" w:color="auto"/>
            <w:bottom w:val="none" w:sz="0" w:space="0" w:color="auto"/>
            <w:right w:val="none" w:sz="0" w:space="0" w:color="auto"/>
          </w:divBdr>
        </w:div>
        <w:div w:id="826672914">
          <w:marLeft w:val="0"/>
          <w:marRight w:val="0"/>
          <w:marTop w:val="0"/>
          <w:marBottom w:val="0"/>
          <w:divBdr>
            <w:top w:val="none" w:sz="0" w:space="0" w:color="auto"/>
            <w:left w:val="none" w:sz="0" w:space="0" w:color="auto"/>
            <w:bottom w:val="none" w:sz="0" w:space="0" w:color="auto"/>
            <w:right w:val="none" w:sz="0" w:space="0" w:color="auto"/>
          </w:divBdr>
        </w:div>
        <w:div w:id="916937921">
          <w:marLeft w:val="0"/>
          <w:marRight w:val="0"/>
          <w:marTop w:val="0"/>
          <w:marBottom w:val="0"/>
          <w:divBdr>
            <w:top w:val="none" w:sz="0" w:space="0" w:color="auto"/>
            <w:left w:val="none" w:sz="0" w:space="0" w:color="auto"/>
            <w:bottom w:val="none" w:sz="0" w:space="0" w:color="auto"/>
            <w:right w:val="none" w:sz="0" w:space="0" w:color="auto"/>
          </w:divBdr>
        </w:div>
        <w:div w:id="1067991911">
          <w:marLeft w:val="0"/>
          <w:marRight w:val="0"/>
          <w:marTop w:val="0"/>
          <w:marBottom w:val="0"/>
          <w:divBdr>
            <w:top w:val="none" w:sz="0" w:space="0" w:color="auto"/>
            <w:left w:val="none" w:sz="0" w:space="0" w:color="auto"/>
            <w:bottom w:val="none" w:sz="0" w:space="0" w:color="auto"/>
            <w:right w:val="none" w:sz="0" w:space="0" w:color="auto"/>
          </w:divBdr>
        </w:div>
        <w:div w:id="1115950635">
          <w:marLeft w:val="0"/>
          <w:marRight w:val="0"/>
          <w:marTop w:val="0"/>
          <w:marBottom w:val="0"/>
          <w:divBdr>
            <w:top w:val="none" w:sz="0" w:space="0" w:color="auto"/>
            <w:left w:val="none" w:sz="0" w:space="0" w:color="auto"/>
            <w:bottom w:val="none" w:sz="0" w:space="0" w:color="auto"/>
            <w:right w:val="none" w:sz="0" w:space="0" w:color="auto"/>
          </w:divBdr>
        </w:div>
        <w:div w:id="1339380544">
          <w:marLeft w:val="0"/>
          <w:marRight w:val="0"/>
          <w:marTop w:val="0"/>
          <w:marBottom w:val="0"/>
          <w:divBdr>
            <w:top w:val="none" w:sz="0" w:space="0" w:color="auto"/>
            <w:left w:val="none" w:sz="0" w:space="0" w:color="auto"/>
            <w:bottom w:val="none" w:sz="0" w:space="0" w:color="auto"/>
            <w:right w:val="none" w:sz="0" w:space="0" w:color="auto"/>
          </w:divBdr>
        </w:div>
        <w:div w:id="1537423115">
          <w:marLeft w:val="0"/>
          <w:marRight w:val="0"/>
          <w:marTop w:val="0"/>
          <w:marBottom w:val="0"/>
          <w:divBdr>
            <w:top w:val="none" w:sz="0" w:space="0" w:color="auto"/>
            <w:left w:val="none" w:sz="0" w:space="0" w:color="auto"/>
            <w:bottom w:val="none" w:sz="0" w:space="0" w:color="auto"/>
            <w:right w:val="none" w:sz="0" w:space="0" w:color="auto"/>
          </w:divBdr>
        </w:div>
        <w:div w:id="1663972282">
          <w:marLeft w:val="0"/>
          <w:marRight w:val="0"/>
          <w:marTop w:val="0"/>
          <w:marBottom w:val="0"/>
          <w:divBdr>
            <w:top w:val="none" w:sz="0" w:space="0" w:color="auto"/>
            <w:left w:val="none" w:sz="0" w:space="0" w:color="auto"/>
            <w:bottom w:val="none" w:sz="0" w:space="0" w:color="auto"/>
            <w:right w:val="none" w:sz="0" w:space="0" w:color="auto"/>
          </w:divBdr>
        </w:div>
        <w:div w:id="1862350738">
          <w:marLeft w:val="0"/>
          <w:marRight w:val="0"/>
          <w:marTop w:val="0"/>
          <w:marBottom w:val="0"/>
          <w:divBdr>
            <w:top w:val="none" w:sz="0" w:space="0" w:color="auto"/>
            <w:left w:val="none" w:sz="0" w:space="0" w:color="auto"/>
            <w:bottom w:val="none" w:sz="0" w:space="0" w:color="auto"/>
            <w:right w:val="none" w:sz="0" w:space="0" w:color="auto"/>
          </w:divBdr>
        </w:div>
        <w:div w:id="1983387541">
          <w:marLeft w:val="0"/>
          <w:marRight w:val="0"/>
          <w:marTop w:val="0"/>
          <w:marBottom w:val="0"/>
          <w:divBdr>
            <w:top w:val="none" w:sz="0" w:space="0" w:color="auto"/>
            <w:left w:val="none" w:sz="0" w:space="0" w:color="auto"/>
            <w:bottom w:val="none" w:sz="0" w:space="0" w:color="auto"/>
            <w:right w:val="none" w:sz="0" w:space="0" w:color="auto"/>
          </w:divBdr>
        </w:div>
        <w:div w:id="1993823910">
          <w:marLeft w:val="0"/>
          <w:marRight w:val="0"/>
          <w:marTop w:val="0"/>
          <w:marBottom w:val="0"/>
          <w:divBdr>
            <w:top w:val="none" w:sz="0" w:space="0" w:color="auto"/>
            <w:left w:val="none" w:sz="0" w:space="0" w:color="auto"/>
            <w:bottom w:val="none" w:sz="0" w:space="0" w:color="auto"/>
            <w:right w:val="none" w:sz="0" w:space="0" w:color="auto"/>
          </w:divBdr>
        </w:div>
      </w:divsChild>
    </w:div>
    <w:div w:id="211312914">
      <w:bodyDiv w:val="1"/>
      <w:marLeft w:val="0"/>
      <w:marRight w:val="0"/>
      <w:marTop w:val="0"/>
      <w:marBottom w:val="0"/>
      <w:divBdr>
        <w:top w:val="none" w:sz="0" w:space="0" w:color="auto"/>
        <w:left w:val="none" w:sz="0" w:space="0" w:color="auto"/>
        <w:bottom w:val="none" w:sz="0" w:space="0" w:color="auto"/>
        <w:right w:val="none" w:sz="0" w:space="0" w:color="auto"/>
      </w:divBdr>
      <w:divsChild>
        <w:div w:id="109201532">
          <w:marLeft w:val="0"/>
          <w:marRight w:val="0"/>
          <w:marTop w:val="0"/>
          <w:marBottom w:val="0"/>
          <w:divBdr>
            <w:top w:val="none" w:sz="0" w:space="0" w:color="auto"/>
            <w:left w:val="none" w:sz="0" w:space="0" w:color="auto"/>
            <w:bottom w:val="none" w:sz="0" w:space="0" w:color="auto"/>
            <w:right w:val="none" w:sz="0" w:space="0" w:color="auto"/>
          </w:divBdr>
        </w:div>
        <w:div w:id="1249803853">
          <w:marLeft w:val="0"/>
          <w:marRight w:val="0"/>
          <w:marTop w:val="0"/>
          <w:marBottom w:val="0"/>
          <w:divBdr>
            <w:top w:val="none" w:sz="0" w:space="0" w:color="auto"/>
            <w:left w:val="none" w:sz="0" w:space="0" w:color="auto"/>
            <w:bottom w:val="none" w:sz="0" w:space="0" w:color="auto"/>
            <w:right w:val="none" w:sz="0" w:space="0" w:color="auto"/>
          </w:divBdr>
          <w:divsChild>
            <w:div w:id="1822312758">
              <w:marLeft w:val="0"/>
              <w:marRight w:val="0"/>
              <w:marTop w:val="0"/>
              <w:marBottom w:val="0"/>
              <w:divBdr>
                <w:top w:val="none" w:sz="0" w:space="0" w:color="auto"/>
                <w:left w:val="none" w:sz="0" w:space="0" w:color="auto"/>
                <w:bottom w:val="none" w:sz="0" w:space="0" w:color="auto"/>
                <w:right w:val="none" w:sz="0" w:space="0" w:color="auto"/>
              </w:divBdr>
            </w:div>
          </w:divsChild>
        </w:div>
        <w:div w:id="1778796856">
          <w:marLeft w:val="0"/>
          <w:marRight w:val="0"/>
          <w:marTop w:val="0"/>
          <w:marBottom w:val="0"/>
          <w:divBdr>
            <w:top w:val="none" w:sz="0" w:space="0" w:color="auto"/>
            <w:left w:val="none" w:sz="0" w:space="0" w:color="auto"/>
            <w:bottom w:val="none" w:sz="0" w:space="0" w:color="auto"/>
            <w:right w:val="none" w:sz="0" w:space="0" w:color="auto"/>
          </w:divBdr>
          <w:divsChild>
            <w:div w:id="31151812">
              <w:marLeft w:val="0"/>
              <w:marRight w:val="0"/>
              <w:marTop w:val="0"/>
              <w:marBottom w:val="0"/>
              <w:divBdr>
                <w:top w:val="none" w:sz="0" w:space="0" w:color="auto"/>
                <w:left w:val="none" w:sz="0" w:space="0" w:color="auto"/>
                <w:bottom w:val="none" w:sz="0" w:space="0" w:color="auto"/>
                <w:right w:val="none" w:sz="0" w:space="0" w:color="auto"/>
              </w:divBdr>
            </w:div>
            <w:div w:id="228348251">
              <w:marLeft w:val="0"/>
              <w:marRight w:val="0"/>
              <w:marTop w:val="0"/>
              <w:marBottom w:val="0"/>
              <w:divBdr>
                <w:top w:val="none" w:sz="0" w:space="0" w:color="auto"/>
                <w:left w:val="none" w:sz="0" w:space="0" w:color="auto"/>
                <w:bottom w:val="none" w:sz="0" w:space="0" w:color="auto"/>
                <w:right w:val="none" w:sz="0" w:space="0" w:color="auto"/>
              </w:divBdr>
            </w:div>
            <w:div w:id="462041657">
              <w:marLeft w:val="0"/>
              <w:marRight w:val="0"/>
              <w:marTop w:val="0"/>
              <w:marBottom w:val="0"/>
              <w:divBdr>
                <w:top w:val="none" w:sz="0" w:space="0" w:color="auto"/>
                <w:left w:val="none" w:sz="0" w:space="0" w:color="auto"/>
                <w:bottom w:val="none" w:sz="0" w:space="0" w:color="auto"/>
                <w:right w:val="none" w:sz="0" w:space="0" w:color="auto"/>
              </w:divBdr>
            </w:div>
            <w:div w:id="634792477">
              <w:marLeft w:val="0"/>
              <w:marRight w:val="0"/>
              <w:marTop w:val="0"/>
              <w:marBottom w:val="0"/>
              <w:divBdr>
                <w:top w:val="none" w:sz="0" w:space="0" w:color="auto"/>
                <w:left w:val="none" w:sz="0" w:space="0" w:color="auto"/>
                <w:bottom w:val="none" w:sz="0" w:space="0" w:color="auto"/>
                <w:right w:val="none" w:sz="0" w:space="0" w:color="auto"/>
              </w:divBdr>
            </w:div>
            <w:div w:id="842745553">
              <w:marLeft w:val="0"/>
              <w:marRight w:val="0"/>
              <w:marTop w:val="0"/>
              <w:marBottom w:val="0"/>
              <w:divBdr>
                <w:top w:val="none" w:sz="0" w:space="0" w:color="auto"/>
                <w:left w:val="none" w:sz="0" w:space="0" w:color="auto"/>
                <w:bottom w:val="none" w:sz="0" w:space="0" w:color="auto"/>
                <w:right w:val="none" w:sz="0" w:space="0" w:color="auto"/>
              </w:divBdr>
            </w:div>
            <w:div w:id="904532945">
              <w:marLeft w:val="0"/>
              <w:marRight w:val="0"/>
              <w:marTop w:val="0"/>
              <w:marBottom w:val="0"/>
              <w:divBdr>
                <w:top w:val="none" w:sz="0" w:space="0" w:color="auto"/>
                <w:left w:val="none" w:sz="0" w:space="0" w:color="auto"/>
                <w:bottom w:val="none" w:sz="0" w:space="0" w:color="auto"/>
                <w:right w:val="none" w:sz="0" w:space="0" w:color="auto"/>
              </w:divBdr>
            </w:div>
            <w:div w:id="954947441">
              <w:marLeft w:val="0"/>
              <w:marRight w:val="0"/>
              <w:marTop w:val="0"/>
              <w:marBottom w:val="0"/>
              <w:divBdr>
                <w:top w:val="none" w:sz="0" w:space="0" w:color="auto"/>
                <w:left w:val="none" w:sz="0" w:space="0" w:color="auto"/>
                <w:bottom w:val="none" w:sz="0" w:space="0" w:color="auto"/>
                <w:right w:val="none" w:sz="0" w:space="0" w:color="auto"/>
              </w:divBdr>
            </w:div>
            <w:div w:id="1095125848">
              <w:marLeft w:val="0"/>
              <w:marRight w:val="0"/>
              <w:marTop w:val="0"/>
              <w:marBottom w:val="0"/>
              <w:divBdr>
                <w:top w:val="none" w:sz="0" w:space="0" w:color="auto"/>
                <w:left w:val="none" w:sz="0" w:space="0" w:color="auto"/>
                <w:bottom w:val="none" w:sz="0" w:space="0" w:color="auto"/>
                <w:right w:val="none" w:sz="0" w:space="0" w:color="auto"/>
              </w:divBdr>
            </w:div>
            <w:div w:id="1154838509">
              <w:marLeft w:val="0"/>
              <w:marRight w:val="0"/>
              <w:marTop w:val="0"/>
              <w:marBottom w:val="0"/>
              <w:divBdr>
                <w:top w:val="none" w:sz="0" w:space="0" w:color="auto"/>
                <w:left w:val="none" w:sz="0" w:space="0" w:color="auto"/>
                <w:bottom w:val="none" w:sz="0" w:space="0" w:color="auto"/>
                <w:right w:val="none" w:sz="0" w:space="0" w:color="auto"/>
              </w:divBdr>
            </w:div>
            <w:div w:id="1447655159">
              <w:marLeft w:val="0"/>
              <w:marRight w:val="0"/>
              <w:marTop w:val="0"/>
              <w:marBottom w:val="0"/>
              <w:divBdr>
                <w:top w:val="none" w:sz="0" w:space="0" w:color="auto"/>
                <w:left w:val="none" w:sz="0" w:space="0" w:color="auto"/>
                <w:bottom w:val="none" w:sz="0" w:space="0" w:color="auto"/>
                <w:right w:val="none" w:sz="0" w:space="0" w:color="auto"/>
              </w:divBdr>
            </w:div>
            <w:div w:id="14844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1605">
      <w:bodyDiv w:val="1"/>
      <w:marLeft w:val="0"/>
      <w:marRight w:val="0"/>
      <w:marTop w:val="0"/>
      <w:marBottom w:val="0"/>
      <w:divBdr>
        <w:top w:val="none" w:sz="0" w:space="0" w:color="auto"/>
        <w:left w:val="none" w:sz="0" w:space="0" w:color="auto"/>
        <w:bottom w:val="none" w:sz="0" w:space="0" w:color="auto"/>
        <w:right w:val="none" w:sz="0" w:space="0" w:color="auto"/>
      </w:divBdr>
      <w:divsChild>
        <w:div w:id="169029496">
          <w:marLeft w:val="0"/>
          <w:marRight w:val="0"/>
          <w:marTop w:val="0"/>
          <w:marBottom w:val="0"/>
          <w:divBdr>
            <w:top w:val="none" w:sz="0" w:space="0" w:color="auto"/>
            <w:left w:val="none" w:sz="0" w:space="0" w:color="auto"/>
            <w:bottom w:val="none" w:sz="0" w:space="0" w:color="auto"/>
            <w:right w:val="none" w:sz="0" w:space="0" w:color="auto"/>
          </w:divBdr>
        </w:div>
        <w:div w:id="381096805">
          <w:marLeft w:val="0"/>
          <w:marRight w:val="0"/>
          <w:marTop w:val="0"/>
          <w:marBottom w:val="0"/>
          <w:divBdr>
            <w:top w:val="none" w:sz="0" w:space="0" w:color="auto"/>
            <w:left w:val="none" w:sz="0" w:space="0" w:color="auto"/>
            <w:bottom w:val="none" w:sz="0" w:space="0" w:color="auto"/>
            <w:right w:val="none" w:sz="0" w:space="0" w:color="auto"/>
          </w:divBdr>
        </w:div>
        <w:div w:id="548542256">
          <w:marLeft w:val="0"/>
          <w:marRight w:val="0"/>
          <w:marTop w:val="0"/>
          <w:marBottom w:val="0"/>
          <w:divBdr>
            <w:top w:val="none" w:sz="0" w:space="0" w:color="auto"/>
            <w:left w:val="none" w:sz="0" w:space="0" w:color="auto"/>
            <w:bottom w:val="none" w:sz="0" w:space="0" w:color="auto"/>
            <w:right w:val="none" w:sz="0" w:space="0" w:color="auto"/>
          </w:divBdr>
        </w:div>
      </w:divsChild>
    </w:div>
    <w:div w:id="597713052">
      <w:bodyDiv w:val="1"/>
      <w:marLeft w:val="0"/>
      <w:marRight w:val="0"/>
      <w:marTop w:val="0"/>
      <w:marBottom w:val="0"/>
      <w:divBdr>
        <w:top w:val="none" w:sz="0" w:space="0" w:color="auto"/>
        <w:left w:val="none" w:sz="0" w:space="0" w:color="auto"/>
        <w:bottom w:val="none" w:sz="0" w:space="0" w:color="auto"/>
        <w:right w:val="none" w:sz="0" w:space="0" w:color="auto"/>
      </w:divBdr>
      <w:divsChild>
        <w:div w:id="701633575">
          <w:marLeft w:val="0"/>
          <w:marRight w:val="0"/>
          <w:marTop w:val="0"/>
          <w:marBottom w:val="0"/>
          <w:divBdr>
            <w:top w:val="none" w:sz="0" w:space="0" w:color="auto"/>
            <w:left w:val="none" w:sz="0" w:space="0" w:color="auto"/>
            <w:bottom w:val="none" w:sz="0" w:space="0" w:color="auto"/>
            <w:right w:val="none" w:sz="0" w:space="0" w:color="auto"/>
          </w:divBdr>
        </w:div>
        <w:div w:id="1988125921">
          <w:marLeft w:val="0"/>
          <w:marRight w:val="0"/>
          <w:marTop w:val="0"/>
          <w:marBottom w:val="0"/>
          <w:divBdr>
            <w:top w:val="none" w:sz="0" w:space="0" w:color="auto"/>
            <w:left w:val="none" w:sz="0" w:space="0" w:color="auto"/>
            <w:bottom w:val="none" w:sz="0" w:space="0" w:color="auto"/>
            <w:right w:val="none" w:sz="0" w:space="0" w:color="auto"/>
          </w:divBdr>
        </w:div>
      </w:divsChild>
    </w:div>
    <w:div w:id="674307069">
      <w:bodyDiv w:val="1"/>
      <w:marLeft w:val="0"/>
      <w:marRight w:val="0"/>
      <w:marTop w:val="0"/>
      <w:marBottom w:val="0"/>
      <w:divBdr>
        <w:top w:val="none" w:sz="0" w:space="0" w:color="auto"/>
        <w:left w:val="none" w:sz="0" w:space="0" w:color="auto"/>
        <w:bottom w:val="none" w:sz="0" w:space="0" w:color="auto"/>
        <w:right w:val="none" w:sz="0" w:space="0" w:color="auto"/>
      </w:divBdr>
      <w:divsChild>
        <w:div w:id="360084791">
          <w:marLeft w:val="0"/>
          <w:marRight w:val="0"/>
          <w:marTop w:val="0"/>
          <w:marBottom w:val="0"/>
          <w:divBdr>
            <w:top w:val="none" w:sz="0" w:space="0" w:color="auto"/>
            <w:left w:val="none" w:sz="0" w:space="0" w:color="auto"/>
            <w:bottom w:val="none" w:sz="0" w:space="0" w:color="auto"/>
            <w:right w:val="none" w:sz="0" w:space="0" w:color="auto"/>
          </w:divBdr>
        </w:div>
        <w:div w:id="2061707675">
          <w:marLeft w:val="0"/>
          <w:marRight w:val="0"/>
          <w:marTop w:val="0"/>
          <w:marBottom w:val="0"/>
          <w:divBdr>
            <w:top w:val="none" w:sz="0" w:space="0" w:color="auto"/>
            <w:left w:val="none" w:sz="0" w:space="0" w:color="auto"/>
            <w:bottom w:val="none" w:sz="0" w:space="0" w:color="auto"/>
            <w:right w:val="none" w:sz="0" w:space="0" w:color="auto"/>
          </w:divBdr>
          <w:divsChild>
            <w:div w:id="17555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6974">
      <w:bodyDiv w:val="1"/>
      <w:marLeft w:val="0"/>
      <w:marRight w:val="0"/>
      <w:marTop w:val="0"/>
      <w:marBottom w:val="0"/>
      <w:divBdr>
        <w:top w:val="none" w:sz="0" w:space="0" w:color="auto"/>
        <w:left w:val="none" w:sz="0" w:space="0" w:color="auto"/>
        <w:bottom w:val="none" w:sz="0" w:space="0" w:color="auto"/>
        <w:right w:val="none" w:sz="0" w:space="0" w:color="auto"/>
      </w:divBdr>
      <w:divsChild>
        <w:div w:id="109279631">
          <w:marLeft w:val="0"/>
          <w:marRight w:val="0"/>
          <w:marTop w:val="0"/>
          <w:marBottom w:val="0"/>
          <w:divBdr>
            <w:top w:val="none" w:sz="0" w:space="0" w:color="auto"/>
            <w:left w:val="none" w:sz="0" w:space="0" w:color="auto"/>
            <w:bottom w:val="none" w:sz="0" w:space="0" w:color="auto"/>
            <w:right w:val="none" w:sz="0" w:space="0" w:color="auto"/>
          </w:divBdr>
        </w:div>
        <w:div w:id="133104268">
          <w:marLeft w:val="0"/>
          <w:marRight w:val="0"/>
          <w:marTop w:val="0"/>
          <w:marBottom w:val="0"/>
          <w:divBdr>
            <w:top w:val="none" w:sz="0" w:space="0" w:color="auto"/>
            <w:left w:val="none" w:sz="0" w:space="0" w:color="auto"/>
            <w:bottom w:val="none" w:sz="0" w:space="0" w:color="auto"/>
            <w:right w:val="none" w:sz="0" w:space="0" w:color="auto"/>
          </w:divBdr>
        </w:div>
        <w:div w:id="149106605">
          <w:marLeft w:val="0"/>
          <w:marRight w:val="0"/>
          <w:marTop w:val="0"/>
          <w:marBottom w:val="0"/>
          <w:divBdr>
            <w:top w:val="none" w:sz="0" w:space="0" w:color="auto"/>
            <w:left w:val="none" w:sz="0" w:space="0" w:color="auto"/>
            <w:bottom w:val="none" w:sz="0" w:space="0" w:color="auto"/>
            <w:right w:val="none" w:sz="0" w:space="0" w:color="auto"/>
          </w:divBdr>
        </w:div>
        <w:div w:id="182744645">
          <w:marLeft w:val="0"/>
          <w:marRight w:val="0"/>
          <w:marTop w:val="0"/>
          <w:marBottom w:val="0"/>
          <w:divBdr>
            <w:top w:val="none" w:sz="0" w:space="0" w:color="auto"/>
            <w:left w:val="none" w:sz="0" w:space="0" w:color="auto"/>
            <w:bottom w:val="none" w:sz="0" w:space="0" w:color="auto"/>
            <w:right w:val="none" w:sz="0" w:space="0" w:color="auto"/>
          </w:divBdr>
        </w:div>
        <w:div w:id="183635561">
          <w:marLeft w:val="0"/>
          <w:marRight w:val="0"/>
          <w:marTop w:val="0"/>
          <w:marBottom w:val="0"/>
          <w:divBdr>
            <w:top w:val="none" w:sz="0" w:space="0" w:color="auto"/>
            <w:left w:val="none" w:sz="0" w:space="0" w:color="auto"/>
            <w:bottom w:val="none" w:sz="0" w:space="0" w:color="auto"/>
            <w:right w:val="none" w:sz="0" w:space="0" w:color="auto"/>
          </w:divBdr>
        </w:div>
        <w:div w:id="661589737">
          <w:marLeft w:val="0"/>
          <w:marRight w:val="0"/>
          <w:marTop w:val="0"/>
          <w:marBottom w:val="0"/>
          <w:divBdr>
            <w:top w:val="none" w:sz="0" w:space="0" w:color="auto"/>
            <w:left w:val="none" w:sz="0" w:space="0" w:color="auto"/>
            <w:bottom w:val="none" w:sz="0" w:space="0" w:color="auto"/>
            <w:right w:val="none" w:sz="0" w:space="0" w:color="auto"/>
          </w:divBdr>
        </w:div>
        <w:div w:id="1057244788">
          <w:marLeft w:val="0"/>
          <w:marRight w:val="0"/>
          <w:marTop w:val="0"/>
          <w:marBottom w:val="0"/>
          <w:divBdr>
            <w:top w:val="none" w:sz="0" w:space="0" w:color="auto"/>
            <w:left w:val="none" w:sz="0" w:space="0" w:color="auto"/>
            <w:bottom w:val="none" w:sz="0" w:space="0" w:color="auto"/>
            <w:right w:val="none" w:sz="0" w:space="0" w:color="auto"/>
          </w:divBdr>
        </w:div>
        <w:div w:id="1592621705">
          <w:marLeft w:val="0"/>
          <w:marRight w:val="0"/>
          <w:marTop w:val="0"/>
          <w:marBottom w:val="0"/>
          <w:divBdr>
            <w:top w:val="none" w:sz="0" w:space="0" w:color="auto"/>
            <w:left w:val="none" w:sz="0" w:space="0" w:color="auto"/>
            <w:bottom w:val="none" w:sz="0" w:space="0" w:color="auto"/>
            <w:right w:val="none" w:sz="0" w:space="0" w:color="auto"/>
          </w:divBdr>
        </w:div>
        <w:div w:id="1806895291">
          <w:marLeft w:val="0"/>
          <w:marRight w:val="0"/>
          <w:marTop w:val="0"/>
          <w:marBottom w:val="0"/>
          <w:divBdr>
            <w:top w:val="none" w:sz="0" w:space="0" w:color="auto"/>
            <w:left w:val="none" w:sz="0" w:space="0" w:color="auto"/>
            <w:bottom w:val="none" w:sz="0" w:space="0" w:color="auto"/>
            <w:right w:val="none" w:sz="0" w:space="0" w:color="auto"/>
          </w:divBdr>
        </w:div>
        <w:div w:id="2121338334">
          <w:marLeft w:val="0"/>
          <w:marRight w:val="0"/>
          <w:marTop w:val="0"/>
          <w:marBottom w:val="0"/>
          <w:divBdr>
            <w:top w:val="none" w:sz="0" w:space="0" w:color="auto"/>
            <w:left w:val="none" w:sz="0" w:space="0" w:color="auto"/>
            <w:bottom w:val="none" w:sz="0" w:space="0" w:color="auto"/>
            <w:right w:val="none" w:sz="0" w:space="0" w:color="auto"/>
          </w:divBdr>
        </w:div>
      </w:divsChild>
    </w:div>
    <w:div w:id="175501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Приложение 4</vt:lpstr>
    </vt:vector>
  </TitlesOfParts>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creator>Mariela Pchelinska</dc:creator>
  <cp:lastModifiedBy>Spas M. Todorov</cp:lastModifiedBy>
  <cp:revision>2</cp:revision>
  <cp:lastPrinted>2022-07-07T12:56:00Z</cp:lastPrinted>
  <dcterms:created xsi:type="dcterms:W3CDTF">2022-10-26T07:07:00Z</dcterms:created>
  <dcterms:modified xsi:type="dcterms:W3CDTF">2022-10-26T07:07:00Z</dcterms:modified>
</cp:coreProperties>
</file>