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56" w:rsidRPr="00316BF4" w:rsidRDefault="00713B56" w:rsidP="001149EC">
      <w:pPr>
        <w:rPr>
          <w:lang w:val="bg-BG" w:eastAsia="bg-BG"/>
        </w:rPr>
      </w:pPr>
      <w:r w:rsidRPr="00316BF4">
        <w:rPr>
          <w:noProof/>
        </w:rPr>
        <w:drawing>
          <wp:anchor distT="0" distB="0" distL="114300" distR="114300" simplePos="0" relativeHeight="251659264" behindDoc="1" locked="0" layoutInCell="1" allowOverlap="1" wp14:anchorId="156928FC" wp14:editId="7E55F727">
            <wp:simplePos x="0" y="0"/>
            <wp:positionH relativeFrom="column">
              <wp:align>center</wp:align>
            </wp:positionH>
            <wp:positionV relativeFrom="paragraph">
              <wp:posOffset>-317500</wp:posOffset>
            </wp:positionV>
            <wp:extent cx="1342800" cy="1332000"/>
            <wp:effectExtent l="0" t="0" r="0" b="190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13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B56" w:rsidRPr="00316BF4" w:rsidRDefault="00713B56" w:rsidP="001149EC">
      <w:pPr>
        <w:rPr>
          <w:lang w:val="bg-BG" w:eastAsia="bg-BG"/>
        </w:rPr>
      </w:pPr>
    </w:p>
    <w:p w:rsidR="00713B56" w:rsidRPr="00316BF4" w:rsidRDefault="00713B56" w:rsidP="001149EC">
      <w:pPr>
        <w:rPr>
          <w:lang w:val="bg-BG" w:eastAsia="bg-BG"/>
        </w:rPr>
      </w:pPr>
    </w:p>
    <w:p w:rsidR="00713B56" w:rsidRPr="00316BF4" w:rsidRDefault="00713B56" w:rsidP="001149EC">
      <w:pPr>
        <w:rPr>
          <w:lang w:val="bg-BG" w:eastAsia="bg-BG"/>
        </w:rPr>
      </w:pPr>
    </w:p>
    <w:p w:rsidR="00713B56" w:rsidRPr="00316BF4" w:rsidRDefault="00713B56" w:rsidP="00713B56">
      <w:pPr>
        <w:keepNext/>
        <w:spacing w:after="60" w:line="240" w:lineRule="auto"/>
        <w:jc w:val="center"/>
        <w:outlineLvl w:val="0"/>
        <w:rPr>
          <w:rFonts w:ascii="Verdana" w:eastAsia="Times New Roman" w:hAnsi="Verdana" w:cs="Verdana"/>
          <w:spacing w:val="40"/>
          <w:kern w:val="32"/>
          <w:sz w:val="32"/>
          <w:szCs w:val="32"/>
          <w:lang w:val="bg-BG" w:eastAsia="bg-BG"/>
        </w:rPr>
      </w:pPr>
      <w:r w:rsidRPr="00316BF4">
        <w:rPr>
          <w:rFonts w:ascii="Verdana" w:eastAsia="Times New Roman" w:hAnsi="Verdana" w:cs="Verdana"/>
          <w:spacing w:val="40"/>
          <w:kern w:val="32"/>
          <w:sz w:val="32"/>
          <w:szCs w:val="32"/>
          <w:lang w:val="bg-BG" w:eastAsia="bg-BG"/>
        </w:rPr>
        <w:t>РЕПУБЛИКА БЪЛГАРИЯ</w:t>
      </w:r>
    </w:p>
    <w:p w:rsidR="00713B56" w:rsidRPr="00316BF4" w:rsidRDefault="00713B56" w:rsidP="00713B5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sz w:val="26"/>
          <w:szCs w:val="26"/>
          <w:lang w:val="bg-BG" w:eastAsia="bg-BG"/>
        </w:rPr>
      </w:pPr>
      <w:r w:rsidRPr="00316BF4">
        <w:rPr>
          <w:rFonts w:ascii="Verdana" w:eastAsia="Times New Roman" w:hAnsi="Verdana" w:cs="Verdana"/>
          <w:spacing w:val="40"/>
          <w:sz w:val="26"/>
          <w:szCs w:val="26"/>
          <w:lang w:val="bg-BG" w:eastAsia="bg-BG"/>
        </w:rPr>
        <w:t xml:space="preserve">Министър </w:t>
      </w:r>
      <w:r w:rsidR="00B067B6" w:rsidRPr="00316BF4">
        <w:rPr>
          <w:rFonts w:ascii="Verdana" w:eastAsia="Times New Roman" w:hAnsi="Verdana" w:cs="Verdana"/>
          <w:spacing w:val="40"/>
          <w:sz w:val="26"/>
          <w:szCs w:val="26"/>
          <w:lang w:val="bg-BG" w:eastAsia="bg-BG"/>
        </w:rPr>
        <w:t>на земеделието</w:t>
      </w:r>
    </w:p>
    <w:p w:rsidR="00D4100E" w:rsidRPr="00316BF4" w:rsidRDefault="00D4100E" w:rsidP="0027099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:rsidR="00D21E46" w:rsidRPr="00316BF4" w:rsidRDefault="00D21E46" w:rsidP="0027099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:rsidR="00713B56" w:rsidRPr="00316BF4" w:rsidRDefault="00713B56" w:rsidP="0027099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ДО</w:t>
      </w:r>
    </w:p>
    <w:p w:rsidR="00713B56" w:rsidRPr="00316BF4" w:rsidRDefault="00713B56" w:rsidP="0027099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МИНИСТЕРСКИЯ СЪВЕТ</w:t>
      </w:r>
    </w:p>
    <w:p w:rsidR="009A6EFB" w:rsidRPr="00316BF4" w:rsidRDefault="00713B56" w:rsidP="0027099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НА РЕПУБЛИКА БЪЛГАРИЯ</w:t>
      </w:r>
    </w:p>
    <w:p w:rsidR="00D21E46" w:rsidRPr="00316BF4" w:rsidRDefault="00D21E46" w:rsidP="00270999">
      <w:pPr>
        <w:spacing w:after="0" w:line="360" w:lineRule="auto"/>
        <w:rPr>
          <w:lang w:val="bg-BG" w:eastAsia="bg-BG"/>
        </w:rPr>
      </w:pPr>
    </w:p>
    <w:p w:rsidR="00713B56" w:rsidRPr="00316BF4" w:rsidRDefault="00713B56" w:rsidP="00270999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bCs/>
          <w:spacing w:val="80"/>
          <w:kern w:val="32"/>
          <w:sz w:val="24"/>
          <w:szCs w:val="24"/>
          <w:lang w:val="bg-BG" w:eastAsia="bg-BG"/>
        </w:rPr>
      </w:pPr>
      <w:r w:rsidRPr="00316BF4">
        <w:rPr>
          <w:rFonts w:ascii="Verdana" w:eastAsia="Times New Roman" w:hAnsi="Verdana" w:cs="Times New Roman"/>
          <w:b/>
          <w:bCs/>
          <w:spacing w:val="80"/>
          <w:kern w:val="32"/>
          <w:sz w:val="24"/>
          <w:szCs w:val="24"/>
          <w:lang w:val="bg-BG" w:eastAsia="bg-BG"/>
        </w:rPr>
        <w:t>ДОКЛАД</w:t>
      </w:r>
    </w:p>
    <w:p w:rsidR="00713B56" w:rsidRPr="00316BF4" w:rsidRDefault="00E809D8" w:rsidP="002709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smallCaps/>
          <w:spacing w:val="6"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smallCaps/>
          <w:spacing w:val="6"/>
          <w:sz w:val="20"/>
          <w:szCs w:val="20"/>
          <w:lang w:val="bg-BG" w:eastAsia="bg-BG"/>
        </w:rPr>
        <w:t>от Явор Гечев</w:t>
      </w:r>
      <w:r w:rsidR="005A6EEF" w:rsidRPr="00316BF4">
        <w:rPr>
          <w:rFonts w:ascii="Verdana" w:eastAsia="Times New Roman" w:hAnsi="Verdana" w:cs="Times New Roman"/>
          <w:iCs/>
          <w:smallCaps/>
          <w:spacing w:val="6"/>
          <w:sz w:val="20"/>
          <w:szCs w:val="20"/>
          <w:lang w:val="bg-BG" w:eastAsia="bg-BG"/>
        </w:rPr>
        <w:t xml:space="preserve"> – </w:t>
      </w:r>
      <w:r w:rsidR="00B067B6" w:rsidRPr="00316BF4">
        <w:rPr>
          <w:rFonts w:ascii="Verdana" w:eastAsia="Times New Roman" w:hAnsi="Verdana" w:cs="Times New Roman"/>
          <w:smallCaps/>
          <w:spacing w:val="6"/>
          <w:sz w:val="20"/>
          <w:szCs w:val="20"/>
          <w:lang w:val="bg-BG" w:eastAsia="bg-BG"/>
        </w:rPr>
        <w:t>министър на земеделието</w:t>
      </w:r>
    </w:p>
    <w:p w:rsidR="00B21B83" w:rsidRPr="00316BF4" w:rsidRDefault="00B21B83" w:rsidP="0027099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D3056" w:rsidRPr="00316BF4" w:rsidRDefault="00ED3056" w:rsidP="0027099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B94C8A" w:rsidRPr="00316BF4" w:rsidRDefault="00B94C8A" w:rsidP="00270999">
      <w:pPr>
        <w:widowControl w:val="0"/>
        <w:autoSpaceDE w:val="0"/>
        <w:autoSpaceDN w:val="0"/>
        <w:adjustRightInd w:val="0"/>
        <w:spacing w:after="0" w:line="360" w:lineRule="auto"/>
        <w:ind w:left="1191" w:hanging="1191"/>
        <w:jc w:val="both"/>
        <w:rPr>
          <w:rFonts w:ascii="Verdana" w:eastAsia="Times New Roman" w:hAnsi="Verdana" w:cs="Times New Roman"/>
          <w:strike/>
          <w:color w:val="FF0000"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Относно</w:t>
      </w:r>
      <w:r w:rsidRPr="00316BF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:</w:t>
      </w:r>
      <w:r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316BF4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 xml:space="preserve">Проект </w:t>
      </w:r>
      <w:r w:rsidR="00ED3056" w:rsidRPr="00316BF4">
        <w:rPr>
          <w:rFonts w:ascii="Verdana" w:hAnsi="Verdana" w:cs="Times New Roman"/>
          <w:sz w:val="20"/>
          <w:szCs w:val="20"/>
          <w:lang w:val="bg-BG"/>
        </w:rPr>
        <w:t>на Постановление за изменение на Постановление № 209 на Министерския съвет от 2015 г. за назначаване на допълнителен персонал за нуждите и в срока на прилагане на Програма за развитие на селските райони за периода 2014 – 2020 г. със средства от мярка „Техническа помощ“ и на персонал на местните инициативни групи, изпълняващи стратегии за водено от общностите местно развитие, финансирани със средства от мярка 19 „Водено от общностите местно развитие“ на програмата</w:t>
      </w:r>
      <w:r w:rsidR="005C2C28" w:rsidRPr="00316BF4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 xml:space="preserve"> </w:t>
      </w:r>
      <w:r w:rsidR="005C2C28" w:rsidRPr="00C95696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>(</w:t>
      </w:r>
      <w:r w:rsidR="00ED3056" w:rsidRPr="00C95696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>о</w:t>
      </w:r>
      <w:r w:rsidR="005C2C28" w:rsidRPr="00C95696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>бн., ДВ, бр. 63 от 2015 г.)</w:t>
      </w:r>
    </w:p>
    <w:p w:rsidR="00B21B83" w:rsidRPr="00316BF4" w:rsidRDefault="00B21B83" w:rsidP="0027099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A91F3E" w:rsidRPr="00316BF4" w:rsidRDefault="00A91F3E" w:rsidP="0027099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D3056" w:rsidRPr="00316BF4" w:rsidRDefault="00ED3056" w:rsidP="0027099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713B56" w:rsidRPr="00316BF4" w:rsidRDefault="00713B56" w:rsidP="0027099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УВАЖАЕМИ ГОСПОДИН МИНИСТЪР-ПРЕДСЕДАТЕЛ,</w:t>
      </w:r>
    </w:p>
    <w:p w:rsidR="00713B56" w:rsidRPr="00316BF4" w:rsidRDefault="00713B56" w:rsidP="00270999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УВАЖАЕМИ ГОСПОЖИ И ГОСПОДА МИНИСТРИ,</w:t>
      </w:r>
    </w:p>
    <w:p w:rsidR="005C2C28" w:rsidRPr="00316BF4" w:rsidRDefault="00713B56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pacing w:val="4"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spacing w:val="4"/>
          <w:sz w:val="20"/>
          <w:szCs w:val="20"/>
          <w:lang w:val="bg-BG" w:eastAsia="bg-BG"/>
        </w:rPr>
        <w:t xml:space="preserve">На основание чл. 31, ал. 2 от Устройствения правилник на Министерския съвет и на неговата администрация, внасям за разглеждане от Министерския съвет </w:t>
      </w:r>
      <w:r w:rsidR="00ED3056" w:rsidRPr="00316BF4">
        <w:rPr>
          <w:rFonts w:ascii="Verdana" w:eastAsia="Times New Roman" w:hAnsi="Verdana" w:cs="Times New Roman"/>
          <w:spacing w:val="4"/>
          <w:sz w:val="20"/>
          <w:szCs w:val="20"/>
          <w:lang w:val="bg-BG" w:eastAsia="bg-BG"/>
        </w:rPr>
        <w:t>п</w:t>
      </w:r>
      <w:r w:rsidR="005C2C28" w:rsidRPr="00316BF4">
        <w:rPr>
          <w:rFonts w:ascii="Verdana" w:eastAsia="Times New Roman" w:hAnsi="Verdana" w:cs="Times New Roman"/>
          <w:spacing w:val="4"/>
          <w:sz w:val="20"/>
          <w:szCs w:val="20"/>
          <w:lang w:val="bg-BG" w:eastAsia="bg-BG"/>
        </w:rPr>
        <w:t xml:space="preserve">роект </w:t>
      </w:r>
      <w:r w:rsidR="00ED3056" w:rsidRPr="00316BF4">
        <w:rPr>
          <w:rFonts w:ascii="Verdana" w:eastAsia="Times New Roman" w:hAnsi="Verdana" w:cs="Times New Roman"/>
          <w:spacing w:val="4"/>
          <w:sz w:val="20"/>
          <w:szCs w:val="20"/>
          <w:lang w:val="bg-BG" w:eastAsia="bg-BG"/>
        </w:rPr>
        <w:t>на Постановление за изменение на Постановление № 209 на Министерския съвет от 2015 г. за назначаване на допълнителен персонал за нуждите и в срока на прилагане на Програма за развитие на селските райони за периода 2014 – 2020 г. със средства от мярка „Техническа помощ“ и на персонал на местните инициативни групи, изпълняващи стратегии за водено от общностите местно развитие, финансирани със средства от мярка 19 „Водено от общностите местно развитие“ на програмата.</w:t>
      </w:r>
    </w:p>
    <w:p w:rsidR="00B21B83" w:rsidRPr="00316BF4" w:rsidRDefault="00B21B83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pacing w:val="4"/>
          <w:sz w:val="20"/>
          <w:szCs w:val="20"/>
          <w:lang w:val="bg-BG" w:eastAsia="bg-BG"/>
        </w:rPr>
      </w:pPr>
    </w:p>
    <w:p w:rsidR="00B21B83" w:rsidRPr="00316BF4" w:rsidRDefault="00B21B83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lastRenderedPageBreak/>
        <w:t>Причини, които налагат приемането на акта</w:t>
      </w:r>
    </w:p>
    <w:p w:rsidR="005C2C28" w:rsidRPr="00316BF4" w:rsidRDefault="005C2C28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За нуждите и в срока на прилагане на Програмата за развитие на селските райони за </w:t>
      </w:r>
      <w:r w:rsidR="00ED3056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периода 2014 – </w:t>
      </w:r>
      <w:r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2020 г.</w:t>
      </w:r>
      <w:r w:rsidR="00033EFC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</w:t>
      </w:r>
      <w:r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(ПРСР 2014 </w:t>
      </w:r>
      <w:r w:rsidR="00ED3056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– </w:t>
      </w:r>
      <w:r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2020 г.) министърът на земеделието и изпълнителният директор на Държавен фонд</w:t>
      </w:r>
      <w:r w:rsidR="00264A6B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</w:t>
      </w:r>
      <w:r w:rsidR="00ED3056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„</w:t>
      </w:r>
      <w:r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Земеделие</w:t>
      </w:r>
      <w:r w:rsidR="00ED3056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“</w:t>
      </w:r>
      <w:r w:rsidR="00033EFC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</w:t>
      </w:r>
      <w:r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(ДФЗ) сключва</w:t>
      </w:r>
      <w:r w:rsidR="001729B9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т</w:t>
      </w:r>
      <w:r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извън утвърдената численост на персонала на Министерството на земеделието</w:t>
      </w:r>
      <w:r w:rsidR="00033EFC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</w:t>
      </w:r>
      <w:r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и на ДФЗ срочни трудови договори за периода на изпълнение на ПРСР 2014 </w:t>
      </w:r>
      <w:r w:rsidR="001729B9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–</w:t>
      </w:r>
      <w:r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2020</w:t>
      </w:r>
      <w:r w:rsidR="001729B9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</w:t>
      </w:r>
      <w:r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г. с български и чуждестранни граждани при спазване на Закона за насърчаване на заетостта. </w:t>
      </w:r>
      <w:r w:rsidR="00264A6B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В </w:t>
      </w:r>
      <w:r w:rsidR="00033EFC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Постановление № 209 на Министерския съвет от 2015 г. за назначаване на допълнителен персонал за нуждите и в срока на прилагане на Програма за развитие на селските райони за периода 2014 –</w:t>
      </w:r>
      <w:r w:rsidR="00ED3056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2020 г. със средства от мярка „</w:t>
      </w:r>
      <w:r w:rsidR="00033EFC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Техническа помощ</w:t>
      </w:r>
      <w:r w:rsidR="00ED3056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“</w:t>
      </w:r>
      <w:r w:rsidR="00033EFC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и на персонал на местните инициативни групи, изпълняващи стратегии за водено от общностите местно развитие, финансирани със сред</w:t>
      </w:r>
      <w:r w:rsidR="00ED3056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ства от мярка 19 „</w:t>
      </w:r>
      <w:r w:rsidR="00033EFC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Водено от общностите местно развитие</w:t>
      </w:r>
      <w:r w:rsidR="00ED3056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“ на програмата</w:t>
      </w:r>
      <w:r w:rsidR="00033EFC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(ПМС № 209 от 2015 г.) </w:t>
      </w:r>
      <w:r w:rsidR="00ED3056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със средства от мярка „</w:t>
      </w:r>
      <w:r w:rsidR="00264A6B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Техническа помощ</w:t>
      </w:r>
      <w:r w:rsidR="00ED3056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“</w:t>
      </w:r>
      <w:r w:rsidR="00264A6B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крайният срок на договорите е не по-късно от 30 октомври 2023</w:t>
      </w:r>
      <w:r w:rsidR="001729B9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</w:t>
      </w:r>
      <w:r w:rsidR="00264A6B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г.</w:t>
      </w:r>
    </w:p>
    <w:p w:rsidR="00392498" w:rsidRPr="00316BF4" w:rsidRDefault="00264A6B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На </w:t>
      </w:r>
      <w:r w:rsidR="005C2C28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28.12.2020 г. в Официалния вестник на Европейския съюз </w:t>
      </w:r>
      <w:r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бе публикуван </w:t>
      </w:r>
      <w:r w:rsidR="005C2C28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Регламент (ЕС) 2020/2220 от 23 декември 2020 г. на Европейския парламент и на Съвета за определяне на някои преходни разпоредби във връзка с подпомагането от Европейския земеделски фонд за развитие на селските райони (ЕЗФРСР) и от Европейския фонд за гарантиране на земеделието (ЕФГЗ) през 2021 г. и 2022 г. и за изменение на регламенти (ЕС) № 1305/2013, (ЕС) № 1306/2013 и (ЕС) № 1307/2013 по отношение на ресурсите и на прилагането през 2021 г. и 2022 г. и Регламент (ЕС) № 1308/2013</w:t>
      </w:r>
      <w:r w:rsidR="00033EFC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(Регламент (ЕС) 2020/2220) </w:t>
      </w:r>
      <w:r w:rsidR="005C2C28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по отношение на ресурсите и разпределението на това подпомагане за 2021 г. и 2022 г. Съгласно чл. 2, параграф 2 от Регламент (ЕС) 2020/2220, крайният срок за извършване на плащанията по </w:t>
      </w:r>
      <w:r w:rsidR="00033EFC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ПРСР 2014-2020 г. </w:t>
      </w:r>
      <w:r w:rsidR="005C2C28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и оперативните програми се удължава до 31 декември 2025 г.  </w:t>
      </w:r>
    </w:p>
    <w:p w:rsidR="00264A6B" w:rsidRPr="00316BF4" w:rsidRDefault="00264A6B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Във връзка с горното и с оглед необходимостта от оптимизиране на дейността и укрепване на административния капацитет на дирекция „Развитие на селските райони“ и </w:t>
      </w:r>
      <w:r w:rsidR="00033EFC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ДФЗ</w:t>
      </w:r>
      <w:r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включително чрез по-добро разпределение на човешкия ресурс за подобряване на работните процеси в дирекцията, </w:t>
      </w:r>
      <w:r w:rsidR="00D33214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е необходимо уеднаквяване на срока и с </w:t>
      </w:r>
      <w:r w:rsidR="00033EFC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ПМС № 209 от 2015 г.</w:t>
      </w:r>
    </w:p>
    <w:p w:rsidR="00D07ABA" w:rsidRPr="00316BF4" w:rsidRDefault="00D07ABA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sz w:val="20"/>
          <w:szCs w:val="20"/>
          <w:highlight w:val="green"/>
          <w:lang w:val="bg-BG" w:eastAsia="bg-BG"/>
        </w:rPr>
      </w:pPr>
      <w:r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С Решение на Народното събрание от 13.12.2021 г. за приемане на структура на Министерския съвет на Република България (обн., ДВ, бр. 106 от 2021 г.) Министерството на земеделието, храните и горите е преобразувано в Министерство на земеделието. Една част от промените в текстовете на проекта на постановление са във връзка с приетото Решение от 47-ото Народно събрание на 13 декември </w:t>
      </w:r>
      <w:r w:rsidR="00EB6BC1"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br/>
      </w:r>
      <w:r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2021 г. за преобразуване в Министерство на земеделието, като са заменени думите „министър на земеделието, храните и горите“ и „Министерство на земеделието, храните и горите“ съответно с „министър на земеделието“ и „Министерство на земеделието“, както и абревиатурата „МЗХ“ със съответната „МЗм“.</w:t>
      </w:r>
    </w:p>
    <w:p w:rsidR="008329A9" w:rsidRPr="00316BF4" w:rsidRDefault="008329A9" w:rsidP="00316BF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lastRenderedPageBreak/>
        <w:t>Предвижда се проектът на постановление да влезе в сила от деня на обнародването му. Съгласно чл. 41 от Закона за нормативните актове нормативният акт влиза в сила в срок до три дни след обнародването му, освен ако не е предвиден в него друго. С § 3 от проект на постановление се спазва тази разпоредба, тъй като по бързото му влизане в сила, ще осигури възможност за приложение на измененията и допълненията и ще създаде сигурност у заетите на трудови договори лица.</w:t>
      </w:r>
    </w:p>
    <w:p w:rsidR="008329A9" w:rsidRPr="00316BF4" w:rsidRDefault="008329A9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2915EF" w:rsidRPr="00316BF4" w:rsidRDefault="002915EF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Цели</w:t>
      </w:r>
    </w:p>
    <w:p w:rsidR="00D33214" w:rsidRPr="00316BF4" w:rsidRDefault="00BD2BED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Предложението за изменение на </w:t>
      </w:r>
      <w:r w:rsidR="00D33214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Постановление № 209 на Министерския съвет от 2015 г. за назначаване на допълнителен персонал за нуждите и в срока на прилагане на Програма за развитие на селските райони за периода 2014 – 2020 г. </w:t>
      </w:r>
      <w:r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цели да </w:t>
      </w:r>
      <w:r w:rsidR="00D33214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създаде по-добра организация в процеса на прилагане на ПРСР и на подготовката и бъдещото прилагане на Стратегическия план за развитие на земеделието и </w:t>
      </w:r>
      <w:r w:rsidR="00EB6BC1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селските райони за периода 2023 – </w:t>
      </w:r>
      <w:r w:rsidR="00D33214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2027 г. </w:t>
      </w:r>
    </w:p>
    <w:p w:rsidR="00D33214" w:rsidRPr="00316BF4" w:rsidRDefault="00D33214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0B4D86" w:rsidRPr="00316BF4" w:rsidRDefault="00676D75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Финансови и други средства, необходими за прилагането на новата уредба</w:t>
      </w:r>
    </w:p>
    <w:p w:rsidR="00483F6C" w:rsidRPr="00316BF4" w:rsidRDefault="00483F6C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lang w:val="bg-BG" w:eastAsia="bg-BG"/>
        </w:rPr>
      </w:pPr>
      <w:r w:rsidRPr="00316BF4">
        <w:rPr>
          <w:rFonts w:ascii="Verdana" w:hAnsi="Verdana"/>
          <w:sz w:val="20"/>
          <w:lang w:val="bg-BG" w:eastAsia="bg-BG"/>
        </w:rPr>
        <w:t>Предложеният проект на акт не води до въздействие върху държавния бюджет, поради което е приложена финансова обосновка съгласно чл. 35, ал. 1, т. 4, буква „</w:t>
      </w:r>
      <w:r w:rsidR="00B81463" w:rsidRPr="00316BF4">
        <w:rPr>
          <w:rFonts w:ascii="Verdana" w:hAnsi="Verdana"/>
          <w:sz w:val="20"/>
          <w:lang w:val="bg-BG" w:eastAsia="bg-BG"/>
        </w:rPr>
        <w:t>б</w:t>
      </w:r>
      <w:r w:rsidRPr="00316BF4">
        <w:rPr>
          <w:rFonts w:ascii="Verdana" w:hAnsi="Verdana"/>
          <w:sz w:val="20"/>
          <w:lang w:val="bg-BG" w:eastAsia="bg-BG"/>
        </w:rPr>
        <w:t xml:space="preserve">“ от Устройствения правилник на Министерския съвет и на неговата администрация. </w:t>
      </w:r>
    </w:p>
    <w:p w:rsidR="001165CF" w:rsidRPr="00316BF4" w:rsidRDefault="001165CF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316BF4">
        <w:rPr>
          <w:rFonts w:ascii="Verdana" w:hAnsi="Verdana"/>
          <w:sz w:val="20"/>
          <w:szCs w:val="20"/>
          <w:lang w:val="bg-BG"/>
        </w:rPr>
        <w:t>За приемането на проекта на акт не са необходими допълнителни разходи/трансфери и други плащания по бюджета на Министерството на земеделието за 2022 г.</w:t>
      </w:r>
    </w:p>
    <w:p w:rsidR="00D21E46" w:rsidRPr="00316BF4" w:rsidRDefault="00483F6C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lang w:val="bg-BG" w:eastAsia="bg-BG"/>
        </w:rPr>
      </w:pPr>
      <w:r w:rsidRPr="00316BF4">
        <w:rPr>
          <w:rFonts w:ascii="Verdana" w:hAnsi="Verdana"/>
          <w:sz w:val="20"/>
          <w:lang w:val="bg-BG" w:eastAsia="bg-BG"/>
        </w:rPr>
        <w:t>Проект</w:t>
      </w:r>
      <w:r w:rsidR="00B81463" w:rsidRPr="00316BF4">
        <w:rPr>
          <w:rFonts w:ascii="Verdana" w:hAnsi="Verdana"/>
          <w:sz w:val="20"/>
          <w:lang w:val="bg-BG" w:eastAsia="bg-BG"/>
        </w:rPr>
        <w:t>ът</w:t>
      </w:r>
      <w:r w:rsidRPr="00316BF4">
        <w:rPr>
          <w:rFonts w:ascii="Verdana" w:hAnsi="Verdana"/>
          <w:sz w:val="20"/>
          <w:lang w:val="bg-BG" w:eastAsia="bg-BG"/>
        </w:rPr>
        <w:t xml:space="preserve"> на акт не води до изменения в целевите стойности на показателите за изпълнение по програми, в това число и ключовите индикатори.</w:t>
      </w:r>
    </w:p>
    <w:p w:rsidR="001165CF" w:rsidRPr="00316BF4" w:rsidRDefault="001165CF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lang w:val="bg-BG" w:eastAsia="bg-BG"/>
        </w:rPr>
      </w:pPr>
    </w:p>
    <w:p w:rsidR="00EC4FAB" w:rsidRPr="00316BF4" w:rsidRDefault="00EC4FAB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Очаквани резултати от прилагането на акта</w:t>
      </w:r>
    </w:p>
    <w:p w:rsidR="0047104F" w:rsidRPr="00316BF4" w:rsidRDefault="00483F6C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FFC000"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>С п</w:t>
      </w:r>
      <w:r w:rsidR="002B7AE5" w:rsidRPr="00316BF4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>риемането на</w:t>
      </w:r>
      <w:r w:rsidR="00494A36" w:rsidRPr="00316BF4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 xml:space="preserve"> проекта</w:t>
      </w:r>
      <w:r w:rsidR="00D33214" w:rsidRPr="00316BF4">
        <w:rPr>
          <w:rFonts w:ascii="Verdana" w:eastAsia="Times New Roman" w:hAnsi="Verdana" w:cs="Times New Roman"/>
          <w:color w:val="FFC000"/>
          <w:sz w:val="20"/>
          <w:szCs w:val="20"/>
          <w:lang w:val="bg-BG" w:eastAsia="bg-BG"/>
        </w:rPr>
        <w:t xml:space="preserve"> </w:t>
      </w:r>
      <w:r w:rsidR="00D33214" w:rsidRPr="00316BF4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>на</w:t>
      </w:r>
      <w:r w:rsidR="00C61BB4" w:rsidRPr="00316BF4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 xml:space="preserve"> Постановление за изменение на</w:t>
      </w:r>
      <w:r w:rsidR="00D33214" w:rsidRPr="00316BF4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 xml:space="preserve"> Постановление № 209 на Министерския съвет от 2015 г. за назначаване на допълнителен персонал за нуждите и в срока на прилагане на Програма за развитие на селските райони за периода 2014 – 2020 г.</w:t>
      </w:r>
      <w:r w:rsidR="002B7AE5" w:rsidRPr="00316BF4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>,</w:t>
      </w:r>
      <w:r w:rsidR="00CB6152" w:rsidRPr="00316BF4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 xml:space="preserve"> </w:t>
      </w:r>
      <w:r w:rsidR="002B7AE5" w:rsidRPr="00316BF4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 xml:space="preserve">ще </w:t>
      </w:r>
      <w:r w:rsidR="00A953C2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>се</w:t>
      </w:r>
      <w:r w:rsidR="00A953C2" w:rsidRPr="00316BF4">
        <w:rPr>
          <w:rFonts w:ascii="Verdana" w:eastAsia="Times New Roman" w:hAnsi="Verdana" w:cs="Times New Roman"/>
          <w:color w:val="FF0000"/>
          <w:sz w:val="20"/>
          <w:szCs w:val="20"/>
          <w:lang w:val="bg-BG" w:eastAsia="bg-BG"/>
        </w:rPr>
        <w:t xml:space="preserve"> </w:t>
      </w:r>
      <w:r w:rsidR="0047104F" w:rsidRPr="00316BF4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 xml:space="preserve">оптимизира дейността и ще укрепне административния капацитет на дирекция „Развитие на селските райони“, включително чрез по-добро разпределение на човешкия ресурс за подобряване на работните процеси в дирекцията и в </w:t>
      </w:r>
      <w:r w:rsidR="00C61BB4" w:rsidRPr="00316BF4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>ДФЗ</w:t>
      </w:r>
      <w:r w:rsidR="008846C3" w:rsidRPr="00316BF4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 xml:space="preserve">, като се даде възможност да се сключат договори с лица за по дълъг период на време. Това ще създаде правна сигурност на административния капацитет, зает с приложението на ПРСР 2014 – 2020 г. и на програмиране и прилагане на интервенциите от Стратегическия план за прилагане на общата селскостопанска политика за периода 2023 – 2027 г. </w:t>
      </w:r>
    </w:p>
    <w:p w:rsidR="00EC4FAB" w:rsidRPr="00316BF4" w:rsidRDefault="003A0069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lastRenderedPageBreak/>
        <w:t>Анализ за съответствие с правото на Европейския съюз</w:t>
      </w:r>
    </w:p>
    <w:p w:rsidR="00713B56" w:rsidRPr="00316BF4" w:rsidRDefault="00713B56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 </w:t>
      </w:r>
      <w:r w:rsidR="00402F0C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>предложени</w:t>
      </w:r>
      <w:r w:rsidR="00151C64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>я</w:t>
      </w:r>
      <w:r w:rsidR="00402F0C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174111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проект </w:t>
      </w:r>
      <w:r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на </w:t>
      </w:r>
      <w:r w:rsidR="00174111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>Постановлени</w:t>
      </w:r>
      <w:r w:rsidR="00151C64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>е</w:t>
      </w:r>
      <w:r w:rsidR="00174111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>не се транспонират актове на институции на Европейския съюз, поради което не е и</w:t>
      </w:r>
      <w:r w:rsidR="009A6EFB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>зготвена и представена таблица н</w:t>
      </w:r>
      <w:r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а съответствието с правото на Европейския съюз. </w:t>
      </w:r>
    </w:p>
    <w:p w:rsidR="00425EA4" w:rsidRPr="00316BF4" w:rsidRDefault="00425EA4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3A0069" w:rsidRPr="00316BF4" w:rsidRDefault="003A0069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Информация за проведените обществени консултации</w:t>
      </w:r>
    </w:p>
    <w:p w:rsidR="00713B56" w:rsidRPr="00316BF4" w:rsidRDefault="00713B56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>Съгласно чл. 26, ал. 3 и 4 от Закон</w:t>
      </w:r>
      <w:r w:rsidR="007F7631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>а за нормативните актове проект</w:t>
      </w:r>
      <w:r w:rsidR="007B72A0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>и</w:t>
      </w:r>
      <w:r w:rsidR="00151C64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>т</w:t>
      </w:r>
      <w:r w:rsidR="007B72A0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>е</w:t>
      </w:r>
      <w:r w:rsidR="007F7631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на постановление</w:t>
      </w:r>
      <w:r w:rsidR="00270999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="007F7631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доклад</w:t>
      </w:r>
      <w:r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(</w:t>
      </w:r>
      <w:r w:rsidR="007F7631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>мотиви)</w:t>
      </w:r>
      <w:r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="007F7631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AE15B1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частична </w:t>
      </w:r>
      <w:r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предварителна оценка на въздействието и становището на дирекция „Модернизация на администрацията“ </w:t>
      </w:r>
      <w:r w:rsidR="007F7631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>в</w:t>
      </w:r>
      <w:r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Министерския съвет</w:t>
      </w:r>
      <w:r w:rsidR="007F7631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по частичната предварителна оценка на въздействието</w:t>
      </w:r>
      <w:r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са публикувани на интернет страницата на</w:t>
      </w:r>
      <w:r w:rsidR="00BF389A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Министерството на земеделието </w:t>
      </w:r>
      <w:r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и на Портала за обществени консултации със срок за предложения и становища 30 дни. </w:t>
      </w:r>
    </w:p>
    <w:p w:rsidR="00713B56" w:rsidRPr="00316BF4" w:rsidRDefault="00713B56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>В съответствие с чл. 26, ал. 5 от Закона за нормативните актове справката за</w:t>
      </w:r>
      <w:r w:rsidR="007F7631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отразяване на постъпилите </w:t>
      </w:r>
      <w:r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>предложения</w:t>
      </w:r>
      <w:r w:rsidR="007F7631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становища от проведената обществена консултация,</w:t>
      </w:r>
      <w:r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заедно с обосновка за неприетите предложения е публикувана на интернет страницата на Министерството на земеделието</w:t>
      </w:r>
      <w:r w:rsidR="00BF389A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>и на Пор</w:t>
      </w:r>
      <w:r w:rsidR="00425EA4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>тала за обществени консултации.</w:t>
      </w:r>
    </w:p>
    <w:p w:rsidR="008F7D0A" w:rsidRPr="00316BF4" w:rsidRDefault="00713B56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Документите по </w:t>
      </w:r>
      <w:r w:rsidR="00163602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>проект</w:t>
      </w:r>
      <w:r w:rsidR="00151C64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>а</w:t>
      </w:r>
      <w:r w:rsidR="00163602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>на постановлени</w:t>
      </w:r>
      <w:r w:rsidR="00151C64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>е</w:t>
      </w:r>
      <w:r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на Министерския съвет са съгласувани по реда на чл. 32 от Устройствения правилник на Министерския съвет и на неговата администрация. Направените целесъобразни бел</w:t>
      </w:r>
      <w:r w:rsidR="00606CC9"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>ежки и предложения са отразени.</w:t>
      </w:r>
    </w:p>
    <w:p w:rsidR="00270999" w:rsidRDefault="00270999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CD7A1D" w:rsidRPr="00316BF4" w:rsidRDefault="00CD7A1D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713B56" w:rsidRPr="00316BF4" w:rsidRDefault="00713B56" w:rsidP="002709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УВАЖАЕМИ ГОСПОДИН МИНИСТЪР-ПРЕДСЕДАТЕЛ,</w:t>
      </w:r>
    </w:p>
    <w:p w:rsidR="00713B56" w:rsidRPr="00316BF4" w:rsidRDefault="00713B56" w:rsidP="0027099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УВАЖАЕМИ ГОСПОЖИ И ГОСПОДА МИНИСТРИ,</w:t>
      </w:r>
    </w:p>
    <w:p w:rsidR="00C852F7" w:rsidRPr="00316BF4" w:rsidRDefault="00713B56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FF0000"/>
          <w:spacing w:val="-2"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Във връзка с гореизложеното, и на основание чл. 8, ал. 2 от Устройствения </w:t>
      </w:r>
      <w:r w:rsidRPr="00316BF4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>правилник на Министерския съвет и на неговата администрация, предлагам Министерския</w:t>
      </w:r>
      <w:r w:rsidR="00A953C2" w:rsidRPr="00316BF4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>т</w:t>
      </w:r>
      <w:r w:rsidRPr="00316BF4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 xml:space="preserve"> съвет да приеме </w:t>
      </w:r>
      <w:r w:rsidR="007B72A0" w:rsidRPr="00316BF4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>п</w:t>
      </w:r>
      <w:r w:rsidR="00174111" w:rsidRPr="00316BF4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>роект</w:t>
      </w:r>
      <w:r w:rsidR="0099320F" w:rsidRPr="00316BF4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>а</w:t>
      </w:r>
      <w:r w:rsidR="00174111" w:rsidRPr="00316BF4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 xml:space="preserve"> на Постановление </w:t>
      </w:r>
      <w:r w:rsidR="00C61BB4" w:rsidRPr="00316BF4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 xml:space="preserve">за изменение </w:t>
      </w:r>
      <w:r w:rsidR="00606CC9" w:rsidRPr="00316BF4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 xml:space="preserve">на Постановление № 209 на Министерския съвет от 2015 г. за назначаване на допълнителен персонал за нуждите и в срока на прилагане на Програма за развитие на </w:t>
      </w:r>
      <w:r w:rsidR="00A953C2" w:rsidRPr="00316BF4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 xml:space="preserve">селските райони за периода 2014 – </w:t>
      </w:r>
      <w:r w:rsidR="00606CC9" w:rsidRPr="00316BF4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 xml:space="preserve">2020 г. със средства от мярка „Техническа помощ“ и на персонал на местните инициативни групи, изпълняващи стратегии за водено от общностите местно развитие, финансирани със средства от мярка 19 „Водено от общностите местно развитие” на програмата </w:t>
      </w:r>
      <w:r w:rsidR="00606CC9" w:rsidRPr="00C95696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>(обн., ДВ, бр. 63 от 2015 г.)</w:t>
      </w:r>
      <w:r w:rsidR="00606CC9" w:rsidRPr="00316BF4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>.</w:t>
      </w:r>
    </w:p>
    <w:p w:rsidR="002E6936" w:rsidRPr="00316BF4" w:rsidRDefault="002E6936" w:rsidP="00270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781"/>
        <w:gridCol w:w="6873"/>
      </w:tblGrid>
      <w:tr w:rsidR="00793869" w:rsidRPr="00316BF4" w:rsidTr="00A953C2">
        <w:tc>
          <w:tcPr>
            <w:tcW w:w="1781" w:type="dxa"/>
          </w:tcPr>
          <w:p w:rsidR="00793869" w:rsidRPr="00316BF4" w:rsidRDefault="00793869" w:rsidP="00270999">
            <w:pPr>
              <w:spacing w:after="0"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316BF4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Приложение: </w:t>
            </w:r>
          </w:p>
        </w:tc>
        <w:tc>
          <w:tcPr>
            <w:tcW w:w="6873" w:type="dxa"/>
          </w:tcPr>
          <w:p w:rsidR="00793869" w:rsidRPr="00316BF4" w:rsidRDefault="00793869" w:rsidP="00270999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Verdana" w:hAnsi="Verdana"/>
                <w:spacing w:val="2"/>
                <w:sz w:val="20"/>
                <w:szCs w:val="20"/>
                <w:lang w:val="bg-BG"/>
              </w:rPr>
            </w:pPr>
            <w:r w:rsidRPr="00316BF4">
              <w:rPr>
                <w:rFonts w:ascii="Verdana" w:hAnsi="Verdana"/>
                <w:spacing w:val="2"/>
                <w:sz w:val="20"/>
                <w:szCs w:val="20"/>
                <w:lang w:val="bg-BG"/>
              </w:rPr>
              <w:t>Проект на Постанов</w:t>
            </w:r>
            <w:r w:rsidR="00A91F3E" w:rsidRPr="00316BF4">
              <w:rPr>
                <w:rFonts w:ascii="Verdana" w:hAnsi="Verdana"/>
                <w:spacing w:val="2"/>
                <w:sz w:val="20"/>
                <w:szCs w:val="20"/>
                <w:lang w:val="bg-BG"/>
              </w:rPr>
              <w:t xml:space="preserve">ление </w:t>
            </w:r>
            <w:r w:rsidR="00C61BB4" w:rsidRPr="00316BF4">
              <w:rPr>
                <w:rFonts w:ascii="Verdana" w:hAnsi="Verdana"/>
                <w:spacing w:val="2"/>
                <w:sz w:val="20"/>
                <w:szCs w:val="20"/>
                <w:lang w:val="bg-BG"/>
              </w:rPr>
              <w:t xml:space="preserve">за изменение </w:t>
            </w:r>
            <w:r w:rsidR="00606CC9" w:rsidRPr="00316BF4">
              <w:rPr>
                <w:rFonts w:ascii="Verdana" w:hAnsi="Verdana"/>
                <w:spacing w:val="2"/>
                <w:sz w:val="20"/>
                <w:szCs w:val="20"/>
                <w:lang w:val="bg-BG"/>
              </w:rPr>
              <w:t xml:space="preserve">на Постановление № 209 на Министерския съвет от 2015 г. за назначаване на допълнителен персонал за нуждите и в срока на прилагане на Програма за развитие на </w:t>
            </w:r>
            <w:r w:rsidR="00A953C2" w:rsidRPr="00316BF4">
              <w:rPr>
                <w:rFonts w:ascii="Verdana" w:hAnsi="Verdana"/>
                <w:spacing w:val="2"/>
                <w:sz w:val="20"/>
                <w:szCs w:val="20"/>
                <w:lang w:val="bg-BG"/>
              </w:rPr>
              <w:t xml:space="preserve">селските райони за периода 2014 – </w:t>
            </w:r>
            <w:r w:rsidR="00606CC9" w:rsidRPr="00316BF4">
              <w:rPr>
                <w:rFonts w:ascii="Verdana" w:hAnsi="Verdana"/>
                <w:spacing w:val="2"/>
                <w:sz w:val="20"/>
                <w:szCs w:val="20"/>
                <w:lang w:val="bg-BG"/>
              </w:rPr>
              <w:t xml:space="preserve">2020 г. със средства от мярка </w:t>
            </w:r>
            <w:r w:rsidR="00606CC9" w:rsidRPr="00316BF4">
              <w:rPr>
                <w:rFonts w:ascii="Verdana" w:hAnsi="Verdana"/>
                <w:spacing w:val="2"/>
                <w:sz w:val="20"/>
                <w:szCs w:val="20"/>
                <w:lang w:val="bg-BG"/>
              </w:rPr>
              <w:lastRenderedPageBreak/>
              <w:t xml:space="preserve">„Техническа помощ“ и на персонал на местните инициативни групи, изпълняващи стратегии за водено от общностите местно развитие, финансирани със средства от мярка 19 „Водено от общностите местно развитие” на програмата </w:t>
            </w:r>
            <w:r w:rsidR="00606CC9" w:rsidRPr="00C95696">
              <w:rPr>
                <w:rFonts w:ascii="Verdana" w:hAnsi="Verdana"/>
                <w:spacing w:val="2"/>
                <w:sz w:val="20"/>
                <w:szCs w:val="20"/>
                <w:lang w:val="bg-BG"/>
              </w:rPr>
              <w:t>(обн., ДВ, бр. 63 от 2015 г.)</w:t>
            </w:r>
            <w:r w:rsidR="00606CC9" w:rsidRPr="00316BF4">
              <w:rPr>
                <w:rFonts w:ascii="Verdana" w:hAnsi="Verdana"/>
                <w:spacing w:val="2"/>
                <w:sz w:val="20"/>
                <w:szCs w:val="20"/>
                <w:lang w:val="bg-BG"/>
              </w:rPr>
              <w:t xml:space="preserve">; </w:t>
            </w:r>
          </w:p>
          <w:p w:rsidR="00793869" w:rsidRPr="00316BF4" w:rsidRDefault="00793869" w:rsidP="00270999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ontextualSpacing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316BF4">
              <w:rPr>
                <w:rFonts w:ascii="Verdana" w:hAnsi="Verdana"/>
                <w:sz w:val="20"/>
                <w:szCs w:val="20"/>
                <w:lang w:val="bg-BG"/>
              </w:rPr>
              <w:t xml:space="preserve">Частична предварителна оценка на въздействието; </w:t>
            </w:r>
          </w:p>
          <w:p w:rsidR="00793869" w:rsidRPr="00316BF4" w:rsidRDefault="00793869" w:rsidP="00270999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ontextualSpacing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316BF4">
              <w:rPr>
                <w:rFonts w:ascii="Verdana" w:hAnsi="Verdana"/>
                <w:sz w:val="20"/>
                <w:szCs w:val="20"/>
                <w:lang w:val="bg-BG"/>
              </w:rPr>
              <w:t>Становище на дирекция „Модернизация на администрацията” в Министерския съвет по частичната предварителна оценка на въздействието;</w:t>
            </w:r>
          </w:p>
          <w:p w:rsidR="00793869" w:rsidRPr="00316BF4" w:rsidRDefault="00793869" w:rsidP="00270999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ontextualSpacing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316BF4">
              <w:rPr>
                <w:rFonts w:ascii="Verdana" w:hAnsi="Verdana"/>
                <w:sz w:val="20"/>
                <w:szCs w:val="20"/>
                <w:lang w:val="bg-BG"/>
              </w:rPr>
              <w:t>Финансова обосновка;</w:t>
            </w:r>
          </w:p>
          <w:p w:rsidR="00793869" w:rsidRPr="00316BF4" w:rsidRDefault="00793869" w:rsidP="00270999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ontextualSpacing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316BF4">
              <w:rPr>
                <w:rFonts w:ascii="Verdana" w:hAnsi="Verdana"/>
                <w:sz w:val="20"/>
                <w:szCs w:val="20"/>
                <w:lang w:val="bg-BG"/>
              </w:rPr>
              <w:t>Справка за отразяване на становищата, постъпили по реда на чл. 32 – 34 от Устройствения правилник на Министерския съвет и на неговата администрация;</w:t>
            </w:r>
          </w:p>
          <w:p w:rsidR="00793869" w:rsidRPr="00316BF4" w:rsidRDefault="00793869" w:rsidP="00270999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ontextualSpacing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316BF4">
              <w:rPr>
                <w:rFonts w:ascii="Verdana" w:hAnsi="Verdana"/>
                <w:sz w:val="20"/>
                <w:szCs w:val="20"/>
                <w:lang w:val="bg-BG"/>
              </w:rPr>
              <w:t>Постъпили становища по реда на чл. 32 – 34 от Устройствения правилник на Министерския съвет и на неговата администрация;</w:t>
            </w:r>
          </w:p>
          <w:p w:rsidR="00793869" w:rsidRPr="00316BF4" w:rsidRDefault="00793869" w:rsidP="00270999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ontextualSpacing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316BF4">
              <w:rPr>
                <w:rFonts w:ascii="Verdana" w:hAnsi="Verdana" w:cs="Verdana"/>
                <w:sz w:val="20"/>
                <w:szCs w:val="20"/>
                <w:lang w:val="bg-BG"/>
              </w:rPr>
              <w:t>Справка за отразяване на предложенията и становищата, постъпили от проведената обществена консултация</w:t>
            </w:r>
            <w:r w:rsidR="00A91F3E" w:rsidRPr="00316BF4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793869" w:rsidRPr="00316BF4" w:rsidRDefault="00793869" w:rsidP="00270999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ontextualSpacing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316BF4">
              <w:rPr>
                <w:rFonts w:ascii="Verdana" w:hAnsi="Verdana"/>
                <w:sz w:val="20"/>
                <w:szCs w:val="20"/>
                <w:lang w:val="bg-BG"/>
              </w:rPr>
              <w:t>Постъпили становища и предложения от проведената обществена консултация;</w:t>
            </w:r>
          </w:p>
          <w:p w:rsidR="00A953C2" w:rsidRPr="00316BF4" w:rsidRDefault="00793869" w:rsidP="00270999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ontextualSpacing w:val="0"/>
              <w:jc w:val="both"/>
              <w:rPr>
                <w:rFonts w:ascii="Verdana" w:hAnsi="Verdana"/>
                <w:spacing w:val="-4"/>
                <w:sz w:val="20"/>
                <w:szCs w:val="20"/>
                <w:lang w:val="bg-BG"/>
              </w:rPr>
            </w:pPr>
            <w:r w:rsidRPr="00316BF4">
              <w:rPr>
                <w:rFonts w:ascii="Verdana" w:hAnsi="Verdana"/>
                <w:spacing w:val="-4"/>
                <w:sz w:val="20"/>
                <w:szCs w:val="20"/>
                <w:lang w:val="bg-BG"/>
              </w:rPr>
              <w:t>Проект на съобщение за средствата за масово осведомяване.</w:t>
            </w:r>
          </w:p>
        </w:tc>
      </w:tr>
    </w:tbl>
    <w:p w:rsidR="0099320F" w:rsidRPr="00316BF4" w:rsidRDefault="0099320F" w:rsidP="002709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F77D7" w:rsidRPr="00316BF4" w:rsidRDefault="00EF77D7" w:rsidP="002709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mallCaps/>
          <w:sz w:val="20"/>
          <w:szCs w:val="20"/>
          <w:lang w:val="bg-BG" w:eastAsia="bg-BG"/>
        </w:rPr>
      </w:pPr>
    </w:p>
    <w:p w:rsidR="00962FB8" w:rsidRPr="00316BF4" w:rsidRDefault="00962FB8" w:rsidP="002709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mallCaps/>
          <w:sz w:val="20"/>
          <w:szCs w:val="20"/>
          <w:lang w:val="bg-BG" w:eastAsia="bg-BG"/>
        </w:rPr>
      </w:pPr>
    </w:p>
    <w:p w:rsidR="00A953C2" w:rsidRPr="00316BF4" w:rsidRDefault="00A953C2" w:rsidP="002709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mallCaps/>
          <w:sz w:val="20"/>
          <w:szCs w:val="20"/>
          <w:lang w:val="bg-BG" w:eastAsia="bg-BG"/>
        </w:rPr>
      </w:pPr>
    </w:p>
    <w:p w:rsidR="00EA2E78" w:rsidRPr="00316BF4" w:rsidRDefault="00EA2E78" w:rsidP="002709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iCs/>
          <w:smallCaps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b/>
          <w:smallCaps/>
          <w:sz w:val="20"/>
          <w:szCs w:val="20"/>
          <w:lang w:val="bg-BG" w:eastAsia="bg-BG"/>
        </w:rPr>
        <w:t>ЯВОР ГЕЧЕВ</w:t>
      </w:r>
      <w:r w:rsidRPr="00316BF4">
        <w:rPr>
          <w:rFonts w:ascii="Verdana" w:eastAsia="Times New Roman" w:hAnsi="Verdana" w:cs="Times New Roman"/>
          <w:iCs/>
          <w:smallCaps/>
          <w:sz w:val="20"/>
          <w:szCs w:val="20"/>
          <w:lang w:val="bg-BG" w:eastAsia="bg-BG"/>
        </w:rPr>
        <w:t xml:space="preserve"> </w:t>
      </w:r>
    </w:p>
    <w:p w:rsidR="00EA2E78" w:rsidRPr="00316BF4" w:rsidRDefault="00EA2E78" w:rsidP="002709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316BF4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Министър</w:t>
      </w:r>
    </w:p>
    <w:p w:rsidR="00EA2E78" w:rsidRPr="00316BF4" w:rsidRDefault="00EA2E78" w:rsidP="003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bg-BG" w:eastAsia="bg-BG"/>
        </w:rPr>
      </w:pPr>
    </w:p>
    <w:p w:rsidR="00EA2E78" w:rsidRPr="00316BF4" w:rsidRDefault="00EA2E78" w:rsidP="003431B8">
      <w:pPr>
        <w:tabs>
          <w:tab w:val="left" w:pos="709"/>
        </w:tabs>
        <w:spacing w:after="0" w:line="240" w:lineRule="auto"/>
        <w:rPr>
          <w:rFonts w:ascii="Verdana" w:hAnsi="Verdana"/>
          <w:smallCaps/>
          <w:sz w:val="18"/>
          <w:szCs w:val="18"/>
          <w:lang w:val="bg-BG" w:eastAsia="zh-CN"/>
        </w:rPr>
      </w:pPr>
      <w:bookmarkStart w:id="0" w:name="_GoBack"/>
      <w:bookmarkEnd w:id="0"/>
    </w:p>
    <w:sectPr w:rsidR="00EA2E78" w:rsidRPr="00316BF4" w:rsidSect="00EF77D7">
      <w:footerReference w:type="default" r:id="rId9"/>
      <w:pgSz w:w="11907" w:h="16840" w:code="9"/>
      <w:pgMar w:top="1134" w:right="1134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13" w:rsidRDefault="00D27113">
      <w:pPr>
        <w:spacing w:after="0" w:line="240" w:lineRule="auto"/>
      </w:pPr>
      <w:r>
        <w:separator/>
      </w:r>
    </w:p>
  </w:endnote>
  <w:endnote w:type="continuationSeparator" w:id="0">
    <w:p w:rsidR="00D27113" w:rsidRDefault="00D2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ED" w:rsidRPr="001537B2" w:rsidRDefault="00BD2BED" w:rsidP="0020124D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E30310">
      <w:rPr>
        <w:rFonts w:ascii="Verdana" w:hAnsi="Verdana"/>
        <w:noProof/>
        <w:sz w:val="16"/>
        <w:szCs w:val="16"/>
      </w:rPr>
      <w:t>5</w:t>
    </w:r>
    <w:r w:rsidRPr="00630D38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noProof/>
        <w:sz w:val="16"/>
        <w:szCs w:val="16"/>
        <w:lang w:val="bg-BG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13" w:rsidRDefault="00D27113">
      <w:pPr>
        <w:spacing w:after="0" w:line="240" w:lineRule="auto"/>
      </w:pPr>
      <w:r>
        <w:separator/>
      </w:r>
    </w:p>
  </w:footnote>
  <w:footnote w:type="continuationSeparator" w:id="0">
    <w:p w:rsidR="00D27113" w:rsidRDefault="00D27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57FBC"/>
    <w:multiLevelType w:val="hybridMultilevel"/>
    <w:tmpl w:val="8B0CD282"/>
    <w:lvl w:ilvl="0" w:tplc="740A3D3A">
      <w:start w:val="1"/>
      <w:numFmt w:val="decimal"/>
      <w:lvlText w:val="%1."/>
      <w:lvlJc w:val="left"/>
      <w:pPr>
        <w:ind w:left="1068" w:hanging="360"/>
      </w:pPr>
      <w:rPr>
        <w:rFonts w:cs="Verdana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980A77"/>
    <w:multiLevelType w:val="multilevel"/>
    <w:tmpl w:val="A786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hint="default"/>
      </w:rPr>
    </w:lvl>
  </w:abstractNum>
  <w:abstractNum w:abstractNumId="2" w15:restartNumberingAfterBreak="0">
    <w:nsid w:val="74C33626"/>
    <w:multiLevelType w:val="multilevel"/>
    <w:tmpl w:val="D1E2535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13"/>
    <w:rsid w:val="0001056C"/>
    <w:rsid w:val="00010EA5"/>
    <w:rsid w:val="00014D3F"/>
    <w:rsid w:val="000160E6"/>
    <w:rsid w:val="00020BFE"/>
    <w:rsid w:val="00025230"/>
    <w:rsid w:val="000260E0"/>
    <w:rsid w:val="0002764A"/>
    <w:rsid w:val="00031E43"/>
    <w:rsid w:val="00032D9A"/>
    <w:rsid w:val="00033EFC"/>
    <w:rsid w:val="00036D14"/>
    <w:rsid w:val="00041A0D"/>
    <w:rsid w:val="00046C0D"/>
    <w:rsid w:val="0006430F"/>
    <w:rsid w:val="0007776B"/>
    <w:rsid w:val="000A0273"/>
    <w:rsid w:val="000A79CF"/>
    <w:rsid w:val="000B2603"/>
    <w:rsid w:val="000B4D86"/>
    <w:rsid w:val="000B68FB"/>
    <w:rsid w:val="000B7903"/>
    <w:rsid w:val="000C240D"/>
    <w:rsid w:val="000C45F0"/>
    <w:rsid w:val="000D7756"/>
    <w:rsid w:val="000E09F2"/>
    <w:rsid w:val="000E396E"/>
    <w:rsid w:val="000E3F24"/>
    <w:rsid w:val="000E6463"/>
    <w:rsid w:val="000E67DD"/>
    <w:rsid w:val="000F07CE"/>
    <w:rsid w:val="000F574E"/>
    <w:rsid w:val="0010084D"/>
    <w:rsid w:val="00104BD2"/>
    <w:rsid w:val="001125D8"/>
    <w:rsid w:val="00114019"/>
    <w:rsid w:val="001149EC"/>
    <w:rsid w:val="001165CF"/>
    <w:rsid w:val="00123268"/>
    <w:rsid w:val="00123585"/>
    <w:rsid w:val="00124871"/>
    <w:rsid w:val="00130473"/>
    <w:rsid w:val="00131A7D"/>
    <w:rsid w:val="00131E0F"/>
    <w:rsid w:val="00132B04"/>
    <w:rsid w:val="001348F9"/>
    <w:rsid w:val="0013632E"/>
    <w:rsid w:val="00141D96"/>
    <w:rsid w:val="001438E6"/>
    <w:rsid w:val="00144871"/>
    <w:rsid w:val="001463D7"/>
    <w:rsid w:val="0014774A"/>
    <w:rsid w:val="00147A61"/>
    <w:rsid w:val="00151C64"/>
    <w:rsid w:val="00152086"/>
    <w:rsid w:val="00154B43"/>
    <w:rsid w:val="001613CD"/>
    <w:rsid w:val="00163602"/>
    <w:rsid w:val="00163DC6"/>
    <w:rsid w:val="00165B70"/>
    <w:rsid w:val="001729B9"/>
    <w:rsid w:val="00172E03"/>
    <w:rsid w:val="00173CE4"/>
    <w:rsid w:val="00174111"/>
    <w:rsid w:val="001741A0"/>
    <w:rsid w:val="001760EC"/>
    <w:rsid w:val="00176FD7"/>
    <w:rsid w:val="0017745A"/>
    <w:rsid w:val="0018050B"/>
    <w:rsid w:val="00181D40"/>
    <w:rsid w:val="001824DC"/>
    <w:rsid w:val="00182BB8"/>
    <w:rsid w:val="00187995"/>
    <w:rsid w:val="001A0E4D"/>
    <w:rsid w:val="001A1EED"/>
    <w:rsid w:val="001B06C8"/>
    <w:rsid w:val="001B34C1"/>
    <w:rsid w:val="001B4D85"/>
    <w:rsid w:val="001C0346"/>
    <w:rsid w:val="001C53F1"/>
    <w:rsid w:val="001E7817"/>
    <w:rsid w:val="001F7F0A"/>
    <w:rsid w:val="0020124D"/>
    <w:rsid w:val="0020147E"/>
    <w:rsid w:val="00203441"/>
    <w:rsid w:val="00204CD1"/>
    <w:rsid w:val="00220FE1"/>
    <w:rsid w:val="00231209"/>
    <w:rsid w:val="00231C17"/>
    <w:rsid w:val="00233202"/>
    <w:rsid w:val="00235E85"/>
    <w:rsid w:val="00240202"/>
    <w:rsid w:val="002428CA"/>
    <w:rsid w:val="002514F7"/>
    <w:rsid w:val="00254BF4"/>
    <w:rsid w:val="002552D9"/>
    <w:rsid w:val="00255585"/>
    <w:rsid w:val="00257408"/>
    <w:rsid w:val="002630F2"/>
    <w:rsid w:val="00264A6B"/>
    <w:rsid w:val="00270999"/>
    <w:rsid w:val="00271861"/>
    <w:rsid w:val="00273349"/>
    <w:rsid w:val="0027347C"/>
    <w:rsid w:val="002750C1"/>
    <w:rsid w:val="0027624D"/>
    <w:rsid w:val="0027627E"/>
    <w:rsid w:val="00276331"/>
    <w:rsid w:val="00282A18"/>
    <w:rsid w:val="00285175"/>
    <w:rsid w:val="00287F1E"/>
    <w:rsid w:val="002915EF"/>
    <w:rsid w:val="002A256E"/>
    <w:rsid w:val="002A3E26"/>
    <w:rsid w:val="002A7034"/>
    <w:rsid w:val="002B2CD9"/>
    <w:rsid w:val="002B5E49"/>
    <w:rsid w:val="002B7AE5"/>
    <w:rsid w:val="002C217D"/>
    <w:rsid w:val="002C3B8C"/>
    <w:rsid w:val="002C4800"/>
    <w:rsid w:val="002C66DA"/>
    <w:rsid w:val="002D0D43"/>
    <w:rsid w:val="002D2004"/>
    <w:rsid w:val="002D6144"/>
    <w:rsid w:val="002D6869"/>
    <w:rsid w:val="002D7763"/>
    <w:rsid w:val="002D7B63"/>
    <w:rsid w:val="002E3078"/>
    <w:rsid w:val="002E42C9"/>
    <w:rsid w:val="002E6936"/>
    <w:rsid w:val="002F3D26"/>
    <w:rsid w:val="002F425D"/>
    <w:rsid w:val="00300284"/>
    <w:rsid w:val="00300494"/>
    <w:rsid w:val="003120EB"/>
    <w:rsid w:val="00316BF4"/>
    <w:rsid w:val="003238A7"/>
    <w:rsid w:val="003358AF"/>
    <w:rsid w:val="00337AB7"/>
    <w:rsid w:val="003431B8"/>
    <w:rsid w:val="003448C9"/>
    <w:rsid w:val="00346171"/>
    <w:rsid w:val="00347EAE"/>
    <w:rsid w:val="003527DA"/>
    <w:rsid w:val="003551F9"/>
    <w:rsid w:val="00355665"/>
    <w:rsid w:val="003561B8"/>
    <w:rsid w:val="00367700"/>
    <w:rsid w:val="003705C7"/>
    <w:rsid w:val="0037715E"/>
    <w:rsid w:val="003809CC"/>
    <w:rsid w:val="00392498"/>
    <w:rsid w:val="003A0069"/>
    <w:rsid w:val="003A0B50"/>
    <w:rsid w:val="003A1A7C"/>
    <w:rsid w:val="003A5CE3"/>
    <w:rsid w:val="003B26E2"/>
    <w:rsid w:val="003B3B2D"/>
    <w:rsid w:val="003C174E"/>
    <w:rsid w:val="003D022D"/>
    <w:rsid w:val="003D0332"/>
    <w:rsid w:val="003D2885"/>
    <w:rsid w:val="003D55FC"/>
    <w:rsid w:val="003E3A92"/>
    <w:rsid w:val="003F01AD"/>
    <w:rsid w:val="003F04C5"/>
    <w:rsid w:val="003F0DB1"/>
    <w:rsid w:val="003F1DE0"/>
    <w:rsid w:val="003F7408"/>
    <w:rsid w:val="00401F43"/>
    <w:rsid w:val="00402467"/>
    <w:rsid w:val="00402F0C"/>
    <w:rsid w:val="00404A1F"/>
    <w:rsid w:val="00416E11"/>
    <w:rsid w:val="004232D7"/>
    <w:rsid w:val="00425EA4"/>
    <w:rsid w:val="00437062"/>
    <w:rsid w:val="00441528"/>
    <w:rsid w:val="004426CC"/>
    <w:rsid w:val="004450B8"/>
    <w:rsid w:val="00446A40"/>
    <w:rsid w:val="00456FB9"/>
    <w:rsid w:val="0046028F"/>
    <w:rsid w:val="004613DB"/>
    <w:rsid w:val="00461DD4"/>
    <w:rsid w:val="00461F38"/>
    <w:rsid w:val="004622C2"/>
    <w:rsid w:val="004659CA"/>
    <w:rsid w:val="004675D0"/>
    <w:rsid w:val="0047104F"/>
    <w:rsid w:val="00471925"/>
    <w:rsid w:val="00471FAD"/>
    <w:rsid w:val="004736D0"/>
    <w:rsid w:val="00475467"/>
    <w:rsid w:val="00475948"/>
    <w:rsid w:val="00483F6C"/>
    <w:rsid w:val="00491BA0"/>
    <w:rsid w:val="00494A36"/>
    <w:rsid w:val="004962D4"/>
    <w:rsid w:val="00497751"/>
    <w:rsid w:val="004A1022"/>
    <w:rsid w:val="004A37D3"/>
    <w:rsid w:val="004A4806"/>
    <w:rsid w:val="004A5DD3"/>
    <w:rsid w:val="004B203D"/>
    <w:rsid w:val="004B42EC"/>
    <w:rsid w:val="004B563A"/>
    <w:rsid w:val="004C0D28"/>
    <w:rsid w:val="004C69DA"/>
    <w:rsid w:val="004E1599"/>
    <w:rsid w:val="004E3FAF"/>
    <w:rsid w:val="004E7AD2"/>
    <w:rsid w:val="004F4D10"/>
    <w:rsid w:val="00500279"/>
    <w:rsid w:val="00501CF9"/>
    <w:rsid w:val="00502478"/>
    <w:rsid w:val="005115F5"/>
    <w:rsid w:val="005119C9"/>
    <w:rsid w:val="0051274A"/>
    <w:rsid w:val="00520F12"/>
    <w:rsid w:val="00523C92"/>
    <w:rsid w:val="00532555"/>
    <w:rsid w:val="00532630"/>
    <w:rsid w:val="0054003B"/>
    <w:rsid w:val="005400E0"/>
    <w:rsid w:val="00541F90"/>
    <w:rsid w:val="00543C33"/>
    <w:rsid w:val="005474EC"/>
    <w:rsid w:val="005476F1"/>
    <w:rsid w:val="00565463"/>
    <w:rsid w:val="005677A7"/>
    <w:rsid w:val="005736C9"/>
    <w:rsid w:val="00575929"/>
    <w:rsid w:val="00577CCF"/>
    <w:rsid w:val="00581EC0"/>
    <w:rsid w:val="0058212A"/>
    <w:rsid w:val="005827FE"/>
    <w:rsid w:val="005859BD"/>
    <w:rsid w:val="005863D2"/>
    <w:rsid w:val="005907F6"/>
    <w:rsid w:val="005935DB"/>
    <w:rsid w:val="005A0B79"/>
    <w:rsid w:val="005A6EEF"/>
    <w:rsid w:val="005B0DEB"/>
    <w:rsid w:val="005B2731"/>
    <w:rsid w:val="005B27BA"/>
    <w:rsid w:val="005B7ED9"/>
    <w:rsid w:val="005C0E16"/>
    <w:rsid w:val="005C1030"/>
    <w:rsid w:val="005C2C28"/>
    <w:rsid w:val="005C45E7"/>
    <w:rsid w:val="005D244E"/>
    <w:rsid w:val="005D2E3A"/>
    <w:rsid w:val="005D5AD6"/>
    <w:rsid w:val="005E3A3D"/>
    <w:rsid w:val="005F101B"/>
    <w:rsid w:val="006004DA"/>
    <w:rsid w:val="00601227"/>
    <w:rsid w:val="00601358"/>
    <w:rsid w:val="00601E6C"/>
    <w:rsid w:val="00603885"/>
    <w:rsid w:val="00604779"/>
    <w:rsid w:val="006048EA"/>
    <w:rsid w:val="00606CC9"/>
    <w:rsid w:val="0061275E"/>
    <w:rsid w:val="00612BA1"/>
    <w:rsid w:val="00614F75"/>
    <w:rsid w:val="00616060"/>
    <w:rsid w:val="00617D01"/>
    <w:rsid w:val="006232E9"/>
    <w:rsid w:val="0062396C"/>
    <w:rsid w:val="006257B8"/>
    <w:rsid w:val="00626EEE"/>
    <w:rsid w:val="00640CC5"/>
    <w:rsid w:val="00643D06"/>
    <w:rsid w:val="00653DD9"/>
    <w:rsid w:val="0065731C"/>
    <w:rsid w:val="00657F7B"/>
    <w:rsid w:val="00665A56"/>
    <w:rsid w:val="00665AD4"/>
    <w:rsid w:val="006728A1"/>
    <w:rsid w:val="006756F4"/>
    <w:rsid w:val="0067619D"/>
    <w:rsid w:val="00676D75"/>
    <w:rsid w:val="006812B1"/>
    <w:rsid w:val="00681332"/>
    <w:rsid w:val="00682A35"/>
    <w:rsid w:val="00683F50"/>
    <w:rsid w:val="00691DEC"/>
    <w:rsid w:val="00694304"/>
    <w:rsid w:val="006A6DD4"/>
    <w:rsid w:val="006A7B03"/>
    <w:rsid w:val="006B1E37"/>
    <w:rsid w:val="006C0937"/>
    <w:rsid w:val="006C1232"/>
    <w:rsid w:val="006D0E9C"/>
    <w:rsid w:val="006D1D21"/>
    <w:rsid w:val="006D1E59"/>
    <w:rsid w:val="006D2EFD"/>
    <w:rsid w:val="006D2F9E"/>
    <w:rsid w:val="006E3ADC"/>
    <w:rsid w:val="006F60E7"/>
    <w:rsid w:val="006F73E0"/>
    <w:rsid w:val="007051F9"/>
    <w:rsid w:val="007065E7"/>
    <w:rsid w:val="00706744"/>
    <w:rsid w:val="00710A20"/>
    <w:rsid w:val="00713B56"/>
    <w:rsid w:val="00715E48"/>
    <w:rsid w:val="00717606"/>
    <w:rsid w:val="00717646"/>
    <w:rsid w:val="00724759"/>
    <w:rsid w:val="007314DF"/>
    <w:rsid w:val="00737633"/>
    <w:rsid w:val="0074206B"/>
    <w:rsid w:val="00753112"/>
    <w:rsid w:val="00756D7A"/>
    <w:rsid w:val="00762E99"/>
    <w:rsid w:val="00766CA9"/>
    <w:rsid w:val="007712F0"/>
    <w:rsid w:val="0077338F"/>
    <w:rsid w:val="00780100"/>
    <w:rsid w:val="00783976"/>
    <w:rsid w:val="0078548A"/>
    <w:rsid w:val="007906DE"/>
    <w:rsid w:val="00793869"/>
    <w:rsid w:val="00796C82"/>
    <w:rsid w:val="00796F0E"/>
    <w:rsid w:val="00797BA7"/>
    <w:rsid w:val="007B1EEE"/>
    <w:rsid w:val="007B372F"/>
    <w:rsid w:val="007B72A0"/>
    <w:rsid w:val="007B72C6"/>
    <w:rsid w:val="007B746F"/>
    <w:rsid w:val="007C0002"/>
    <w:rsid w:val="007D4C11"/>
    <w:rsid w:val="007D61B2"/>
    <w:rsid w:val="007E13B8"/>
    <w:rsid w:val="007E2BFB"/>
    <w:rsid w:val="007E4600"/>
    <w:rsid w:val="007E4DB2"/>
    <w:rsid w:val="007E76A6"/>
    <w:rsid w:val="007F2110"/>
    <w:rsid w:val="007F6246"/>
    <w:rsid w:val="007F7631"/>
    <w:rsid w:val="00800C45"/>
    <w:rsid w:val="00807F07"/>
    <w:rsid w:val="008120CF"/>
    <w:rsid w:val="00814E98"/>
    <w:rsid w:val="008202CB"/>
    <w:rsid w:val="00820D8F"/>
    <w:rsid w:val="00821D71"/>
    <w:rsid w:val="00823304"/>
    <w:rsid w:val="00824643"/>
    <w:rsid w:val="00824EB4"/>
    <w:rsid w:val="0083059A"/>
    <w:rsid w:val="008329A9"/>
    <w:rsid w:val="00832CFE"/>
    <w:rsid w:val="00834686"/>
    <w:rsid w:val="00836EAF"/>
    <w:rsid w:val="00837829"/>
    <w:rsid w:val="00840A75"/>
    <w:rsid w:val="008429D7"/>
    <w:rsid w:val="00842EC4"/>
    <w:rsid w:val="00852046"/>
    <w:rsid w:val="00857DEC"/>
    <w:rsid w:val="00861AB3"/>
    <w:rsid w:val="00866A7E"/>
    <w:rsid w:val="00872264"/>
    <w:rsid w:val="008846C3"/>
    <w:rsid w:val="008862AC"/>
    <w:rsid w:val="008872DC"/>
    <w:rsid w:val="008933D9"/>
    <w:rsid w:val="008957C2"/>
    <w:rsid w:val="008A123C"/>
    <w:rsid w:val="008A4907"/>
    <w:rsid w:val="008B6992"/>
    <w:rsid w:val="008B7A0E"/>
    <w:rsid w:val="008C40CD"/>
    <w:rsid w:val="008C6B14"/>
    <w:rsid w:val="008D0596"/>
    <w:rsid w:val="008D2002"/>
    <w:rsid w:val="008D2718"/>
    <w:rsid w:val="008D6279"/>
    <w:rsid w:val="008E18E7"/>
    <w:rsid w:val="008E1ECD"/>
    <w:rsid w:val="008F0157"/>
    <w:rsid w:val="008F0C67"/>
    <w:rsid w:val="008F2F69"/>
    <w:rsid w:val="008F4469"/>
    <w:rsid w:val="008F6E8C"/>
    <w:rsid w:val="008F7D0A"/>
    <w:rsid w:val="00903FBE"/>
    <w:rsid w:val="009132CB"/>
    <w:rsid w:val="00921745"/>
    <w:rsid w:val="0093088D"/>
    <w:rsid w:val="00932DD2"/>
    <w:rsid w:val="00933E9A"/>
    <w:rsid w:val="00936858"/>
    <w:rsid w:val="00940700"/>
    <w:rsid w:val="00960C90"/>
    <w:rsid w:val="00962FB8"/>
    <w:rsid w:val="009667B1"/>
    <w:rsid w:val="009673CE"/>
    <w:rsid w:val="009734D1"/>
    <w:rsid w:val="0098612A"/>
    <w:rsid w:val="00987D23"/>
    <w:rsid w:val="0099320F"/>
    <w:rsid w:val="009944EA"/>
    <w:rsid w:val="009A2F24"/>
    <w:rsid w:val="009A4C02"/>
    <w:rsid w:val="009A59EB"/>
    <w:rsid w:val="009A6635"/>
    <w:rsid w:val="009A6EFB"/>
    <w:rsid w:val="009B0FA7"/>
    <w:rsid w:val="009B2FA3"/>
    <w:rsid w:val="009B40BF"/>
    <w:rsid w:val="009B5AFC"/>
    <w:rsid w:val="009C20C3"/>
    <w:rsid w:val="009C6CAE"/>
    <w:rsid w:val="009D69DD"/>
    <w:rsid w:val="009D6A8A"/>
    <w:rsid w:val="009E16C6"/>
    <w:rsid w:val="009E37CA"/>
    <w:rsid w:val="009E6620"/>
    <w:rsid w:val="009E70D0"/>
    <w:rsid w:val="009F03FA"/>
    <w:rsid w:val="009F1F20"/>
    <w:rsid w:val="009F3A8F"/>
    <w:rsid w:val="00A026D7"/>
    <w:rsid w:val="00A13E19"/>
    <w:rsid w:val="00A1502A"/>
    <w:rsid w:val="00A25507"/>
    <w:rsid w:val="00A347B4"/>
    <w:rsid w:val="00A42EFC"/>
    <w:rsid w:val="00A52098"/>
    <w:rsid w:val="00A64A70"/>
    <w:rsid w:val="00A7249C"/>
    <w:rsid w:val="00A81B93"/>
    <w:rsid w:val="00A82817"/>
    <w:rsid w:val="00A838E7"/>
    <w:rsid w:val="00A85B3C"/>
    <w:rsid w:val="00A91216"/>
    <w:rsid w:val="00A91DE3"/>
    <w:rsid w:val="00A91F3E"/>
    <w:rsid w:val="00A932D5"/>
    <w:rsid w:val="00A953C2"/>
    <w:rsid w:val="00AA0158"/>
    <w:rsid w:val="00AA0E91"/>
    <w:rsid w:val="00AA2C23"/>
    <w:rsid w:val="00AA2E3B"/>
    <w:rsid w:val="00AB0453"/>
    <w:rsid w:val="00AB1614"/>
    <w:rsid w:val="00AC136A"/>
    <w:rsid w:val="00AC7ACD"/>
    <w:rsid w:val="00AE019A"/>
    <w:rsid w:val="00AE15B1"/>
    <w:rsid w:val="00AE18B7"/>
    <w:rsid w:val="00AE3478"/>
    <w:rsid w:val="00AF0730"/>
    <w:rsid w:val="00AF3926"/>
    <w:rsid w:val="00B067B6"/>
    <w:rsid w:val="00B07978"/>
    <w:rsid w:val="00B155BA"/>
    <w:rsid w:val="00B15814"/>
    <w:rsid w:val="00B15F17"/>
    <w:rsid w:val="00B21B83"/>
    <w:rsid w:val="00B26DA4"/>
    <w:rsid w:val="00B3342B"/>
    <w:rsid w:val="00B339A2"/>
    <w:rsid w:val="00B366BE"/>
    <w:rsid w:val="00B37683"/>
    <w:rsid w:val="00B445BE"/>
    <w:rsid w:val="00B4653D"/>
    <w:rsid w:val="00B46FDD"/>
    <w:rsid w:val="00B475CF"/>
    <w:rsid w:val="00B52EE9"/>
    <w:rsid w:val="00B53A25"/>
    <w:rsid w:val="00B54992"/>
    <w:rsid w:val="00B54EAB"/>
    <w:rsid w:val="00B61870"/>
    <w:rsid w:val="00B64AC4"/>
    <w:rsid w:val="00B65325"/>
    <w:rsid w:val="00B81463"/>
    <w:rsid w:val="00B8361A"/>
    <w:rsid w:val="00B87F1C"/>
    <w:rsid w:val="00B94C8A"/>
    <w:rsid w:val="00B97626"/>
    <w:rsid w:val="00BA2FCE"/>
    <w:rsid w:val="00BA61F5"/>
    <w:rsid w:val="00BA6A07"/>
    <w:rsid w:val="00BB21B3"/>
    <w:rsid w:val="00BB33E1"/>
    <w:rsid w:val="00BB48FC"/>
    <w:rsid w:val="00BC2898"/>
    <w:rsid w:val="00BD114C"/>
    <w:rsid w:val="00BD1BC3"/>
    <w:rsid w:val="00BD2BED"/>
    <w:rsid w:val="00BD7A08"/>
    <w:rsid w:val="00BE07F8"/>
    <w:rsid w:val="00BE0C9D"/>
    <w:rsid w:val="00BE2406"/>
    <w:rsid w:val="00BE4470"/>
    <w:rsid w:val="00BE4CCE"/>
    <w:rsid w:val="00BE6559"/>
    <w:rsid w:val="00BE7560"/>
    <w:rsid w:val="00BE7588"/>
    <w:rsid w:val="00BF389A"/>
    <w:rsid w:val="00BF6643"/>
    <w:rsid w:val="00BF7FBD"/>
    <w:rsid w:val="00C0011A"/>
    <w:rsid w:val="00C00F97"/>
    <w:rsid w:val="00C040E6"/>
    <w:rsid w:val="00C16FD6"/>
    <w:rsid w:val="00C21A17"/>
    <w:rsid w:val="00C21DED"/>
    <w:rsid w:val="00C30C1D"/>
    <w:rsid w:val="00C36D57"/>
    <w:rsid w:val="00C406FA"/>
    <w:rsid w:val="00C40729"/>
    <w:rsid w:val="00C42836"/>
    <w:rsid w:val="00C52F25"/>
    <w:rsid w:val="00C576FF"/>
    <w:rsid w:val="00C61BB4"/>
    <w:rsid w:val="00C6397F"/>
    <w:rsid w:val="00C722B7"/>
    <w:rsid w:val="00C842F5"/>
    <w:rsid w:val="00C852F7"/>
    <w:rsid w:val="00C86440"/>
    <w:rsid w:val="00C87D04"/>
    <w:rsid w:val="00C90C77"/>
    <w:rsid w:val="00C95696"/>
    <w:rsid w:val="00CB48F7"/>
    <w:rsid w:val="00CB6152"/>
    <w:rsid w:val="00CB7566"/>
    <w:rsid w:val="00CC0B60"/>
    <w:rsid w:val="00CC5318"/>
    <w:rsid w:val="00CC5D5D"/>
    <w:rsid w:val="00CD1117"/>
    <w:rsid w:val="00CD3D5F"/>
    <w:rsid w:val="00CD7A1D"/>
    <w:rsid w:val="00CD7B25"/>
    <w:rsid w:val="00CE185E"/>
    <w:rsid w:val="00CE3AAA"/>
    <w:rsid w:val="00CE40E5"/>
    <w:rsid w:val="00CF016D"/>
    <w:rsid w:val="00CF0AB4"/>
    <w:rsid w:val="00CF10CC"/>
    <w:rsid w:val="00D02D97"/>
    <w:rsid w:val="00D050C7"/>
    <w:rsid w:val="00D0769F"/>
    <w:rsid w:val="00D07ABA"/>
    <w:rsid w:val="00D20C50"/>
    <w:rsid w:val="00D21E46"/>
    <w:rsid w:val="00D23E85"/>
    <w:rsid w:val="00D25863"/>
    <w:rsid w:val="00D269D1"/>
    <w:rsid w:val="00D27113"/>
    <w:rsid w:val="00D30A33"/>
    <w:rsid w:val="00D30B0A"/>
    <w:rsid w:val="00D31384"/>
    <w:rsid w:val="00D33214"/>
    <w:rsid w:val="00D4100E"/>
    <w:rsid w:val="00D619E3"/>
    <w:rsid w:val="00D61C4A"/>
    <w:rsid w:val="00D67324"/>
    <w:rsid w:val="00D727CF"/>
    <w:rsid w:val="00D7496A"/>
    <w:rsid w:val="00D76F17"/>
    <w:rsid w:val="00D772B4"/>
    <w:rsid w:val="00D85DC2"/>
    <w:rsid w:val="00D92975"/>
    <w:rsid w:val="00D94F0D"/>
    <w:rsid w:val="00DA3DD6"/>
    <w:rsid w:val="00DA3F22"/>
    <w:rsid w:val="00DA4333"/>
    <w:rsid w:val="00DA5B6D"/>
    <w:rsid w:val="00DA623F"/>
    <w:rsid w:val="00DA7F5E"/>
    <w:rsid w:val="00DC38A0"/>
    <w:rsid w:val="00DD0673"/>
    <w:rsid w:val="00DD0F55"/>
    <w:rsid w:val="00DD40D5"/>
    <w:rsid w:val="00DD6AF4"/>
    <w:rsid w:val="00DD6BD7"/>
    <w:rsid w:val="00DE3B79"/>
    <w:rsid w:val="00DF1F62"/>
    <w:rsid w:val="00DF74AD"/>
    <w:rsid w:val="00E278AC"/>
    <w:rsid w:val="00E30310"/>
    <w:rsid w:val="00E30D55"/>
    <w:rsid w:val="00E33F66"/>
    <w:rsid w:val="00E4014E"/>
    <w:rsid w:val="00E416D2"/>
    <w:rsid w:val="00E617FD"/>
    <w:rsid w:val="00E674A5"/>
    <w:rsid w:val="00E70B72"/>
    <w:rsid w:val="00E7188E"/>
    <w:rsid w:val="00E72622"/>
    <w:rsid w:val="00E74B7A"/>
    <w:rsid w:val="00E75420"/>
    <w:rsid w:val="00E80354"/>
    <w:rsid w:val="00E809D8"/>
    <w:rsid w:val="00E858C3"/>
    <w:rsid w:val="00E94064"/>
    <w:rsid w:val="00E95965"/>
    <w:rsid w:val="00E95BEA"/>
    <w:rsid w:val="00E960D7"/>
    <w:rsid w:val="00EA2E78"/>
    <w:rsid w:val="00EB15B5"/>
    <w:rsid w:val="00EB6BC1"/>
    <w:rsid w:val="00EC0D97"/>
    <w:rsid w:val="00EC3065"/>
    <w:rsid w:val="00EC4FAB"/>
    <w:rsid w:val="00ED1B7C"/>
    <w:rsid w:val="00ED2826"/>
    <w:rsid w:val="00ED3056"/>
    <w:rsid w:val="00ED7330"/>
    <w:rsid w:val="00ED78EC"/>
    <w:rsid w:val="00EE6E1B"/>
    <w:rsid w:val="00EF2020"/>
    <w:rsid w:val="00EF4E07"/>
    <w:rsid w:val="00EF5D31"/>
    <w:rsid w:val="00EF77D7"/>
    <w:rsid w:val="00F0339B"/>
    <w:rsid w:val="00F04B12"/>
    <w:rsid w:val="00F06B4F"/>
    <w:rsid w:val="00F13804"/>
    <w:rsid w:val="00F205F8"/>
    <w:rsid w:val="00F2314A"/>
    <w:rsid w:val="00F24113"/>
    <w:rsid w:val="00F345C7"/>
    <w:rsid w:val="00F36702"/>
    <w:rsid w:val="00F460AC"/>
    <w:rsid w:val="00F60415"/>
    <w:rsid w:val="00F61111"/>
    <w:rsid w:val="00F620C7"/>
    <w:rsid w:val="00F63433"/>
    <w:rsid w:val="00F645F6"/>
    <w:rsid w:val="00F6563A"/>
    <w:rsid w:val="00F65BB6"/>
    <w:rsid w:val="00F70CF6"/>
    <w:rsid w:val="00F84712"/>
    <w:rsid w:val="00F85470"/>
    <w:rsid w:val="00F91EAB"/>
    <w:rsid w:val="00F97C9B"/>
    <w:rsid w:val="00FA1F47"/>
    <w:rsid w:val="00FA4A0B"/>
    <w:rsid w:val="00FB0661"/>
    <w:rsid w:val="00FB1233"/>
    <w:rsid w:val="00FB33B9"/>
    <w:rsid w:val="00FB586F"/>
    <w:rsid w:val="00FB6023"/>
    <w:rsid w:val="00FC15D3"/>
    <w:rsid w:val="00FC41B6"/>
    <w:rsid w:val="00FC521B"/>
    <w:rsid w:val="00FC574E"/>
    <w:rsid w:val="00FC58B0"/>
    <w:rsid w:val="00FC7C64"/>
    <w:rsid w:val="00FD0EEC"/>
    <w:rsid w:val="00FD4EC2"/>
    <w:rsid w:val="00FE022E"/>
    <w:rsid w:val="00FE4599"/>
    <w:rsid w:val="00FE5776"/>
    <w:rsid w:val="00FE6BFD"/>
    <w:rsid w:val="00FE6CFE"/>
    <w:rsid w:val="00FF4F7D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398B1-7D05-45B9-9F52-3384D127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2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3B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B56"/>
    <w:rPr>
      <w:lang w:val="en-US"/>
    </w:rPr>
  </w:style>
  <w:style w:type="paragraph" w:customStyle="1" w:styleId="Default">
    <w:name w:val="Default"/>
    <w:rsid w:val="00713B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13B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13B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D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7347C"/>
    <w:rPr>
      <w:strike w:val="0"/>
      <w:dstrike w:val="0"/>
      <w:color w:val="000000"/>
      <w:u w:val="none"/>
      <w:effect w:val="none"/>
    </w:rPr>
  </w:style>
  <w:style w:type="paragraph" w:customStyle="1" w:styleId="oj-doc-ti">
    <w:name w:val="oj-doc-ti"/>
    <w:basedOn w:val="Normal"/>
    <w:rsid w:val="00BD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B21B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B83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26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63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32630"/>
    <w:rPr>
      <w:vertAlign w:val="superscript"/>
    </w:rPr>
  </w:style>
  <w:style w:type="paragraph" w:customStyle="1" w:styleId="Char">
    <w:name w:val="Char"/>
    <w:basedOn w:val="Normal"/>
    <w:autoRedefine/>
    <w:rsid w:val="002E6936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9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93CA-6A66-40C9-BFDE-41DA60AA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DFZ</Company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Petya Ivanova</cp:lastModifiedBy>
  <cp:revision>14</cp:revision>
  <cp:lastPrinted>2022-10-19T10:15:00Z</cp:lastPrinted>
  <dcterms:created xsi:type="dcterms:W3CDTF">2022-11-07T09:14:00Z</dcterms:created>
  <dcterms:modified xsi:type="dcterms:W3CDTF">2022-11-11T10:02:00Z</dcterms:modified>
</cp:coreProperties>
</file>