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B56" w:rsidRPr="006A7B03" w:rsidRDefault="00713B56" w:rsidP="006A7B03">
      <w:pPr>
        <w:keepNext/>
        <w:spacing w:after="60" w:line="240" w:lineRule="auto"/>
        <w:jc w:val="center"/>
        <w:outlineLvl w:val="0"/>
        <w:rPr>
          <w:rFonts w:ascii="Verdana" w:eastAsia="Times New Roman" w:hAnsi="Verdana" w:cs="Verdana"/>
          <w:spacing w:val="40"/>
          <w:kern w:val="32"/>
          <w:sz w:val="20"/>
          <w:szCs w:val="20"/>
          <w:lang w:val="bg-BG" w:eastAsia="bg-BG"/>
        </w:rPr>
      </w:pPr>
      <w:r w:rsidRPr="006A7B03">
        <w:rPr>
          <w:rFonts w:ascii="Verdana" w:eastAsia="Times New Roman" w:hAnsi="Verdana" w:cs="Verdana"/>
          <w:noProof/>
          <w:spacing w:val="40"/>
          <w:kern w:val="32"/>
          <w:sz w:val="20"/>
          <w:szCs w:val="20"/>
        </w:rPr>
        <w:drawing>
          <wp:anchor distT="0" distB="0" distL="114300" distR="114300" simplePos="0" relativeHeight="251659264" behindDoc="1" locked="0" layoutInCell="1" allowOverlap="1" wp14:anchorId="3C8648E9" wp14:editId="06A7EF69">
            <wp:simplePos x="0" y="0"/>
            <wp:positionH relativeFrom="column">
              <wp:posOffset>2257679</wp:posOffset>
            </wp:positionH>
            <wp:positionV relativeFrom="paragraph">
              <wp:posOffset>-317500</wp:posOffset>
            </wp:positionV>
            <wp:extent cx="1343025" cy="1333500"/>
            <wp:effectExtent l="0" t="0" r="9525" b="0"/>
            <wp:wrapNone/>
            <wp:docPr id="1"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37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pic:spPr>
                </pic:pic>
              </a:graphicData>
            </a:graphic>
            <wp14:sizeRelH relativeFrom="page">
              <wp14:pctWidth>0</wp14:pctWidth>
            </wp14:sizeRelH>
            <wp14:sizeRelV relativeFrom="page">
              <wp14:pctHeight>0</wp14:pctHeight>
            </wp14:sizeRelV>
          </wp:anchor>
        </w:drawing>
      </w:r>
    </w:p>
    <w:p w:rsidR="00713B56" w:rsidRPr="006A7B03" w:rsidRDefault="00713B56" w:rsidP="006A7B03">
      <w:pPr>
        <w:keepNext/>
        <w:spacing w:after="60" w:line="240" w:lineRule="auto"/>
        <w:jc w:val="center"/>
        <w:outlineLvl w:val="0"/>
        <w:rPr>
          <w:rFonts w:ascii="Verdana" w:eastAsia="Times New Roman" w:hAnsi="Verdana" w:cs="Verdana"/>
          <w:spacing w:val="40"/>
          <w:kern w:val="32"/>
          <w:sz w:val="20"/>
          <w:szCs w:val="20"/>
          <w:lang w:val="bg-BG" w:eastAsia="bg-BG"/>
        </w:rPr>
      </w:pPr>
    </w:p>
    <w:p w:rsidR="00713B56" w:rsidRPr="006A7B03" w:rsidRDefault="00713B56" w:rsidP="006A7B03">
      <w:pPr>
        <w:keepNext/>
        <w:spacing w:after="60" w:line="240" w:lineRule="auto"/>
        <w:jc w:val="center"/>
        <w:outlineLvl w:val="0"/>
        <w:rPr>
          <w:rFonts w:ascii="Verdana" w:eastAsia="Times New Roman" w:hAnsi="Verdana" w:cs="Verdana"/>
          <w:spacing w:val="40"/>
          <w:kern w:val="32"/>
          <w:sz w:val="20"/>
          <w:szCs w:val="20"/>
          <w:lang w:val="bg-BG" w:eastAsia="bg-BG"/>
        </w:rPr>
      </w:pPr>
    </w:p>
    <w:p w:rsidR="00713B56" w:rsidRPr="006A7B03" w:rsidRDefault="00713B56" w:rsidP="006A7B03">
      <w:pPr>
        <w:keepNext/>
        <w:spacing w:after="60" w:line="240" w:lineRule="auto"/>
        <w:jc w:val="center"/>
        <w:outlineLvl w:val="0"/>
        <w:rPr>
          <w:rFonts w:ascii="Verdana" w:eastAsia="Times New Roman" w:hAnsi="Verdana" w:cs="Verdana"/>
          <w:spacing w:val="40"/>
          <w:kern w:val="32"/>
          <w:sz w:val="20"/>
          <w:szCs w:val="20"/>
          <w:lang w:val="bg-BG" w:eastAsia="bg-BG"/>
        </w:rPr>
      </w:pPr>
    </w:p>
    <w:p w:rsidR="00713B56" w:rsidRPr="006A7B03" w:rsidRDefault="00713B56" w:rsidP="006A7B03">
      <w:pPr>
        <w:keepNext/>
        <w:spacing w:after="60" w:line="240" w:lineRule="auto"/>
        <w:jc w:val="center"/>
        <w:outlineLvl w:val="0"/>
        <w:rPr>
          <w:rFonts w:ascii="Verdana" w:eastAsia="Times New Roman" w:hAnsi="Verdana" w:cs="Verdana"/>
          <w:spacing w:val="40"/>
          <w:kern w:val="32"/>
          <w:sz w:val="20"/>
          <w:szCs w:val="20"/>
          <w:lang w:val="bg-BG" w:eastAsia="bg-BG"/>
        </w:rPr>
      </w:pPr>
    </w:p>
    <w:p w:rsidR="00713B56" w:rsidRPr="006A7B03" w:rsidRDefault="00713B56" w:rsidP="006A7B03">
      <w:pPr>
        <w:keepNext/>
        <w:spacing w:after="60" w:line="240" w:lineRule="auto"/>
        <w:jc w:val="center"/>
        <w:outlineLvl w:val="0"/>
        <w:rPr>
          <w:rFonts w:ascii="Verdana" w:eastAsia="Times New Roman" w:hAnsi="Verdana" w:cs="Verdana"/>
          <w:spacing w:val="40"/>
          <w:kern w:val="32"/>
          <w:sz w:val="20"/>
          <w:szCs w:val="20"/>
          <w:lang w:val="bg-BG" w:eastAsia="bg-BG"/>
        </w:rPr>
      </w:pPr>
    </w:p>
    <w:p w:rsidR="00713B56" w:rsidRPr="006A7B03" w:rsidRDefault="00713B56" w:rsidP="00713B56">
      <w:pPr>
        <w:keepNext/>
        <w:spacing w:after="60" w:line="240" w:lineRule="auto"/>
        <w:jc w:val="center"/>
        <w:outlineLvl w:val="0"/>
        <w:rPr>
          <w:rFonts w:ascii="Verdana" w:eastAsia="Times New Roman" w:hAnsi="Verdana" w:cs="Verdana"/>
          <w:spacing w:val="40"/>
          <w:kern w:val="32"/>
          <w:sz w:val="32"/>
          <w:szCs w:val="32"/>
          <w:lang w:val="bg-BG" w:eastAsia="bg-BG"/>
        </w:rPr>
      </w:pPr>
      <w:r w:rsidRPr="006A7B03">
        <w:rPr>
          <w:rFonts w:ascii="Verdana" w:eastAsia="Times New Roman" w:hAnsi="Verdana" w:cs="Verdana"/>
          <w:spacing w:val="40"/>
          <w:kern w:val="32"/>
          <w:sz w:val="32"/>
          <w:szCs w:val="32"/>
          <w:lang w:val="bg-BG" w:eastAsia="bg-BG"/>
        </w:rPr>
        <w:t>РЕПУБЛИКА БЪЛГАРИЯ</w:t>
      </w:r>
    </w:p>
    <w:p w:rsidR="00713B56" w:rsidRPr="00240202" w:rsidRDefault="00713B56" w:rsidP="00713B56">
      <w:pPr>
        <w:widowControl w:val="0"/>
        <w:pBdr>
          <w:bottom w:val="single" w:sz="4" w:space="1" w:color="auto"/>
        </w:pBdr>
        <w:autoSpaceDE w:val="0"/>
        <w:autoSpaceDN w:val="0"/>
        <w:adjustRightInd w:val="0"/>
        <w:spacing w:after="0" w:line="360" w:lineRule="auto"/>
        <w:jc w:val="center"/>
        <w:rPr>
          <w:rFonts w:ascii="Verdana" w:eastAsia="Times New Roman" w:hAnsi="Verdana" w:cs="Verdana"/>
          <w:sz w:val="26"/>
          <w:szCs w:val="26"/>
          <w:lang w:val="bg-BG" w:eastAsia="bg-BG"/>
        </w:rPr>
      </w:pPr>
      <w:r w:rsidRPr="00240202">
        <w:rPr>
          <w:rFonts w:ascii="Verdana" w:eastAsia="Times New Roman" w:hAnsi="Verdana" w:cs="Verdana"/>
          <w:spacing w:val="40"/>
          <w:sz w:val="26"/>
          <w:szCs w:val="26"/>
          <w:lang w:val="bg-BG" w:eastAsia="bg-BG"/>
        </w:rPr>
        <w:t xml:space="preserve">Министър </w:t>
      </w:r>
      <w:r w:rsidR="00B067B6" w:rsidRPr="00240202">
        <w:rPr>
          <w:rFonts w:ascii="Verdana" w:eastAsia="Times New Roman" w:hAnsi="Verdana" w:cs="Verdana"/>
          <w:spacing w:val="40"/>
          <w:sz w:val="26"/>
          <w:szCs w:val="26"/>
          <w:lang w:val="bg-BG" w:eastAsia="bg-BG"/>
        </w:rPr>
        <w:t>на земеделието</w:t>
      </w:r>
    </w:p>
    <w:p w:rsidR="00713B56" w:rsidRPr="004F0B32" w:rsidRDefault="00713B56" w:rsidP="00D4100E">
      <w:pPr>
        <w:widowControl w:val="0"/>
        <w:autoSpaceDE w:val="0"/>
        <w:autoSpaceDN w:val="0"/>
        <w:adjustRightInd w:val="0"/>
        <w:spacing w:after="0" w:line="360" w:lineRule="auto"/>
        <w:jc w:val="right"/>
        <w:rPr>
          <w:rFonts w:ascii="Verdana" w:eastAsia="Times New Roman" w:hAnsi="Verdana" w:cs="Verdana"/>
          <w:b/>
          <w:bCs/>
          <w:caps/>
          <w:sz w:val="20"/>
          <w:szCs w:val="20"/>
          <w:lang w:val="bg-BG" w:eastAsia="bg-BG"/>
        </w:rPr>
      </w:pPr>
    </w:p>
    <w:p w:rsidR="00D4100E" w:rsidRDefault="00D4100E" w:rsidP="00D4100E">
      <w:pPr>
        <w:widowControl w:val="0"/>
        <w:autoSpaceDE w:val="0"/>
        <w:autoSpaceDN w:val="0"/>
        <w:adjustRightInd w:val="0"/>
        <w:spacing w:after="0" w:line="360" w:lineRule="auto"/>
        <w:rPr>
          <w:rFonts w:ascii="Verdana" w:eastAsia="Times New Roman" w:hAnsi="Verdana" w:cs="Times New Roman"/>
          <w:b/>
          <w:bCs/>
          <w:sz w:val="20"/>
          <w:szCs w:val="20"/>
          <w:lang w:val="bg-BG" w:eastAsia="bg-BG"/>
        </w:rPr>
      </w:pPr>
    </w:p>
    <w:p w:rsidR="009C439C" w:rsidRPr="00446A40" w:rsidRDefault="009C439C" w:rsidP="00D4100E">
      <w:pPr>
        <w:widowControl w:val="0"/>
        <w:autoSpaceDE w:val="0"/>
        <w:autoSpaceDN w:val="0"/>
        <w:adjustRightInd w:val="0"/>
        <w:spacing w:after="0" w:line="360" w:lineRule="auto"/>
        <w:rPr>
          <w:rFonts w:ascii="Verdana" w:eastAsia="Times New Roman" w:hAnsi="Verdana" w:cs="Times New Roman"/>
          <w:b/>
          <w:bCs/>
          <w:sz w:val="20"/>
          <w:szCs w:val="20"/>
          <w:lang w:val="bg-BG" w:eastAsia="bg-BG"/>
        </w:rPr>
      </w:pPr>
    </w:p>
    <w:p w:rsidR="00713B56" w:rsidRPr="004F0B32" w:rsidRDefault="00713B56" w:rsidP="00D4100E">
      <w:pPr>
        <w:widowControl w:val="0"/>
        <w:autoSpaceDE w:val="0"/>
        <w:autoSpaceDN w:val="0"/>
        <w:adjustRightInd w:val="0"/>
        <w:spacing w:after="0" w:line="360" w:lineRule="auto"/>
        <w:rPr>
          <w:rFonts w:ascii="Verdana" w:eastAsia="Times New Roman" w:hAnsi="Verdana" w:cs="Times New Roman"/>
          <w:b/>
          <w:bCs/>
          <w:sz w:val="20"/>
          <w:szCs w:val="20"/>
          <w:lang w:val="bg-BG" w:eastAsia="bg-BG"/>
        </w:rPr>
      </w:pPr>
      <w:r w:rsidRPr="004F0B32">
        <w:rPr>
          <w:rFonts w:ascii="Verdana" w:eastAsia="Times New Roman" w:hAnsi="Verdana" w:cs="Times New Roman"/>
          <w:b/>
          <w:bCs/>
          <w:sz w:val="20"/>
          <w:szCs w:val="20"/>
          <w:lang w:val="bg-BG" w:eastAsia="bg-BG"/>
        </w:rPr>
        <w:t>ДО</w:t>
      </w:r>
    </w:p>
    <w:p w:rsidR="00713B56" w:rsidRPr="004F0B32" w:rsidRDefault="00713B56" w:rsidP="00D4100E">
      <w:pPr>
        <w:widowControl w:val="0"/>
        <w:autoSpaceDE w:val="0"/>
        <w:autoSpaceDN w:val="0"/>
        <w:adjustRightInd w:val="0"/>
        <w:spacing w:after="0" w:line="360" w:lineRule="auto"/>
        <w:rPr>
          <w:rFonts w:ascii="Verdana" w:eastAsia="Times New Roman" w:hAnsi="Verdana" w:cs="Times New Roman"/>
          <w:b/>
          <w:bCs/>
          <w:sz w:val="20"/>
          <w:szCs w:val="20"/>
          <w:lang w:val="bg-BG" w:eastAsia="bg-BG"/>
        </w:rPr>
      </w:pPr>
      <w:r w:rsidRPr="004F0B32">
        <w:rPr>
          <w:rFonts w:ascii="Verdana" w:eastAsia="Times New Roman" w:hAnsi="Verdana" w:cs="Times New Roman"/>
          <w:b/>
          <w:bCs/>
          <w:sz w:val="20"/>
          <w:szCs w:val="20"/>
          <w:lang w:val="bg-BG" w:eastAsia="bg-BG"/>
        </w:rPr>
        <w:t>МИНИСТЕРСКИЯ СЪВЕТ</w:t>
      </w:r>
    </w:p>
    <w:p w:rsidR="00713B56" w:rsidRPr="004F0B32" w:rsidRDefault="00713B56" w:rsidP="00D4100E">
      <w:pPr>
        <w:widowControl w:val="0"/>
        <w:autoSpaceDE w:val="0"/>
        <w:autoSpaceDN w:val="0"/>
        <w:adjustRightInd w:val="0"/>
        <w:spacing w:after="0" w:line="360" w:lineRule="auto"/>
        <w:rPr>
          <w:rFonts w:ascii="Verdana" w:eastAsia="Times New Roman" w:hAnsi="Verdana" w:cs="Times New Roman"/>
          <w:b/>
          <w:bCs/>
          <w:sz w:val="20"/>
          <w:szCs w:val="20"/>
          <w:lang w:val="bg-BG" w:eastAsia="bg-BG"/>
        </w:rPr>
      </w:pPr>
      <w:r w:rsidRPr="004F0B32">
        <w:rPr>
          <w:rFonts w:ascii="Verdana" w:eastAsia="Times New Roman" w:hAnsi="Verdana" w:cs="Times New Roman"/>
          <w:b/>
          <w:bCs/>
          <w:sz w:val="20"/>
          <w:szCs w:val="20"/>
          <w:lang w:val="bg-BG" w:eastAsia="bg-BG"/>
        </w:rPr>
        <w:t>НА РЕПУБЛИКА БЪЛГАРИЯ</w:t>
      </w:r>
    </w:p>
    <w:p w:rsidR="00B21B83" w:rsidRDefault="00B21B83" w:rsidP="00D4100E">
      <w:pPr>
        <w:keepNext/>
        <w:spacing w:after="0" w:line="360" w:lineRule="auto"/>
        <w:outlineLvl w:val="0"/>
        <w:rPr>
          <w:rFonts w:ascii="Verdana" w:eastAsia="Times New Roman" w:hAnsi="Verdana" w:cs="Times New Roman"/>
          <w:b/>
          <w:bCs/>
          <w:spacing w:val="80"/>
          <w:kern w:val="32"/>
          <w:sz w:val="24"/>
          <w:szCs w:val="24"/>
          <w:lang w:val="bg-BG" w:eastAsia="bg-BG"/>
        </w:rPr>
      </w:pPr>
    </w:p>
    <w:p w:rsidR="009A6EFB" w:rsidRPr="00F84712" w:rsidRDefault="009A6EFB" w:rsidP="00D4100E">
      <w:pPr>
        <w:keepNext/>
        <w:spacing w:after="0" w:line="360" w:lineRule="auto"/>
        <w:outlineLvl w:val="0"/>
        <w:rPr>
          <w:rFonts w:ascii="Verdana" w:eastAsia="Times New Roman" w:hAnsi="Verdana" w:cs="Times New Roman"/>
          <w:b/>
          <w:bCs/>
          <w:spacing w:val="80"/>
          <w:kern w:val="32"/>
          <w:sz w:val="24"/>
          <w:szCs w:val="24"/>
          <w:lang w:val="bg-BG" w:eastAsia="bg-BG"/>
        </w:rPr>
      </w:pPr>
    </w:p>
    <w:p w:rsidR="00713B56" w:rsidRPr="004F0B32" w:rsidRDefault="00713B56" w:rsidP="00D4100E">
      <w:pPr>
        <w:keepNext/>
        <w:spacing w:after="0" w:line="360" w:lineRule="auto"/>
        <w:jc w:val="center"/>
        <w:outlineLvl w:val="0"/>
        <w:rPr>
          <w:rFonts w:ascii="Verdana" w:eastAsia="Times New Roman" w:hAnsi="Verdana" w:cs="Times New Roman"/>
          <w:b/>
          <w:bCs/>
          <w:spacing w:val="80"/>
          <w:kern w:val="32"/>
          <w:sz w:val="24"/>
          <w:szCs w:val="24"/>
          <w:lang w:val="bg-BG" w:eastAsia="bg-BG"/>
        </w:rPr>
      </w:pPr>
      <w:r w:rsidRPr="004F0B32">
        <w:rPr>
          <w:rFonts w:ascii="Verdana" w:eastAsia="Times New Roman" w:hAnsi="Verdana" w:cs="Times New Roman"/>
          <w:b/>
          <w:bCs/>
          <w:spacing w:val="80"/>
          <w:kern w:val="32"/>
          <w:sz w:val="24"/>
          <w:szCs w:val="24"/>
          <w:lang w:val="bg-BG" w:eastAsia="bg-BG"/>
        </w:rPr>
        <w:t>ДОКЛАД</w:t>
      </w:r>
    </w:p>
    <w:p w:rsidR="00713B56" w:rsidRPr="00D4100E" w:rsidRDefault="00713B56" w:rsidP="00D4100E">
      <w:pPr>
        <w:widowControl w:val="0"/>
        <w:autoSpaceDE w:val="0"/>
        <w:autoSpaceDN w:val="0"/>
        <w:adjustRightInd w:val="0"/>
        <w:spacing w:after="0" w:line="360" w:lineRule="auto"/>
        <w:jc w:val="center"/>
        <w:rPr>
          <w:rFonts w:ascii="Verdana" w:eastAsia="Times New Roman" w:hAnsi="Verdana" w:cs="Times New Roman"/>
          <w:smallCaps/>
          <w:sz w:val="20"/>
          <w:szCs w:val="20"/>
          <w:lang w:val="bg-BG" w:eastAsia="bg-BG"/>
        </w:rPr>
      </w:pPr>
      <w:r w:rsidRPr="00D4100E">
        <w:rPr>
          <w:rFonts w:ascii="Verdana" w:eastAsia="Times New Roman" w:hAnsi="Verdana" w:cs="Times New Roman"/>
          <w:smallCaps/>
          <w:sz w:val="20"/>
          <w:szCs w:val="20"/>
          <w:lang w:val="bg-BG" w:eastAsia="bg-BG"/>
        </w:rPr>
        <w:t xml:space="preserve">от </w:t>
      </w:r>
      <w:r w:rsidR="001E4519">
        <w:rPr>
          <w:rFonts w:ascii="Verdana" w:eastAsia="Times New Roman" w:hAnsi="Verdana" w:cs="Times New Roman"/>
          <w:smallCaps/>
          <w:sz w:val="20"/>
          <w:szCs w:val="20"/>
          <w:lang w:val="bg-BG" w:eastAsia="bg-BG"/>
        </w:rPr>
        <w:t>Явор Гечев</w:t>
      </w:r>
      <w:r w:rsidR="005A6EEF" w:rsidRPr="00D4100E">
        <w:rPr>
          <w:rFonts w:ascii="Verdana" w:eastAsia="Times New Roman" w:hAnsi="Verdana" w:cs="Times New Roman"/>
          <w:iCs/>
          <w:smallCaps/>
          <w:sz w:val="20"/>
          <w:szCs w:val="20"/>
          <w:lang w:val="bg-BG" w:eastAsia="bg-BG"/>
        </w:rPr>
        <w:t xml:space="preserve"> – </w:t>
      </w:r>
      <w:r w:rsidR="00B067B6" w:rsidRPr="00D4100E">
        <w:rPr>
          <w:rFonts w:ascii="Verdana" w:eastAsia="Times New Roman" w:hAnsi="Verdana" w:cs="Times New Roman"/>
          <w:smallCaps/>
          <w:sz w:val="20"/>
          <w:szCs w:val="20"/>
          <w:lang w:val="bg-BG" w:eastAsia="bg-BG"/>
        </w:rPr>
        <w:t>министър на земеделието</w:t>
      </w:r>
    </w:p>
    <w:p w:rsidR="00713B56" w:rsidRPr="00446A40" w:rsidRDefault="00713B56" w:rsidP="00D4100E">
      <w:pPr>
        <w:widowControl w:val="0"/>
        <w:autoSpaceDE w:val="0"/>
        <w:autoSpaceDN w:val="0"/>
        <w:adjustRightInd w:val="0"/>
        <w:spacing w:after="0" w:line="360" w:lineRule="auto"/>
        <w:rPr>
          <w:rFonts w:ascii="Verdana" w:eastAsia="Times New Roman" w:hAnsi="Verdana" w:cs="Times New Roman"/>
          <w:sz w:val="20"/>
          <w:szCs w:val="20"/>
          <w:lang w:val="bg-BG" w:eastAsia="bg-BG"/>
        </w:rPr>
      </w:pPr>
    </w:p>
    <w:p w:rsidR="00B21B83" w:rsidRPr="00446A40" w:rsidRDefault="00B21B83" w:rsidP="00D4100E">
      <w:pPr>
        <w:widowControl w:val="0"/>
        <w:autoSpaceDE w:val="0"/>
        <w:autoSpaceDN w:val="0"/>
        <w:adjustRightInd w:val="0"/>
        <w:spacing w:after="0" w:line="360" w:lineRule="auto"/>
        <w:rPr>
          <w:rFonts w:ascii="Verdana" w:eastAsia="Times New Roman" w:hAnsi="Verdana" w:cs="Times New Roman"/>
          <w:sz w:val="20"/>
          <w:szCs w:val="20"/>
          <w:lang w:val="bg-BG" w:eastAsia="bg-BG"/>
        </w:rPr>
      </w:pPr>
    </w:p>
    <w:p w:rsidR="00147A61" w:rsidRPr="007051F9" w:rsidRDefault="00B94C8A" w:rsidP="00D4100E">
      <w:pPr>
        <w:widowControl w:val="0"/>
        <w:autoSpaceDE w:val="0"/>
        <w:autoSpaceDN w:val="0"/>
        <w:adjustRightInd w:val="0"/>
        <w:spacing w:after="0" w:line="360" w:lineRule="auto"/>
        <w:ind w:left="1191" w:hanging="1191"/>
        <w:jc w:val="both"/>
        <w:rPr>
          <w:rFonts w:ascii="Verdana" w:eastAsia="Times New Roman" w:hAnsi="Verdana" w:cs="Times New Roman"/>
          <w:spacing w:val="4"/>
          <w:sz w:val="20"/>
          <w:szCs w:val="20"/>
          <w:lang w:val="bg-BG" w:eastAsia="bg-BG"/>
        </w:rPr>
      </w:pPr>
      <w:r w:rsidRPr="004F0B32">
        <w:rPr>
          <w:rFonts w:ascii="Verdana" w:eastAsia="Times New Roman" w:hAnsi="Verdana" w:cs="Times New Roman"/>
          <w:b/>
          <w:bCs/>
          <w:sz w:val="20"/>
          <w:szCs w:val="20"/>
          <w:lang w:val="bg-BG" w:eastAsia="bg-BG"/>
        </w:rPr>
        <w:t>Относно</w:t>
      </w:r>
      <w:r w:rsidRPr="004F0B32">
        <w:rPr>
          <w:rFonts w:ascii="Verdana" w:eastAsia="Times New Roman" w:hAnsi="Verdana" w:cs="Times New Roman"/>
          <w:b/>
          <w:sz w:val="20"/>
          <w:szCs w:val="20"/>
          <w:lang w:val="bg-BG" w:eastAsia="bg-BG"/>
        </w:rPr>
        <w:t>:</w:t>
      </w:r>
      <w:r w:rsidRPr="00B94C8A">
        <w:rPr>
          <w:rFonts w:ascii="Verdana" w:eastAsia="Times New Roman" w:hAnsi="Verdana" w:cs="Times New Roman"/>
          <w:sz w:val="20"/>
          <w:szCs w:val="20"/>
          <w:lang w:val="bg-BG" w:eastAsia="bg-BG"/>
        </w:rPr>
        <w:t xml:space="preserve"> </w:t>
      </w:r>
      <w:r w:rsidRPr="007051F9">
        <w:rPr>
          <w:rFonts w:ascii="Verdana" w:eastAsia="Times New Roman" w:hAnsi="Verdana" w:cs="Times New Roman"/>
          <w:spacing w:val="4"/>
          <w:sz w:val="20"/>
          <w:szCs w:val="20"/>
          <w:lang w:val="bg-BG" w:eastAsia="bg-BG"/>
        </w:rPr>
        <w:t xml:space="preserve">Проект на Постановление на Министерския съвет за изменение и допълнение на Устройствения правилник на </w:t>
      </w:r>
      <w:r w:rsidR="00CB48F7" w:rsidRPr="007051F9">
        <w:rPr>
          <w:rFonts w:ascii="Verdana" w:eastAsia="Times New Roman" w:hAnsi="Verdana" w:cs="Times New Roman"/>
          <w:spacing w:val="4"/>
          <w:sz w:val="20"/>
          <w:szCs w:val="20"/>
          <w:lang w:val="bg-BG" w:eastAsia="bg-BG"/>
        </w:rPr>
        <w:t>Държавен фонд „Земеделие“</w:t>
      </w:r>
      <w:r w:rsidRPr="007051F9">
        <w:rPr>
          <w:rFonts w:ascii="Verdana" w:eastAsia="Times New Roman" w:hAnsi="Verdana" w:cs="Times New Roman"/>
          <w:spacing w:val="4"/>
          <w:sz w:val="20"/>
          <w:szCs w:val="20"/>
          <w:lang w:val="bg-BG" w:eastAsia="bg-BG"/>
        </w:rPr>
        <w:t xml:space="preserve">, приет с Постановление № </w:t>
      </w:r>
      <w:r w:rsidR="00CB48F7" w:rsidRPr="007051F9">
        <w:rPr>
          <w:rFonts w:ascii="Verdana" w:eastAsia="Times New Roman" w:hAnsi="Verdana" w:cs="Times New Roman"/>
          <w:spacing w:val="4"/>
          <w:sz w:val="20"/>
          <w:szCs w:val="20"/>
          <w:lang w:val="bg-BG" w:eastAsia="bg-BG"/>
        </w:rPr>
        <w:t>151</w:t>
      </w:r>
      <w:r w:rsidRPr="007051F9">
        <w:rPr>
          <w:rFonts w:ascii="Verdana" w:eastAsia="Times New Roman" w:hAnsi="Verdana" w:cs="Times New Roman"/>
          <w:spacing w:val="4"/>
          <w:sz w:val="20"/>
          <w:szCs w:val="20"/>
          <w:lang w:val="bg-BG" w:eastAsia="bg-BG"/>
        </w:rPr>
        <w:t xml:space="preserve"> на</w:t>
      </w:r>
      <w:r w:rsidR="00CB48F7" w:rsidRPr="007051F9">
        <w:rPr>
          <w:rFonts w:ascii="Verdana" w:eastAsia="Times New Roman" w:hAnsi="Verdana" w:cs="Times New Roman"/>
          <w:spacing w:val="4"/>
          <w:sz w:val="20"/>
          <w:szCs w:val="20"/>
          <w:lang w:val="bg-BG" w:eastAsia="bg-BG"/>
        </w:rPr>
        <w:t xml:space="preserve"> Министерския съвет от 2012</w:t>
      </w:r>
      <w:r w:rsidRPr="007051F9">
        <w:rPr>
          <w:rFonts w:ascii="Verdana" w:eastAsia="Times New Roman" w:hAnsi="Verdana" w:cs="Times New Roman"/>
          <w:spacing w:val="4"/>
          <w:sz w:val="20"/>
          <w:szCs w:val="20"/>
          <w:lang w:val="bg-BG" w:eastAsia="bg-BG"/>
        </w:rPr>
        <w:t xml:space="preserve"> г</w:t>
      </w:r>
      <w:r w:rsidRPr="00446A40">
        <w:rPr>
          <w:rFonts w:ascii="Verdana" w:eastAsia="Times New Roman" w:hAnsi="Verdana" w:cs="Times New Roman"/>
          <w:spacing w:val="4"/>
          <w:sz w:val="20"/>
          <w:szCs w:val="20"/>
          <w:lang w:val="bg-BG" w:eastAsia="bg-BG"/>
        </w:rPr>
        <w:t>.</w:t>
      </w:r>
      <w:r w:rsidR="00B21B83" w:rsidRPr="007051F9">
        <w:rPr>
          <w:rFonts w:ascii="Verdana" w:eastAsia="Times New Roman" w:hAnsi="Verdana" w:cs="Times New Roman"/>
          <w:spacing w:val="4"/>
          <w:sz w:val="20"/>
          <w:szCs w:val="20"/>
          <w:lang w:val="bg-BG" w:eastAsia="bg-BG"/>
        </w:rPr>
        <w:t xml:space="preserve"> (</w:t>
      </w:r>
      <w:proofErr w:type="spellStart"/>
      <w:r w:rsidR="00B21B83" w:rsidRPr="007051F9">
        <w:rPr>
          <w:rFonts w:ascii="Verdana" w:eastAsia="Times New Roman" w:hAnsi="Verdana" w:cs="Times New Roman"/>
          <w:spacing w:val="4"/>
          <w:sz w:val="20"/>
          <w:szCs w:val="20"/>
          <w:lang w:val="bg-BG" w:eastAsia="bg-BG"/>
        </w:rPr>
        <w:t>обн</w:t>
      </w:r>
      <w:proofErr w:type="spellEnd"/>
      <w:r w:rsidR="00B21B83" w:rsidRPr="007051F9">
        <w:rPr>
          <w:rFonts w:ascii="Verdana" w:eastAsia="Times New Roman" w:hAnsi="Verdana" w:cs="Times New Roman"/>
          <w:spacing w:val="4"/>
          <w:sz w:val="20"/>
          <w:szCs w:val="20"/>
          <w:lang w:val="bg-BG" w:eastAsia="bg-BG"/>
        </w:rPr>
        <w:t>., ДВ, бр. 55 от 2012 г.)</w:t>
      </w:r>
      <w:r w:rsidR="008F0C67" w:rsidRPr="008F0C67">
        <w:t xml:space="preserve"> </w:t>
      </w:r>
    </w:p>
    <w:p w:rsidR="00B94C8A" w:rsidRDefault="00B94C8A" w:rsidP="00D4100E">
      <w:pPr>
        <w:widowControl w:val="0"/>
        <w:autoSpaceDE w:val="0"/>
        <w:autoSpaceDN w:val="0"/>
        <w:adjustRightInd w:val="0"/>
        <w:spacing w:after="0" w:line="360" w:lineRule="auto"/>
        <w:rPr>
          <w:rFonts w:ascii="Verdana" w:eastAsia="Times New Roman" w:hAnsi="Verdana" w:cs="Times New Roman"/>
          <w:sz w:val="20"/>
          <w:szCs w:val="20"/>
          <w:lang w:val="bg-BG" w:eastAsia="bg-BG"/>
        </w:rPr>
      </w:pPr>
    </w:p>
    <w:p w:rsidR="00B21B83" w:rsidRPr="007712F0" w:rsidRDefault="00B21B83" w:rsidP="00D4100E">
      <w:pPr>
        <w:widowControl w:val="0"/>
        <w:autoSpaceDE w:val="0"/>
        <w:autoSpaceDN w:val="0"/>
        <w:adjustRightInd w:val="0"/>
        <w:spacing w:after="0" w:line="360" w:lineRule="auto"/>
        <w:rPr>
          <w:rFonts w:ascii="Verdana" w:eastAsia="Times New Roman" w:hAnsi="Verdana" w:cs="Times New Roman"/>
          <w:sz w:val="20"/>
          <w:szCs w:val="20"/>
          <w:lang w:val="bg-BG" w:eastAsia="bg-BG"/>
        </w:rPr>
      </w:pPr>
    </w:p>
    <w:p w:rsidR="00713B56" w:rsidRPr="004F0B32" w:rsidRDefault="00713B56" w:rsidP="00D4100E">
      <w:pPr>
        <w:widowControl w:val="0"/>
        <w:autoSpaceDE w:val="0"/>
        <w:autoSpaceDN w:val="0"/>
        <w:adjustRightInd w:val="0"/>
        <w:spacing w:after="0" w:line="360" w:lineRule="auto"/>
        <w:rPr>
          <w:rFonts w:ascii="Verdana" w:eastAsia="Times New Roman" w:hAnsi="Verdana" w:cs="Times New Roman"/>
          <w:b/>
          <w:bCs/>
          <w:sz w:val="20"/>
          <w:szCs w:val="20"/>
          <w:lang w:val="bg-BG" w:eastAsia="bg-BG"/>
        </w:rPr>
      </w:pPr>
      <w:r w:rsidRPr="004F0B32">
        <w:rPr>
          <w:rFonts w:ascii="Verdana" w:eastAsia="Times New Roman" w:hAnsi="Verdana" w:cs="Times New Roman"/>
          <w:b/>
          <w:bCs/>
          <w:sz w:val="20"/>
          <w:szCs w:val="20"/>
          <w:lang w:val="bg-BG" w:eastAsia="bg-BG"/>
        </w:rPr>
        <w:t>УВАЖАЕМИ ГОСПОДИН МИНИСТЪР-ПРЕДСЕДАТЕЛ,</w:t>
      </w:r>
    </w:p>
    <w:p w:rsidR="00713B56" w:rsidRDefault="00713B56" w:rsidP="001B58C5">
      <w:pPr>
        <w:widowControl w:val="0"/>
        <w:autoSpaceDE w:val="0"/>
        <w:autoSpaceDN w:val="0"/>
        <w:adjustRightInd w:val="0"/>
        <w:spacing w:after="120" w:line="360" w:lineRule="auto"/>
        <w:rPr>
          <w:rFonts w:ascii="Verdana" w:eastAsia="Times New Roman" w:hAnsi="Verdana" w:cs="Times New Roman"/>
          <w:b/>
          <w:bCs/>
          <w:sz w:val="20"/>
          <w:szCs w:val="20"/>
          <w:lang w:val="bg-BG" w:eastAsia="bg-BG"/>
        </w:rPr>
      </w:pPr>
      <w:r w:rsidRPr="004F0B32">
        <w:rPr>
          <w:rFonts w:ascii="Verdana" w:eastAsia="Times New Roman" w:hAnsi="Verdana" w:cs="Times New Roman"/>
          <w:b/>
          <w:bCs/>
          <w:sz w:val="20"/>
          <w:szCs w:val="20"/>
          <w:lang w:val="bg-BG" w:eastAsia="bg-BG"/>
        </w:rPr>
        <w:t>УВАЖАЕМИ ГОСПОЖИ И ГОСПОДА МИНИСТРИ,</w:t>
      </w:r>
    </w:p>
    <w:p w:rsidR="00713B56" w:rsidRPr="008A123C" w:rsidRDefault="00713B56" w:rsidP="008A123C">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rPr>
      </w:pPr>
      <w:r w:rsidRPr="008A123C">
        <w:rPr>
          <w:rFonts w:ascii="Verdana" w:eastAsia="Times New Roman" w:hAnsi="Verdana" w:cs="Times New Roman"/>
          <w:spacing w:val="4"/>
          <w:sz w:val="20"/>
          <w:szCs w:val="20"/>
          <w:lang w:val="bg-BG" w:eastAsia="bg-BG"/>
        </w:rPr>
        <w:t xml:space="preserve">На основание чл. 31, ал. 2 от Устройствения правилник на Министерския съвет и на неговата администрация, внасям за разглеждане от Министерския съвет проект на Постановление на Министерския съвет за изменение и допълнение на Устройствения правилник </w:t>
      </w:r>
      <w:r w:rsidR="00124871" w:rsidRPr="008A123C">
        <w:rPr>
          <w:rFonts w:ascii="Verdana" w:eastAsia="Times New Roman" w:hAnsi="Verdana" w:cs="Times New Roman"/>
          <w:spacing w:val="4"/>
          <w:sz w:val="20"/>
          <w:szCs w:val="20"/>
          <w:lang w:val="bg-BG" w:eastAsia="bg-BG"/>
        </w:rPr>
        <w:t xml:space="preserve">на Държавен фонд „Земеделие“, приет с </w:t>
      </w:r>
      <w:r w:rsidR="00124871" w:rsidRPr="008A123C">
        <w:rPr>
          <w:rFonts w:ascii="Verdana" w:eastAsia="Times New Roman" w:hAnsi="Verdana" w:cs="Times New Roman"/>
          <w:sz w:val="20"/>
          <w:szCs w:val="20"/>
          <w:lang w:val="bg-BG" w:eastAsia="bg-BG"/>
        </w:rPr>
        <w:t xml:space="preserve">Постановление № 151 на Министерския съвет от 2012 г. </w:t>
      </w:r>
      <w:r w:rsidRPr="008A123C">
        <w:rPr>
          <w:rFonts w:ascii="Verdana" w:eastAsia="Times New Roman" w:hAnsi="Verdana" w:cs="Times New Roman"/>
          <w:sz w:val="20"/>
          <w:szCs w:val="20"/>
          <w:lang w:val="bg-BG" w:eastAsia="bg-BG"/>
        </w:rPr>
        <w:t>(</w:t>
      </w:r>
      <w:proofErr w:type="spellStart"/>
      <w:r w:rsidRPr="008A123C">
        <w:rPr>
          <w:rFonts w:ascii="Verdana" w:eastAsia="Times New Roman" w:hAnsi="Verdana" w:cs="Times New Roman"/>
          <w:sz w:val="20"/>
          <w:szCs w:val="20"/>
          <w:lang w:val="bg-BG" w:eastAsia="bg-BG"/>
        </w:rPr>
        <w:t>о</w:t>
      </w:r>
      <w:r w:rsidR="00665AD4" w:rsidRPr="008A123C">
        <w:rPr>
          <w:rFonts w:ascii="Verdana" w:eastAsia="Times New Roman" w:hAnsi="Verdana" w:cs="Times New Roman"/>
          <w:sz w:val="20"/>
          <w:szCs w:val="20"/>
          <w:lang w:val="bg-BG" w:eastAsia="bg-BG"/>
        </w:rPr>
        <w:t>бн</w:t>
      </w:r>
      <w:proofErr w:type="spellEnd"/>
      <w:r w:rsidR="00665AD4" w:rsidRPr="008A123C">
        <w:rPr>
          <w:rFonts w:ascii="Verdana" w:eastAsia="Times New Roman" w:hAnsi="Verdana" w:cs="Times New Roman"/>
          <w:sz w:val="20"/>
          <w:szCs w:val="20"/>
          <w:lang w:val="bg-BG" w:eastAsia="bg-BG"/>
        </w:rPr>
        <w:t xml:space="preserve">., ДВ, бр. </w:t>
      </w:r>
      <w:r w:rsidR="00124871" w:rsidRPr="008A123C">
        <w:rPr>
          <w:rFonts w:ascii="Verdana" w:eastAsia="Times New Roman" w:hAnsi="Verdana" w:cs="Times New Roman"/>
          <w:sz w:val="20"/>
          <w:szCs w:val="20"/>
          <w:lang w:val="bg-BG" w:eastAsia="bg-BG"/>
        </w:rPr>
        <w:t>55 от 2012</w:t>
      </w:r>
      <w:r w:rsidR="00B21B83" w:rsidRPr="008A123C">
        <w:rPr>
          <w:rFonts w:ascii="Verdana" w:eastAsia="Times New Roman" w:hAnsi="Verdana" w:cs="Times New Roman"/>
          <w:sz w:val="20"/>
          <w:szCs w:val="20"/>
          <w:lang w:val="bg-BG" w:eastAsia="bg-BG"/>
        </w:rPr>
        <w:t xml:space="preserve"> </w:t>
      </w:r>
      <w:r w:rsidR="00665AD4" w:rsidRPr="008A123C">
        <w:rPr>
          <w:rFonts w:ascii="Verdana" w:eastAsia="Times New Roman" w:hAnsi="Verdana" w:cs="Times New Roman"/>
          <w:sz w:val="20"/>
          <w:szCs w:val="20"/>
          <w:lang w:val="bg-BG" w:eastAsia="bg-BG"/>
        </w:rPr>
        <w:t>г.</w:t>
      </w:r>
      <w:r w:rsidRPr="008A123C">
        <w:rPr>
          <w:rFonts w:ascii="Verdana" w:eastAsia="Times New Roman" w:hAnsi="Verdana" w:cs="Times New Roman"/>
          <w:sz w:val="20"/>
          <w:szCs w:val="20"/>
          <w:lang w:val="bg-BG" w:eastAsia="bg-BG"/>
        </w:rPr>
        <w:t>).</w:t>
      </w:r>
    </w:p>
    <w:p w:rsidR="00B21B83" w:rsidRPr="008A123C" w:rsidRDefault="00B21B83" w:rsidP="00D4100E">
      <w:pPr>
        <w:widowControl w:val="0"/>
        <w:autoSpaceDE w:val="0"/>
        <w:autoSpaceDN w:val="0"/>
        <w:adjustRightInd w:val="0"/>
        <w:spacing w:after="0" w:line="360" w:lineRule="auto"/>
        <w:ind w:firstLine="709"/>
        <w:jc w:val="both"/>
        <w:rPr>
          <w:rFonts w:ascii="Verdana" w:eastAsia="Times New Roman" w:hAnsi="Verdana" w:cs="Times New Roman"/>
          <w:spacing w:val="4"/>
          <w:sz w:val="20"/>
          <w:szCs w:val="20"/>
          <w:lang w:val="bg-BG" w:eastAsia="bg-BG"/>
        </w:rPr>
      </w:pPr>
    </w:p>
    <w:p w:rsidR="00B21B83" w:rsidRPr="00B21B83" w:rsidRDefault="00B21B83" w:rsidP="00D4100E">
      <w:pPr>
        <w:widowControl w:val="0"/>
        <w:autoSpaceDE w:val="0"/>
        <w:autoSpaceDN w:val="0"/>
        <w:adjustRightInd w:val="0"/>
        <w:spacing w:after="0" w:line="360" w:lineRule="auto"/>
        <w:ind w:firstLine="709"/>
        <w:jc w:val="both"/>
        <w:rPr>
          <w:rFonts w:ascii="Verdana" w:eastAsia="Times New Roman" w:hAnsi="Verdana" w:cs="Times New Roman"/>
          <w:b/>
          <w:sz w:val="20"/>
          <w:szCs w:val="20"/>
          <w:lang w:val="bg-BG" w:eastAsia="bg-BG"/>
        </w:rPr>
      </w:pPr>
      <w:r w:rsidRPr="00B21B83">
        <w:rPr>
          <w:rFonts w:ascii="Verdana" w:eastAsia="Times New Roman" w:hAnsi="Verdana" w:cs="Times New Roman"/>
          <w:b/>
          <w:sz w:val="20"/>
          <w:szCs w:val="20"/>
          <w:lang w:val="bg-BG" w:eastAsia="bg-BG"/>
        </w:rPr>
        <w:t>Причини, които налагат приемането на акта</w:t>
      </w:r>
    </w:p>
    <w:p w:rsidR="00C30C1D" w:rsidRPr="001E4519" w:rsidRDefault="00165B70" w:rsidP="001B58C5">
      <w:pPr>
        <w:widowControl w:val="0"/>
        <w:autoSpaceDE w:val="0"/>
        <w:autoSpaceDN w:val="0"/>
        <w:adjustRightInd w:val="0"/>
        <w:spacing w:after="0" w:line="360" w:lineRule="auto"/>
        <w:ind w:firstLine="709"/>
        <w:jc w:val="both"/>
        <w:rPr>
          <w:rFonts w:ascii="Verdana" w:eastAsia="Times New Roman" w:hAnsi="Verdana" w:cs="Times New Roman"/>
          <w:bCs/>
          <w:spacing w:val="-2"/>
          <w:sz w:val="20"/>
          <w:szCs w:val="20"/>
          <w:lang w:val="bg-BG" w:eastAsia="bg-BG"/>
        </w:rPr>
      </w:pPr>
      <w:r w:rsidRPr="001E4519">
        <w:rPr>
          <w:rFonts w:ascii="Verdana" w:eastAsia="Times New Roman" w:hAnsi="Verdana" w:cs="Times New Roman"/>
          <w:spacing w:val="-2"/>
          <w:sz w:val="20"/>
          <w:szCs w:val="20"/>
          <w:lang w:val="bg-BG" w:eastAsia="bg-BG"/>
        </w:rPr>
        <w:t>Н</w:t>
      </w:r>
      <w:r w:rsidR="00FE022E" w:rsidRPr="001E4519">
        <w:rPr>
          <w:rFonts w:ascii="Verdana" w:eastAsia="Times New Roman" w:hAnsi="Verdana" w:cs="Times New Roman"/>
          <w:spacing w:val="-2"/>
          <w:sz w:val="20"/>
          <w:szCs w:val="20"/>
          <w:lang w:val="bg-BG" w:eastAsia="bg-BG"/>
        </w:rPr>
        <w:t>еобходимостта</w:t>
      </w:r>
      <w:r w:rsidR="009A6EFB" w:rsidRPr="001E4519">
        <w:rPr>
          <w:rFonts w:ascii="Verdana" w:eastAsia="Times New Roman" w:hAnsi="Verdana" w:cs="Times New Roman"/>
          <w:spacing w:val="-2"/>
          <w:sz w:val="20"/>
          <w:szCs w:val="20"/>
          <w:lang w:val="bg-BG" w:eastAsia="bg-BG"/>
        </w:rPr>
        <w:t xml:space="preserve"> от</w:t>
      </w:r>
      <w:r w:rsidR="00F70CF6" w:rsidRPr="001E4519">
        <w:rPr>
          <w:rFonts w:ascii="Verdana" w:eastAsia="Times New Roman" w:hAnsi="Verdana" w:cs="Times New Roman"/>
          <w:spacing w:val="-2"/>
          <w:sz w:val="20"/>
          <w:szCs w:val="20"/>
          <w:lang w:val="bg-BG" w:eastAsia="bg-BG"/>
        </w:rPr>
        <w:t xml:space="preserve"> изменение и допълнение на Устройствения правилник </w:t>
      </w:r>
      <w:r w:rsidR="00CD7B25" w:rsidRPr="001E4519">
        <w:rPr>
          <w:rFonts w:ascii="Verdana" w:eastAsia="Times New Roman" w:hAnsi="Verdana" w:cs="Times New Roman"/>
          <w:spacing w:val="-2"/>
          <w:sz w:val="20"/>
          <w:szCs w:val="20"/>
          <w:lang w:eastAsia="bg-BG"/>
        </w:rPr>
        <w:t>e</w:t>
      </w:r>
      <w:r w:rsidR="00CD7B25" w:rsidRPr="001E4519">
        <w:rPr>
          <w:rFonts w:ascii="Verdana" w:eastAsia="Times New Roman" w:hAnsi="Verdana" w:cs="Times New Roman"/>
          <w:spacing w:val="-2"/>
          <w:sz w:val="20"/>
          <w:szCs w:val="20"/>
          <w:lang w:val="bg-BG" w:eastAsia="bg-BG"/>
        </w:rPr>
        <w:t xml:space="preserve"> обусловена от </w:t>
      </w:r>
      <w:r w:rsidR="00B4653D" w:rsidRPr="001E4519">
        <w:rPr>
          <w:rFonts w:ascii="Verdana" w:eastAsia="Times New Roman" w:hAnsi="Verdana" w:cs="Times New Roman"/>
          <w:spacing w:val="-2"/>
          <w:sz w:val="20"/>
          <w:szCs w:val="20"/>
          <w:lang w:val="bg-BG" w:eastAsia="bg-BG"/>
        </w:rPr>
        <w:t xml:space="preserve">измененията на </w:t>
      </w:r>
      <w:r w:rsidR="008A123C" w:rsidRPr="001E4519">
        <w:rPr>
          <w:rFonts w:ascii="Verdana" w:eastAsia="Times New Roman" w:hAnsi="Verdana" w:cs="Times New Roman"/>
          <w:spacing w:val="-2"/>
          <w:sz w:val="20"/>
          <w:szCs w:val="20"/>
          <w:lang w:val="bg-BG" w:eastAsia="bg-BG"/>
        </w:rPr>
        <w:t>правото на Европейския съюз</w:t>
      </w:r>
      <w:r w:rsidRPr="001E4519">
        <w:rPr>
          <w:rFonts w:ascii="Verdana" w:eastAsia="Times New Roman" w:hAnsi="Verdana" w:cs="Times New Roman"/>
          <w:spacing w:val="-2"/>
          <w:sz w:val="20"/>
          <w:szCs w:val="20"/>
          <w:lang w:val="bg-BG" w:eastAsia="bg-BG"/>
        </w:rPr>
        <w:t xml:space="preserve"> </w:t>
      </w:r>
      <w:r w:rsidR="00B4653D" w:rsidRPr="001E4519">
        <w:rPr>
          <w:rFonts w:ascii="Verdana" w:eastAsia="Times New Roman" w:hAnsi="Verdana" w:cs="Times New Roman"/>
          <w:spacing w:val="-2"/>
          <w:sz w:val="20"/>
          <w:szCs w:val="20"/>
          <w:lang w:val="bg-BG" w:eastAsia="bg-BG"/>
        </w:rPr>
        <w:t xml:space="preserve">в областта на </w:t>
      </w:r>
      <w:r w:rsidR="00796C82" w:rsidRPr="001E4519">
        <w:rPr>
          <w:rFonts w:ascii="Verdana" w:eastAsia="Times New Roman" w:hAnsi="Verdana" w:cs="Times New Roman"/>
          <w:spacing w:val="-2"/>
          <w:sz w:val="20"/>
          <w:szCs w:val="20"/>
          <w:lang w:val="bg-BG" w:eastAsia="bg-BG"/>
        </w:rPr>
        <w:t>О</w:t>
      </w:r>
      <w:r w:rsidR="00B4653D" w:rsidRPr="001E4519">
        <w:rPr>
          <w:rFonts w:ascii="Verdana" w:eastAsia="Times New Roman" w:hAnsi="Verdana" w:cs="Times New Roman"/>
          <w:spacing w:val="-2"/>
          <w:sz w:val="20"/>
          <w:szCs w:val="20"/>
          <w:lang w:val="bg-BG" w:eastAsia="bg-BG"/>
        </w:rPr>
        <w:t xml:space="preserve">бщата </w:t>
      </w:r>
      <w:r w:rsidR="006F60E7" w:rsidRPr="001E4519">
        <w:rPr>
          <w:rFonts w:ascii="Verdana" w:eastAsia="Times New Roman" w:hAnsi="Verdana" w:cs="Times New Roman"/>
          <w:spacing w:val="-2"/>
          <w:sz w:val="20"/>
          <w:szCs w:val="20"/>
          <w:lang w:val="bg-BG" w:eastAsia="bg-BG"/>
        </w:rPr>
        <w:t>селско</w:t>
      </w:r>
      <w:r w:rsidR="00B4653D" w:rsidRPr="001E4519">
        <w:rPr>
          <w:rFonts w:ascii="Verdana" w:eastAsia="Times New Roman" w:hAnsi="Verdana" w:cs="Times New Roman"/>
          <w:spacing w:val="-2"/>
          <w:sz w:val="20"/>
          <w:szCs w:val="20"/>
          <w:lang w:val="bg-BG" w:eastAsia="bg-BG"/>
        </w:rPr>
        <w:t>стопанска политика</w:t>
      </w:r>
      <w:r w:rsidR="006F60E7" w:rsidRPr="001E4519">
        <w:rPr>
          <w:rFonts w:ascii="Verdana" w:eastAsia="Times New Roman" w:hAnsi="Verdana" w:cs="Times New Roman"/>
          <w:spacing w:val="-2"/>
          <w:sz w:val="20"/>
          <w:szCs w:val="20"/>
          <w:lang w:val="bg-BG" w:eastAsia="bg-BG"/>
        </w:rPr>
        <w:t xml:space="preserve"> на Европейския съюз</w:t>
      </w:r>
      <w:r w:rsidR="00B4653D" w:rsidRPr="001E4519">
        <w:rPr>
          <w:rFonts w:ascii="Verdana" w:eastAsia="Times New Roman" w:hAnsi="Verdana" w:cs="Times New Roman"/>
          <w:spacing w:val="-2"/>
          <w:sz w:val="20"/>
          <w:szCs w:val="20"/>
          <w:lang w:val="bg-BG" w:eastAsia="bg-BG"/>
        </w:rPr>
        <w:t>, в частност от приемането на</w:t>
      </w:r>
      <w:r w:rsidR="00C30C1D" w:rsidRPr="001E4519">
        <w:rPr>
          <w:rFonts w:ascii="Verdana" w:eastAsia="Times New Roman" w:hAnsi="Verdana" w:cs="Times New Roman"/>
          <w:spacing w:val="-2"/>
          <w:sz w:val="20"/>
          <w:szCs w:val="20"/>
          <w:lang w:val="bg-BG" w:eastAsia="bg-BG"/>
        </w:rPr>
        <w:t xml:space="preserve"> </w:t>
      </w:r>
      <w:r w:rsidR="00255585" w:rsidRPr="001E4519">
        <w:rPr>
          <w:rFonts w:ascii="Verdana" w:eastAsia="Times New Roman" w:hAnsi="Verdana" w:cs="Times New Roman"/>
          <w:bCs/>
          <w:spacing w:val="-2"/>
          <w:sz w:val="20"/>
          <w:szCs w:val="20"/>
          <w:lang w:val="bg-BG" w:eastAsia="bg-BG"/>
        </w:rPr>
        <w:t>Регламент</w:t>
      </w:r>
      <w:r w:rsidRPr="001E4519">
        <w:rPr>
          <w:rFonts w:ascii="Verdana" w:eastAsia="Times New Roman" w:hAnsi="Verdana" w:cs="Times New Roman"/>
          <w:bCs/>
          <w:spacing w:val="-2"/>
          <w:sz w:val="20"/>
          <w:szCs w:val="20"/>
          <w:lang w:val="bg-BG" w:eastAsia="bg-BG"/>
        </w:rPr>
        <w:t xml:space="preserve"> </w:t>
      </w:r>
      <w:r w:rsidR="00B4653D" w:rsidRPr="001E4519">
        <w:rPr>
          <w:rFonts w:ascii="Verdana" w:eastAsia="Times New Roman" w:hAnsi="Verdana" w:cs="Times New Roman"/>
          <w:bCs/>
          <w:spacing w:val="-2"/>
          <w:sz w:val="20"/>
          <w:szCs w:val="20"/>
          <w:lang w:val="bg-BG" w:eastAsia="bg-BG"/>
        </w:rPr>
        <w:t>(ЕС) 2021/2115 на Европейския парламент и на Съвета от 2 декември 2021 година</w:t>
      </w:r>
      <w:r w:rsidR="00B4653D" w:rsidRPr="001E4519">
        <w:rPr>
          <w:rFonts w:ascii="Verdana" w:eastAsia="Times New Roman" w:hAnsi="Verdana" w:cs="Times New Roman"/>
          <w:spacing w:val="-2"/>
          <w:sz w:val="20"/>
          <w:szCs w:val="20"/>
          <w:lang w:val="bg-BG" w:eastAsia="bg-BG"/>
        </w:rPr>
        <w:t xml:space="preserve"> </w:t>
      </w:r>
      <w:r w:rsidR="00B4653D" w:rsidRPr="001E4519">
        <w:rPr>
          <w:rFonts w:ascii="Verdana" w:eastAsia="Times New Roman" w:hAnsi="Verdana" w:cs="Times New Roman"/>
          <w:bCs/>
          <w:spacing w:val="-2"/>
          <w:sz w:val="20"/>
          <w:szCs w:val="20"/>
          <w:lang w:val="bg-BG" w:eastAsia="bg-BG"/>
        </w:rPr>
        <w:t xml:space="preserve">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w:t>
      </w:r>
      <w:r w:rsidR="00B4653D" w:rsidRPr="001E4519">
        <w:rPr>
          <w:rFonts w:ascii="Verdana" w:eastAsia="Times New Roman" w:hAnsi="Verdana" w:cs="Times New Roman"/>
          <w:bCs/>
          <w:spacing w:val="-2"/>
          <w:sz w:val="20"/>
          <w:szCs w:val="20"/>
          <w:lang w:val="bg-BG" w:eastAsia="bg-BG"/>
        </w:rPr>
        <w:lastRenderedPageBreak/>
        <w:t>политика (стратегически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w:t>
      </w:r>
      <w:r w:rsidR="00E674A5" w:rsidRPr="001E4519">
        <w:rPr>
          <w:rFonts w:ascii="Verdana" w:eastAsia="Times New Roman" w:hAnsi="Verdana" w:cs="Times New Roman"/>
          <w:bCs/>
          <w:spacing w:val="-2"/>
          <w:sz w:val="20"/>
          <w:szCs w:val="20"/>
          <w:lang w:val="bg-BG" w:eastAsia="bg-BG"/>
        </w:rPr>
        <w:t>(ОВ, L 435, 6.12.2021)</w:t>
      </w:r>
      <w:r w:rsidR="000160E6" w:rsidRPr="001E4519">
        <w:rPr>
          <w:rFonts w:ascii="Verdana" w:eastAsia="Times New Roman" w:hAnsi="Verdana" w:cs="Times New Roman"/>
          <w:bCs/>
          <w:spacing w:val="-2"/>
          <w:sz w:val="20"/>
          <w:szCs w:val="20"/>
          <w:lang w:val="bg-BG" w:eastAsia="bg-BG"/>
        </w:rPr>
        <w:t>;</w:t>
      </w:r>
      <w:r w:rsidR="00B4653D" w:rsidRPr="001E4519">
        <w:rPr>
          <w:rFonts w:ascii="Verdana" w:eastAsia="Times New Roman" w:hAnsi="Verdana" w:cs="Times New Roman"/>
          <w:bCs/>
          <w:spacing w:val="-2"/>
          <w:sz w:val="20"/>
          <w:szCs w:val="20"/>
          <w:lang w:val="bg-BG" w:eastAsia="bg-BG"/>
        </w:rPr>
        <w:t xml:space="preserve"> </w:t>
      </w:r>
      <w:r w:rsidR="00255585" w:rsidRPr="001E4519">
        <w:rPr>
          <w:rFonts w:ascii="Verdana" w:eastAsia="Times New Roman" w:hAnsi="Verdana" w:cs="Times New Roman"/>
          <w:bCs/>
          <w:spacing w:val="-2"/>
          <w:sz w:val="20"/>
          <w:szCs w:val="20"/>
          <w:lang w:val="bg-BG" w:eastAsia="bg-BG"/>
        </w:rPr>
        <w:t>Регламент</w:t>
      </w:r>
      <w:r w:rsidR="00B4653D" w:rsidRPr="001E4519">
        <w:rPr>
          <w:rFonts w:ascii="Verdana" w:eastAsia="Times New Roman" w:hAnsi="Verdana" w:cs="Times New Roman"/>
          <w:bCs/>
          <w:spacing w:val="-2"/>
          <w:sz w:val="20"/>
          <w:szCs w:val="20"/>
          <w:lang w:val="bg-BG" w:eastAsia="bg-BG"/>
        </w:rPr>
        <w:t xml:space="preserve"> (ЕС) 2021/2116 на Европейския парламент и на Съвета от 2 декември 2021 година относно финансирането, управлението и мониторинга на общата селскостопанска политика и за отмяна на Регламент (ЕС) № 1306/2013 (ОВ, L 435, 6.12.2021)</w:t>
      </w:r>
      <w:r w:rsidR="00041A0D" w:rsidRPr="001E4519">
        <w:rPr>
          <w:rFonts w:ascii="Verdana" w:eastAsia="Times New Roman" w:hAnsi="Verdana" w:cs="Times New Roman"/>
          <w:bCs/>
          <w:spacing w:val="-2"/>
          <w:sz w:val="20"/>
          <w:szCs w:val="20"/>
          <w:lang w:val="bg-BG" w:eastAsia="bg-BG"/>
        </w:rPr>
        <w:t xml:space="preserve"> и</w:t>
      </w:r>
      <w:r w:rsidR="00C30C1D" w:rsidRPr="001E4519">
        <w:rPr>
          <w:rFonts w:ascii="Verdana" w:eastAsia="Times New Roman" w:hAnsi="Verdana" w:cs="Times New Roman"/>
          <w:bCs/>
          <w:spacing w:val="-2"/>
          <w:sz w:val="20"/>
          <w:szCs w:val="20"/>
          <w:lang w:val="bg-BG" w:eastAsia="bg-BG"/>
        </w:rPr>
        <w:t xml:space="preserve"> </w:t>
      </w:r>
      <w:r w:rsidR="00255585" w:rsidRPr="001E4519">
        <w:rPr>
          <w:rFonts w:ascii="Verdana" w:eastAsia="Times New Roman" w:hAnsi="Verdana" w:cs="Times New Roman"/>
          <w:bCs/>
          <w:spacing w:val="-2"/>
          <w:sz w:val="20"/>
          <w:szCs w:val="20"/>
          <w:lang w:val="bg-BG" w:eastAsia="bg-BG"/>
        </w:rPr>
        <w:t>Регламент</w:t>
      </w:r>
      <w:r w:rsidR="00B4653D" w:rsidRPr="001E4519">
        <w:rPr>
          <w:rFonts w:ascii="Verdana" w:eastAsia="Times New Roman" w:hAnsi="Verdana" w:cs="Times New Roman"/>
          <w:bCs/>
          <w:spacing w:val="-2"/>
          <w:sz w:val="20"/>
          <w:szCs w:val="20"/>
          <w:lang w:val="bg-BG" w:eastAsia="bg-BG"/>
        </w:rPr>
        <w:t xml:space="preserve"> (ЕС) 2021/2117 на Европейския парламент и на Съвета от 2 декември 2021 година за изменение на регламенти (ЕС) № 1308/2013 за установяване на обща организация на пазарите на селскостопански продукти, (ЕС) № 1151/2012 относно схемите за качество на селскостопанските продукти и храни, (ЕС) № 251/2014 за определяне, описание, представяне, етикетиране и правна закрила на географските указания на ароматизирани </w:t>
      </w:r>
      <w:proofErr w:type="spellStart"/>
      <w:r w:rsidR="00B4653D" w:rsidRPr="001E4519">
        <w:rPr>
          <w:rFonts w:ascii="Verdana" w:eastAsia="Times New Roman" w:hAnsi="Verdana" w:cs="Times New Roman"/>
          <w:bCs/>
          <w:spacing w:val="-2"/>
          <w:sz w:val="20"/>
          <w:szCs w:val="20"/>
          <w:lang w:val="bg-BG" w:eastAsia="bg-BG"/>
        </w:rPr>
        <w:t>лозаро-винарски</w:t>
      </w:r>
      <w:proofErr w:type="spellEnd"/>
      <w:r w:rsidR="00B4653D" w:rsidRPr="001E4519">
        <w:rPr>
          <w:rFonts w:ascii="Verdana" w:eastAsia="Times New Roman" w:hAnsi="Verdana" w:cs="Times New Roman"/>
          <w:bCs/>
          <w:spacing w:val="-2"/>
          <w:sz w:val="20"/>
          <w:szCs w:val="20"/>
          <w:lang w:val="bg-BG" w:eastAsia="bg-BG"/>
        </w:rPr>
        <w:t xml:space="preserve"> продукти и (ЕС) № 228/2013 за определяне на специфични мерки за селското стопанство в най-отдалечените региони на Съюза</w:t>
      </w:r>
      <w:r w:rsidR="000A0273" w:rsidRPr="001E4519">
        <w:rPr>
          <w:rFonts w:ascii="Verdana" w:eastAsia="Times New Roman" w:hAnsi="Verdana" w:cs="Times New Roman"/>
          <w:bCs/>
          <w:spacing w:val="-2"/>
          <w:sz w:val="20"/>
          <w:szCs w:val="20"/>
          <w:lang w:val="bg-BG" w:eastAsia="bg-BG"/>
        </w:rPr>
        <w:t xml:space="preserve"> (ОВ, L 435, 6.12.2021), и съответно от новите положения в</w:t>
      </w:r>
      <w:r w:rsidR="000A0273" w:rsidRPr="001E4519">
        <w:rPr>
          <w:rFonts w:ascii="Verdana" w:eastAsia="Times New Roman" w:hAnsi="Verdana" w:cs="Times New Roman"/>
          <w:color w:val="5B9BD5" w:themeColor="accent1"/>
          <w:spacing w:val="-2"/>
          <w:sz w:val="20"/>
          <w:szCs w:val="20"/>
          <w:lang w:val="bg-BG" w:eastAsia="bg-BG"/>
        </w:rPr>
        <w:t xml:space="preserve"> </w:t>
      </w:r>
      <w:r w:rsidR="000A0273" w:rsidRPr="001E4519">
        <w:rPr>
          <w:rFonts w:ascii="Verdana" w:eastAsia="Times New Roman" w:hAnsi="Verdana" w:cs="Times New Roman"/>
          <w:bCs/>
          <w:spacing w:val="-2"/>
          <w:sz w:val="20"/>
          <w:szCs w:val="20"/>
          <w:lang w:val="bg-BG" w:eastAsia="bg-BG"/>
        </w:rPr>
        <w:t>Стратегическия план за развитие на земеделието и селските райони на Република България за периода 2023</w:t>
      </w:r>
      <w:r w:rsidR="005A6EEF" w:rsidRPr="001E4519">
        <w:rPr>
          <w:rFonts w:ascii="Verdana" w:eastAsia="Times New Roman" w:hAnsi="Verdana" w:cs="Times New Roman"/>
          <w:bCs/>
          <w:iCs/>
          <w:spacing w:val="-2"/>
          <w:sz w:val="20"/>
          <w:szCs w:val="20"/>
          <w:lang w:val="bg-BG" w:eastAsia="bg-BG"/>
        </w:rPr>
        <w:t xml:space="preserve"> – </w:t>
      </w:r>
      <w:r w:rsidR="000A0273" w:rsidRPr="001E4519">
        <w:rPr>
          <w:rFonts w:ascii="Verdana" w:eastAsia="Times New Roman" w:hAnsi="Verdana" w:cs="Times New Roman"/>
          <w:bCs/>
          <w:spacing w:val="-2"/>
          <w:sz w:val="20"/>
          <w:szCs w:val="20"/>
          <w:lang w:val="bg-BG" w:eastAsia="bg-BG"/>
        </w:rPr>
        <w:t>2027 г.</w:t>
      </w:r>
    </w:p>
    <w:p w:rsidR="00392498" w:rsidRDefault="00392498" w:rsidP="00231C17">
      <w:pPr>
        <w:widowControl w:val="0"/>
        <w:autoSpaceDE w:val="0"/>
        <w:autoSpaceDN w:val="0"/>
        <w:adjustRightInd w:val="0"/>
        <w:spacing w:after="0" w:line="360" w:lineRule="auto"/>
        <w:ind w:firstLine="709"/>
        <w:jc w:val="both"/>
        <w:rPr>
          <w:rFonts w:ascii="Verdana" w:eastAsia="Times New Roman" w:hAnsi="Verdana" w:cs="Times New Roman"/>
          <w:bCs/>
          <w:sz w:val="20"/>
          <w:szCs w:val="20"/>
          <w:highlight w:val="green"/>
          <w:lang w:val="bg-BG" w:eastAsia="bg-BG"/>
        </w:rPr>
      </w:pPr>
    </w:p>
    <w:p w:rsidR="00392498" w:rsidRPr="00DD0673" w:rsidRDefault="00231C17" w:rsidP="00231C17">
      <w:pPr>
        <w:widowControl w:val="0"/>
        <w:autoSpaceDE w:val="0"/>
        <w:autoSpaceDN w:val="0"/>
        <w:adjustRightInd w:val="0"/>
        <w:spacing w:after="0" w:line="360" w:lineRule="auto"/>
        <w:ind w:firstLine="709"/>
        <w:jc w:val="both"/>
        <w:rPr>
          <w:rFonts w:ascii="Verdana" w:eastAsia="Times New Roman" w:hAnsi="Verdana" w:cs="Times New Roman"/>
          <w:b/>
          <w:bCs/>
          <w:sz w:val="20"/>
          <w:szCs w:val="20"/>
          <w:lang w:val="bg-BG" w:eastAsia="bg-BG"/>
        </w:rPr>
      </w:pPr>
      <w:r w:rsidRPr="00DD0673">
        <w:rPr>
          <w:rFonts w:ascii="Verdana" w:eastAsia="Times New Roman" w:hAnsi="Verdana" w:cs="Times New Roman"/>
          <w:b/>
          <w:bCs/>
          <w:sz w:val="20"/>
          <w:szCs w:val="20"/>
          <w:lang w:val="bg-BG" w:eastAsia="bg-BG"/>
        </w:rPr>
        <w:t>Налице са и причини, които налагат увеличение н</w:t>
      </w:r>
      <w:r w:rsidR="001E4519">
        <w:rPr>
          <w:rFonts w:ascii="Verdana" w:eastAsia="Times New Roman" w:hAnsi="Verdana" w:cs="Times New Roman"/>
          <w:b/>
          <w:bCs/>
          <w:sz w:val="20"/>
          <w:szCs w:val="20"/>
          <w:lang w:val="bg-BG" w:eastAsia="bg-BG"/>
        </w:rPr>
        <w:t>а числеността на персонала на Държавен фонд</w:t>
      </w:r>
      <w:r w:rsidRPr="00DD0673">
        <w:rPr>
          <w:rFonts w:ascii="Verdana" w:eastAsia="Times New Roman" w:hAnsi="Verdana" w:cs="Times New Roman"/>
          <w:b/>
          <w:bCs/>
          <w:sz w:val="20"/>
          <w:szCs w:val="20"/>
          <w:lang w:val="bg-BG" w:eastAsia="bg-BG"/>
        </w:rPr>
        <w:t xml:space="preserve"> „Земеделие“. </w:t>
      </w:r>
    </w:p>
    <w:p w:rsidR="00231C17" w:rsidRPr="00DD0673" w:rsidRDefault="00231C17" w:rsidP="00231C17">
      <w:pPr>
        <w:widowControl w:val="0"/>
        <w:autoSpaceDE w:val="0"/>
        <w:autoSpaceDN w:val="0"/>
        <w:adjustRightInd w:val="0"/>
        <w:spacing w:after="0" w:line="360" w:lineRule="auto"/>
        <w:ind w:firstLine="709"/>
        <w:jc w:val="both"/>
        <w:rPr>
          <w:rFonts w:ascii="Verdana" w:eastAsia="Times New Roman" w:hAnsi="Verdana" w:cs="Times New Roman"/>
          <w:bCs/>
          <w:sz w:val="20"/>
          <w:szCs w:val="20"/>
          <w:lang w:val="bg-BG" w:eastAsia="bg-BG"/>
        </w:rPr>
      </w:pPr>
      <w:r w:rsidRPr="00DD0673">
        <w:rPr>
          <w:rFonts w:ascii="Verdana" w:eastAsia="Times New Roman" w:hAnsi="Verdana" w:cs="Times New Roman"/>
          <w:bCs/>
          <w:sz w:val="20"/>
          <w:szCs w:val="20"/>
          <w:lang w:val="bg-BG" w:eastAsia="bg-BG"/>
        </w:rPr>
        <w:t>Изготвен е задълбочен анализ</w:t>
      </w:r>
      <w:r w:rsidR="00DF1F62" w:rsidRPr="00DF1F62">
        <w:t xml:space="preserve"> </w:t>
      </w:r>
      <w:r w:rsidR="00DF1F62">
        <w:rPr>
          <w:lang w:val="bg-BG"/>
        </w:rPr>
        <w:t xml:space="preserve">на </w:t>
      </w:r>
      <w:r w:rsidR="00DF1F62" w:rsidRPr="00DF1F62">
        <w:rPr>
          <w:rFonts w:ascii="Verdana" w:eastAsia="Times New Roman" w:hAnsi="Verdana" w:cs="Times New Roman"/>
          <w:bCs/>
          <w:sz w:val="20"/>
          <w:szCs w:val="20"/>
          <w:lang w:val="bg-BG" w:eastAsia="bg-BG"/>
        </w:rPr>
        <w:t xml:space="preserve">нуждите от укрепване на </w:t>
      </w:r>
      <w:r w:rsidR="001E4519">
        <w:rPr>
          <w:rFonts w:ascii="Verdana" w:eastAsia="Times New Roman" w:hAnsi="Verdana" w:cs="Times New Roman"/>
          <w:bCs/>
          <w:sz w:val="20"/>
          <w:szCs w:val="20"/>
          <w:lang w:val="bg-BG" w:eastAsia="bg-BG"/>
        </w:rPr>
        <w:t>административния капацитет на Държавен фонд</w:t>
      </w:r>
      <w:r w:rsidR="00DF1F62" w:rsidRPr="00DF1F62">
        <w:rPr>
          <w:rFonts w:ascii="Verdana" w:eastAsia="Times New Roman" w:hAnsi="Verdana" w:cs="Times New Roman"/>
          <w:bCs/>
          <w:sz w:val="20"/>
          <w:szCs w:val="20"/>
          <w:lang w:val="bg-BG" w:eastAsia="bg-BG"/>
        </w:rPr>
        <w:t xml:space="preserve"> „Земеделие“</w:t>
      </w:r>
      <w:r w:rsidR="00532630">
        <w:rPr>
          <w:rStyle w:val="FootnoteReference"/>
          <w:rFonts w:ascii="Verdana" w:eastAsia="Times New Roman" w:hAnsi="Verdana" w:cs="Times New Roman"/>
          <w:bCs/>
          <w:sz w:val="20"/>
          <w:szCs w:val="20"/>
          <w:lang w:val="bg-BG" w:eastAsia="bg-BG"/>
        </w:rPr>
        <w:footnoteReference w:id="1"/>
      </w:r>
      <w:r w:rsidRPr="00DD0673">
        <w:rPr>
          <w:rFonts w:ascii="Verdana" w:eastAsia="Times New Roman" w:hAnsi="Verdana" w:cs="Times New Roman"/>
          <w:bCs/>
          <w:sz w:val="20"/>
          <w:szCs w:val="20"/>
          <w:lang w:val="bg-BG" w:eastAsia="bg-BG"/>
        </w:rPr>
        <w:t>, с който е извършен преглед на дейностите, функциите и числеността на персонала на отделните административни звена, отчетена е натовареността им чрез количествени и качествени показатели, направена е съпоставка, както със заетостта през предходния програмен период, така и с други оперативни програми.</w:t>
      </w:r>
    </w:p>
    <w:p w:rsidR="00231C17" w:rsidRPr="00DD0673" w:rsidRDefault="00231C17" w:rsidP="00231C17">
      <w:pPr>
        <w:widowControl w:val="0"/>
        <w:autoSpaceDE w:val="0"/>
        <w:autoSpaceDN w:val="0"/>
        <w:adjustRightInd w:val="0"/>
        <w:spacing w:after="0" w:line="360" w:lineRule="auto"/>
        <w:ind w:firstLine="709"/>
        <w:jc w:val="both"/>
        <w:rPr>
          <w:rFonts w:ascii="Verdana" w:eastAsia="Times New Roman" w:hAnsi="Verdana" w:cs="Times New Roman"/>
          <w:bCs/>
          <w:sz w:val="20"/>
          <w:szCs w:val="20"/>
          <w:lang w:val="bg-BG" w:eastAsia="bg-BG"/>
        </w:rPr>
      </w:pPr>
      <w:r w:rsidRPr="00DD0673">
        <w:rPr>
          <w:rFonts w:ascii="Verdana" w:eastAsia="Times New Roman" w:hAnsi="Verdana" w:cs="Times New Roman"/>
          <w:bCs/>
          <w:sz w:val="20"/>
          <w:szCs w:val="20"/>
          <w:lang w:val="bg-BG" w:eastAsia="bg-BG"/>
        </w:rPr>
        <w:t xml:space="preserve">На база на анализа е достигнато до заключение за необходимост от следните допълнителни </w:t>
      </w:r>
      <w:r w:rsidR="00820D8F" w:rsidRPr="00DD0673">
        <w:rPr>
          <w:rFonts w:ascii="Verdana" w:eastAsia="Times New Roman" w:hAnsi="Verdana" w:cs="Times New Roman"/>
          <w:bCs/>
          <w:sz w:val="20"/>
          <w:szCs w:val="20"/>
          <w:lang w:val="bg-BG" w:eastAsia="bg-BG"/>
        </w:rPr>
        <w:t>1</w:t>
      </w:r>
      <w:r w:rsidR="00820D8F">
        <w:rPr>
          <w:rFonts w:ascii="Verdana" w:eastAsia="Times New Roman" w:hAnsi="Verdana" w:cs="Times New Roman"/>
          <w:bCs/>
          <w:sz w:val="20"/>
          <w:szCs w:val="20"/>
          <w:lang w:val="bg-BG" w:eastAsia="bg-BG"/>
        </w:rPr>
        <w:t>3</w:t>
      </w:r>
      <w:r w:rsidR="00820D8F" w:rsidRPr="00DD0673">
        <w:rPr>
          <w:rFonts w:ascii="Verdana" w:eastAsia="Times New Roman" w:hAnsi="Verdana" w:cs="Times New Roman"/>
          <w:bCs/>
          <w:sz w:val="20"/>
          <w:szCs w:val="20"/>
          <w:lang w:val="bg-BG" w:eastAsia="bg-BG"/>
        </w:rPr>
        <w:t xml:space="preserve">0 </w:t>
      </w:r>
      <w:r w:rsidRPr="00DD0673">
        <w:rPr>
          <w:rFonts w:ascii="Verdana" w:eastAsia="Times New Roman" w:hAnsi="Verdana" w:cs="Times New Roman"/>
          <w:bCs/>
          <w:sz w:val="20"/>
          <w:szCs w:val="20"/>
          <w:lang w:val="bg-BG" w:eastAsia="bg-BG"/>
        </w:rPr>
        <w:t>бройки, разпределени, както следва:</w:t>
      </w:r>
    </w:p>
    <w:p w:rsidR="00231C17" w:rsidRPr="00DD0673" w:rsidRDefault="00231C17" w:rsidP="00231C17">
      <w:pPr>
        <w:widowControl w:val="0"/>
        <w:autoSpaceDE w:val="0"/>
        <w:autoSpaceDN w:val="0"/>
        <w:adjustRightInd w:val="0"/>
        <w:spacing w:after="0" w:line="360" w:lineRule="auto"/>
        <w:ind w:firstLine="709"/>
        <w:jc w:val="both"/>
        <w:rPr>
          <w:rFonts w:ascii="Verdana" w:eastAsia="Times New Roman" w:hAnsi="Verdana" w:cs="Times New Roman"/>
          <w:bCs/>
          <w:sz w:val="20"/>
          <w:szCs w:val="20"/>
          <w:lang w:val="bg-BG" w:eastAsia="bg-BG"/>
        </w:rPr>
      </w:pPr>
      <w:r w:rsidRPr="00DD0673">
        <w:rPr>
          <w:lang w:val="bg-BG"/>
        </w:rPr>
        <w:fldChar w:fldCharType="begin"/>
      </w:r>
      <w:r w:rsidRPr="00DD0673">
        <w:rPr>
          <w:lang w:val="bg-BG"/>
        </w:rPr>
        <w:instrText xml:space="preserve"> LINK </w:instrText>
      </w:r>
      <w:r w:rsidR="005736C9">
        <w:rPr>
          <w:lang w:val="bg-BG"/>
        </w:rPr>
        <w:instrText xml:space="preserve">Excel.Sheet.12 C:\\Users\\aneliyav\\AppData\\Local\\Temp\\notes90C43B\\DFZ-Uvelicheni_structurni_zvena.xlsx Sheet1!R1C1:R9C3 </w:instrText>
      </w:r>
      <w:r w:rsidRPr="00DD0673">
        <w:rPr>
          <w:lang w:val="bg-BG"/>
        </w:rPr>
        <w:instrText xml:space="preserve">\a \f 4 \h  \* MERGEFORMAT </w:instrText>
      </w:r>
      <w:r w:rsidRPr="00DD0673">
        <w:rPr>
          <w:lang w:val="bg-BG"/>
        </w:rPr>
        <w:fldChar w:fldCharType="separate"/>
      </w:r>
    </w:p>
    <w:tbl>
      <w:tblPr>
        <w:tblW w:w="8820" w:type="dxa"/>
        <w:tblCellMar>
          <w:left w:w="70" w:type="dxa"/>
          <w:right w:w="70" w:type="dxa"/>
        </w:tblCellMar>
        <w:tblLook w:val="04A0" w:firstRow="1" w:lastRow="0" w:firstColumn="1" w:lastColumn="0" w:noHBand="0" w:noVBand="1"/>
      </w:tblPr>
      <w:tblGrid>
        <w:gridCol w:w="421"/>
        <w:gridCol w:w="5528"/>
        <w:gridCol w:w="2871"/>
      </w:tblGrid>
      <w:tr w:rsidR="00231C17" w:rsidRPr="001B58C5" w:rsidTr="00204CD1">
        <w:trPr>
          <w:trHeight w:val="300"/>
          <w:tblHeader/>
        </w:trPr>
        <w:tc>
          <w:tcPr>
            <w:tcW w:w="59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1C17" w:rsidRPr="001B58C5" w:rsidRDefault="00231C17" w:rsidP="001B58C5">
            <w:pPr>
              <w:spacing w:after="120"/>
              <w:jc w:val="center"/>
              <w:rPr>
                <w:rFonts w:ascii="Verdana" w:hAnsi="Verdana"/>
                <w:b/>
                <w:bCs/>
                <w:color w:val="000000"/>
                <w:sz w:val="18"/>
                <w:szCs w:val="18"/>
                <w:lang w:val="bg-BG" w:eastAsia="bg-BG"/>
              </w:rPr>
            </w:pPr>
            <w:r w:rsidRPr="001B58C5">
              <w:rPr>
                <w:rFonts w:ascii="Verdana" w:hAnsi="Verdana"/>
                <w:b/>
                <w:bCs/>
                <w:color w:val="000000"/>
                <w:sz w:val="18"/>
                <w:szCs w:val="18"/>
                <w:lang w:val="bg-BG" w:eastAsia="bg-BG"/>
              </w:rPr>
              <w:t>Структурни звена</w:t>
            </w:r>
          </w:p>
        </w:tc>
        <w:tc>
          <w:tcPr>
            <w:tcW w:w="2871" w:type="dxa"/>
            <w:tcBorders>
              <w:top w:val="single" w:sz="4" w:space="0" w:color="auto"/>
              <w:left w:val="nil"/>
              <w:bottom w:val="single" w:sz="4" w:space="0" w:color="auto"/>
              <w:right w:val="single" w:sz="4" w:space="0" w:color="auto"/>
            </w:tcBorders>
            <w:shd w:val="clear" w:color="auto" w:fill="auto"/>
            <w:noWrap/>
            <w:vAlign w:val="bottom"/>
            <w:hideMark/>
          </w:tcPr>
          <w:p w:rsidR="00231C17" w:rsidRPr="001B58C5" w:rsidRDefault="00231C17" w:rsidP="001B58C5">
            <w:pPr>
              <w:spacing w:after="120"/>
              <w:jc w:val="center"/>
              <w:rPr>
                <w:rFonts w:ascii="Verdana" w:hAnsi="Verdana"/>
                <w:b/>
                <w:bCs/>
                <w:color w:val="000000"/>
                <w:sz w:val="18"/>
                <w:szCs w:val="18"/>
                <w:lang w:val="bg-BG" w:eastAsia="bg-BG"/>
              </w:rPr>
            </w:pPr>
            <w:r w:rsidRPr="001B58C5">
              <w:rPr>
                <w:rFonts w:ascii="Verdana" w:hAnsi="Verdana"/>
                <w:b/>
                <w:bCs/>
                <w:color w:val="000000"/>
                <w:sz w:val="18"/>
                <w:szCs w:val="18"/>
                <w:lang w:val="bg-BG" w:eastAsia="bg-BG"/>
              </w:rPr>
              <w:t>Необходими допълнителни бройки</w:t>
            </w:r>
          </w:p>
        </w:tc>
      </w:tr>
      <w:tr w:rsidR="00231C17" w:rsidRPr="001B58C5" w:rsidTr="001B58C5">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31C17" w:rsidRPr="001B58C5" w:rsidRDefault="00231C17" w:rsidP="0097434B">
            <w:pPr>
              <w:jc w:val="right"/>
              <w:rPr>
                <w:rFonts w:ascii="Verdana" w:hAnsi="Verdana"/>
                <w:color w:val="000000"/>
                <w:sz w:val="18"/>
                <w:szCs w:val="18"/>
                <w:lang w:val="bg-BG" w:eastAsia="bg-BG"/>
              </w:rPr>
            </w:pPr>
            <w:r w:rsidRPr="001B58C5">
              <w:rPr>
                <w:rFonts w:ascii="Verdana" w:hAnsi="Verdana"/>
                <w:color w:val="000000"/>
                <w:sz w:val="18"/>
                <w:szCs w:val="18"/>
                <w:lang w:val="bg-BG" w:eastAsia="bg-BG"/>
              </w:rPr>
              <w:t>1</w:t>
            </w:r>
          </w:p>
        </w:tc>
        <w:tc>
          <w:tcPr>
            <w:tcW w:w="5528" w:type="dxa"/>
            <w:tcBorders>
              <w:top w:val="nil"/>
              <w:left w:val="nil"/>
              <w:bottom w:val="single" w:sz="4" w:space="0" w:color="auto"/>
              <w:right w:val="single" w:sz="4" w:space="0" w:color="auto"/>
            </w:tcBorders>
            <w:shd w:val="clear" w:color="auto" w:fill="auto"/>
            <w:vAlign w:val="center"/>
            <w:hideMark/>
          </w:tcPr>
          <w:p w:rsidR="00231C17" w:rsidRPr="001B58C5" w:rsidRDefault="00231C17" w:rsidP="001B58C5">
            <w:pPr>
              <w:spacing w:after="120"/>
              <w:rPr>
                <w:rFonts w:ascii="Verdana" w:hAnsi="Verdana"/>
                <w:color w:val="000000"/>
                <w:sz w:val="18"/>
                <w:szCs w:val="18"/>
                <w:lang w:val="bg-BG" w:eastAsia="bg-BG"/>
              </w:rPr>
            </w:pPr>
            <w:r w:rsidRPr="001B58C5">
              <w:rPr>
                <w:rFonts w:ascii="Verdana" w:hAnsi="Verdana"/>
                <w:color w:val="000000"/>
                <w:sz w:val="18"/>
                <w:szCs w:val="18"/>
                <w:lang w:val="bg-BG" w:eastAsia="bg-BG"/>
              </w:rPr>
              <w:t>Дирекция „Договориране по ПМРСР“</w:t>
            </w:r>
          </w:p>
        </w:tc>
        <w:tc>
          <w:tcPr>
            <w:tcW w:w="2871" w:type="dxa"/>
            <w:tcBorders>
              <w:top w:val="nil"/>
              <w:left w:val="nil"/>
              <w:bottom w:val="single" w:sz="4" w:space="0" w:color="auto"/>
              <w:right w:val="single" w:sz="4" w:space="0" w:color="auto"/>
            </w:tcBorders>
            <w:shd w:val="clear" w:color="auto" w:fill="auto"/>
            <w:vAlign w:val="center"/>
            <w:hideMark/>
          </w:tcPr>
          <w:p w:rsidR="00231C17" w:rsidRPr="001B58C5" w:rsidRDefault="00500279" w:rsidP="001B58C5">
            <w:pPr>
              <w:spacing w:after="120"/>
              <w:jc w:val="center"/>
              <w:rPr>
                <w:rFonts w:ascii="Verdana" w:hAnsi="Verdana"/>
                <w:color w:val="000000"/>
                <w:sz w:val="18"/>
                <w:szCs w:val="18"/>
                <w:lang w:val="bg-BG" w:eastAsia="bg-BG"/>
              </w:rPr>
            </w:pPr>
            <w:r w:rsidRPr="001B58C5">
              <w:rPr>
                <w:rFonts w:ascii="Verdana" w:hAnsi="Verdana"/>
                <w:color w:val="000000"/>
                <w:sz w:val="18"/>
                <w:szCs w:val="18"/>
                <w:lang w:val="bg-BG" w:eastAsia="bg-BG"/>
              </w:rPr>
              <w:t>6</w:t>
            </w:r>
            <w:r w:rsidR="00F345C7" w:rsidRPr="001B58C5">
              <w:rPr>
                <w:rFonts w:ascii="Verdana" w:hAnsi="Verdana"/>
                <w:color w:val="000000"/>
                <w:sz w:val="18"/>
                <w:szCs w:val="18"/>
                <w:lang w:val="bg-BG" w:eastAsia="bg-BG"/>
              </w:rPr>
              <w:t>6</w:t>
            </w:r>
          </w:p>
        </w:tc>
      </w:tr>
      <w:tr w:rsidR="00231C17" w:rsidRPr="001B58C5" w:rsidTr="001B58C5">
        <w:trPr>
          <w:trHeight w:val="6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31C17" w:rsidRPr="001B58C5" w:rsidRDefault="00231C17" w:rsidP="0097434B">
            <w:pPr>
              <w:jc w:val="right"/>
              <w:rPr>
                <w:rFonts w:ascii="Verdana" w:hAnsi="Verdana"/>
                <w:color w:val="000000"/>
                <w:sz w:val="18"/>
                <w:szCs w:val="18"/>
                <w:lang w:val="bg-BG" w:eastAsia="bg-BG"/>
              </w:rPr>
            </w:pPr>
            <w:r w:rsidRPr="001B58C5">
              <w:rPr>
                <w:rFonts w:ascii="Verdana" w:hAnsi="Verdana"/>
                <w:color w:val="000000"/>
                <w:sz w:val="18"/>
                <w:szCs w:val="18"/>
                <w:lang w:val="bg-BG" w:eastAsia="bg-BG"/>
              </w:rPr>
              <w:t>2</w:t>
            </w:r>
          </w:p>
        </w:tc>
        <w:tc>
          <w:tcPr>
            <w:tcW w:w="5528" w:type="dxa"/>
            <w:tcBorders>
              <w:top w:val="nil"/>
              <w:left w:val="nil"/>
              <w:bottom w:val="single" w:sz="4" w:space="0" w:color="auto"/>
              <w:right w:val="single" w:sz="4" w:space="0" w:color="auto"/>
            </w:tcBorders>
            <w:shd w:val="clear" w:color="auto" w:fill="auto"/>
            <w:vAlign w:val="center"/>
            <w:hideMark/>
          </w:tcPr>
          <w:p w:rsidR="00231C17" w:rsidRPr="001B58C5" w:rsidRDefault="00231C17" w:rsidP="001B58C5">
            <w:pPr>
              <w:spacing w:after="120"/>
              <w:rPr>
                <w:rFonts w:ascii="Verdana" w:hAnsi="Verdana"/>
                <w:color w:val="000000"/>
                <w:sz w:val="18"/>
                <w:szCs w:val="18"/>
                <w:lang w:val="bg-BG" w:eastAsia="bg-BG"/>
              </w:rPr>
            </w:pPr>
            <w:r w:rsidRPr="001B58C5">
              <w:rPr>
                <w:rFonts w:ascii="Verdana" w:hAnsi="Verdana"/>
                <w:color w:val="000000"/>
                <w:sz w:val="18"/>
                <w:szCs w:val="18"/>
                <w:lang w:val="bg-BG" w:eastAsia="bg-BG"/>
              </w:rPr>
              <w:t>Дирекция „</w:t>
            </w:r>
            <w:proofErr w:type="spellStart"/>
            <w:r w:rsidRPr="001B58C5">
              <w:rPr>
                <w:rFonts w:ascii="Verdana" w:hAnsi="Verdana"/>
                <w:color w:val="000000"/>
                <w:sz w:val="18"/>
                <w:szCs w:val="18"/>
                <w:lang w:val="bg-BG" w:eastAsia="bg-BG"/>
              </w:rPr>
              <w:t>Оторизация</w:t>
            </w:r>
            <w:proofErr w:type="spellEnd"/>
            <w:r w:rsidRPr="001B58C5">
              <w:rPr>
                <w:rFonts w:ascii="Verdana" w:hAnsi="Verdana"/>
                <w:color w:val="000000"/>
                <w:sz w:val="18"/>
                <w:szCs w:val="18"/>
                <w:lang w:val="bg-BG" w:eastAsia="bg-BG"/>
              </w:rPr>
              <w:t xml:space="preserve"> на плащанията по ПМРСР“</w:t>
            </w:r>
          </w:p>
        </w:tc>
        <w:tc>
          <w:tcPr>
            <w:tcW w:w="2871" w:type="dxa"/>
            <w:tcBorders>
              <w:top w:val="nil"/>
              <w:left w:val="nil"/>
              <w:bottom w:val="single" w:sz="4" w:space="0" w:color="auto"/>
              <w:right w:val="single" w:sz="4" w:space="0" w:color="auto"/>
            </w:tcBorders>
            <w:shd w:val="clear" w:color="auto" w:fill="auto"/>
            <w:vAlign w:val="center"/>
            <w:hideMark/>
          </w:tcPr>
          <w:p w:rsidR="00231C17" w:rsidRPr="001B58C5" w:rsidRDefault="00F345C7" w:rsidP="001B58C5">
            <w:pPr>
              <w:spacing w:after="120"/>
              <w:jc w:val="center"/>
              <w:rPr>
                <w:rFonts w:ascii="Verdana" w:hAnsi="Verdana"/>
                <w:color w:val="000000"/>
                <w:sz w:val="18"/>
                <w:szCs w:val="18"/>
                <w:lang w:val="bg-BG" w:eastAsia="bg-BG"/>
              </w:rPr>
            </w:pPr>
            <w:r w:rsidRPr="001B58C5">
              <w:rPr>
                <w:rFonts w:ascii="Verdana" w:hAnsi="Verdana"/>
                <w:color w:val="000000"/>
                <w:sz w:val="18"/>
                <w:szCs w:val="18"/>
                <w:lang w:val="bg-BG" w:eastAsia="bg-BG"/>
              </w:rPr>
              <w:t>5</w:t>
            </w:r>
          </w:p>
        </w:tc>
      </w:tr>
      <w:tr w:rsidR="00231C17" w:rsidRPr="001B58C5" w:rsidTr="001B58C5">
        <w:trPr>
          <w:trHeight w:val="630"/>
        </w:trPr>
        <w:tc>
          <w:tcPr>
            <w:tcW w:w="421" w:type="dxa"/>
            <w:tcBorders>
              <w:top w:val="nil"/>
              <w:left w:val="single" w:sz="4" w:space="0" w:color="auto"/>
              <w:bottom w:val="single" w:sz="4" w:space="0" w:color="auto"/>
              <w:right w:val="single" w:sz="4" w:space="0" w:color="auto"/>
            </w:tcBorders>
            <w:shd w:val="clear" w:color="auto" w:fill="auto"/>
            <w:noWrap/>
            <w:vAlign w:val="center"/>
          </w:tcPr>
          <w:p w:rsidR="00231C17" w:rsidRPr="001B58C5" w:rsidRDefault="00231C17" w:rsidP="0097434B">
            <w:pPr>
              <w:jc w:val="right"/>
              <w:rPr>
                <w:rFonts w:ascii="Verdana" w:hAnsi="Verdana"/>
                <w:color w:val="000000"/>
                <w:sz w:val="18"/>
                <w:szCs w:val="18"/>
                <w:lang w:val="bg-BG" w:eastAsia="bg-BG"/>
              </w:rPr>
            </w:pPr>
            <w:r w:rsidRPr="001B58C5">
              <w:rPr>
                <w:rFonts w:ascii="Verdana" w:hAnsi="Verdana"/>
                <w:color w:val="000000"/>
                <w:sz w:val="18"/>
                <w:szCs w:val="18"/>
                <w:lang w:val="bg-BG" w:eastAsia="bg-BG"/>
              </w:rPr>
              <w:t>3</w:t>
            </w:r>
          </w:p>
        </w:tc>
        <w:tc>
          <w:tcPr>
            <w:tcW w:w="5528" w:type="dxa"/>
            <w:tcBorders>
              <w:top w:val="nil"/>
              <w:left w:val="nil"/>
              <w:bottom w:val="single" w:sz="4" w:space="0" w:color="auto"/>
              <w:right w:val="single" w:sz="4" w:space="0" w:color="auto"/>
            </w:tcBorders>
            <w:shd w:val="clear" w:color="auto" w:fill="auto"/>
            <w:vAlign w:val="center"/>
          </w:tcPr>
          <w:p w:rsidR="00231C17" w:rsidRPr="001B58C5" w:rsidRDefault="00231C17" w:rsidP="001B58C5">
            <w:pPr>
              <w:spacing w:after="120"/>
              <w:rPr>
                <w:rFonts w:ascii="Verdana" w:hAnsi="Verdana"/>
                <w:color w:val="000000"/>
                <w:sz w:val="18"/>
                <w:szCs w:val="18"/>
                <w:lang w:val="bg-BG" w:eastAsia="bg-BG"/>
              </w:rPr>
            </w:pPr>
            <w:r w:rsidRPr="001B58C5">
              <w:rPr>
                <w:rFonts w:ascii="Verdana" w:hAnsi="Verdana"/>
                <w:color w:val="000000"/>
                <w:sz w:val="18"/>
                <w:szCs w:val="18"/>
                <w:lang w:val="bg-BG" w:eastAsia="bg-BG"/>
              </w:rPr>
              <w:t>Дирекция "Селскостопански пазарни механизми"</w:t>
            </w:r>
          </w:p>
        </w:tc>
        <w:tc>
          <w:tcPr>
            <w:tcW w:w="2871" w:type="dxa"/>
            <w:tcBorders>
              <w:top w:val="nil"/>
              <w:left w:val="nil"/>
              <w:bottom w:val="single" w:sz="4" w:space="0" w:color="auto"/>
              <w:right w:val="single" w:sz="4" w:space="0" w:color="auto"/>
            </w:tcBorders>
            <w:shd w:val="clear" w:color="auto" w:fill="auto"/>
            <w:vAlign w:val="center"/>
          </w:tcPr>
          <w:p w:rsidR="00231C17" w:rsidRPr="001B58C5" w:rsidRDefault="00500279" w:rsidP="001B58C5">
            <w:pPr>
              <w:spacing w:after="120"/>
              <w:jc w:val="center"/>
              <w:rPr>
                <w:rFonts w:ascii="Verdana" w:hAnsi="Verdana"/>
                <w:color w:val="000000"/>
                <w:sz w:val="18"/>
                <w:szCs w:val="18"/>
                <w:lang w:val="bg-BG" w:eastAsia="bg-BG"/>
              </w:rPr>
            </w:pPr>
            <w:r w:rsidRPr="001B58C5">
              <w:rPr>
                <w:rFonts w:ascii="Verdana" w:hAnsi="Verdana"/>
                <w:color w:val="000000"/>
                <w:sz w:val="18"/>
                <w:szCs w:val="18"/>
                <w:lang w:val="bg-BG" w:eastAsia="bg-BG"/>
              </w:rPr>
              <w:t>4</w:t>
            </w:r>
          </w:p>
        </w:tc>
      </w:tr>
      <w:tr w:rsidR="00231C17" w:rsidRPr="001B58C5" w:rsidTr="001B58C5">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31C17" w:rsidRPr="001B58C5" w:rsidRDefault="00231C17" w:rsidP="0097434B">
            <w:pPr>
              <w:jc w:val="right"/>
              <w:rPr>
                <w:rFonts w:ascii="Verdana" w:hAnsi="Verdana"/>
                <w:color w:val="000000"/>
                <w:sz w:val="18"/>
                <w:szCs w:val="18"/>
                <w:lang w:val="bg-BG" w:eastAsia="bg-BG"/>
              </w:rPr>
            </w:pPr>
            <w:r w:rsidRPr="001B58C5">
              <w:rPr>
                <w:rFonts w:ascii="Verdana" w:hAnsi="Verdana"/>
                <w:color w:val="000000"/>
                <w:sz w:val="18"/>
                <w:szCs w:val="18"/>
                <w:lang w:val="bg-BG" w:eastAsia="bg-BG"/>
              </w:rPr>
              <w:t>4</w:t>
            </w:r>
          </w:p>
        </w:tc>
        <w:tc>
          <w:tcPr>
            <w:tcW w:w="5528" w:type="dxa"/>
            <w:tcBorders>
              <w:top w:val="nil"/>
              <w:left w:val="nil"/>
              <w:bottom w:val="single" w:sz="4" w:space="0" w:color="auto"/>
              <w:right w:val="single" w:sz="4" w:space="0" w:color="auto"/>
            </w:tcBorders>
            <w:shd w:val="clear" w:color="auto" w:fill="auto"/>
            <w:vAlign w:val="center"/>
            <w:hideMark/>
          </w:tcPr>
          <w:p w:rsidR="00231C17" w:rsidRPr="001B58C5" w:rsidRDefault="00231C17" w:rsidP="001B58C5">
            <w:pPr>
              <w:spacing w:after="120"/>
              <w:rPr>
                <w:rFonts w:ascii="Verdana" w:hAnsi="Verdana"/>
                <w:color w:val="000000"/>
                <w:sz w:val="18"/>
                <w:szCs w:val="18"/>
                <w:lang w:val="bg-BG" w:eastAsia="bg-BG"/>
              </w:rPr>
            </w:pPr>
            <w:r w:rsidRPr="001B58C5">
              <w:rPr>
                <w:rFonts w:ascii="Verdana" w:hAnsi="Verdana"/>
                <w:color w:val="000000"/>
                <w:sz w:val="18"/>
                <w:szCs w:val="18"/>
                <w:lang w:val="bg-BG" w:eastAsia="bg-BG"/>
              </w:rPr>
              <w:t xml:space="preserve">Дирекция „Мониторинг, докладване и оценка“ </w:t>
            </w:r>
          </w:p>
        </w:tc>
        <w:tc>
          <w:tcPr>
            <w:tcW w:w="2871" w:type="dxa"/>
            <w:tcBorders>
              <w:top w:val="nil"/>
              <w:left w:val="nil"/>
              <w:bottom w:val="single" w:sz="4" w:space="0" w:color="auto"/>
              <w:right w:val="single" w:sz="4" w:space="0" w:color="auto"/>
            </w:tcBorders>
            <w:shd w:val="clear" w:color="auto" w:fill="auto"/>
            <w:vAlign w:val="center"/>
            <w:hideMark/>
          </w:tcPr>
          <w:p w:rsidR="00231C17" w:rsidRPr="001B58C5" w:rsidRDefault="00231C17" w:rsidP="001B58C5">
            <w:pPr>
              <w:spacing w:after="120"/>
              <w:jc w:val="center"/>
              <w:rPr>
                <w:rFonts w:ascii="Verdana" w:hAnsi="Verdana"/>
                <w:color w:val="000000"/>
                <w:sz w:val="18"/>
                <w:szCs w:val="18"/>
                <w:lang w:val="bg-BG" w:eastAsia="bg-BG"/>
              </w:rPr>
            </w:pPr>
            <w:r w:rsidRPr="001B58C5">
              <w:rPr>
                <w:rFonts w:ascii="Verdana" w:hAnsi="Verdana"/>
                <w:color w:val="000000"/>
                <w:sz w:val="18"/>
                <w:szCs w:val="18"/>
                <w:lang w:val="bg-BG" w:eastAsia="bg-BG"/>
              </w:rPr>
              <w:t>25</w:t>
            </w:r>
          </w:p>
        </w:tc>
      </w:tr>
      <w:tr w:rsidR="00231C17" w:rsidRPr="001B58C5" w:rsidTr="001B58C5">
        <w:trPr>
          <w:trHeight w:val="6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31C17" w:rsidRPr="001B58C5" w:rsidRDefault="00231C17" w:rsidP="001B58C5">
            <w:pPr>
              <w:spacing w:after="120"/>
              <w:jc w:val="right"/>
              <w:rPr>
                <w:rFonts w:ascii="Verdana" w:hAnsi="Verdana"/>
                <w:color w:val="000000"/>
                <w:sz w:val="18"/>
                <w:szCs w:val="18"/>
                <w:lang w:val="bg-BG" w:eastAsia="bg-BG"/>
              </w:rPr>
            </w:pPr>
            <w:r w:rsidRPr="001B58C5">
              <w:rPr>
                <w:rFonts w:ascii="Verdana" w:hAnsi="Verdana"/>
                <w:color w:val="000000"/>
                <w:sz w:val="18"/>
                <w:szCs w:val="18"/>
                <w:lang w:val="bg-BG" w:eastAsia="bg-BG"/>
              </w:rPr>
              <w:t>5</w:t>
            </w:r>
          </w:p>
        </w:tc>
        <w:tc>
          <w:tcPr>
            <w:tcW w:w="5528" w:type="dxa"/>
            <w:tcBorders>
              <w:top w:val="nil"/>
              <w:left w:val="nil"/>
              <w:bottom w:val="single" w:sz="4" w:space="0" w:color="auto"/>
              <w:right w:val="single" w:sz="4" w:space="0" w:color="auto"/>
            </w:tcBorders>
            <w:shd w:val="clear" w:color="auto" w:fill="auto"/>
            <w:vAlign w:val="center"/>
            <w:hideMark/>
          </w:tcPr>
          <w:p w:rsidR="00231C17" w:rsidRPr="001B58C5" w:rsidRDefault="00231C17" w:rsidP="001B58C5">
            <w:pPr>
              <w:spacing w:after="120"/>
              <w:rPr>
                <w:rFonts w:ascii="Verdana" w:hAnsi="Verdana"/>
                <w:color w:val="000000"/>
                <w:sz w:val="18"/>
                <w:szCs w:val="18"/>
                <w:lang w:val="bg-BG" w:eastAsia="bg-BG"/>
              </w:rPr>
            </w:pPr>
            <w:r w:rsidRPr="001B58C5">
              <w:rPr>
                <w:rFonts w:ascii="Verdana" w:hAnsi="Verdana"/>
                <w:color w:val="000000"/>
                <w:sz w:val="18"/>
                <w:szCs w:val="18"/>
                <w:lang w:val="bg-BG" w:eastAsia="bg-BG"/>
              </w:rPr>
              <w:t>Дирекция "</w:t>
            </w:r>
            <w:r w:rsidRPr="001B58C5">
              <w:rPr>
                <w:rFonts w:ascii="Verdana" w:hAnsi="Verdana"/>
                <w:bCs/>
                <w:sz w:val="18"/>
                <w:szCs w:val="18"/>
                <w:lang w:val="bg-BG" w:eastAsia="bg-BG"/>
              </w:rPr>
              <w:t>Интегрирани информационни системи"</w:t>
            </w:r>
          </w:p>
        </w:tc>
        <w:tc>
          <w:tcPr>
            <w:tcW w:w="2871" w:type="dxa"/>
            <w:tcBorders>
              <w:top w:val="nil"/>
              <w:left w:val="nil"/>
              <w:bottom w:val="single" w:sz="4" w:space="0" w:color="auto"/>
              <w:right w:val="single" w:sz="4" w:space="0" w:color="auto"/>
            </w:tcBorders>
            <w:shd w:val="clear" w:color="auto" w:fill="auto"/>
            <w:vAlign w:val="center"/>
            <w:hideMark/>
          </w:tcPr>
          <w:p w:rsidR="00231C17" w:rsidRPr="001B58C5" w:rsidRDefault="00231C17" w:rsidP="001B58C5">
            <w:pPr>
              <w:spacing w:after="120"/>
              <w:jc w:val="center"/>
              <w:rPr>
                <w:rFonts w:ascii="Verdana" w:hAnsi="Verdana"/>
                <w:color w:val="000000"/>
                <w:sz w:val="18"/>
                <w:szCs w:val="18"/>
                <w:lang w:val="bg-BG" w:eastAsia="bg-BG"/>
              </w:rPr>
            </w:pPr>
            <w:r w:rsidRPr="001B58C5">
              <w:rPr>
                <w:rFonts w:ascii="Verdana" w:hAnsi="Verdana"/>
                <w:color w:val="000000"/>
                <w:sz w:val="18"/>
                <w:szCs w:val="18"/>
                <w:lang w:val="bg-BG" w:eastAsia="bg-BG"/>
              </w:rPr>
              <w:t>6</w:t>
            </w:r>
          </w:p>
        </w:tc>
      </w:tr>
      <w:tr w:rsidR="00231C17" w:rsidRPr="001B58C5" w:rsidTr="001B58C5">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31C17" w:rsidRPr="001B58C5" w:rsidRDefault="00231C17" w:rsidP="001B58C5">
            <w:pPr>
              <w:spacing w:after="120"/>
              <w:jc w:val="right"/>
              <w:rPr>
                <w:rFonts w:ascii="Verdana" w:hAnsi="Verdana"/>
                <w:color w:val="000000"/>
                <w:sz w:val="18"/>
                <w:szCs w:val="18"/>
                <w:lang w:val="bg-BG" w:eastAsia="bg-BG"/>
              </w:rPr>
            </w:pPr>
            <w:r w:rsidRPr="001B58C5">
              <w:rPr>
                <w:rFonts w:ascii="Verdana" w:hAnsi="Verdana"/>
                <w:color w:val="000000"/>
                <w:sz w:val="18"/>
                <w:szCs w:val="18"/>
                <w:lang w:val="bg-BG" w:eastAsia="bg-BG"/>
              </w:rPr>
              <w:lastRenderedPageBreak/>
              <w:t>6</w:t>
            </w:r>
          </w:p>
        </w:tc>
        <w:tc>
          <w:tcPr>
            <w:tcW w:w="5528" w:type="dxa"/>
            <w:tcBorders>
              <w:top w:val="nil"/>
              <w:left w:val="nil"/>
              <w:bottom w:val="single" w:sz="4" w:space="0" w:color="auto"/>
              <w:right w:val="single" w:sz="4" w:space="0" w:color="auto"/>
            </w:tcBorders>
            <w:shd w:val="clear" w:color="auto" w:fill="auto"/>
            <w:vAlign w:val="center"/>
            <w:hideMark/>
          </w:tcPr>
          <w:p w:rsidR="00231C17" w:rsidRPr="001B58C5" w:rsidRDefault="00231C17" w:rsidP="001B58C5">
            <w:pPr>
              <w:spacing w:after="120"/>
              <w:rPr>
                <w:rFonts w:ascii="Verdana" w:hAnsi="Verdana"/>
                <w:color w:val="000000"/>
                <w:sz w:val="18"/>
                <w:szCs w:val="18"/>
                <w:lang w:val="bg-BG" w:eastAsia="bg-BG"/>
              </w:rPr>
            </w:pPr>
            <w:r w:rsidRPr="001B58C5">
              <w:rPr>
                <w:rFonts w:ascii="Verdana" w:hAnsi="Verdana"/>
                <w:color w:val="000000"/>
                <w:sz w:val="18"/>
                <w:szCs w:val="18"/>
                <w:lang w:val="bg-BG" w:eastAsia="bg-BG"/>
              </w:rPr>
              <w:t>Дирекция „Технически инспекторат“</w:t>
            </w:r>
          </w:p>
        </w:tc>
        <w:tc>
          <w:tcPr>
            <w:tcW w:w="2871" w:type="dxa"/>
            <w:tcBorders>
              <w:top w:val="nil"/>
              <w:left w:val="nil"/>
              <w:bottom w:val="single" w:sz="4" w:space="0" w:color="auto"/>
              <w:right w:val="single" w:sz="4" w:space="0" w:color="auto"/>
            </w:tcBorders>
            <w:shd w:val="clear" w:color="auto" w:fill="auto"/>
            <w:vAlign w:val="center"/>
            <w:hideMark/>
          </w:tcPr>
          <w:p w:rsidR="00231C17" w:rsidRPr="001B58C5" w:rsidRDefault="00500279" w:rsidP="001B58C5">
            <w:pPr>
              <w:spacing w:after="120"/>
              <w:jc w:val="center"/>
              <w:rPr>
                <w:rFonts w:ascii="Verdana" w:hAnsi="Verdana"/>
                <w:color w:val="000000"/>
                <w:sz w:val="18"/>
                <w:szCs w:val="18"/>
                <w:lang w:val="bg-BG" w:eastAsia="bg-BG"/>
              </w:rPr>
            </w:pPr>
            <w:r w:rsidRPr="001B58C5">
              <w:rPr>
                <w:rFonts w:ascii="Verdana" w:hAnsi="Verdana"/>
                <w:color w:val="000000"/>
                <w:sz w:val="18"/>
                <w:szCs w:val="18"/>
                <w:lang w:val="bg-BG" w:eastAsia="bg-BG"/>
              </w:rPr>
              <w:t>9</w:t>
            </w:r>
          </w:p>
        </w:tc>
      </w:tr>
      <w:tr w:rsidR="00231C17" w:rsidRPr="001B58C5" w:rsidTr="001B58C5">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31C17" w:rsidRPr="001B58C5" w:rsidRDefault="00231C17" w:rsidP="001B58C5">
            <w:pPr>
              <w:spacing w:after="120"/>
              <w:jc w:val="right"/>
              <w:rPr>
                <w:rFonts w:ascii="Verdana" w:hAnsi="Verdana"/>
                <w:color w:val="000000"/>
                <w:sz w:val="18"/>
                <w:szCs w:val="18"/>
                <w:lang w:val="bg-BG" w:eastAsia="bg-BG"/>
              </w:rPr>
            </w:pPr>
            <w:r w:rsidRPr="001B58C5">
              <w:rPr>
                <w:rFonts w:ascii="Verdana" w:hAnsi="Verdana"/>
                <w:color w:val="000000"/>
                <w:sz w:val="18"/>
                <w:szCs w:val="18"/>
                <w:lang w:val="bg-BG" w:eastAsia="bg-BG"/>
              </w:rPr>
              <w:t>7</w:t>
            </w:r>
          </w:p>
        </w:tc>
        <w:tc>
          <w:tcPr>
            <w:tcW w:w="5528" w:type="dxa"/>
            <w:tcBorders>
              <w:top w:val="nil"/>
              <w:left w:val="nil"/>
              <w:bottom w:val="single" w:sz="4" w:space="0" w:color="auto"/>
              <w:right w:val="single" w:sz="4" w:space="0" w:color="auto"/>
            </w:tcBorders>
            <w:shd w:val="clear" w:color="auto" w:fill="auto"/>
            <w:vAlign w:val="center"/>
            <w:hideMark/>
          </w:tcPr>
          <w:p w:rsidR="00231C17" w:rsidRPr="001B58C5" w:rsidRDefault="00231C17" w:rsidP="001B58C5">
            <w:pPr>
              <w:spacing w:after="120"/>
              <w:rPr>
                <w:rFonts w:ascii="Verdana" w:hAnsi="Verdana"/>
                <w:color w:val="000000"/>
                <w:sz w:val="18"/>
                <w:szCs w:val="18"/>
                <w:lang w:val="bg-BG" w:eastAsia="bg-BG"/>
              </w:rPr>
            </w:pPr>
            <w:r w:rsidRPr="001B58C5">
              <w:rPr>
                <w:rFonts w:ascii="Verdana" w:hAnsi="Verdana"/>
                <w:color w:val="000000"/>
                <w:sz w:val="18"/>
                <w:szCs w:val="18"/>
                <w:lang w:val="bg-BG" w:eastAsia="bg-BG"/>
              </w:rPr>
              <w:t>Дирекция „Директни плащания“</w:t>
            </w:r>
          </w:p>
        </w:tc>
        <w:tc>
          <w:tcPr>
            <w:tcW w:w="2871" w:type="dxa"/>
            <w:tcBorders>
              <w:top w:val="nil"/>
              <w:left w:val="nil"/>
              <w:bottom w:val="single" w:sz="4" w:space="0" w:color="auto"/>
              <w:right w:val="single" w:sz="4" w:space="0" w:color="auto"/>
            </w:tcBorders>
            <w:shd w:val="clear" w:color="auto" w:fill="auto"/>
            <w:vAlign w:val="center"/>
            <w:hideMark/>
          </w:tcPr>
          <w:p w:rsidR="00231C17" w:rsidRPr="001B58C5" w:rsidRDefault="00500279" w:rsidP="001B58C5">
            <w:pPr>
              <w:spacing w:after="120"/>
              <w:jc w:val="center"/>
              <w:rPr>
                <w:rFonts w:ascii="Verdana" w:hAnsi="Verdana"/>
                <w:color w:val="000000"/>
                <w:sz w:val="18"/>
                <w:szCs w:val="18"/>
                <w:lang w:val="bg-BG" w:eastAsia="bg-BG"/>
              </w:rPr>
            </w:pPr>
            <w:r w:rsidRPr="001B58C5">
              <w:rPr>
                <w:rFonts w:ascii="Verdana" w:hAnsi="Verdana"/>
                <w:color w:val="000000"/>
                <w:sz w:val="18"/>
                <w:szCs w:val="18"/>
                <w:lang w:val="bg-BG" w:eastAsia="bg-BG"/>
              </w:rPr>
              <w:t>13</w:t>
            </w:r>
          </w:p>
        </w:tc>
      </w:tr>
      <w:tr w:rsidR="00231C17" w:rsidRPr="001B58C5" w:rsidTr="001B58C5">
        <w:trPr>
          <w:trHeight w:val="63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31C17" w:rsidRPr="001B58C5" w:rsidRDefault="00231C17" w:rsidP="001B58C5">
            <w:pPr>
              <w:spacing w:after="120"/>
              <w:jc w:val="right"/>
              <w:rPr>
                <w:rFonts w:ascii="Verdana" w:hAnsi="Verdana"/>
                <w:color w:val="000000"/>
                <w:sz w:val="18"/>
                <w:szCs w:val="18"/>
                <w:lang w:val="bg-BG" w:eastAsia="bg-BG"/>
              </w:rPr>
            </w:pPr>
            <w:r w:rsidRPr="001B58C5">
              <w:rPr>
                <w:rFonts w:ascii="Verdana" w:hAnsi="Verdana"/>
                <w:color w:val="000000"/>
                <w:sz w:val="18"/>
                <w:szCs w:val="18"/>
                <w:lang w:val="bg-BG" w:eastAsia="bg-BG"/>
              </w:rPr>
              <w:t>8</w:t>
            </w:r>
          </w:p>
        </w:tc>
        <w:tc>
          <w:tcPr>
            <w:tcW w:w="5528" w:type="dxa"/>
            <w:tcBorders>
              <w:top w:val="nil"/>
              <w:left w:val="nil"/>
              <w:bottom w:val="single" w:sz="4" w:space="0" w:color="auto"/>
              <w:right w:val="single" w:sz="4" w:space="0" w:color="auto"/>
            </w:tcBorders>
            <w:shd w:val="clear" w:color="auto" w:fill="auto"/>
            <w:vAlign w:val="center"/>
            <w:hideMark/>
          </w:tcPr>
          <w:p w:rsidR="00231C17" w:rsidRPr="001B58C5" w:rsidRDefault="00231C17" w:rsidP="001B58C5">
            <w:pPr>
              <w:spacing w:after="120"/>
              <w:rPr>
                <w:rFonts w:ascii="Verdana" w:hAnsi="Verdana"/>
                <w:color w:val="000000"/>
                <w:sz w:val="18"/>
                <w:szCs w:val="18"/>
                <w:lang w:val="bg-BG" w:eastAsia="bg-BG"/>
              </w:rPr>
            </w:pPr>
            <w:r w:rsidRPr="001B58C5">
              <w:rPr>
                <w:rFonts w:ascii="Verdana" w:hAnsi="Verdana"/>
                <w:color w:val="000000"/>
                <w:sz w:val="18"/>
                <w:szCs w:val="18"/>
                <w:lang w:val="bg-BG" w:eastAsia="bg-BG"/>
              </w:rPr>
              <w:t>Дирекция „Краткосрочни схеми за подпомагане“</w:t>
            </w:r>
          </w:p>
        </w:tc>
        <w:tc>
          <w:tcPr>
            <w:tcW w:w="2871" w:type="dxa"/>
            <w:tcBorders>
              <w:top w:val="nil"/>
              <w:left w:val="nil"/>
              <w:bottom w:val="single" w:sz="4" w:space="0" w:color="auto"/>
              <w:right w:val="single" w:sz="4" w:space="0" w:color="auto"/>
            </w:tcBorders>
            <w:shd w:val="clear" w:color="auto" w:fill="auto"/>
            <w:vAlign w:val="center"/>
            <w:hideMark/>
          </w:tcPr>
          <w:p w:rsidR="00231C17" w:rsidRPr="001B58C5" w:rsidRDefault="00231C17" w:rsidP="001B58C5">
            <w:pPr>
              <w:spacing w:after="120"/>
              <w:jc w:val="center"/>
              <w:rPr>
                <w:rFonts w:ascii="Verdana" w:hAnsi="Verdana"/>
                <w:color w:val="000000"/>
                <w:sz w:val="18"/>
                <w:szCs w:val="18"/>
                <w:lang w:val="bg-BG" w:eastAsia="bg-BG"/>
              </w:rPr>
            </w:pPr>
            <w:r w:rsidRPr="001B58C5">
              <w:rPr>
                <w:rFonts w:ascii="Verdana" w:hAnsi="Verdana"/>
                <w:color w:val="000000"/>
                <w:sz w:val="18"/>
                <w:szCs w:val="18"/>
                <w:lang w:val="bg-BG" w:eastAsia="bg-BG"/>
              </w:rPr>
              <w:t>2</w:t>
            </w:r>
          </w:p>
        </w:tc>
      </w:tr>
      <w:tr w:rsidR="00231C17" w:rsidRPr="001B58C5" w:rsidTr="001B58C5">
        <w:trPr>
          <w:trHeight w:val="31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231C17" w:rsidRPr="001B58C5" w:rsidRDefault="00231C17" w:rsidP="001B58C5">
            <w:pPr>
              <w:spacing w:after="120"/>
              <w:jc w:val="right"/>
              <w:rPr>
                <w:rFonts w:ascii="Verdana" w:hAnsi="Verdana"/>
                <w:b/>
                <w:bCs/>
                <w:color w:val="000000"/>
                <w:sz w:val="18"/>
                <w:szCs w:val="18"/>
                <w:lang w:val="bg-BG" w:eastAsia="bg-BG"/>
              </w:rPr>
            </w:pPr>
            <w:r w:rsidRPr="001B58C5">
              <w:rPr>
                <w:rFonts w:ascii="Verdana" w:hAnsi="Verdana"/>
                <w:b/>
                <w:bCs/>
                <w:color w:val="000000"/>
                <w:sz w:val="18"/>
                <w:szCs w:val="18"/>
                <w:lang w:val="bg-BG" w:eastAsia="bg-BG"/>
              </w:rPr>
              <w:t> </w:t>
            </w:r>
          </w:p>
        </w:tc>
        <w:tc>
          <w:tcPr>
            <w:tcW w:w="5528" w:type="dxa"/>
            <w:tcBorders>
              <w:top w:val="nil"/>
              <w:left w:val="nil"/>
              <w:bottom w:val="single" w:sz="4" w:space="0" w:color="auto"/>
              <w:right w:val="single" w:sz="4" w:space="0" w:color="auto"/>
            </w:tcBorders>
            <w:shd w:val="clear" w:color="auto" w:fill="auto"/>
            <w:vAlign w:val="center"/>
            <w:hideMark/>
          </w:tcPr>
          <w:p w:rsidR="00231C17" w:rsidRPr="001B58C5" w:rsidRDefault="00231C17" w:rsidP="001B58C5">
            <w:pPr>
              <w:spacing w:after="120"/>
              <w:rPr>
                <w:rFonts w:ascii="Verdana" w:hAnsi="Verdana"/>
                <w:b/>
                <w:bCs/>
                <w:color w:val="000000"/>
                <w:sz w:val="18"/>
                <w:szCs w:val="18"/>
                <w:lang w:val="bg-BG" w:eastAsia="bg-BG"/>
              </w:rPr>
            </w:pPr>
            <w:r w:rsidRPr="001B58C5">
              <w:rPr>
                <w:rFonts w:ascii="Verdana" w:hAnsi="Verdana"/>
                <w:b/>
                <w:bCs/>
                <w:color w:val="000000"/>
                <w:sz w:val="18"/>
                <w:szCs w:val="18"/>
                <w:lang w:val="bg-BG" w:eastAsia="bg-BG"/>
              </w:rPr>
              <w:t>ОБЩО</w:t>
            </w:r>
          </w:p>
        </w:tc>
        <w:tc>
          <w:tcPr>
            <w:tcW w:w="2871" w:type="dxa"/>
            <w:tcBorders>
              <w:top w:val="nil"/>
              <w:left w:val="nil"/>
              <w:bottom w:val="single" w:sz="4" w:space="0" w:color="auto"/>
              <w:right w:val="single" w:sz="4" w:space="0" w:color="auto"/>
            </w:tcBorders>
            <w:shd w:val="clear" w:color="auto" w:fill="auto"/>
            <w:vAlign w:val="center"/>
            <w:hideMark/>
          </w:tcPr>
          <w:p w:rsidR="00231C17" w:rsidRPr="001B58C5" w:rsidRDefault="00500279" w:rsidP="001B58C5">
            <w:pPr>
              <w:spacing w:after="120"/>
              <w:jc w:val="center"/>
              <w:rPr>
                <w:rFonts w:ascii="Verdana" w:hAnsi="Verdana"/>
                <w:b/>
                <w:bCs/>
                <w:color w:val="000000"/>
                <w:sz w:val="18"/>
                <w:szCs w:val="18"/>
                <w:lang w:val="bg-BG" w:eastAsia="bg-BG"/>
              </w:rPr>
            </w:pPr>
            <w:r w:rsidRPr="001B58C5">
              <w:rPr>
                <w:rFonts w:ascii="Verdana" w:hAnsi="Verdana"/>
                <w:b/>
                <w:bCs/>
                <w:color w:val="000000"/>
                <w:sz w:val="18"/>
                <w:szCs w:val="18"/>
                <w:lang w:val="bg-BG" w:eastAsia="bg-BG"/>
              </w:rPr>
              <w:t>130</w:t>
            </w:r>
          </w:p>
        </w:tc>
      </w:tr>
    </w:tbl>
    <w:p w:rsidR="00231C17" w:rsidRPr="00DD0673" w:rsidRDefault="00231C17" w:rsidP="00231C17">
      <w:pPr>
        <w:widowControl w:val="0"/>
        <w:autoSpaceDE w:val="0"/>
        <w:autoSpaceDN w:val="0"/>
        <w:adjustRightInd w:val="0"/>
        <w:spacing w:after="0" w:line="360" w:lineRule="auto"/>
        <w:ind w:firstLine="709"/>
        <w:jc w:val="both"/>
        <w:rPr>
          <w:rFonts w:ascii="Verdana" w:eastAsia="Times New Roman" w:hAnsi="Verdana" w:cs="Times New Roman"/>
          <w:bCs/>
          <w:sz w:val="20"/>
          <w:szCs w:val="20"/>
          <w:lang w:val="bg-BG" w:eastAsia="bg-BG"/>
        </w:rPr>
      </w:pPr>
      <w:r w:rsidRPr="00DD0673">
        <w:rPr>
          <w:lang w:val="bg-BG"/>
        </w:rPr>
        <w:fldChar w:fldCharType="end"/>
      </w:r>
    </w:p>
    <w:p w:rsidR="00231C17" w:rsidRPr="00DD0673" w:rsidRDefault="00231C17" w:rsidP="00231C17">
      <w:pPr>
        <w:widowControl w:val="0"/>
        <w:autoSpaceDE w:val="0"/>
        <w:autoSpaceDN w:val="0"/>
        <w:adjustRightInd w:val="0"/>
        <w:spacing w:after="0" w:line="360" w:lineRule="auto"/>
        <w:ind w:firstLine="709"/>
        <w:jc w:val="both"/>
        <w:rPr>
          <w:rFonts w:ascii="Verdana" w:eastAsia="Times New Roman" w:hAnsi="Verdana" w:cs="Times New Roman"/>
          <w:bCs/>
          <w:sz w:val="20"/>
          <w:szCs w:val="20"/>
          <w:lang w:val="bg-BG" w:eastAsia="bg-BG"/>
        </w:rPr>
      </w:pPr>
      <w:r w:rsidRPr="00DD0673">
        <w:rPr>
          <w:rFonts w:ascii="Verdana" w:eastAsia="Times New Roman" w:hAnsi="Verdana" w:cs="Times New Roman"/>
          <w:bCs/>
          <w:sz w:val="20"/>
          <w:szCs w:val="20"/>
          <w:lang w:val="bg-BG" w:eastAsia="bg-BG"/>
        </w:rPr>
        <w:t xml:space="preserve">На първо място, необходимостта за изменение и допълнение на Устройствения правилник е продиктувано от значителното нарастване на броя на схемите и мерките, които се администрират от Държавен фонд „Земеделие“, както и на броя на </w:t>
      </w:r>
      <w:proofErr w:type="spellStart"/>
      <w:r w:rsidRPr="00DD0673">
        <w:rPr>
          <w:rFonts w:ascii="Verdana" w:eastAsia="Times New Roman" w:hAnsi="Verdana" w:cs="Times New Roman"/>
          <w:bCs/>
          <w:sz w:val="20"/>
          <w:szCs w:val="20"/>
          <w:lang w:val="bg-BG" w:eastAsia="bg-BG"/>
        </w:rPr>
        <w:t>бенефициерите</w:t>
      </w:r>
      <w:proofErr w:type="spellEnd"/>
      <w:r w:rsidRPr="00DD0673">
        <w:rPr>
          <w:rFonts w:ascii="Verdana" w:eastAsia="Times New Roman" w:hAnsi="Verdana" w:cs="Times New Roman"/>
          <w:bCs/>
          <w:sz w:val="20"/>
          <w:szCs w:val="20"/>
          <w:lang w:val="bg-BG" w:eastAsia="bg-BG"/>
        </w:rPr>
        <w:t xml:space="preserve"> по тях. Кандидатстването по приеми по мерките от Програмата за развитие на селските райони 2014 – 2020 г. вече се извършва по реда на Закона за управление на средствата от </w:t>
      </w:r>
      <w:r w:rsidR="00CF0AB4" w:rsidRPr="00CF0AB4">
        <w:rPr>
          <w:rFonts w:ascii="Verdana" w:eastAsia="Times New Roman" w:hAnsi="Verdana" w:cs="Times New Roman"/>
          <w:bCs/>
          <w:sz w:val="20"/>
          <w:szCs w:val="20"/>
          <w:lang w:val="bg-BG" w:eastAsia="bg-BG"/>
        </w:rPr>
        <w:t>европейските фондове при споделено управление  (ЗУСЕФСУ)</w:t>
      </w:r>
      <w:r w:rsidRPr="00DD0673">
        <w:rPr>
          <w:rFonts w:ascii="Verdana" w:eastAsia="Times New Roman" w:hAnsi="Verdana" w:cs="Times New Roman"/>
          <w:bCs/>
          <w:sz w:val="20"/>
          <w:szCs w:val="20"/>
          <w:lang w:val="bg-BG" w:eastAsia="bg-BG"/>
        </w:rPr>
        <w:t xml:space="preserve">. Сроковете за разглеждане на формулярите за кандидатстване са много по-кратки, а самата процедура по администриране на заявленията е строго формална с множество вътрешни процедури и срокове и налага бързина и по-висока административна натовареност при разглеждането и оценяването на проектните предложения. Това налага предприемането на спешни мерки за увеличение на числеността на служителите на Държавен фонд „Земеделие“, както в дирекциите, които са пряко ангажирани с разглеждането на заявления от подадени от бенефициентите, така и на останалите дирекции от общата и специализирана администрация, чиято дейност е свързана с подпомагане и обезпечаване на дейността на Фонда. Това налага увеличаването на административния капацитет в </w:t>
      </w:r>
      <w:r w:rsidRPr="00DD0673">
        <w:rPr>
          <w:rFonts w:ascii="Verdana" w:eastAsia="Times New Roman" w:hAnsi="Verdana" w:cs="Times New Roman"/>
          <w:b/>
          <w:bCs/>
          <w:sz w:val="20"/>
          <w:szCs w:val="20"/>
          <w:lang w:val="bg-BG" w:eastAsia="bg-BG"/>
        </w:rPr>
        <w:t>дирекция „Договориране на мерките по ПМРСР“</w:t>
      </w:r>
      <w:r w:rsidRPr="00DD0673">
        <w:rPr>
          <w:rFonts w:ascii="Verdana" w:eastAsia="Times New Roman" w:hAnsi="Verdana" w:cs="Times New Roman"/>
          <w:bCs/>
          <w:sz w:val="20"/>
          <w:szCs w:val="20"/>
          <w:lang w:val="bg-BG" w:eastAsia="bg-BG"/>
        </w:rPr>
        <w:t xml:space="preserve"> с </w:t>
      </w:r>
      <w:r w:rsidR="00500279">
        <w:rPr>
          <w:rFonts w:ascii="Verdana" w:eastAsia="Times New Roman" w:hAnsi="Verdana" w:cs="Times New Roman"/>
          <w:bCs/>
          <w:sz w:val="20"/>
          <w:szCs w:val="20"/>
          <w:lang w:val="bg-BG" w:eastAsia="bg-BG"/>
        </w:rPr>
        <w:t>6</w:t>
      </w:r>
      <w:r w:rsidR="00F345C7">
        <w:rPr>
          <w:rFonts w:ascii="Verdana" w:eastAsia="Times New Roman" w:hAnsi="Verdana" w:cs="Times New Roman"/>
          <w:bCs/>
          <w:sz w:val="20"/>
          <w:szCs w:val="20"/>
          <w:lang w:val="bg-BG" w:eastAsia="bg-BG"/>
        </w:rPr>
        <w:t>6</w:t>
      </w:r>
      <w:r w:rsidR="00500279" w:rsidRPr="00DD0673">
        <w:rPr>
          <w:rFonts w:ascii="Verdana" w:eastAsia="Times New Roman" w:hAnsi="Verdana" w:cs="Times New Roman"/>
          <w:bCs/>
          <w:sz w:val="20"/>
          <w:szCs w:val="20"/>
          <w:lang w:val="bg-BG" w:eastAsia="bg-BG"/>
        </w:rPr>
        <w:t xml:space="preserve"> </w:t>
      </w:r>
      <w:r w:rsidRPr="00DD0673">
        <w:rPr>
          <w:rFonts w:ascii="Verdana" w:eastAsia="Times New Roman" w:hAnsi="Verdana" w:cs="Times New Roman"/>
          <w:bCs/>
          <w:sz w:val="20"/>
          <w:szCs w:val="20"/>
          <w:lang w:val="bg-BG" w:eastAsia="bg-BG"/>
        </w:rPr>
        <w:t xml:space="preserve">бройки и в дирекция </w:t>
      </w:r>
      <w:r w:rsidRPr="00DD0673">
        <w:rPr>
          <w:rFonts w:ascii="Verdana" w:eastAsia="Times New Roman" w:hAnsi="Verdana" w:cs="Times New Roman"/>
          <w:b/>
          <w:bCs/>
          <w:sz w:val="20"/>
          <w:szCs w:val="20"/>
          <w:lang w:val="bg-BG" w:eastAsia="bg-BG"/>
        </w:rPr>
        <w:t xml:space="preserve">„Оторизация на плащанията по ПМРСР“ </w:t>
      </w:r>
      <w:r w:rsidRPr="00DD0673">
        <w:rPr>
          <w:rFonts w:ascii="Verdana" w:eastAsia="Times New Roman" w:hAnsi="Verdana" w:cs="Times New Roman"/>
          <w:bCs/>
          <w:sz w:val="20"/>
          <w:szCs w:val="20"/>
          <w:lang w:val="bg-BG" w:eastAsia="bg-BG"/>
        </w:rPr>
        <w:t xml:space="preserve">с </w:t>
      </w:r>
      <w:r w:rsidR="00F345C7">
        <w:rPr>
          <w:rFonts w:ascii="Verdana" w:eastAsia="Times New Roman" w:hAnsi="Verdana" w:cs="Times New Roman"/>
          <w:bCs/>
          <w:sz w:val="20"/>
          <w:szCs w:val="20"/>
          <w:lang w:val="bg-BG" w:eastAsia="bg-BG"/>
        </w:rPr>
        <w:t>5</w:t>
      </w:r>
      <w:r w:rsidR="00500279" w:rsidRPr="00DD0673">
        <w:rPr>
          <w:rFonts w:ascii="Verdana" w:eastAsia="Times New Roman" w:hAnsi="Verdana" w:cs="Times New Roman"/>
          <w:bCs/>
          <w:sz w:val="20"/>
          <w:szCs w:val="20"/>
          <w:lang w:val="bg-BG" w:eastAsia="bg-BG"/>
        </w:rPr>
        <w:t xml:space="preserve"> </w:t>
      </w:r>
      <w:r w:rsidRPr="00DD0673">
        <w:rPr>
          <w:rFonts w:ascii="Verdana" w:eastAsia="Times New Roman" w:hAnsi="Verdana" w:cs="Times New Roman"/>
          <w:bCs/>
          <w:sz w:val="20"/>
          <w:szCs w:val="20"/>
          <w:lang w:val="bg-BG" w:eastAsia="bg-BG"/>
        </w:rPr>
        <w:t xml:space="preserve">бройки. Увеличението на броя  на служителите на Държавен фонд „Земеделие“ ще доведе до по-ефективно и ефикасно управление и контрол при разходване на средствата от Европейските земеделски фондове и държавния бюджет, което ще гарантира устойчивост при изпълнението на възложените функции и задачи на Държавен фонд „Земеделие“, в качеството му на Разплащателна агенция. </w:t>
      </w:r>
    </w:p>
    <w:p w:rsidR="00231C17" w:rsidRPr="00DD0673" w:rsidRDefault="00231C17" w:rsidP="00231C17">
      <w:pPr>
        <w:widowControl w:val="0"/>
        <w:autoSpaceDE w:val="0"/>
        <w:autoSpaceDN w:val="0"/>
        <w:adjustRightInd w:val="0"/>
        <w:spacing w:after="0" w:line="360" w:lineRule="auto"/>
        <w:ind w:firstLine="709"/>
        <w:jc w:val="both"/>
        <w:rPr>
          <w:rFonts w:ascii="Verdana" w:eastAsia="Times New Roman" w:hAnsi="Verdana" w:cs="Times New Roman"/>
          <w:bCs/>
          <w:sz w:val="20"/>
          <w:szCs w:val="20"/>
          <w:lang w:val="bg-BG" w:eastAsia="bg-BG"/>
        </w:rPr>
      </w:pPr>
      <w:r w:rsidRPr="00DD0673">
        <w:rPr>
          <w:rFonts w:ascii="Verdana" w:eastAsia="Times New Roman" w:hAnsi="Verdana" w:cs="Times New Roman"/>
          <w:bCs/>
          <w:sz w:val="20"/>
          <w:szCs w:val="20"/>
          <w:lang w:val="bg-BG" w:eastAsia="bg-BG"/>
        </w:rPr>
        <w:t>Допълнителният административен капацитет ще допринесе до подобряване на сроковете за обработка на проектни заявления, ще увеличи потенциала за усвояване на бюджета по прилаганите от Държавен фонд „Земеделие“ схеми и мерки, ще намали риска от инфлационна обезценка и ще минимизира риска от прилагане на правилото N+3. Това ще увеличи потенциала за усвояване на бюджета по прилаганите схеми и мерки по линия на Европейския земеделски фонд за развитие на селските райони“ (ЕЗФРСР) и Европейския фонд за гарантиране в земеделието“ (ЕФГЗ).</w:t>
      </w:r>
    </w:p>
    <w:p w:rsidR="00231C17" w:rsidRPr="00DD0673" w:rsidRDefault="00231C17" w:rsidP="00231C17">
      <w:pPr>
        <w:widowControl w:val="0"/>
        <w:autoSpaceDE w:val="0"/>
        <w:autoSpaceDN w:val="0"/>
        <w:adjustRightInd w:val="0"/>
        <w:spacing w:after="0" w:line="360" w:lineRule="auto"/>
        <w:ind w:firstLine="709"/>
        <w:jc w:val="both"/>
        <w:rPr>
          <w:rFonts w:ascii="Verdana" w:eastAsia="Times New Roman" w:hAnsi="Verdana" w:cs="Times New Roman"/>
          <w:bCs/>
          <w:sz w:val="20"/>
          <w:szCs w:val="20"/>
          <w:lang w:val="bg-BG" w:eastAsia="bg-BG"/>
        </w:rPr>
      </w:pPr>
      <w:r w:rsidRPr="00DD0673">
        <w:rPr>
          <w:rFonts w:ascii="Verdana" w:eastAsia="Times New Roman" w:hAnsi="Verdana" w:cs="Times New Roman"/>
          <w:bCs/>
          <w:sz w:val="20"/>
          <w:szCs w:val="20"/>
          <w:lang w:val="bg-BG" w:eastAsia="bg-BG"/>
        </w:rPr>
        <w:t xml:space="preserve">Отчетена е необходимост и от увеличение на щатната численост на </w:t>
      </w:r>
      <w:r w:rsidRPr="00DD0673">
        <w:rPr>
          <w:rFonts w:ascii="Verdana" w:eastAsia="Times New Roman" w:hAnsi="Verdana" w:cs="Times New Roman"/>
          <w:b/>
          <w:bCs/>
          <w:sz w:val="20"/>
          <w:szCs w:val="20"/>
          <w:lang w:val="bg-BG" w:eastAsia="bg-BG"/>
        </w:rPr>
        <w:t>дирекция „Селскостопански пазарни механизми“</w:t>
      </w:r>
      <w:r w:rsidRPr="00DD0673">
        <w:rPr>
          <w:rFonts w:ascii="Verdana" w:eastAsia="Times New Roman" w:hAnsi="Verdana" w:cs="Times New Roman"/>
          <w:bCs/>
          <w:sz w:val="20"/>
          <w:szCs w:val="20"/>
          <w:lang w:val="bg-BG" w:eastAsia="bg-BG"/>
        </w:rPr>
        <w:t xml:space="preserve">. За периода 2007 – 2013 средно на </w:t>
      </w:r>
      <w:r w:rsidRPr="00DD0673">
        <w:rPr>
          <w:rFonts w:ascii="Verdana" w:eastAsia="Times New Roman" w:hAnsi="Verdana" w:cs="Times New Roman"/>
          <w:bCs/>
          <w:sz w:val="20"/>
          <w:szCs w:val="20"/>
          <w:lang w:val="bg-BG" w:eastAsia="bg-BG"/>
        </w:rPr>
        <w:lastRenderedPageBreak/>
        <w:t xml:space="preserve">годишна база постъпилите заявления за подпомагане са 7 174 броя спрямо 13 868 броя за периода 2014 – 2020, което е увеличение с над 93%, докато щатните бройки в дирекция „Селскостопански пазарни механизми“ са намалели от 75 в края на 2013г. на 65 към днешна дата. </w:t>
      </w:r>
    </w:p>
    <w:p w:rsidR="00231C17" w:rsidRPr="00DD0673" w:rsidRDefault="00231C17" w:rsidP="00231C17">
      <w:pPr>
        <w:widowControl w:val="0"/>
        <w:autoSpaceDE w:val="0"/>
        <w:autoSpaceDN w:val="0"/>
        <w:adjustRightInd w:val="0"/>
        <w:spacing w:after="0" w:line="360" w:lineRule="auto"/>
        <w:ind w:firstLine="709"/>
        <w:jc w:val="both"/>
        <w:rPr>
          <w:rFonts w:ascii="Verdana" w:eastAsia="Times New Roman" w:hAnsi="Verdana" w:cs="Times New Roman"/>
          <w:bCs/>
          <w:sz w:val="20"/>
          <w:szCs w:val="20"/>
          <w:lang w:val="bg-BG" w:eastAsia="bg-BG"/>
        </w:rPr>
      </w:pPr>
      <w:r w:rsidRPr="001E4519">
        <w:rPr>
          <w:rFonts w:ascii="Verdana" w:eastAsia="Times New Roman" w:hAnsi="Verdana" w:cs="Times New Roman"/>
          <w:bCs/>
          <w:spacing w:val="-2"/>
          <w:sz w:val="20"/>
          <w:szCs w:val="20"/>
          <w:lang w:val="bg-BG" w:eastAsia="bg-BG"/>
        </w:rPr>
        <w:t>Наред с регулярните схеми и мерки, прилагани в дирекцията за подпомагане на  съответните селскостопански сектори, през последните три години – 2020г., 2021 г.</w:t>
      </w:r>
      <w:r w:rsidRPr="00DD0673">
        <w:rPr>
          <w:rFonts w:ascii="Verdana" w:eastAsia="Times New Roman" w:hAnsi="Verdana" w:cs="Times New Roman"/>
          <w:bCs/>
          <w:sz w:val="20"/>
          <w:szCs w:val="20"/>
          <w:lang w:val="bg-BG" w:eastAsia="bg-BG"/>
        </w:rPr>
        <w:t xml:space="preserve"> и 2022 г., дирекцията прилага и извънредни кризисни мерки за преодоляване на последиците от КОВИД 19 и от ситуацията в Украйна, а именно: „Кризисно съхранение на вино“, „Беритба на реколтата на зелено“, „Частно съхранение на свинско месо“, „Предоставяне на извънредна финансова помощ на земеделските стопани от определени сектори във връзка със ситуацията в Украйна“, което от своя страна допълнително увеличава обема на работа.</w:t>
      </w:r>
    </w:p>
    <w:p w:rsidR="00231C17" w:rsidRPr="00DD0673" w:rsidRDefault="00231C17" w:rsidP="00231C17">
      <w:pPr>
        <w:widowControl w:val="0"/>
        <w:autoSpaceDE w:val="0"/>
        <w:autoSpaceDN w:val="0"/>
        <w:adjustRightInd w:val="0"/>
        <w:spacing w:after="0" w:line="360" w:lineRule="auto"/>
        <w:ind w:firstLine="709"/>
        <w:jc w:val="both"/>
        <w:rPr>
          <w:rFonts w:ascii="Verdana" w:eastAsia="Times New Roman" w:hAnsi="Verdana" w:cs="Times New Roman"/>
          <w:bCs/>
          <w:sz w:val="20"/>
          <w:szCs w:val="20"/>
          <w:lang w:val="bg-BG" w:eastAsia="bg-BG"/>
        </w:rPr>
      </w:pPr>
      <w:r w:rsidRPr="00DD0673">
        <w:rPr>
          <w:rFonts w:ascii="Verdana" w:eastAsia="Times New Roman" w:hAnsi="Verdana" w:cs="Times New Roman"/>
          <w:bCs/>
          <w:sz w:val="20"/>
          <w:szCs w:val="20"/>
          <w:lang w:val="bg-BG" w:eastAsia="bg-BG"/>
        </w:rPr>
        <w:t>От друга страна, под внимание следва да се вземе предстоящото прилагане на ОСП от 01 януари 2023 г., при което очакваният брой интервенции, които ще бъдат прилагани от дирекцията се покачва, тъй като се предвижда повишаване на броя на секторите, които ще бъдат подпомагани по оперативните програми. Към подпомагания към момента сектор на плодовете и зеленчуците се добавя секторът на млякото и млечните продукти, а всяка подпомагана дейност е предвидена да бъде отделна интервенция.</w:t>
      </w:r>
    </w:p>
    <w:p w:rsidR="00231C17" w:rsidRPr="00DD0673" w:rsidRDefault="00231C17" w:rsidP="00231C17">
      <w:pPr>
        <w:widowControl w:val="0"/>
        <w:autoSpaceDE w:val="0"/>
        <w:autoSpaceDN w:val="0"/>
        <w:adjustRightInd w:val="0"/>
        <w:spacing w:after="0" w:line="360" w:lineRule="auto"/>
        <w:ind w:firstLine="709"/>
        <w:jc w:val="both"/>
        <w:rPr>
          <w:rFonts w:ascii="Verdana" w:eastAsia="Times New Roman" w:hAnsi="Verdana" w:cs="Times New Roman"/>
          <w:bCs/>
          <w:sz w:val="20"/>
          <w:szCs w:val="20"/>
          <w:lang w:val="bg-BG" w:eastAsia="bg-BG"/>
        </w:rPr>
      </w:pPr>
      <w:r w:rsidRPr="00DD0673">
        <w:rPr>
          <w:rFonts w:ascii="Verdana" w:eastAsia="Times New Roman" w:hAnsi="Verdana" w:cs="Times New Roman"/>
          <w:bCs/>
          <w:sz w:val="20"/>
          <w:szCs w:val="20"/>
          <w:lang w:val="bg-BG" w:eastAsia="bg-BG"/>
        </w:rPr>
        <w:t>В дирекцията се прилагат мерки, както на централно, така и на областно ниво, като дирекцията отговаря, както за процеса на договориране, така и за извършването на плащането. Тези два процеса се извършват от различи служители, за да се спазват изискванията на европейското законодателство. Както договорирането, така и плащането, се осъществява в рамките или на открития прием, или в рамките на сроковете, заложени в приложимото законодателство, но процесът е изключително кратък – в рамките на една и съща финансова година, за да не се губи европейското финансиране, което не може да се прехвърля за следваща финансова година.</w:t>
      </w:r>
    </w:p>
    <w:p w:rsidR="00231C17" w:rsidRPr="00DD0673" w:rsidRDefault="00231C17" w:rsidP="00231C17">
      <w:pPr>
        <w:widowControl w:val="0"/>
        <w:autoSpaceDE w:val="0"/>
        <w:autoSpaceDN w:val="0"/>
        <w:adjustRightInd w:val="0"/>
        <w:spacing w:after="0" w:line="360" w:lineRule="auto"/>
        <w:ind w:firstLine="709"/>
        <w:jc w:val="both"/>
        <w:rPr>
          <w:rFonts w:ascii="Verdana" w:eastAsia="Times New Roman" w:hAnsi="Verdana" w:cs="Times New Roman"/>
          <w:bCs/>
          <w:sz w:val="20"/>
          <w:szCs w:val="20"/>
          <w:lang w:val="bg-BG" w:eastAsia="bg-BG"/>
        </w:rPr>
      </w:pPr>
      <w:r w:rsidRPr="00DD0673">
        <w:rPr>
          <w:rFonts w:ascii="Verdana" w:eastAsia="Times New Roman" w:hAnsi="Verdana" w:cs="Times New Roman"/>
          <w:bCs/>
          <w:sz w:val="20"/>
          <w:szCs w:val="20"/>
          <w:lang w:val="bg-BG" w:eastAsia="bg-BG"/>
        </w:rPr>
        <w:t xml:space="preserve">С цел подобряване на административния капацитет на дирекция „Селскостопански пазарни механизми“ и свеждането до минимум на риска от забавяне на плащане и загуба на европейски средства по отделните схеми и мерки,  е необходимо увеличаване на щатния брой на служителите с </w:t>
      </w:r>
      <w:r w:rsidR="00500279">
        <w:rPr>
          <w:rFonts w:ascii="Verdana" w:eastAsia="Times New Roman" w:hAnsi="Verdana" w:cs="Times New Roman"/>
          <w:bCs/>
          <w:sz w:val="20"/>
          <w:szCs w:val="20"/>
          <w:lang w:val="bg-BG" w:eastAsia="bg-BG"/>
        </w:rPr>
        <w:t>4</w:t>
      </w:r>
      <w:r w:rsidRPr="00DD0673">
        <w:rPr>
          <w:rFonts w:ascii="Verdana" w:eastAsia="Times New Roman" w:hAnsi="Verdana" w:cs="Times New Roman"/>
          <w:bCs/>
          <w:sz w:val="20"/>
          <w:szCs w:val="20"/>
          <w:lang w:val="bg-BG" w:eastAsia="bg-BG"/>
        </w:rPr>
        <w:t xml:space="preserve"> бройки.</w:t>
      </w:r>
    </w:p>
    <w:p w:rsidR="00DD0673" w:rsidRPr="00DD0673" w:rsidRDefault="00DD0673" w:rsidP="00231C17">
      <w:pPr>
        <w:widowControl w:val="0"/>
        <w:autoSpaceDE w:val="0"/>
        <w:autoSpaceDN w:val="0"/>
        <w:adjustRightInd w:val="0"/>
        <w:spacing w:after="0" w:line="360" w:lineRule="auto"/>
        <w:ind w:firstLine="709"/>
        <w:jc w:val="both"/>
        <w:rPr>
          <w:rFonts w:ascii="Verdana" w:eastAsia="Times New Roman" w:hAnsi="Verdana" w:cs="Times New Roman"/>
          <w:bCs/>
          <w:sz w:val="20"/>
          <w:szCs w:val="20"/>
          <w:lang w:val="bg-BG" w:eastAsia="bg-BG"/>
        </w:rPr>
      </w:pPr>
    </w:p>
    <w:p w:rsidR="00DD0673" w:rsidRPr="00DD0673" w:rsidRDefault="00DD0673" w:rsidP="00DD0673">
      <w:pPr>
        <w:widowControl w:val="0"/>
        <w:autoSpaceDE w:val="0"/>
        <w:autoSpaceDN w:val="0"/>
        <w:adjustRightInd w:val="0"/>
        <w:spacing w:after="0" w:line="360" w:lineRule="auto"/>
        <w:ind w:firstLine="709"/>
        <w:jc w:val="both"/>
        <w:rPr>
          <w:rFonts w:ascii="Verdana" w:eastAsia="Times New Roman" w:hAnsi="Verdana" w:cs="Times New Roman"/>
          <w:bCs/>
          <w:sz w:val="20"/>
          <w:szCs w:val="20"/>
          <w:lang w:val="bg-BG" w:eastAsia="bg-BG"/>
        </w:rPr>
      </w:pPr>
      <w:r w:rsidRPr="00DD0673">
        <w:rPr>
          <w:rFonts w:ascii="Verdana" w:eastAsia="Times New Roman" w:hAnsi="Verdana" w:cs="Times New Roman"/>
          <w:bCs/>
          <w:sz w:val="20"/>
          <w:szCs w:val="20"/>
          <w:lang w:val="bg-BG" w:eastAsia="bg-BG"/>
        </w:rPr>
        <w:t xml:space="preserve">Следваща необходимост от увеличаване на числеността на щатните бройки, предвид извършеният анализ и предстоящото прилагане на ОСП от 01 януари 2023 г. е констатирана в </w:t>
      </w:r>
      <w:r w:rsidRPr="00DD0673">
        <w:rPr>
          <w:rFonts w:ascii="Verdana" w:eastAsia="Times New Roman" w:hAnsi="Verdana" w:cs="Times New Roman"/>
          <w:b/>
          <w:bCs/>
          <w:sz w:val="20"/>
          <w:szCs w:val="20"/>
          <w:lang w:val="bg-BG" w:eastAsia="bg-BG"/>
        </w:rPr>
        <w:t>дирекция „Технически инспекторат“</w:t>
      </w:r>
      <w:r w:rsidRPr="00DD0673">
        <w:rPr>
          <w:rFonts w:ascii="Verdana" w:eastAsia="Times New Roman" w:hAnsi="Verdana" w:cs="Times New Roman"/>
          <w:bCs/>
          <w:sz w:val="20"/>
          <w:szCs w:val="20"/>
          <w:lang w:val="bg-BG" w:eastAsia="bg-BG"/>
        </w:rPr>
        <w:t xml:space="preserve">. За оценката на качеството на системата за мониторинг на площ и частта от оценката на качеството на системата за заявяване по отношение на коректност на площта в заявлението, които следва да бъде функционална част от Интегрираната система за администриране и контрол по силата на чл. 70 от Регламент (ЕС) 2021/2116 (в сила </w:t>
      </w:r>
      <w:r w:rsidRPr="00DD0673">
        <w:rPr>
          <w:rFonts w:ascii="Verdana" w:eastAsia="Times New Roman" w:hAnsi="Verdana" w:cs="Times New Roman"/>
          <w:bCs/>
          <w:sz w:val="20"/>
          <w:szCs w:val="20"/>
          <w:lang w:val="bg-BG" w:eastAsia="bg-BG"/>
        </w:rPr>
        <w:lastRenderedPageBreak/>
        <w:t>от 1 януари 2023 г.), се поражда ангажимент да се извършват проверки на място или чрез анализ на изображения от същата календарна година, които да са със същото качество покриващо изискванията на член 68, параграф 3 от Регламент (ЕС) 2021/2116. Проверките на място няма пречка да се извършват по всяко време през годината и доколкото е възможно, следва да обхващат всички условия допустимост за всички интервенции заявени на дадения парцел. Това обуславя необходимостта административния капацитет на дирекцията да бъде подобрен, като числеността се увели</w:t>
      </w:r>
      <w:r>
        <w:rPr>
          <w:rFonts w:ascii="Verdana" w:eastAsia="Times New Roman" w:hAnsi="Verdana" w:cs="Times New Roman"/>
          <w:bCs/>
          <w:sz w:val="20"/>
          <w:szCs w:val="20"/>
          <w:lang w:val="bg-BG" w:eastAsia="bg-BG"/>
        </w:rPr>
        <w:t>чи</w:t>
      </w:r>
      <w:r w:rsidRPr="00DD0673">
        <w:rPr>
          <w:rFonts w:ascii="Verdana" w:eastAsia="Times New Roman" w:hAnsi="Verdana" w:cs="Times New Roman"/>
          <w:bCs/>
          <w:sz w:val="20"/>
          <w:szCs w:val="20"/>
          <w:lang w:val="bg-BG" w:eastAsia="bg-BG"/>
        </w:rPr>
        <w:t xml:space="preserve"> с </w:t>
      </w:r>
      <w:r w:rsidR="00500279">
        <w:rPr>
          <w:rFonts w:ascii="Verdana" w:eastAsia="Times New Roman" w:hAnsi="Verdana" w:cs="Times New Roman"/>
          <w:bCs/>
          <w:sz w:val="20"/>
          <w:szCs w:val="20"/>
          <w:lang w:val="bg-BG" w:eastAsia="bg-BG"/>
        </w:rPr>
        <w:t>9</w:t>
      </w:r>
      <w:r w:rsidR="00500279" w:rsidRPr="00DD0673">
        <w:rPr>
          <w:rFonts w:ascii="Verdana" w:eastAsia="Times New Roman" w:hAnsi="Verdana" w:cs="Times New Roman"/>
          <w:bCs/>
          <w:sz w:val="20"/>
          <w:szCs w:val="20"/>
          <w:lang w:val="bg-BG" w:eastAsia="bg-BG"/>
        </w:rPr>
        <w:t xml:space="preserve"> </w:t>
      </w:r>
      <w:r w:rsidRPr="00DD0673">
        <w:rPr>
          <w:rFonts w:ascii="Verdana" w:eastAsia="Times New Roman" w:hAnsi="Verdana" w:cs="Times New Roman"/>
          <w:bCs/>
          <w:sz w:val="20"/>
          <w:szCs w:val="20"/>
          <w:lang w:val="bg-BG" w:eastAsia="bg-BG"/>
        </w:rPr>
        <w:t>щатни бройки.</w:t>
      </w:r>
    </w:p>
    <w:p w:rsidR="00DD0673" w:rsidRDefault="00DD0673" w:rsidP="00DD0673">
      <w:pPr>
        <w:widowControl w:val="0"/>
        <w:autoSpaceDE w:val="0"/>
        <w:autoSpaceDN w:val="0"/>
        <w:adjustRightInd w:val="0"/>
        <w:spacing w:after="0" w:line="360" w:lineRule="auto"/>
        <w:ind w:firstLine="709"/>
        <w:jc w:val="both"/>
        <w:rPr>
          <w:rFonts w:ascii="Verdana" w:eastAsia="Times New Roman" w:hAnsi="Verdana" w:cs="Times New Roman"/>
          <w:bCs/>
          <w:sz w:val="20"/>
          <w:szCs w:val="20"/>
          <w:lang w:val="bg-BG" w:eastAsia="bg-BG"/>
        </w:rPr>
      </w:pPr>
    </w:p>
    <w:p w:rsidR="00DD0673" w:rsidRPr="00DD0673" w:rsidRDefault="00DD0673" w:rsidP="00DD0673">
      <w:pPr>
        <w:widowControl w:val="0"/>
        <w:autoSpaceDE w:val="0"/>
        <w:autoSpaceDN w:val="0"/>
        <w:adjustRightInd w:val="0"/>
        <w:spacing w:after="0" w:line="360" w:lineRule="auto"/>
        <w:ind w:firstLine="709"/>
        <w:jc w:val="both"/>
        <w:rPr>
          <w:rFonts w:ascii="Verdana" w:eastAsia="Times New Roman" w:hAnsi="Verdana" w:cs="Times New Roman"/>
          <w:bCs/>
          <w:sz w:val="20"/>
          <w:szCs w:val="20"/>
          <w:lang w:val="bg-BG" w:eastAsia="bg-BG"/>
        </w:rPr>
      </w:pPr>
      <w:r w:rsidRPr="00DD0673">
        <w:rPr>
          <w:rFonts w:ascii="Verdana" w:eastAsia="Times New Roman" w:hAnsi="Verdana" w:cs="Times New Roman"/>
          <w:bCs/>
          <w:sz w:val="20"/>
          <w:szCs w:val="20"/>
          <w:lang w:val="bg-BG" w:eastAsia="bg-BG"/>
        </w:rPr>
        <w:t>Резултатите от анализ</w:t>
      </w:r>
      <w:r w:rsidR="00163DC6">
        <w:rPr>
          <w:rFonts w:ascii="Verdana" w:eastAsia="Times New Roman" w:hAnsi="Verdana" w:cs="Times New Roman"/>
          <w:bCs/>
          <w:sz w:val="20"/>
          <w:szCs w:val="20"/>
          <w:lang w:eastAsia="bg-BG"/>
        </w:rPr>
        <w:t>a</w:t>
      </w:r>
      <w:r w:rsidRPr="00DD0673">
        <w:rPr>
          <w:rFonts w:ascii="Verdana" w:eastAsia="Times New Roman" w:hAnsi="Verdana" w:cs="Times New Roman"/>
          <w:bCs/>
          <w:sz w:val="20"/>
          <w:szCs w:val="20"/>
          <w:lang w:val="bg-BG" w:eastAsia="bg-BG"/>
        </w:rPr>
        <w:t xml:space="preserve"> очертават необходимост щатните бройки в </w:t>
      </w:r>
      <w:r w:rsidRPr="00DD0673">
        <w:rPr>
          <w:rFonts w:ascii="Verdana" w:eastAsia="Times New Roman" w:hAnsi="Verdana" w:cs="Times New Roman"/>
          <w:b/>
          <w:bCs/>
          <w:sz w:val="20"/>
          <w:szCs w:val="20"/>
          <w:lang w:val="bg-BG" w:eastAsia="bg-BG"/>
        </w:rPr>
        <w:t>дирекция „Директни плащания“</w:t>
      </w:r>
      <w:r w:rsidRPr="00DD0673">
        <w:rPr>
          <w:rFonts w:ascii="Verdana" w:eastAsia="Times New Roman" w:hAnsi="Verdana" w:cs="Times New Roman"/>
          <w:bCs/>
          <w:sz w:val="20"/>
          <w:szCs w:val="20"/>
          <w:lang w:val="bg-BG" w:eastAsia="bg-BG"/>
        </w:rPr>
        <w:t xml:space="preserve"> да бъдат увеличени с </w:t>
      </w:r>
      <w:r w:rsidR="00500279">
        <w:rPr>
          <w:rFonts w:ascii="Verdana" w:eastAsia="Times New Roman" w:hAnsi="Verdana" w:cs="Times New Roman"/>
          <w:bCs/>
          <w:sz w:val="20"/>
          <w:szCs w:val="20"/>
          <w:lang w:val="bg-BG" w:eastAsia="bg-BG"/>
        </w:rPr>
        <w:t>13</w:t>
      </w:r>
      <w:r w:rsidR="00500279" w:rsidRPr="00DD0673">
        <w:rPr>
          <w:rFonts w:ascii="Verdana" w:eastAsia="Times New Roman" w:hAnsi="Verdana" w:cs="Times New Roman"/>
          <w:bCs/>
          <w:sz w:val="20"/>
          <w:szCs w:val="20"/>
          <w:lang w:val="bg-BG" w:eastAsia="bg-BG"/>
        </w:rPr>
        <w:t xml:space="preserve"> </w:t>
      </w:r>
      <w:r w:rsidRPr="00DD0673">
        <w:rPr>
          <w:rFonts w:ascii="Verdana" w:eastAsia="Times New Roman" w:hAnsi="Verdana" w:cs="Times New Roman"/>
          <w:bCs/>
          <w:sz w:val="20"/>
          <w:szCs w:val="20"/>
          <w:lang w:val="bg-BG" w:eastAsia="bg-BG"/>
        </w:rPr>
        <w:t>щатни бройки, предвид следните аргументи:</w:t>
      </w:r>
    </w:p>
    <w:p w:rsidR="00DD0673" w:rsidRPr="00DD0673" w:rsidRDefault="00DD0673" w:rsidP="00DD0673">
      <w:pPr>
        <w:widowControl w:val="0"/>
        <w:autoSpaceDE w:val="0"/>
        <w:autoSpaceDN w:val="0"/>
        <w:adjustRightInd w:val="0"/>
        <w:spacing w:after="0" w:line="360" w:lineRule="auto"/>
        <w:ind w:firstLine="709"/>
        <w:jc w:val="both"/>
        <w:rPr>
          <w:rFonts w:ascii="Verdana" w:eastAsia="Times New Roman" w:hAnsi="Verdana" w:cs="Times New Roman"/>
          <w:bCs/>
          <w:sz w:val="20"/>
          <w:szCs w:val="20"/>
          <w:lang w:val="bg-BG" w:eastAsia="bg-BG"/>
        </w:rPr>
      </w:pPr>
      <w:r w:rsidRPr="00DD0673">
        <w:rPr>
          <w:rFonts w:ascii="Verdana" w:eastAsia="Times New Roman" w:hAnsi="Verdana" w:cs="Times New Roman"/>
          <w:bCs/>
          <w:sz w:val="20"/>
          <w:szCs w:val="20"/>
          <w:lang w:val="bg-BG" w:eastAsia="bg-BG"/>
        </w:rPr>
        <w:t xml:space="preserve">Към 2022 г. заявленията за подпомагане обработвани от дирекцията са увеличили обема си с 125%, спрямо заявленията за периода 2007-2013 г., като от прилагани 12 мерки за периода 2007-2013 г., същите са станали 27 за периода 2014-2020  г. </w:t>
      </w:r>
    </w:p>
    <w:p w:rsidR="00DD0673" w:rsidRPr="00DD0673" w:rsidRDefault="00DD0673" w:rsidP="00DD0673">
      <w:pPr>
        <w:widowControl w:val="0"/>
        <w:autoSpaceDE w:val="0"/>
        <w:autoSpaceDN w:val="0"/>
        <w:adjustRightInd w:val="0"/>
        <w:spacing w:after="0" w:line="360" w:lineRule="auto"/>
        <w:ind w:firstLine="709"/>
        <w:jc w:val="both"/>
        <w:rPr>
          <w:rFonts w:ascii="Verdana" w:eastAsia="Times New Roman" w:hAnsi="Verdana" w:cs="Times New Roman"/>
          <w:bCs/>
          <w:sz w:val="20"/>
          <w:szCs w:val="20"/>
          <w:lang w:val="bg-BG" w:eastAsia="bg-BG"/>
        </w:rPr>
      </w:pPr>
      <w:r w:rsidRPr="00DD0673">
        <w:rPr>
          <w:rFonts w:ascii="Verdana" w:eastAsia="Times New Roman" w:hAnsi="Verdana" w:cs="Times New Roman"/>
          <w:bCs/>
          <w:sz w:val="20"/>
          <w:szCs w:val="20"/>
          <w:lang w:val="bg-BG" w:eastAsia="bg-BG"/>
        </w:rPr>
        <w:t>Въпреки че администрирането на подаваните заявления за подпомагане по схемите за директни плащания в голяма степен е автоматизирано през ИСАК има дейности, които ангажират човешки потенциал, тъй като големият брой кандидати и документи, както и необходимостта от едновременното им преминаване през различните етапи, налага значителен обем от проверки, като съобразно специфичните изисквания на част от прилаганите схеми, се извършват изцяло ръчно от служители в дирекцията.</w:t>
      </w:r>
    </w:p>
    <w:p w:rsidR="00DD0673" w:rsidRPr="00DD0673" w:rsidRDefault="00DD0673" w:rsidP="00DD0673">
      <w:pPr>
        <w:widowControl w:val="0"/>
        <w:autoSpaceDE w:val="0"/>
        <w:autoSpaceDN w:val="0"/>
        <w:adjustRightInd w:val="0"/>
        <w:spacing w:after="0" w:line="360" w:lineRule="auto"/>
        <w:ind w:firstLine="709"/>
        <w:jc w:val="both"/>
        <w:rPr>
          <w:rFonts w:ascii="Verdana" w:eastAsia="Times New Roman" w:hAnsi="Verdana" w:cs="Times New Roman"/>
          <w:bCs/>
          <w:sz w:val="20"/>
          <w:szCs w:val="20"/>
          <w:lang w:val="bg-BG" w:eastAsia="bg-BG"/>
        </w:rPr>
      </w:pPr>
      <w:r w:rsidRPr="00DD0673">
        <w:rPr>
          <w:rFonts w:ascii="Verdana" w:eastAsia="Times New Roman" w:hAnsi="Verdana" w:cs="Times New Roman"/>
          <w:bCs/>
          <w:sz w:val="20"/>
          <w:szCs w:val="20"/>
          <w:lang w:val="bg-BG" w:eastAsia="bg-BG"/>
        </w:rPr>
        <w:t xml:space="preserve">Допълнително под внимание следва да се вземе предстоящото прилагане на ОСП от 01 януари 2023 г., при което очакваният брой интервенции, които ще бъдат прилагани от дирекцията се покачва на 56 броя, характеризиращи се със значително по-сложен механизъм на администриране и извършване на контрол при прилагането им. </w:t>
      </w:r>
    </w:p>
    <w:p w:rsidR="00DD0673" w:rsidRPr="00DD0673" w:rsidRDefault="00DD0673" w:rsidP="00DD0673">
      <w:pPr>
        <w:widowControl w:val="0"/>
        <w:autoSpaceDE w:val="0"/>
        <w:autoSpaceDN w:val="0"/>
        <w:adjustRightInd w:val="0"/>
        <w:spacing w:after="0" w:line="360" w:lineRule="auto"/>
        <w:ind w:firstLine="709"/>
        <w:jc w:val="both"/>
        <w:rPr>
          <w:rFonts w:ascii="Verdana" w:eastAsia="Times New Roman" w:hAnsi="Verdana" w:cs="Times New Roman"/>
          <w:bCs/>
          <w:sz w:val="20"/>
          <w:szCs w:val="20"/>
          <w:lang w:val="bg-BG" w:eastAsia="bg-BG"/>
        </w:rPr>
      </w:pPr>
      <w:r w:rsidRPr="00DD0673">
        <w:rPr>
          <w:rFonts w:ascii="Verdana" w:eastAsia="Times New Roman" w:hAnsi="Verdana" w:cs="Times New Roman"/>
          <w:bCs/>
          <w:sz w:val="20"/>
          <w:szCs w:val="20"/>
          <w:lang w:val="bg-BG" w:eastAsia="bg-BG"/>
        </w:rPr>
        <w:t>Тези дейности, прилагани успоредно с действащата кампания от програмния период 2014-2022 и работата по издаване на актове за одобрение/неодобрение, АПМА и АУПДВ, не биха могли да се осъществят успешно и в срок с наличния състав на дирекцията.</w:t>
      </w:r>
    </w:p>
    <w:p w:rsidR="00DD0673" w:rsidRDefault="00DD0673" w:rsidP="00DD0673">
      <w:pPr>
        <w:widowControl w:val="0"/>
        <w:autoSpaceDE w:val="0"/>
        <w:autoSpaceDN w:val="0"/>
        <w:adjustRightInd w:val="0"/>
        <w:spacing w:after="0" w:line="360" w:lineRule="auto"/>
        <w:ind w:firstLine="709"/>
        <w:jc w:val="both"/>
        <w:rPr>
          <w:rFonts w:ascii="Verdana" w:eastAsia="Times New Roman" w:hAnsi="Verdana" w:cs="Times New Roman"/>
          <w:bCs/>
          <w:sz w:val="20"/>
          <w:szCs w:val="20"/>
          <w:lang w:val="bg-BG" w:eastAsia="bg-BG"/>
        </w:rPr>
      </w:pPr>
    </w:p>
    <w:p w:rsidR="00DD0673" w:rsidRPr="00DD0673" w:rsidRDefault="00DD0673" w:rsidP="00DD0673">
      <w:pPr>
        <w:widowControl w:val="0"/>
        <w:autoSpaceDE w:val="0"/>
        <w:autoSpaceDN w:val="0"/>
        <w:adjustRightInd w:val="0"/>
        <w:spacing w:after="0" w:line="360" w:lineRule="auto"/>
        <w:ind w:firstLine="709"/>
        <w:jc w:val="both"/>
        <w:rPr>
          <w:rFonts w:ascii="Verdana" w:eastAsia="Times New Roman" w:hAnsi="Verdana" w:cs="Times New Roman"/>
          <w:bCs/>
          <w:sz w:val="20"/>
          <w:szCs w:val="20"/>
          <w:lang w:val="bg-BG" w:eastAsia="bg-BG"/>
        </w:rPr>
      </w:pPr>
      <w:r w:rsidRPr="00DD0673">
        <w:rPr>
          <w:rFonts w:ascii="Verdana" w:eastAsia="Times New Roman" w:hAnsi="Verdana" w:cs="Times New Roman"/>
          <w:bCs/>
          <w:sz w:val="20"/>
          <w:szCs w:val="20"/>
          <w:lang w:val="bg-BG" w:eastAsia="bg-BG"/>
        </w:rPr>
        <w:t xml:space="preserve">Извършеният анализ показва и необходимост от увеличаване на щатния брой на служителите в </w:t>
      </w:r>
      <w:r w:rsidRPr="00DD0673">
        <w:rPr>
          <w:rFonts w:ascii="Verdana" w:eastAsia="Times New Roman" w:hAnsi="Verdana" w:cs="Times New Roman"/>
          <w:b/>
          <w:bCs/>
          <w:sz w:val="20"/>
          <w:szCs w:val="20"/>
          <w:lang w:val="bg-BG" w:eastAsia="bg-BG"/>
        </w:rPr>
        <w:t xml:space="preserve">дирекция „Краткосрочни схеми за подпомагане“ </w:t>
      </w:r>
      <w:r w:rsidRPr="00DD0673">
        <w:rPr>
          <w:rFonts w:ascii="Verdana" w:eastAsia="Times New Roman" w:hAnsi="Verdana" w:cs="Times New Roman"/>
          <w:bCs/>
          <w:sz w:val="20"/>
          <w:szCs w:val="20"/>
          <w:lang w:val="bg-BG" w:eastAsia="bg-BG"/>
        </w:rPr>
        <w:t xml:space="preserve">с 2 щатни бройки. </w:t>
      </w:r>
    </w:p>
    <w:p w:rsidR="00DD0673" w:rsidRPr="00DD0673" w:rsidRDefault="00DD0673" w:rsidP="00DD0673">
      <w:pPr>
        <w:widowControl w:val="0"/>
        <w:autoSpaceDE w:val="0"/>
        <w:autoSpaceDN w:val="0"/>
        <w:adjustRightInd w:val="0"/>
        <w:spacing w:after="0" w:line="360" w:lineRule="auto"/>
        <w:ind w:firstLine="709"/>
        <w:jc w:val="both"/>
        <w:rPr>
          <w:rFonts w:ascii="Verdana" w:eastAsia="Times New Roman" w:hAnsi="Verdana" w:cs="Times New Roman"/>
          <w:bCs/>
          <w:sz w:val="20"/>
          <w:szCs w:val="20"/>
          <w:lang w:val="bg-BG" w:eastAsia="bg-BG"/>
        </w:rPr>
      </w:pPr>
      <w:r w:rsidRPr="00DD0673">
        <w:rPr>
          <w:rFonts w:ascii="Verdana" w:eastAsia="Times New Roman" w:hAnsi="Verdana" w:cs="Times New Roman"/>
          <w:bCs/>
          <w:sz w:val="20"/>
          <w:szCs w:val="20"/>
          <w:lang w:val="bg-BG" w:eastAsia="bg-BG"/>
        </w:rPr>
        <w:t>За 2021 г. са извършени плащания по близо 47 хиляди заяв</w:t>
      </w:r>
      <w:r>
        <w:rPr>
          <w:rFonts w:ascii="Verdana" w:eastAsia="Times New Roman" w:hAnsi="Verdana" w:cs="Times New Roman"/>
          <w:bCs/>
          <w:sz w:val="20"/>
          <w:szCs w:val="20"/>
          <w:lang w:val="bg-BG" w:eastAsia="bg-BG"/>
        </w:rPr>
        <w:t xml:space="preserve">ления за държавно подпомагане. </w:t>
      </w:r>
      <w:r w:rsidRPr="00DD0673">
        <w:rPr>
          <w:rFonts w:ascii="Verdana" w:eastAsia="Times New Roman" w:hAnsi="Verdana" w:cs="Times New Roman"/>
          <w:bCs/>
          <w:sz w:val="20"/>
          <w:szCs w:val="20"/>
          <w:lang w:val="bg-BG" w:eastAsia="bg-BG"/>
        </w:rPr>
        <w:t xml:space="preserve">Към настоящия момент на 2022 г., администрираните заявления за подпомагане по схемите за държавни помощи са в размер на близо 49 хиляди заявления, което е 50 % от всички приети заявления за периода 2007-2013 </w:t>
      </w:r>
      <w:r w:rsidRPr="00DD0673">
        <w:rPr>
          <w:rFonts w:ascii="Verdana" w:eastAsia="Times New Roman" w:hAnsi="Verdana" w:cs="Times New Roman"/>
          <w:bCs/>
          <w:sz w:val="20"/>
          <w:szCs w:val="20"/>
          <w:lang w:val="bg-BG" w:eastAsia="bg-BG"/>
        </w:rPr>
        <w:lastRenderedPageBreak/>
        <w:t>г. До края на настоящата година се очаква нов прием на допълнителни 40 хиляди заявления по схема за подпомагане „Помощ в подкрепа на ликвидността на земеделски стопани за преодоляване на негативното икономическо въздействие на руската агресия срещу Украйна“ с планиран бюджет в размер на 426 млн. лв.,  с което общият брой заявления за 2022 г. са два пъти повече от 2021 година.</w:t>
      </w:r>
    </w:p>
    <w:p w:rsidR="00DD0673" w:rsidRPr="00DD0673" w:rsidRDefault="00DD0673" w:rsidP="00DD0673">
      <w:pPr>
        <w:widowControl w:val="0"/>
        <w:autoSpaceDE w:val="0"/>
        <w:autoSpaceDN w:val="0"/>
        <w:adjustRightInd w:val="0"/>
        <w:spacing w:after="0" w:line="360" w:lineRule="auto"/>
        <w:ind w:firstLine="709"/>
        <w:jc w:val="both"/>
        <w:rPr>
          <w:rFonts w:ascii="Verdana" w:eastAsia="Times New Roman" w:hAnsi="Verdana" w:cs="Times New Roman"/>
          <w:bCs/>
          <w:sz w:val="20"/>
          <w:szCs w:val="20"/>
          <w:lang w:val="bg-BG" w:eastAsia="bg-BG"/>
        </w:rPr>
      </w:pPr>
      <w:r w:rsidRPr="00DD0673">
        <w:rPr>
          <w:rFonts w:ascii="Verdana" w:eastAsia="Times New Roman" w:hAnsi="Verdana" w:cs="Times New Roman"/>
          <w:bCs/>
          <w:sz w:val="20"/>
          <w:szCs w:val="20"/>
          <w:lang w:val="bg-BG" w:eastAsia="bg-BG"/>
        </w:rPr>
        <w:t xml:space="preserve">Към настоящия момент на 2022 г., изплатените средства възлизат на сума в размер на 252, 5 млн. лв. спрямо 221 млн. лв. за 2021, което е увеличение с близо 15 на сто. Наред с утвърдения към момента бюджет по краткосрочни схеми за подпомагане, в размер на близо 304, 5млн. лв., както и с допълнително осигурените средства в размер на 444, 7 млн. лв., дирекцията ще управлява бюджет в размер на близо 750 млн. лв., което се равнява на общо разплатения ресурс за предходните 4 години.  </w:t>
      </w:r>
    </w:p>
    <w:p w:rsidR="00DD0673" w:rsidRPr="00DD0673" w:rsidRDefault="00DD0673" w:rsidP="00DD0673">
      <w:pPr>
        <w:widowControl w:val="0"/>
        <w:autoSpaceDE w:val="0"/>
        <w:autoSpaceDN w:val="0"/>
        <w:adjustRightInd w:val="0"/>
        <w:spacing w:after="0" w:line="360" w:lineRule="auto"/>
        <w:ind w:firstLine="709"/>
        <w:jc w:val="both"/>
        <w:rPr>
          <w:rFonts w:ascii="Verdana" w:eastAsia="Times New Roman" w:hAnsi="Verdana" w:cs="Times New Roman"/>
          <w:bCs/>
          <w:sz w:val="20"/>
          <w:szCs w:val="20"/>
          <w:lang w:val="bg-BG" w:eastAsia="bg-BG"/>
        </w:rPr>
      </w:pPr>
      <w:r w:rsidRPr="00DD0673">
        <w:rPr>
          <w:rFonts w:ascii="Verdana" w:eastAsia="Times New Roman" w:hAnsi="Verdana" w:cs="Times New Roman"/>
          <w:bCs/>
          <w:sz w:val="20"/>
          <w:szCs w:val="20"/>
          <w:lang w:val="bg-BG" w:eastAsia="bg-BG"/>
        </w:rPr>
        <w:t>През 2023 г. планираният бюджет за краткосрочни схеми за подпомагане запазва ръста си, като е предвиден бюджет в размер на близо  476 млн. лв.</w:t>
      </w:r>
    </w:p>
    <w:p w:rsidR="00DD0673" w:rsidRDefault="00DD0673" w:rsidP="00231C17">
      <w:pPr>
        <w:widowControl w:val="0"/>
        <w:autoSpaceDE w:val="0"/>
        <w:autoSpaceDN w:val="0"/>
        <w:adjustRightInd w:val="0"/>
        <w:spacing w:after="0" w:line="360" w:lineRule="auto"/>
        <w:ind w:firstLine="709"/>
        <w:jc w:val="both"/>
        <w:rPr>
          <w:rFonts w:ascii="Verdana" w:eastAsia="Times New Roman" w:hAnsi="Verdana" w:cs="Times New Roman"/>
          <w:bCs/>
          <w:sz w:val="20"/>
          <w:szCs w:val="20"/>
          <w:lang w:val="bg-BG" w:eastAsia="bg-BG"/>
        </w:rPr>
      </w:pPr>
    </w:p>
    <w:p w:rsidR="00392498" w:rsidRPr="00392498" w:rsidRDefault="00392498" w:rsidP="00392498">
      <w:pPr>
        <w:widowControl w:val="0"/>
        <w:autoSpaceDE w:val="0"/>
        <w:autoSpaceDN w:val="0"/>
        <w:adjustRightInd w:val="0"/>
        <w:spacing w:after="0" w:line="360" w:lineRule="auto"/>
        <w:ind w:firstLine="709"/>
        <w:jc w:val="both"/>
        <w:rPr>
          <w:rFonts w:ascii="Verdana" w:eastAsia="Times New Roman" w:hAnsi="Verdana" w:cs="Times New Roman"/>
          <w:b/>
          <w:bCs/>
          <w:sz w:val="20"/>
          <w:szCs w:val="20"/>
          <w:lang w:val="bg-BG" w:eastAsia="bg-BG"/>
        </w:rPr>
      </w:pPr>
      <w:r w:rsidRPr="00392498">
        <w:rPr>
          <w:rFonts w:ascii="Verdana" w:eastAsia="Times New Roman" w:hAnsi="Verdana" w:cs="Times New Roman"/>
          <w:b/>
          <w:bCs/>
          <w:sz w:val="20"/>
          <w:szCs w:val="20"/>
          <w:lang w:val="bg-BG" w:eastAsia="bg-BG"/>
        </w:rPr>
        <w:t>Причини, които налагат извършване на структурни промени в Д</w:t>
      </w:r>
      <w:r w:rsidR="001E4519">
        <w:rPr>
          <w:rFonts w:ascii="Verdana" w:eastAsia="Times New Roman" w:hAnsi="Verdana" w:cs="Times New Roman"/>
          <w:b/>
          <w:bCs/>
          <w:sz w:val="20"/>
          <w:szCs w:val="20"/>
          <w:lang w:val="bg-BG" w:eastAsia="bg-BG"/>
        </w:rPr>
        <w:t>ържавен фонд</w:t>
      </w:r>
      <w:r w:rsidRPr="00392498">
        <w:rPr>
          <w:rFonts w:ascii="Verdana" w:eastAsia="Times New Roman" w:hAnsi="Verdana" w:cs="Times New Roman"/>
          <w:b/>
          <w:bCs/>
          <w:sz w:val="20"/>
          <w:szCs w:val="20"/>
          <w:lang w:val="bg-BG" w:eastAsia="bg-BG"/>
        </w:rPr>
        <w:t xml:space="preserve"> „Земеделие“</w:t>
      </w:r>
    </w:p>
    <w:p w:rsidR="00392498" w:rsidRPr="008A123C" w:rsidRDefault="00392498" w:rsidP="00392498">
      <w:pPr>
        <w:widowControl w:val="0"/>
        <w:autoSpaceDE w:val="0"/>
        <w:autoSpaceDN w:val="0"/>
        <w:adjustRightInd w:val="0"/>
        <w:spacing w:after="0" w:line="360" w:lineRule="auto"/>
        <w:ind w:firstLine="709"/>
        <w:jc w:val="both"/>
        <w:rPr>
          <w:rFonts w:ascii="Verdana" w:eastAsia="Times New Roman" w:hAnsi="Verdana" w:cs="Times New Roman"/>
          <w:bCs/>
          <w:sz w:val="20"/>
          <w:szCs w:val="20"/>
          <w:lang w:val="bg-BG" w:eastAsia="bg-BG"/>
        </w:rPr>
      </w:pPr>
      <w:r w:rsidRPr="00392498">
        <w:rPr>
          <w:rFonts w:ascii="Verdana" w:eastAsia="Times New Roman" w:hAnsi="Verdana" w:cs="Times New Roman"/>
          <w:bCs/>
          <w:sz w:val="20"/>
          <w:szCs w:val="20"/>
          <w:lang w:val="bg-BG" w:eastAsia="bg-BG"/>
        </w:rPr>
        <w:t>В Устройствения правилник е необходимо да се отразят и належащите структурни промени с цел ефективно упра</w:t>
      </w:r>
      <w:r w:rsidR="001E4519">
        <w:rPr>
          <w:rFonts w:ascii="Verdana" w:eastAsia="Times New Roman" w:hAnsi="Verdana" w:cs="Times New Roman"/>
          <w:bCs/>
          <w:sz w:val="20"/>
          <w:szCs w:val="20"/>
          <w:lang w:val="bg-BG" w:eastAsia="bg-BG"/>
        </w:rPr>
        <w:t>вление на процесите, за които Държавен фонд</w:t>
      </w:r>
      <w:r w:rsidRPr="00392498">
        <w:rPr>
          <w:rFonts w:ascii="Verdana" w:eastAsia="Times New Roman" w:hAnsi="Verdana" w:cs="Times New Roman"/>
          <w:bCs/>
          <w:sz w:val="20"/>
          <w:szCs w:val="20"/>
          <w:lang w:val="bg-BG" w:eastAsia="bg-BG"/>
        </w:rPr>
        <w:t xml:space="preserve"> „Земеделие“ отговоря съгласно европейското и национално законодателство.</w:t>
      </w:r>
    </w:p>
    <w:p w:rsidR="005115F5" w:rsidRDefault="00392498" w:rsidP="005115F5">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rPr>
      </w:pPr>
      <w:r>
        <w:rPr>
          <w:rFonts w:ascii="Verdana" w:eastAsia="Times New Roman" w:hAnsi="Verdana" w:cs="Times New Roman"/>
          <w:sz w:val="20"/>
          <w:szCs w:val="20"/>
          <w:lang w:val="bg-BG" w:eastAsia="bg-BG"/>
        </w:rPr>
        <w:t>Н</w:t>
      </w:r>
      <w:r w:rsidR="002E42C9" w:rsidRPr="002E42C9">
        <w:rPr>
          <w:rFonts w:ascii="Verdana" w:eastAsia="Times New Roman" w:hAnsi="Verdana" w:cs="Times New Roman"/>
          <w:sz w:val="20"/>
          <w:szCs w:val="20"/>
          <w:lang w:val="bg-BG" w:eastAsia="bg-BG"/>
        </w:rPr>
        <w:t xml:space="preserve">ормативно обусловена промяна е създаването на нова дирекция </w:t>
      </w:r>
      <w:r w:rsidR="002E42C9" w:rsidRPr="00392498">
        <w:rPr>
          <w:rFonts w:ascii="Verdana" w:eastAsia="Times New Roman" w:hAnsi="Verdana" w:cs="Times New Roman"/>
          <w:b/>
          <w:sz w:val="20"/>
          <w:szCs w:val="20"/>
          <w:lang w:val="bg-BG" w:eastAsia="bg-BG"/>
        </w:rPr>
        <w:t>„Мониторинг, докладване и оценка“</w:t>
      </w:r>
      <w:r w:rsidR="002E42C9" w:rsidRPr="002E42C9">
        <w:rPr>
          <w:rFonts w:ascii="Verdana" w:eastAsia="Times New Roman" w:hAnsi="Verdana" w:cs="Times New Roman"/>
          <w:sz w:val="20"/>
          <w:szCs w:val="20"/>
          <w:lang w:val="bg-BG" w:eastAsia="bg-BG"/>
        </w:rPr>
        <w:t xml:space="preserve"> с численост от 25 бройки в специализираната администрация на Държавен фонд „Земеделие“ – Разплащателна агенция в изпълнение на нормативни изисквания за следващият програмен период, която ще е свързана с изпълнението на допълнителни функции, свързани със създаването на Системата за мониторинг на площ.</w:t>
      </w:r>
      <w:r w:rsidR="002E42C9">
        <w:rPr>
          <w:rFonts w:ascii="Verdana" w:eastAsia="Times New Roman" w:hAnsi="Verdana" w:cs="Times New Roman"/>
          <w:sz w:val="20"/>
          <w:szCs w:val="20"/>
          <w:lang w:val="bg-BG" w:eastAsia="bg-BG"/>
        </w:rPr>
        <w:t xml:space="preserve"> </w:t>
      </w:r>
      <w:r w:rsidR="00694304" w:rsidRPr="00694304">
        <w:rPr>
          <w:rFonts w:ascii="Verdana" w:eastAsia="Times New Roman" w:hAnsi="Verdana" w:cs="Times New Roman"/>
          <w:sz w:val="20"/>
          <w:szCs w:val="20"/>
          <w:lang w:val="bg-BG" w:eastAsia="bg-BG"/>
        </w:rPr>
        <w:t>В изпълнение на изискване</w:t>
      </w:r>
      <w:r w:rsidR="00694304">
        <w:rPr>
          <w:rFonts w:ascii="Verdana" w:eastAsia="Times New Roman" w:hAnsi="Verdana" w:cs="Times New Roman"/>
          <w:sz w:val="20"/>
          <w:szCs w:val="20"/>
          <w:lang w:val="bg-BG" w:eastAsia="bg-BG"/>
        </w:rPr>
        <w:t xml:space="preserve">то на </w:t>
      </w:r>
      <w:r w:rsidR="002E42C9" w:rsidRPr="00C842F5">
        <w:rPr>
          <w:rFonts w:ascii="Verdana" w:eastAsia="Times New Roman" w:hAnsi="Verdana" w:cs="Times New Roman"/>
          <w:sz w:val="20"/>
          <w:szCs w:val="20"/>
          <w:lang w:val="bg-BG" w:eastAsia="bg-BG"/>
        </w:rPr>
        <w:t>чл. 70 от РЕГЛАМЕНТ (ЕС) 2021/2116 на Европейския парламент и на Съвета от 2 декември 2021 година относно финансирането, управлението и мониторинга на общата селскостопанска политика и за отмяна на Регламент (ЕС) № 1306/2013 (ОВ, L 435, 6.12.2021)</w:t>
      </w:r>
      <w:r w:rsidR="00694304">
        <w:rPr>
          <w:rFonts w:ascii="Verdana" w:eastAsia="Times New Roman" w:hAnsi="Verdana" w:cs="Times New Roman"/>
          <w:sz w:val="20"/>
          <w:szCs w:val="20"/>
          <w:lang w:val="bg-BG" w:eastAsia="bg-BG"/>
        </w:rPr>
        <w:t xml:space="preserve"> (</w:t>
      </w:r>
      <w:r w:rsidR="00694304" w:rsidRPr="00694304">
        <w:rPr>
          <w:rFonts w:ascii="Verdana" w:eastAsia="Times New Roman" w:hAnsi="Verdana" w:cs="Times New Roman"/>
          <w:sz w:val="20"/>
          <w:szCs w:val="20"/>
          <w:lang w:val="bg-BG" w:eastAsia="bg-BG"/>
        </w:rPr>
        <w:t>в сила от 1 януари 2023 г.</w:t>
      </w:r>
      <w:r w:rsidR="00694304">
        <w:rPr>
          <w:rFonts w:ascii="Verdana" w:eastAsia="Times New Roman" w:hAnsi="Verdana" w:cs="Times New Roman"/>
          <w:sz w:val="20"/>
          <w:szCs w:val="20"/>
          <w:lang w:val="bg-BG" w:eastAsia="bg-BG"/>
        </w:rPr>
        <w:t>), всяка държава членка следва да започне да прилага система за мониторинг на площта</w:t>
      </w:r>
      <w:r w:rsidR="00CF016D">
        <w:rPr>
          <w:rFonts w:ascii="Verdana" w:eastAsia="Times New Roman" w:hAnsi="Verdana" w:cs="Times New Roman"/>
          <w:sz w:val="20"/>
          <w:szCs w:val="20"/>
          <w:lang w:val="bg-BG" w:eastAsia="bg-BG"/>
        </w:rPr>
        <w:t xml:space="preserve"> като </w:t>
      </w:r>
      <w:r w:rsidR="00CF016D" w:rsidRPr="00CF016D">
        <w:rPr>
          <w:rFonts w:ascii="Verdana" w:eastAsia="Times New Roman" w:hAnsi="Verdana" w:cs="Times New Roman"/>
          <w:sz w:val="20"/>
          <w:szCs w:val="20"/>
          <w:lang w:val="bg-BG" w:eastAsia="bg-BG"/>
        </w:rPr>
        <w:t xml:space="preserve">функционална част от Интегрираната система за администриране и контрол (ИСАК), но </w:t>
      </w:r>
      <w:r w:rsidR="00CF016D">
        <w:rPr>
          <w:rFonts w:ascii="Verdana" w:eastAsia="Times New Roman" w:hAnsi="Verdana" w:cs="Times New Roman"/>
          <w:sz w:val="20"/>
          <w:szCs w:val="20"/>
          <w:lang w:val="bg-BG" w:eastAsia="bg-BG"/>
        </w:rPr>
        <w:t>с</w:t>
      </w:r>
      <w:r w:rsidR="00CF016D" w:rsidRPr="00CF016D">
        <w:rPr>
          <w:rFonts w:ascii="Verdana" w:eastAsia="Times New Roman" w:hAnsi="Verdana" w:cs="Times New Roman"/>
          <w:sz w:val="20"/>
          <w:szCs w:val="20"/>
          <w:lang w:val="bg-BG" w:eastAsia="bg-BG"/>
        </w:rPr>
        <w:t xml:space="preserve"> различни функции от системата за контрол и санкции, която е дефинирана в чл. 72 от </w:t>
      </w:r>
      <w:r w:rsidR="00CF016D">
        <w:rPr>
          <w:rFonts w:ascii="Verdana" w:eastAsia="Times New Roman" w:hAnsi="Verdana" w:cs="Times New Roman"/>
          <w:sz w:val="20"/>
          <w:szCs w:val="20"/>
          <w:lang w:val="bg-BG" w:eastAsia="bg-BG"/>
        </w:rPr>
        <w:t>същия регламент</w:t>
      </w:r>
      <w:r w:rsidR="00CF016D" w:rsidRPr="00CF016D">
        <w:rPr>
          <w:rFonts w:ascii="Verdana" w:eastAsia="Times New Roman" w:hAnsi="Verdana" w:cs="Times New Roman"/>
          <w:sz w:val="20"/>
          <w:szCs w:val="20"/>
          <w:lang w:val="bg-BG" w:eastAsia="bg-BG"/>
        </w:rPr>
        <w:t xml:space="preserve"> като система от ежегодно извършвани административни проверки на заявленията за подпомагане и на исканията за плащане, които могат да бъдат допълнени от проверки на място, които пък могат да бъдат извършени и дистанционно с използването на технологии</w:t>
      </w:r>
      <w:r w:rsidR="002E42C9">
        <w:rPr>
          <w:rFonts w:ascii="Verdana" w:eastAsia="Times New Roman" w:hAnsi="Verdana" w:cs="Times New Roman"/>
          <w:sz w:val="20"/>
          <w:szCs w:val="20"/>
          <w:lang w:val="bg-BG" w:eastAsia="bg-BG"/>
        </w:rPr>
        <w:t xml:space="preserve">. </w:t>
      </w:r>
      <w:r w:rsidR="00C842F5" w:rsidRPr="00C842F5">
        <w:rPr>
          <w:rFonts w:ascii="Verdana" w:eastAsia="Times New Roman" w:hAnsi="Verdana" w:cs="Times New Roman"/>
          <w:sz w:val="20"/>
          <w:szCs w:val="20"/>
          <w:lang w:val="bg-BG" w:eastAsia="bg-BG"/>
        </w:rPr>
        <w:t>Държавите членки трябва да създадат и да използват система за мониторинг на площта, която трябва да започне да функционира от 1 януари 2023 г.</w:t>
      </w:r>
      <w:r w:rsidR="00706744">
        <w:rPr>
          <w:rFonts w:ascii="Verdana" w:eastAsia="Times New Roman" w:hAnsi="Verdana" w:cs="Times New Roman"/>
          <w:sz w:val="20"/>
          <w:szCs w:val="20"/>
          <w:lang w:val="bg-BG" w:eastAsia="bg-BG"/>
        </w:rPr>
        <w:t xml:space="preserve"> </w:t>
      </w:r>
      <w:r w:rsidR="005115F5" w:rsidRPr="005115F5">
        <w:rPr>
          <w:rFonts w:ascii="Verdana" w:eastAsia="Times New Roman" w:hAnsi="Verdana" w:cs="Times New Roman"/>
          <w:sz w:val="20"/>
          <w:szCs w:val="20"/>
          <w:lang w:val="bg-BG" w:eastAsia="bg-BG"/>
        </w:rPr>
        <w:t xml:space="preserve">Ако пълното внедряване на системата от тази дата не е осъществено поради технически причини, държавите членки могат да пуснат в действие тази </w:t>
      </w:r>
      <w:r w:rsidR="005115F5" w:rsidRPr="005115F5">
        <w:rPr>
          <w:rFonts w:ascii="Verdana" w:eastAsia="Times New Roman" w:hAnsi="Verdana" w:cs="Times New Roman"/>
          <w:sz w:val="20"/>
          <w:szCs w:val="20"/>
          <w:lang w:val="bg-BG" w:eastAsia="bg-BG"/>
        </w:rPr>
        <w:lastRenderedPageBreak/>
        <w:t xml:space="preserve">система постепенно, като предоставят информация само за ограничен брой интервенции. </w:t>
      </w:r>
    </w:p>
    <w:p w:rsidR="000B2603" w:rsidRPr="005115F5" w:rsidRDefault="00694304" w:rsidP="005115F5">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rPr>
      </w:pPr>
      <w:r w:rsidRPr="00F0339B">
        <w:rPr>
          <w:rFonts w:ascii="Verdana" w:eastAsia="Times New Roman" w:hAnsi="Verdana" w:cs="Times New Roman"/>
          <w:sz w:val="20"/>
          <w:szCs w:val="20"/>
          <w:lang w:val="bg-BG" w:eastAsia="bg-BG"/>
        </w:rPr>
        <w:t>Тази нова д</w:t>
      </w:r>
      <w:r w:rsidR="00CD7B25" w:rsidRPr="00F0339B">
        <w:rPr>
          <w:rFonts w:ascii="Verdana" w:eastAsia="Times New Roman" w:hAnsi="Verdana" w:cs="Times New Roman"/>
          <w:sz w:val="20"/>
          <w:szCs w:val="20"/>
          <w:lang w:val="bg-BG" w:eastAsia="bg-BG"/>
        </w:rPr>
        <w:t xml:space="preserve">ирекция </w:t>
      </w:r>
      <w:r w:rsidR="005C1030" w:rsidRPr="00F0339B">
        <w:rPr>
          <w:rFonts w:ascii="Verdana" w:eastAsia="Times New Roman" w:hAnsi="Verdana" w:cs="Times New Roman"/>
          <w:sz w:val="20"/>
          <w:szCs w:val="20"/>
          <w:lang w:val="bg-BG" w:eastAsia="bg-BG"/>
        </w:rPr>
        <w:t xml:space="preserve">ще отговаря </w:t>
      </w:r>
      <w:r w:rsidRPr="00F0339B">
        <w:rPr>
          <w:rFonts w:ascii="Verdana" w:eastAsia="Times New Roman" w:hAnsi="Verdana" w:cs="Times New Roman"/>
          <w:sz w:val="20"/>
          <w:szCs w:val="20"/>
          <w:lang w:val="bg-BG" w:eastAsia="bg-BG"/>
        </w:rPr>
        <w:t xml:space="preserve">основно </w:t>
      </w:r>
      <w:r w:rsidR="005C1030" w:rsidRPr="00F0339B">
        <w:rPr>
          <w:rFonts w:ascii="Verdana" w:eastAsia="Times New Roman" w:hAnsi="Verdana" w:cs="Times New Roman"/>
          <w:sz w:val="20"/>
          <w:szCs w:val="20"/>
          <w:lang w:val="bg-BG" w:eastAsia="bg-BG"/>
        </w:rPr>
        <w:t>за редов</w:t>
      </w:r>
      <w:r w:rsidR="005C1030" w:rsidRPr="005C1030">
        <w:rPr>
          <w:rFonts w:ascii="Verdana" w:eastAsia="Times New Roman" w:hAnsi="Verdana" w:cs="Times New Roman"/>
          <w:sz w:val="20"/>
          <w:szCs w:val="20"/>
          <w:lang w:val="bg-BG" w:eastAsia="bg-BG"/>
        </w:rPr>
        <w:t xml:space="preserve">ното и систематично наблюдение, проследяване и оценка на селскостопанските дейности и практики, извършвани в рамките на селскостопански площи, чрез географски цифрови данни и данни от спътниците </w:t>
      </w:r>
      <w:proofErr w:type="spellStart"/>
      <w:r w:rsidR="005C1030" w:rsidRPr="005C1030">
        <w:rPr>
          <w:rFonts w:ascii="Verdana" w:eastAsia="Times New Roman" w:hAnsi="Verdana" w:cs="Times New Roman"/>
          <w:sz w:val="20"/>
          <w:szCs w:val="20"/>
          <w:lang w:val="bg-BG" w:eastAsia="bg-BG"/>
        </w:rPr>
        <w:t>Сентинел</w:t>
      </w:r>
      <w:proofErr w:type="spellEnd"/>
      <w:r w:rsidR="005C1030" w:rsidRPr="005C1030">
        <w:rPr>
          <w:rFonts w:ascii="Verdana" w:eastAsia="Times New Roman" w:hAnsi="Verdana" w:cs="Times New Roman"/>
          <w:sz w:val="20"/>
          <w:szCs w:val="20"/>
          <w:lang w:val="bg-BG" w:eastAsia="bg-BG"/>
        </w:rPr>
        <w:t xml:space="preserve"> по програма „Коперник“ или други данни с поне еквивалентна стойност</w:t>
      </w:r>
      <w:r w:rsidR="005C1030">
        <w:rPr>
          <w:rFonts w:ascii="Verdana" w:eastAsia="Times New Roman" w:hAnsi="Verdana" w:cs="Times New Roman"/>
          <w:sz w:val="20"/>
          <w:szCs w:val="20"/>
          <w:lang w:val="bg-BG" w:eastAsia="bg-BG"/>
        </w:rPr>
        <w:t xml:space="preserve">. </w:t>
      </w:r>
      <w:r w:rsidR="00B15814">
        <w:rPr>
          <w:rFonts w:ascii="Verdana" w:eastAsia="Times New Roman" w:hAnsi="Verdana" w:cs="Times New Roman"/>
          <w:sz w:val="20"/>
          <w:szCs w:val="20"/>
          <w:lang w:val="bg-BG" w:eastAsia="bg-BG"/>
        </w:rPr>
        <w:t>Дирекцията ще р</w:t>
      </w:r>
      <w:r w:rsidR="00B15814" w:rsidRPr="00B15814">
        <w:rPr>
          <w:rFonts w:ascii="Verdana" w:eastAsia="Times New Roman" w:hAnsi="Verdana" w:cs="Times New Roman"/>
          <w:sz w:val="20"/>
          <w:szCs w:val="20"/>
          <w:lang w:val="bg-BG" w:eastAsia="bg-BG"/>
        </w:rPr>
        <w:t>азработва, анализира, документира, оценява и оптимизира работни процеси по идентифициране на специфични селскостопански събития и/или характеристики на културите въз основа на систематични сателитни наблюдения, получени върху дадена земеделска площ през годината (или част от нея</w:t>
      </w:r>
      <w:r w:rsidR="00B15814" w:rsidRPr="00392498">
        <w:rPr>
          <w:rFonts w:ascii="Verdana" w:eastAsia="Times New Roman" w:hAnsi="Verdana" w:cs="Times New Roman"/>
          <w:sz w:val="20"/>
          <w:szCs w:val="20"/>
          <w:lang w:val="bg-BG" w:eastAsia="bg-BG"/>
        </w:rPr>
        <w:t xml:space="preserve">) за всички </w:t>
      </w:r>
      <w:r w:rsidR="000E67DD" w:rsidRPr="00392498">
        <w:rPr>
          <w:rFonts w:ascii="Verdana" w:eastAsia="Times New Roman" w:hAnsi="Verdana" w:cs="Times New Roman"/>
          <w:sz w:val="20"/>
          <w:szCs w:val="20"/>
          <w:lang w:val="bg-BG" w:eastAsia="bg-BG"/>
        </w:rPr>
        <w:t xml:space="preserve">интервенции </w:t>
      </w:r>
      <w:r w:rsidR="00BD1BC3" w:rsidRPr="00392498">
        <w:rPr>
          <w:rFonts w:ascii="Verdana" w:eastAsia="Times New Roman" w:hAnsi="Verdana" w:cs="Times New Roman"/>
          <w:sz w:val="20"/>
          <w:szCs w:val="20"/>
          <w:lang w:val="bg-BG" w:eastAsia="bg-BG"/>
        </w:rPr>
        <w:t xml:space="preserve">и мерки, </w:t>
      </w:r>
      <w:r w:rsidR="00AC136A" w:rsidRPr="00392498">
        <w:rPr>
          <w:rFonts w:ascii="Verdana" w:eastAsia="Times New Roman" w:hAnsi="Verdana" w:cs="Times New Roman"/>
          <w:sz w:val="20"/>
          <w:szCs w:val="20"/>
          <w:lang w:val="bg-BG" w:eastAsia="bg-BG"/>
        </w:rPr>
        <w:t xml:space="preserve">посочени в глава </w:t>
      </w:r>
      <w:r w:rsidR="00AC136A" w:rsidRPr="00392498">
        <w:rPr>
          <w:rFonts w:ascii="Verdana" w:eastAsia="Times New Roman" w:hAnsi="Verdana" w:cs="Times New Roman"/>
          <w:sz w:val="20"/>
          <w:szCs w:val="20"/>
          <w:lang w:eastAsia="bg-BG"/>
        </w:rPr>
        <w:t>II</w:t>
      </w:r>
      <w:r w:rsidR="00AC136A" w:rsidRPr="00392498">
        <w:rPr>
          <w:rFonts w:ascii="Verdana" w:eastAsia="Times New Roman" w:hAnsi="Verdana" w:cs="Times New Roman"/>
          <w:sz w:val="20"/>
          <w:szCs w:val="20"/>
          <w:lang w:val="bg-BG" w:eastAsia="bg-BG"/>
        </w:rPr>
        <w:t xml:space="preserve">, чл. 65, </w:t>
      </w:r>
      <w:proofErr w:type="spellStart"/>
      <w:r w:rsidR="00AC136A" w:rsidRPr="00392498">
        <w:rPr>
          <w:rFonts w:ascii="Verdana" w:eastAsia="Times New Roman" w:hAnsi="Verdana" w:cs="Times New Roman"/>
          <w:sz w:val="20"/>
          <w:szCs w:val="20"/>
          <w:lang w:val="bg-BG" w:eastAsia="bg-BG"/>
        </w:rPr>
        <w:t>пар</w:t>
      </w:r>
      <w:proofErr w:type="spellEnd"/>
      <w:r w:rsidR="00AC136A" w:rsidRPr="00392498">
        <w:rPr>
          <w:rFonts w:ascii="Verdana" w:eastAsia="Times New Roman" w:hAnsi="Verdana" w:cs="Times New Roman"/>
          <w:sz w:val="20"/>
          <w:szCs w:val="20"/>
          <w:lang w:val="bg-BG" w:eastAsia="bg-BG"/>
        </w:rPr>
        <w:t>. 2 от Регламент (ЕС) 2021/2116</w:t>
      </w:r>
      <w:r w:rsidR="00B15814" w:rsidRPr="00392498">
        <w:rPr>
          <w:rFonts w:ascii="Verdana" w:eastAsia="Times New Roman" w:hAnsi="Verdana" w:cs="Times New Roman"/>
          <w:sz w:val="20"/>
          <w:szCs w:val="20"/>
          <w:lang w:val="bg-BG" w:eastAsia="bg-BG"/>
        </w:rPr>
        <w:t>, като по</w:t>
      </w:r>
      <w:r w:rsidR="00B15814" w:rsidRPr="00B15814">
        <w:rPr>
          <w:rFonts w:ascii="Verdana" w:eastAsia="Times New Roman" w:hAnsi="Verdana" w:cs="Times New Roman"/>
          <w:sz w:val="20"/>
          <w:szCs w:val="20"/>
          <w:lang w:val="bg-BG" w:eastAsia="bg-BG"/>
        </w:rPr>
        <w:t xml:space="preserve"> този начин участва в управлението, наблюдението, оценката и контрола на </w:t>
      </w:r>
      <w:r w:rsidR="00B15814" w:rsidRPr="00B15814">
        <w:rPr>
          <w:rFonts w:ascii="Verdana" w:eastAsia="Times New Roman" w:hAnsi="Verdana" w:cs="Times New Roman"/>
          <w:bCs/>
          <w:sz w:val="20"/>
          <w:szCs w:val="20"/>
          <w:lang w:val="bg-BG" w:eastAsia="bg-BG"/>
        </w:rPr>
        <w:t>Стратегическия план за развитие на земеделието и селските райони на Република България</w:t>
      </w:r>
      <w:r w:rsidR="00B15814">
        <w:rPr>
          <w:rFonts w:ascii="Verdana" w:eastAsia="Times New Roman" w:hAnsi="Verdana" w:cs="Times New Roman"/>
          <w:bCs/>
          <w:sz w:val="20"/>
          <w:szCs w:val="20"/>
          <w:lang w:val="bg-BG" w:eastAsia="bg-BG"/>
        </w:rPr>
        <w:t>.</w:t>
      </w:r>
      <w:r w:rsidR="000B2603">
        <w:rPr>
          <w:rFonts w:ascii="Verdana" w:eastAsia="Times New Roman" w:hAnsi="Verdana" w:cs="Times New Roman"/>
          <w:bCs/>
          <w:sz w:val="20"/>
          <w:szCs w:val="20"/>
          <w:lang w:val="bg-BG" w:eastAsia="bg-BG"/>
        </w:rPr>
        <w:t xml:space="preserve"> </w:t>
      </w:r>
      <w:r w:rsidR="00392498" w:rsidRPr="00392498">
        <w:rPr>
          <w:rFonts w:ascii="Verdana" w:eastAsia="Times New Roman" w:hAnsi="Verdana" w:cs="Times New Roman"/>
          <w:bCs/>
          <w:sz w:val="20"/>
          <w:szCs w:val="20"/>
          <w:lang w:val="bg-BG" w:eastAsia="bg-BG"/>
        </w:rPr>
        <w:t xml:space="preserve">Друга задача на дирекция „Мониторинг, докладване и оценка“ ще бъде координацията на изпълнение на дейностите свързани със задълженията на Разплащателна агенция посочени в чл. 123, параграф 2, буква „ж“ и описано в член 134 от Регламент </w:t>
      </w:r>
      <w:r w:rsidR="00392498">
        <w:rPr>
          <w:rFonts w:ascii="Verdana" w:eastAsia="Times New Roman" w:hAnsi="Verdana" w:cs="Times New Roman"/>
          <w:bCs/>
          <w:sz w:val="20"/>
          <w:szCs w:val="20"/>
          <w:lang w:val="bg-BG" w:eastAsia="bg-BG"/>
        </w:rPr>
        <w:t xml:space="preserve">(ЕС) </w:t>
      </w:r>
      <w:r w:rsidR="00392498" w:rsidRPr="00392498">
        <w:rPr>
          <w:rFonts w:ascii="Verdana" w:eastAsia="Times New Roman" w:hAnsi="Verdana" w:cs="Times New Roman"/>
          <w:bCs/>
          <w:sz w:val="20"/>
          <w:szCs w:val="20"/>
          <w:lang w:val="bg-BG" w:eastAsia="bg-BG"/>
        </w:rPr>
        <w:t>2021/2115, както и координация на изпълнение на дейностите свързани със задълженията на държавата-членка посочени с член 128,129,130 и 131 от Регламент</w:t>
      </w:r>
      <w:r w:rsidR="00392498">
        <w:rPr>
          <w:rFonts w:ascii="Verdana" w:eastAsia="Times New Roman" w:hAnsi="Verdana" w:cs="Times New Roman"/>
          <w:bCs/>
          <w:sz w:val="20"/>
          <w:szCs w:val="20"/>
          <w:lang w:val="bg-BG" w:eastAsia="bg-BG"/>
        </w:rPr>
        <w:t xml:space="preserve"> (ЕС)</w:t>
      </w:r>
      <w:r w:rsidR="00392498" w:rsidRPr="00392498">
        <w:rPr>
          <w:rFonts w:ascii="Verdana" w:eastAsia="Times New Roman" w:hAnsi="Verdana" w:cs="Times New Roman"/>
          <w:bCs/>
          <w:sz w:val="20"/>
          <w:szCs w:val="20"/>
          <w:lang w:val="bg-BG" w:eastAsia="bg-BG"/>
        </w:rPr>
        <w:t xml:space="preserve"> 2021/2115.</w:t>
      </w:r>
      <w:r w:rsidR="00392498">
        <w:rPr>
          <w:rFonts w:ascii="Verdana" w:eastAsia="Times New Roman" w:hAnsi="Verdana" w:cs="Times New Roman"/>
          <w:bCs/>
          <w:sz w:val="20"/>
          <w:szCs w:val="20"/>
          <w:lang w:val="bg-BG" w:eastAsia="bg-BG"/>
        </w:rPr>
        <w:t xml:space="preserve"> </w:t>
      </w:r>
    </w:p>
    <w:p w:rsidR="000B2603" w:rsidRPr="00392498" w:rsidRDefault="00B65325" w:rsidP="000B2603">
      <w:pPr>
        <w:widowControl w:val="0"/>
        <w:autoSpaceDE w:val="0"/>
        <w:autoSpaceDN w:val="0"/>
        <w:adjustRightInd w:val="0"/>
        <w:spacing w:after="0" w:line="360" w:lineRule="auto"/>
        <w:ind w:firstLine="709"/>
        <w:jc w:val="both"/>
        <w:rPr>
          <w:rFonts w:ascii="Verdana" w:eastAsia="Times New Roman" w:hAnsi="Verdana" w:cs="Times New Roman"/>
          <w:bCs/>
          <w:sz w:val="20"/>
          <w:szCs w:val="20"/>
          <w:lang w:val="bg-BG" w:eastAsia="bg-BG"/>
        </w:rPr>
      </w:pPr>
      <w:r w:rsidRPr="00392498">
        <w:rPr>
          <w:rFonts w:ascii="Verdana" w:eastAsia="Times New Roman" w:hAnsi="Verdana" w:cs="Times New Roman"/>
          <w:bCs/>
          <w:sz w:val="20"/>
          <w:szCs w:val="20"/>
          <w:lang w:val="bg-BG" w:eastAsia="bg-BG"/>
        </w:rPr>
        <w:t>Дирекция „Мониторинг, докладване и оценка“ ще</w:t>
      </w:r>
      <w:r w:rsidR="000B2603" w:rsidRPr="00392498">
        <w:rPr>
          <w:rFonts w:ascii="Verdana" w:eastAsia="Times New Roman" w:hAnsi="Verdana" w:cs="Times New Roman"/>
          <w:bCs/>
          <w:sz w:val="20"/>
          <w:szCs w:val="20"/>
          <w:lang w:val="bg-BG" w:eastAsia="bg-BG"/>
        </w:rPr>
        <w:t xml:space="preserve"> отговаря за координацията на регистрирането и съхранението в системата на ключова информация относно изпълнението на съответния стратегически план по Общата селскостопанска политика на Европейския съюз, която е необходима за мониторинг и оценка, по-специално за наблюдение на напредъка към заложените цели и целеви стойности, включително информация</w:t>
      </w:r>
      <w:r w:rsidRPr="00392498">
        <w:rPr>
          <w:rFonts w:ascii="Verdana" w:eastAsia="Times New Roman" w:hAnsi="Verdana" w:cs="Times New Roman"/>
          <w:bCs/>
          <w:sz w:val="20"/>
          <w:szCs w:val="20"/>
          <w:lang w:val="bg-BG" w:eastAsia="bg-BG"/>
        </w:rPr>
        <w:t xml:space="preserve"> за всеки </w:t>
      </w:r>
      <w:proofErr w:type="spellStart"/>
      <w:r w:rsidRPr="00392498">
        <w:rPr>
          <w:rFonts w:ascii="Verdana" w:eastAsia="Times New Roman" w:hAnsi="Verdana" w:cs="Times New Roman"/>
          <w:bCs/>
          <w:sz w:val="20"/>
          <w:szCs w:val="20"/>
          <w:lang w:val="bg-BG" w:eastAsia="bg-BG"/>
        </w:rPr>
        <w:t>бенефициер</w:t>
      </w:r>
      <w:proofErr w:type="spellEnd"/>
      <w:r w:rsidRPr="00392498">
        <w:rPr>
          <w:rFonts w:ascii="Verdana" w:eastAsia="Times New Roman" w:hAnsi="Verdana" w:cs="Times New Roman"/>
          <w:bCs/>
          <w:sz w:val="20"/>
          <w:szCs w:val="20"/>
          <w:lang w:val="bg-BG" w:eastAsia="bg-BG"/>
        </w:rPr>
        <w:t xml:space="preserve"> и операция, която информация ще се обобщава в изискуемия от европейското право вид за докладване.</w:t>
      </w:r>
    </w:p>
    <w:p w:rsidR="000B2603" w:rsidRDefault="00392498" w:rsidP="000B2603">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rPr>
      </w:pPr>
      <w:r w:rsidRPr="00392498">
        <w:rPr>
          <w:rFonts w:ascii="Verdana" w:eastAsia="Times New Roman" w:hAnsi="Verdana" w:cs="Times New Roman"/>
          <w:sz w:val="20"/>
          <w:szCs w:val="20"/>
          <w:lang w:val="bg-BG" w:eastAsia="bg-BG"/>
        </w:rPr>
        <w:t>Гореизложеното води до необходимост от предприемането на спешни мерки, които да създадат условия за назначаване на висококвалифициран персонал в областта на географските информационни системи, дистанционните изследвания, статистиката, анализа, работа с големи масиви данни, финансите, програмирането, който ще разработва, калибрира и докладва резултатите от новите системи. Част от задълженията на екипа ще са да обработва и предоставя изчерпателни и достоверни данни в изпълнение на целите на новата Обща селскостопанска политика, предвид че използването на нови технологии играе ключова роля и ще допринесе за намаляване на административната тежест и представянето на изчерпателни и сравними данни за целия Европейски съюз за целите на мониторинга и за по-нататъшно подобряване на устойчивото развитие на земеделието и селските райони.</w:t>
      </w:r>
    </w:p>
    <w:p w:rsidR="00392498" w:rsidRDefault="00392498" w:rsidP="000B2603">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rPr>
      </w:pPr>
    </w:p>
    <w:p w:rsidR="0013632E" w:rsidRDefault="00165B70" w:rsidP="008A123C">
      <w:pPr>
        <w:widowControl w:val="0"/>
        <w:autoSpaceDE w:val="0"/>
        <w:autoSpaceDN w:val="0"/>
        <w:adjustRightInd w:val="0"/>
        <w:spacing w:after="0" w:line="360" w:lineRule="auto"/>
        <w:ind w:firstLine="709"/>
        <w:jc w:val="both"/>
        <w:rPr>
          <w:rFonts w:ascii="Verdana" w:eastAsia="Times New Roman" w:hAnsi="Verdana" w:cs="Times New Roman"/>
          <w:bCs/>
          <w:sz w:val="20"/>
          <w:szCs w:val="20"/>
          <w:lang w:val="bg-BG" w:eastAsia="bg-BG"/>
        </w:rPr>
      </w:pPr>
      <w:r w:rsidRPr="00A347B4">
        <w:rPr>
          <w:rFonts w:ascii="Verdana" w:eastAsia="Times New Roman" w:hAnsi="Verdana" w:cs="Times New Roman"/>
          <w:bCs/>
          <w:sz w:val="20"/>
          <w:szCs w:val="20"/>
          <w:lang w:val="bg-BG" w:eastAsia="bg-BG"/>
        </w:rPr>
        <w:t>С</w:t>
      </w:r>
      <w:r w:rsidR="00D61C4A" w:rsidRPr="00A347B4">
        <w:rPr>
          <w:rFonts w:ascii="Verdana" w:eastAsia="Times New Roman" w:hAnsi="Verdana" w:cs="Times New Roman"/>
          <w:bCs/>
          <w:sz w:val="20"/>
          <w:szCs w:val="20"/>
          <w:lang w:val="bg-BG" w:eastAsia="bg-BG"/>
        </w:rPr>
        <w:t>ъздаване</w:t>
      </w:r>
      <w:r w:rsidR="005476F1" w:rsidRPr="00A347B4">
        <w:rPr>
          <w:rFonts w:ascii="Verdana" w:eastAsia="Times New Roman" w:hAnsi="Verdana" w:cs="Times New Roman"/>
          <w:bCs/>
          <w:sz w:val="20"/>
          <w:szCs w:val="20"/>
          <w:lang w:val="bg-BG" w:eastAsia="bg-BG"/>
        </w:rPr>
        <w:t>то</w:t>
      </w:r>
      <w:r w:rsidR="00D61C4A" w:rsidRPr="00A347B4">
        <w:rPr>
          <w:rFonts w:ascii="Verdana" w:eastAsia="Times New Roman" w:hAnsi="Verdana" w:cs="Times New Roman"/>
          <w:bCs/>
          <w:sz w:val="20"/>
          <w:szCs w:val="20"/>
          <w:lang w:val="bg-BG" w:eastAsia="bg-BG"/>
        </w:rPr>
        <w:t xml:space="preserve"> на</w:t>
      </w:r>
      <w:r w:rsidR="00D61C4A">
        <w:rPr>
          <w:rFonts w:ascii="Verdana" w:eastAsia="Times New Roman" w:hAnsi="Verdana" w:cs="Times New Roman"/>
          <w:bCs/>
          <w:sz w:val="20"/>
          <w:szCs w:val="20"/>
          <w:lang w:val="bg-BG" w:eastAsia="bg-BG"/>
        </w:rPr>
        <w:t xml:space="preserve"> </w:t>
      </w:r>
      <w:r w:rsidR="0027624D">
        <w:rPr>
          <w:rFonts w:ascii="Verdana" w:eastAsia="Times New Roman" w:hAnsi="Verdana" w:cs="Times New Roman"/>
          <w:bCs/>
          <w:sz w:val="20"/>
          <w:szCs w:val="20"/>
          <w:lang w:val="bg-BG" w:eastAsia="bg-BG"/>
        </w:rPr>
        <w:t>второто</w:t>
      </w:r>
      <w:r w:rsidR="00D61C4A">
        <w:rPr>
          <w:rFonts w:ascii="Verdana" w:eastAsia="Times New Roman" w:hAnsi="Verdana" w:cs="Times New Roman"/>
          <w:bCs/>
          <w:sz w:val="20"/>
          <w:szCs w:val="20"/>
          <w:lang w:val="bg-BG" w:eastAsia="bg-BG"/>
        </w:rPr>
        <w:t xml:space="preserve"> ново структурно звено – </w:t>
      </w:r>
      <w:r w:rsidR="00255585" w:rsidRPr="004F4D10">
        <w:rPr>
          <w:rFonts w:ascii="Verdana" w:eastAsia="Times New Roman" w:hAnsi="Verdana" w:cs="Times New Roman"/>
          <w:bCs/>
          <w:sz w:val="20"/>
          <w:szCs w:val="20"/>
          <w:lang w:val="bg-BG" w:eastAsia="bg-BG"/>
        </w:rPr>
        <w:t>д</w:t>
      </w:r>
      <w:r w:rsidR="00D61C4A">
        <w:rPr>
          <w:rFonts w:ascii="Verdana" w:eastAsia="Times New Roman" w:hAnsi="Verdana" w:cs="Times New Roman"/>
          <w:bCs/>
          <w:sz w:val="20"/>
          <w:szCs w:val="20"/>
          <w:lang w:val="bg-BG" w:eastAsia="bg-BG"/>
        </w:rPr>
        <w:t xml:space="preserve">ирекция </w:t>
      </w:r>
      <w:r w:rsidR="00D61C4A" w:rsidRPr="00392498">
        <w:rPr>
          <w:rFonts w:ascii="Verdana" w:eastAsia="Times New Roman" w:hAnsi="Verdana" w:cs="Times New Roman"/>
          <w:b/>
          <w:bCs/>
          <w:sz w:val="20"/>
          <w:szCs w:val="20"/>
          <w:lang w:val="bg-BG" w:eastAsia="bg-BG"/>
        </w:rPr>
        <w:t>„</w:t>
      </w:r>
      <w:r w:rsidR="0027624D" w:rsidRPr="00392498">
        <w:rPr>
          <w:rFonts w:ascii="Verdana" w:eastAsia="Times New Roman" w:hAnsi="Verdana" w:cs="Times New Roman"/>
          <w:b/>
          <w:bCs/>
          <w:sz w:val="20"/>
          <w:szCs w:val="20"/>
          <w:lang w:val="bg-BG" w:eastAsia="bg-BG"/>
        </w:rPr>
        <w:t>Специализирани проверки и последващ контрол</w:t>
      </w:r>
      <w:r w:rsidR="00D61C4A" w:rsidRPr="00392498">
        <w:rPr>
          <w:rFonts w:ascii="Verdana" w:eastAsia="Times New Roman" w:hAnsi="Verdana" w:cs="Times New Roman"/>
          <w:b/>
          <w:bCs/>
          <w:sz w:val="20"/>
          <w:szCs w:val="20"/>
          <w:lang w:val="bg-BG" w:eastAsia="bg-BG"/>
        </w:rPr>
        <w:t>“</w:t>
      </w:r>
      <w:r w:rsidR="00D61C4A" w:rsidRPr="00347EAE">
        <w:rPr>
          <w:rFonts w:ascii="Verdana" w:eastAsia="Times New Roman" w:hAnsi="Verdana" w:cs="Times New Roman"/>
          <w:bCs/>
          <w:sz w:val="20"/>
          <w:szCs w:val="20"/>
          <w:lang w:val="bg-BG" w:eastAsia="bg-BG"/>
        </w:rPr>
        <w:t xml:space="preserve">, е свързано </w:t>
      </w:r>
      <w:r w:rsidR="009944EA" w:rsidRPr="00347EAE">
        <w:rPr>
          <w:rFonts w:ascii="Verdana" w:eastAsia="Times New Roman" w:hAnsi="Verdana" w:cs="Times New Roman"/>
          <w:bCs/>
          <w:sz w:val="20"/>
          <w:szCs w:val="20"/>
          <w:lang w:val="bg-BG" w:eastAsia="bg-BG"/>
        </w:rPr>
        <w:t xml:space="preserve">и </w:t>
      </w:r>
      <w:r w:rsidR="009B2FA3" w:rsidRPr="00347EAE">
        <w:rPr>
          <w:rFonts w:ascii="Verdana" w:eastAsia="Times New Roman" w:hAnsi="Verdana" w:cs="Times New Roman"/>
          <w:sz w:val="20"/>
          <w:szCs w:val="20"/>
          <w:lang w:val="bg-BG" w:eastAsia="bg-BG"/>
        </w:rPr>
        <w:t xml:space="preserve">с </w:t>
      </w:r>
      <w:r w:rsidR="009B2FA3" w:rsidRPr="00347EAE">
        <w:rPr>
          <w:rFonts w:ascii="Verdana" w:eastAsia="Times New Roman" w:hAnsi="Verdana" w:cs="Times New Roman"/>
          <w:sz w:val="20"/>
          <w:szCs w:val="20"/>
          <w:lang w:val="bg-BG" w:eastAsia="bg-BG"/>
        </w:rPr>
        <w:lastRenderedPageBreak/>
        <w:t xml:space="preserve">констатациите </w:t>
      </w:r>
      <w:r w:rsidR="007C0002">
        <w:rPr>
          <w:rFonts w:ascii="Verdana" w:eastAsia="Times New Roman" w:hAnsi="Verdana" w:cs="Times New Roman"/>
          <w:sz w:val="20"/>
          <w:szCs w:val="20"/>
          <w:lang w:val="bg-BG" w:eastAsia="bg-BG"/>
        </w:rPr>
        <w:t xml:space="preserve">и препоръките </w:t>
      </w:r>
      <w:r w:rsidR="009B2FA3" w:rsidRPr="00347EAE">
        <w:rPr>
          <w:rFonts w:ascii="Verdana" w:eastAsia="Times New Roman" w:hAnsi="Verdana" w:cs="Times New Roman"/>
          <w:sz w:val="20"/>
          <w:szCs w:val="20"/>
          <w:lang w:val="bg-BG" w:eastAsia="bg-BG"/>
        </w:rPr>
        <w:t>от последния сертификационен одит на Европейската</w:t>
      </w:r>
      <w:r w:rsidR="009B2FA3" w:rsidRPr="00E960D7">
        <w:rPr>
          <w:rFonts w:ascii="Verdana" w:eastAsia="Times New Roman" w:hAnsi="Verdana" w:cs="Times New Roman"/>
          <w:sz w:val="20"/>
          <w:szCs w:val="20"/>
          <w:lang w:val="bg-BG" w:eastAsia="bg-BG"/>
        </w:rPr>
        <w:t xml:space="preserve"> комисия, който предвижда подобряване на реда и сроковете за администриране и приключване на сигнали за нередности и налага прецизиране на функциите на ангажираните с тази дейност структурни звена </w:t>
      </w:r>
      <w:r w:rsidR="00C30C1D" w:rsidRPr="00E960D7">
        <w:rPr>
          <w:rFonts w:ascii="Verdana" w:eastAsia="Times New Roman" w:hAnsi="Verdana" w:cs="Times New Roman"/>
          <w:sz w:val="20"/>
          <w:szCs w:val="20"/>
          <w:lang w:val="bg-BG" w:eastAsia="bg-BG"/>
        </w:rPr>
        <w:t>в рамките на</w:t>
      </w:r>
      <w:r w:rsidR="00832CFE" w:rsidRPr="00E960D7">
        <w:rPr>
          <w:rFonts w:ascii="Verdana" w:eastAsia="Times New Roman" w:hAnsi="Verdana" w:cs="Times New Roman"/>
          <w:sz w:val="20"/>
          <w:szCs w:val="20"/>
          <w:lang w:val="bg-BG" w:eastAsia="bg-BG"/>
        </w:rPr>
        <w:t xml:space="preserve"> </w:t>
      </w:r>
      <w:r w:rsidR="00C30C1D" w:rsidRPr="00E960D7">
        <w:rPr>
          <w:rFonts w:ascii="Verdana" w:eastAsia="Times New Roman" w:hAnsi="Verdana" w:cs="Times New Roman"/>
          <w:bCs/>
          <w:sz w:val="20"/>
          <w:szCs w:val="20"/>
          <w:lang w:val="bg-BG" w:eastAsia="bg-BG"/>
        </w:rPr>
        <w:t>Държавен</w:t>
      </w:r>
      <w:r w:rsidR="00C30C1D" w:rsidRPr="00C30C1D">
        <w:rPr>
          <w:rFonts w:ascii="Verdana" w:eastAsia="Times New Roman" w:hAnsi="Verdana" w:cs="Times New Roman"/>
          <w:bCs/>
          <w:sz w:val="20"/>
          <w:szCs w:val="20"/>
          <w:lang w:val="bg-BG" w:eastAsia="bg-BG"/>
        </w:rPr>
        <w:t xml:space="preserve"> фонд „Земеделие</w:t>
      </w:r>
      <w:r w:rsidR="00E416D2">
        <w:rPr>
          <w:rFonts w:ascii="Verdana" w:eastAsia="Times New Roman" w:hAnsi="Verdana" w:cs="Times New Roman"/>
          <w:bCs/>
          <w:sz w:val="20"/>
          <w:szCs w:val="20"/>
          <w:lang w:val="bg-BG" w:eastAsia="bg-BG"/>
        </w:rPr>
        <w:t>“</w:t>
      </w:r>
      <w:r w:rsidR="009B2FA3" w:rsidRPr="00F70CF6">
        <w:rPr>
          <w:rFonts w:ascii="Verdana" w:eastAsia="Times New Roman" w:hAnsi="Verdana" w:cs="Times New Roman"/>
          <w:sz w:val="20"/>
          <w:szCs w:val="20"/>
          <w:lang w:val="bg-BG" w:eastAsia="bg-BG"/>
        </w:rPr>
        <w:t xml:space="preserve">. </w:t>
      </w:r>
      <w:r w:rsidR="00523C92">
        <w:rPr>
          <w:rFonts w:ascii="Verdana" w:eastAsia="Times New Roman" w:hAnsi="Verdana" w:cs="Times New Roman"/>
          <w:sz w:val="20"/>
          <w:szCs w:val="20"/>
          <w:lang w:val="bg-BG" w:eastAsia="bg-BG"/>
        </w:rPr>
        <w:t>В</w:t>
      </w:r>
      <w:r w:rsidR="00523C92" w:rsidRPr="009944EA">
        <w:rPr>
          <w:rFonts w:ascii="Verdana" w:eastAsia="Times New Roman" w:hAnsi="Verdana" w:cs="Times New Roman"/>
          <w:color w:val="000000" w:themeColor="text1"/>
          <w:sz w:val="20"/>
          <w:szCs w:val="20"/>
          <w:lang w:val="bg-BG" w:eastAsia="bg-BG"/>
        </w:rPr>
        <w:t xml:space="preserve"> контекста на </w:t>
      </w:r>
      <w:r w:rsidR="00523C92">
        <w:rPr>
          <w:rFonts w:ascii="Verdana" w:eastAsia="Times New Roman" w:hAnsi="Verdana" w:cs="Times New Roman"/>
          <w:color w:val="000000" w:themeColor="text1"/>
          <w:sz w:val="20"/>
          <w:szCs w:val="20"/>
          <w:lang w:val="bg-BG" w:eastAsia="bg-BG"/>
        </w:rPr>
        <w:t xml:space="preserve">това прецизиране и </w:t>
      </w:r>
      <w:r w:rsidR="00523C92" w:rsidRPr="009944EA">
        <w:rPr>
          <w:rFonts w:ascii="Verdana" w:eastAsia="Times New Roman" w:hAnsi="Verdana" w:cs="Times New Roman"/>
          <w:color w:val="000000" w:themeColor="text1"/>
          <w:sz w:val="20"/>
          <w:szCs w:val="20"/>
          <w:lang w:val="bg-BG" w:eastAsia="bg-BG"/>
        </w:rPr>
        <w:t xml:space="preserve">прехвърлянето на </w:t>
      </w:r>
      <w:r w:rsidR="00523C92">
        <w:rPr>
          <w:rFonts w:ascii="Verdana" w:eastAsia="Times New Roman" w:hAnsi="Verdana" w:cs="Times New Roman"/>
          <w:color w:val="000000" w:themeColor="text1"/>
          <w:sz w:val="20"/>
          <w:szCs w:val="20"/>
          <w:lang w:val="bg-BG" w:eastAsia="bg-BG"/>
        </w:rPr>
        <w:t xml:space="preserve">съответните </w:t>
      </w:r>
      <w:r w:rsidR="00523C92" w:rsidRPr="009944EA">
        <w:rPr>
          <w:rFonts w:ascii="Verdana" w:eastAsia="Times New Roman" w:hAnsi="Verdana" w:cs="Times New Roman"/>
          <w:color w:val="000000" w:themeColor="text1"/>
          <w:sz w:val="20"/>
          <w:szCs w:val="20"/>
          <w:lang w:val="bg-BG" w:eastAsia="bg-BG"/>
        </w:rPr>
        <w:t>функции към други звена</w:t>
      </w:r>
      <w:r w:rsidR="00523C92">
        <w:rPr>
          <w:rFonts w:ascii="Verdana" w:eastAsia="Times New Roman" w:hAnsi="Verdana" w:cs="Times New Roman"/>
          <w:color w:val="000000" w:themeColor="text1"/>
          <w:sz w:val="20"/>
          <w:szCs w:val="20"/>
          <w:lang w:val="bg-BG" w:eastAsia="bg-BG"/>
        </w:rPr>
        <w:t>,</w:t>
      </w:r>
      <w:r w:rsidR="00523C92" w:rsidRPr="009944EA">
        <w:rPr>
          <w:rFonts w:ascii="Verdana" w:eastAsia="Times New Roman" w:hAnsi="Verdana" w:cs="Times New Roman"/>
          <w:color w:val="000000" w:themeColor="text1"/>
          <w:sz w:val="20"/>
          <w:szCs w:val="20"/>
          <w:lang w:val="bg-BG" w:eastAsia="bg-BG"/>
        </w:rPr>
        <w:t xml:space="preserve"> </w:t>
      </w:r>
      <w:r w:rsidR="00523C92">
        <w:rPr>
          <w:rFonts w:ascii="Verdana" w:eastAsia="Times New Roman" w:hAnsi="Verdana" w:cs="Times New Roman"/>
          <w:color w:val="000000" w:themeColor="text1"/>
          <w:sz w:val="20"/>
          <w:szCs w:val="20"/>
          <w:lang w:val="bg-BG" w:eastAsia="bg-BG"/>
        </w:rPr>
        <w:t>евентуалното п</w:t>
      </w:r>
      <w:r w:rsidR="00446A40" w:rsidRPr="009944EA">
        <w:rPr>
          <w:rFonts w:ascii="Verdana" w:eastAsia="Times New Roman" w:hAnsi="Verdana" w:cs="Times New Roman"/>
          <w:color w:val="000000" w:themeColor="text1"/>
          <w:sz w:val="20"/>
          <w:szCs w:val="20"/>
          <w:lang w:val="bg-BG" w:eastAsia="bg-BG"/>
        </w:rPr>
        <w:t xml:space="preserve">оддържане </w:t>
      </w:r>
      <w:r w:rsidR="00446A40" w:rsidRPr="00F6563A">
        <w:rPr>
          <w:rFonts w:ascii="Verdana" w:eastAsia="Times New Roman" w:hAnsi="Verdana" w:cs="Times New Roman"/>
          <w:color w:val="000000" w:themeColor="text1"/>
          <w:sz w:val="20"/>
          <w:szCs w:val="20"/>
          <w:lang w:val="bg-BG" w:eastAsia="bg-BG"/>
        </w:rPr>
        <w:t xml:space="preserve">на дирекция „Противодействие на измамите“, която отговаря </w:t>
      </w:r>
      <w:r w:rsidR="007C0002">
        <w:rPr>
          <w:rFonts w:ascii="Verdana" w:eastAsia="Times New Roman" w:hAnsi="Verdana" w:cs="Times New Roman"/>
          <w:color w:val="000000" w:themeColor="text1"/>
          <w:sz w:val="20"/>
          <w:szCs w:val="20"/>
          <w:lang w:val="bg-BG" w:eastAsia="bg-BG"/>
        </w:rPr>
        <w:t>и</w:t>
      </w:r>
      <w:r w:rsidR="00A25507" w:rsidRPr="00F6563A">
        <w:rPr>
          <w:rFonts w:ascii="Verdana" w:eastAsia="Times New Roman" w:hAnsi="Verdana" w:cs="Times New Roman"/>
          <w:color w:val="000000" w:themeColor="text1"/>
          <w:sz w:val="20"/>
          <w:szCs w:val="20"/>
          <w:lang w:val="bg-BG" w:eastAsia="bg-BG"/>
        </w:rPr>
        <w:t xml:space="preserve"> </w:t>
      </w:r>
      <w:r w:rsidR="00446A40" w:rsidRPr="00F6563A">
        <w:rPr>
          <w:rFonts w:ascii="Verdana" w:eastAsia="Times New Roman" w:hAnsi="Verdana" w:cs="Times New Roman"/>
          <w:color w:val="000000" w:themeColor="text1"/>
          <w:sz w:val="20"/>
          <w:szCs w:val="20"/>
          <w:lang w:val="bg-BG" w:eastAsia="bg-BG"/>
        </w:rPr>
        <w:t>за регистриране</w:t>
      </w:r>
      <w:r w:rsidR="00523C92" w:rsidRPr="00F6563A">
        <w:rPr>
          <w:rFonts w:ascii="Verdana" w:eastAsia="Times New Roman" w:hAnsi="Verdana" w:cs="Times New Roman"/>
          <w:color w:val="000000" w:themeColor="text1"/>
          <w:sz w:val="20"/>
          <w:szCs w:val="20"/>
          <w:lang w:val="bg-BG" w:eastAsia="bg-BG"/>
        </w:rPr>
        <w:t>то</w:t>
      </w:r>
      <w:r w:rsidR="00446A40" w:rsidRPr="00F6563A">
        <w:rPr>
          <w:rFonts w:ascii="Verdana" w:eastAsia="Times New Roman" w:hAnsi="Verdana" w:cs="Times New Roman"/>
          <w:color w:val="000000" w:themeColor="text1"/>
          <w:sz w:val="20"/>
          <w:szCs w:val="20"/>
          <w:lang w:val="bg-BG" w:eastAsia="bg-BG"/>
        </w:rPr>
        <w:t xml:space="preserve"> </w:t>
      </w:r>
      <w:r w:rsidR="00523C92" w:rsidRPr="00F6563A">
        <w:rPr>
          <w:rFonts w:ascii="Verdana" w:eastAsia="Times New Roman" w:hAnsi="Verdana" w:cs="Times New Roman"/>
          <w:color w:val="000000" w:themeColor="text1"/>
          <w:sz w:val="20"/>
          <w:szCs w:val="20"/>
          <w:lang w:val="bg-BG" w:eastAsia="bg-BG"/>
        </w:rPr>
        <w:t>и администриране</w:t>
      </w:r>
      <w:r w:rsidR="007C0002">
        <w:rPr>
          <w:rFonts w:ascii="Verdana" w:eastAsia="Times New Roman" w:hAnsi="Verdana" w:cs="Times New Roman"/>
          <w:color w:val="000000" w:themeColor="text1"/>
          <w:sz w:val="20"/>
          <w:szCs w:val="20"/>
          <w:lang w:val="bg-BG" w:eastAsia="bg-BG"/>
        </w:rPr>
        <w:t>то</w:t>
      </w:r>
      <w:r w:rsidR="00523C92" w:rsidRPr="00F6563A">
        <w:rPr>
          <w:rFonts w:ascii="Verdana" w:eastAsia="Times New Roman" w:hAnsi="Verdana" w:cs="Times New Roman"/>
          <w:color w:val="000000" w:themeColor="text1"/>
          <w:sz w:val="20"/>
          <w:szCs w:val="20"/>
          <w:lang w:val="bg-BG" w:eastAsia="bg-BG"/>
        </w:rPr>
        <w:t xml:space="preserve"> </w:t>
      </w:r>
      <w:r w:rsidR="00446A40" w:rsidRPr="00F6563A">
        <w:rPr>
          <w:rFonts w:ascii="Verdana" w:eastAsia="Times New Roman" w:hAnsi="Verdana" w:cs="Times New Roman"/>
          <w:color w:val="000000" w:themeColor="text1"/>
          <w:sz w:val="20"/>
          <w:szCs w:val="20"/>
          <w:lang w:val="bg-BG" w:eastAsia="bg-BG"/>
        </w:rPr>
        <w:t xml:space="preserve">на сигналите за нередности, </w:t>
      </w:r>
      <w:r w:rsidR="00523C92" w:rsidRPr="00F6563A">
        <w:rPr>
          <w:rFonts w:ascii="Verdana" w:eastAsia="Times New Roman" w:hAnsi="Verdana" w:cs="Times New Roman"/>
          <w:color w:val="000000" w:themeColor="text1"/>
          <w:sz w:val="20"/>
          <w:szCs w:val="20"/>
          <w:lang w:val="bg-BG" w:eastAsia="bg-BG"/>
        </w:rPr>
        <w:t>би противоречало на изискването за постигане на висок обществен резултат при възможно най-икономично използване на ресурсите, съгласно чл. 2, ал. 6 от Закона за администрацията, и съответно не би било обосновано</w:t>
      </w:r>
      <w:r w:rsidR="00446A40" w:rsidRPr="00F6563A">
        <w:rPr>
          <w:rFonts w:ascii="Verdana" w:eastAsia="Times New Roman" w:hAnsi="Verdana" w:cs="Times New Roman"/>
          <w:color w:val="000000" w:themeColor="text1"/>
          <w:sz w:val="20"/>
          <w:szCs w:val="20"/>
          <w:lang w:val="bg-BG" w:eastAsia="bg-BG"/>
        </w:rPr>
        <w:t xml:space="preserve">. </w:t>
      </w:r>
      <w:r w:rsidR="009944EA" w:rsidRPr="00F6563A">
        <w:rPr>
          <w:rFonts w:ascii="Verdana" w:eastAsia="Times New Roman" w:hAnsi="Verdana" w:cs="Times New Roman"/>
          <w:color w:val="000000" w:themeColor="text1"/>
          <w:sz w:val="20"/>
          <w:szCs w:val="20"/>
          <w:lang w:val="bg-BG" w:eastAsia="bg-BG"/>
        </w:rPr>
        <w:t>По тази причина в</w:t>
      </w:r>
      <w:r w:rsidR="00446A40" w:rsidRPr="00F6563A">
        <w:rPr>
          <w:rFonts w:ascii="Verdana" w:eastAsia="Times New Roman" w:hAnsi="Verdana" w:cs="Times New Roman"/>
          <w:color w:val="000000" w:themeColor="text1"/>
          <w:sz w:val="20"/>
          <w:szCs w:val="20"/>
          <w:lang w:val="bg-BG" w:eastAsia="bg-BG"/>
        </w:rPr>
        <w:t>ътрешно</w:t>
      </w:r>
      <w:r w:rsidR="00523C92" w:rsidRPr="00F6563A">
        <w:rPr>
          <w:rFonts w:ascii="Verdana" w:eastAsia="Times New Roman" w:hAnsi="Verdana" w:cs="Times New Roman"/>
          <w:color w:val="000000" w:themeColor="text1"/>
          <w:sz w:val="20"/>
          <w:szCs w:val="20"/>
          <w:lang w:val="bg-BG" w:eastAsia="bg-BG"/>
        </w:rPr>
        <w:t>то</w:t>
      </w:r>
      <w:r w:rsidR="00446A40" w:rsidRPr="00F6563A">
        <w:rPr>
          <w:rFonts w:ascii="Verdana" w:eastAsia="Times New Roman" w:hAnsi="Verdana" w:cs="Times New Roman"/>
          <w:color w:val="000000" w:themeColor="text1"/>
          <w:sz w:val="20"/>
          <w:szCs w:val="20"/>
          <w:lang w:val="bg-BG" w:eastAsia="bg-BG"/>
        </w:rPr>
        <w:t xml:space="preserve"> преструктуриране </w:t>
      </w:r>
      <w:r w:rsidR="009944EA" w:rsidRPr="00F6563A">
        <w:rPr>
          <w:rFonts w:ascii="Verdana" w:eastAsia="Times New Roman" w:hAnsi="Verdana" w:cs="Times New Roman"/>
          <w:color w:val="000000" w:themeColor="text1"/>
          <w:sz w:val="20"/>
          <w:szCs w:val="20"/>
          <w:lang w:val="bg-BG" w:eastAsia="bg-BG"/>
        </w:rPr>
        <w:t xml:space="preserve">в сферата </w:t>
      </w:r>
      <w:r w:rsidR="00446A40" w:rsidRPr="00F6563A">
        <w:rPr>
          <w:rFonts w:ascii="Verdana" w:eastAsia="Times New Roman" w:hAnsi="Verdana" w:cs="Times New Roman"/>
          <w:color w:val="000000" w:themeColor="text1"/>
          <w:sz w:val="20"/>
          <w:szCs w:val="20"/>
          <w:lang w:val="bg-BG" w:eastAsia="bg-BG"/>
        </w:rPr>
        <w:t xml:space="preserve">предвижда </w:t>
      </w:r>
      <w:r w:rsidR="00E94064" w:rsidRPr="00F6563A">
        <w:rPr>
          <w:rFonts w:ascii="Verdana" w:eastAsia="Times New Roman" w:hAnsi="Verdana" w:cs="Times New Roman"/>
          <w:color w:val="000000" w:themeColor="text1"/>
          <w:sz w:val="20"/>
          <w:szCs w:val="20"/>
          <w:lang w:val="bg-BG" w:eastAsia="bg-BG"/>
        </w:rPr>
        <w:t xml:space="preserve">закриването на дирекция </w:t>
      </w:r>
      <w:r w:rsidR="0027624D" w:rsidRPr="00347EAE">
        <w:rPr>
          <w:rFonts w:ascii="Verdana" w:eastAsia="Times New Roman" w:hAnsi="Verdana" w:cs="Times New Roman"/>
          <w:bCs/>
          <w:sz w:val="20"/>
          <w:szCs w:val="20"/>
          <w:lang w:val="bg-BG" w:eastAsia="bg-BG"/>
        </w:rPr>
        <w:t>„</w:t>
      </w:r>
      <w:r w:rsidR="007C0002">
        <w:rPr>
          <w:rFonts w:ascii="Verdana" w:eastAsia="Times New Roman" w:hAnsi="Verdana" w:cs="Times New Roman"/>
          <w:bCs/>
          <w:sz w:val="20"/>
          <w:szCs w:val="20"/>
          <w:lang w:val="bg-BG" w:eastAsia="bg-BG"/>
        </w:rPr>
        <w:t>Противодействие на измамите</w:t>
      </w:r>
      <w:r w:rsidR="0027624D" w:rsidRPr="00347EAE">
        <w:rPr>
          <w:rFonts w:ascii="Verdana" w:eastAsia="Times New Roman" w:hAnsi="Verdana" w:cs="Times New Roman"/>
          <w:bCs/>
          <w:sz w:val="20"/>
          <w:szCs w:val="20"/>
          <w:lang w:val="bg-BG" w:eastAsia="bg-BG"/>
        </w:rPr>
        <w:t>“</w:t>
      </w:r>
      <w:r w:rsidR="00E94064" w:rsidRPr="00F6563A">
        <w:rPr>
          <w:rFonts w:ascii="Verdana" w:eastAsia="Times New Roman" w:hAnsi="Verdana" w:cs="Times New Roman"/>
          <w:color w:val="000000" w:themeColor="text1"/>
          <w:sz w:val="20"/>
          <w:szCs w:val="20"/>
          <w:lang w:val="bg-BG" w:eastAsia="bg-BG"/>
        </w:rPr>
        <w:t xml:space="preserve"> и </w:t>
      </w:r>
      <w:r w:rsidR="00446A40" w:rsidRPr="00F6563A">
        <w:rPr>
          <w:rFonts w:ascii="Verdana" w:eastAsia="Times New Roman" w:hAnsi="Verdana" w:cs="Times New Roman"/>
          <w:color w:val="000000" w:themeColor="text1"/>
          <w:sz w:val="20"/>
          <w:szCs w:val="20"/>
          <w:lang w:val="bg-BG" w:eastAsia="bg-BG"/>
        </w:rPr>
        <w:t xml:space="preserve">създаването на нова дирекция </w:t>
      </w:r>
      <w:r w:rsidR="0027624D" w:rsidRPr="00347EAE">
        <w:rPr>
          <w:rFonts w:ascii="Verdana" w:eastAsia="Times New Roman" w:hAnsi="Verdana" w:cs="Times New Roman"/>
          <w:bCs/>
          <w:sz w:val="20"/>
          <w:szCs w:val="20"/>
          <w:lang w:val="bg-BG" w:eastAsia="bg-BG"/>
        </w:rPr>
        <w:t>„</w:t>
      </w:r>
      <w:r w:rsidR="0027624D">
        <w:rPr>
          <w:rFonts w:ascii="Verdana" w:eastAsia="Times New Roman" w:hAnsi="Verdana" w:cs="Times New Roman"/>
          <w:bCs/>
          <w:sz w:val="20"/>
          <w:szCs w:val="20"/>
          <w:lang w:val="bg-BG" w:eastAsia="bg-BG"/>
        </w:rPr>
        <w:t>Специализирани проверки и последващ контрол</w:t>
      </w:r>
      <w:r w:rsidR="0027624D" w:rsidRPr="00347EAE">
        <w:rPr>
          <w:rFonts w:ascii="Verdana" w:eastAsia="Times New Roman" w:hAnsi="Verdana" w:cs="Times New Roman"/>
          <w:bCs/>
          <w:sz w:val="20"/>
          <w:szCs w:val="20"/>
          <w:lang w:val="bg-BG" w:eastAsia="bg-BG"/>
        </w:rPr>
        <w:t>“</w:t>
      </w:r>
      <w:r w:rsidR="009944EA" w:rsidRPr="00F6563A">
        <w:rPr>
          <w:rFonts w:ascii="Verdana" w:eastAsia="Times New Roman" w:hAnsi="Verdana" w:cs="Times New Roman"/>
          <w:color w:val="000000" w:themeColor="text1"/>
          <w:sz w:val="20"/>
          <w:szCs w:val="20"/>
          <w:lang w:val="bg-BG" w:eastAsia="bg-BG"/>
        </w:rPr>
        <w:t>.</w:t>
      </w:r>
      <w:r w:rsidR="00176FD7" w:rsidRPr="00F6563A">
        <w:rPr>
          <w:rFonts w:ascii="Verdana" w:eastAsia="Times New Roman" w:hAnsi="Verdana" w:cs="Times New Roman"/>
          <w:color w:val="000000" w:themeColor="text1"/>
          <w:sz w:val="20"/>
          <w:szCs w:val="20"/>
          <w:lang w:val="bg-BG" w:eastAsia="bg-BG"/>
        </w:rPr>
        <w:t xml:space="preserve"> </w:t>
      </w:r>
      <w:r w:rsidR="00176FD7" w:rsidRPr="00F6563A">
        <w:rPr>
          <w:rFonts w:ascii="Verdana" w:eastAsia="Times New Roman" w:hAnsi="Verdana" w:cs="Times New Roman"/>
          <w:bCs/>
          <w:color w:val="000000" w:themeColor="text1"/>
          <w:sz w:val="20"/>
          <w:szCs w:val="20"/>
          <w:lang w:val="bg-BG" w:eastAsia="bg-BG"/>
        </w:rPr>
        <w:t xml:space="preserve">Предвижда се дирекция </w:t>
      </w:r>
      <w:r w:rsidR="0027624D" w:rsidRPr="00347EAE">
        <w:rPr>
          <w:rFonts w:ascii="Verdana" w:eastAsia="Times New Roman" w:hAnsi="Verdana" w:cs="Times New Roman"/>
          <w:bCs/>
          <w:sz w:val="20"/>
          <w:szCs w:val="20"/>
          <w:lang w:val="bg-BG" w:eastAsia="bg-BG"/>
        </w:rPr>
        <w:t>„</w:t>
      </w:r>
      <w:r w:rsidR="0027624D">
        <w:rPr>
          <w:rFonts w:ascii="Verdana" w:eastAsia="Times New Roman" w:hAnsi="Verdana" w:cs="Times New Roman"/>
          <w:bCs/>
          <w:sz w:val="20"/>
          <w:szCs w:val="20"/>
          <w:lang w:val="bg-BG" w:eastAsia="bg-BG"/>
        </w:rPr>
        <w:t>Специализирани проверки и последващ контрол</w:t>
      </w:r>
      <w:r w:rsidR="0027624D" w:rsidRPr="00347EAE">
        <w:rPr>
          <w:rFonts w:ascii="Verdana" w:eastAsia="Times New Roman" w:hAnsi="Verdana" w:cs="Times New Roman"/>
          <w:bCs/>
          <w:sz w:val="20"/>
          <w:szCs w:val="20"/>
          <w:lang w:val="bg-BG" w:eastAsia="bg-BG"/>
        </w:rPr>
        <w:t>“</w:t>
      </w:r>
      <w:r w:rsidR="004E1599" w:rsidRPr="00F6563A">
        <w:rPr>
          <w:rFonts w:ascii="Verdana" w:eastAsia="Times New Roman" w:hAnsi="Verdana" w:cs="Times New Roman"/>
          <w:bCs/>
          <w:color w:val="000000" w:themeColor="text1"/>
          <w:sz w:val="20"/>
          <w:szCs w:val="20"/>
          <w:lang w:val="bg-BG" w:eastAsia="bg-BG"/>
        </w:rPr>
        <w:t xml:space="preserve">, </w:t>
      </w:r>
      <w:r w:rsidR="00176FD7" w:rsidRPr="00F6563A">
        <w:rPr>
          <w:rFonts w:ascii="Verdana" w:eastAsia="Times New Roman" w:hAnsi="Verdana" w:cs="Times New Roman"/>
          <w:bCs/>
          <w:color w:val="000000" w:themeColor="text1"/>
          <w:sz w:val="20"/>
          <w:szCs w:val="20"/>
          <w:lang w:val="bg-BG" w:eastAsia="bg-BG"/>
        </w:rPr>
        <w:t xml:space="preserve">да е </w:t>
      </w:r>
      <w:r w:rsidR="004450B8">
        <w:rPr>
          <w:rFonts w:ascii="Verdana" w:eastAsia="Times New Roman" w:hAnsi="Verdana" w:cs="Times New Roman"/>
          <w:bCs/>
          <w:color w:val="000000" w:themeColor="text1"/>
          <w:sz w:val="20"/>
          <w:szCs w:val="20"/>
          <w:lang w:val="bg-BG" w:eastAsia="bg-BG"/>
        </w:rPr>
        <w:t>част от общата администрация на ДФ „Земеделие“</w:t>
      </w:r>
      <w:r w:rsidR="00176FD7" w:rsidRPr="00F6563A">
        <w:rPr>
          <w:rFonts w:ascii="Verdana" w:eastAsia="Times New Roman" w:hAnsi="Verdana" w:cs="Times New Roman"/>
          <w:bCs/>
          <w:color w:val="000000" w:themeColor="text1"/>
          <w:sz w:val="20"/>
          <w:szCs w:val="20"/>
          <w:lang w:val="bg-BG" w:eastAsia="bg-BG"/>
        </w:rPr>
        <w:t xml:space="preserve"> с численост от </w:t>
      </w:r>
      <w:r w:rsidR="0027624D">
        <w:rPr>
          <w:rFonts w:ascii="Verdana" w:eastAsia="Times New Roman" w:hAnsi="Verdana" w:cs="Times New Roman"/>
          <w:bCs/>
          <w:color w:val="000000" w:themeColor="text1"/>
          <w:sz w:val="20"/>
          <w:szCs w:val="20"/>
          <w:lang w:val="bg-BG" w:eastAsia="bg-BG"/>
        </w:rPr>
        <w:t>17</w:t>
      </w:r>
      <w:r w:rsidR="00176FD7" w:rsidRPr="00F6563A">
        <w:rPr>
          <w:rFonts w:ascii="Verdana" w:eastAsia="Times New Roman" w:hAnsi="Verdana" w:cs="Times New Roman"/>
          <w:bCs/>
          <w:color w:val="000000" w:themeColor="text1"/>
          <w:sz w:val="20"/>
          <w:szCs w:val="20"/>
          <w:lang w:val="bg-BG" w:eastAsia="bg-BG"/>
        </w:rPr>
        <w:t xml:space="preserve"> щатни бройки.</w:t>
      </w:r>
      <w:r w:rsidR="007E2BFB" w:rsidRPr="00F6563A">
        <w:rPr>
          <w:rFonts w:ascii="Verdana" w:eastAsia="Times New Roman" w:hAnsi="Verdana" w:cs="Times New Roman"/>
          <w:bCs/>
          <w:color w:val="000000" w:themeColor="text1"/>
          <w:sz w:val="20"/>
          <w:szCs w:val="20"/>
          <w:lang w:val="bg-BG" w:eastAsia="bg-BG"/>
        </w:rPr>
        <w:t xml:space="preserve"> Тази </w:t>
      </w:r>
      <w:r w:rsidR="0027624D">
        <w:rPr>
          <w:rFonts w:ascii="Verdana" w:eastAsia="Times New Roman" w:hAnsi="Verdana" w:cs="Times New Roman"/>
          <w:bCs/>
          <w:color w:val="000000" w:themeColor="text1"/>
          <w:sz w:val="20"/>
          <w:szCs w:val="20"/>
          <w:lang w:val="bg-BG" w:eastAsia="bg-BG"/>
        </w:rPr>
        <w:t>втора</w:t>
      </w:r>
      <w:r w:rsidR="007E2BFB" w:rsidRPr="00F6563A">
        <w:rPr>
          <w:rFonts w:ascii="Verdana" w:eastAsia="Times New Roman" w:hAnsi="Verdana" w:cs="Times New Roman"/>
          <w:bCs/>
          <w:color w:val="000000" w:themeColor="text1"/>
          <w:sz w:val="20"/>
          <w:szCs w:val="20"/>
          <w:lang w:val="bg-BG" w:eastAsia="bg-BG"/>
        </w:rPr>
        <w:t xml:space="preserve"> нова дирекция ще отговаря основно </w:t>
      </w:r>
      <w:r w:rsidR="00446A40" w:rsidRPr="00F6563A">
        <w:rPr>
          <w:rFonts w:ascii="Verdana" w:eastAsia="Times New Roman" w:hAnsi="Verdana" w:cs="Times New Roman"/>
          <w:color w:val="000000" w:themeColor="text1"/>
          <w:sz w:val="20"/>
          <w:szCs w:val="20"/>
          <w:lang w:val="bg-BG" w:eastAsia="bg-BG"/>
        </w:rPr>
        <w:t>за превенцията на всякакви</w:t>
      </w:r>
      <w:r w:rsidR="00DA623F" w:rsidRPr="00F6563A">
        <w:rPr>
          <w:rFonts w:ascii="Verdana" w:eastAsia="Times New Roman" w:hAnsi="Verdana" w:cs="Times New Roman"/>
          <w:color w:val="000000" w:themeColor="text1"/>
          <w:sz w:val="20"/>
          <w:szCs w:val="20"/>
          <w:lang w:val="bg-BG" w:eastAsia="bg-BG"/>
        </w:rPr>
        <w:t xml:space="preserve"> действия или бездействия, които са нес</w:t>
      </w:r>
      <w:r w:rsidR="00A25507" w:rsidRPr="00F6563A">
        <w:rPr>
          <w:rFonts w:ascii="Verdana" w:eastAsia="Times New Roman" w:hAnsi="Verdana" w:cs="Times New Roman"/>
          <w:color w:val="000000" w:themeColor="text1"/>
          <w:sz w:val="20"/>
          <w:szCs w:val="20"/>
          <w:lang w:val="bg-BG" w:eastAsia="bg-BG"/>
        </w:rPr>
        <w:t xml:space="preserve">ъвместими с принципите на </w:t>
      </w:r>
      <w:r w:rsidR="00141D96" w:rsidRPr="00F6563A">
        <w:rPr>
          <w:rFonts w:ascii="Verdana" w:eastAsia="Times New Roman" w:hAnsi="Verdana" w:cs="Times New Roman"/>
          <w:color w:val="000000" w:themeColor="text1"/>
          <w:sz w:val="20"/>
          <w:szCs w:val="20"/>
          <w:lang w:val="bg-BG" w:eastAsia="bg-BG"/>
        </w:rPr>
        <w:t>законност</w:t>
      </w:r>
      <w:r w:rsidR="00A25507" w:rsidRPr="00F6563A">
        <w:rPr>
          <w:rFonts w:ascii="Verdana" w:eastAsia="Times New Roman" w:hAnsi="Verdana" w:cs="Times New Roman"/>
          <w:color w:val="000000" w:themeColor="text1"/>
          <w:sz w:val="20"/>
          <w:szCs w:val="20"/>
          <w:lang w:val="bg-BG" w:eastAsia="bg-BG"/>
        </w:rPr>
        <w:t>, отговорност и</w:t>
      </w:r>
      <w:r w:rsidR="00A25507" w:rsidRPr="0078548A">
        <w:rPr>
          <w:rFonts w:ascii="Verdana" w:eastAsia="Times New Roman" w:hAnsi="Verdana" w:cs="Times New Roman"/>
          <w:color w:val="000000" w:themeColor="text1"/>
          <w:sz w:val="20"/>
          <w:szCs w:val="20"/>
          <w:lang w:val="bg-BG" w:eastAsia="bg-BG"/>
        </w:rPr>
        <w:t xml:space="preserve"> отчетност, </w:t>
      </w:r>
      <w:r w:rsidR="00141D96" w:rsidRPr="0078548A">
        <w:rPr>
          <w:rFonts w:ascii="Verdana" w:eastAsia="Times New Roman" w:hAnsi="Verdana" w:cs="Times New Roman"/>
          <w:color w:val="000000" w:themeColor="text1"/>
          <w:sz w:val="20"/>
          <w:szCs w:val="20"/>
          <w:lang w:val="bg-BG" w:eastAsia="bg-BG"/>
        </w:rPr>
        <w:t>предвидимост</w:t>
      </w:r>
      <w:r w:rsidR="00A25507" w:rsidRPr="0078548A">
        <w:rPr>
          <w:rFonts w:ascii="Verdana" w:eastAsia="Times New Roman" w:hAnsi="Verdana" w:cs="Times New Roman"/>
          <w:color w:val="000000" w:themeColor="text1"/>
          <w:sz w:val="20"/>
          <w:szCs w:val="20"/>
          <w:lang w:val="bg-BG" w:eastAsia="bg-BG"/>
        </w:rPr>
        <w:t>,</w:t>
      </w:r>
      <w:r w:rsidR="007E2BFB" w:rsidRPr="0078548A">
        <w:rPr>
          <w:rFonts w:ascii="Verdana" w:eastAsia="Times New Roman" w:hAnsi="Verdana" w:cs="Times New Roman"/>
          <w:color w:val="000000" w:themeColor="text1"/>
          <w:sz w:val="20"/>
          <w:szCs w:val="20"/>
          <w:lang w:val="bg-BG" w:eastAsia="bg-BG"/>
        </w:rPr>
        <w:t xml:space="preserve"> обективност и безпристрастност, и в частност</w:t>
      </w:r>
      <w:r w:rsidR="005A6EEF" w:rsidRPr="005A6EEF">
        <w:rPr>
          <w:rFonts w:ascii="Verdana" w:eastAsia="Times New Roman" w:hAnsi="Verdana" w:cs="Times New Roman"/>
          <w:iCs/>
          <w:color w:val="000000" w:themeColor="text1"/>
          <w:sz w:val="20"/>
          <w:szCs w:val="20"/>
          <w:lang w:val="bg-BG" w:eastAsia="bg-BG"/>
        </w:rPr>
        <w:t xml:space="preserve"> </w:t>
      </w:r>
      <w:r w:rsidR="007C0002" w:rsidRPr="007C0002">
        <w:rPr>
          <w:rFonts w:ascii="Verdana" w:eastAsia="Times New Roman" w:hAnsi="Verdana" w:cs="Times New Roman"/>
          <w:iCs/>
          <w:color w:val="000000" w:themeColor="text1"/>
          <w:sz w:val="20"/>
          <w:szCs w:val="20"/>
          <w:lang w:val="bg-BG" w:eastAsia="bg-BG"/>
        </w:rPr>
        <w:t>ще  извършва специализирани проверки по установени нередности, при които са налични данни, даващи основание за сезиране на правоприлагащи органи на национално и европейско ниво и щ</w:t>
      </w:r>
      <w:r w:rsidR="007C0002">
        <w:rPr>
          <w:rFonts w:ascii="Verdana" w:eastAsia="Times New Roman" w:hAnsi="Verdana" w:cs="Times New Roman"/>
          <w:iCs/>
          <w:color w:val="000000" w:themeColor="text1"/>
          <w:sz w:val="20"/>
          <w:szCs w:val="20"/>
          <w:lang w:val="bg-BG" w:eastAsia="bg-BG"/>
        </w:rPr>
        <w:t>е осъществява последващ контрол</w:t>
      </w:r>
      <w:r w:rsidR="007E2BFB" w:rsidRPr="0078548A">
        <w:rPr>
          <w:rFonts w:ascii="Verdana" w:eastAsia="Times New Roman" w:hAnsi="Verdana" w:cs="Times New Roman"/>
          <w:color w:val="000000" w:themeColor="text1"/>
          <w:sz w:val="20"/>
          <w:szCs w:val="20"/>
          <w:lang w:val="bg-BG" w:eastAsia="bg-BG"/>
        </w:rPr>
        <w:t xml:space="preserve">. </w:t>
      </w:r>
    </w:p>
    <w:p w:rsidR="0027624D" w:rsidRDefault="0027624D" w:rsidP="00D4100E">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rPr>
      </w:pPr>
    </w:p>
    <w:p w:rsidR="00706744" w:rsidRDefault="00780100" w:rsidP="00D4100E">
      <w:pPr>
        <w:widowControl w:val="0"/>
        <w:autoSpaceDE w:val="0"/>
        <w:autoSpaceDN w:val="0"/>
        <w:adjustRightInd w:val="0"/>
        <w:spacing w:after="0" w:line="360" w:lineRule="auto"/>
        <w:ind w:firstLine="709"/>
        <w:jc w:val="both"/>
        <w:rPr>
          <w:rFonts w:ascii="Verdana" w:eastAsia="Times New Roman" w:hAnsi="Verdana" w:cs="Times New Roman"/>
          <w:bCs/>
          <w:spacing w:val="4"/>
          <w:sz w:val="20"/>
          <w:szCs w:val="20"/>
          <w:lang w:val="bg-BG" w:eastAsia="bg-BG"/>
        </w:rPr>
      </w:pPr>
      <w:r w:rsidRPr="00B15814">
        <w:rPr>
          <w:rFonts w:ascii="Verdana" w:eastAsia="Times New Roman" w:hAnsi="Verdana" w:cs="Times New Roman"/>
          <w:sz w:val="20"/>
          <w:szCs w:val="20"/>
          <w:lang w:val="bg-BG" w:eastAsia="bg-BG"/>
        </w:rPr>
        <w:t>Друг</w:t>
      </w:r>
      <w:r w:rsidR="00581EC0" w:rsidRPr="00B15814">
        <w:rPr>
          <w:rFonts w:ascii="Verdana" w:eastAsia="Times New Roman" w:hAnsi="Verdana" w:cs="Times New Roman"/>
          <w:sz w:val="20"/>
          <w:szCs w:val="20"/>
          <w:lang w:val="bg-BG" w:eastAsia="bg-BG"/>
        </w:rPr>
        <w:t>ите</w:t>
      </w:r>
      <w:r w:rsidRPr="00B15814">
        <w:rPr>
          <w:rFonts w:ascii="Verdana" w:eastAsia="Times New Roman" w:hAnsi="Verdana" w:cs="Times New Roman"/>
          <w:sz w:val="20"/>
          <w:szCs w:val="20"/>
          <w:lang w:val="bg-BG" w:eastAsia="bg-BG"/>
        </w:rPr>
        <w:t xml:space="preserve"> предвиден</w:t>
      </w:r>
      <w:r w:rsidR="00581EC0" w:rsidRPr="00B15814">
        <w:rPr>
          <w:rFonts w:ascii="Verdana" w:eastAsia="Times New Roman" w:hAnsi="Verdana" w:cs="Times New Roman"/>
          <w:sz w:val="20"/>
          <w:szCs w:val="20"/>
          <w:lang w:val="bg-BG" w:eastAsia="bg-BG"/>
        </w:rPr>
        <w:t>и</w:t>
      </w:r>
      <w:r w:rsidRPr="00B15814">
        <w:rPr>
          <w:rFonts w:ascii="Verdana" w:eastAsia="Times New Roman" w:hAnsi="Verdana" w:cs="Times New Roman"/>
          <w:sz w:val="20"/>
          <w:szCs w:val="20"/>
          <w:lang w:val="bg-BG" w:eastAsia="bg-BG"/>
        </w:rPr>
        <w:t xml:space="preserve"> пром</w:t>
      </w:r>
      <w:r w:rsidR="00581EC0" w:rsidRPr="00B15814">
        <w:rPr>
          <w:rFonts w:ascii="Verdana" w:eastAsia="Times New Roman" w:hAnsi="Verdana" w:cs="Times New Roman"/>
          <w:sz w:val="20"/>
          <w:szCs w:val="20"/>
          <w:lang w:val="bg-BG" w:eastAsia="bg-BG"/>
        </w:rPr>
        <w:t>ени</w:t>
      </w:r>
      <w:r w:rsidRPr="00B15814">
        <w:rPr>
          <w:rFonts w:ascii="Verdana" w:eastAsia="Times New Roman" w:hAnsi="Verdana" w:cs="Times New Roman"/>
          <w:sz w:val="20"/>
          <w:szCs w:val="20"/>
          <w:lang w:val="bg-BG" w:eastAsia="bg-BG"/>
        </w:rPr>
        <w:t>, ко</w:t>
      </w:r>
      <w:r w:rsidR="00581EC0" w:rsidRPr="00B15814">
        <w:rPr>
          <w:rFonts w:ascii="Verdana" w:eastAsia="Times New Roman" w:hAnsi="Verdana" w:cs="Times New Roman"/>
          <w:sz w:val="20"/>
          <w:szCs w:val="20"/>
          <w:lang w:val="bg-BG" w:eastAsia="bg-BG"/>
        </w:rPr>
        <w:t>ито</w:t>
      </w:r>
      <w:r w:rsidRPr="00B15814">
        <w:rPr>
          <w:rFonts w:ascii="Verdana" w:eastAsia="Times New Roman" w:hAnsi="Verdana" w:cs="Times New Roman"/>
          <w:sz w:val="20"/>
          <w:szCs w:val="20"/>
          <w:lang w:val="bg-BG" w:eastAsia="bg-BG"/>
        </w:rPr>
        <w:t xml:space="preserve"> изисква</w:t>
      </w:r>
      <w:r w:rsidR="00581EC0" w:rsidRPr="00B15814">
        <w:rPr>
          <w:rFonts w:ascii="Verdana" w:eastAsia="Times New Roman" w:hAnsi="Verdana" w:cs="Times New Roman"/>
          <w:sz w:val="20"/>
          <w:szCs w:val="20"/>
          <w:lang w:val="bg-BG" w:eastAsia="bg-BG"/>
        </w:rPr>
        <w:t>т</w:t>
      </w:r>
      <w:r w:rsidRPr="00B15814">
        <w:rPr>
          <w:rFonts w:ascii="Verdana" w:eastAsia="Times New Roman" w:hAnsi="Verdana" w:cs="Times New Roman"/>
          <w:sz w:val="20"/>
          <w:szCs w:val="20"/>
          <w:lang w:val="bg-BG" w:eastAsia="bg-BG"/>
        </w:rPr>
        <w:t xml:space="preserve"> изменението и допълнението на </w:t>
      </w:r>
      <w:r w:rsidRPr="00B15814">
        <w:rPr>
          <w:rFonts w:ascii="Verdana" w:eastAsia="Times New Roman" w:hAnsi="Verdana" w:cs="Times New Roman"/>
          <w:spacing w:val="4"/>
          <w:sz w:val="20"/>
          <w:szCs w:val="20"/>
          <w:lang w:val="bg-BG" w:eastAsia="bg-BG"/>
        </w:rPr>
        <w:t xml:space="preserve">Устройствения правилник на Държавен фонд „Земеделие“, </w:t>
      </w:r>
      <w:r w:rsidR="00581EC0" w:rsidRPr="00B15814">
        <w:rPr>
          <w:rFonts w:ascii="Verdana" w:eastAsia="Times New Roman" w:hAnsi="Verdana" w:cs="Times New Roman"/>
          <w:spacing w:val="4"/>
          <w:sz w:val="20"/>
          <w:szCs w:val="20"/>
          <w:lang w:val="bg-BG" w:eastAsia="bg-BG"/>
        </w:rPr>
        <w:t>са</w:t>
      </w:r>
      <w:r w:rsidRPr="00B15814">
        <w:rPr>
          <w:rFonts w:ascii="Verdana" w:eastAsia="Times New Roman" w:hAnsi="Verdana" w:cs="Times New Roman"/>
          <w:spacing w:val="4"/>
          <w:sz w:val="20"/>
          <w:szCs w:val="20"/>
          <w:lang w:val="bg-BG" w:eastAsia="bg-BG"/>
        </w:rPr>
        <w:t xml:space="preserve"> </w:t>
      </w:r>
      <w:r w:rsidR="00575929" w:rsidRPr="00B15814">
        <w:rPr>
          <w:rFonts w:ascii="Verdana" w:eastAsia="Times New Roman" w:hAnsi="Verdana" w:cs="Times New Roman"/>
          <w:spacing w:val="4"/>
          <w:sz w:val="20"/>
          <w:szCs w:val="20"/>
          <w:lang w:val="bg-BG" w:eastAsia="bg-BG"/>
        </w:rPr>
        <w:t>увеличаването на щата на звено „Инспекторат</w:t>
      </w:r>
      <w:r w:rsidR="00575929" w:rsidRPr="00F0339B">
        <w:rPr>
          <w:rFonts w:ascii="Verdana" w:eastAsia="Times New Roman" w:hAnsi="Verdana" w:cs="Times New Roman"/>
          <w:spacing w:val="4"/>
          <w:sz w:val="20"/>
          <w:szCs w:val="20"/>
          <w:lang w:val="bg-BG" w:eastAsia="bg-BG"/>
        </w:rPr>
        <w:t>“ с 1 допълнителна</w:t>
      </w:r>
      <w:r w:rsidR="00575929" w:rsidRPr="00B15814">
        <w:rPr>
          <w:rFonts w:ascii="Verdana" w:eastAsia="Times New Roman" w:hAnsi="Verdana" w:cs="Times New Roman"/>
          <w:spacing w:val="4"/>
          <w:sz w:val="20"/>
          <w:szCs w:val="20"/>
          <w:lang w:val="bg-BG" w:eastAsia="bg-BG"/>
        </w:rPr>
        <w:t xml:space="preserve"> щатна бройка в изпълнение изискванията на чл. 6, ал. 3, т. 5 от </w:t>
      </w:r>
      <w:r w:rsidR="00575929" w:rsidRPr="00B15814">
        <w:rPr>
          <w:rFonts w:ascii="Verdana" w:eastAsia="Times New Roman" w:hAnsi="Verdana" w:cs="Times New Roman"/>
          <w:bCs/>
          <w:spacing w:val="4"/>
          <w:sz w:val="20"/>
          <w:szCs w:val="20"/>
          <w:lang w:val="bg-BG" w:eastAsia="bg-BG"/>
        </w:rPr>
        <w:t>Наредбата за структурата и минималната численост на инспекторатите, реда и начина за осъществяване на дейността им и взаимодействието със специализираните контролни органи</w:t>
      </w:r>
      <w:r w:rsidR="0037715E">
        <w:rPr>
          <w:rFonts w:ascii="Verdana" w:eastAsia="Times New Roman" w:hAnsi="Verdana" w:cs="Times New Roman"/>
          <w:bCs/>
          <w:spacing w:val="4"/>
          <w:sz w:val="20"/>
          <w:szCs w:val="20"/>
          <w:lang w:val="bg-BG" w:eastAsia="bg-BG"/>
        </w:rPr>
        <w:t xml:space="preserve">. </w:t>
      </w:r>
      <w:r w:rsidR="0037715E" w:rsidRPr="0037715E">
        <w:rPr>
          <w:rFonts w:ascii="Verdana" w:eastAsia="Times New Roman" w:hAnsi="Verdana" w:cs="Times New Roman"/>
          <w:bCs/>
          <w:spacing w:val="4"/>
          <w:sz w:val="20"/>
          <w:szCs w:val="20"/>
          <w:lang w:val="bg-BG" w:eastAsia="bg-BG"/>
        </w:rPr>
        <w:t>Бройката ще бъде осигурена чрез вътрешно преструктуриране в настоящата щатна численост на ДФЗ.</w:t>
      </w:r>
      <w:r w:rsidR="0037715E">
        <w:rPr>
          <w:rFonts w:ascii="Verdana" w:eastAsia="Times New Roman" w:hAnsi="Verdana" w:cs="Times New Roman"/>
          <w:bCs/>
          <w:spacing w:val="4"/>
          <w:sz w:val="20"/>
          <w:szCs w:val="20"/>
          <w:lang w:val="bg-BG" w:eastAsia="bg-BG"/>
        </w:rPr>
        <w:t xml:space="preserve"> </w:t>
      </w:r>
    </w:p>
    <w:p w:rsidR="00392498" w:rsidRDefault="00392498" w:rsidP="00D4100E">
      <w:pPr>
        <w:widowControl w:val="0"/>
        <w:autoSpaceDE w:val="0"/>
        <w:autoSpaceDN w:val="0"/>
        <w:adjustRightInd w:val="0"/>
        <w:spacing w:after="0" w:line="360" w:lineRule="auto"/>
        <w:ind w:firstLine="709"/>
        <w:jc w:val="both"/>
        <w:rPr>
          <w:rFonts w:ascii="Verdana" w:eastAsia="Times New Roman" w:hAnsi="Verdana" w:cs="Times New Roman"/>
          <w:bCs/>
          <w:spacing w:val="4"/>
          <w:sz w:val="20"/>
          <w:szCs w:val="20"/>
          <w:lang w:val="bg-BG" w:eastAsia="bg-BG"/>
        </w:rPr>
      </w:pPr>
    </w:p>
    <w:p w:rsidR="008E1ECD" w:rsidRPr="00B15814" w:rsidRDefault="00706744" w:rsidP="00D4100E">
      <w:pPr>
        <w:widowControl w:val="0"/>
        <w:autoSpaceDE w:val="0"/>
        <w:autoSpaceDN w:val="0"/>
        <w:adjustRightInd w:val="0"/>
        <w:spacing w:after="0" w:line="360" w:lineRule="auto"/>
        <w:ind w:firstLine="709"/>
        <w:jc w:val="both"/>
        <w:rPr>
          <w:rFonts w:ascii="Verdana" w:eastAsia="Times New Roman" w:hAnsi="Verdana" w:cs="Times New Roman"/>
          <w:spacing w:val="4"/>
          <w:sz w:val="20"/>
          <w:szCs w:val="20"/>
          <w:lang w:val="bg-BG" w:eastAsia="bg-BG"/>
        </w:rPr>
      </w:pPr>
      <w:r>
        <w:rPr>
          <w:rFonts w:ascii="Verdana" w:eastAsia="Times New Roman" w:hAnsi="Verdana" w:cs="Times New Roman"/>
          <w:bCs/>
          <w:spacing w:val="4"/>
          <w:sz w:val="20"/>
          <w:szCs w:val="20"/>
          <w:lang w:val="bg-BG" w:eastAsia="bg-BG"/>
        </w:rPr>
        <w:t xml:space="preserve">Необходимо е и </w:t>
      </w:r>
      <w:r w:rsidR="008E1ECD" w:rsidRPr="00B15814">
        <w:rPr>
          <w:rFonts w:ascii="Verdana" w:eastAsia="Times New Roman" w:hAnsi="Verdana" w:cs="Times New Roman"/>
          <w:spacing w:val="4"/>
          <w:sz w:val="20"/>
          <w:szCs w:val="20"/>
          <w:lang w:val="bg-BG" w:eastAsia="bg-BG"/>
        </w:rPr>
        <w:t xml:space="preserve">преструктурирането и </w:t>
      </w:r>
      <w:r w:rsidR="00780100" w:rsidRPr="00B15814">
        <w:rPr>
          <w:rFonts w:ascii="Verdana" w:eastAsia="Times New Roman" w:hAnsi="Verdana" w:cs="Times New Roman"/>
          <w:spacing w:val="4"/>
          <w:sz w:val="20"/>
          <w:szCs w:val="20"/>
          <w:lang w:val="bg-BG" w:eastAsia="bg-BG"/>
        </w:rPr>
        <w:t>увеличаването на щат</w:t>
      </w:r>
      <w:r w:rsidR="00AA0E91" w:rsidRPr="00B15814">
        <w:rPr>
          <w:rFonts w:ascii="Verdana" w:eastAsia="Times New Roman" w:hAnsi="Verdana" w:cs="Times New Roman"/>
          <w:spacing w:val="4"/>
          <w:sz w:val="20"/>
          <w:szCs w:val="20"/>
          <w:lang w:val="bg-BG" w:eastAsia="bg-BG"/>
        </w:rPr>
        <w:t>а н</w:t>
      </w:r>
      <w:r w:rsidR="00780100" w:rsidRPr="00B15814">
        <w:rPr>
          <w:rFonts w:ascii="Verdana" w:eastAsia="Times New Roman" w:hAnsi="Verdana" w:cs="Times New Roman"/>
          <w:spacing w:val="4"/>
          <w:sz w:val="20"/>
          <w:szCs w:val="20"/>
          <w:lang w:val="bg-BG" w:eastAsia="bg-BG"/>
        </w:rPr>
        <w:t xml:space="preserve">а </w:t>
      </w:r>
      <w:r w:rsidR="00E278AC" w:rsidRPr="00B15814">
        <w:rPr>
          <w:rFonts w:ascii="Verdana" w:eastAsia="Times New Roman" w:hAnsi="Verdana" w:cs="Times New Roman"/>
          <w:spacing w:val="4"/>
          <w:sz w:val="20"/>
          <w:szCs w:val="20"/>
          <w:lang w:val="bg-BG" w:eastAsia="bg-BG"/>
        </w:rPr>
        <w:t>ключовото</w:t>
      </w:r>
      <w:r w:rsidR="00780100" w:rsidRPr="00B15814">
        <w:rPr>
          <w:rFonts w:ascii="Verdana" w:eastAsia="Times New Roman" w:hAnsi="Verdana" w:cs="Times New Roman"/>
          <w:spacing w:val="4"/>
          <w:sz w:val="20"/>
          <w:szCs w:val="20"/>
          <w:lang w:val="bg-BG" w:eastAsia="bg-BG"/>
        </w:rPr>
        <w:t xml:space="preserve"> звен</w:t>
      </w:r>
      <w:r w:rsidR="00E278AC" w:rsidRPr="00B15814">
        <w:rPr>
          <w:rFonts w:ascii="Verdana" w:eastAsia="Times New Roman" w:hAnsi="Verdana" w:cs="Times New Roman"/>
          <w:spacing w:val="4"/>
          <w:sz w:val="20"/>
          <w:szCs w:val="20"/>
          <w:lang w:val="bg-BG" w:eastAsia="bg-BG"/>
        </w:rPr>
        <w:t>о</w:t>
      </w:r>
      <w:r w:rsidR="00AA0E91" w:rsidRPr="00B15814">
        <w:rPr>
          <w:rFonts w:ascii="Times New Roman" w:eastAsia="Times New Roman" w:hAnsi="Times New Roman" w:cs="Times New Roman"/>
          <w:sz w:val="24"/>
          <w:szCs w:val="24"/>
          <w:lang w:val="x-none"/>
        </w:rPr>
        <w:t xml:space="preserve"> </w:t>
      </w:r>
      <w:r w:rsidR="00AA0E91" w:rsidRPr="00B15814">
        <w:rPr>
          <w:rFonts w:ascii="Verdana" w:eastAsia="Times New Roman" w:hAnsi="Verdana" w:cs="Times New Roman"/>
          <w:spacing w:val="4"/>
          <w:sz w:val="20"/>
          <w:szCs w:val="20"/>
          <w:lang w:val="bg-BG" w:eastAsia="bg-BG"/>
        </w:rPr>
        <w:t>„</w:t>
      </w:r>
      <w:r w:rsidR="00AA0E91" w:rsidRPr="00F6563A">
        <w:rPr>
          <w:rFonts w:ascii="Verdana" w:eastAsia="Times New Roman" w:hAnsi="Verdana" w:cs="Times New Roman"/>
          <w:spacing w:val="4"/>
          <w:sz w:val="20"/>
          <w:szCs w:val="20"/>
          <w:lang w:val="bg-BG" w:eastAsia="bg-BG"/>
        </w:rPr>
        <w:t>Интегрирана система за администриране и контрол“</w:t>
      </w:r>
      <w:r w:rsidR="00780100" w:rsidRPr="00B15814">
        <w:rPr>
          <w:rFonts w:ascii="Verdana" w:eastAsia="Times New Roman" w:hAnsi="Verdana" w:cs="Times New Roman"/>
          <w:spacing w:val="4"/>
          <w:sz w:val="20"/>
          <w:szCs w:val="20"/>
          <w:lang w:val="bg-BG" w:eastAsia="bg-BG"/>
        </w:rPr>
        <w:t xml:space="preserve"> </w:t>
      </w:r>
      <w:r w:rsidR="008E1ECD" w:rsidRPr="00B15814">
        <w:rPr>
          <w:rFonts w:ascii="Verdana" w:eastAsia="Times New Roman" w:hAnsi="Verdana" w:cs="Times New Roman"/>
          <w:spacing w:val="4"/>
          <w:sz w:val="20"/>
          <w:szCs w:val="20"/>
          <w:lang w:val="bg-BG" w:eastAsia="bg-BG"/>
        </w:rPr>
        <w:t>(ИСАК)</w:t>
      </w:r>
      <w:r w:rsidR="00575929" w:rsidRPr="00B15814">
        <w:rPr>
          <w:rFonts w:ascii="Verdana" w:eastAsia="Times New Roman" w:hAnsi="Verdana" w:cs="Times New Roman"/>
          <w:spacing w:val="4"/>
          <w:sz w:val="20"/>
          <w:szCs w:val="20"/>
          <w:lang w:val="bg-BG" w:eastAsia="bg-BG"/>
        </w:rPr>
        <w:t xml:space="preserve"> </w:t>
      </w:r>
      <w:r w:rsidR="00575929" w:rsidRPr="00F0339B">
        <w:rPr>
          <w:rFonts w:ascii="Verdana" w:eastAsia="Times New Roman" w:hAnsi="Verdana" w:cs="Times New Roman"/>
          <w:spacing w:val="4"/>
          <w:sz w:val="20"/>
          <w:szCs w:val="20"/>
          <w:lang w:val="bg-BG" w:eastAsia="bg-BG"/>
        </w:rPr>
        <w:t>на</w:t>
      </w:r>
      <w:r w:rsidR="008E1ECD" w:rsidRPr="00F0339B">
        <w:rPr>
          <w:rFonts w:ascii="Verdana" w:eastAsia="Times New Roman" w:hAnsi="Verdana" w:cs="Times New Roman"/>
          <w:spacing w:val="4"/>
          <w:sz w:val="20"/>
          <w:szCs w:val="20"/>
          <w:lang w:val="bg-BG" w:eastAsia="bg-BG"/>
        </w:rPr>
        <w:t xml:space="preserve"> </w:t>
      </w:r>
      <w:r>
        <w:rPr>
          <w:rFonts w:ascii="Verdana" w:eastAsia="Times New Roman" w:hAnsi="Verdana" w:cs="Times New Roman"/>
          <w:spacing w:val="4"/>
          <w:sz w:val="20"/>
          <w:szCs w:val="20"/>
          <w:lang w:val="bg-BG" w:eastAsia="bg-BG"/>
        </w:rPr>
        <w:t>42</w:t>
      </w:r>
      <w:r w:rsidR="00575929" w:rsidRPr="00F0339B">
        <w:rPr>
          <w:rFonts w:ascii="Verdana" w:eastAsia="Times New Roman" w:hAnsi="Verdana" w:cs="Times New Roman"/>
          <w:spacing w:val="4"/>
          <w:sz w:val="20"/>
          <w:szCs w:val="20"/>
          <w:lang w:val="bg-BG" w:eastAsia="bg-BG"/>
        </w:rPr>
        <w:t xml:space="preserve"> щатни бройки</w:t>
      </w:r>
      <w:r w:rsidR="00575929" w:rsidRPr="00B15814">
        <w:rPr>
          <w:rFonts w:ascii="Verdana" w:eastAsia="Times New Roman" w:hAnsi="Verdana" w:cs="Times New Roman"/>
          <w:spacing w:val="4"/>
          <w:sz w:val="20"/>
          <w:szCs w:val="20"/>
          <w:lang w:val="bg-BG" w:eastAsia="bg-BG"/>
        </w:rPr>
        <w:t xml:space="preserve"> </w:t>
      </w:r>
      <w:r w:rsidR="00AA0E91" w:rsidRPr="00B15814">
        <w:rPr>
          <w:rFonts w:ascii="Verdana" w:eastAsia="Times New Roman" w:hAnsi="Verdana" w:cs="Times New Roman"/>
          <w:spacing w:val="4"/>
          <w:sz w:val="20"/>
          <w:szCs w:val="20"/>
          <w:lang w:val="bg-BG" w:eastAsia="bg-BG"/>
        </w:rPr>
        <w:t xml:space="preserve">и </w:t>
      </w:r>
      <w:r w:rsidR="00165B70" w:rsidRPr="004F4D10">
        <w:rPr>
          <w:rFonts w:ascii="Verdana" w:eastAsia="Times New Roman" w:hAnsi="Verdana" w:cs="Times New Roman"/>
          <w:spacing w:val="4"/>
          <w:sz w:val="20"/>
          <w:szCs w:val="20"/>
          <w:lang w:val="bg-BG" w:eastAsia="bg-BG"/>
        </w:rPr>
        <w:t>преобразуването му</w:t>
      </w:r>
      <w:r w:rsidR="00165B70" w:rsidRPr="00165B70">
        <w:rPr>
          <w:rFonts w:ascii="Verdana" w:eastAsia="Times New Roman" w:hAnsi="Verdana" w:cs="Times New Roman"/>
          <w:spacing w:val="4"/>
          <w:sz w:val="20"/>
          <w:szCs w:val="20"/>
          <w:lang w:val="bg-BG" w:eastAsia="bg-BG"/>
        </w:rPr>
        <w:t xml:space="preserve"> в</w:t>
      </w:r>
      <w:r w:rsidR="00AA0E91" w:rsidRPr="00B15814">
        <w:rPr>
          <w:rFonts w:ascii="Verdana" w:eastAsia="Times New Roman" w:hAnsi="Verdana" w:cs="Times New Roman"/>
          <w:spacing w:val="4"/>
          <w:sz w:val="20"/>
          <w:szCs w:val="20"/>
          <w:lang w:val="bg-BG" w:eastAsia="bg-BG"/>
        </w:rPr>
        <w:t xml:space="preserve"> </w:t>
      </w:r>
      <w:r>
        <w:rPr>
          <w:rFonts w:ascii="Verdana" w:eastAsia="Times New Roman" w:hAnsi="Verdana" w:cs="Times New Roman"/>
          <w:spacing w:val="4"/>
          <w:sz w:val="20"/>
          <w:szCs w:val="20"/>
          <w:lang w:val="bg-BG" w:eastAsia="bg-BG"/>
        </w:rPr>
        <w:t xml:space="preserve">дирекция </w:t>
      </w:r>
      <w:r w:rsidR="001E4519">
        <w:rPr>
          <w:rFonts w:ascii="Verdana" w:eastAsia="Times New Roman" w:hAnsi="Verdana" w:cs="Times New Roman"/>
          <w:b/>
          <w:spacing w:val="4"/>
          <w:sz w:val="20"/>
          <w:szCs w:val="20"/>
          <w:lang w:val="bg-BG" w:eastAsia="bg-BG"/>
        </w:rPr>
        <w:t>„</w:t>
      </w:r>
      <w:r w:rsidRPr="00392498">
        <w:rPr>
          <w:rFonts w:ascii="Verdana" w:eastAsia="Times New Roman" w:hAnsi="Verdana" w:cs="Times New Roman"/>
          <w:b/>
          <w:spacing w:val="4"/>
          <w:sz w:val="20"/>
          <w:szCs w:val="20"/>
          <w:lang w:val="bg-BG" w:eastAsia="bg-BG"/>
        </w:rPr>
        <w:t>Интегрирани информационни системи“</w:t>
      </w:r>
      <w:r w:rsidR="00AA0E91" w:rsidRPr="00B15814">
        <w:rPr>
          <w:rFonts w:ascii="Verdana" w:eastAsia="Times New Roman" w:hAnsi="Verdana" w:cs="Times New Roman"/>
          <w:spacing w:val="4"/>
          <w:sz w:val="20"/>
          <w:szCs w:val="20"/>
          <w:lang w:val="bg-BG" w:eastAsia="bg-BG"/>
        </w:rPr>
        <w:t xml:space="preserve">, с </w:t>
      </w:r>
      <w:r w:rsidR="00780100" w:rsidRPr="00B15814">
        <w:rPr>
          <w:rFonts w:ascii="Verdana" w:eastAsia="Times New Roman" w:hAnsi="Verdana" w:cs="Times New Roman"/>
          <w:spacing w:val="4"/>
          <w:sz w:val="20"/>
          <w:szCs w:val="20"/>
          <w:lang w:val="bg-BG" w:eastAsia="bg-BG"/>
        </w:rPr>
        <w:t xml:space="preserve">цел укрепване на </w:t>
      </w:r>
      <w:r w:rsidR="00AA0E91" w:rsidRPr="00B15814">
        <w:rPr>
          <w:rFonts w:ascii="Verdana" w:eastAsia="Times New Roman" w:hAnsi="Verdana" w:cs="Times New Roman"/>
          <w:spacing w:val="4"/>
          <w:sz w:val="20"/>
          <w:szCs w:val="20"/>
          <w:lang w:val="bg-BG" w:eastAsia="bg-BG"/>
        </w:rPr>
        <w:t xml:space="preserve">административния му </w:t>
      </w:r>
      <w:r w:rsidR="00780100" w:rsidRPr="00B15814">
        <w:rPr>
          <w:rFonts w:ascii="Verdana" w:eastAsia="Times New Roman" w:hAnsi="Verdana" w:cs="Times New Roman"/>
          <w:spacing w:val="4"/>
          <w:sz w:val="20"/>
          <w:szCs w:val="20"/>
          <w:lang w:val="bg-BG" w:eastAsia="bg-BG"/>
        </w:rPr>
        <w:t>капацитет</w:t>
      </w:r>
      <w:r w:rsidR="00AA0E91" w:rsidRPr="00B15814">
        <w:rPr>
          <w:rFonts w:ascii="Verdana" w:eastAsia="Times New Roman" w:hAnsi="Verdana" w:cs="Times New Roman"/>
          <w:spacing w:val="4"/>
          <w:sz w:val="20"/>
          <w:szCs w:val="20"/>
          <w:lang w:val="bg-BG" w:eastAsia="bg-BG"/>
        </w:rPr>
        <w:t xml:space="preserve"> за прилагане на </w:t>
      </w:r>
      <w:r w:rsidR="00165B70" w:rsidRPr="004F4D10">
        <w:rPr>
          <w:rFonts w:ascii="Verdana" w:eastAsia="Times New Roman" w:hAnsi="Verdana" w:cs="Times New Roman"/>
          <w:spacing w:val="4"/>
          <w:sz w:val="20"/>
          <w:szCs w:val="20"/>
          <w:lang w:val="bg-BG" w:eastAsia="bg-BG"/>
        </w:rPr>
        <w:t>цитираните по-горе</w:t>
      </w:r>
      <w:r w:rsidR="00165B70">
        <w:rPr>
          <w:rFonts w:ascii="Verdana" w:eastAsia="Times New Roman" w:hAnsi="Verdana" w:cs="Times New Roman"/>
          <w:spacing w:val="4"/>
          <w:sz w:val="20"/>
          <w:szCs w:val="20"/>
          <w:lang w:val="bg-BG" w:eastAsia="bg-BG"/>
        </w:rPr>
        <w:t xml:space="preserve"> </w:t>
      </w:r>
      <w:r w:rsidR="00836EAF" w:rsidRPr="00B15814">
        <w:rPr>
          <w:rFonts w:ascii="Verdana" w:eastAsia="Times New Roman" w:hAnsi="Verdana" w:cs="Times New Roman"/>
          <w:spacing w:val="4"/>
          <w:sz w:val="20"/>
          <w:szCs w:val="20"/>
          <w:lang w:val="bg-BG" w:eastAsia="bg-BG"/>
        </w:rPr>
        <w:t xml:space="preserve">промени в </w:t>
      </w:r>
      <w:r w:rsidR="00165B70">
        <w:rPr>
          <w:rFonts w:ascii="Verdana" w:eastAsia="Times New Roman" w:hAnsi="Verdana" w:cs="Times New Roman"/>
          <w:spacing w:val="4"/>
          <w:sz w:val="20"/>
          <w:szCs w:val="20"/>
          <w:lang w:val="bg-BG" w:eastAsia="bg-BG"/>
        </w:rPr>
        <w:t xml:space="preserve">правото на ЕС </w:t>
      </w:r>
      <w:r w:rsidR="00A1502A" w:rsidRPr="00B15814">
        <w:rPr>
          <w:rFonts w:ascii="Verdana" w:eastAsia="Times New Roman" w:hAnsi="Verdana" w:cs="Times New Roman"/>
          <w:spacing w:val="4"/>
          <w:sz w:val="20"/>
          <w:szCs w:val="20"/>
          <w:lang w:val="bg-BG" w:eastAsia="bg-BG"/>
        </w:rPr>
        <w:t xml:space="preserve">в посока внедряване на иновативни технологии и </w:t>
      </w:r>
      <w:r w:rsidR="002C3B8C" w:rsidRPr="00B15814">
        <w:rPr>
          <w:rFonts w:ascii="Verdana" w:eastAsia="Times New Roman" w:hAnsi="Verdana" w:cs="Times New Roman"/>
          <w:spacing w:val="4"/>
          <w:sz w:val="20"/>
          <w:szCs w:val="20"/>
          <w:lang w:val="bg-BG" w:eastAsia="bg-BG"/>
        </w:rPr>
        <w:t>цифровизация</w:t>
      </w:r>
      <w:r w:rsidR="008E1ECD" w:rsidRPr="00B15814">
        <w:rPr>
          <w:rFonts w:ascii="Verdana" w:eastAsia="Times New Roman" w:hAnsi="Verdana" w:cs="Times New Roman"/>
          <w:spacing w:val="4"/>
          <w:sz w:val="20"/>
          <w:szCs w:val="20"/>
          <w:lang w:val="bg-BG" w:eastAsia="bg-BG"/>
        </w:rPr>
        <w:t xml:space="preserve">. </w:t>
      </w:r>
      <w:r w:rsidR="00581EC0" w:rsidRPr="00B15814">
        <w:rPr>
          <w:rFonts w:ascii="Verdana" w:eastAsia="Times New Roman" w:hAnsi="Verdana" w:cs="Times New Roman"/>
          <w:spacing w:val="4"/>
          <w:sz w:val="20"/>
          <w:szCs w:val="20"/>
          <w:lang w:val="bg-BG" w:eastAsia="bg-BG"/>
        </w:rPr>
        <w:t xml:space="preserve"> </w:t>
      </w:r>
    </w:p>
    <w:p w:rsidR="00614F75" w:rsidRPr="00737633" w:rsidRDefault="00575929" w:rsidP="00D4100E">
      <w:pPr>
        <w:widowControl w:val="0"/>
        <w:autoSpaceDE w:val="0"/>
        <w:autoSpaceDN w:val="0"/>
        <w:adjustRightInd w:val="0"/>
        <w:spacing w:after="0" w:line="360" w:lineRule="auto"/>
        <w:ind w:firstLine="709"/>
        <w:jc w:val="both"/>
        <w:rPr>
          <w:rFonts w:ascii="Verdana" w:eastAsia="Times New Roman" w:hAnsi="Verdana" w:cs="Times New Roman"/>
          <w:spacing w:val="4"/>
          <w:sz w:val="20"/>
          <w:szCs w:val="20"/>
          <w:lang w:val="bg-BG" w:eastAsia="bg-BG"/>
        </w:rPr>
      </w:pPr>
      <w:r w:rsidRPr="00B15814">
        <w:rPr>
          <w:rFonts w:ascii="Verdana" w:eastAsia="Times New Roman" w:hAnsi="Verdana" w:cs="Times New Roman"/>
          <w:spacing w:val="4"/>
          <w:sz w:val="20"/>
          <w:szCs w:val="20"/>
          <w:lang w:val="bg-BG" w:eastAsia="bg-BG"/>
        </w:rPr>
        <w:t>В частност, п</w:t>
      </w:r>
      <w:r w:rsidR="008E1ECD" w:rsidRPr="00B15814">
        <w:rPr>
          <w:rFonts w:ascii="Verdana" w:eastAsia="Times New Roman" w:hAnsi="Verdana" w:cs="Times New Roman"/>
          <w:spacing w:val="4"/>
          <w:sz w:val="20"/>
          <w:szCs w:val="20"/>
          <w:lang w:val="bg-BG" w:eastAsia="bg-BG"/>
        </w:rPr>
        <w:t xml:space="preserve">редложението за </w:t>
      </w:r>
      <w:r w:rsidR="00EF4E07" w:rsidRPr="00B15814">
        <w:rPr>
          <w:rFonts w:ascii="Verdana" w:eastAsia="Times New Roman" w:hAnsi="Verdana" w:cs="Times New Roman"/>
          <w:spacing w:val="4"/>
          <w:sz w:val="20"/>
          <w:szCs w:val="20"/>
          <w:lang w:val="bg-BG" w:eastAsia="bg-BG"/>
        </w:rPr>
        <w:t xml:space="preserve">преструктуриране на </w:t>
      </w:r>
      <w:r w:rsidR="00EF4E07">
        <w:rPr>
          <w:rFonts w:ascii="Verdana" w:eastAsia="Times New Roman" w:hAnsi="Verdana" w:cs="Times New Roman"/>
          <w:spacing w:val="4"/>
          <w:sz w:val="20"/>
          <w:szCs w:val="20"/>
          <w:lang w:val="bg-BG" w:eastAsia="bg-BG"/>
        </w:rPr>
        <w:t>звено „ИСАК“</w:t>
      </w:r>
      <w:r w:rsidR="00EF4E07" w:rsidRPr="004F4D10">
        <w:rPr>
          <w:rFonts w:ascii="Verdana" w:eastAsia="Times New Roman" w:hAnsi="Verdana" w:cs="Times New Roman"/>
          <w:spacing w:val="4"/>
          <w:sz w:val="20"/>
          <w:szCs w:val="20"/>
          <w:lang w:val="bg-BG" w:eastAsia="bg-BG"/>
        </w:rPr>
        <w:t xml:space="preserve"> предвижда  вливане на досегашната дирекция „Информационни технологии“ в д</w:t>
      </w:r>
      <w:r w:rsidR="00EF4E07">
        <w:rPr>
          <w:rFonts w:ascii="Verdana" w:eastAsia="Times New Roman" w:hAnsi="Verdana" w:cs="Times New Roman"/>
          <w:spacing w:val="4"/>
          <w:sz w:val="20"/>
          <w:szCs w:val="20"/>
          <w:lang w:val="bg-BG" w:eastAsia="bg-BG"/>
        </w:rPr>
        <w:t xml:space="preserve">ирекция „Интегрирани информационни системи“ </w:t>
      </w:r>
      <w:r w:rsidR="008E1ECD" w:rsidRPr="004F4D10">
        <w:rPr>
          <w:rFonts w:ascii="Verdana" w:eastAsia="Times New Roman" w:hAnsi="Verdana" w:cs="Times New Roman"/>
          <w:spacing w:val="4"/>
          <w:sz w:val="20"/>
          <w:szCs w:val="20"/>
          <w:lang w:val="bg-BG" w:eastAsia="bg-BG"/>
        </w:rPr>
        <w:t xml:space="preserve">и е обосновано от две основни </w:t>
      </w:r>
      <w:r w:rsidR="008E1ECD" w:rsidRPr="004F4D10">
        <w:rPr>
          <w:rFonts w:ascii="Verdana" w:eastAsia="Times New Roman" w:hAnsi="Verdana" w:cs="Times New Roman"/>
          <w:spacing w:val="4"/>
          <w:sz w:val="20"/>
          <w:szCs w:val="20"/>
          <w:lang w:val="bg-BG" w:eastAsia="bg-BG"/>
        </w:rPr>
        <w:lastRenderedPageBreak/>
        <w:t>съображения.</w:t>
      </w:r>
      <w:r w:rsidR="008E1ECD" w:rsidRPr="00B15814">
        <w:rPr>
          <w:rFonts w:ascii="Verdana" w:eastAsia="Times New Roman" w:hAnsi="Verdana" w:cs="Times New Roman"/>
          <w:spacing w:val="4"/>
          <w:sz w:val="20"/>
          <w:szCs w:val="20"/>
          <w:lang w:val="bg-BG" w:eastAsia="bg-BG"/>
        </w:rPr>
        <w:t xml:space="preserve"> </w:t>
      </w:r>
      <w:r w:rsidR="00614F75" w:rsidRPr="00B15814">
        <w:rPr>
          <w:rFonts w:ascii="Verdana" w:eastAsia="Times New Roman" w:hAnsi="Verdana" w:cs="Times New Roman"/>
          <w:spacing w:val="4"/>
          <w:sz w:val="20"/>
          <w:szCs w:val="20"/>
          <w:lang w:val="bg-BG" w:eastAsia="bg-BG"/>
        </w:rPr>
        <w:t xml:space="preserve">Първото е, в чисто организационен план, структурата на Държавен фонд „Земеделие“ да се олекоти и оптимизира с оглед по-цялостното реализиране на принципите на ефективност, субординация и координация, предвидимост, непрекъснато усъвършенстване на качеството и планирането и изпълнението на дейността по начин, който води до </w:t>
      </w:r>
      <w:r w:rsidR="00614F75" w:rsidRPr="00737633">
        <w:rPr>
          <w:rFonts w:ascii="Verdana" w:eastAsia="Times New Roman" w:hAnsi="Verdana" w:cs="Times New Roman"/>
          <w:spacing w:val="4"/>
          <w:sz w:val="20"/>
          <w:szCs w:val="20"/>
          <w:lang w:val="bg-BG" w:eastAsia="bg-BG"/>
        </w:rPr>
        <w:t>постигане на висок обществен резултат при възможно най-икономично използване на ресурсите, съгласно чл. 2 от Закона за администрацията.</w:t>
      </w:r>
    </w:p>
    <w:p w:rsidR="008E1ECD" w:rsidRDefault="00614F75" w:rsidP="00D4100E">
      <w:pPr>
        <w:widowControl w:val="0"/>
        <w:autoSpaceDE w:val="0"/>
        <w:autoSpaceDN w:val="0"/>
        <w:adjustRightInd w:val="0"/>
        <w:spacing w:after="0" w:line="360" w:lineRule="auto"/>
        <w:ind w:firstLine="709"/>
        <w:jc w:val="both"/>
        <w:rPr>
          <w:rFonts w:ascii="Verdana" w:eastAsia="Times New Roman" w:hAnsi="Verdana" w:cs="Times New Roman"/>
          <w:spacing w:val="4"/>
          <w:sz w:val="20"/>
          <w:szCs w:val="20"/>
          <w:lang w:val="bg-BG" w:eastAsia="bg-BG"/>
        </w:rPr>
      </w:pPr>
      <w:r w:rsidRPr="00737633">
        <w:rPr>
          <w:rFonts w:ascii="Verdana" w:eastAsia="Times New Roman" w:hAnsi="Verdana" w:cs="Times New Roman"/>
          <w:spacing w:val="4"/>
          <w:sz w:val="20"/>
          <w:szCs w:val="20"/>
          <w:lang w:val="bg-BG" w:eastAsia="bg-BG"/>
        </w:rPr>
        <w:t>Второто съображение е, посре</w:t>
      </w:r>
      <w:r w:rsidR="004F4D10">
        <w:rPr>
          <w:rFonts w:ascii="Verdana" w:eastAsia="Times New Roman" w:hAnsi="Verdana" w:cs="Times New Roman"/>
          <w:spacing w:val="4"/>
          <w:sz w:val="20"/>
          <w:szCs w:val="20"/>
          <w:lang w:val="bg-BG" w:eastAsia="bg-BG"/>
        </w:rPr>
        <w:t>дством вливането да се постигне</w:t>
      </w:r>
      <w:r w:rsidRPr="00737633">
        <w:rPr>
          <w:rFonts w:ascii="Verdana" w:eastAsia="Times New Roman" w:hAnsi="Verdana" w:cs="Times New Roman"/>
          <w:spacing w:val="4"/>
          <w:sz w:val="20"/>
          <w:szCs w:val="20"/>
          <w:lang w:val="bg-BG" w:eastAsia="bg-BG"/>
        </w:rPr>
        <w:t xml:space="preserve"> интеграция на ИСАК с останалите вътрешни информационни системи в рамките на Държавен фонд „Земеделие“, както и с външни информационни системи, които  Държавен фонд „Земеделие“ ползва и/или в които участва. Така ще се повиши хомогенността и </w:t>
      </w:r>
      <w:proofErr w:type="spellStart"/>
      <w:r w:rsidRPr="00737633">
        <w:rPr>
          <w:rFonts w:ascii="Verdana" w:eastAsia="Times New Roman" w:hAnsi="Verdana" w:cs="Times New Roman"/>
          <w:spacing w:val="4"/>
          <w:sz w:val="20"/>
          <w:szCs w:val="20"/>
          <w:lang w:val="bg-BG" w:eastAsia="bg-BG"/>
        </w:rPr>
        <w:t>кохерентността</w:t>
      </w:r>
      <w:proofErr w:type="spellEnd"/>
      <w:r w:rsidRPr="00737633">
        <w:rPr>
          <w:rFonts w:ascii="Verdana" w:eastAsia="Times New Roman" w:hAnsi="Verdana" w:cs="Times New Roman"/>
          <w:spacing w:val="4"/>
          <w:sz w:val="20"/>
          <w:szCs w:val="20"/>
          <w:lang w:val="bg-BG" w:eastAsia="bg-BG"/>
        </w:rPr>
        <w:t xml:space="preserve"> на всички процеси,  дейности и информационни потоци. По-плътната интеграция ще повиши сигурността и надеждността на цялостната архитектура от приложни софтуерни програми и основна ИТ инфраструктура. По този начин ще се осигури и съответната техническа възможност за по-бързо и ефективно въвеждане на нови аналитични функционалности, генериране на пълни, непротиворечиви и актуални периодични и </w:t>
      </w:r>
      <w:r w:rsidRPr="008A123C">
        <w:rPr>
          <w:rFonts w:ascii="Verdana" w:eastAsia="Times New Roman" w:hAnsi="Verdana" w:cs="Times New Roman"/>
          <w:spacing w:val="4"/>
          <w:sz w:val="20"/>
          <w:szCs w:val="20"/>
          <w:lang w:val="en-GB" w:eastAsia="bg-BG"/>
        </w:rPr>
        <w:t>ad</w:t>
      </w:r>
      <w:r w:rsidRPr="00A347B4">
        <w:rPr>
          <w:rFonts w:ascii="Verdana" w:eastAsia="Times New Roman" w:hAnsi="Verdana" w:cs="Times New Roman"/>
          <w:spacing w:val="4"/>
          <w:sz w:val="20"/>
          <w:szCs w:val="20"/>
          <w:lang w:val="bg-BG" w:eastAsia="bg-BG"/>
        </w:rPr>
        <w:t xml:space="preserve"> </w:t>
      </w:r>
      <w:r w:rsidRPr="008A123C">
        <w:rPr>
          <w:rFonts w:ascii="Verdana" w:eastAsia="Times New Roman" w:hAnsi="Verdana" w:cs="Times New Roman"/>
          <w:spacing w:val="4"/>
          <w:sz w:val="20"/>
          <w:szCs w:val="20"/>
          <w:lang w:val="en-GB" w:eastAsia="bg-BG"/>
        </w:rPr>
        <w:t>hoc</w:t>
      </w:r>
      <w:r w:rsidRPr="00737633">
        <w:rPr>
          <w:rFonts w:ascii="Verdana" w:eastAsia="Times New Roman" w:hAnsi="Verdana" w:cs="Times New Roman"/>
          <w:spacing w:val="4"/>
          <w:sz w:val="20"/>
          <w:szCs w:val="20"/>
          <w:lang w:val="bg-BG" w:eastAsia="bg-BG"/>
        </w:rPr>
        <w:t xml:space="preserve"> отчети, справки и доклади за финансовите, статистическите и другите аспекти от дейностите на  Държавен фонд „Земеделие“, както и за лесното извличане на друга необходима информация по различни зададени критерии и филтри. </w:t>
      </w:r>
      <w:r w:rsidR="00706744" w:rsidRPr="00706744">
        <w:rPr>
          <w:rFonts w:ascii="Verdana" w:eastAsia="Times New Roman" w:hAnsi="Verdana" w:cs="Times New Roman"/>
          <w:spacing w:val="4"/>
          <w:sz w:val="20"/>
          <w:szCs w:val="20"/>
          <w:lang w:val="bg-BG" w:eastAsia="bg-BG"/>
        </w:rPr>
        <w:t>За достигане на нужния административен капацитет са необходими допълнителни 6 щатни бройки.</w:t>
      </w:r>
    </w:p>
    <w:p w:rsidR="005935DB" w:rsidRPr="009A6EFB" w:rsidRDefault="005935DB" w:rsidP="005935DB">
      <w:pPr>
        <w:widowControl w:val="0"/>
        <w:autoSpaceDE w:val="0"/>
        <w:autoSpaceDN w:val="0"/>
        <w:adjustRightInd w:val="0"/>
        <w:spacing w:after="0" w:line="360" w:lineRule="auto"/>
        <w:jc w:val="both"/>
        <w:rPr>
          <w:rFonts w:ascii="Verdana" w:eastAsia="Times New Roman" w:hAnsi="Verdana" w:cs="Times New Roman"/>
          <w:spacing w:val="4"/>
          <w:sz w:val="20"/>
          <w:szCs w:val="20"/>
          <w:lang w:val="bg-BG" w:eastAsia="bg-BG"/>
        </w:rPr>
      </w:pPr>
    </w:p>
    <w:p w:rsidR="00710A20" w:rsidRDefault="005D244E" w:rsidP="00EF4E07">
      <w:pPr>
        <w:widowControl w:val="0"/>
        <w:autoSpaceDE w:val="0"/>
        <w:autoSpaceDN w:val="0"/>
        <w:adjustRightInd w:val="0"/>
        <w:spacing w:after="0" w:line="360" w:lineRule="auto"/>
        <w:ind w:firstLine="709"/>
        <w:jc w:val="both"/>
        <w:rPr>
          <w:rFonts w:ascii="Verdana" w:eastAsia="Times New Roman" w:hAnsi="Verdana" w:cs="Times New Roman"/>
          <w:bCs/>
          <w:spacing w:val="-2"/>
          <w:sz w:val="20"/>
          <w:szCs w:val="20"/>
          <w:lang w:val="bg-BG" w:eastAsia="bg-BG"/>
        </w:rPr>
      </w:pPr>
      <w:r w:rsidRPr="008A123C">
        <w:rPr>
          <w:rFonts w:ascii="Verdana" w:eastAsia="Times New Roman" w:hAnsi="Verdana" w:cs="Times New Roman"/>
          <w:spacing w:val="-2"/>
          <w:sz w:val="20"/>
          <w:szCs w:val="20"/>
          <w:lang w:val="bg-BG" w:eastAsia="bg-BG"/>
        </w:rPr>
        <w:t xml:space="preserve">Обезпечаването на административен капацитет </w:t>
      </w:r>
      <w:r w:rsidR="001824DC" w:rsidRPr="008A123C">
        <w:rPr>
          <w:rFonts w:ascii="Verdana" w:eastAsia="Times New Roman" w:hAnsi="Verdana" w:cs="Times New Roman"/>
          <w:spacing w:val="-2"/>
          <w:sz w:val="20"/>
          <w:szCs w:val="20"/>
          <w:lang w:val="bg-BG" w:eastAsia="bg-BG"/>
        </w:rPr>
        <w:t xml:space="preserve">в </w:t>
      </w:r>
      <w:r w:rsidR="00E4014E">
        <w:rPr>
          <w:rFonts w:ascii="Verdana" w:eastAsia="Times New Roman" w:hAnsi="Verdana" w:cs="Times New Roman"/>
          <w:spacing w:val="-2"/>
          <w:sz w:val="20"/>
          <w:szCs w:val="20"/>
          <w:lang w:val="bg-BG" w:eastAsia="bg-BG"/>
        </w:rPr>
        <w:t>двете</w:t>
      </w:r>
      <w:r w:rsidR="001824DC" w:rsidRPr="008A123C">
        <w:rPr>
          <w:rFonts w:ascii="Verdana" w:eastAsia="Times New Roman" w:hAnsi="Verdana" w:cs="Times New Roman"/>
          <w:spacing w:val="-2"/>
          <w:sz w:val="20"/>
          <w:szCs w:val="20"/>
          <w:lang w:val="bg-BG" w:eastAsia="bg-BG"/>
        </w:rPr>
        <w:t xml:space="preserve"> нов</w:t>
      </w:r>
      <w:r w:rsidR="005935DB">
        <w:rPr>
          <w:rFonts w:ascii="Verdana" w:eastAsia="Times New Roman" w:hAnsi="Verdana" w:cs="Times New Roman"/>
          <w:spacing w:val="-2"/>
          <w:sz w:val="20"/>
          <w:szCs w:val="20"/>
          <w:lang w:val="bg-BG" w:eastAsia="bg-BG"/>
        </w:rPr>
        <w:t>и дирекции – „Мониторинг, докладване и оценка</w:t>
      </w:r>
      <w:r w:rsidR="00E4014E">
        <w:rPr>
          <w:rFonts w:ascii="Verdana" w:eastAsia="Times New Roman" w:hAnsi="Verdana" w:cs="Times New Roman"/>
          <w:spacing w:val="-2"/>
          <w:sz w:val="20"/>
          <w:szCs w:val="20"/>
          <w:lang w:val="bg-BG" w:eastAsia="bg-BG"/>
        </w:rPr>
        <w:t>“ и</w:t>
      </w:r>
      <w:r w:rsidR="001824DC" w:rsidRPr="008A123C">
        <w:rPr>
          <w:rFonts w:ascii="Verdana" w:eastAsia="Times New Roman" w:hAnsi="Verdana" w:cs="Times New Roman"/>
          <w:spacing w:val="-2"/>
          <w:sz w:val="20"/>
          <w:szCs w:val="20"/>
          <w:lang w:val="bg-BG" w:eastAsia="bg-BG"/>
        </w:rPr>
        <w:t xml:space="preserve"> </w:t>
      </w:r>
      <w:r w:rsidR="001824DC" w:rsidRPr="008A123C">
        <w:rPr>
          <w:rFonts w:ascii="Verdana" w:eastAsia="Times New Roman" w:hAnsi="Verdana" w:cs="Times New Roman"/>
          <w:bCs/>
          <w:spacing w:val="-2"/>
          <w:sz w:val="20"/>
          <w:szCs w:val="20"/>
          <w:lang w:val="bg-BG" w:eastAsia="bg-BG"/>
        </w:rPr>
        <w:t>„</w:t>
      </w:r>
      <w:r w:rsidR="005935DB">
        <w:rPr>
          <w:rFonts w:ascii="Verdana" w:eastAsia="Times New Roman" w:hAnsi="Verdana" w:cs="Times New Roman"/>
          <w:bCs/>
          <w:spacing w:val="-2"/>
          <w:sz w:val="20"/>
          <w:szCs w:val="20"/>
          <w:lang w:val="bg-BG" w:eastAsia="bg-BG"/>
        </w:rPr>
        <w:t xml:space="preserve">Специализирани проверки и </w:t>
      </w:r>
      <w:r w:rsidR="00FB6023" w:rsidRPr="008A123C">
        <w:rPr>
          <w:rFonts w:ascii="Verdana" w:eastAsia="Times New Roman" w:hAnsi="Verdana" w:cs="Times New Roman"/>
          <w:bCs/>
          <w:spacing w:val="-2"/>
          <w:sz w:val="20"/>
          <w:szCs w:val="20"/>
          <w:lang w:val="bg-BG" w:eastAsia="bg-BG"/>
        </w:rPr>
        <w:t>последващ контрол</w:t>
      </w:r>
      <w:r w:rsidR="001824DC" w:rsidRPr="008A123C">
        <w:rPr>
          <w:rFonts w:ascii="Verdana" w:eastAsia="Times New Roman" w:hAnsi="Verdana" w:cs="Times New Roman"/>
          <w:bCs/>
          <w:spacing w:val="-2"/>
          <w:sz w:val="20"/>
          <w:szCs w:val="20"/>
          <w:lang w:val="bg-BG" w:eastAsia="bg-BG"/>
        </w:rPr>
        <w:t>“</w:t>
      </w:r>
      <w:r w:rsidR="00E960D7" w:rsidRPr="008A123C">
        <w:rPr>
          <w:rFonts w:ascii="Verdana" w:eastAsia="Times New Roman" w:hAnsi="Verdana" w:cs="Times New Roman"/>
          <w:bCs/>
          <w:spacing w:val="-2"/>
          <w:sz w:val="20"/>
          <w:szCs w:val="20"/>
          <w:lang w:val="bg-BG" w:eastAsia="bg-BG"/>
        </w:rPr>
        <w:t>, както и уве</w:t>
      </w:r>
      <w:r w:rsidR="00FB6023" w:rsidRPr="008A123C">
        <w:rPr>
          <w:rFonts w:ascii="Verdana" w:eastAsia="Times New Roman" w:hAnsi="Verdana" w:cs="Times New Roman"/>
          <w:bCs/>
          <w:spacing w:val="-2"/>
          <w:sz w:val="20"/>
          <w:szCs w:val="20"/>
          <w:lang w:val="bg-BG" w:eastAsia="bg-BG"/>
        </w:rPr>
        <w:t xml:space="preserve">личаването на щата на </w:t>
      </w:r>
      <w:r w:rsidR="001A0E4D" w:rsidRPr="008A123C">
        <w:rPr>
          <w:rFonts w:ascii="Verdana" w:eastAsia="Times New Roman" w:hAnsi="Verdana" w:cs="Times New Roman"/>
          <w:bCs/>
          <w:spacing w:val="-2"/>
          <w:sz w:val="20"/>
          <w:szCs w:val="20"/>
          <w:lang w:val="bg-BG" w:eastAsia="bg-BG"/>
        </w:rPr>
        <w:t>д</w:t>
      </w:r>
      <w:r w:rsidR="00FB6023" w:rsidRPr="008A123C">
        <w:rPr>
          <w:rFonts w:ascii="Verdana" w:eastAsia="Times New Roman" w:hAnsi="Verdana" w:cs="Times New Roman"/>
          <w:bCs/>
          <w:spacing w:val="-2"/>
          <w:sz w:val="20"/>
          <w:szCs w:val="20"/>
          <w:lang w:val="bg-BG" w:eastAsia="bg-BG"/>
        </w:rPr>
        <w:t xml:space="preserve">ирекция </w:t>
      </w:r>
      <w:r w:rsidR="00E960D7" w:rsidRPr="008A123C">
        <w:rPr>
          <w:rFonts w:ascii="Verdana" w:eastAsia="Times New Roman" w:hAnsi="Verdana" w:cs="Times New Roman"/>
          <w:spacing w:val="-2"/>
          <w:sz w:val="20"/>
          <w:szCs w:val="20"/>
          <w:lang w:val="bg-BG" w:eastAsia="bg-BG"/>
        </w:rPr>
        <w:t>„</w:t>
      </w:r>
      <w:r w:rsidR="005935DB">
        <w:rPr>
          <w:rFonts w:ascii="Verdana" w:eastAsia="Times New Roman" w:hAnsi="Verdana" w:cs="Times New Roman"/>
          <w:spacing w:val="-2"/>
          <w:sz w:val="20"/>
          <w:szCs w:val="20"/>
          <w:lang w:val="bg-BG" w:eastAsia="bg-BG"/>
        </w:rPr>
        <w:t>Интегрирани информационни системи</w:t>
      </w:r>
      <w:r w:rsidR="00E960D7" w:rsidRPr="008A123C">
        <w:rPr>
          <w:rFonts w:ascii="Verdana" w:eastAsia="Times New Roman" w:hAnsi="Verdana" w:cs="Times New Roman"/>
          <w:spacing w:val="-2"/>
          <w:sz w:val="20"/>
          <w:szCs w:val="20"/>
          <w:lang w:val="bg-BG" w:eastAsia="bg-BG"/>
        </w:rPr>
        <w:t>“ и звено „Инспекторат“</w:t>
      </w:r>
      <w:r w:rsidR="001824DC" w:rsidRPr="008A123C">
        <w:rPr>
          <w:rFonts w:ascii="Verdana" w:eastAsia="Times New Roman" w:hAnsi="Verdana" w:cs="Times New Roman"/>
          <w:bCs/>
          <w:spacing w:val="-2"/>
          <w:sz w:val="20"/>
          <w:szCs w:val="20"/>
          <w:lang w:val="bg-BG" w:eastAsia="bg-BG"/>
        </w:rPr>
        <w:t xml:space="preserve"> ще бъде </w:t>
      </w:r>
      <w:r w:rsidRPr="008A123C">
        <w:rPr>
          <w:rFonts w:ascii="Verdana" w:eastAsia="Times New Roman" w:hAnsi="Verdana" w:cs="Times New Roman"/>
          <w:bCs/>
          <w:spacing w:val="-2"/>
          <w:sz w:val="20"/>
          <w:szCs w:val="20"/>
          <w:lang w:val="bg-BG" w:eastAsia="bg-BG"/>
        </w:rPr>
        <w:t xml:space="preserve">осъществено </w:t>
      </w:r>
      <w:r w:rsidR="00710A20" w:rsidRPr="008A123C">
        <w:rPr>
          <w:rFonts w:ascii="Verdana" w:eastAsia="Times New Roman" w:hAnsi="Verdana" w:cs="Times New Roman"/>
          <w:bCs/>
          <w:spacing w:val="-2"/>
          <w:sz w:val="20"/>
          <w:szCs w:val="20"/>
          <w:lang w:val="bg-BG" w:eastAsia="bg-BG"/>
        </w:rPr>
        <w:t xml:space="preserve">частично </w:t>
      </w:r>
      <w:r w:rsidRPr="008A123C">
        <w:rPr>
          <w:rFonts w:ascii="Verdana" w:eastAsia="Times New Roman" w:hAnsi="Verdana" w:cs="Times New Roman"/>
          <w:bCs/>
          <w:spacing w:val="-2"/>
          <w:sz w:val="20"/>
          <w:szCs w:val="20"/>
          <w:lang w:val="bg-BG" w:eastAsia="bg-BG"/>
        </w:rPr>
        <w:t xml:space="preserve">чрез </w:t>
      </w:r>
      <w:r w:rsidR="00737633" w:rsidRPr="008A123C">
        <w:rPr>
          <w:rFonts w:ascii="Verdana" w:eastAsia="Times New Roman" w:hAnsi="Verdana" w:cs="Times New Roman"/>
          <w:bCs/>
          <w:spacing w:val="-2"/>
          <w:sz w:val="20"/>
          <w:szCs w:val="20"/>
          <w:lang w:val="bg-BG" w:eastAsia="bg-BG"/>
        </w:rPr>
        <w:t xml:space="preserve">вътрешно </w:t>
      </w:r>
      <w:r w:rsidRPr="008A123C">
        <w:rPr>
          <w:rFonts w:ascii="Verdana" w:eastAsia="Times New Roman" w:hAnsi="Verdana" w:cs="Times New Roman"/>
          <w:bCs/>
          <w:spacing w:val="-2"/>
          <w:sz w:val="20"/>
          <w:szCs w:val="20"/>
          <w:lang w:val="bg-BG" w:eastAsia="bg-BG"/>
        </w:rPr>
        <w:t>оптимизиране</w:t>
      </w:r>
      <w:r w:rsidR="007B746F" w:rsidRPr="008A123C">
        <w:rPr>
          <w:rFonts w:ascii="Verdana" w:eastAsia="Times New Roman" w:hAnsi="Verdana" w:cs="Times New Roman"/>
          <w:bCs/>
          <w:spacing w:val="-2"/>
          <w:sz w:val="20"/>
          <w:szCs w:val="20"/>
          <w:lang w:val="bg-BG" w:eastAsia="bg-BG"/>
        </w:rPr>
        <w:t xml:space="preserve"> на </w:t>
      </w:r>
      <w:r w:rsidR="00710A20" w:rsidRPr="008A123C">
        <w:rPr>
          <w:rFonts w:ascii="Verdana" w:eastAsia="Times New Roman" w:hAnsi="Verdana" w:cs="Times New Roman"/>
          <w:bCs/>
          <w:spacing w:val="-2"/>
          <w:sz w:val="20"/>
          <w:szCs w:val="20"/>
          <w:lang w:val="bg-BG" w:eastAsia="bg-BG"/>
        </w:rPr>
        <w:t xml:space="preserve">щата и чрез увеличаването на числеността на персонала в организационните структури на </w:t>
      </w:r>
      <w:r w:rsidR="001A0E4D" w:rsidRPr="008A123C">
        <w:rPr>
          <w:rFonts w:ascii="Verdana" w:eastAsia="Times New Roman" w:hAnsi="Verdana" w:cs="Times New Roman"/>
          <w:bCs/>
          <w:spacing w:val="-2"/>
          <w:sz w:val="20"/>
          <w:szCs w:val="20"/>
          <w:lang w:val="bg-BG" w:eastAsia="bg-BG"/>
        </w:rPr>
        <w:t>Държавен фонд „Земеделие“ с</w:t>
      </w:r>
      <w:r w:rsidR="00710A20" w:rsidRPr="008A123C">
        <w:rPr>
          <w:rFonts w:ascii="Verdana" w:eastAsia="Times New Roman" w:hAnsi="Verdana" w:cs="Times New Roman"/>
          <w:bCs/>
          <w:spacing w:val="-2"/>
          <w:sz w:val="20"/>
          <w:szCs w:val="20"/>
          <w:lang w:val="bg-BG" w:eastAsia="bg-BG"/>
        </w:rPr>
        <w:t xml:space="preserve"> общо </w:t>
      </w:r>
      <w:r w:rsidR="00820D8F">
        <w:rPr>
          <w:rFonts w:ascii="Verdana" w:eastAsia="Times New Roman" w:hAnsi="Verdana" w:cs="Times New Roman"/>
          <w:bCs/>
          <w:spacing w:val="-2"/>
          <w:sz w:val="20"/>
          <w:szCs w:val="20"/>
          <w:lang w:val="bg-BG" w:eastAsia="bg-BG"/>
        </w:rPr>
        <w:t>130</w:t>
      </w:r>
      <w:r w:rsidR="00820D8F" w:rsidRPr="008A123C">
        <w:rPr>
          <w:rFonts w:ascii="Verdana" w:eastAsia="Times New Roman" w:hAnsi="Verdana" w:cs="Times New Roman"/>
          <w:bCs/>
          <w:spacing w:val="-2"/>
          <w:sz w:val="20"/>
          <w:szCs w:val="20"/>
          <w:lang w:val="bg-BG" w:eastAsia="bg-BG"/>
        </w:rPr>
        <w:t xml:space="preserve"> </w:t>
      </w:r>
      <w:r w:rsidR="00710A20" w:rsidRPr="008A123C">
        <w:rPr>
          <w:rFonts w:ascii="Verdana" w:eastAsia="Times New Roman" w:hAnsi="Verdana" w:cs="Times New Roman"/>
          <w:bCs/>
          <w:spacing w:val="-2"/>
          <w:sz w:val="20"/>
          <w:szCs w:val="20"/>
          <w:lang w:val="bg-BG" w:eastAsia="bg-BG"/>
        </w:rPr>
        <w:t xml:space="preserve">щатни бройки (от 1563 на </w:t>
      </w:r>
      <w:r w:rsidR="00024C8C">
        <w:rPr>
          <w:rFonts w:ascii="Verdana" w:eastAsia="Times New Roman" w:hAnsi="Verdana" w:cs="Times New Roman"/>
          <w:bCs/>
          <w:spacing w:val="-2"/>
          <w:sz w:val="20"/>
          <w:szCs w:val="20"/>
          <w:lang w:val="bg-BG" w:eastAsia="bg-BG"/>
        </w:rPr>
        <w:t>169</w:t>
      </w:r>
      <w:r w:rsidR="00683F50">
        <w:rPr>
          <w:rFonts w:ascii="Verdana" w:eastAsia="Times New Roman" w:hAnsi="Verdana" w:cs="Times New Roman"/>
          <w:bCs/>
          <w:spacing w:val="-2"/>
          <w:sz w:val="20"/>
          <w:szCs w:val="20"/>
          <w:lang w:val="bg-BG" w:eastAsia="bg-BG"/>
        </w:rPr>
        <w:t>3</w:t>
      </w:r>
      <w:r w:rsidR="00710A20" w:rsidRPr="00577CCF">
        <w:rPr>
          <w:rFonts w:ascii="Verdana" w:eastAsia="Times New Roman" w:hAnsi="Verdana" w:cs="Times New Roman"/>
          <w:bCs/>
          <w:spacing w:val="-2"/>
          <w:sz w:val="20"/>
          <w:szCs w:val="20"/>
          <w:lang w:val="bg-BG" w:eastAsia="bg-BG"/>
        </w:rPr>
        <w:t>)</w:t>
      </w:r>
      <w:r w:rsidR="00577CCF" w:rsidRPr="00577CCF">
        <w:rPr>
          <w:rFonts w:ascii="Verdana" w:eastAsia="Times New Roman" w:hAnsi="Verdana" w:cs="Times New Roman"/>
          <w:bCs/>
          <w:spacing w:val="-2"/>
          <w:sz w:val="20"/>
          <w:szCs w:val="20"/>
          <w:lang w:val="bg-BG" w:eastAsia="bg-BG"/>
        </w:rPr>
        <w:t xml:space="preserve">, което ще се извърши чрез вътрешни компенсаторни промени в рамките на общата числеността на администрацията при условията на § 16, ал. 2 от преходните и заключителни разпоредби на Закона за администрацията за сметка на съответно намаляване на числеността </w:t>
      </w:r>
      <w:r w:rsidR="00820D8F" w:rsidRPr="00820D8F">
        <w:rPr>
          <w:rFonts w:ascii="Verdana" w:eastAsia="Times New Roman" w:hAnsi="Verdana" w:cs="Times New Roman"/>
          <w:bCs/>
          <w:spacing w:val="-2"/>
          <w:sz w:val="20"/>
          <w:szCs w:val="20"/>
          <w:lang w:val="bg-BG" w:eastAsia="bg-BG"/>
        </w:rPr>
        <w:t>на регионалните дирекции по горите към Изпълнителната агенция по горите</w:t>
      </w:r>
      <w:r w:rsidR="00577CCF" w:rsidRPr="00577CCF">
        <w:rPr>
          <w:rFonts w:ascii="Verdana" w:eastAsia="Times New Roman" w:hAnsi="Verdana" w:cs="Times New Roman"/>
          <w:bCs/>
          <w:spacing w:val="-2"/>
          <w:sz w:val="20"/>
          <w:szCs w:val="20"/>
          <w:lang w:val="bg-BG" w:eastAsia="bg-BG"/>
        </w:rPr>
        <w:t>.</w:t>
      </w:r>
    </w:p>
    <w:p w:rsidR="001E4519" w:rsidRPr="00EF4E07" w:rsidRDefault="001E4519" w:rsidP="00EF4E07">
      <w:pPr>
        <w:widowControl w:val="0"/>
        <w:autoSpaceDE w:val="0"/>
        <w:autoSpaceDN w:val="0"/>
        <w:adjustRightInd w:val="0"/>
        <w:spacing w:after="0" w:line="360" w:lineRule="auto"/>
        <w:ind w:firstLine="709"/>
        <w:jc w:val="both"/>
        <w:rPr>
          <w:rFonts w:ascii="Verdana" w:eastAsia="Times New Roman" w:hAnsi="Verdana" w:cs="Times New Roman"/>
          <w:bCs/>
          <w:spacing w:val="-2"/>
          <w:sz w:val="20"/>
          <w:szCs w:val="20"/>
          <w:lang w:val="bg-BG" w:eastAsia="bg-BG"/>
        </w:rPr>
      </w:pPr>
    </w:p>
    <w:p w:rsidR="002915EF" w:rsidRPr="00144871" w:rsidRDefault="002915EF" w:rsidP="00D4100E">
      <w:pPr>
        <w:widowControl w:val="0"/>
        <w:autoSpaceDE w:val="0"/>
        <w:autoSpaceDN w:val="0"/>
        <w:adjustRightInd w:val="0"/>
        <w:spacing w:after="0" w:line="360" w:lineRule="auto"/>
        <w:ind w:firstLine="709"/>
        <w:jc w:val="both"/>
        <w:rPr>
          <w:rFonts w:ascii="Verdana" w:eastAsia="Times New Roman" w:hAnsi="Verdana" w:cs="Times New Roman"/>
          <w:b/>
          <w:sz w:val="20"/>
          <w:szCs w:val="20"/>
          <w:lang w:val="bg-BG" w:eastAsia="bg-BG"/>
        </w:rPr>
      </w:pPr>
      <w:r w:rsidRPr="00144871">
        <w:rPr>
          <w:rFonts w:ascii="Verdana" w:eastAsia="Times New Roman" w:hAnsi="Verdana" w:cs="Times New Roman"/>
          <w:b/>
          <w:sz w:val="20"/>
          <w:szCs w:val="20"/>
          <w:lang w:val="bg-BG" w:eastAsia="bg-BG"/>
        </w:rPr>
        <w:t>Цели</w:t>
      </w:r>
    </w:p>
    <w:p w:rsidR="008F0C67" w:rsidRDefault="00BD2BED" w:rsidP="001E4519">
      <w:pPr>
        <w:widowControl w:val="0"/>
        <w:autoSpaceDE w:val="0"/>
        <w:autoSpaceDN w:val="0"/>
        <w:adjustRightInd w:val="0"/>
        <w:spacing w:after="0" w:line="360" w:lineRule="auto"/>
        <w:ind w:firstLine="709"/>
        <w:jc w:val="both"/>
        <w:rPr>
          <w:rFonts w:ascii="Verdana" w:eastAsia="Times New Roman" w:hAnsi="Verdana" w:cs="Times New Roman"/>
          <w:bCs/>
          <w:color w:val="000000" w:themeColor="text1"/>
          <w:sz w:val="20"/>
          <w:szCs w:val="20"/>
          <w:lang w:val="bg-BG" w:eastAsia="bg-BG"/>
        </w:rPr>
      </w:pPr>
      <w:r w:rsidRPr="00B64AC4">
        <w:rPr>
          <w:rFonts w:ascii="Verdana" w:eastAsia="Times New Roman" w:hAnsi="Verdana" w:cs="Times New Roman"/>
          <w:color w:val="000000" w:themeColor="text1"/>
          <w:sz w:val="20"/>
          <w:szCs w:val="20"/>
          <w:lang w:val="bg-BG" w:eastAsia="bg-BG"/>
        </w:rPr>
        <w:t xml:space="preserve">Предложението за изменение и допълнение на Устройствения правилник цели да оптимизира и укрепи организационната структура на </w:t>
      </w:r>
      <w:r w:rsidR="00F85470" w:rsidRPr="00B64AC4">
        <w:rPr>
          <w:rFonts w:ascii="Verdana" w:eastAsia="Times New Roman" w:hAnsi="Verdana" w:cs="Times New Roman"/>
          <w:color w:val="000000" w:themeColor="text1"/>
          <w:sz w:val="20"/>
          <w:szCs w:val="20"/>
          <w:lang w:val="bg-BG" w:eastAsia="bg-BG"/>
        </w:rPr>
        <w:t>Държавен фонд „Земеделие“</w:t>
      </w:r>
      <w:r w:rsidRPr="00B64AC4">
        <w:rPr>
          <w:rFonts w:ascii="Verdana" w:eastAsia="Times New Roman" w:hAnsi="Verdana" w:cs="Times New Roman"/>
          <w:color w:val="000000" w:themeColor="text1"/>
          <w:sz w:val="20"/>
          <w:szCs w:val="20"/>
          <w:lang w:val="bg-BG" w:eastAsia="bg-BG"/>
        </w:rPr>
        <w:t xml:space="preserve">, така че администрацията да разполага със съответните ефикасни механизми за поетапното и своевременно прилагане на законодателните промени в </w:t>
      </w:r>
      <w:r w:rsidRPr="00B64AC4">
        <w:rPr>
          <w:rFonts w:ascii="Verdana" w:eastAsia="Times New Roman" w:hAnsi="Verdana" w:cs="Times New Roman"/>
          <w:color w:val="000000" w:themeColor="text1"/>
          <w:sz w:val="20"/>
          <w:szCs w:val="20"/>
          <w:lang w:val="bg-BG" w:eastAsia="bg-BG"/>
        </w:rPr>
        <w:lastRenderedPageBreak/>
        <w:t>областта на Общата селскостопанска политика на Европейския съюз</w:t>
      </w:r>
      <w:r w:rsidR="003B26E2" w:rsidRPr="003B26E2">
        <w:rPr>
          <w:rFonts w:ascii="Verdana" w:eastAsia="Times New Roman" w:hAnsi="Verdana" w:cs="Times New Roman"/>
          <w:bCs/>
          <w:sz w:val="20"/>
          <w:szCs w:val="20"/>
          <w:lang w:val="bg-BG" w:eastAsia="bg-BG"/>
        </w:rPr>
        <w:t xml:space="preserve"> </w:t>
      </w:r>
      <w:r w:rsidR="003B26E2">
        <w:rPr>
          <w:rFonts w:ascii="Verdana" w:eastAsia="Times New Roman" w:hAnsi="Verdana" w:cs="Times New Roman"/>
          <w:bCs/>
          <w:sz w:val="20"/>
          <w:szCs w:val="20"/>
          <w:lang w:val="bg-BG" w:eastAsia="bg-BG"/>
        </w:rPr>
        <w:t xml:space="preserve">и съответно на новите положения </w:t>
      </w:r>
      <w:r w:rsidR="003B26E2" w:rsidRPr="003B26E2">
        <w:rPr>
          <w:rFonts w:ascii="Verdana" w:eastAsia="Times New Roman" w:hAnsi="Verdana" w:cs="Times New Roman"/>
          <w:bCs/>
          <w:color w:val="000000" w:themeColor="text1"/>
          <w:sz w:val="20"/>
          <w:szCs w:val="20"/>
          <w:lang w:val="bg-BG" w:eastAsia="bg-BG"/>
        </w:rPr>
        <w:t>в</w:t>
      </w:r>
      <w:r w:rsidR="003B26E2" w:rsidRPr="003B26E2">
        <w:rPr>
          <w:rFonts w:ascii="Verdana" w:eastAsia="Times New Roman" w:hAnsi="Verdana" w:cs="Times New Roman"/>
          <w:color w:val="000000" w:themeColor="text1"/>
          <w:sz w:val="20"/>
          <w:szCs w:val="20"/>
          <w:lang w:val="bg-BG" w:eastAsia="bg-BG"/>
        </w:rPr>
        <w:t xml:space="preserve"> </w:t>
      </w:r>
      <w:r w:rsidR="003B26E2" w:rsidRPr="003B26E2">
        <w:rPr>
          <w:rFonts w:ascii="Verdana" w:eastAsia="Times New Roman" w:hAnsi="Verdana" w:cs="Times New Roman"/>
          <w:bCs/>
          <w:color w:val="000000" w:themeColor="text1"/>
          <w:sz w:val="20"/>
          <w:szCs w:val="20"/>
          <w:lang w:val="bg-BG" w:eastAsia="bg-BG"/>
        </w:rPr>
        <w:t>Стратегическия план за развитие на земеделието и селските райони на Република България за периода 2023</w:t>
      </w:r>
      <w:r w:rsidR="003358AF">
        <w:rPr>
          <w:rFonts w:ascii="Verdana" w:eastAsia="Times New Roman" w:hAnsi="Verdana" w:cs="Times New Roman"/>
          <w:bCs/>
          <w:color w:val="000000" w:themeColor="text1"/>
          <w:sz w:val="20"/>
          <w:szCs w:val="20"/>
          <w:lang w:val="bg-BG" w:eastAsia="bg-BG"/>
        </w:rPr>
        <w:t xml:space="preserve"> – </w:t>
      </w:r>
      <w:r w:rsidR="003B26E2" w:rsidRPr="003B26E2">
        <w:rPr>
          <w:rFonts w:ascii="Verdana" w:eastAsia="Times New Roman" w:hAnsi="Verdana" w:cs="Times New Roman"/>
          <w:bCs/>
          <w:color w:val="000000" w:themeColor="text1"/>
          <w:sz w:val="20"/>
          <w:szCs w:val="20"/>
          <w:lang w:val="bg-BG" w:eastAsia="bg-BG"/>
        </w:rPr>
        <w:t>2027 г.</w:t>
      </w:r>
    </w:p>
    <w:p w:rsidR="001B58C5" w:rsidRPr="001E4519" w:rsidRDefault="001B58C5" w:rsidP="001E4519">
      <w:pPr>
        <w:widowControl w:val="0"/>
        <w:autoSpaceDE w:val="0"/>
        <w:autoSpaceDN w:val="0"/>
        <w:adjustRightInd w:val="0"/>
        <w:spacing w:after="0" w:line="360" w:lineRule="auto"/>
        <w:ind w:firstLine="709"/>
        <w:jc w:val="both"/>
        <w:rPr>
          <w:rFonts w:ascii="Verdana" w:eastAsia="Times New Roman" w:hAnsi="Verdana" w:cs="Times New Roman"/>
          <w:bCs/>
          <w:color w:val="000000" w:themeColor="text1"/>
          <w:sz w:val="20"/>
          <w:szCs w:val="20"/>
          <w:lang w:val="bg-BG" w:eastAsia="bg-BG"/>
        </w:rPr>
      </w:pPr>
    </w:p>
    <w:p w:rsidR="00EC4FAB" w:rsidRDefault="00676D75" w:rsidP="00D4100E">
      <w:pPr>
        <w:widowControl w:val="0"/>
        <w:autoSpaceDE w:val="0"/>
        <w:autoSpaceDN w:val="0"/>
        <w:adjustRightInd w:val="0"/>
        <w:spacing w:after="0" w:line="360" w:lineRule="auto"/>
        <w:ind w:firstLine="709"/>
        <w:jc w:val="both"/>
        <w:rPr>
          <w:rFonts w:ascii="Verdana" w:eastAsia="Times New Roman" w:hAnsi="Verdana" w:cs="Times New Roman"/>
          <w:b/>
          <w:sz w:val="20"/>
          <w:szCs w:val="20"/>
          <w:lang w:val="bg-BG" w:eastAsia="bg-BG"/>
        </w:rPr>
      </w:pPr>
      <w:r w:rsidRPr="00020BFE">
        <w:rPr>
          <w:rFonts w:ascii="Verdana" w:eastAsia="Times New Roman" w:hAnsi="Verdana" w:cs="Times New Roman"/>
          <w:b/>
          <w:sz w:val="20"/>
          <w:szCs w:val="20"/>
          <w:lang w:val="bg-BG" w:eastAsia="bg-BG"/>
        </w:rPr>
        <w:t>Финансови и други средства, необходими за прилагането на новата уредба</w:t>
      </w:r>
    </w:p>
    <w:p w:rsidR="00FC15D3" w:rsidRPr="00BC2898" w:rsidRDefault="00FC15D3" w:rsidP="00FC15D3">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rPr>
      </w:pPr>
      <w:r w:rsidRPr="00D30B0A">
        <w:rPr>
          <w:rFonts w:ascii="Verdana" w:eastAsia="Times New Roman" w:hAnsi="Verdana" w:cs="Times New Roman"/>
          <w:sz w:val="20"/>
          <w:szCs w:val="20"/>
          <w:lang w:val="bg-BG" w:eastAsia="bg-BG"/>
        </w:rPr>
        <w:t>С предложени</w:t>
      </w:r>
      <w:r w:rsidR="00F61111">
        <w:rPr>
          <w:rFonts w:ascii="Verdana" w:eastAsia="Times New Roman" w:hAnsi="Verdana" w:cs="Times New Roman"/>
          <w:sz w:val="20"/>
          <w:szCs w:val="20"/>
          <w:lang w:val="bg-BG" w:eastAsia="bg-BG"/>
        </w:rPr>
        <w:t>я</w:t>
      </w:r>
      <w:r w:rsidRPr="00D30B0A">
        <w:rPr>
          <w:rFonts w:ascii="Verdana" w:eastAsia="Times New Roman" w:hAnsi="Verdana" w:cs="Times New Roman"/>
          <w:sz w:val="20"/>
          <w:szCs w:val="20"/>
          <w:lang w:val="bg-BG" w:eastAsia="bg-BG"/>
        </w:rPr>
        <w:t xml:space="preserve"> проект на </w:t>
      </w:r>
      <w:r w:rsidR="008F0C67" w:rsidRPr="00D30B0A">
        <w:rPr>
          <w:rFonts w:ascii="Verdana" w:eastAsia="Times New Roman" w:hAnsi="Verdana" w:cs="Times New Roman"/>
          <w:sz w:val="20"/>
          <w:szCs w:val="20"/>
          <w:lang w:val="bg-BG" w:eastAsia="bg-BG"/>
        </w:rPr>
        <w:t>Постановлени</w:t>
      </w:r>
      <w:r w:rsidR="00F61111">
        <w:rPr>
          <w:rFonts w:ascii="Verdana" w:eastAsia="Times New Roman" w:hAnsi="Verdana" w:cs="Times New Roman"/>
          <w:sz w:val="20"/>
          <w:szCs w:val="20"/>
          <w:lang w:val="bg-BG" w:eastAsia="bg-BG"/>
        </w:rPr>
        <w:t>е</w:t>
      </w:r>
      <w:r w:rsidR="008F0C67" w:rsidRPr="00D30B0A">
        <w:rPr>
          <w:rFonts w:ascii="Verdana" w:eastAsia="Times New Roman" w:hAnsi="Verdana" w:cs="Times New Roman"/>
          <w:sz w:val="20"/>
          <w:szCs w:val="20"/>
          <w:lang w:val="bg-BG" w:eastAsia="bg-BG"/>
        </w:rPr>
        <w:t xml:space="preserve"> </w:t>
      </w:r>
      <w:r w:rsidRPr="00D30B0A">
        <w:rPr>
          <w:rFonts w:ascii="Verdana" w:eastAsia="Times New Roman" w:hAnsi="Verdana" w:cs="Times New Roman"/>
          <w:sz w:val="20"/>
          <w:szCs w:val="20"/>
          <w:lang w:val="bg-BG" w:eastAsia="bg-BG"/>
        </w:rPr>
        <w:t xml:space="preserve">се увеличава щатната численост на </w:t>
      </w:r>
      <w:r w:rsidR="00DA3F22" w:rsidRPr="00D30B0A">
        <w:rPr>
          <w:rFonts w:ascii="Verdana" w:eastAsia="Times New Roman" w:hAnsi="Verdana" w:cs="Times New Roman"/>
          <w:sz w:val="20"/>
          <w:szCs w:val="20"/>
          <w:lang w:val="bg-BG" w:eastAsia="bg-BG"/>
        </w:rPr>
        <w:t>Държавен фонд „Земеделие“</w:t>
      </w:r>
      <w:r w:rsidRPr="00D30B0A">
        <w:rPr>
          <w:rFonts w:ascii="Verdana" w:eastAsia="Times New Roman" w:hAnsi="Verdana" w:cs="Times New Roman"/>
          <w:sz w:val="20"/>
          <w:szCs w:val="20"/>
          <w:lang w:val="bg-BG" w:eastAsia="bg-BG"/>
        </w:rPr>
        <w:t xml:space="preserve"> с</w:t>
      </w:r>
      <w:r w:rsidR="008F0C67">
        <w:rPr>
          <w:rFonts w:ascii="Verdana" w:eastAsia="Times New Roman" w:hAnsi="Verdana" w:cs="Times New Roman"/>
          <w:sz w:val="20"/>
          <w:szCs w:val="20"/>
          <w:lang w:val="bg-BG" w:eastAsia="bg-BG"/>
        </w:rPr>
        <w:t xml:space="preserve">ъс </w:t>
      </w:r>
      <w:r w:rsidR="00820D8F">
        <w:rPr>
          <w:rFonts w:ascii="Verdana" w:eastAsia="Times New Roman" w:hAnsi="Verdana" w:cs="Times New Roman"/>
          <w:sz w:val="20"/>
          <w:szCs w:val="20"/>
          <w:lang w:val="bg-BG" w:eastAsia="bg-BG"/>
        </w:rPr>
        <w:t>130</w:t>
      </w:r>
      <w:r w:rsidR="00820D8F" w:rsidRPr="00D30B0A">
        <w:rPr>
          <w:rFonts w:ascii="Verdana" w:eastAsia="Times New Roman" w:hAnsi="Verdana" w:cs="Times New Roman"/>
          <w:sz w:val="20"/>
          <w:szCs w:val="20"/>
          <w:lang w:val="bg-BG" w:eastAsia="bg-BG"/>
        </w:rPr>
        <w:t xml:space="preserve"> </w:t>
      </w:r>
      <w:r w:rsidRPr="00D30B0A">
        <w:rPr>
          <w:rFonts w:ascii="Verdana" w:eastAsia="Times New Roman" w:hAnsi="Verdana" w:cs="Times New Roman"/>
          <w:sz w:val="20"/>
          <w:szCs w:val="20"/>
          <w:lang w:val="bg-BG" w:eastAsia="bg-BG"/>
        </w:rPr>
        <w:t xml:space="preserve">бройки за сметка на намаление на числеността </w:t>
      </w:r>
      <w:r w:rsidR="003A1A7C">
        <w:rPr>
          <w:rFonts w:ascii="Verdana" w:eastAsia="Times New Roman" w:hAnsi="Verdana" w:cs="Times New Roman"/>
          <w:sz w:val="20"/>
          <w:szCs w:val="20"/>
          <w:lang w:val="bg-BG" w:eastAsia="bg-BG"/>
        </w:rPr>
        <w:t>на персонала</w:t>
      </w:r>
      <w:r w:rsidR="00B475CF" w:rsidRPr="00B475CF">
        <w:rPr>
          <w:rFonts w:ascii="Verdana" w:eastAsia="Times New Roman" w:hAnsi="Verdana" w:cs="Times New Roman"/>
          <w:sz w:val="20"/>
          <w:szCs w:val="20"/>
          <w:lang w:val="bg-BG" w:eastAsia="bg-BG"/>
        </w:rPr>
        <w:t xml:space="preserve"> на регионалните дирекции по горите към</w:t>
      </w:r>
      <w:r w:rsidRPr="00D30B0A">
        <w:rPr>
          <w:rFonts w:ascii="Verdana" w:eastAsia="Times New Roman" w:hAnsi="Verdana" w:cs="Times New Roman"/>
          <w:sz w:val="20"/>
          <w:szCs w:val="20"/>
          <w:lang w:val="bg-BG" w:eastAsia="bg-BG"/>
        </w:rPr>
        <w:t xml:space="preserve"> Изпъл</w:t>
      </w:r>
      <w:r w:rsidR="008A123C">
        <w:rPr>
          <w:rFonts w:ascii="Verdana" w:eastAsia="Times New Roman" w:hAnsi="Verdana" w:cs="Times New Roman"/>
          <w:sz w:val="20"/>
          <w:szCs w:val="20"/>
          <w:lang w:val="bg-BG" w:eastAsia="bg-BG"/>
        </w:rPr>
        <w:t>нителната агенция по горите</w:t>
      </w:r>
      <w:r w:rsidR="006C6A05">
        <w:rPr>
          <w:rFonts w:ascii="Verdana" w:eastAsia="Times New Roman" w:hAnsi="Verdana" w:cs="Times New Roman"/>
          <w:sz w:val="20"/>
          <w:szCs w:val="20"/>
          <w:lang w:val="bg-BG" w:eastAsia="bg-BG"/>
        </w:rPr>
        <w:t>.</w:t>
      </w:r>
      <w:r w:rsidRPr="00D30B0A">
        <w:rPr>
          <w:rFonts w:ascii="Verdana" w:eastAsia="Times New Roman" w:hAnsi="Verdana" w:cs="Times New Roman"/>
          <w:sz w:val="20"/>
          <w:szCs w:val="20"/>
          <w:lang w:val="bg-BG" w:eastAsia="bg-BG"/>
        </w:rPr>
        <w:t xml:space="preserve"> </w:t>
      </w:r>
    </w:p>
    <w:p w:rsidR="00F61111" w:rsidRPr="008429D7" w:rsidRDefault="00F61111" w:rsidP="00F61111">
      <w:pPr>
        <w:spacing w:after="0" w:line="360" w:lineRule="auto"/>
        <w:ind w:firstLine="709"/>
        <w:jc w:val="both"/>
        <w:rPr>
          <w:rFonts w:ascii="Verdana" w:eastAsia="Times New Roman" w:hAnsi="Verdana" w:cs="Times New Roman"/>
          <w:color w:val="000000"/>
          <w:sz w:val="20"/>
          <w:szCs w:val="20"/>
          <w:lang w:val="bg-BG"/>
        </w:rPr>
      </w:pPr>
      <w:r w:rsidRPr="008429D7">
        <w:rPr>
          <w:rFonts w:ascii="Verdana" w:eastAsia="Times New Roman" w:hAnsi="Verdana" w:cs="Times New Roman"/>
          <w:iCs/>
          <w:sz w:val="20"/>
          <w:szCs w:val="20"/>
          <w:lang w:val="bg-BG"/>
        </w:rPr>
        <w:t xml:space="preserve">Вследствие на предвидените в проекта на акт изменения на щатната численост на Държавен фонд „Земеделие“ е необходимо да бъдат осигурени допълнителни разходи по бюджета на Държавен фонд „Земеделие“ за обезпечаване на допълнителните щатни бройки </w:t>
      </w:r>
      <w:r w:rsidRPr="008429D7">
        <w:rPr>
          <w:rFonts w:ascii="Verdana" w:eastAsia="Times New Roman" w:hAnsi="Verdana" w:cs="Times New Roman"/>
          <w:color w:val="000000"/>
          <w:sz w:val="20"/>
          <w:szCs w:val="20"/>
          <w:lang w:val="bg-BG"/>
        </w:rPr>
        <w:t xml:space="preserve">за 2023 г. и следващите. </w:t>
      </w:r>
    </w:p>
    <w:p w:rsidR="00F61111" w:rsidRPr="008429D7" w:rsidRDefault="00F61111" w:rsidP="00F61111">
      <w:pPr>
        <w:spacing w:after="0" w:line="360" w:lineRule="auto"/>
        <w:ind w:firstLine="709"/>
        <w:jc w:val="both"/>
        <w:rPr>
          <w:rFonts w:ascii="Verdana" w:eastAsia="Times New Roman" w:hAnsi="Verdana" w:cs="Times New Roman"/>
          <w:iCs/>
          <w:sz w:val="20"/>
          <w:szCs w:val="20"/>
          <w:lang w:val="bg-BG"/>
        </w:rPr>
      </w:pPr>
      <w:r w:rsidRPr="001E4519">
        <w:rPr>
          <w:rFonts w:ascii="Verdana" w:eastAsia="Times New Roman" w:hAnsi="Verdana" w:cs="Times New Roman"/>
          <w:i/>
          <w:iCs/>
          <w:spacing w:val="-2"/>
          <w:sz w:val="20"/>
          <w:szCs w:val="20"/>
          <w:lang w:val="bg-BG"/>
        </w:rPr>
        <w:t xml:space="preserve">Необходимите финансови средства за 2023 г. са в общ размер на </w:t>
      </w:r>
      <w:r w:rsidR="00F13804" w:rsidRPr="001E4519">
        <w:rPr>
          <w:rFonts w:ascii="Verdana" w:eastAsia="Times New Roman" w:hAnsi="Verdana" w:cs="Times New Roman"/>
          <w:i/>
          <w:iCs/>
          <w:spacing w:val="-2"/>
          <w:sz w:val="20"/>
          <w:szCs w:val="20"/>
          <w:lang w:val="bg-BG"/>
        </w:rPr>
        <w:t>11 5</w:t>
      </w:r>
      <w:r w:rsidRPr="001E4519">
        <w:rPr>
          <w:rFonts w:ascii="Verdana" w:eastAsia="Times New Roman" w:hAnsi="Verdana" w:cs="Times New Roman"/>
          <w:i/>
          <w:iCs/>
          <w:spacing w:val="-2"/>
          <w:sz w:val="20"/>
          <w:szCs w:val="20"/>
          <w:lang w:val="bg-BG"/>
        </w:rPr>
        <w:t>00 000 лв.,</w:t>
      </w:r>
      <w:r w:rsidRPr="008429D7">
        <w:rPr>
          <w:rFonts w:ascii="Verdana" w:eastAsia="Times New Roman" w:hAnsi="Verdana" w:cs="Times New Roman"/>
          <w:i/>
          <w:iCs/>
          <w:sz w:val="20"/>
          <w:szCs w:val="20"/>
          <w:lang w:val="bg-BG"/>
        </w:rPr>
        <w:t xml:space="preserve"> в т.ч. разходи за персонал – </w:t>
      </w:r>
      <w:r w:rsidR="00F13804">
        <w:rPr>
          <w:rFonts w:ascii="Verdana" w:eastAsia="Times New Roman" w:hAnsi="Verdana" w:cs="Times New Roman"/>
          <w:i/>
          <w:iCs/>
          <w:sz w:val="20"/>
          <w:szCs w:val="20"/>
          <w:lang w:val="bg-BG"/>
        </w:rPr>
        <w:t>7 5</w:t>
      </w:r>
      <w:r w:rsidRPr="008429D7">
        <w:rPr>
          <w:rFonts w:ascii="Verdana" w:eastAsia="Times New Roman" w:hAnsi="Verdana" w:cs="Times New Roman"/>
          <w:i/>
          <w:iCs/>
          <w:sz w:val="20"/>
          <w:szCs w:val="20"/>
          <w:lang w:val="bg-BG"/>
        </w:rPr>
        <w:t>00 000 лв.,  разходи за издръжка – 1 400 000 лв. и капиталови разходи – 2 600 000 лв.</w:t>
      </w:r>
      <w:r w:rsidRPr="008429D7">
        <w:rPr>
          <w:rFonts w:ascii="Verdana" w:eastAsia="Times New Roman" w:hAnsi="Verdana" w:cs="Times New Roman"/>
          <w:iCs/>
          <w:sz w:val="20"/>
          <w:szCs w:val="20"/>
          <w:lang w:val="bg-BG"/>
        </w:rPr>
        <w:t xml:space="preserve"> Разходите за персонал за 2023 г. са разчетени за </w:t>
      </w:r>
      <w:r w:rsidR="00F13804" w:rsidRPr="008429D7">
        <w:rPr>
          <w:rFonts w:ascii="Verdana" w:eastAsia="Times New Roman" w:hAnsi="Verdana" w:cs="Times New Roman"/>
          <w:iCs/>
          <w:sz w:val="20"/>
          <w:szCs w:val="20"/>
          <w:lang w:val="bg-BG"/>
        </w:rPr>
        <w:t>1</w:t>
      </w:r>
      <w:r w:rsidR="00F13804">
        <w:rPr>
          <w:rFonts w:ascii="Verdana" w:eastAsia="Times New Roman" w:hAnsi="Verdana" w:cs="Times New Roman"/>
          <w:iCs/>
          <w:sz w:val="20"/>
          <w:szCs w:val="20"/>
          <w:lang w:val="bg-BG"/>
        </w:rPr>
        <w:t>3</w:t>
      </w:r>
      <w:r w:rsidR="00F13804" w:rsidRPr="008429D7">
        <w:rPr>
          <w:rFonts w:ascii="Verdana" w:eastAsia="Times New Roman" w:hAnsi="Verdana" w:cs="Times New Roman"/>
          <w:iCs/>
          <w:sz w:val="20"/>
          <w:szCs w:val="20"/>
          <w:lang w:val="bg-BG"/>
        </w:rPr>
        <w:t xml:space="preserve">0 </w:t>
      </w:r>
      <w:r w:rsidRPr="008429D7">
        <w:rPr>
          <w:rFonts w:ascii="Verdana" w:eastAsia="Times New Roman" w:hAnsi="Verdana" w:cs="Times New Roman"/>
          <w:iCs/>
          <w:sz w:val="20"/>
          <w:szCs w:val="20"/>
          <w:lang w:val="bg-BG"/>
        </w:rPr>
        <w:t xml:space="preserve">нови щатни бройки за периода, в т.ч. за възнаграждения на персонала и за осигурителни вноски. Разходите за издръжка са разчетени за ремонти и поддръжка на осигурените помещения, почистване, консумативи и материали, а капиталовите разходи са за полагане на </w:t>
      </w:r>
      <w:proofErr w:type="spellStart"/>
      <w:r w:rsidRPr="008429D7">
        <w:rPr>
          <w:rFonts w:ascii="Verdana" w:eastAsia="Times New Roman" w:hAnsi="Verdana" w:cs="Times New Roman"/>
          <w:iCs/>
          <w:sz w:val="20"/>
          <w:szCs w:val="20"/>
          <w:lang w:val="bg-BG"/>
        </w:rPr>
        <w:t>антистатична</w:t>
      </w:r>
      <w:proofErr w:type="spellEnd"/>
      <w:r w:rsidRPr="008429D7">
        <w:rPr>
          <w:rFonts w:ascii="Verdana" w:eastAsia="Times New Roman" w:hAnsi="Verdana" w:cs="Times New Roman"/>
          <w:iCs/>
          <w:sz w:val="20"/>
          <w:szCs w:val="20"/>
          <w:lang w:val="bg-BG"/>
        </w:rPr>
        <w:t xml:space="preserve"> настилка/двоен под, окабеляване, осигуряване на дисково пространство, мрежови устройства, осигуряване на непрекъсваемо захранващо устройство и резервираност на захранването, закупуване на техника, в т.ч. персонални компютри, принтери, копирна техника, лицензи за антивирусен софтуер, офис пакет, сървърни лицензи за </w:t>
      </w:r>
      <w:r w:rsidR="00F13804" w:rsidRPr="008429D7">
        <w:rPr>
          <w:rFonts w:ascii="Verdana" w:eastAsia="Times New Roman" w:hAnsi="Verdana" w:cs="Times New Roman"/>
          <w:iCs/>
          <w:sz w:val="20"/>
          <w:szCs w:val="20"/>
          <w:lang w:val="bg-BG"/>
        </w:rPr>
        <w:t>1</w:t>
      </w:r>
      <w:r w:rsidR="00F13804">
        <w:rPr>
          <w:rFonts w:ascii="Verdana" w:eastAsia="Times New Roman" w:hAnsi="Verdana" w:cs="Times New Roman"/>
          <w:iCs/>
          <w:sz w:val="20"/>
          <w:szCs w:val="20"/>
          <w:lang w:val="bg-BG"/>
        </w:rPr>
        <w:t>3</w:t>
      </w:r>
      <w:r w:rsidR="00F13804" w:rsidRPr="008429D7">
        <w:rPr>
          <w:rFonts w:ascii="Verdana" w:eastAsia="Times New Roman" w:hAnsi="Verdana" w:cs="Times New Roman"/>
          <w:iCs/>
          <w:sz w:val="20"/>
          <w:szCs w:val="20"/>
          <w:lang w:val="bg-BG"/>
        </w:rPr>
        <w:t xml:space="preserve">0 </w:t>
      </w:r>
      <w:r w:rsidRPr="008429D7">
        <w:rPr>
          <w:rFonts w:ascii="Verdana" w:eastAsia="Times New Roman" w:hAnsi="Verdana" w:cs="Times New Roman"/>
          <w:iCs/>
          <w:sz w:val="20"/>
          <w:szCs w:val="20"/>
          <w:lang w:val="bg-BG"/>
        </w:rPr>
        <w:t>бр. допълнителен щатен персонал.</w:t>
      </w:r>
    </w:p>
    <w:p w:rsidR="00F61111" w:rsidRPr="008429D7" w:rsidRDefault="00F61111" w:rsidP="00F61111">
      <w:pPr>
        <w:spacing w:after="0" w:line="360" w:lineRule="auto"/>
        <w:ind w:firstLine="709"/>
        <w:jc w:val="both"/>
        <w:rPr>
          <w:rFonts w:ascii="Verdana" w:eastAsia="Times New Roman" w:hAnsi="Verdana" w:cs="Times New Roman"/>
          <w:i/>
          <w:iCs/>
          <w:sz w:val="20"/>
          <w:szCs w:val="20"/>
          <w:lang w:val="bg-BG"/>
        </w:rPr>
      </w:pPr>
      <w:r w:rsidRPr="008429D7">
        <w:rPr>
          <w:rFonts w:ascii="Verdana" w:eastAsia="Times New Roman" w:hAnsi="Verdana" w:cs="Times New Roman"/>
          <w:i/>
          <w:iCs/>
          <w:sz w:val="20"/>
          <w:szCs w:val="20"/>
          <w:lang w:val="bg-BG"/>
        </w:rPr>
        <w:t xml:space="preserve">Необходимите финансови средства за 2024 г. са </w:t>
      </w:r>
      <w:r w:rsidR="00F13804">
        <w:rPr>
          <w:rFonts w:ascii="Verdana" w:eastAsia="Times New Roman" w:hAnsi="Verdana" w:cs="Times New Roman"/>
          <w:i/>
          <w:iCs/>
          <w:sz w:val="20"/>
          <w:szCs w:val="20"/>
          <w:lang w:val="bg-BG"/>
        </w:rPr>
        <w:t>8</w:t>
      </w:r>
      <w:r w:rsidR="00F13804" w:rsidRPr="008429D7">
        <w:rPr>
          <w:rFonts w:ascii="Verdana" w:eastAsia="Times New Roman" w:hAnsi="Verdana" w:cs="Times New Roman"/>
          <w:i/>
          <w:iCs/>
          <w:sz w:val="20"/>
          <w:szCs w:val="20"/>
          <w:lang w:val="bg-BG"/>
        </w:rPr>
        <w:t> </w:t>
      </w:r>
      <w:r w:rsidR="00F13804">
        <w:rPr>
          <w:rFonts w:ascii="Verdana" w:eastAsia="Times New Roman" w:hAnsi="Verdana" w:cs="Times New Roman"/>
          <w:i/>
          <w:iCs/>
          <w:sz w:val="20"/>
          <w:szCs w:val="20"/>
          <w:lang w:val="bg-BG"/>
        </w:rPr>
        <w:t>9</w:t>
      </w:r>
      <w:r w:rsidRPr="008429D7">
        <w:rPr>
          <w:rFonts w:ascii="Verdana" w:eastAsia="Times New Roman" w:hAnsi="Verdana" w:cs="Times New Roman"/>
          <w:i/>
          <w:iCs/>
          <w:sz w:val="20"/>
          <w:szCs w:val="20"/>
          <w:lang w:val="bg-BG"/>
        </w:rPr>
        <w:t xml:space="preserve">00 000 лв., в т.ч. разходи за персонал – </w:t>
      </w:r>
      <w:r w:rsidR="00F13804">
        <w:rPr>
          <w:rFonts w:ascii="Verdana" w:eastAsia="Times New Roman" w:hAnsi="Verdana" w:cs="Times New Roman"/>
          <w:i/>
          <w:iCs/>
          <w:sz w:val="20"/>
          <w:szCs w:val="20"/>
          <w:lang w:val="bg-BG"/>
        </w:rPr>
        <w:t>7</w:t>
      </w:r>
      <w:r w:rsidR="00F13804" w:rsidRPr="008429D7">
        <w:rPr>
          <w:rFonts w:ascii="Verdana" w:eastAsia="Times New Roman" w:hAnsi="Verdana" w:cs="Times New Roman"/>
          <w:i/>
          <w:iCs/>
          <w:sz w:val="20"/>
          <w:szCs w:val="20"/>
          <w:lang w:val="bg-BG"/>
        </w:rPr>
        <w:t> </w:t>
      </w:r>
      <w:r w:rsidR="00F13804">
        <w:rPr>
          <w:rFonts w:ascii="Verdana" w:eastAsia="Times New Roman" w:hAnsi="Verdana" w:cs="Times New Roman"/>
          <w:i/>
          <w:iCs/>
          <w:sz w:val="20"/>
          <w:szCs w:val="20"/>
          <w:lang w:val="bg-BG"/>
        </w:rPr>
        <w:t>5</w:t>
      </w:r>
      <w:r w:rsidRPr="008429D7">
        <w:rPr>
          <w:rFonts w:ascii="Verdana" w:eastAsia="Times New Roman" w:hAnsi="Verdana" w:cs="Times New Roman"/>
          <w:i/>
          <w:iCs/>
          <w:sz w:val="20"/>
          <w:szCs w:val="20"/>
          <w:lang w:val="bg-BG"/>
        </w:rPr>
        <w:t>00 000 лв. и разходи за издръжка – 1 400 000 лв.</w:t>
      </w:r>
    </w:p>
    <w:p w:rsidR="00F61111" w:rsidRPr="008429D7" w:rsidRDefault="00F61111" w:rsidP="00F61111">
      <w:pPr>
        <w:spacing w:after="0" w:line="360" w:lineRule="auto"/>
        <w:ind w:firstLine="709"/>
        <w:jc w:val="both"/>
        <w:rPr>
          <w:rFonts w:ascii="Verdana" w:eastAsia="Times New Roman" w:hAnsi="Verdana" w:cs="Times New Roman"/>
          <w:iCs/>
          <w:sz w:val="20"/>
          <w:szCs w:val="20"/>
          <w:lang w:val="bg-BG"/>
        </w:rPr>
      </w:pPr>
      <w:r w:rsidRPr="008429D7">
        <w:rPr>
          <w:rFonts w:ascii="Verdana" w:eastAsia="Times New Roman" w:hAnsi="Verdana" w:cs="Times New Roman"/>
          <w:iCs/>
          <w:sz w:val="20"/>
          <w:szCs w:val="20"/>
          <w:lang w:val="bg-BG"/>
        </w:rPr>
        <w:t xml:space="preserve">Увеличението на щатната численост на Държавен фонд „Земеделие“ със </w:t>
      </w:r>
      <w:r w:rsidR="00F13804" w:rsidRPr="008429D7">
        <w:rPr>
          <w:rFonts w:ascii="Verdana" w:eastAsia="Times New Roman" w:hAnsi="Verdana" w:cs="Times New Roman"/>
          <w:iCs/>
          <w:sz w:val="20"/>
          <w:szCs w:val="20"/>
          <w:lang w:val="bg-BG"/>
        </w:rPr>
        <w:t>1</w:t>
      </w:r>
      <w:r w:rsidR="00F13804">
        <w:rPr>
          <w:rFonts w:ascii="Verdana" w:eastAsia="Times New Roman" w:hAnsi="Verdana" w:cs="Times New Roman"/>
          <w:iCs/>
          <w:sz w:val="20"/>
          <w:szCs w:val="20"/>
          <w:lang w:val="bg-BG"/>
        </w:rPr>
        <w:t>3</w:t>
      </w:r>
      <w:r w:rsidR="00F13804" w:rsidRPr="008429D7">
        <w:rPr>
          <w:rFonts w:ascii="Verdana" w:eastAsia="Times New Roman" w:hAnsi="Verdana" w:cs="Times New Roman"/>
          <w:iCs/>
          <w:sz w:val="20"/>
          <w:szCs w:val="20"/>
          <w:lang w:val="bg-BG"/>
        </w:rPr>
        <w:t xml:space="preserve">0 </w:t>
      </w:r>
      <w:r w:rsidRPr="008429D7">
        <w:rPr>
          <w:rFonts w:ascii="Verdana" w:eastAsia="Times New Roman" w:hAnsi="Verdana" w:cs="Times New Roman"/>
          <w:iCs/>
          <w:sz w:val="20"/>
          <w:szCs w:val="20"/>
          <w:lang w:val="bg-BG"/>
        </w:rPr>
        <w:t xml:space="preserve">бройки е за сметка на намаление на числеността на </w:t>
      </w:r>
      <w:r w:rsidR="00F13804" w:rsidRPr="00B475CF">
        <w:rPr>
          <w:rFonts w:ascii="Verdana" w:eastAsia="Times New Roman" w:hAnsi="Verdana" w:cs="Times New Roman"/>
          <w:sz w:val="20"/>
          <w:szCs w:val="20"/>
          <w:lang w:val="bg-BG" w:eastAsia="bg-BG"/>
        </w:rPr>
        <w:t>регионалните дирекции по горите към</w:t>
      </w:r>
      <w:r w:rsidR="00F13804" w:rsidRPr="00D30B0A">
        <w:rPr>
          <w:rFonts w:ascii="Verdana" w:eastAsia="Times New Roman" w:hAnsi="Verdana" w:cs="Times New Roman"/>
          <w:sz w:val="20"/>
          <w:szCs w:val="20"/>
          <w:lang w:val="bg-BG" w:eastAsia="bg-BG"/>
        </w:rPr>
        <w:t xml:space="preserve"> </w:t>
      </w:r>
      <w:r w:rsidRPr="008429D7">
        <w:rPr>
          <w:rFonts w:ascii="Verdana" w:eastAsia="Times New Roman" w:hAnsi="Verdana" w:cs="Times New Roman"/>
          <w:iCs/>
          <w:sz w:val="20"/>
          <w:szCs w:val="20"/>
          <w:lang w:val="bg-BG"/>
        </w:rPr>
        <w:t>Изпълнителната агенция по горите, а увеличението на разходите по бюджета на Държавен фонд „Земеделие“ за 2023 г. и следващите, се осигурява за сметка на централния бюджет.</w:t>
      </w:r>
    </w:p>
    <w:p w:rsidR="00DD6AF4" w:rsidRPr="008429D7" w:rsidRDefault="00DD6AF4" w:rsidP="00D4100E">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rPr>
      </w:pPr>
      <w:r w:rsidRPr="008429D7">
        <w:rPr>
          <w:rFonts w:ascii="Verdana" w:eastAsia="Times New Roman" w:hAnsi="Verdana" w:cs="Times New Roman"/>
          <w:sz w:val="20"/>
          <w:szCs w:val="20"/>
          <w:lang w:val="bg-BG" w:eastAsia="bg-BG"/>
        </w:rPr>
        <w:t>Предложени</w:t>
      </w:r>
      <w:r w:rsidR="00F61111" w:rsidRPr="008429D7">
        <w:rPr>
          <w:rFonts w:ascii="Verdana" w:eastAsia="Times New Roman" w:hAnsi="Verdana" w:cs="Times New Roman"/>
          <w:sz w:val="20"/>
          <w:szCs w:val="20"/>
          <w:lang w:val="bg-BG" w:eastAsia="bg-BG"/>
        </w:rPr>
        <w:t>ят</w:t>
      </w:r>
      <w:r w:rsidRPr="008429D7">
        <w:rPr>
          <w:rFonts w:ascii="Verdana" w:eastAsia="Times New Roman" w:hAnsi="Verdana" w:cs="Times New Roman"/>
          <w:sz w:val="20"/>
          <w:szCs w:val="20"/>
          <w:lang w:val="bg-BG" w:eastAsia="bg-BG"/>
        </w:rPr>
        <w:t xml:space="preserve"> проект на </w:t>
      </w:r>
      <w:r w:rsidR="00B475CF" w:rsidRPr="008429D7">
        <w:rPr>
          <w:rFonts w:ascii="Verdana" w:eastAsia="Times New Roman" w:hAnsi="Verdana" w:cs="Times New Roman"/>
          <w:sz w:val="20"/>
          <w:szCs w:val="20"/>
          <w:lang w:val="bg-BG" w:eastAsia="bg-BG"/>
        </w:rPr>
        <w:t>постановлени</w:t>
      </w:r>
      <w:r w:rsidR="00F61111" w:rsidRPr="008429D7">
        <w:rPr>
          <w:rFonts w:ascii="Verdana" w:eastAsia="Times New Roman" w:hAnsi="Verdana" w:cs="Times New Roman"/>
          <w:sz w:val="20"/>
          <w:szCs w:val="20"/>
          <w:lang w:val="bg-BG" w:eastAsia="bg-BG"/>
        </w:rPr>
        <w:t>е</w:t>
      </w:r>
      <w:r w:rsidR="00B475CF" w:rsidRPr="008429D7">
        <w:rPr>
          <w:rFonts w:ascii="Verdana" w:eastAsia="Times New Roman" w:hAnsi="Verdana" w:cs="Times New Roman"/>
          <w:sz w:val="20"/>
          <w:szCs w:val="20"/>
          <w:lang w:val="bg-BG" w:eastAsia="bg-BG"/>
        </w:rPr>
        <w:t xml:space="preserve"> </w:t>
      </w:r>
      <w:r w:rsidRPr="008429D7">
        <w:rPr>
          <w:rFonts w:ascii="Verdana" w:eastAsia="Times New Roman" w:hAnsi="Verdana" w:cs="Times New Roman"/>
          <w:sz w:val="20"/>
          <w:szCs w:val="20"/>
          <w:lang w:val="bg-BG" w:eastAsia="bg-BG"/>
        </w:rPr>
        <w:t xml:space="preserve">на Министерския съвет </w:t>
      </w:r>
      <w:r w:rsidR="004A1022" w:rsidRPr="008429D7">
        <w:rPr>
          <w:rFonts w:ascii="Verdana" w:eastAsia="Times New Roman" w:hAnsi="Verdana" w:cs="Times New Roman"/>
          <w:sz w:val="20"/>
          <w:szCs w:val="20"/>
          <w:lang w:val="bg-BG" w:eastAsia="bg-BG"/>
        </w:rPr>
        <w:t>ще довед</w:t>
      </w:r>
      <w:r w:rsidR="00F61111" w:rsidRPr="008429D7">
        <w:rPr>
          <w:rFonts w:ascii="Verdana" w:eastAsia="Times New Roman" w:hAnsi="Verdana" w:cs="Times New Roman"/>
          <w:sz w:val="20"/>
          <w:szCs w:val="20"/>
          <w:lang w:val="bg-BG" w:eastAsia="bg-BG"/>
        </w:rPr>
        <w:t>е</w:t>
      </w:r>
      <w:r w:rsidR="008F7D0A" w:rsidRPr="008429D7">
        <w:rPr>
          <w:rFonts w:ascii="Verdana" w:eastAsia="Times New Roman" w:hAnsi="Verdana" w:cs="Times New Roman"/>
          <w:sz w:val="20"/>
          <w:szCs w:val="20"/>
          <w:lang w:val="bg-BG" w:eastAsia="bg-BG"/>
        </w:rPr>
        <w:t xml:space="preserve"> до въздействие върху държавния бюджет</w:t>
      </w:r>
      <w:r w:rsidR="00A85B3C" w:rsidRPr="008429D7">
        <w:rPr>
          <w:rFonts w:ascii="Verdana" w:eastAsia="Times New Roman" w:hAnsi="Verdana" w:cs="Times New Roman"/>
          <w:sz w:val="20"/>
          <w:szCs w:val="20"/>
          <w:lang w:val="bg-BG" w:eastAsia="bg-BG"/>
        </w:rPr>
        <w:t xml:space="preserve">, поради което </w:t>
      </w:r>
      <w:r w:rsidR="00F61111" w:rsidRPr="008429D7">
        <w:rPr>
          <w:rFonts w:ascii="Verdana" w:eastAsia="Times New Roman" w:hAnsi="Verdana" w:cs="Times New Roman"/>
          <w:sz w:val="20"/>
          <w:szCs w:val="20"/>
          <w:lang w:val="bg-BG" w:eastAsia="bg-BG"/>
        </w:rPr>
        <w:t>е</w:t>
      </w:r>
      <w:r w:rsidR="00B475CF" w:rsidRPr="008429D7">
        <w:rPr>
          <w:rFonts w:ascii="Verdana" w:eastAsia="Times New Roman" w:hAnsi="Verdana" w:cs="Times New Roman"/>
          <w:sz w:val="20"/>
          <w:szCs w:val="20"/>
          <w:lang w:val="bg-BG" w:eastAsia="bg-BG"/>
        </w:rPr>
        <w:t xml:space="preserve"> приложен</w:t>
      </w:r>
      <w:r w:rsidR="00F61111" w:rsidRPr="008429D7">
        <w:rPr>
          <w:rFonts w:ascii="Verdana" w:eastAsia="Times New Roman" w:hAnsi="Verdana" w:cs="Times New Roman"/>
          <w:sz w:val="20"/>
          <w:szCs w:val="20"/>
          <w:lang w:val="bg-BG" w:eastAsia="bg-BG"/>
        </w:rPr>
        <w:t>а</w:t>
      </w:r>
      <w:r w:rsidR="00B475CF" w:rsidRPr="008429D7">
        <w:rPr>
          <w:rFonts w:ascii="Verdana" w:eastAsia="Times New Roman" w:hAnsi="Verdana" w:cs="Times New Roman"/>
          <w:sz w:val="20"/>
          <w:szCs w:val="20"/>
          <w:lang w:val="bg-BG" w:eastAsia="bg-BG"/>
        </w:rPr>
        <w:t xml:space="preserve"> финансов</w:t>
      </w:r>
      <w:r w:rsidR="00F61111" w:rsidRPr="008429D7">
        <w:rPr>
          <w:rFonts w:ascii="Verdana" w:eastAsia="Times New Roman" w:hAnsi="Verdana" w:cs="Times New Roman"/>
          <w:sz w:val="20"/>
          <w:szCs w:val="20"/>
          <w:lang w:val="bg-BG" w:eastAsia="bg-BG"/>
        </w:rPr>
        <w:t>а</w:t>
      </w:r>
      <w:r w:rsidR="00B475CF" w:rsidRPr="008429D7">
        <w:rPr>
          <w:rFonts w:ascii="Verdana" w:eastAsia="Times New Roman" w:hAnsi="Verdana" w:cs="Times New Roman"/>
          <w:sz w:val="20"/>
          <w:szCs w:val="20"/>
          <w:lang w:val="bg-BG" w:eastAsia="bg-BG"/>
        </w:rPr>
        <w:t xml:space="preserve"> обосновк</w:t>
      </w:r>
      <w:r w:rsidR="00F61111" w:rsidRPr="008429D7">
        <w:rPr>
          <w:rFonts w:ascii="Verdana" w:eastAsia="Times New Roman" w:hAnsi="Verdana" w:cs="Times New Roman"/>
          <w:sz w:val="20"/>
          <w:szCs w:val="20"/>
          <w:lang w:val="bg-BG" w:eastAsia="bg-BG"/>
        </w:rPr>
        <w:t>а</w:t>
      </w:r>
      <w:r w:rsidR="00B475CF" w:rsidRPr="008429D7">
        <w:rPr>
          <w:rFonts w:ascii="Verdana" w:eastAsia="Times New Roman" w:hAnsi="Verdana" w:cs="Times New Roman"/>
          <w:sz w:val="20"/>
          <w:szCs w:val="20"/>
          <w:lang w:val="bg-BG" w:eastAsia="bg-BG"/>
        </w:rPr>
        <w:t xml:space="preserve"> </w:t>
      </w:r>
      <w:r w:rsidR="00B07978" w:rsidRPr="008429D7">
        <w:rPr>
          <w:rFonts w:ascii="Verdana" w:eastAsia="Times New Roman" w:hAnsi="Verdana" w:cs="Times New Roman"/>
          <w:sz w:val="20"/>
          <w:szCs w:val="20"/>
          <w:lang w:val="bg-BG" w:eastAsia="bg-BG"/>
        </w:rPr>
        <w:t>по Приложение № 2.1</w:t>
      </w:r>
      <w:r w:rsidRPr="008429D7">
        <w:rPr>
          <w:rFonts w:ascii="Verdana" w:eastAsia="Times New Roman" w:hAnsi="Verdana" w:cs="Times New Roman"/>
          <w:sz w:val="20"/>
          <w:szCs w:val="20"/>
          <w:lang w:val="bg-BG" w:eastAsia="bg-BG"/>
        </w:rPr>
        <w:t xml:space="preserve"> к</w:t>
      </w:r>
      <w:r w:rsidR="00676D75" w:rsidRPr="008429D7">
        <w:rPr>
          <w:rFonts w:ascii="Verdana" w:eastAsia="Times New Roman" w:hAnsi="Verdana" w:cs="Times New Roman"/>
          <w:sz w:val="20"/>
          <w:szCs w:val="20"/>
          <w:lang w:val="bg-BG" w:eastAsia="bg-BG"/>
        </w:rPr>
        <w:t>ъм чл. 35, ал. 1, т. 4, буква „а</w:t>
      </w:r>
      <w:r w:rsidRPr="008429D7">
        <w:rPr>
          <w:rFonts w:ascii="Verdana" w:eastAsia="Times New Roman" w:hAnsi="Verdana" w:cs="Times New Roman"/>
          <w:sz w:val="20"/>
          <w:szCs w:val="20"/>
          <w:lang w:val="bg-BG" w:eastAsia="bg-BG"/>
        </w:rPr>
        <w:t>“ от Устройствения правилник на Министерския съвет и на неговата администрация.</w:t>
      </w:r>
    </w:p>
    <w:p w:rsidR="00DA3F22" w:rsidRPr="008429D7" w:rsidRDefault="00DA3F22" w:rsidP="00DA3F22">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rPr>
      </w:pPr>
      <w:r w:rsidRPr="008429D7">
        <w:rPr>
          <w:rFonts w:ascii="Verdana" w:eastAsia="Times New Roman" w:hAnsi="Verdana" w:cs="Times New Roman"/>
          <w:sz w:val="20"/>
          <w:szCs w:val="20"/>
          <w:lang w:val="bg-BG" w:eastAsia="bg-BG"/>
        </w:rPr>
        <w:t>Проектът на акт не води до изменения в целевите стойности на показателите за изпълнение по програми, в това число и ключовите индикатори.</w:t>
      </w:r>
    </w:p>
    <w:p w:rsidR="00EC4FAB" w:rsidRPr="00446A40" w:rsidRDefault="00EC4FAB" w:rsidP="00D4100E">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rPr>
      </w:pPr>
    </w:p>
    <w:p w:rsidR="00EC4FAB" w:rsidRPr="00144871" w:rsidRDefault="00EC4FAB" w:rsidP="00D4100E">
      <w:pPr>
        <w:widowControl w:val="0"/>
        <w:autoSpaceDE w:val="0"/>
        <w:autoSpaceDN w:val="0"/>
        <w:adjustRightInd w:val="0"/>
        <w:spacing w:after="0" w:line="360" w:lineRule="auto"/>
        <w:ind w:firstLine="709"/>
        <w:jc w:val="both"/>
        <w:rPr>
          <w:rFonts w:ascii="Verdana" w:eastAsia="Times New Roman" w:hAnsi="Verdana" w:cs="Times New Roman"/>
          <w:b/>
          <w:sz w:val="20"/>
          <w:szCs w:val="20"/>
          <w:lang w:val="bg-BG" w:eastAsia="bg-BG"/>
        </w:rPr>
      </w:pPr>
      <w:r w:rsidRPr="00144871">
        <w:rPr>
          <w:rFonts w:ascii="Verdana" w:eastAsia="Times New Roman" w:hAnsi="Verdana" w:cs="Times New Roman"/>
          <w:b/>
          <w:sz w:val="20"/>
          <w:szCs w:val="20"/>
          <w:lang w:val="bg-BG" w:eastAsia="bg-BG"/>
        </w:rPr>
        <w:lastRenderedPageBreak/>
        <w:t>Очаквани резултати от прилагането на акта</w:t>
      </w:r>
    </w:p>
    <w:p w:rsidR="001E4519" w:rsidRDefault="002B7AE5" w:rsidP="00941B96">
      <w:pPr>
        <w:widowControl w:val="0"/>
        <w:autoSpaceDE w:val="0"/>
        <w:autoSpaceDN w:val="0"/>
        <w:adjustRightInd w:val="0"/>
        <w:spacing w:after="0" w:line="360" w:lineRule="auto"/>
        <w:ind w:firstLine="709"/>
        <w:jc w:val="both"/>
        <w:rPr>
          <w:rFonts w:ascii="Verdana" w:eastAsia="Times New Roman" w:hAnsi="Verdana" w:cs="Times New Roman"/>
          <w:color w:val="000000" w:themeColor="text1"/>
          <w:sz w:val="20"/>
          <w:szCs w:val="20"/>
          <w:lang w:val="bg-BG" w:eastAsia="bg-BG"/>
        </w:rPr>
      </w:pPr>
      <w:r w:rsidRPr="002B7AE5">
        <w:rPr>
          <w:rFonts w:ascii="Verdana" w:eastAsia="Times New Roman" w:hAnsi="Verdana" w:cs="Times New Roman"/>
          <w:color w:val="000000" w:themeColor="text1"/>
          <w:sz w:val="20"/>
          <w:szCs w:val="20"/>
          <w:lang w:val="bg-BG" w:eastAsia="bg-BG"/>
        </w:rPr>
        <w:t>Приемането на Постановление на Министерския съвет за изменение и допълнение на Устройствения правилник на Държавен фонд „Земеделие“, съгласно предложения проект</w:t>
      </w:r>
      <w:r>
        <w:rPr>
          <w:rFonts w:ascii="Verdana" w:eastAsia="Times New Roman" w:hAnsi="Verdana" w:cs="Times New Roman"/>
          <w:color w:val="000000" w:themeColor="text1"/>
          <w:sz w:val="20"/>
          <w:szCs w:val="20"/>
          <w:lang w:val="bg-BG" w:eastAsia="bg-BG"/>
        </w:rPr>
        <w:t>,</w:t>
      </w:r>
      <w:r w:rsidR="00CB6152" w:rsidRPr="002B7AE5">
        <w:rPr>
          <w:rFonts w:ascii="Verdana" w:eastAsia="Times New Roman" w:hAnsi="Verdana" w:cs="Times New Roman"/>
          <w:color w:val="000000" w:themeColor="text1"/>
          <w:sz w:val="20"/>
          <w:szCs w:val="20"/>
          <w:lang w:val="bg-BG" w:eastAsia="bg-BG"/>
        </w:rPr>
        <w:t xml:space="preserve"> </w:t>
      </w:r>
      <w:r w:rsidRPr="002B7AE5">
        <w:rPr>
          <w:rFonts w:ascii="Verdana" w:eastAsia="Times New Roman" w:hAnsi="Verdana" w:cs="Times New Roman"/>
          <w:color w:val="000000" w:themeColor="text1"/>
          <w:sz w:val="20"/>
          <w:szCs w:val="20"/>
          <w:lang w:val="bg-BG" w:eastAsia="bg-BG"/>
        </w:rPr>
        <w:t>ще доведе до</w:t>
      </w:r>
      <w:r w:rsidR="00CB6152" w:rsidRPr="002B7AE5">
        <w:rPr>
          <w:rFonts w:ascii="Verdana" w:eastAsia="Times New Roman" w:hAnsi="Verdana" w:cs="Times New Roman"/>
          <w:color w:val="000000" w:themeColor="text1"/>
          <w:sz w:val="20"/>
          <w:szCs w:val="20"/>
          <w:lang w:val="bg-BG" w:eastAsia="bg-BG"/>
        </w:rPr>
        <w:t xml:space="preserve"> </w:t>
      </w:r>
      <w:r w:rsidRPr="002B7AE5">
        <w:rPr>
          <w:rFonts w:ascii="Verdana" w:eastAsia="Times New Roman" w:hAnsi="Verdana" w:cs="Times New Roman"/>
          <w:color w:val="000000" w:themeColor="text1"/>
          <w:sz w:val="20"/>
          <w:szCs w:val="20"/>
          <w:lang w:val="bg-BG" w:eastAsia="bg-BG"/>
        </w:rPr>
        <w:t>изпълнение на изискванията на промененото законодателството в областта на Общата селскостопанска политика на Европейския съюз</w:t>
      </w:r>
      <w:r w:rsidR="001C0346">
        <w:rPr>
          <w:rFonts w:ascii="Verdana" w:eastAsia="Times New Roman" w:hAnsi="Verdana" w:cs="Times New Roman"/>
          <w:color w:val="000000" w:themeColor="text1"/>
          <w:sz w:val="20"/>
          <w:szCs w:val="20"/>
          <w:lang w:val="bg-BG" w:eastAsia="bg-BG"/>
        </w:rPr>
        <w:t>; с</w:t>
      </w:r>
      <w:r w:rsidR="00C36D57">
        <w:rPr>
          <w:rFonts w:ascii="Verdana" w:eastAsia="Times New Roman" w:hAnsi="Verdana" w:cs="Times New Roman"/>
          <w:color w:val="000000" w:themeColor="text1"/>
          <w:sz w:val="20"/>
          <w:szCs w:val="20"/>
          <w:lang w:val="bg-BG" w:eastAsia="bg-BG"/>
        </w:rPr>
        <w:t xml:space="preserve">труктурата на </w:t>
      </w:r>
      <w:r w:rsidR="00C36D57" w:rsidRPr="00C36D57">
        <w:rPr>
          <w:rFonts w:ascii="Verdana" w:eastAsia="Times New Roman" w:hAnsi="Verdana" w:cs="Times New Roman"/>
          <w:color w:val="000000" w:themeColor="text1"/>
          <w:sz w:val="20"/>
          <w:szCs w:val="20"/>
          <w:lang w:val="bg-BG" w:eastAsia="bg-BG"/>
        </w:rPr>
        <w:t>Държавен фонд „Земеделие“</w:t>
      </w:r>
      <w:r w:rsidR="00C36D57">
        <w:rPr>
          <w:rFonts w:ascii="Verdana" w:eastAsia="Times New Roman" w:hAnsi="Verdana" w:cs="Times New Roman"/>
          <w:color w:val="000000" w:themeColor="text1"/>
          <w:sz w:val="20"/>
          <w:szCs w:val="20"/>
          <w:lang w:val="bg-BG" w:eastAsia="bg-BG"/>
        </w:rPr>
        <w:t xml:space="preserve"> </w:t>
      </w:r>
      <w:r w:rsidR="001C0346">
        <w:rPr>
          <w:rFonts w:ascii="Verdana" w:eastAsia="Times New Roman" w:hAnsi="Verdana" w:cs="Times New Roman"/>
          <w:color w:val="000000" w:themeColor="text1"/>
          <w:sz w:val="20"/>
          <w:szCs w:val="20"/>
          <w:lang w:val="bg-BG" w:eastAsia="bg-BG"/>
        </w:rPr>
        <w:t>ще бъде</w:t>
      </w:r>
      <w:r w:rsidR="001C0346" w:rsidRPr="002B7AE5">
        <w:rPr>
          <w:rFonts w:ascii="Verdana" w:eastAsia="Times New Roman" w:hAnsi="Verdana" w:cs="Times New Roman"/>
          <w:color w:val="000000" w:themeColor="text1"/>
          <w:sz w:val="20"/>
          <w:szCs w:val="20"/>
          <w:lang w:val="bg-BG" w:eastAsia="bg-BG"/>
        </w:rPr>
        <w:t xml:space="preserve"> </w:t>
      </w:r>
      <w:r w:rsidR="001C0346">
        <w:rPr>
          <w:rFonts w:ascii="Verdana" w:eastAsia="Times New Roman" w:hAnsi="Verdana" w:cs="Times New Roman"/>
          <w:color w:val="000000" w:themeColor="text1"/>
          <w:sz w:val="20"/>
          <w:szCs w:val="20"/>
          <w:lang w:val="bg-BG" w:eastAsia="bg-BG"/>
        </w:rPr>
        <w:t xml:space="preserve">оптимизирана </w:t>
      </w:r>
      <w:r w:rsidR="00C36D57">
        <w:rPr>
          <w:rFonts w:ascii="Verdana" w:eastAsia="Times New Roman" w:hAnsi="Verdana" w:cs="Times New Roman"/>
          <w:color w:val="000000" w:themeColor="text1"/>
          <w:sz w:val="20"/>
          <w:szCs w:val="20"/>
          <w:lang w:val="bg-BG" w:eastAsia="bg-BG"/>
        </w:rPr>
        <w:t xml:space="preserve">посредством </w:t>
      </w:r>
      <w:r w:rsidR="000F07CE" w:rsidRPr="000F07CE">
        <w:rPr>
          <w:rFonts w:ascii="Verdana" w:eastAsia="Times New Roman" w:hAnsi="Verdana" w:cs="Times New Roman"/>
          <w:color w:val="000000" w:themeColor="text1"/>
          <w:sz w:val="20"/>
          <w:szCs w:val="20"/>
          <w:lang w:val="bg-BG" w:eastAsia="bg-BG"/>
        </w:rPr>
        <w:t>създаването на нова дирекция „Мониторинг, докладване и оценка“ в специализираната администрация на Държавен фонд „Земеделие“ – Разплащателна агенция в изпълнение на но</w:t>
      </w:r>
      <w:r w:rsidR="0065731C">
        <w:rPr>
          <w:rFonts w:ascii="Verdana" w:eastAsia="Times New Roman" w:hAnsi="Verdana" w:cs="Times New Roman"/>
          <w:color w:val="000000" w:themeColor="text1"/>
          <w:sz w:val="20"/>
          <w:szCs w:val="20"/>
          <w:lang w:val="bg-BG" w:eastAsia="bg-BG"/>
        </w:rPr>
        <w:t>рмативни изисквания за следващия</w:t>
      </w:r>
      <w:r w:rsidR="000F07CE" w:rsidRPr="000F07CE">
        <w:rPr>
          <w:rFonts w:ascii="Verdana" w:eastAsia="Times New Roman" w:hAnsi="Verdana" w:cs="Times New Roman"/>
          <w:color w:val="000000" w:themeColor="text1"/>
          <w:sz w:val="20"/>
          <w:szCs w:val="20"/>
          <w:lang w:val="bg-BG" w:eastAsia="bg-BG"/>
        </w:rPr>
        <w:t xml:space="preserve"> програмен период, която ще е свързана с изпълнението на допълнителни функции, свързани със създаването на </w:t>
      </w:r>
      <w:r w:rsidR="005A0B79">
        <w:rPr>
          <w:rFonts w:ascii="Verdana" w:eastAsia="Times New Roman" w:hAnsi="Verdana" w:cs="Times New Roman"/>
          <w:color w:val="000000" w:themeColor="text1"/>
          <w:sz w:val="20"/>
          <w:szCs w:val="20"/>
          <w:lang w:val="bg-BG" w:eastAsia="bg-BG"/>
        </w:rPr>
        <w:t>с</w:t>
      </w:r>
      <w:r w:rsidR="000F07CE">
        <w:rPr>
          <w:rFonts w:ascii="Verdana" w:eastAsia="Times New Roman" w:hAnsi="Verdana" w:cs="Times New Roman"/>
          <w:color w:val="000000" w:themeColor="text1"/>
          <w:sz w:val="20"/>
          <w:szCs w:val="20"/>
          <w:lang w:val="bg-BG" w:eastAsia="bg-BG"/>
        </w:rPr>
        <w:t>истемата за мониторинг на площ</w:t>
      </w:r>
      <w:r w:rsidR="001C0346">
        <w:rPr>
          <w:rFonts w:ascii="Verdana" w:eastAsia="Times New Roman" w:hAnsi="Verdana" w:cs="Times New Roman"/>
          <w:color w:val="000000" w:themeColor="text1"/>
          <w:sz w:val="20"/>
          <w:szCs w:val="20"/>
          <w:lang w:val="bg-BG" w:eastAsia="bg-BG"/>
        </w:rPr>
        <w:t xml:space="preserve">; </w:t>
      </w:r>
      <w:r w:rsidR="00CB6152" w:rsidRPr="002B7AE5">
        <w:rPr>
          <w:rFonts w:ascii="Verdana" w:eastAsia="Times New Roman" w:hAnsi="Verdana" w:cs="Times New Roman"/>
          <w:color w:val="000000" w:themeColor="text1"/>
          <w:sz w:val="20"/>
          <w:szCs w:val="20"/>
          <w:lang w:val="bg-BG" w:eastAsia="bg-BG"/>
        </w:rPr>
        <w:t>административния</w:t>
      </w:r>
      <w:r w:rsidR="001C0346">
        <w:rPr>
          <w:rFonts w:ascii="Verdana" w:eastAsia="Times New Roman" w:hAnsi="Verdana" w:cs="Times New Roman"/>
          <w:color w:val="000000" w:themeColor="text1"/>
          <w:sz w:val="20"/>
          <w:szCs w:val="20"/>
          <w:lang w:val="bg-BG" w:eastAsia="bg-BG"/>
        </w:rPr>
        <w:t>т</w:t>
      </w:r>
      <w:r w:rsidR="00CB6152" w:rsidRPr="002B7AE5">
        <w:rPr>
          <w:rFonts w:ascii="Verdana" w:eastAsia="Times New Roman" w:hAnsi="Verdana" w:cs="Times New Roman"/>
          <w:color w:val="000000" w:themeColor="text1"/>
          <w:sz w:val="20"/>
          <w:szCs w:val="20"/>
          <w:lang w:val="bg-BG" w:eastAsia="bg-BG"/>
        </w:rPr>
        <w:t xml:space="preserve"> капацитет </w:t>
      </w:r>
      <w:r w:rsidR="001C0346">
        <w:rPr>
          <w:rFonts w:ascii="Verdana" w:eastAsia="Times New Roman" w:hAnsi="Verdana" w:cs="Times New Roman"/>
          <w:color w:val="000000" w:themeColor="text1"/>
          <w:sz w:val="20"/>
          <w:szCs w:val="20"/>
          <w:lang w:val="bg-BG" w:eastAsia="bg-BG"/>
        </w:rPr>
        <w:t xml:space="preserve">на </w:t>
      </w:r>
      <w:r w:rsidR="001C0346" w:rsidRPr="001C0346">
        <w:rPr>
          <w:rFonts w:ascii="Verdana" w:eastAsia="Times New Roman" w:hAnsi="Verdana" w:cs="Times New Roman"/>
          <w:color w:val="000000" w:themeColor="text1"/>
          <w:sz w:val="20"/>
          <w:szCs w:val="20"/>
          <w:lang w:val="bg-BG" w:eastAsia="bg-BG"/>
        </w:rPr>
        <w:t xml:space="preserve">Държавен фонд „Земеделие“ </w:t>
      </w:r>
      <w:r w:rsidR="00C36D57">
        <w:rPr>
          <w:rFonts w:ascii="Verdana" w:eastAsia="Times New Roman" w:hAnsi="Verdana" w:cs="Times New Roman"/>
          <w:color w:val="000000" w:themeColor="text1"/>
          <w:sz w:val="20"/>
          <w:szCs w:val="20"/>
          <w:lang w:val="bg-BG" w:eastAsia="bg-BG"/>
        </w:rPr>
        <w:t>в областта на мониторинга</w:t>
      </w:r>
      <w:r w:rsidR="001C0346">
        <w:rPr>
          <w:rFonts w:ascii="Verdana" w:eastAsia="Times New Roman" w:hAnsi="Verdana" w:cs="Times New Roman"/>
          <w:color w:val="000000" w:themeColor="text1"/>
          <w:sz w:val="20"/>
          <w:szCs w:val="20"/>
          <w:lang w:val="bg-BG" w:eastAsia="bg-BG"/>
        </w:rPr>
        <w:t xml:space="preserve"> и </w:t>
      </w:r>
      <w:r w:rsidR="00C36D57">
        <w:rPr>
          <w:rFonts w:ascii="Verdana" w:eastAsia="Times New Roman" w:hAnsi="Verdana" w:cs="Times New Roman"/>
          <w:color w:val="000000" w:themeColor="text1"/>
          <w:sz w:val="20"/>
          <w:szCs w:val="20"/>
          <w:lang w:val="bg-BG" w:eastAsia="bg-BG"/>
        </w:rPr>
        <w:t>последващия контрол</w:t>
      </w:r>
      <w:r w:rsidR="001C0346">
        <w:rPr>
          <w:rFonts w:ascii="Verdana" w:eastAsia="Times New Roman" w:hAnsi="Verdana" w:cs="Times New Roman"/>
          <w:color w:val="000000" w:themeColor="text1"/>
          <w:sz w:val="20"/>
          <w:szCs w:val="20"/>
          <w:lang w:val="bg-BG" w:eastAsia="bg-BG"/>
        </w:rPr>
        <w:t xml:space="preserve"> ще бъде увеличен</w:t>
      </w:r>
      <w:r w:rsidR="00C36D57">
        <w:rPr>
          <w:rFonts w:ascii="Verdana" w:eastAsia="Times New Roman" w:hAnsi="Verdana" w:cs="Times New Roman"/>
          <w:color w:val="000000" w:themeColor="text1"/>
          <w:sz w:val="20"/>
          <w:szCs w:val="20"/>
          <w:lang w:val="bg-BG" w:eastAsia="bg-BG"/>
        </w:rPr>
        <w:t>.</w:t>
      </w:r>
      <w:r w:rsidRPr="002B7AE5">
        <w:rPr>
          <w:rFonts w:ascii="Verdana" w:eastAsia="Times New Roman" w:hAnsi="Verdana" w:cs="Times New Roman"/>
          <w:color w:val="000000" w:themeColor="text1"/>
          <w:sz w:val="20"/>
          <w:szCs w:val="20"/>
          <w:lang w:val="bg-BG" w:eastAsia="bg-BG"/>
        </w:rPr>
        <w:t xml:space="preserve"> </w:t>
      </w:r>
      <w:r w:rsidR="001C0346">
        <w:rPr>
          <w:rFonts w:ascii="Verdana" w:eastAsia="Times New Roman" w:hAnsi="Verdana" w:cs="Times New Roman"/>
          <w:color w:val="000000" w:themeColor="text1"/>
          <w:sz w:val="20"/>
          <w:szCs w:val="20"/>
          <w:lang w:val="bg-BG" w:eastAsia="bg-BG"/>
        </w:rPr>
        <w:t>В частност, с</w:t>
      </w:r>
      <w:r w:rsidR="00F85470" w:rsidRPr="002B7AE5">
        <w:rPr>
          <w:rFonts w:ascii="Verdana" w:eastAsia="Times New Roman" w:hAnsi="Verdana" w:cs="Times New Roman"/>
          <w:color w:val="000000" w:themeColor="text1"/>
          <w:sz w:val="20"/>
          <w:szCs w:val="20"/>
          <w:lang w:val="bg-BG" w:eastAsia="bg-BG"/>
        </w:rPr>
        <w:t>воевременното създаване и структуриране на дирекция „Мониторинг</w:t>
      </w:r>
      <w:r w:rsidR="000F07CE">
        <w:rPr>
          <w:rFonts w:ascii="Verdana" w:eastAsia="Times New Roman" w:hAnsi="Verdana" w:cs="Times New Roman"/>
          <w:color w:val="000000" w:themeColor="text1"/>
          <w:sz w:val="20"/>
          <w:szCs w:val="20"/>
          <w:lang w:val="bg-BG" w:eastAsia="bg-BG"/>
        </w:rPr>
        <w:t>, докладване и оценка</w:t>
      </w:r>
      <w:r w:rsidR="00F85470" w:rsidRPr="002B7AE5">
        <w:rPr>
          <w:rFonts w:ascii="Verdana" w:eastAsia="Times New Roman" w:hAnsi="Verdana" w:cs="Times New Roman"/>
          <w:color w:val="000000" w:themeColor="text1"/>
          <w:sz w:val="20"/>
          <w:szCs w:val="20"/>
          <w:lang w:val="bg-BG" w:eastAsia="bg-BG"/>
        </w:rPr>
        <w:t xml:space="preserve">“ е </w:t>
      </w:r>
      <w:r w:rsidRPr="002B7AE5">
        <w:rPr>
          <w:rFonts w:ascii="Verdana" w:eastAsia="Times New Roman" w:hAnsi="Verdana" w:cs="Times New Roman"/>
          <w:color w:val="000000" w:themeColor="text1"/>
          <w:sz w:val="20"/>
          <w:szCs w:val="20"/>
          <w:lang w:val="bg-BG" w:eastAsia="bg-BG"/>
        </w:rPr>
        <w:t xml:space="preserve">важна </w:t>
      </w:r>
      <w:r w:rsidR="00F85470" w:rsidRPr="002B7AE5">
        <w:rPr>
          <w:rFonts w:ascii="Verdana" w:eastAsia="Times New Roman" w:hAnsi="Verdana" w:cs="Times New Roman"/>
          <w:color w:val="000000" w:themeColor="text1"/>
          <w:sz w:val="20"/>
          <w:szCs w:val="20"/>
          <w:lang w:val="bg-BG" w:eastAsia="bg-BG"/>
        </w:rPr>
        <w:t xml:space="preserve">предпоставка </w:t>
      </w:r>
      <w:r w:rsidR="001C0346">
        <w:rPr>
          <w:rFonts w:ascii="Verdana" w:eastAsia="Times New Roman" w:hAnsi="Verdana" w:cs="Times New Roman"/>
          <w:color w:val="000000" w:themeColor="text1"/>
          <w:sz w:val="20"/>
          <w:szCs w:val="20"/>
          <w:lang w:val="bg-BG" w:eastAsia="bg-BG"/>
        </w:rPr>
        <w:t xml:space="preserve">и </w:t>
      </w:r>
      <w:r w:rsidR="00F85470" w:rsidRPr="002B7AE5">
        <w:rPr>
          <w:rFonts w:ascii="Verdana" w:eastAsia="Times New Roman" w:hAnsi="Verdana" w:cs="Times New Roman"/>
          <w:color w:val="000000" w:themeColor="text1"/>
          <w:sz w:val="20"/>
          <w:szCs w:val="20"/>
          <w:lang w:val="bg-BG" w:eastAsia="bg-BG"/>
        </w:rPr>
        <w:t xml:space="preserve">за </w:t>
      </w:r>
      <w:r w:rsidRPr="002B7AE5">
        <w:rPr>
          <w:rFonts w:ascii="Verdana" w:eastAsia="Times New Roman" w:hAnsi="Verdana" w:cs="Times New Roman"/>
          <w:color w:val="000000" w:themeColor="text1"/>
          <w:sz w:val="20"/>
          <w:szCs w:val="20"/>
          <w:lang w:val="bg-BG" w:eastAsia="bg-BG"/>
        </w:rPr>
        <w:t xml:space="preserve">успешния </w:t>
      </w:r>
      <w:r w:rsidR="00F85470" w:rsidRPr="002B7AE5">
        <w:rPr>
          <w:rFonts w:ascii="Verdana" w:eastAsia="Times New Roman" w:hAnsi="Verdana" w:cs="Times New Roman"/>
          <w:color w:val="000000" w:themeColor="text1"/>
          <w:sz w:val="20"/>
          <w:szCs w:val="20"/>
          <w:lang w:val="bg-BG" w:eastAsia="bg-BG"/>
        </w:rPr>
        <w:t>подбор и назначаване на квалифициран и мотивиран персонал, който да разработи и постепенно да внедри новата система</w:t>
      </w:r>
      <w:r w:rsidR="001C0346">
        <w:rPr>
          <w:rFonts w:ascii="Verdana" w:eastAsia="Times New Roman" w:hAnsi="Verdana" w:cs="Times New Roman"/>
          <w:color w:val="000000" w:themeColor="text1"/>
          <w:sz w:val="20"/>
          <w:szCs w:val="20"/>
          <w:lang w:val="bg-BG" w:eastAsia="bg-BG"/>
        </w:rPr>
        <w:t>; н</w:t>
      </w:r>
      <w:r w:rsidRPr="002B7AE5">
        <w:rPr>
          <w:rFonts w:ascii="Verdana" w:eastAsia="Times New Roman" w:hAnsi="Verdana" w:cs="Times New Roman"/>
          <w:color w:val="000000" w:themeColor="text1"/>
          <w:sz w:val="20"/>
          <w:szCs w:val="20"/>
          <w:lang w:val="bg-BG" w:eastAsia="bg-BG"/>
        </w:rPr>
        <w:t>а свой ред, о</w:t>
      </w:r>
      <w:r w:rsidR="00F85470" w:rsidRPr="002B7AE5">
        <w:rPr>
          <w:rFonts w:ascii="Verdana" w:eastAsia="Times New Roman" w:hAnsi="Verdana" w:cs="Times New Roman"/>
          <w:color w:val="000000" w:themeColor="text1"/>
          <w:sz w:val="20"/>
          <w:szCs w:val="20"/>
          <w:lang w:val="bg-BG" w:eastAsia="bg-BG"/>
        </w:rPr>
        <w:t xml:space="preserve">бработването и предоставянето на изчерпателни и достоверни данни в изпълнение на целите на новата Обща селскостопанска политика в рамките на Държавен фонд „Земеделие“ ще допринесе за намаляване на административната тежест, за представянето на по-изчерпателни и сравними данни за целия Европейски съюз за целите на мониторинга и за по-нататъшно подобряване на устойчивото развитие на земеделието и селските райони. </w:t>
      </w:r>
      <w:r w:rsidR="003B26E2">
        <w:rPr>
          <w:rFonts w:ascii="Verdana" w:eastAsia="Times New Roman" w:hAnsi="Verdana" w:cs="Times New Roman"/>
          <w:color w:val="000000" w:themeColor="text1"/>
          <w:sz w:val="20"/>
          <w:szCs w:val="20"/>
          <w:lang w:val="bg-BG" w:eastAsia="bg-BG"/>
        </w:rPr>
        <w:t>П</w:t>
      </w:r>
      <w:r w:rsidR="003B26E2" w:rsidRPr="003B26E2">
        <w:rPr>
          <w:rFonts w:ascii="Verdana" w:eastAsia="Times New Roman" w:hAnsi="Verdana" w:cs="Times New Roman"/>
          <w:color w:val="000000" w:themeColor="text1"/>
          <w:sz w:val="20"/>
          <w:szCs w:val="20"/>
          <w:lang w:val="bg-BG" w:eastAsia="bg-BG"/>
        </w:rPr>
        <w:t xml:space="preserve">рехвърлянето на ресурсите на </w:t>
      </w:r>
      <w:r w:rsidR="001A0E4D" w:rsidRPr="004F4D10">
        <w:rPr>
          <w:rFonts w:ascii="Verdana" w:eastAsia="Times New Roman" w:hAnsi="Verdana" w:cs="Times New Roman"/>
          <w:color w:val="000000" w:themeColor="text1"/>
          <w:sz w:val="20"/>
          <w:szCs w:val="20"/>
          <w:lang w:val="bg-BG" w:eastAsia="bg-BG"/>
        </w:rPr>
        <w:t>д</w:t>
      </w:r>
      <w:r w:rsidR="00152086">
        <w:rPr>
          <w:rFonts w:ascii="Verdana" w:eastAsia="Times New Roman" w:hAnsi="Verdana" w:cs="Times New Roman"/>
          <w:color w:val="000000" w:themeColor="text1"/>
          <w:sz w:val="20"/>
          <w:szCs w:val="20"/>
          <w:lang w:val="bg-BG" w:eastAsia="bg-BG"/>
        </w:rPr>
        <w:t xml:space="preserve">ирекция </w:t>
      </w:r>
      <w:r w:rsidR="00152086" w:rsidRPr="002B7AE5">
        <w:rPr>
          <w:rFonts w:ascii="Verdana" w:eastAsia="Times New Roman" w:hAnsi="Verdana" w:cs="Times New Roman"/>
          <w:color w:val="000000" w:themeColor="text1"/>
          <w:sz w:val="20"/>
          <w:szCs w:val="20"/>
          <w:lang w:val="bg-BG" w:eastAsia="bg-BG"/>
        </w:rPr>
        <w:t>„</w:t>
      </w:r>
      <w:r w:rsidR="003B26E2" w:rsidRPr="004F4D10">
        <w:rPr>
          <w:rFonts w:ascii="Verdana" w:eastAsia="Times New Roman" w:hAnsi="Verdana" w:cs="Times New Roman"/>
          <w:color w:val="000000" w:themeColor="text1"/>
          <w:sz w:val="20"/>
          <w:szCs w:val="20"/>
          <w:lang w:val="bg-BG" w:eastAsia="bg-BG"/>
        </w:rPr>
        <w:t>Информац</w:t>
      </w:r>
      <w:r w:rsidR="009A6EFB" w:rsidRPr="004F4D10">
        <w:rPr>
          <w:rFonts w:ascii="Verdana" w:eastAsia="Times New Roman" w:hAnsi="Verdana" w:cs="Times New Roman"/>
          <w:color w:val="000000" w:themeColor="text1"/>
          <w:sz w:val="20"/>
          <w:szCs w:val="20"/>
          <w:lang w:val="bg-BG" w:eastAsia="bg-BG"/>
        </w:rPr>
        <w:t>ионни технологии“</w:t>
      </w:r>
      <w:r w:rsidR="00D30A33">
        <w:rPr>
          <w:rFonts w:ascii="Verdana" w:eastAsia="Times New Roman" w:hAnsi="Verdana" w:cs="Times New Roman"/>
          <w:color w:val="000000" w:themeColor="text1"/>
          <w:sz w:val="20"/>
          <w:szCs w:val="20"/>
          <w:lang w:val="bg-BG" w:eastAsia="bg-BG"/>
        </w:rPr>
        <w:t xml:space="preserve"> и звено „Интегрирана система за администриране и контрол“</w:t>
      </w:r>
      <w:r w:rsidR="009A6EFB" w:rsidRPr="004F4D10">
        <w:rPr>
          <w:rFonts w:ascii="Verdana" w:eastAsia="Times New Roman" w:hAnsi="Verdana" w:cs="Times New Roman"/>
          <w:color w:val="000000" w:themeColor="text1"/>
          <w:sz w:val="20"/>
          <w:szCs w:val="20"/>
          <w:lang w:val="bg-BG" w:eastAsia="bg-BG"/>
        </w:rPr>
        <w:t xml:space="preserve"> към </w:t>
      </w:r>
      <w:r w:rsidR="001A0E4D" w:rsidRPr="004F4D10">
        <w:rPr>
          <w:rFonts w:ascii="Verdana" w:eastAsia="Times New Roman" w:hAnsi="Verdana" w:cs="Times New Roman"/>
          <w:color w:val="000000" w:themeColor="text1"/>
          <w:sz w:val="20"/>
          <w:szCs w:val="20"/>
          <w:lang w:val="bg-BG" w:eastAsia="bg-BG"/>
        </w:rPr>
        <w:t>д</w:t>
      </w:r>
      <w:r w:rsidR="009A6EFB" w:rsidRPr="004F4D10">
        <w:rPr>
          <w:rFonts w:ascii="Verdana" w:eastAsia="Times New Roman" w:hAnsi="Verdana" w:cs="Times New Roman"/>
          <w:color w:val="000000" w:themeColor="text1"/>
          <w:sz w:val="20"/>
          <w:szCs w:val="20"/>
          <w:lang w:val="bg-BG" w:eastAsia="bg-BG"/>
        </w:rPr>
        <w:t>ирекция</w:t>
      </w:r>
      <w:r w:rsidR="009A6EFB">
        <w:rPr>
          <w:rFonts w:ascii="Verdana" w:eastAsia="Times New Roman" w:hAnsi="Verdana" w:cs="Times New Roman"/>
          <w:color w:val="000000" w:themeColor="text1"/>
          <w:sz w:val="20"/>
          <w:szCs w:val="20"/>
          <w:lang w:val="bg-BG" w:eastAsia="bg-BG"/>
        </w:rPr>
        <w:t xml:space="preserve"> </w:t>
      </w:r>
      <w:r w:rsidR="00285175">
        <w:rPr>
          <w:rFonts w:ascii="Verdana" w:eastAsia="Times New Roman" w:hAnsi="Verdana" w:cs="Times New Roman"/>
          <w:color w:val="000000" w:themeColor="text1"/>
          <w:sz w:val="20"/>
          <w:szCs w:val="20"/>
          <w:lang w:val="bg-BG" w:eastAsia="bg-BG"/>
        </w:rPr>
        <w:t>„Интегрирани информационни системи“</w:t>
      </w:r>
      <w:r w:rsidR="003B26E2" w:rsidRPr="003B26E2">
        <w:rPr>
          <w:rFonts w:ascii="Verdana" w:eastAsia="Times New Roman" w:hAnsi="Verdana" w:cs="Times New Roman"/>
          <w:color w:val="000000" w:themeColor="text1"/>
          <w:sz w:val="20"/>
          <w:szCs w:val="20"/>
          <w:lang w:val="bg-BG" w:eastAsia="bg-BG"/>
        </w:rPr>
        <w:t> ще допринесе за по-бързото и своевременно адаптиране на управлението на информационното обезпечаване към новите тенденции в Общата селскостопанска политика на ЕС и Стратегическия план за развитие на земеделието и селските райони на Република България за периода 2023</w:t>
      </w:r>
      <w:r w:rsidR="003358AF">
        <w:rPr>
          <w:rFonts w:ascii="Verdana" w:eastAsia="Times New Roman" w:hAnsi="Verdana" w:cs="Times New Roman"/>
          <w:color w:val="000000" w:themeColor="text1"/>
          <w:sz w:val="20"/>
          <w:szCs w:val="20"/>
          <w:lang w:val="bg-BG" w:eastAsia="bg-BG"/>
        </w:rPr>
        <w:t xml:space="preserve"> – </w:t>
      </w:r>
      <w:r w:rsidR="003B26E2" w:rsidRPr="003B26E2">
        <w:rPr>
          <w:rFonts w:ascii="Verdana" w:eastAsia="Times New Roman" w:hAnsi="Verdana" w:cs="Times New Roman"/>
          <w:color w:val="000000" w:themeColor="text1"/>
          <w:sz w:val="20"/>
          <w:szCs w:val="20"/>
          <w:lang w:val="bg-BG" w:eastAsia="bg-BG"/>
        </w:rPr>
        <w:t>2027 г. (напр. във връзка с изграждането на системата за мониторинг на площ, с изискванията за споделяне на данни, за качество, за съвместимост с административните и контролни процедури, за намаляване на административната тежест, за простота на дизайна на интервенциите, за опростяване на контролите и др.).</w:t>
      </w:r>
    </w:p>
    <w:p w:rsidR="00941B96" w:rsidRPr="003B26E2" w:rsidRDefault="00941B96" w:rsidP="00941B96">
      <w:pPr>
        <w:widowControl w:val="0"/>
        <w:autoSpaceDE w:val="0"/>
        <w:autoSpaceDN w:val="0"/>
        <w:adjustRightInd w:val="0"/>
        <w:spacing w:after="0" w:line="360" w:lineRule="auto"/>
        <w:ind w:firstLine="709"/>
        <w:jc w:val="both"/>
        <w:rPr>
          <w:rFonts w:ascii="Verdana" w:eastAsia="Times New Roman" w:hAnsi="Verdana" w:cs="Times New Roman"/>
          <w:color w:val="000000" w:themeColor="text1"/>
          <w:sz w:val="20"/>
          <w:szCs w:val="20"/>
          <w:lang w:val="bg-BG" w:eastAsia="bg-BG"/>
        </w:rPr>
      </w:pPr>
    </w:p>
    <w:p w:rsidR="00EC4FAB" w:rsidRPr="003A0069" w:rsidRDefault="003A0069" w:rsidP="00D4100E">
      <w:pPr>
        <w:widowControl w:val="0"/>
        <w:autoSpaceDE w:val="0"/>
        <w:autoSpaceDN w:val="0"/>
        <w:adjustRightInd w:val="0"/>
        <w:spacing w:after="0" w:line="360" w:lineRule="auto"/>
        <w:ind w:firstLine="709"/>
        <w:jc w:val="both"/>
        <w:rPr>
          <w:rFonts w:ascii="Verdana" w:eastAsia="Times New Roman" w:hAnsi="Verdana" w:cs="Times New Roman"/>
          <w:b/>
          <w:sz w:val="20"/>
          <w:szCs w:val="20"/>
          <w:lang w:val="bg-BG" w:eastAsia="bg-BG"/>
        </w:rPr>
      </w:pPr>
      <w:r w:rsidRPr="003A0069">
        <w:rPr>
          <w:rFonts w:ascii="Verdana" w:eastAsia="Times New Roman" w:hAnsi="Verdana" w:cs="Times New Roman"/>
          <w:b/>
          <w:sz w:val="20"/>
          <w:szCs w:val="20"/>
          <w:lang w:val="bg-BG" w:eastAsia="bg-BG"/>
        </w:rPr>
        <w:t>Анализ за съответствие с правото на Европейския съюз</w:t>
      </w:r>
    </w:p>
    <w:p w:rsidR="00713B56" w:rsidRDefault="00713B56" w:rsidP="00D4100E">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rPr>
      </w:pPr>
      <w:r w:rsidRPr="004F0B32">
        <w:rPr>
          <w:rFonts w:ascii="Verdana" w:eastAsia="Times New Roman" w:hAnsi="Verdana" w:cs="Times New Roman"/>
          <w:sz w:val="20"/>
          <w:szCs w:val="20"/>
          <w:lang w:val="bg-BG" w:eastAsia="bg-BG"/>
        </w:rPr>
        <w:t xml:space="preserve">С </w:t>
      </w:r>
      <w:r w:rsidR="00402F0C">
        <w:rPr>
          <w:rFonts w:ascii="Verdana" w:eastAsia="Times New Roman" w:hAnsi="Verdana" w:cs="Times New Roman"/>
          <w:sz w:val="20"/>
          <w:szCs w:val="20"/>
          <w:lang w:val="bg-BG" w:eastAsia="bg-BG"/>
        </w:rPr>
        <w:t>предложени</w:t>
      </w:r>
      <w:r w:rsidR="00151C64">
        <w:rPr>
          <w:rFonts w:ascii="Verdana" w:eastAsia="Times New Roman" w:hAnsi="Verdana" w:cs="Times New Roman"/>
          <w:sz w:val="20"/>
          <w:szCs w:val="20"/>
          <w:lang w:val="bg-BG" w:eastAsia="bg-BG"/>
        </w:rPr>
        <w:t>я</w:t>
      </w:r>
      <w:r w:rsidR="00402F0C">
        <w:rPr>
          <w:rFonts w:ascii="Verdana" w:eastAsia="Times New Roman" w:hAnsi="Verdana" w:cs="Times New Roman"/>
          <w:sz w:val="20"/>
          <w:szCs w:val="20"/>
          <w:lang w:val="bg-BG" w:eastAsia="bg-BG"/>
        </w:rPr>
        <w:t xml:space="preserve"> </w:t>
      </w:r>
      <w:r w:rsidR="00174111" w:rsidRPr="004F0B32">
        <w:rPr>
          <w:rFonts w:ascii="Verdana" w:eastAsia="Times New Roman" w:hAnsi="Verdana" w:cs="Times New Roman"/>
          <w:sz w:val="20"/>
          <w:szCs w:val="20"/>
          <w:lang w:val="bg-BG" w:eastAsia="bg-BG"/>
        </w:rPr>
        <w:t xml:space="preserve">проект </w:t>
      </w:r>
      <w:r w:rsidRPr="004F0B32">
        <w:rPr>
          <w:rFonts w:ascii="Verdana" w:eastAsia="Times New Roman" w:hAnsi="Verdana" w:cs="Times New Roman"/>
          <w:sz w:val="20"/>
          <w:szCs w:val="20"/>
          <w:lang w:val="bg-BG" w:eastAsia="bg-BG"/>
        </w:rPr>
        <w:t xml:space="preserve">на </w:t>
      </w:r>
      <w:r w:rsidR="00174111" w:rsidRPr="004F0B32">
        <w:rPr>
          <w:rFonts w:ascii="Verdana" w:eastAsia="Times New Roman" w:hAnsi="Verdana" w:cs="Times New Roman"/>
          <w:sz w:val="20"/>
          <w:szCs w:val="20"/>
          <w:lang w:val="bg-BG" w:eastAsia="bg-BG"/>
        </w:rPr>
        <w:t>Постановлени</w:t>
      </w:r>
      <w:r w:rsidR="00151C64">
        <w:rPr>
          <w:rFonts w:ascii="Verdana" w:eastAsia="Times New Roman" w:hAnsi="Verdana" w:cs="Times New Roman"/>
          <w:sz w:val="20"/>
          <w:szCs w:val="20"/>
          <w:lang w:val="bg-BG" w:eastAsia="bg-BG"/>
        </w:rPr>
        <w:t>е</w:t>
      </w:r>
      <w:r w:rsidR="00174111" w:rsidRPr="004F0B32">
        <w:rPr>
          <w:rFonts w:ascii="Verdana" w:eastAsia="Times New Roman" w:hAnsi="Verdana" w:cs="Times New Roman"/>
          <w:sz w:val="20"/>
          <w:szCs w:val="20"/>
          <w:lang w:val="bg-BG" w:eastAsia="bg-BG"/>
        </w:rPr>
        <w:t xml:space="preserve"> </w:t>
      </w:r>
      <w:r w:rsidRPr="004F0B32">
        <w:rPr>
          <w:rFonts w:ascii="Verdana" w:eastAsia="Times New Roman" w:hAnsi="Verdana" w:cs="Times New Roman"/>
          <w:sz w:val="20"/>
          <w:szCs w:val="20"/>
          <w:lang w:val="bg-BG" w:eastAsia="bg-BG"/>
        </w:rPr>
        <w:t>не се транспонират актове на институции на Европейския съюз, поради което не е и</w:t>
      </w:r>
      <w:r w:rsidR="009A6EFB">
        <w:rPr>
          <w:rFonts w:ascii="Verdana" w:eastAsia="Times New Roman" w:hAnsi="Verdana" w:cs="Times New Roman"/>
          <w:sz w:val="20"/>
          <w:szCs w:val="20"/>
          <w:lang w:val="bg-BG" w:eastAsia="bg-BG"/>
        </w:rPr>
        <w:t>зготвена и представена таблица н</w:t>
      </w:r>
      <w:r w:rsidRPr="004F0B32">
        <w:rPr>
          <w:rFonts w:ascii="Verdana" w:eastAsia="Times New Roman" w:hAnsi="Verdana" w:cs="Times New Roman"/>
          <w:sz w:val="20"/>
          <w:szCs w:val="20"/>
          <w:lang w:val="bg-BG" w:eastAsia="bg-BG"/>
        </w:rPr>
        <w:t xml:space="preserve">а съответствието с правото на Европейския съюз. </w:t>
      </w:r>
    </w:p>
    <w:p w:rsidR="003A0069" w:rsidRDefault="003A0069" w:rsidP="00D4100E">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rPr>
      </w:pPr>
    </w:p>
    <w:p w:rsidR="003A0069" w:rsidRPr="003A0069" w:rsidRDefault="003A0069" w:rsidP="00D4100E">
      <w:pPr>
        <w:widowControl w:val="0"/>
        <w:autoSpaceDE w:val="0"/>
        <w:autoSpaceDN w:val="0"/>
        <w:adjustRightInd w:val="0"/>
        <w:spacing w:after="0" w:line="360" w:lineRule="auto"/>
        <w:ind w:firstLine="709"/>
        <w:jc w:val="both"/>
        <w:rPr>
          <w:rFonts w:ascii="Verdana" w:eastAsia="Times New Roman" w:hAnsi="Verdana" w:cs="Times New Roman"/>
          <w:b/>
          <w:sz w:val="20"/>
          <w:szCs w:val="20"/>
          <w:lang w:val="bg-BG" w:eastAsia="bg-BG"/>
        </w:rPr>
      </w:pPr>
      <w:r w:rsidRPr="003A0069">
        <w:rPr>
          <w:rFonts w:ascii="Verdana" w:eastAsia="Times New Roman" w:hAnsi="Verdana" w:cs="Times New Roman"/>
          <w:b/>
          <w:sz w:val="20"/>
          <w:szCs w:val="20"/>
          <w:lang w:val="bg-BG" w:eastAsia="bg-BG"/>
        </w:rPr>
        <w:t>Информация за проведените обществени консултации</w:t>
      </w:r>
    </w:p>
    <w:p w:rsidR="00713B56" w:rsidRPr="004F0B32" w:rsidRDefault="00713B56" w:rsidP="00D4100E">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rPr>
      </w:pPr>
      <w:r w:rsidRPr="004F0B32">
        <w:rPr>
          <w:rFonts w:ascii="Verdana" w:eastAsia="Times New Roman" w:hAnsi="Verdana" w:cs="Times New Roman"/>
          <w:sz w:val="20"/>
          <w:szCs w:val="20"/>
          <w:lang w:val="bg-BG" w:eastAsia="bg-BG"/>
        </w:rPr>
        <w:t>Съгласно чл. 26, ал. 3 и 4 от Закон</w:t>
      </w:r>
      <w:r w:rsidR="007F7631">
        <w:rPr>
          <w:rFonts w:ascii="Verdana" w:eastAsia="Times New Roman" w:hAnsi="Verdana" w:cs="Times New Roman"/>
          <w:sz w:val="20"/>
          <w:szCs w:val="20"/>
          <w:lang w:val="bg-BG" w:eastAsia="bg-BG"/>
        </w:rPr>
        <w:t>а за нормативните актове проект</w:t>
      </w:r>
      <w:r w:rsidR="001E4519">
        <w:rPr>
          <w:rFonts w:ascii="Verdana" w:eastAsia="Times New Roman" w:hAnsi="Verdana" w:cs="Times New Roman"/>
          <w:sz w:val="20"/>
          <w:szCs w:val="20"/>
          <w:lang w:val="bg-BG" w:eastAsia="bg-BG"/>
        </w:rPr>
        <w:t>и</w:t>
      </w:r>
      <w:r w:rsidR="00151C64">
        <w:rPr>
          <w:rFonts w:ascii="Verdana" w:eastAsia="Times New Roman" w:hAnsi="Verdana" w:cs="Times New Roman"/>
          <w:sz w:val="20"/>
          <w:szCs w:val="20"/>
          <w:lang w:val="bg-BG" w:eastAsia="bg-BG"/>
        </w:rPr>
        <w:t>т</w:t>
      </w:r>
      <w:r w:rsidR="001E4519">
        <w:rPr>
          <w:rFonts w:ascii="Verdana" w:eastAsia="Times New Roman" w:hAnsi="Verdana" w:cs="Times New Roman"/>
          <w:sz w:val="20"/>
          <w:szCs w:val="20"/>
          <w:lang w:val="bg-BG" w:eastAsia="bg-BG"/>
        </w:rPr>
        <w:t>е</w:t>
      </w:r>
      <w:r w:rsidR="007F7631">
        <w:rPr>
          <w:rFonts w:ascii="Verdana" w:eastAsia="Times New Roman" w:hAnsi="Verdana" w:cs="Times New Roman"/>
          <w:sz w:val="20"/>
          <w:szCs w:val="20"/>
          <w:lang w:val="bg-BG" w:eastAsia="bg-BG"/>
        </w:rPr>
        <w:t xml:space="preserve"> на постановление и доклад</w:t>
      </w:r>
      <w:r w:rsidRPr="004F0B32">
        <w:rPr>
          <w:rFonts w:ascii="Verdana" w:eastAsia="Times New Roman" w:hAnsi="Verdana" w:cs="Times New Roman"/>
          <w:sz w:val="20"/>
          <w:szCs w:val="20"/>
          <w:lang w:val="bg-BG" w:eastAsia="bg-BG"/>
        </w:rPr>
        <w:t xml:space="preserve"> (</w:t>
      </w:r>
      <w:r w:rsidR="007F7631">
        <w:rPr>
          <w:rFonts w:ascii="Verdana" w:eastAsia="Times New Roman" w:hAnsi="Verdana" w:cs="Times New Roman"/>
          <w:sz w:val="20"/>
          <w:szCs w:val="20"/>
          <w:lang w:val="bg-BG" w:eastAsia="bg-BG"/>
        </w:rPr>
        <w:t>мотиви)</w:t>
      </w:r>
      <w:r w:rsidRPr="004F0B32">
        <w:rPr>
          <w:rFonts w:ascii="Verdana" w:eastAsia="Times New Roman" w:hAnsi="Verdana" w:cs="Times New Roman"/>
          <w:sz w:val="20"/>
          <w:szCs w:val="20"/>
          <w:lang w:val="bg-BG" w:eastAsia="bg-BG"/>
        </w:rPr>
        <w:t>,</w:t>
      </w:r>
      <w:r w:rsidR="007F7631">
        <w:rPr>
          <w:rFonts w:ascii="Verdana" w:eastAsia="Times New Roman" w:hAnsi="Verdana" w:cs="Times New Roman"/>
          <w:sz w:val="20"/>
          <w:szCs w:val="20"/>
          <w:lang w:val="bg-BG" w:eastAsia="bg-BG"/>
        </w:rPr>
        <w:t xml:space="preserve"> както и</w:t>
      </w:r>
      <w:r w:rsidRPr="004F0B32">
        <w:rPr>
          <w:rFonts w:ascii="Verdana" w:eastAsia="Times New Roman" w:hAnsi="Verdana" w:cs="Times New Roman"/>
          <w:sz w:val="20"/>
          <w:szCs w:val="20"/>
          <w:lang w:val="bg-BG" w:eastAsia="bg-BG"/>
        </w:rPr>
        <w:t xml:space="preserve"> </w:t>
      </w:r>
      <w:r w:rsidR="00AE15B1" w:rsidRPr="006D1E59">
        <w:rPr>
          <w:rFonts w:ascii="Verdana" w:eastAsia="Times New Roman" w:hAnsi="Verdana" w:cs="Times New Roman"/>
          <w:sz w:val="20"/>
          <w:szCs w:val="20"/>
          <w:lang w:val="bg-BG" w:eastAsia="bg-BG"/>
        </w:rPr>
        <w:t xml:space="preserve">частичната </w:t>
      </w:r>
      <w:r w:rsidRPr="006D1E59">
        <w:rPr>
          <w:rFonts w:ascii="Verdana" w:eastAsia="Times New Roman" w:hAnsi="Verdana" w:cs="Times New Roman"/>
          <w:sz w:val="20"/>
          <w:szCs w:val="20"/>
          <w:lang w:val="bg-BG" w:eastAsia="bg-BG"/>
        </w:rPr>
        <w:t xml:space="preserve">предварителна оценка на </w:t>
      </w:r>
      <w:r w:rsidRPr="006D1E59">
        <w:rPr>
          <w:rFonts w:ascii="Verdana" w:eastAsia="Times New Roman" w:hAnsi="Verdana" w:cs="Times New Roman"/>
          <w:sz w:val="20"/>
          <w:szCs w:val="20"/>
          <w:lang w:val="bg-BG" w:eastAsia="bg-BG"/>
        </w:rPr>
        <w:lastRenderedPageBreak/>
        <w:t>въздействието и становището</w:t>
      </w:r>
      <w:r w:rsidRPr="004F0B32">
        <w:rPr>
          <w:rFonts w:ascii="Verdana" w:eastAsia="Times New Roman" w:hAnsi="Verdana" w:cs="Times New Roman"/>
          <w:sz w:val="20"/>
          <w:szCs w:val="20"/>
          <w:lang w:val="bg-BG" w:eastAsia="bg-BG"/>
        </w:rPr>
        <w:t xml:space="preserve"> на дирекция „Модернизация на администрацията“ </w:t>
      </w:r>
      <w:r w:rsidR="007F7631">
        <w:rPr>
          <w:rFonts w:ascii="Verdana" w:eastAsia="Times New Roman" w:hAnsi="Verdana" w:cs="Times New Roman"/>
          <w:sz w:val="20"/>
          <w:szCs w:val="20"/>
          <w:lang w:val="bg-BG" w:eastAsia="bg-BG"/>
        </w:rPr>
        <w:t>в</w:t>
      </w:r>
      <w:r w:rsidRPr="004F0B32">
        <w:rPr>
          <w:rFonts w:ascii="Verdana" w:eastAsia="Times New Roman" w:hAnsi="Verdana" w:cs="Times New Roman"/>
          <w:sz w:val="20"/>
          <w:szCs w:val="20"/>
          <w:lang w:val="bg-BG" w:eastAsia="bg-BG"/>
        </w:rPr>
        <w:t xml:space="preserve"> Министерския съвет</w:t>
      </w:r>
      <w:r w:rsidR="007F7631">
        <w:rPr>
          <w:rFonts w:ascii="Verdana" w:eastAsia="Times New Roman" w:hAnsi="Verdana" w:cs="Times New Roman"/>
          <w:sz w:val="20"/>
          <w:szCs w:val="20"/>
          <w:lang w:val="bg-BG" w:eastAsia="bg-BG"/>
        </w:rPr>
        <w:t xml:space="preserve"> по частичната предварителна оценка на въздействието</w:t>
      </w:r>
      <w:r w:rsidRPr="004F0B32">
        <w:rPr>
          <w:rFonts w:ascii="Verdana" w:eastAsia="Times New Roman" w:hAnsi="Verdana" w:cs="Times New Roman"/>
          <w:sz w:val="20"/>
          <w:szCs w:val="20"/>
          <w:lang w:val="bg-BG" w:eastAsia="bg-BG"/>
        </w:rPr>
        <w:t xml:space="preserve"> са публикувани на интернет страницата на</w:t>
      </w:r>
      <w:r w:rsidR="00BF389A">
        <w:rPr>
          <w:rFonts w:ascii="Verdana" w:eastAsia="Times New Roman" w:hAnsi="Verdana" w:cs="Times New Roman"/>
          <w:sz w:val="20"/>
          <w:szCs w:val="20"/>
          <w:lang w:val="bg-BG" w:eastAsia="bg-BG"/>
        </w:rPr>
        <w:t xml:space="preserve"> Министерството на земеделието </w:t>
      </w:r>
      <w:r w:rsidRPr="004F0B32">
        <w:rPr>
          <w:rFonts w:ascii="Verdana" w:eastAsia="Times New Roman" w:hAnsi="Verdana" w:cs="Times New Roman"/>
          <w:sz w:val="20"/>
          <w:szCs w:val="20"/>
          <w:lang w:val="bg-BG" w:eastAsia="bg-BG"/>
        </w:rPr>
        <w:t xml:space="preserve">и на Портала за обществени консултации със срок за предложения и становища 30 дни. </w:t>
      </w:r>
    </w:p>
    <w:p w:rsidR="00D4100E" w:rsidRPr="004F0B32" w:rsidRDefault="00713B56" w:rsidP="00941B96">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rPr>
      </w:pPr>
      <w:r w:rsidRPr="004F0B32">
        <w:rPr>
          <w:rFonts w:ascii="Verdana" w:eastAsia="Times New Roman" w:hAnsi="Verdana" w:cs="Times New Roman"/>
          <w:sz w:val="20"/>
          <w:szCs w:val="20"/>
          <w:lang w:val="bg-BG" w:eastAsia="bg-BG"/>
        </w:rPr>
        <w:t>В съответствие с чл. 26, ал. 5 от Закона за нормативните актове справката за</w:t>
      </w:r>
      <w:r w:rsidR="007F7631">
        <w:rPr>
          <w:rFonts w:ascii="Verdana" w:eastAsia="Times New Roman" w:hAnsi="Verdana" w:cs="Times New Roman"/>
          <w:sz w:val="20"/>
          <w:szCs w:val="20"/>
          <w:lang w:val="bg-BG" w:eastAsia="bg-BG"/>
        </w:rPr>
        <w:t xml:space="preserve"> отразяване на постъпилите </w:t>
      </w:r>
      <w:r w:rsidRPr="004F0B32">
        <w:rPr>
          <w:rFonts w:ascii="Verdana" w:eastAsia="Times New Roman" w:hAnsi="Verdana" w:cs="Times New Roman"/>
          <w:sz w:val="20"/>
          <w:szCs w:val="20"/>
          <w:lang w:val="bg-BG" w:eastAsia="bg-BG"/>
        </w:rPr>
        <w:t>предложения</w:t>
      </w:r>
      <w:r w:rsidR="007F7631">
        <w:rPr>
          <w:rFonts w:ascii="Verdana" w:eastAsia="Times New Roman" w:hAnsi="Verdana" w:cs="Times New Roman"/>
          <w:sz w:val="20"/>
          <w:szCs w:val="20"/>
          <w:lang w:val="bg-BG" w:eastAsia="bg-BG"/>
        </w:rPr>
        <w:t xml:space="preserve"> и становища от проведената обществена консултация,</w:t>
      </w:r>
      <w:r w:rsidRPr="004F0B32">
        <w:rPr>
          <w:rFonts w:ascii="Verdana" w:eastAsia="Times New Roman" w:hAnsi="Verdana" w:cs="Times New Roman"/>
          <w:sz w:val="20"/>
          <w:szCs w:val="20"/>
          <w:lang w:val="bg-BG" w:eastAsia="bg-BG"/>
        </w:rPr>
        <w:t xml:space="preserve"> заедно с обосновка за неприетите предложения е публикувана на интернет страницата на Министерството на земеделието</w:t>
      </w:r>
      <w:r w:rsidR="00BF389A">
        <w:rPr>
          <w:rFonts w:ascii="Verdana" w:eastAsia="Times New Roman" w:hAnsi="Verdana" w:cs="Times New Roman"/>
          <w:sz w:val="20"/>
          <w:szCs w:val="20"/>
          <w:lang w:val="bg-BG" w:eastAsia="bg-BG"/>
        </w:rPr>
        <w:t xml:space="preserve"> </w:t>
      </w:r>
      <w:r w:rsidRPr="004F0B32">
        <w:rPr>
          <w:rFonts w:ascii="Verdana" w:eastAsia="Times New Roman" w:hAnsi="Verdana" w:cs="Times New Roman"/>
          <w:sz w:val="20"/>
          <w:szCs w:val="20"/>
          <w:lang w:val="bg-BG" w:eastAsia="bg-BG"/>
        </w:rPr>
        <w:t>и на Пор</w:t>
      </w:r>
      <w:r w:rsidR="00D265F4">
        <w:rPr>
          <w:rFonts w:ascii="Verdana" w:eastAsia="Times New Roman" w:hAnsi="Verdana" w:cs="Times New Roman"/>
          <w:sz w:val="20"/>
          <w:szCs w:val="20"/>
          <w:lang w:val="bg-BG" w:eastAsia="bg-BG"/>
        </w:rPr>
        <w:t>тала за обществени консултации.</w:t>
      </w:r>
    </w:p>
    <w:p w:rsidR="008F7D0A" w:rsidRDefault="00713B56" w:rsidP="00D4100E">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rPr>
      </w:pPr>
      <w:r w:rsidRPr="004F0B32">
        <w:rPr>
          <w:rFonts w:ascii="Verdana" w:eastAsia="Times New Roman" w:hAnsi="Verdana" w:cs="Times New Roman"/>
          <w:sz w:val="20"/>
          <w:szCs w:val="20"/>
          <w:lang w:val="bg-BG" w:eastAsia="bg-BG"/>
        </w:rPr>
        <w:t xml:space="preserve">Документите по </w:t>
      </w:r>
      <w:r w:rsidR="00163602" w:rsidRPr="004F0B32">
        <w:rPr>
          <w:rFonts w:ascii="Verdana" w:eastAsia="Times New Roman" w:hAnsi="Verdana" w:cs="Times New Roman"/>
          <w:sz w:val="20"/>
          <w:szCs w:val="20"/>
          <w:lang w:val="bg-BG" w:eastAsia="bg-BG"/>
        </w:rPr>
        <w:t>проект</w:t>
      </w:r>
      <w:r w:rsidR="00151C64">
        <w:rPr>
          <w:rFonts w:ascii="Verdana" w:eastAsia="Times New Roman" w:hAnsi="Verdana" w:cs="Times New Roman"/>
          <w:sz w:val="20"/>
          <w:szCs w:val="20"/>
          <w:lang w:val="bg-BG" w:eastAsia="bg-BG"/>
        </w:rPr>
        <w:t>а</w:t>
      </w:r>
      <w:r w:rsidR="00163602" w:rsidRPr="004F0B32">
        <w:rPr>
          <w:rFonts w:ascii="Verdana" w:eastAsia="Times New Roman" w:hAnsi="Verdana" w:cs="Times New Roman"/>
          <w:sz w:val="20"/>
          <w:szCs w:val="20"/>
          <w:lang w:val="bg-BG" w:eastAsia="bg-BG"/>
        </w:rPr>
        <w:t xml:space="preserve"> </w:t>
      </w:r>
      <w:r w:rsidRPr="004F0B32">
        <w:rPr>
          <w:rFonts w:ascii="Verdana" w:eastAsia="Times New Roman" w:hAnsi="Verdana" w:cs="Times New Roman"/>
          <w:sz w:val="20"/>
          <w:szCs w:val="20"/>
          <w:lang w:val="bg-BG" w:eastAsia="bg-BG"/>
        </w:rPr>
        <w:t>на постановлени</w:t>
      </w:r>
      <w:r w:rsidR="00151C64">
        <w:rPr>
          <w:rFonts w:ascii="Verdana" w:eastAsia="Times New Roman" w:hAnsi="Verdana" w:cs="Times New Roman"/>
          <w:sz w:val="20"/>
          <w:szCs w:val="20"/>
          <w:lang w:val="bg-BG" w:eastAsia="bg-BG"/>
        </w:rPr>
        <w:t>е</w:t>
      </w:r>
      <w:r w:rsidRPr="004F0B32">
        <w:rPr>
          <w:rFonts w:ascii="Verdana" w:eastAsia="Times New Roman" w:hAnsi="Verdana" w:cs="Times New Roman"/>
          <w:sz w:val="20"/>
          <w:szCs w:val="20"/>
          <w:lang w:val="bg-BG" w:eastAsia="bg-BG"/>
        </w:rPr>
        <w:t xml:space="preserve"> на Министерския съвет са съгласувани по реда на чл. 32 от Устройствения правилник на Министерския съвет и на неговата администрация. Направените целесъобразни бел</w:t>
      </w:r>
      <w:r w:rsidR="00D265F4">
        <w:rPr>
          <w:rFonts w:ascii="Verdana" w:eastAsia="Times New Roman" w:hAnsi="Verdana" w:cs="Times New Roman"/>
          <w:sz w:val="20"/>
          <w:szCs w:val="20"/>
          <w:lang w:val="bg-BG" w:eastAsia="bg-BG"/>
        </w:rPr>
        <w:t>ежки и предложения са отразени.</w:t>
      </w:r>
    </w:p>
    <w:p w:rsidR="0090469E" w:rsidRPr="00B339A2" w:rsidRDefault="0090469E" w:rsidP="00941B96">
      <w:pPr>
        <w:widowControl w:val="0"/>
        <w:autoSpaceDE w:val="0"/>
        <w:autoSpaceDN w:val="0"/>
        <w:adjustRightInd w:val="0"/>
        <w:spacing w:after="0" w:line="360" w:lineRule="auto"/>
        <w:jc w:val="both"/>
        <w:rPr>
          <w:rFonts w:ascii="Verdana" w:eastAsia="Times New Roman" w:hAnsi="Verdana" w:cs="Times New Roman"/>
          <w:sz w:val="20"/>
          <w:szCs w:val="20"/>
          <w:lang w:val="bg-BG" w:eastAsia="bg-BG"/>
        </w:rPr>
      </w:pPr>
    </w:p>
    <w:p w:rsidR="00713B56" w:rsidRPr="004F0B32" w:rsidRDefault="00713B56" w:rsidP="00D4100E">
      <w:pPr>
        <w:widowControl w:val="0"/>
        <w:autoSpaceDE w:val="0"/>
        <w:autoSpaceDN w:val="0"/>
        <w:adjustRightInd w:val="0"/>
        <w:spacing w:after="0" w:line="360" w:lineRule="auto"/>
        <w:jc w:val="both"/>
        <w:rPr>
          <w:rFonts w:ascii="Verdana" w:eastAsia="Times New Roman" w:hAnsi="Verdana" w:cs="Times New Roman"/>
          <w:b/>
          <w:sz w:val="20"/>
          <w:szCs w:val="20"/>
          <w:lang w:val="bg-BG" w:eastAsia="bg-BG"/>
        </w:rPr>
      </w:pPr>
      <w:r w:rsidRPr="004F0B32">
        <w:rPr>
          <w:rFonts w:ascii="Verdana" w:eastAsia="Times New Roman" w:hAnsi="Verdana" w:cs="Times New Roman"/>
          <w:b/>
          <w:sz w:val="20"/>
          <w:szCs w:val="20"/>
          <w:lang w:val="bg-BG" w:eastAsia="bg-BG"/>
        </w:rPr>
        <w:t>УВАЖАЕМИ ГОСПОДИН МИНИСТЪР-ПРЕДСЕДАТЕЛ,</w:t>
      </w:r>
    </w:p>
    <w:p w:rsidR="0090469E" w:rsidRDefault="00713B56" w:rsidP="00941B96">
      <w:pPr>
        <w:widowControl w:val="0"/>
        <w:autoSpaceDE w:val="0"/>
        <w:autoSpaceDN w:val="0"/>
        <w:adjustRightInd w:val="0"/>
        <w:spacing w:after="120" w:line="360" w:lineRule="auto"/>
        <w:jc w:val="both"/>
        <w:rPr>
          <w:rFonts w:ascii="Verdana" w:eastAsia="Times New Roman" w:hAnsi="Verdana" w:cs="Times New Roman"/>
          <w:sz w:val="20"/>
          <w:szCs w:val="20"/>
          <w:lang w:val="bg-BG" w:eastAsia="bg-BG"/>
        </w:rPr>
      </w:pPr>
      <w:r w:rsidRPr="004F0B32">
        <w:rPr>
          <w:rFonts w:ascii="Verdana" w:eastAsia="Times New Roman" w:hAnsi="Verdana" w:cs="Times New Roman"/>
          <w:b/>
          <w:sz w:val="20"/>
          <w:szCs w:val="20"/>
          <w:lang w:val="bg-BG" w:eastAsia="bg-BG"/>
        </w:rPr>
        <w:t>УВАЖАЕМИ ГОСПОЖИ И ГОСПОДА МИНИСТРИ,</w:t>
      </w:r>
    </w:p>
    <w:p w:rsidR="008F3A62" w:rsidRDefault="00713B56" w:rsidP="00941B96">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rPr>
      </w:pPr>
      <w:r w:rsidRPr="004F0B32">
        <w:rPr>
          <w:rFonts w:ascii="Verdana" w:eastAsia="Times New Roman" w:hAnsi="Verdana" w:cs="Times New Roman"/>
          <w:sz w:val="20"/>
          <w:szCs w:val="20"/>
          <w:lang w:val="bg-BG" w:eastAsia="bg-BG"/>
        </w:rPr>
        <w:t xml:space="preserve">Във връзка с гореизложеното, и на основание чл. 8, ал. 2 от Устройствения правилник на Министерския съвет и на неговата администрация, предлагам Министерския съвет да приеме </w:t>
      </w:r>
      <w:r w:rsidR="001E4519">
        <w:rPr>
          <w:rFonts w:ascii="Verdana" w:eastAsia="Times New Roman" w:hAnsi="Verdana" w:cs="Times New Roman"/>
          <w:sz w:val="20"/>
          <w:szCs w:val="20"/>
          <w:lang w:val="bg-BG" w:eastAsia="bg-BG"/>
        </w:rPr>
        <w:t>п</w:t>
      </w:r>
      <w:r w:rsidR="00174111" w:rsidRPr="00174111">
        <w:rPr>
          <w:rFonts w:ascii="Verdana" w:eastAsia="Times New Roman" w:hAnsi="Verdana" w:cs="Times New Roman"/>
          <w:sz w:val="20"/>
          <w:szCs w:val="20"/>
          <w:lang w:val="bg-BG" w:eastAsia="bg-BG"/>
        </w:rPr>
        <w:t>роект</w:t>
      </w:r>
      <w:r w:rsidR="001E4519">
        <w:rPr>
          <w:rFonts w:ascii="Verdana" w:eastAsia="Times New Roman" w:hAnsi="Verdana" w:cs="Times New Roman"/>
          <w:sz w:val="20"/>
          <w:szCs w:val="20"/>
          <w:lang w:val="bg-BG" w:eastAsia="bg-BG"/>
        </w:rPr>
        <w:t>а</w:t>
      </w:r>
      <w:r w:rsidR="00174111" w:rsidRPr="00174111">
        <w:rPr>
          <w:rFonts w:ascii="Verdana" w:eastAsia="Times New Roman" w:hAnsi="Verdana" w:cs="Times New Roman"/>
          <w:sz w:val="20"/>
          <w:szCs w:val="20"/>
          <w:lang w:val="bg-BG" w:eastAsia="bg-BG"/>
        </w:rPr>
        <w:t xml:space="preserve"> на Постановление на Министерския съвет за изменение и допълнение на Устройствения правилник на Държавен фонд „Земеделие“, приет с Постановление № 151 на Министерския съвет от 2012 г. (</w:t>
      </w:r>
      <w:proofErr w:type="spellStart"/>
      <w:r w:rsidR="00174111" w:rsidRPr="00174111">
        <w:rPr>
          <w:rFonts w:ascii="Verdana" w:eastAsia="Times New Roman" w:hAnsi="Verdana" w:cs="Times New Roman"/>
          <w:sz w:val="20"/>
          <w:szCs w:val="20"/>
          <w:lang w:val="bg-BG" w:eastAsia="bg-BG"/>
        </w:rPr>
        <w:t>обн</w:t>
      </w:r>
      <w:proofErr w:type="spellEnd"/>
      <w:r w:rsidR="00174111" w:rsidRPr="00174111">
        <w:rPr>
          <w:rFonts w:ascii="Verdana" w:eastAsia="Times New Roman" w:hAnsi="Verdana" w:cs="Times New Roman"/>
          <w:sz w:val="20"/>
          <w:szCs w:val="20"/>
          <w:lang w:val="bg-BG" w:eastAsia="bg-BG"/>
        </w:rPr>
        <w:t>., ДВ, бр. 55 от 2012 г.).</w:t>
      </w:r>
    </w:p>
    <w:p w:rsidR="008F3A62" w:rsidRDefault="008F3A62" w:rsidP="00D4100E">
      <w:pPr>
        <w:widowControl w:val="0"/>
        <w:autoSpaceDE w:val="0"/>
        <w:autoSpaceDN w:val="0"/>
        <w:adjustRightInd w:val="0"/>
        <w:spacing w:after="0" w:line="360" w:lineRule="auto"/>
        <w:ind w:firstLine="709"/>
        <w:jc w:val="both"/>
        <w:rPr>
          <w:rFonts w:ascii="Verdana" w:eastAsia="Times New Roman" w:hAnsi="Verdana" w:cs="Times New Roman"/>
          <w:sz w:val="20"/>
          <w:szCs w:val="20"/>
          <w:lang w:val="bg-BG" w:eastAsia="bg-BG"/>
        </w:rPr>
      </w:pPr>
    </w:p>
    <w:tbl>
      <w:tblPr>
        <w:tblW w:w="8512" w:type="dxa"/>
        <w:tblInd w:w="668" w:type="dxa"/>
        <w:tblLook w:val="01E0" w:firstRow="1" w:lastRow="1" w:firstColumn="1" w:lastColumn="1" w:noHBand="0" w:noVBand="0"/>
      </w:tblPr>
      <w:tblGrid>
        <w:gridCol w:w="1781"/>
        <w:gridCol w:w="6731"/>
      </w:tblGrid>
      <w:tr w:rsidR="009C439C" w:rsidRPr="00D265F4" w:rsidTr="008B5F03">
        <w:tc>
          <w:tcPr>
            <w:tcW w:w="1781" w:type="dxa"/>
          </w:tcPr>
          <w:p w:rsidR="009C439C" w:rsidRPr="00D265F4" w:rsidRDefault="009C439C" w:rsidP="008B5F03">
            <w:pPr>
              <w:spacing w:line="348" w:lineRule="auto"/>
              <w:jc w:val="both"/>
              <w:rPr>
                <w:rFonts w:ascii="Verdana" w:hAnsi="Verdana"/>
                <w:b/>
                <w:bCs/>
                <w:sz w:val="20"/>
                <w:szCs w:val="20"/>
                <w:lang w:val="bg-BG"/>
              </w:rPr>
            </w:pPr>
            <w:r w:rsidRPr="00D265F4">
              <w:rPr>
                <w:rFonts w:ascii="Verdana" w:hAnsi="Verdana"/>
                <w:b/>
                <w:bCs/>
                <w:sz w:val="20"/>
                <w:szCs w:val="20"/>
                <w:lang w:val="bg-BG"/>
              </w:rPr>
              <w:t xml:space="preserve">Приложение: </w:t>
            </w:r>
          </w:p>
        </w:tc>
        <w:tc>
          <w:tcPr>
            <w:tcW w:w="6731" w:type="dxa"/>
          </w:tcPr>
          <w:p w:rsidR="009C439C" w:rsidRPr="00D265F4" w:rsidRDefault="009C439C" w:rsidP="009C439C">
            <w:pPr>
              <w:pStyle w:val="ListParagraph"/>
              <w:numPr>
                <w:ilvl w:val="0"/>
                <w:numId w:val="3"/>
              </w:numPr>
              <w:spacing w:after="0" w:line="348" w:lineRule="auto"/>
              <w:contextualSpacing w:val="0"/>
              <w:jc w:val="both"/>
              <w:rPr>
                <w:rFonts w:ascii="Verdana" w:hAnsi="Verdana"/>
                <w:spacing w:val="2"/>
                <w:sz w:val="20"/>
                <w:szCs w:val="20"/>
                <w:lang w:val="bg-BG"/>
              </w:rPr>
            </w:pPr>
            <w:r w:rsidRPr="00D265F4">
              <w:rPr>
                <w:rFonts w:ascii="Verdana" w:hAnsi="Verdana"/>
                <w:spacing w:val="2"/>
                <w:sz w:val="20"/>
                <w:szCs w:val="20"/>
                <w:lang w:val="bg-BG"/>
              </w:rPr>
              <w:t>Проект на Постановление на Министерския съвет за изменение и допълнение на Устройствения правилник на Държавен фонд „Земеделие“, приет с Постановление № 151 на Министерския съвет от 2012 г. (</w:t>
            </w:r>
            <w:proofErr w:type="spellStart"/>
            <w:r w:rsidRPr="00D265F4">
              <w:rPr>
                <w:rFonts w:ascii="Verdana" w:hAnsi="Verdana"/>
                <w:spacing w:val="2"/>
                <w:sz w:val="20"/>
                <w:szCs w:val="20"/>
                <w:lang w:val="bg-BG"/>
              </w:rPr>
              <w:t>обн</w:t>
            </w:r>
            <w:proofErr w:type="spellEnd"/>
            <w:r w:rsidRPr="00D265F4">
              <w:rPr>
                <w:rFonts w:ascii="Verdana" w:hAnsi="Verdana"/>
                <w:spacing w:val="2"/>
                <w:sz w:val="20"/>
                <w:szCs w:val="20"/>
                <w:lang w:val="bg-BG"/>
              </w:rPr>
              <w:t xml:space="preserve">., ДВ, бр. 55 от 2012 г.); </w:t>
            </w:r>
          </w:p>
          <w:p w:rsidR="009C439C" w:rsidRPr="00D265F4" w:rsidRDefault="009C439C" w:rsidP="009C439C">
            <w:pPr>
              <w:pStyle w:val="ListParagraph"/>
              <w:numPr>
                <w:ilvl w:val="0"/>
                <w:numId w:val="3"/>
              </w:numPr>
              <w:spacing w:after="0" w:line="348" w:lineRule="auto"/>
              <w:contextualSpacing w:val="0"/>
              <w:jc w:val="both"/>
              <w:rPr>
                <w:rFonts w:ascii="Verdana" w:hAnsi="Verdana"/>
                <w:sz w:val="20"/>
                <w:szCs w:val="20"/>
                <w:lang w:val="bg-BG"/>
              </w:rPr>
            </w:pPr>
            <w:r w:rsidRPr="00D265F4">
              <w:rPr>
                <w:rFonts w:ascii="Verdana" w:hAnsi="Verdana"/>
                <w:sz w:val="20"/>
                <w:szCs w:val="20"/>
                <w:lang w:val="bg-BG"/>
              </w:rPr>
              <w:t xml:space="preserve">Частична предварителна оценка на въздействието; </w:t>
            </w:r>
          </w:p>
          <w:p w:rsidR="009C439C" w:rsidRPr="00D265F4" w:rsidRDefault="009C439C" w:rsidP="009C439C">
            <w:pPr>
              <w:pStyle w:val="ListParagraph"/>
              <w:numPr>
                <w:ilvl w:val="0"/>
                <w:numId w:val="3"/>
              </w:numPr>
              <w:spacing w:after="0" w:line="348" w:lineRule="auto"/>
              <w:contextualSpacing w:val="0"/>
              <w:jc w:val="both"/>
              <w:rPr>
                <w:rFonts w:ascii="Verdana" w:hAnsi="Verdana"/>
                <w:sz w:val="20"/>
                <w:szCs w:val="20"/>
                <w:lang w:val="bg-BG"/>
              </w:rPr>
            </w:pPr>
            <w:r w:rsidRPr="00D265F4">
              <w:rPr>
                <w:rFonts w:ascii="Verdana" w:hAnsi="Verdana"/>
                <w:sz w:val="20"/>
                <w:szCs w:val="20"/>
                <w:lang w:val="bg-BG"/>
              </w:rPr>
              <w:t>Становище на дирекция „Модернизация на администрацията” в Министерския съвет по частичната предварителна оценка на въздействието;</w:t>
            </w:r>
          </w:p>
          <w:p w:rsidR="009C439C" w:rsidRPr="00D265F4" w:rsidRDefault="009C439C" w:rsidP="009C439C">
            <w:pPr>
              <w:pStyle w:val="ListParagraph"/>
              <w:numPr>
                <w:ilvl w:val="0"/>
                <w:numId w:val="3"/>
              </w:numPr>
              <w:spacing w:after="0" w:line="348" w:lineRule="auto"/>
              <w:contextualSpacing w:val="0"/>
              <w:jc w:val="both"/>
              <w:rPr>
                <w:rFonts w:ascii="Verdana" w:hAnsi="Verdana"/>
                <w:sz w:val="20"/>
                <w:szCs w:val="20"/>
                <w:lang w:val="bg-BG"/>
              </w:rPr>
            </w:pPr>
            <w:r w:rsidRPr="00D265F4">
              <w:rPr>
                <w:rFonts w:ascii="Verdana" w:hAnsi="Verdana"/>
                <w:sz w:val="20"/>
                <w:szCs w:val="20"/>
                <w:lang w:val="bg-BG"/>
              </w:rPr>
              <w:t>Финансова обосновка;</w:t>
            </w:r>
          </w:p>
          <w:p w:rsidR="009C439C" w:rsidRPr="00D265F4" w:rsidRDefault="009C439C" w:rsidP="009C439C">
            <w:pPr>
              <w:pStyle w:val="ListParagraph"/>
              <w:numPr>
                <w:ilvl w:val="0"/>
                <w:numId w:val="3"/>
              </w:numPr>
              <w:spacing w:after="0" w:line="348" w:lineRule="auto"/>
              <w:contextualSpacing w:val="0"/>
              <w:jc w:val="both"/>
              <w:rPr>
                <w:rFonts w:ascii="Verdana" w:hAnsi="Verdana"/>
                <w:sz w:val="20"/>
                <w:szCs w:val="20"/>
                <w:lang w:val="bg-BG"/>
              </w:rPr>
            </w:pPr>
            <w:r w:rsidRPr="00D265F4">
              <w:rPr>
                <w:rFonts w:ascii="Verdana" w:hAnsi="Verdana"/>
                <w:sz w:val="20"/>
                <w:szCs w:val="20"/>
                <w:lang w:val="bg-BG"/>
              </w:rPr>
              <w:t>Справка за отразяване на становищата, постъпили по реда на чл. 32 – 34 от УПМСНА;</w:t>
            </w:r>
          </w:p>
          <w:p w:rsidR="009C439C" w:rsidRPr="00D265F4" w:rsidRDefault="009C439C" w:rsidP="009C439C">
            <w:pPr>
              <w:pStyle w:val="ListParagraph"/>
              <w:numPr>
                <w:ilvl w:val="0"/>
                <w:numId w:val="3"/>
              </w:numPr>
              <w:spacing w:after="0" w:line="348" w:lineRule="auto"/>
              <w:contextualSpacing w:val="0"/>
              <w:jc w:val="both"/>
              <w:rPr>
                <w:rFonts w:ascii="Verdana" w:hAnsi="Verdana"/>
                <w:sz w:val="20"/>
                <w:szCs w:val="20"/>
                <w:lang w:val="bg-BG"/>
              </w:rPr>
            </w:pPr>
            <w:r w:rsidRPr="00D265F4">
              <w:rPr>
                <w:rFonts w:ascii="Verdana" w:hAnsi="Verdana"/>
                <w:sz w:val="20"/>
                <w:szCs w:val="20"/>
                <w:lang w:val="bg-BG"/>
              </w:rPr>
              <w:t>Постъпили становища по реда на чл. 32 – 34 от УПМСНА;</w:t>
            </w:r>
          </w:p>
          <w:p w:rsidR="009C439C" w:rsidRPr="00D265F4" w:rsidRDefault="009C439C" w:rsidP="009C439C">
            <w:pPr>
              <w:pStyle w:val="ListParagraph"/>
              <w:numPr>
                <w:ilvl w:val="0"/>
                <w:numId w:val="3"/>
              </w:numPr>
              <w:spacing w:after="0" w:line="348" w:lineRule="auto"/>
              <w:contextualSpacing w:val="0"/>
              <w:jc w:val="both"/>
              <w:rPr>
                <w:rFonts w:ascii="Verdana" w:hAnsi="Verdana"/>
                <w:sz w:val="20"/>
                <w:szCs w:val="20"/>
                <w:lang w:val="bg-BG"/>
              </w:rPr>
            </w:pPr>
            <w:r w:rsidRPr="00D265F4">
              <w:rPr>
                <w:rFonts w:ascii="Verdana" w:hAnsi="Verdana" w:cs="Verdana"/>
                <w:sz w:val="20"/>
                <w:szCs w:val="20"/>
                <w:lang w:val="bg-BG"/>
              </w:rPr>
              <w:t>Справка за отразяване на предложенията и становищата, постъпили от проведената обществена консултация</w:t>
            </w:r>
            <w:r w:rsidRPr="00D265F4">
              <w:rPr>
                <w:rFonts w:ascii="Verdana" w:hAnsi="Verdana"/>
                <w:sz w:val="20"/>
                <w:szCs w:val="20"/>
                <w:lang w:val="bg-BG"/>
              </w:rPr>
              <w:t xml:space="preserve">; </w:t>
            </w:r>
          </w:p>
          <w:p w:rsidR="009C439C" w:rsidRPr="00D265F4" w:rsidRDefault="009C439C" w:rsidP="009C439C">
            <w:pPr>
              <w:pStyle w:val="ListParagraph"/>
              <w:numPr>
                <w:ilvl w:val="0"/>
                <w:numId w:val="3"/>
              </w:numPr>
              <w:spacing w:after="0" w:line="348" w:lineRule="auto"/>
              <w:contextualSpacing w:val="0"/>
              <w:jc w:val="both"/>
              <w:rPr>
                <w:rFonts w:ascii="Verdana" w:hAnsi="Verdana"/>
                <w:sz w:val="20"/>
                <w:szCs w:val="20"/>
                <w:lang w:val="bg-BG"/>
              </w:rPr>
            </w:pPr>
            <w:r w:rsidRPr="00D265F4">
              <w:rPr>
                <w:rFonts w:ascii="Verdana" w:hAnsi="Verdana"/>
                <w:sz w:val="20"/>
                <w:szCs w:val="20"/>
                <w:lang w:val="bg-BG"/>
              </w:rPr>
              <w:t>Постъпили становища и предложения от проведената обществена консултация;</w:t>
            </w:r>
          </w:p>
          <w:p w:rsidR="009C439C" w:rsidRPr="00D265F4" w:rsidRDefault="009C439C" w:rsidP="009C439C">
            <w:pPr>
              <w:pStyle w:val="ListParagraph"/>
              <w:numPr>
                <w:ilvl w:val="0"/>
                <w:numId w:val="3"/>
              </w:numPr>
              <w:spacing w:after="0" w:line="348" w:lineRule="auto"/>
              <w:contextualSpacing w:val="0"/>
              <w:jc w:val="both"/>
              <w:rPr>
                <w:rFonts w:ascii="Verdana" w:hAnsi="Verdana"/>
                <w:sz w:val="20"/>
                <w:szCs w:val="20"/>
                <w:lang w:val="bg-BG"/>
              </w:rPr>
            </w:pPr>
            <w:r w:rsidRPr="00D265F4">
              <w:rPr>
                <w:rFonts w:ascii="Verdana" w:hAnsi="Verdana"/>
                <w:sz w:val="20"/>
                <w:szCs w:val="20"/>
                <w:lang w:val="bg-BG"/>
              </w:rPr>
              <w:lastRenderedPageBreak/>
              <w:t>Проект на съобщение за средствата за масово осведомяване.</w:t>
            </w:r>
          </w:p>
        </w:tc>
      </w:tr>
    </w:tbl>
    <w:p w:rsidR="00F60415" w:rsidRPr="001B58C5" w:rsidRDefault="00F60415" w:rsidP="001B58C5">
      <w:pPr>
        <w:widowControl w:val="0"/>
        <w:autoSpaceDE w:val="0"/>
        <w:autoSpaceDN w:val="0"/>
        <w:adjustRightInd w:val="0"/>
        <w:spacing w:after="0" w:line="360" w:lineRule="auto"/>
        <w:jc w:val="both"/>
        <w:rPr>
          <w:rFonts w:ascii="Verdana" w:eastAsia="Times New Roman" w:hAnsi="Verdana" w:cs="Times New Roman"/>
          <w:sz w:val="20"/>
          <w:szCs w:val="20"/>
          <w:lang w:val="bg-BG" w:eastAsia="bg-BG"/>
        </w:rPr>
      </w:pPr>
    </w:p>
    <w:p w:rsidR="00D265F4" w:rsidRDefault="00D265F4" w:rsidP="001B58C5">
      <w:pPr>
        <w:widowControl w:val="0"/>
        <w:autoSpaceDE w:val="0"/>
        <w:autoSpaceDN w:val="0"/>
        <w:adjustRightInd w:val="0"/>
        <w:spacing w:after="0" w:line="360" w:lineRule="auto"/>
        <w:jc w:val="both"/>
        <w:rPr>
          <w:rFonts w:ascii="Verdana" w:eastAsia="Times New Roman" w:hAnsi="Verdana" w:cs="Times New Roman"/>
          <w:smallCaps/>
          <w:sz w:val="20"/>
          <w:szCs w:val="20"/>
          <w:lang w:val="bg-BG" w:eastAsia="bg-BG"/>
        </w:rPr>
      </w:pPr>
    </w:p>
    <w:p w:rsidR="001B58C5" w:rsidRPr="001B58C5" w:rsidRDefault="001B58C5" w:rsidP="001B58C5">
      <w:pPr>
        <w:widowControl w:val="0"/>
        <w:autoSpaceDE w:val="0"/>
        <w:autoSpaceDN w:val="0"/>
        <w:adjustRightInd w:val="0"/>
        <w:spacing w:after="0" w:line="360" w:lineRule="auto"/>
        <w:jc w:val="both"/>
        <w:rPr>
          <w:rFonts w:ascii="Verdana" w:eastAsia="Times New Roman" w:hAnsi="Verdana" w:cs="Times New Roman"/>
          <w:smallCaps/>
          <w:sz w:val="20"/>
          <w:szCs w:val="20"/>
          <w:lang w:val="bg-BG" w:eastAsia="bg-BG"/>
        </w:rPr>
      </w:pPr>
    </w:p>
    <w:p w:rsidR="009C439C" w:rsidRDefault="00B26DA4" w:rsidP="001B58C5">
      <w:pPr>
        <w:widowControl w:val="0"/>
        <w:autoSpaceDE w:val="0"/>
        <w:autoSpaceDN w:val="0"/>
        <w:adjustRightInd w:val="0"/>
        <w:spacing w:after="0" w:line="360" w:lineRule="auto"/>
        <w:jc w:val="both"/>
        <w:rPr>
          <w:rFonts w:ascii="Verdana" w:eastAsia="Times New Roman" w:hAnsi="Verdana" w:cs="Times New Roman"/>
          <w:iCs/>
          <w:smallCaps/>
          <w:sz w:val="20"/>
          <w:szCs w:val="20"/>
          <w:lang w:val="bg-BG" w:eastAsia="bg-BG"/>
        </w:rPr>
      </w:pPr>
      <w:r w:rsidRPr="00204CD1">
        <w:rPr>
          <w:rFonts w:ascii="Verdana" w:eastAsia="Times New Roman" w:hAnsi="Verdana" w:cs="Times New Roman"/>
          <w:b/>
          <w:smallCaps/>
          <w:sz w:val="20"/>
          <w:szCs w:val="20"/>
          <w:lang w:val="bg-BG" w:eastAsia="bg-BG"/>
        </w:rPr>
        <w:t>ЯВОР ГЕЧЕВ</w:t>
      </w:r>
      <w:r w:rsidRPr="00D4100E">
        <w:rPr>
          <w:rFonts w:ascii="Verdana" w:eastAsia="Times New Roman" w:hAnsi="Verdana" w:cs="Times New Roman"/>
          <w:iCs/>
          <w:smallCaps/>
          <w:sz w:val="20"/>
          <w:szCs w:val="20"/>
          <w:lang w:val="bg-BG" w:eastAsia="bg-BG"/>
        </w:rPr>
        <w:t xml:space="preserve"> </w:t>
      </w:r>
    </w:p>
    <w:p w:rsidR="009C439C" w:rsidRPr="00D265F4" w:rsidRDefault="00713B56" w:rsidP="001B58C5">
      <w:pPr>
        <w:widowControl w:val="0"/>
        <w:autoSpaceDE w:val="0"/>
        <w:autoSpaceDN w:val="0"/>
        <w:adjustRightInd w:val="0"/>
        <w:spacing w:after="0" w:line="360" w:lineRule="auto"/>
        <w:jc w:val="both"/>
        <w:rPr>
          <w:rFonts w:ascii="Verdana" w:eastAsia="Times New Roman" w:hAnsi="Verdana" w:cs="Times New Roman"/>
          <w:i/>
          <w:sz w:val="20"/>
          <w:szCs w:val="20"/>
          <w:lang w:val="bg-BG" w:eastAsia="bg-BG"/>
        </w:rPr>
      </w:pPr>
      <w:r w:rsidRPr="003358AF">
        <w:rPr>
          <w:rFonts w:ascii="Verdana" w:eastAsia="Times New Roman" w:hAnsi="Verdana" w:cs="Times New Roman"/>
          <w:i/>
          <w:sz w:val="20"/>
          <w:szCs w:val="20"/>
          <w:lang w:val="bg-BG" w:eastAsia="bg-BG"/>
        </w:rPr>
        <w:t>Министър</w:t>
      </w:r>
    </w:p>
    <w:p w:rsidR="00FA29A7" w:rsidRDefault="00FA29A7" w:rsidP="00CE3AAA">
      <w:pPr>
        <w:tabs>
          <w:tab w:val="left" w:pos="709"/>
        </w:tabs>
        <w:rPr>
          <w:rFonts w:ascii="Verdana" w:eastAsia="Times New Roman" w:hAnsi="Verdana" w:cs="Times New Roman"/>
          <w:sz w:val="18"/>
          <w:szCs w:val="18"/>
          <w:lang w:val="bg-BG" w:eastAsia="bg-BG"/>
        </w:rPr>
      </w:pPr>
    </w:p>
    <w:p w:rsidR="00FA29A7" w:rsidRDefault="00FA29A7" w:rsidP="00CE3AAA">
      <w:pPr>
        <w:tabs>
          <w:tab w:val="left" w:pos="709"/>
        </w:tabs>
        <w:rPr>
          <w:rFonts w:ascii="Verdana" w:eastAsia="Times New Roman" w:hAnsi="Verdana" w:cs="Times New Roman"/>
          <w:sz w:val="18"/>
          <w:szCs w:val="18"/>
          <w:lang w:val="bg-BG" w:eastAsia="bg-BG"/>
        </w:rPr>
      </w:pPr>
      <w:bookmarkStart w:id="0" w:name="_GoBack"/>
      <w:bookmarkEnd w:id="0"/>
    </w:p>
    <w:sectPr w:rsidR="00FA29A7" w:rsidSect="009C439C">
      <w:footerReference w:type="default" r:id="rId10"/>
      <w:pgSz w:w="11907" w:h="16840" w:code="9"/>
      <w:pgMar w:top="1134" w:right="1134" w:bottom="567"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4C5" w:rsidRDefault="007B44C5">
      <w:pPr>
        <w:spacing w:after="0" w:line="240" w:lineRule="auto"/>
      </w:pPr>
      <w:r>
        <w:separator/>
      </w:r>
    </w:p>
  </w:endnote>
  <w:endnote w:type="continuationSeparator" w:id="0">
    <w:p w:rsidR="007B44C5" w:rsidRDefault="007B4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BED" w:rsidRPr="001537B2" w:rsidRDefault="00BD2BED" w:rsidP="0020124D">
    <w:pPr>
      <w:pStyle w:val="Footer"/>
      <w:jc w:val="right"/>
    </w:pPr>
    <w:r w:rsidRPr="00630D38">
      <w:rPr>
        <w:rFonts w:ascii="Verdana" w:hAnsi="Verdana"/>
        <w:sz w:val="16"/>
        <w:szCs w:val="16"/>
      </w:rPr>
      <w:fldChar w:fldCharType="begin"/>
    </w:r>
    <w:r w:rsidRPr="00630D38">
      <w:rPr>
        <w:rFonts w:ascii="Verdana" w:hAnsi="Verdana"/>
        <w:sz w:val="16"/>
        <w:szCs w:val="16"/>
      </w:rPr>
      <w:instrText xml:space="preserve"> PAGE   \* MERGEFORMAT </w:instrText>
    </w:r>
    <w:r w:rsidRPr="00630D38">
      <w:rPr>
        <w:rFonts w:ascii="Verdana" w:hAnsi="Verdana"/>
        <w:sz w:val="16"/>
        <w:szCs w:val="16"/>
      </w:rPr>
      <w:fldChar w:fldCharType="separate"/>
    </w:r>
    <w:r w:rsidR="008831A7">
      <w:rPr>
        <w:rFonts w:ascii="Verdana" w:hAnsi="Verdana"/>
        <w:noProof/>
        <w:sz w:val="16"/>
        <w:szCs w:val="16"/>
      </w:rPr>
      <w:t>13</w:t>
    </w:r>
    <w:r w:rsidRPr="00630D38">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4C5" w:rsidRDefault="007B44C5">
      <w:pPr>
        <w:spacing w:after="0" w:line="240" w:lineRule="auto"/>
      </w:pPr>
      <w:r>
        <w:separator/>
      </w:r>
    </w:p>
  </w:footnote>
  <w:footnote w:type="continuationSeparator" w:id="0">
    <w:p w:rsidR="007B44C5" w:rsidRDefault="007B44C5">
      <w:pPr>
        <w:spacing w:after="0" w:line="240" w:lineRule="auto"/>
      </w:pPr>
      <w:r>
        <w:continuationSeparator/>
      </w:r>
    </w:p>
  </w:footnote>
  <w:footnote w:id="1">
    <w:p w:rsidR="00532630" w:rsidRPr="00E77F07" w:rsidRDefault="00532630" w:rsidP="00532630">
      <w:pPr>
        <w:pStyle w:val="FootnoteText"/>
        <w:jc w:val="both"/>
        <w:rPr>
          <w:rFonts w:ascii="Verdana" w:hAnsi="Verdana"/>
          <w:spacing w:val="-2"/>
          <w:sz w:val="16"/>
          <w:szCs w:val="16"/>
          <w:lang w:val="bg-BG"/>
        </w:rPr>
      </w:pPr>
      <w:r w:rsidRPr="00E77F07">
        <w:rPr>
          <w:rStyle w:val="FootnoteReference"/>
          <w:rFonts w:ascii="Verdana" w:hAnsi="Verdana"/>
          <w:spacing w:val="-2"/>
          <w:sz w:val="16"/>
          <w:szCs w:val="16"/>
        </w:rPr>
        <w:footnoteRef/>
      </w:r>
      <w:r w:rsidRPr="00E77F07">
        <w:rPr>
          <w:rFonts w:ascii="Verdana" w:hAnsi="Verdana"/>
          <w:spacing w:val="-2"/>
          <w:sz w:val="16"/>
          <w:szCs w:val="16"/>
        </w:rPr>
        <w:t xml:space="preserve"> </w:t>
      </w:r>
      <w:r w:rsidRPr="00E77F07">
        <w:rPr>
          <w:rFonts w:ascii="Verdana" w:hAnsi="Verdana"/>
          <w:spacing w:val="-2"/>
          <w:sz w:val="16"/>
          <w:szCs w:val="16"/>
          <w:lang w:val="bg-BG"/>
        </w:rPr>
        <w:t xml:space="preserve">Част </w:t>
      </w:r>
      <w:r w:rsidRPr="00E77F07">
        <w:rPr>
          <w:rFonts w:ascii="Verdana" w:hAnsi="Verdana"/>
          <w:spacing w:val="-2"/>
          <w:sz w:val="16"/>
          <w:szCs w:val="16"/>
        </w:rPr>
        <w:t xml:space="preserve">I </w:t>
      </w:r>
      <w:r w:rsidRPr="00E77F07">
        <w:rPr>
          <w:rFonts w:ascii="Verdana" w:hAnsi="Verdana"/>
          <w:spacing w:val="-2"/>
          <w:sz w:val="16"/>
          <w:szCs w:val="16"/>
          <w:lang w:val="bg-BG"/>
        </w:rPr>
        <w:t>от анализа е изготвена на база методическите насоки по елементите на финансовото управление и контрол, издадени на основание чл. 10, л. 3 от ЗФУКПС и утвърдени със Заповед № ЗМФ 184/06.03.2020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57FBC"/>
    <w:multiLevelType w:val="hybridMultilevel"/>
    <w:tmpl w:val="8B0CD282"/>
    <w:lvl w:ilvl="0" w:tplc="740A3D3A">
      <w:start w:val="1"/>
      <w:numFmt w:val="decimal"/>
      <w:lvlText w:val="%1."/>
      <w:lvlJc w:val="left"/>
      <w:pPr>
        <w:ind w:left="1068" w:hanging="360"/>
      </w:pPr>
      <w:rPr>
        <w:rFonts w:cs="Verdana" w:hint="default"/>
        <w:b/>
        <w:color w:val="00000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5C980A77"/>
    <w:multiLevelType w:val="multilevel"/>
    <w:tmpl w:val="A786394E"/>
    <w:lvl w:ilvl="0">
      <w:start w:val="1"/>
      <w:numFmt w:val="decimal"/>
      <w:suff w:val="space"/>
      <w:lvlText w:val="%1."/>
      <w:lvlJc w:val="right"/>
      <w:pPr>
        <w:ind w:left="340" w:firstLine="0"/>
      </w:pPr>
      <w:rPr>
        <w:rFonts w:hint="default"/>
        <w:sz w:val="20"/>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2">
    <w:nsid w:val="74C33626"/>
    <w:multiLevelType w:val="multilevel"/>
    <w:tmpl w:val="D1E25350"/>
    <w:lvl w:ilvl="0">
      <w:start w:val="1"/>
      <w:numFmt w:val="decimal"/>
      <w:suff w:val="space"/>
      <w:lvlText w:val="%1."/>
      <w:lvlJc w:val="right"/>
      <w:pPr>
        <w:ind w:left="340" w:firstLine="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13"/>
    <w:rsid w:val="0001056C"/>
    <w:rsid w:val="00014D3F"/>
    <w:rsid w:val="000160E6"/>
    <w:rsid w:val="00020BFE"/>
    <w:rsid w:val="00024C8C"/>
    <w:rsid w:val="00025230"/>
    <w:rsid w:val="000260E0"/>
    <w:rsid w:val="0002764A"/>
    <w:rsid w:val="00031E43"/>
    <w:rsid w:val="00032D9A"/>
    <w:rsid w:val="00036D14"/>
    <w:rsid w:val="00041A0D"/>
    <w:rsid w:val="00046C0D"/>
    <w:rsid w:val="0006430F"/>
    <w:rsid w:val="0007776B"/>
    <w:rsid w:val="000A0273"/>
    <w:rsid w:val="000A79CF"/>
    <w:rsid w:val="000B2603"/>
    <w:rsid w:val="000B68FB"/>
    <w:rsid w:val="000B7903"/>
    <w:rsid w:val="000C240D"/>
    <w:rsid w:val="000C45F0"/>
    <w:rsid w:val="000D1F11"/>
    <w:rsid w:val="000E09F2"/>
    <w:rsid w:val="000E396E"/>
    <w:rsid w:val="000E3F24"/>
    <w:rsid w:val="000E6463"/>
    <w:rsid w:val="000E67DD"/>
    <w:rsid w:val="000F07CE"/>
    <w:rsid w:val="000F574E"/>
    <w:rsid w:val="0010084D"/>
    <w:rsid w:val="00104BD2"/>
    <w:rsid w:val="00114019"/>
    <w:rsid w:val="00123268"/>
    <w:rsid w:val="00123585"/>
    <w:rsid w:val="00124871"/>
    <w:rsid w:val="00131A7D"/>
    <w:rsid w:val="00131E0F"/>
    <w:rsid w:val="00132B04"/>
    <w:rsid w:val="001348F9"/>
    <w:rsid w:val="0013632E"/>
    <w:rsid w:val="00141D96"/>
    <w:rsid w:val="001438E6"/>
    <w:rsid w:val="00144871"/>
    <w:rsid w:val="001463D7"/>
    <w:rsid w:val="0014774A"/>
    <w:rsid w:val="00147A61"/>
    <w:rsid w:val="00151C64"/>
    <w:rsid w:val="00152086"/>
    <w:rsid w:val="00154B43"/>
    <w:rsid w:val="001613CD"/>
    <w:rsid w:val="00163602"/>
    <w:rsid w:val="00163DC6"/>
    <w:rsid w:val="00165B70"/>
    <w:rsid w:val="00172E03"/>
    <w:rsid w:val="00173CE4"/>
    <w:rsid w:val="00174111"/>
    <w:rsid w:val="001741A0"/>
    <w:rsid w:val="001760EC"/>
    <w:rsid w:val="00176FD7"/>
    <w:rsid w:val="0017745A"/>
    <w:rsid w:val="0018050B"/>
    <w:rsid w:val="001824DC"/>
    <w:rsid w:val="00182BB8"/>
    <w:rsid w:val="00187995"/>
    <w:rsid w:val="001A0E4D"/>
    <w:rsid w:val="001A1EED"/>
    <w:rsid w:val="001A3FCE"/>
    <w:rsid w:val="001B06C8"/>
    <w:rsid w:val="001B34C1"/>
    <w:rsid w:val="001B4D85"/>
    <w:rsid w:val="001B58C5"/>
    <w:rsid w:val="001C0346"/>
    <w:rsid w:val="001E4519"/>
    <w:rsid w:val="001E6D27"/>
    <w:rsid w:val="001E7817"/>
    <w:rsid w:val="001F7F0A"/>
    <w:rsid w:val="0020124D"/>
    <w:rsid w:val="0020147E"/>
    <w:rsid w:val="00204CD1"/>
    <w:rsid w:val="00216954"/>
    <w:rsid w:val="00220FE1"/>
    <w:rsid w:val="00231209"/>
    <w:rsid w:val="00231C17"/>
    <w:rsid w:val="00233202"/>
    <w:rsid w:val="00235E85"/>
    <w:rsid w:val="00240202"/>
    <w:rsid w:val="002428CA"/>
    <w:rsid w:val="002514F7"/>
    <w:rsid w:val="00254BF4"/>
    <w:rsid w:val="002552D9"/>
    <w:rsid w:val="00255585"/>
    <w:rsid w:val="002630F2"/>
    <w:rsid w:val="00273349"/>
    <w:rsid w:val="0027347C"/>
    <w:rsid w:val="002750C1"/>
    <w:rsid w:val="0027624D"/>
    <w:rsid w:val="0027627E"/>
    <w:rsid w:val="00276331"/>
    <w:rsid w:val="00285175"/>
    <w:rsid w:val="00287F1E"/>
    <w:rsid w:val="002915EF"/>
    <w:rsid w:val="002A256E"/>
    <w:rsid w:val="002A3E26"/>
    <w:rsid w:val="002A7034"/>
    <w:rsid w:val="002B2CD9"/>
    <w:rsid w:val="002B5E49"/>
    <w:rsid w:val="002B7AE5"/>
    <w:rsid w:val="002C217D"/>
    <w:rsid w:val="002C3B8C"/>
    <w:rsid w:val="002C66DA"/>
    <w:rsid w:val="002D0D43"/>
    <w:rsid w:val="002D6144"/>
    <w:rsid w:val="002D6869"/>
    <w:rsid w:val="002D7B63"/>
    <w:rsid w:val="002E3078"/>
    <w:rsid w:val="002E42C9"/>
    <w:rsid w:val="002F3D26"/>
    <w:rsid w:val="002F425D"/>
    <w:rsid w:val="00300284"/>
    <w:rsid w:val="003120EB"/>
    <w:rsid w:val="003238A7"/>
    <w:rsid w:val="003358AF"/>
    <w:rsid w:val="00337AB7"/>
    <w:rsid w:val="003421AC"/>
    <w:rsid w:val="003448C9"/>
    <w:rsid w:val="00346171"/>
    <w:rsid w:val="00347EAE"/>
    <w:rsid w:val="003551F9"/>
    <w:rsid w:val="00367700"/>
    <w:rsid w:val="003705C7"/>
    <w:rsid w:val="0037715E"/>
    <w:rsid w:val="003809CC"/>
    <w:rsid w:val="00392498"/>
    <w:rsid w:val="003A0069"/>
    <w:rsid w:val="003A1A7C"/>
    <w:rsid w:val="003A5CE3"/>
    <w:rsid w:val="003B26E2"/>
    <w:rsid w:val="003C174E"/>
    <w:rsid w:val="003D022D"/>
    <w:rsid w:val="003D2885"/>
    <w:rsid w:val="003E3A92"/>
    <w:rsid w:val="003F01AD"/>
    <w:rsid w:val="003F04C5"/>
    <w:rsid w:val="003F0DB1"/>
    <w:rsid w:val="003F1DE0"/>
    <w:rsid w:val="003F7408"/>
    <w:rsid w:val="00402467"/>
    <w:rsid w:val="00402F0C"/>
    <w:rsid w:val="00404A1F"/>
    <w:rsid w:val="00416E11"/>
    <w:rsid w:val="004232D7"/>
    <w:rsid w:val="00437062"/>
    <w:rsid w:val="00441528"/>
    <w:rsid w:val="004450B8"/>
    <w:rsid w:val="00446A40"/>
    <w:rsid w:val="0046028F"/>
    <w:rsid w:val="004613DB"/>
    <w:rsid w:val="00461DD4"/>
    <w:rsid w:val="004622C2"/>
    <w:rsid w:val="004659CA"/>
    <w:rsid w:val="004675D0"/>
    <w:rsid w:val="00471925"/>
    <w:rsid w:val="00475467"/>
    <w:rsid w:val="00475948"/>
    <w:rsid w:val="00491BA0"/>
    <w:rsid w:val="004962D4"/>
    <w:rsid w:val="00497751"/>
    <w:rsid w:val="004A1022"/>
    <w:rsid w:val="004A37D3"/>
    <w:rsid w:val="004A4806"/>
    <w:rsid w:val="004A5DD3"/>
    <w:rsid w:val="004B203D"/>
    <w:rsid w:val="004B42EC"/>
    <w:rsid w:val="004B563A"/>
    <w:rsid w:val="004C0D28"/>
    <w:rsid w:val="004C69DA"/>
    <w:rsid w:val="004E1599"/>
    <w:rsid w:val="004E3FAF"/>
    <w:rsid w:val="004E7AD2"/>
    <w:rsid w:val="004F4D10"/>
    <w:rsid w:val="00500279"/>
    <w:rsid w:val="00501CF9"/>
    <w:rsid w:val="00502478"/>
    <w:rsid w:val="005050F6"/>
    <w:rsid w:val="005115F5"/>
    <w:rsid w:val="005119C9"/>
    <w:rsid w:val="0051274A"/>
    <w:rsid w:val="00520F12"/>
    <w:rsid w:val="00523C92"/>
    <w:rsid w:val="00532555"/>
    <w:rsid w:val="00532630"/>
    <w:rsid w:val="0054003B"/>
    <w:rsid w:val="005400E0"/>
    <w:rsid w:val="00541F90"/>
    <w:rsid w:val="00543C33"/>
    <w:rsid w:val="005474EC"/>
    <w:rsid w:val="005476F1"/>
    <w:rsid w:val="00565463"/>
    <w:rsid w:val="005677A7"/>
    <w:rsid w:val="005736C9"/>
    <w:rsid w:val="00575929"/>
    <w:rsid w:val="00577CCF"/>
    <w:rsid w:val="00581EC0"/>
    <w:rsid w:val="0058212A"/>
    <w:rsid w:val="005827FE"/>
    <w:rsid w:val="005859BD"/>
    <w:rsid w:val="005863D2"/>
    <w:rsid w:val="005907F6"/>
    <w:rsid w:val="005935DB"/>
    <w:rsid w:val="005A0B79"/>
    <w:rsid w:val="005A6EEF"/>
    <w:rsid w:val="005B2731"/>
    <w:rsid w:val="005B27BA"/>
    <w:rsid w:val="005C1030"/>
    <w:rsid w:val="005C45E7"/>
    <w:rsid w:val="005D244E"/>
    <w:rsid w:val="005D2E3A"/>
    <w:rsid w:val="005D5AD6"/>
    <w:rsid w:val="005E3A3D"/>
    <w:rsid w:val="005F101B"/>
    <w:rsid w:val="006004DA"/>
    <w:rsid w:val="00601227"/>
    <w:rsid w:val="00601358"/>
    <w:rsid w:val="00603885"/>
    <w:rsid w:val="00604779"/>
    <w:rsid w:val="006048EA"/>
    <w:rsid w:val="0061275E"/>
    <w:rsid w:val="00612BA1"/>
    <w:rsid w:val="00614F75"/>
    <w:rsid w:val="00616060"/>
    <w:rsid w:val="00617D01"/>
    <w:rsid w:val="00620586"/>
    <w:rsid w:val="006232E9"/>
    <w:rsid w:val="0062396C"/>
    <w:rsid w:val="006257B8"/>
    <w:rsid w:val="00626EEE"/>
    <w:rsid w:val="00640CC5"/>
    <w:rsid w:val="00643D06"/>
    <w:rsid w:val="00653DD9"/>
    <w:rsid w:val="0065731C"/>
    <w:rsid w:val="00657F7B"/>
    <w:rsid w:val="00665AD4"/>
    <w:rsid w:val="006728A1"/>
    <w:rsid w:val="006756F4"/>
    <w:rsid w:val="0067619D"/>
    <w:rsid w:val="00676D75"/>
    <w:rsid w:val="006812B1"/>
    <w:rsid w:val="00681332"/>
    <w:rsid w:val="00682A35"/>
    <w:rsid w:val="00683F50"/>
    <w:rsid w:val="00691DEC"/>
    <w:rsid w:val="00694304"/>
    <w:rsid w:val="006A7B03"/>
    <w:rsid w:val="006B1E37"/>
    <w:rsid w:val="006C1232"/>
    <w:rsid w:val="006C6A05"/>
    <w:rsid w:val="006D1D21"/>
    <w:rsid w:val="006D1E59"/>
    <w:rsid w:val="006D2EFD"/>
    <w:rsid w:val="006D2F9E"/>
    <w:rsid w:val="006F60E7"/>
    <w:rsid w:val="006F73E0"/>
    <w:rsid w:val="007051F9"/>
    <w:rsid w:val="007065E7"/>
    <w:rsid w:val="00706744"/>
    <w:rsid w:val="00710A20"/>
    <w:rsid w:val="00713B56"/>
    <w:rsid w:val="00715E48"/>
    <w:rsid w:val="00717606"/>
    <w:rsid w:val="00717646"/>
    <w:rsid w:val="00724759"/>
    <w:rsid w:val="007314DF"/>
    <w:rsid w:val="00737633"/>
    <w:rsid w:val="0074206B"/>
    <w:rsid w:val="00753112"/>
    <w:rsid w:val="00756D7A"/>
    <w:rsid w:val="00762E99"/>
    <w:rsid w:val="00766CA9"/>
    <w:rsid w:val="007712F0"/>
    <w:rsid w:val="0077338F"/>
    <w:rsid w:val="00780100"/>
    <w:rsid w:val="00783976"/>
    <w:rsid w:val="0078548A"/>
    <w:rsid w:val="007906DE"/>
    <w:rsid w:val="00796C82"/>
    <w:rsid w:val="00797BA7"/>
    <w:rsid w:val="007B1EEE"/>
    <w:rsid w:val="007B372F"/>
    <w:rsid w:val="007B44C5"/>
    <w:rsid w:val="007B72C6"/>
    <w:rsid w:val="007B746F"/>
    <w:rsid w:val="007C0002"/>
    <w:rsid w:val="007D4C11"/>
    <w:rsid w:val="007D61B2"/>
    <w:rsid w:val="007E13B8"/>
    <w:rsid w:val="007E2BFB"/>
    <w:rsid w:val="007E4600"/>
    <w:rsid w:val="007E4DB2"/>
    <w:rsid w:val="007F2110"/>
    <w:rsid w:val="007F6246"/>
    <w:rsid w:val="007F7631"/>
    <w:rsid w:val="00807F07"/>
    <w:rsid w:val="00814E98"/>
    <w:rsid w:val="008202CB"/>
    <w:rsid w:val="00820D8F"/>
    <w:rsid w:val="00821D71"/>
    <w:rsid w:val="00823304"/>
    <w:rsid w:val="00824643"/>
    <w:rsid w:val="0083059A"/>
    <w:rsid w:val="00832CFE"/>
    <w:rsid w:val="00834686"/>
    <w:rsid w:val="00836EAF"/>
    <w:rsid w:val="00837829"/>
    <w:rsid w:val="00840A75"/>
    <w:rsid w:val="008429D7"/>
    <w:rsid w:val="00842EC4"/>
    <w:rsid w:val="00852046"/>
    <w:rsid w:val="00857DEC"/>
    <w:rsid w:val="00861AB3"/>
    <w:rsid w:val="00866A7E"/>
    <w:rsid w:val="00872264"/>
    <w:rsid w:val="008831A7"/>
    <w:rsid w:val="008862AC"/>
    <w:rsid w:val="008933D9"/>
    <w:rsid w:val="008957C2"/>
    <w:rsid w:val="008A123C"/>
    <w:rsid w:val="008A4907"/>
    <w:rsid w:val="008B6992"/>
    <w:rsid w:val="008C40CD"/>
    <w:rsid w:val="008C6B14"/>
    <w:rsid w:val="008D0596"/>
    <w:rsid w:val="008D2002"/>
    <w:rsid w:val="008D2718"/>
    <w:rsid w:val="008D6279"/>
    <w:rsid w:val="008E18E7"/>
    <w:rsid w:val="008E1ECD"/>
    <w:rsid w:val="008F0157"/>
    <w:rsid w:val="008F0C67"/>
    <w:rsid w:val="008F2F69"/>
    <w:rsid w:val="008F3A62"/>
    <w:rsid w:val="008F4469"/>
    <w:rsid w:val="008F6E8C"/>
    <w:rsid w:val="008F7D0A"/>
    <w:rsid w:val="00903FBE"/>
    <w:rsid w:val="0090469E"/>
    <w:rsid w:val="00921745"/>
    <w:rsid w:val="0093088D"/>
    <w:rsid w:val="00932DD2"/>
    <w:rsid w:val="00933E9A"/>
    <w:rsid w:val="00940700"/>
    <w:rsid w:val="00941B96"/>
    <w:rsid w:val="00960C90"/>
    <w:rsid w:val="009667B1"/>
    <w:rsid w:val="009673CE"/>
    <w:rsid w:val="009734D1"/>
    <w:rsid w:val="0098612A"/>
    <w:rsid w:val="009944EA"/>
    <w:rsid w:val="009A2F24"/>
    <w:rsid w:val="009A4C02"/>
    <w:rsid w:val="009A59EB"/>
    <w:rsid w:val="009A6635"/>
    <w:rsid w:val="009A6EFB"/>
    <w:rsid w:val="009B0FA7"/>
    <w:rsid w:val="009B2FA3"/>
    <w:rsid w:val="009B40BF"/>
    <w:rsid w:val="009B5AFC"/>
    <w:rsid w:val="009C20C3"/>
    <w:rsid w:val="009C439C"/>
    <w:rsid w:val="009C6CAE"/>
    <w:rsid w:val="009D69DD"/>
    <w:rsid w:val="009D6A8A"/>
    <w:rsid w:val="009E16C6"/>
    <w:rsid w:val="009E37CA"/>
    <w:rsid w:val="009E70D0"/>
    <w:rsid w:val="009F03FA"/>
    <w:rsid w:val="009F1F20"/>
    <w:rsid w:val="009F3A8F"/>
    <w:rsid w:val="00A026D7"/>
    <w:rsid w:val="00A1502A"/>
    <w:rsid w:val="00A25507"/>
    <w:rsid w:val="00A277C0"/>
    <w:rsid w:val="00A347B4"/>
    <w:rsid w:val="00A42EFC"/>
    <w:rsid w:val="00A64A70"/>
    <w:rsid w:val="00A7249C"/>
    <w:rsid w:val="00A81B93"/>
    <w:rsid w:val="00A82817"/>
    <w:rsid w:val="00A838E7"/>
    <w:rsid w:val="00A85B3C"/>
    <w:rsid w:val="00A91216"/>
    <w:rsid w:val="00A91DE3"/>
    <w:rsid w:val="00A96A72"/>
    <w:rsid w:val="00AA0158"/>
    <w:rsid w:val="00AA0E91"/>
    <w:rsid w:val="00AA2C23"/>
    <w:rsid w:val="00AB0453"/>
    <w:rsid w:val="00AB1614"/>
    <w:rsid w:val="00AC136A"/>
    <w:rsid w:val="00AC7ACD"/>
    <w:rsid w:val="00AE019A"/>
    <w:rsid w:val="00AE15B1"/>
    <w:rsid w:val="00AE18B7"/>
    <w:rsid w:val="00AE3478"/>
    <w:rsid w:val="00AF0730"/>
    <w:rsid w:val="00B067B6"/>
    <w:rsid w:val="00B07978"/>
    <w:rsid w:val="00B155BA"/>
    <w:rsid w:val="00B15814"/>
    <w:rsid w:val="00B15F17"/>
    <w:rsid w:val="00B21B83"/>
    <w:rsid w:val="00B26DA4"/>
    <w:rsid w:val="00B3342B"/>
    <w:rsid w:val="00B339A2"/>
    <w:rsid w:val="00B37683"/>
    <w:rsid w:val="00B43418"/>
    <w:rsid w:val="00B445BE"/>
    <w:rsid w:val="00B4653D"/>
    <w:rsid w:val="00B46FDD"/>
    <w:rsid w:val="00B475CF"/>
    <w:rsid w:val="00B53A25"/>
    <w:rsid w:val="00B54992"/>
    <w:rsid w:val="00B54EAB"/>
    <w:rsid w:val="00B61870"/>
    <w:rsid w:val="00B64AC4"/>
    <w:rsid w:val="00B65325"/>
    <w:rsid w:val="00B8361A"/>
    <w:rsid w:val="00B87F1C"/>
    <w:rsid w:val="00B94C8A"/>
    <w:rsid w:val="00B97626"/>
    <w:rsid w:val="00BA2FCE"/>
    <w:rsid w:val="00BA61F5"/>
    <w:rsid w:val="00BA6A07"/>
    <w:rsid w:val="00BB21B3"/>
    <w:rsid w:val="00BB33E1"/>
    <w:rsid w:val="00BB48FC"/>
    <w:rsid w:val="00BC2898"/>
    <w:rsid w:val="00BD114C"/>
    <w:rsid w:val="00BD1BC3"/>
    <w:rsid w:val="00BD2BED"/>
    <w:rsid w:val="00BD7A08"/>
    <w:rsid w:val="00BE07F8"/>
    <w:rsid w:val="00BE0C9D"/>
    <w:rsid w:val="00BE2406"/>
    <w:rsid w:val="00BE4470"/>
    <w:rsid w:val="00BE4CCE"/>
    <w:rsid w:val="00BE7560"/>
    <w:rsid w:val="00BE7588"/>
    <w:rsid w:val="00BF389A"/>
    <w:rsid w:val="00BF6643"/>
    <w:rsid w:val="00BF7FBD"/>
    <w:rsid w:val="00C0011A"/>
    <w:rsid w:val="00C040E6"/>
    <w:rsid w:val="00C16FD6"/>
    <w:rsid w:val="00C21A17"/>
    <w:rsid w:val="00C21DED"/>
    <w:rsid w:val="00C30C1D"/>
    <w:rsid w:val="00C36D57"/>
    <w:rsid w:val="00C406FA"/>
    <w:rsid w:val="00C42836"/>
    <w:rsid w:val="00C52F25"/>
    <w:rsid w:val="00C576FF"/>
    <w:rsid w:val="00C6397F"/>
    <w:rsid w:val="00C722B7"/>
    <w:rsid w:val="00C842F5"/>
    <w:rsid w:val="00C852F7"/>
    <w:rsid w:val="00C87D04"/>
    <w:rsid w:val="00C90C77"/>
    <w:rsid w:val="00CB48F7"/>
    <w:rsid w:val="00CB6152"/>
    <w:rsid w:val="00CB7566"/>
    <w:rsid w:val="00CC0B60"/>
    <w:rsid w:val="00CC5D5D"/>
    <w:rsid w:val="00CD1117"/>
    <w:rsid w:val="00CD3D5F"/>
    <w:rsid w:val="00CD7B25"/>
    <w:rsid w:val="00CE185E"/>
    <w:rsid w:val="00CE3AAA"/>
    <w:rsid w:val="00CE40E5"/>
    <w:rsid w:val="00CF016D"/>
    <w:rsid w:val="00CF0AB4"/>
    <w:rsid w:val="00CF10CC"/>
    <w:rsid w:val="00D02D97"/>
    <w:rsid w:val="00D050C7"/>
    <w:rsid w:val="00D0769F"/>
    <w:rsid w:val="00D23E85"/>
    <w:rsid w:val="00D265F4"/>
    <w:rsid w:val="00D269D1"/>
    <w:rsid w:val="00D30A33"/>
    <w:rsid w:val="00D30B0A"/>
    <w:rsid w:val="00D31384"/>
    <w:rsid w:val="00D4100E"/>
    <w:rsid w:val="00D51188"/>
    <w:rsid w:val="00D619E3"/>
    <w:rsid w:val="00D61C4A"/>
    <w:rsid w:val="00D67324"/>
    <w:rsid w:val="00D727CF"/>
    <w:rsid w:val="00D7496A"/>
    <w:rsid w:val="00D76F17"/>
    <w:rsid w:val="00D772B4"/>
    <w:rsid w:val="00D85DC2"/>
    <w:rsid w:val="00D94F0D"/>
    <w:rsid w:val="00DA3DD6"/>
    <w:rsid w:val="00DA3F22"/>
    <w:rsid w:val="00DA4333"/>
    <w:rsid w:val="00DA5B6D"/>
    <w:rsid w:val="00DA623F"/>
    <w:rsid w:val="00DA7F5E"/>
    <w:rsid w:val="00DC38A0"/>
    <w:rsid w:val="00DD0673"/>
    <w:rsid w:val="00DD0F55"/>
    <w:rsid w:val="00DD40D5"/>
    <w:rsid w:val="00DD6AF4"/>
    <w:rsid w:val="00DE3B79"/>
    <w:rsid w:val="00DF1F62"/>
    <w:rsid w:val="00DF74AD"/>
    <w:rsid w:val="00E278AC"/>
    <w:rsid w:val="00E30D55"/>
    <w:rsid w:val="00E33F66"/>
    <w:rsid w:val="00E4014E"/>
    <w:rsid w:val="00E416D2"/>
    <w:rsid w:val="00E617FD"/>
    <w:rsid w:val="00E674A5"/>
    <w:rsid w:val="00E70B72"/>
    <w:rsid w:val="00E7188E"/>
    <w:rsid w:val="00E72622"/>
    <w:rsid w:val="00E74B7A"/>
    <w:rsid w:val="00E75420"/>
    <w:rsid w:val="00E77F07"/>
    <w:rsid w:val="00E80354"/>
    <w:rsid w:val="00E858C3"/>
    <w:rsid w:val="00E94064"/>
    <w:rsid w:val="00E95965"/>
    <w:rsid w:val="00E960D7"/>
    <w:rsid w:val="00EB15B5"/>
    <w:rsid w:val="00EC0D97"/>
    <w:rsid w:val="00EC3065"/>
    <w:rsid w:val="00EC4FAB"/>
    <w:rsid w:val="00ED1B7C"/>
    <w:rsid w:val="00ED2826"/>
    <w:rsid w:val="00ED7330"/>
    <w:rsid w:val="00ED78EC"/>
    <w:rsid w:val="00EE4518"/>
    <w:rsid w:val="00EE6E1B"/>
    <w:rsid w:val="00EF2020"/>
    <w:rsid w:val="00EF4E07"/>
    <w:rsid w:val="00EF5D31"/>
    <w:rsid w:val="00F0339B"/>
    <w:rsid w:val="00F04B12"/>
    <w:rsid w:val="00F13804"/>
    <w:rsid w:val="00F2314A"/>
    <w:rsid w:val="00F24113"/>
    <w:rsid w:val="00F345C7"/>
    <w:rsid w:val="00F36702"/>
    <w:rsid w:val="00F460AC"/>
    <w:rsid w:val="00F52C33"/>
    <w:rsid w:val="00F60415"/>
    <w:rsid w:val="00F61111"/>
    <w:rsid w:val="00F620C7"/>
    <w:rsid w:val="00F63433"/>
    <w:rsid w:val="00F645F6"/>
    <w:rsid w:val="00F6563A"/>
    <w:rsid w:val="00F65BB6"/>
    <w:rsid w:val="00F70CF6"/>
    <w:rsid w:val="00F822F8"/>
    <w:rsid w:val="00F84712"/>
    <w:rsid w:val="00F85470"/>
    <w:rsid w:val="00F91EAB"/>
    <w:rsid w:val="00F97C9B"/>
    <w:rsid w:val="00FA1F47"/>
    <w:rsid w:val="00FA29A7"/>
    <w:rsid w:val="00FA4A0B"/>
    <w:rsid w:val="00FB0661"/>
    <w:rsid w:val="00FB1233"/>
    <w:rsid w:val="00FB33B9"/>
    <w:rsid w:val="00FB586F"/>
    <w:rsid w:val="00FB6023"/>
    <w:rsid w:val="00FC15D3"/>
    <w:rsid w:val="00FC41B6"/>
    <w:rsid w:val="00FC521B"/>
    <w:rsid w:val="00FC574E"/>
    <w:rsid w:val="00FC58B0"/>
    <w:rsid w:val="00FC7C64"/>
    <w:rsid w:val="00FE022E"/>
    <w:rsid w:val="00FE4599"/>
    <w:rsid w:val="00FE5776"/>
    <w:rsid w:val="00FE6BFD"/>
    <w:rsid w:val="00FE6CFE"/>
    <w:rsid w:val="00FF4F7D"/>
    <w:rsid w:val="00FF5D3C"/>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F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3B56"/>
    <w:pPr>
      <w:tabs>
        <w:tab w:val="center" w:pos="4703"/>
        <w:tab w:val="right" w:pos="9406"/>
      </w:tabs>
      <w:spacing w:after="0" w:line="240" w:lineRule="auto"/>
    </w:pPr>
  </w:style>
  <w:style w:type="character" w:customStyle="1" w:styleId="FooterChar">
    <w:name w:val="Footer Char"/>
    <w:basedOn w:val="DefaultParagraphFont"/>
    <w:link w:val="Footer"/>
    <w:uiPriority w:val="99"/>
    <w:rsid w:val="00713B56"/>
    <w:rPr>
      <w:lang w:val="en-US"/>
    </w:rPr>
  </w:style>
  <w:style w:type="paragraph" w:customStyle="1" w:styleId="Default">
    <w:name w:val="Default"/>
    <w:rsid w:val="00713B56"/>
    <w:pPr>
      <w:autoSpaceDE w:val="0"/>
      <w:autoSpaceDN w:val="0"/>
      <w:adjustRightInd w:val="0"/>
      <w:spacing w:after="0" w:line="240" w:lineRule="auto"/>
    </w:pPr>
    <w:rPr>
      <w:rFonts w:ascii="Verdana" w:hAnsi="Verdana" w:cs="Verdana"/>
      <w:color w:val="000000"/>
      <w:sz w:val="24"/>
      <w:szCs w:val="24"/>
      <w:lang w:val="en-US"/>
    </w:rPr>
  </w:style>
  <w:style w:type="table" w:styleId="TableGrid">
    <w:name w:val="Table Grid"/>
    <w:basedOn w:val="TableNormal"/>
    <w:uiPriority w:val="39"/>
    <w:rsid w:val="00713B5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13B56"/>
    <w:pPr>
      <w:ind w:left="720"/>
      <w:contextualSpacing/>
    </w:pPr>
  </w:style>
  <w:style w:type="paragraph" w:styleId="BalloonText">
    <w:name w:val="Balloon Text"/>
    <w:basedOn w:val="Normal"/>
    <w:link w:val="BalloonTextChar"/>
    <w:uiPriority w:val="99"/>
    <w:semiHidden/>
    <w:unhideWhenUsed/>
    <w:rsid w:val="00A02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6D7"/>
    <w:rPr>
      <w:rFonts w:ascii="Tahoma" w:hAnsi="Tahoma" w:cs="Tahoma"/>
      <w:sz w:val="16"/>
      <w:szCs w:val="16"/>
      <w:lang w:val="en-US"/>
    </w:rPr>
  </w:style>
  <w:style w:type="character" w:styleId="Hyperlink">
    <w:name w:val="Hyperlink"/>
    <w:basedOn w:val="DefaultParagraphFont"/>
    <w:uiPriority w:val="99"/>
    <w:unhideWhenUsed/>
    <w:rsid w:val="0027347C"/>
    <w:rPr>
      <w:strike w:val="0"/>
      <w:dstrike w:val="0"/>
      <w:color w:val="000000"/>
      <w:u w:val="none"/>
      <w:effect w:val="none"/>
    </w:rPr>
  </w:style>
  <w:style w:type="paragraph" w:customStyle="1" w:styleId="oj-doc-ti">
    <w:name w:val="oj-doc-ti"/>
    <w:basedOn w:val="Normal"/>
    <w:rsid w:val="00BD7A08"/>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unhideWhenUsed/>
    <w:rsid w:val="00B21B83"/>
    <w:pPr>
      <w:tabs>
        <w:tab w:val="center" w:pos="4703"/>
        <w:tab w:val="right" w:pos="9406"/>
      </w:tabs>
      <w:spacing w:after="0" w:line="240" w:lineRule="auto"/>
    </w:pPr>
  </w:style>
  <w:style w:type="character" w:customStyle="1" w:styleId="HeaderChar">
    <w:name w:val="Header Char"/>
    <w:basedOn w:val="DefaultParagraphFont"/>
    <w:link w:val="Header"/>
    <w:uiPriority w:val="99"/>
    <w:rsid w:val="00B21B83"/>
    <w:rPr>
      <w:lang w:val="en-US"/>
    </w:rPr>
  </w:style>
  <w:style w:type="paragraph" w:styleId="FootnoteText">
    <w:name w:val="footnote text"/>
    <w:basedOn w:val="Normal"/>
    <w:link w:val="FootnoteTextChar"/>
    <w:uiPriority w:val="99"/>
    <w:semiHidden/>
    <w:unhideWhenUsed/>
    <w:rsid w:val="005326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2630"/>
    <w:rPr>
      <w:sz w:val="20"/>
      <w:szCs w:val="20"/>
      <w:lang w:val="en-US"/>
    </w:rPr>
  </w:style>
  <w:style w:type="character" w:styleId="FootnoteReference">
    <w:name w:val="footnote reference"/>
    <w:basedOn w:val="DefaultParagraphFont"/>
    <w:uiPriority w:val="99"/>
    <w:semiHidden/>
    <w:unhideWhenUsed/>
    <w:rsid w:val="005326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FD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13B56"/>
    <w:pPr>
      <w:tabs>
        <w:tab w:val="center" w:pos="4703"/>
        <w:tab w:val="right" w:pos="9406"/>
      </w:tabs>
      <w:spacing w:after="0" w:line="240" w:lineRule="auto"/>
    </w:pPr>
  </w:style>
  <w:style w:type="character" w:customStyle="1" w:styleId="FooterChar">
    <w:name w:val="Footer Char"/>
    <w:basedOn w:val="DefaultParagraphFont"/>
    <w:link w:val="Footer"/>
    <w:uiPriority w:val="99"/>
    <w:rsid w:val="00713B56"/>
    <w:rPr>
      <w:lang w:val="en-US"/>
    </w:rPr>
  </w:style>
  <w:style w:type="paragraph" w:customStyle="1" w:styleId="Default">
    <w:name w:val="Default"/>
    <w:rsid w:val="00713B56"/>
    <w:pPr>
      <w:autoSpaceDE w:val="0"/>
      <w:autoSpaceDN w:val="0"/>
      <w:adjustRightInd w:val="0"/>
      <w:spacing w:after="0" w:line="240" w:lineRule="auto"/>
    </w:pPr>
    <w:rPr>
      <w:rFonts w:ascii="Verdana" w:hAnsi="Verdana" w:cs="Verdana"/>
      <w:color w:val="000000"/>
      <w:sz w:val="24"/>
      <w:szCs w:val="24"/>
      <w:lang w:val="en-US"/>
    </w:rPr>
  </w:style>
  <w:style w:type="table" w:styleId="TableGrid">
    <w:name w:val="Table Grid"/>
    <w:basedOn w:val="TableNormal"/>
    <w:uiPriority w:val="39"/>
    <w:rsid w:val="00713B5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13B56"/>
    <w:pPr>
      <w:ind w:left="720"/>
      <w:contextualSpacing/>
    </w:pPr>
  </w:style>
  <w:style w:type="paragraph" w:styleId="BalloonText">
    <w:name w:val="Balloon Text"/>
    <w:basedOn w:val="Normal"/>
    <w:link w:val="BalloonTextChar"/>
    <w:uiPriority w:val="99"/>
    <w:semiHidden/>
    <w:unhideWhenUsed/>
    <w:rsid w:val="00A02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6D7"/>
    <w:rPr>
      <w:rFonts w:ascii="Tahoma" w:hAnsi="Tahoma" w:cs="Tahoma"/>
      <w:sz w:val="16"/>
      <w:szCs w:val="16"/>
      <w:lang w:val="en-US"/>
    </w:rPr>
  </w:style>
  <w:style w:type="character" w:styleId="Hyperlink">
    <w:name w:val="Hyperlink"/>
    <w:basedOn w:val="DefaultParagraphFont"/>
    <w:uiPriority w:val="99"/>
    <w:unhideWhenUsed/>
    <w:rsid w:val="0027347C"/>
    <w:rPr>
      <w:strike w:val="0"/>
      <w:dstrike w:val="0"/>
      <w:color w:val="000000"/>
      <w:u w:val="none"/>
      <w:effect w:val="none"/>
    </w:rPr>
  </w:style>
  <w:style w:type="paragraph" w:customStyle="1" w:styleId="oj-doc-ti">
    <w:name w:val="oj-doc-ti"/>
    <w:basedOn w:val="Normal"/>
    <w:rsid w:val="00BD7A08"/>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unhideWhenUsed/>
    <w:rsid w:val="00B21B83"/>
    <w:pPr>
      <w:tabs>
        <w:tab w:val="center" w:pos="4703"/>
        <w:tab w:val="right" w:pos="9406"/>
      </w:tabs>
      <w:spacing w:after="0" w:line="240" w:lineRule="auto"/>
    </w:pPr>
  </w:style>
  <w:style w:type="character" w:customStyle="1" w:styleId="HeaderChar">
    <w:name w:val="Header Char"/>
    <w:basedOn w:val="DefaultParagraphFont"/>
    <w:link w:val="Header"/>
    <w:uiPriority w:val="99"/>
    <w:rsid w:val="00B21B83"/>
    <w:rPr>
      <w:lang w:val="en-US"/>
    </w:rPr>
  </w:style>
  <w:style w:type="paragraph" w:styleId="FootnoteText">
    <w:name w:val="footnote text"/>
    <w:basedOn w:val="Normal"/>
    <w:link w:val="FootnoteTextChar"/>
    <w:uiPriority w:val="99"/>
    <w:semiHidden/>
    <w:unhideWhenUsed/>
    <w:rsid w:val="005326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2630"/>
    <w:rPr>
      <w:sz w:val="20"/>
      <w:szCs w:val="20"/>
      <w:lang w:val="en-US"/>
    </w:rPr>
  </w:style>
  <w:style w:type="character" w:styleId="FootnoteReference">
    <w:name w:val="footnote reference"/>
    <w:basedOn w:val="DefaultParagraphFont"/>
    <w:uiPriority w:val="99"/>
    <w:semiHidden/>
    <w:unhideWhenUsed/>
    <w:rsid w:val="005326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124346">
      <w:bodyDiv w:val="1"/>
      <w:marLeft w:val="0"/>
      <w:marRight w:val="0"/>
      <w:marTop w:val="0"/>
      <w:marBottom w:val="0"/>
      <w:divBdr>
        <w:top w:val="none" w:sz="0" w:space="0" w:color="auto"/>
        <w:left w:val="none" w:sz="0" w:space="0" w:color="auto"/>
        <w:bottom w:val="none" w:sz="0" w:space="0" w:color="auto"/>
        <w:right w:val="none" w:sz="0" w:space="0" w:color="auto"/>
      </w:divBdr>
    </w:div>
    <w:div w:id="794640599">
      <w:bodyDiv w:val="1"/>
      <w:marLeft w:val="0"/>
      <w:marRight w:val="0"/>
      <w:marTop w:val="0"/>
      <w:marBottom w:val="0"/>
      <w:divBdr>
        <w:top w:val="none" w:sz="0" w:space="0" w:color="auto"/>
        <w:left w:val="none" w:sz="0" w:space="0" w:color="auto"/>
        <w:bottom w:val="none" w:sz="0" w:space="0" w:color="auto"/>
        <w:right w:val="none" w:sz="0" w:space="0" w:color="auto"/>
      </w:divBdr>
    </w:div>
    <w:div w:id="1119452956">
      <w:bodyDiv w:val="1"/>
      <w:marLeft w:val="390"/>
      <w:marRight w:val="390"/>
      <w:marTop w:val="0"/>
      <w:marBottom w:val="0"/>
      <w:divBdr>
        <w:top w:val="none" w:sz="0" w:space="0" w:color="auto"/>
        <w:left w:val="none" w:sz="0" w:space="0" w:color="auto"/>
        <w:bottom w:val="none" w:sz="0" w:space="0" w:color="auto"/>
        <w:right w:val="none" w:sz="0" w:space="0" w:color="auto"/>
      </w:divBdr>
      <w:divsChild>
        <w:div w:id="443577774">
          <w:marLeft w:val="0"/>
          <w:marRight w:val="0"/>
          <w:marTop w:val="0"/>
          <w:marBottom w:val="120"/>
          <w:divBdr>
            <w:top w:val="none" w:sz="0" w:space="0" w:color="auto"/>
            <w:left w:val="none" w:sz="0" w:space="0" w:color="auto"/>
            <w:bottom w:val="none" w:sz="0" w:space="0" w:color="auto"/>
            <w:right w:val="none" w:sz="0" w:space="0" w:color="auto"/>
          </w:divBdr>
          <w:divsChild>
            <w:div w:id="538712704">
              <w:marLeft w:val="0"/>
              <w:marRight w:val="0"/>
              <w:marTop w:val="0"/>
              <w:marBottom w:val="0"/>
              <w:divBdr>
                <w:top w:val="none" w:sz="0" w:space="0" w:color="auto"/>
                <w:left w:val="none" w:sz="0" w:space="0" w:color="auto"/>
                <w:bottom w:val="none" w:sz="0" w:space="0" w:color="auto"/>
                <w:right w:val="none" w:sz="0" w:space="0" w:color="auto"/>
              </w:divBdr>
            </w:div>
            <w:div w:id="690493598">
              <w:marLeft w:val="0"/>
              <w:marRight w:val="0"/>
              <w:marTop w:val="0"/>
              <w:marBottom w:val="0"/>
              <w:divBdr>
                <w:top w:val="none" w:sz="0" w:space="0" w:color="auto"/>
                <w:left w:val="none" w:sz="0" w:space="0" w:color="auto"/>
                <w:bottom w:val="none" w:sz="0" w:space="0" w:color="auto"/>
                <w:right w:val="none" w:sz="0" w:space="0" w:color="auto"/>
              </w:divBdr>
            </w:div>
            <w:div w:id="25838864">
              <w:marLeft w:val="0"/>
              <w:marRight w:val="0"/>
              <w:marTop w:val="0"/>
              <w:marBottom w:val="0"/>
              <w:divBdr>
                <w:top w:val="none" w:sz="0" w:space="0" w:color="auto"/>
                <w:left w:val="none" w:sz="0" w:space="0" w:color="auto"/>
                <w:bottom w:val="none" w:sz="0" w:space="0" w:color="auto"/>
                <w:right w:val="none" w:sz="0" w:space="0" w:color="auto"/>
              </w:divBdr>
            </w:div>
            <w:div w:id="490101921">
              <w:marLeft w:val="0"/>
              <w:marRight w:val="0"/>
              <w:marTop w:val="0"/>
              <w:marBottom w:val="0"/>
              <w:divBdr>
                <w:top w:val="none" w:sz="0" w:space="0" w:color="auto"/>
                <w:left w:val="none" w:sz="0" w:space="0" w:color="auto"/>
                <w:bottom w:val="none" w:sz="0" w:space="0" w:color="auto"/>
                <w:right w:val="none" w:sz="0" w:space="0" w:color="auto"/>
              </w:divBdr>
            </w:div>
            <w:div w:id="1006519617">
              <w:marLeft w:val="0"/>
              <w:marRight w:val="0"/>
              <w:marTop w:val="0"/>
              <w:marBottom w:val="0"/>
              <w:divBdr>
                <w:top w:val="none" w:sz="0" w:space="0" w:color="auto"/>
                <w:left w:val="none" w:sz="0" w:space="0" w:color="auto"/>
                <w:bottom w:val="none" w:sz="0" w:space="0" w:color="auto"/>
                <w:right w:val="none" w:sz="0" w:space="0" w:color="auto"/>
              </w:divBdr>
            </w:div>
            <w:div w:id="1689020006">
              <w:marLeft w:val="0"/>
              <w:marRight w:val="0"/>
              <w:marTop w:val="0"/>
              <w:marBottom w:val="0"/>
              <w:divBdr>
                <w:top w:val="none" w:sz="0" w:space="0" w:color="auto"/>
                <w:left w:val="none" w:sz="0" w:space="0" w:color="auto"/>
                <w:bottom w:val="none" w:sz="0" w:space="0" w:color="auto"/>
                <w:right w:val="none" w:sz="0" w:space="0" w:color="auto"/>
              </w:divBdr>
            </w:div>
            <w:div w:id="79983843">
              <w:marLeft w:val="0"/>
              <w:marRight w:val="0"/>
              <w:marTop w:val="0"/>
              <w:marBottom w:val="0"/>
              <w:divBdr>
                <w:top w:val="none" w:sz="0" w:space="0" w:color="auto"/>
                <w:left w:val="none" w:sz="0" w:space="0" w:color="auto"/>
                <w:bottom w:val="none" w:sz="0" w:space="0" w:color="auto"/>
                <w:right w:val="none" w:sz="0" w:space="0" w:color="auto"/>
              </w:divBdr>
            </w:div>
            <w:div w:id="12838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0FB7-5906-4B85-8A55-44BDA2F2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13</Pages>
  <Words>4451</Words>
  <Characters>25374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DFZ</Company>
  <LinksUpToDate>false</LinksUpToDate>
  <CharactersWithSpaces>29766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Nataliya Slavova</cp:lastModifiedBy>
  <cp:revision>56</cp:revision>
  <cp:lastPrinted>2022-09-15T11:30:00Z</cp:lastPrinted>
  <dcterms:created xsi:type="dcterms:W3CDTF">2022-08-31T06:41:00Z</dcterms:created>
  <dcterms:modified xsi:type="dcterms:W3CDTF">2022-09-16T08:28:00Z</dcterms:modified>
</cp:coreProperties>
</file>