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54C" w:rsidRDefault="00A951DD" w:rsidP="0048154C">
      <w:pPr>
        <w:spacing w:after="0" w:line="240" w:lineRule="auto"/>
        <w:ind w:firstLine="357"/>
        <w:rPr>
          <w:rFonts w:ascii="Times New Roman" w:eastAsia="Calibri" w:hAnsi="Times New Roman" w:cs="Times New Roman"/>
          <w:b/>
          <w:sz w:val="28"/>
          <w:szCs w:val="28"/>
          <w:lang w:val="bg-BG"/>
        </w:rPr>
      </w:pPr>
      <w:bookmarkStart w:id="0" w:name="_GoBack"/>
      <w:bookmarkEnd w:id="0"/>
      <w:r w:rsidRPr="00167B2E">
        <w:rPr>
          <w:rFonts w:ascii="Times New Roman" w:eastAsia="Times New Roman" w:hAnsi="Times New Roman" w:cs="Times New Roman"/>
          <w:b/>
          <w:noProof/>
          <w:sz w:val="16"/>
          <w:szCs w:val="16"/>
        </w:rPr>
        <w:drawing>
          <wp:inline distT="0" distB="0" distL="0" distR="0" wp14:anchorId="68766321" wp14:editId="20C5D244">
            <wp:extent cx="1808483" cy="800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8480" cy="800099"/>
                    </a:xfrm>
                    <a:prstGeom prst="rect">
                      <a:avLst/>
                    </a:prstGeom>
                    <a:noFill/>
                    <a:ln w="9525">
                      <a:noFill/>
                      <a:miter lim="800000"/>
                      <a:headEnd/>
                      <a:tailEnd/>
                    </a:ln>
                  </pic:spPr>
                </pic:pic>
              </a:graphicData>
            </a:graphic>
          </wp:inline>
        </w:drawing>
      </w:r>
      <w:r>
        <w:rPr>
          <w:rFonts w:ascii="Times New Roman" w:eastAsia="Calibri" w:hAnsi="Times New Roman" w:cs="Times New Roman"/>
          <w:b/>
          <w:sz w:val="28"/>
          <w:szCs w:val="28"/>
          <w:lang w:val="bg-BG"/>
        </w:rPr>
        <w:t xml:space="preserve">                  </w:t>
      </w:r>
      <w:r w:rsidR="00014658">
        <w:rPr>
          <w:rFonts w:ascii="Times New Roman" w:eastAsia="Calibri" w:hAnsi="Times New Roman" w:cs="Times New Roman"/>
          <w:b/>
          <w:sz w:val="28"/>
          <w:szCs w:val="28"/>
          <w:lang w:val="bg-BG"/>
        </w:rPr>
        <w:t xml:space="preserve">      </w:t>
      </w:r>
      <w:r>
        <w:rPr>
          <w:rFonts w:ascii="Times New Roman" w:eastAsia="Calibri" w:hAnsi="Times New Roman" w:cs="Times New Roman"/>
          <w:b/>
          <w:sz w:val="28"/>
          <w:szCs w:val="28"/>
          <w:lang w:val="bg-BG"/>
        </w:rPr>
        <w:t xml:space="preserve">             </w:t>
      </w:r>
      <w:r w:rsidRPr="00167B2E">
        <w:rPr>
          <w:rFonts w:ascii="Calibri" w:eastAsia="Calibri" w:hAnsi="Calibri" w:cs="Times New Roman"/>
          <w:noProof/>
        </w:rPr>
        <w:drawing>
          <wp:inline distT="0" distB="0" distL="0" distR="0" wp14:anchorId="6020360B" wp14:editId="4EC63ECE">
            <wp:extent cx="1414775" cy="993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414775" cy="993530"/>
                    </a:xfrm>
                    <a:prstGeom prst="rect">
                      <a:avLst/>
                    </a:prstGeom>
                    <a:noFill/>
                    <a:ln w="9525">
                      <a:noFill/>
                      <a:miter lim="800000"/>
                      <a:headEnd/>
                      <a:tailEnd/>
                    </a:ln>
                  </pic:spPr>
                </pic:pic>
              </a:graphicData>
            </a:graphic>
          </wp:inline>
        </w:drawing>
      </w:r>
    </w:p>
    <w:p w:rsidR="00451964" w:rsidRPr="00451964" w:rsidRDefault="00451964" w:rsidP="00451964">
      <w:pPr>
        <w:spacing w:after="0" w:line="360" w:lineRule="auto"/>
        <w:jc w:val="right"/>
        <w:rPr>
          <w:rFonts w:ascii="Times New Roman" w:eastAsia="Times New Roman" w:hAnsi="Times New Roman" w:cs="Times New Roman"/>
          <w:b/>
          <w:sz w:val="24"/>
          <w:szCs w:val="24"/>
          <w:lang w:val="bg-BG"/>
        </w:rPr>
      </w:pPr>
      <w:r w:rsidRPr="00451964">
        <w:rPr>
          <w:rFonts w:ascii="Times New Roman" w:eastAsia="Times New Roman" w:hAnsi="Times New Roman" w:cs="Times New Roman"/>
          <w:b/>
          <w:sz w:val="24"/>
          <w:szCs w:val="24"/>
          <w:lang w:val="bg-BG"/>
        </w:rPr>
        <w:t xml:space="preserve">                                                                                                                                                        </w:t>
      </w:r>
    </w:p>
    <w:p w:rsidR="00221082" w:rsidRPr="00451964" w:rsidRDefault="00451964" w:rsidP="00F54230">
      <w:pPr>
        <w:spacing w:after="0"/>
        <w:ind w:left="720"/>
        <w:jc w:val="both"/>
        <w:rPr>
          <w:rFonts w:ascii="Times New Roman" w:eastAsia="Times New Roman" w:hAnsi="Times New Roman" w:cs="Times New Roman"/>
          <w:b/>
          <w:sz w:val="28"/>
          <w:szCs w:val="28"/>
          <w:lang w:val="bg-BG"/>
        </w:rPr>
      </w:pPr>
      <w:r w:rsidRPr="00451964">
        <w:rPr>
          <w:rFonts w:ascii="Calibri" w:eastAsia="Calibri" w:hAnsi="Calibri" w:cs="Times New Roman"/>
          <w:noProof/>
          <w:color w:val="000000"/>
          <w:sz w:val="24"/>
          <w:szCs w:val="20"/>
          <w:lang w:val="bg-BG" w:eastAsia="bg-BG"/>
        </w:rPr>
        <w:t xml:space="preserve">                                                                      </w:t>
      </w:r>
      <w:r w:rsidRPr="00451964">
        <w:rPr>
          <w:rFonts w:ascii="Times New Roman" w:eastAsia="Times New Roman" w:hAnsi="Times New Roman" w:cs="Times New Roman"/>
          <w:b/>
          <w:noProof/>
          <w:color w:val="000000"/>
          <w:sz w:val="16"/>
          <w:szCs w:val="16"/>
          <w:lang w:val="bg-BG" w:eastAsia="bg-BG"/>
        </w:rPr>
        <w:t xml:space="preserve">                                                                                                             </w:t>
      </w:r>
    </w:p>
    <w:p w:rsidR="00451964" w:rsidRPr="00451964" w:rsidRDefault="00451964" w:rsidP="00451964">
      <w:pPr>
        <w:spacing w:after="0"/>
        <w:ind w:left="720"/>
        <w:jc w:val="center"/>
        <w:rPr>
          <w:rFonts w:ascii="Times New Roman" w:eastAsia="Times New Roman" w:hAnsi="Times New Roman" w:cs="Times New Roman"/>
          <w:b/>
          <w:sz w:val="28"/>
          <w:szCs w:val="28"/>
          <w:lang w:val="bg-BG"/>
        </w:rPr>
      </w:pPr>
    </w:p>
    <w:p w:rsidR="00451964" w:rsidRPr="00451964" w:rsidRDefault="00451964" w:rsidP="00451964">
      <w:pPr>
        <w:spacing w:after="0"/>
        <w:ind w:left="720"/>
        <w:jc w:val="center"/>
        <w:rPr>
          <w:rFonts w:ascii="Times New Roman" w:eastAsia="Times New Roman" w:hAnsi="Times New Roman" w:cs="Times New Roman"/>
          <w:b/>
          <w:sz w:val="28"/>
          <w:szCs w:val="28"/>
          <w:lang w:val="bg-BG"/>
        </w:rPr>
      </w:pPr>
    </w:p>
    <w:p w:rsidR="00451964" w:rsidRPr="00451964" w:rsidRDefault="00451964" w:rsidP="00451964">
      <w:pPr>
        <w:spacing w:after="0"/>
        <w:ind w:left="720"/>
        <w:jc w:val="center"/>
        <w:rPr>
          <w:rFonts w:ascii="Times New Roman" w:eastAsia="Times New Roman" w:hAnsi="Times New Roman" w:cs="Times New Roman"/>
          <w:b/>
          <w:sz w:val="28"/>
          <w:szCs w:val="28"/>
          <w:lang w:val="bg-BG"/>
        </w:rPr>
      </w:pPr>
    </w:p>
    <w:p w:rsidR="00451964" w:rsidRPr="00451964" w:rsidRDefault="00451964" w:rsidP="00451964">
      <w:pPr>
        <w:spacing w:after="0"/>
        <w:ind w:left="720"/>
        <w:jc w:val="center"/>
        <w:rPr>
          <w:rFonts w:ascii="Times New Roman" w:eastAsia="Times New Roman" w:hAnsi="Times New Roman" w:cs="Times New Roman"/>
          <w:b/>
          <w:sz w:val="28"/>
          <w:szCs w:val="28"/>
          <w:lang w:val="bg-BG"/>
        </w:rPr>
      </w:pPr>
    </w:p>
    <w:p w:rsidR="00451964" w:rsidRPr="00451964" w:rsidRDefault="00451964" w:rsidP="00451964">
      <w:pPr>
        <w:spacing w:after="0"/>
        <w:ind w:left="720"/>
        <w:jc w:val="center"/>
        <w:rPr>
          <w:rFonts w:ascii="Times New Roman" w:eastAsia="Times New Roman" w:hAnsi="Times New Roman" w:cs="Times New Roman"/>
          <w:b/>
          <w:sz w:val="28"/>
          <w:szCs w:val="28"/>
          <w:lang w:val="bg-BG"/>
        </w:rPr>
      </w:pPr>
    </w:p>
    <w:p w:rsidR="00451964" w:rsidRPr="00451964" w:rsidRDefault="00451964" w:rsidP="00451964">
      <w:pPr>
        <w:spacing w:after="0"/>
        <w:ind w:left="720"/>
        <w:jc w:val="right"/>
        <w:rPr>
          <w:rFonts w:ascii="Times New Roman" w:eastAsia="Times New Roman" w:hAnsi="Times New Roman" w:cs="Times New Roman"/>
          <w:b/>
          <w:sz w:val="28"/>
          <w:szCs w:val="28"/>
          <w:lang w:val="bg-BG"/>
        </w:rPr>
      </w:pPr>
    </w:p>
    <w:p w:rsidR="00451964" w:rsidRPr="00451964" w:rsidRDefault="00451964" w:rsidP="005E18B6">
      <w:pPr>
        <w:spacing w:after="0"/>
        <w:jc w:val="center"/>
        <w:rPr>
          <w:rFonts w:ascii="Times New Roman" w:eastAsia="Times New Roman" w:hAnsi="Times New Roman" w:cs="Times New Roman"/>
          <w:b/>
          <w:sz w:val="28"/>
          <w:szCs w:val="28"/>
          <w:lang w:val="bg-BG"/>
        </w:rPr>
      </w:pPr>
      <w:r w:rsidRPr="00451964">
        <w:rPr>
          <w:rFonts w:ascii="Times New Roman" w:eastAsia="Times New Roman" w:hAnsi="Times New Roman" w:cs="Times New Roman"/>
          <w:b/>
          <w:sz w:val="28"/>
          <w:szCs w:val="28"/>
          <w:lang w:val="bg-BG"/>
        </w:rPr>
        <w:t>П Р О Т О К О Л</w:t>
      </w:r>
    </w:p>
    <w:p w:rsidR="00451964" w:rsidRPr="00451964" w:rsidRDefault="00451964" w:rsidP="00451964">
      <w:pPr>
        <w:spacing w:after="0"/>
        <w:ind w:left="720"/>
        <w:jc w:val="both"/>
        <w:rPr>
          <w:rFonts w:ascii="Times New Roman" w:eastAsia="Times New Roman" w:hAnsi="Times New Roman" w:cs="Times New Roman"/>
          <w:b/>
          <w:sz w:val="16"/>
          <w:szCs w:val="16"/>
          <w:lang w:val="bg-BG"/>
        </w:rPr>
      </w:pPr>
    </w:p>
    <w:p w:rsidR="00451964" w:rsidRPr="00451964" w:rsidRDefault="00451964" w:rsidP="00451964">
      <w:pPr>
        <w:spacing w:after="0"/>
        <w:ind w:left="720"/>
        <w:jc w:val="both"/>
        <w:rPr>
          <w:rFonts w:ascii="Times New Roman" w:eastAsia="Times New Roman" w:hAnsi="Times New Roman" w:cs="Times New Roman"/>
          <w:b/>
          <w:sz w:val="16"/>
          <w:szCs w:val="16"/>
          <w:lang w:val="bg-BG"/>
        </w:rPr>
      </w:pPr>
    </w:p>
    <w:p w:rsidR="00451964" w:rsidRPr="00451964" w:rsidRDefault="00451964" w:rsidP="00451964">
      <w:pPr>
        <w:spacing w:after="0"/>
        <w:ind w:left="720"/>
        <w:jc w:val="center"/>
        <w:rPr>
          <w:rFonts w:ascii="Times New Roman" w:eastAsia="Times New Roman" w:hAnsi="Times New Roman" w:cs="Times New Roman"/>
          <w:sz w:val="24"/>
          <w:szCs w:val="24"/>
          <w:lang w:val="bg-BG"/>
        </w:rPr>
      </w:pPr>
    </w:p>
    <w:p w:rsidR="00451964" w:rsidRPr="00451964" w:rsidRDefault="00451964" w:rsidP="00451964">
      <w:pPr>
        <w:spacing w:after="0"/>
        <w:ind w:left="720"/>
        <w:jc w:val="both"/>
        <w:rPr>
          <w:rFonts w:ascii="Times New Roman" w:eastAsia="Times New Roman" w:hAnsi="Times New Roman" w:cs="Times New Roman"/>
          <w:b/>
          <w:sz w:val="16"/>
          <w:szCs w:val="16"/>
          <w:lang w:val="bg-BG"/>
        </w:rPr>
      </w:pPr>
    </w:p>
    <w:p w:rsidR="00451964" w:rsidRPr="00451964" w:rsidRDefault="00451964" w:rsidP="00451964">
      <w:pPr>
        <w:spacing w:after="0"/>
        <w:ind w:left="720"/>
        <w:jc w:val="both"/>
        <w:rPr>
          <w:rFonts w:ascii="Times New Roman" w:eastAsia="Times New Roman" w:hAnsi="Times New Roman" w:cs="Times New Roman"/>
          <w:b/>
          <w:sz w:val="16"/>
          <w:szCs w:val="16"/>
          <w:lang w:val="bg-BG"/>
        </w:rPr>
      </w:pPr>
    </w:p>
    <w:p w:rsidR="00451964" w:rsidRPr="00451964" w:rsidRDefault="00451964" w:rsidP="00451964">
      <w:pPr>
        <w:tabs>
          <w:tab w:val="left" w:pos="2127"/>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color w:val="000000"/>
          <w:sz w:val="28"/>
          <w:szCs w:val="28"/>
          <w:lang w:val="bg-BG" w:eastAsia="bg-BG"/>
        </w:rPr>
      </w:pPr>
      <w:r w:rsidRPr="00451964">
        <w:rPr>
          <w:rFonts w:ascii="Times New Roman" w:eastAsia="Times New Roman" w:hAnsi="Times New Roman" w:cs="Times New Roman"/>
          <w:b/>
          <w:color w:val="000000"/>
          <w:sz w:val="28"/>
          <w:szCs w:val="28"/>
          <w:lang w:val="bg-BG" w:eastAsia="bg-BG"/>
        </w:rPr>
        <w:t>от</w:t>
      </w:r>
    </w:p>
    <w:p w:rsidR="00451964" w:rsidRPr="00451964" w:rsidRDefault="00451964" w:rsidP="00451964">
      <w:pPr>
        <w:tabs>
          <w:tab w:val="left" w:pos="2127"/>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color w:val="000000"/>
          <w:sz w:val="28"/>
          <w:szCs w:val="28"/>
          <w:lang w:val="bg-BG" w:eastAsia="bg-BG"/>
        </w:rPr>
      </w:pPr>
    </w:p>
    <w:p w:rsidR="00451964" w:rsidRPr="00451964" w:rsidRDefault="00451964" w:rsidP="00451964">
      <w:pPr>
        <w:tabs>
          <w:tab w:val="left" w:pos="2127"/>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color w:val="000000"/>
          <w:sz w:val="28"/>
          <w:szCs w:val="28"/>
          <w:lang w:val="bg-BG" w:eastAsia="bg-BG"/>
        </w:rPr>
      </w:pPr>
    </w:p>
    <w:p w:rsidR="00451964" w:rsidRPr="00451964" w:rsidRDefault="00451964" w:rsidP="00451964">
      <w:pPr>
        <w:tabs>
          <w:tab w:val="left" w:pos="2127"/>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color w:val="000000"/>
          <w:sz w:val="28"/>
          <w:szCs w:val="28"/>
          <w:lang w:val="bg-BG" w:eastAsia="bg-BG"/>
        </w:rPr>
      </w:pPr>
    </w:p>
    <w:p w:rsidR="00451964" w:rsidRPr="00451964" w:rsidRDefault="00451964" w:rsidP="00451964">
      <w:pPr>
        <w:tabs>
          <w:tab w:val="left" w:pos="2127"/>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color w:val="000000"/>
          <w:sz w:val="28"/>
          <w:szCs w:val="28"/>
          <w:lang w:val="bg-BG" w:eastAsia="bg-BG"/>
        </w:rPr>
      </w:pPr>
      <w:r w:rsidRPr="00451964">
        <w:rPr>
          <w:rFonts w:ascii="Times New Roman" w:eastAsia="Times New Roman" w:hAnsi="Times New Roman" w:cs="Times New Roman"/>
          <w:b/>
          <w:color w:val="000000"/>
          <w:sz w:val="28"/>
          <w:szCs w:val="28"/>
          <w:lang w:val="bg-BG" w:eastAsia="bg-BG"/>
        </w:rPr>
        <w:t>ОСЕМНАДЕСЕТО ЗАСЕДАНИЕ НА КОМИТЕТА ЗА НАБЛЮДЕНИЕ НА ПРОГРАМАТА ЗА РАЗВИТИЕ НА СЕЛСКИТЕ РАЙОНИ (2014 – 2020 г.)</w:t>
      </w:r>
    </w:p>
    <w:p w:rsidR="00451964" w:rsidRPr="00451964" w:rsidRDefault="00451964" w:rsidP="00451964">
      <w:pPr>
        <w:spacing w:after="0"/>
        <w:ind w:left="720"/>
        <w:jc w:val="center"/>
        <w:rPr>
          <w:rFonts w:ascii="Times New Roman" w:eastAsia="Times New Roman" w:hAnsi="Times New Roman" w:cs="Times New Roman"/>
          <w:b/>
          <w:sz w:val="16"/>
          <w:szCs w:val="16"/>
          <w:lang w:val="bg-BG"/>
        </w:rPr>
      </w:pPr>
    </w:p>
    <w:p w:rsidR="00451964" w:rsidRPr="00451964" w:rsidRDefault="00451964" w:rsidP="00451964">
      <w:pPr>
        <w:spacing w:after="0"/>
        <w:ind w:left="720"/>
        <w:jc w:val="center"/>
        <w:rPr>
          <w:rFonts w:ascii="Times New Roman" w:eastAsia="Times New Roman" w:hAnsi="Times New Roman" w:cs="Times New Roman"/>
          <w:b/>
          <w:sz w:val="16"/>
          <w:szCs w:val="16"/>
          <w:lang w:val="bg-BG"/>
        </w:rPr>
      </w:pPr>
    </w:p>
    <w:p w:rsidR="00451964" w:rsidRPr="00451964" w:rsidRDefault="00451964" w:rsidP="00451964">
      <w:pPr>
        <w:spacing w:after="0"/>
        <w:ind w:left="720"/>
        <w:jc w:val="center"/>
        <w:rPr>
          <w:rFonts w:ascii="Times New Roman" w:eastAsia="Times New Roman" w:hAnsi="Times New Roman" w:cs="Times New Roman"/>
          <w:b/>
          <w:sz w:val="16"/>
          <w:szCs w:val="16"/>
          <w:lang w:val="bg-BG"/>
        </w:rPr>
      </w:pPr>
    </w:p>
    <w:p w:rsidR="00451964" w:rsidRPr="00451964" w:rsidRDefault="00451964" w:rsidP="00451964">
      <w:pPr>
        <w:spacing w:after="0"/>
        <w:ind w:left="720"/>
        <w:jc w:val="center"/>
        <w:rPr>
          <w:rFonts w:ascii="Times New Roman" w:eastAsia="Times New Roman" w:hAnsi="Times New Roman" w:cs="Times New Roman"/>
          <w:b/>
          <w:sz w:val="16"/>
          <w:szCs w:val="16"/>
          <w:lang w:val="bg-BG"/>
        </w:rPr>
      </w:pPr>
    </w:p>
    <w:p w:rsidR="00451964" w:rsidRPr="00451964" w:rsidRDefault="00451964" w:rsidP="00451964">
      <w:pPr>
        <w:spacing w:after="0"/>
        <w:ind w:left="720"/>
        <w:jc w:val="center"/>
        <w:rPr>
          <w:rFonts w:ascii="Times New Roman" w:eastAsia="Times New Roman" w:hAnsi="Times New Roman" w:cs="Times New Roman"/>
          <w:b/>
          <w:sz w:val="16"/>
          <w:szCs w:val="16"/>
          <w:lang w:val="bg-BG"/>
        </w:rPr>
      </w:pPr>
    </w:p>
    <w:p w:rsidR="00451964" w:rsidRPr="00451964" w:rsidRDefault="00451964" w:rsidP="00221082">
      <w:pPr>
        <w:spacing w:after="0"/>
        <w:rPr>
          <w:rFonts w:ascii="Times New Roman" w:eastAsia="Times New Roman" w:hAnsi="Times New Roman" w:cs="Times New Roman"/>
          <w:b/>
          <w:sz w:val="16"/>
          <w:szCs w:val="16"/>
          <w:lang w:val="bg-BG"/>
        </w:rPr>
      </w:pPr>
    </w:p>
    <w:p w:rsidR="00451964" w:rsidRPr="00451964" w:rsidRDefault="00451964" w:rsidP="00451964">
      <w:pPr>
        <w:spacing w:after="0"/>
        <w:ind w:left="720"/>
        <w:jc w:val="center"/>
        <w:rPr>
          <w:rFonts w:ascii="Times New Roman" w:eastAsia="Times New Roman" w:hAnsi="Times New Roman" w:cs="Times New Roman"/>
          <w:b/>
          <w:sz w:val="16"/>
          <w:szCs w:val="16"/>
          <w:lang w:val="bg-BG"/>
        </w:rPr>
      </w:pPr>
    </w:p>
    <w:p w:rsidR="00451964" w:rsidRPr="00451964" w:rsidRDefault="00451964" w:rsidP="00451964">
      <w:pPr>
        <w:spacing w:after="0"/>
        <w:ind w:left="720"/>
        <w:jc w:val="center"/>
        <w:rPr>
          <w:rFonts w:ascii="Times New Roman" w:eastAsia="Times New Roman" w:hAnsi="Times New Roman" w:cs="Times New Roman"/>
          <w:b/>
          <w:sz w:val="16"/>
          <w:szCs w:val="16"/>
          <w:lang w:val="bg-BG"/>
        </w:rPr>
      </w:pPr>
    </w:p>
    <w:p w:rsidR="00451964" w:rsidRPr="00451964" w:rsidRDefault="00451964" w:rsidP="00451964">
      <w:pPr>
        <w:spacing w:after="0"/>
        <w:ind w:left="720"/>
        <w:jc w:val="center"/>
        <w:rPr>
          <w:rFonts w:ascii="Times New Roman" w:eastAsia="Times New Roman" w:hAnsi="Times New Roman" w:cs="Times New Roman"/>
          <w:b/>
          <w:sz w:val="16"/>
          <w:szCs w:val="16"/>
          <w:lang w:val="bg-BG"/>
        </w:rPr>
      </w:pPr>
    </w:p>
    <w:p w:rsidR="00451964" w:rsidRPr="00451964" w:rsidRDefault="00451964" w:rsidP="00451964">
      <w:pPr>
        <w:spacing w:after="0"/>
        <w:ind w:left="720"/>
        <w:jc w:val="center"/>
        <w:rPr>
          <w:rFonts w:ascii="Times New Roman" w:eastAsia="Times New Roman" w:hAnsi="Times New Roman" w:cs="Times New Roman"/>
          <w:b/>
          <w:sz w:val="16"/>
          <w:szCs w:val="16"/>
          <w:lang w:val="bg-BG"/>
        </w:rPr>
      </w:pPr>
    </w:p>
    <w:p w:rsidR="00451964" w:rsidRPr="00451964" w:rsidRDefault="00451964" w:rsidP="00451964">
      <w:pPr>
        <w:spacing w:after="0"/>
        <w:ind w:left="720"/>
        <w:jc w:val="center"/>
        <w:rPr>
          <w:rFonts w:ascii="Times New Roman" w:eastAsia="Times New Roman" w:hAnsi="Times New Roman" w:cs="Times New Roman"/>
          <w:b/>
          <w:sz w:val="16"/>
          <w:szCs w:val="16"/>
          <w:lang w:val="bg-BG"/>
        </w:rPr>
      </w:pPr>
    </w:p>
    <w:p w:rsidR="00451964" w:rsidRPr="00451964" w:rsidRDefault="00451964" w:rsidP="00451964">
      <w:pPr>
        <w:spacing w:after="0"/>
        <w:ind w:left="720"/>
        <w:jc w:val="center"/>
        <w:rPr>
          <w:rFonts w:ascii="Times New Roman" w:eastAsia="Times New Roman" w:hAnsi="Times New Roman" w:cs="Times New Roman"/>
          <w:b/>
          <w:sz w:val="16"/>
          <w:szCs w:val="16"/>
          <w:lang w:val="bg-BG"/>
        </w:rPr>
      </w:pPr>
    </w:p>
    <w:p w:rsidR="00451964" w:rsidRPr="00451964" w:rsidRDefault="00451964" w:rsidP="00451964">
      <w:pPr>
        <w:tabs>
          <w:tab w:val="left" w:pos="2127"/>
        </w:tabs>
        <w:spacing w:after="0" w:line="240" w:lineRule="auto"/>
        <w:contextualSpacing/>
        <w:rPr>
          <w:rFonts w:ascii="Times New Roman" w:eastAsia="Times New Roman" w:hAnsi="Times New Roman" w:cs="Times New Roman"/>
          <w:i/>
          <w:color w:val="000000"/>
          <w:sz w:val="28"/>
          <w:szCs w:val="28"/>
          <w:lang w:val="bg-BG" w:eastAsia="bg-BG"/>
        </w:rPr>
      </w:pPr>
      <w:r w:rsidRPr="00451964">
        <w:rPr>
          <w:rFonts w:ascii="Times New Roman" w:eastAsia="Times New Roman" w:hAnsi="Times New Roman" w:cs="Times New Roman"/>
          <w:b/>
          <w:color w:val="000000"/>
          <w:sz w:val="28"/>
          <w:szCs w:val="28"/>
          <w:lang w:val="bg-BG" w:eastAsia="bg-BG"/>
        </w:rPr>
        <w:t>Дата и място на провеждане :</w:t>
      </w:r>
      <w:r w:rsidRPr="00451964">
        <w:rPr>
          <w:rFonts w:ascii="Times New Roman" w:eastAsia="Times New Roman" w:hAnsi="Times New Roman" w:cs="Times New Roman"/>
          <w:color w:val="000000"/>
          <w:sz w:val="28"/>
          <w:szCs w:val="28"/>
          <w:lang w:val="bg-BG" w:eastAsia="bg-BG"/>
        </w:rPr>
        <w:tab/>
        <w:t xml:space="preserve">                            </w:t>
      </w:r>
      <w:r w:rsidRPr="00451964">
        <w:rPr>
          <w:rFonts w:ascii="Times New Roman" w:eastAsia="Times New Roman" w:hAnsi="Times New Roman" w:cs="Times New Roman"/>
          <w:b/>
          <w:color w:val="000000"/>
          <w:sz w:val="28"/>
          <w:szCs w:val="28"/>
          <w:lang w:val="bg-BG" w:eastAsia="bg-BG"/>
        </w:rPr>
        <w:t xml:space="preserve">11.07.2022 г.                                                                    </w:t>
      </w:r>
    </w:p>
    <w:p w:rsidR="00451964" w:rsidRDefault="00451964"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r w:rsidRPr="00451964">
        <w:rPr>
          <w:rFonts w:ascii="Times New Roman" w:eastAsia="Times New Roman" w:hAnsi="Times New Roman" w:cs="Times New Roman"/>
          <w:b/>
          <w:color w:val="000000"/>
          <w:sz w:val="28"/>
          <w:szCs w:val="28"/>
          <w:lang w:val="bg-BG" w:eastAsia="bg-BG"/>
        </w:rPr>
        <w:t>МЗм, гр. София</w:t>
      </w:r>
    </w:p>
    <w:p w:rsidR="00F54230" w:rsidRDefault="00F54230"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p>
    <w:p w:rsidR="00F54230" w:rsidRDefault="00F54230"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p>
    <w:p w:rsidR="00F54230" w:rsidRDefault="00F54230"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p>
    <w:p w:rsidR="00F54230" w:rsidRDefault="00F54230"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p>
    <w:p w:rsidR="00F54230" w:rsidRDefault="00F54230"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p>
    <w:p w:rsidR="00F54230" w:rsidRDefault="00F54230"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p>
    <w:p w:rsidR="00F54230" w:rsidRDefault="00F54230"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p>
    <w:p w:rsidR="00F54230" w:rsidRDefault="00F54230"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p>
    <w:p w:rsidR="00F54230" w:rsidRDefault="00F54230"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p>
    <w:p w:rsidR="00F54230" w:rsidRDefault="00F54230"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p>
    <w:p w:rsidR="00F54230" w:rsidRDefault="00F54230"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p>
    <w:p w:rsidR="00F54230" w:rsidRPr="00451964" w:rsidRDefault="00F54230"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p>
    <w:p w:rsidR="00451964" w:rsidRPr="00451964" w:rsidRDefault="00451964" w:rsidP="00451964">
      <w:pPr>
        <w:tabs>
          <w:tab w:val="left" w:pos="2127"/>
        </w:tabs>
        <w:spacing w:after="0" w:line="240" w:lineRule="auto"/>
        <w:contextualSpacing/>
        <w:jc w:val="both"/>
        <w:rPr>
          <w:rFonts w:ascii="Times New Roman" w:eastAsia="Times New Roman" w:hAnsi="Times New Roman" w:cs="Times New Roman"/>
          <w:b/>
          <w:color w:val="000000"/>
          <w:sz w:val="28"/>
          <w:szCs w:val="28"/>
          <w:lang w:val="bg-BG" w:eastAsia="bg-BG"/>
        </w:rPr>
      </w:pPr>
    </w:p>
    <w:p w:rsidR="00451964" w:rsidRPr="00451964" w:rsidRDefault="00451964" w:rsidP="00451964">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val="bg-BG"/>
        </w:rPr>
      </w:pPr>
      <w:r w:rsidRPr="00451964">
        <w:rPr>
          <w:rFonts w:ascii="Times New Roman" w:eastAsia="Calibri" w:hAnsi="Times New Roman" w:cs="Times New Roman"/>
          <w:b/>
          <w:sz w:val="28"/>
          <w:szCs w:val="28"/>
          <w:lang w:val="bg-BG"/>
        </w:rPr>
        <w:lastRenderedPageBreak/>
        <w:t xml:space="preserve">      ДНЕВЕН РЕД </w:t>
      </w:r>
    </w:p>
    <w:p w:rsidR="00451964" w:rsidRPr="00451964" w:rsidRDefault="00451964" w:rsidP="00451964">
      <w:pPr>
        <w:spacing w:after="0" w:line="240" w:lineRule="auto"/>
        <w:jc w:val="center"/>
        <w:rPr>
          <w:rFonts w:ascii="Times New Roman" w:eastAsia="Calibri" w:hAnsi="Times New Roman" w:cs="Times New Roman"/>
          <w:b/>
          <w:sz w:val="24"/>
          <w:szCs w:val="24"/>
          <w:lang w:val="bg-BG"/>
        </w:rPr>
      </w:pPr>
      <w:r w:rsidRPr="00451964">
        <w:rPr>
          <w:rFonts w:ascii="Times New Roman" w:eastAsia="Calibri" w:hAnsi="Times New Roman" w:cs="Times New Roman"/>
          <w:b/>
          <w:sz w:val="24"/>
          <w:szCs w:val="24"/>
          <w:lang w:val="bg-BG"/>
        </w:rPr>
        <w:t>на</w:t>
      </w:r>
    </w:p>
    <w:p w:rsidR="00451964" w:rsidRPr="00451964" w:rsidRDefault="00451964" w:rsidP="00451964">
      <w:pPr>
        <w:spacing w:after="0" w:line="240" w:lineRule="auto"/>
        <w:jc w:val="center"/>
        <w:rPr>
          <w:rFonts w:ascii="Times New Roman" w:eastAsia="Calibri" w:hAnsi="Times New Roman" w:cs="Times New Roman"/>
          <w:b/>
          <w:lang w:val="bg-BG"/>
        </w:rPr>
      </w:pPr>
      <w:r w:rsidRPr="00451964">
        <w:rPr>
          <w:rFonts w:ascii="Times New Roman" w:eastAsia="Calibri" w:hAnsi="Times New Roman" w:cs="Times New Roman"/>
          <w:b/>
          <w:lang w:val="bg-BG"/>
        </w:rPr>
        <w:t>18-то заседание на Комитета по наблюдение на Програмата за развитие на селските райони (2014-2020) на 11.07.2022 г., проведено чрез видеоконферентна връзка</w:t>
      </w:r>
    </w:p>
    <w:p w:rsidR="00451964" w:rsidRPr="00451964" w:rsidRDefault="00451964" w:rsidP="00451964">
      <w:pPr>
        <w:spacing w:after="0" w:line="240" w:lineRule="auto"/>
        <w:rPr>
          <w:rFonts w:ascii="Times New Roman" w:eastAsia="Calibri" w:hAnsi="Times New Roman" w:cs="Times New Roman"/>
          <w:b/>
          <w:lang w:val="bg-BG"/>
        </w:rPr>
      </w:pPr>
    </w:p>
    <w:tbl>
      <w:tblPr>
        <w:tblW w:w="5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2"/>
        <w:gridCol w:w="9747"/>
      </w:tblGrid>
      <w:tr w:rsidR="00451964" w:rsidRPr="00451964" w:rsidTr="00E23FC2">
        <w:trPr>
          <w:trHeight w:val="643"/>
          <w:jc w:val="center"/>
        </w:trPr>
        <w:tc>
          <w:tcPr>
            <w:tcW w:w="683" w:type="pct"/>
            <w:vAlign w:val="center"/>
          </w:tcPr>
          <w:p w:rsidR="00451964" w:rsidRPr="00451964" w:rsidRDefault="00451964" w:rsidP="00E23FC2">
            <w:pPr>
              <w:spacing w:after="0"/>
              <w:ind w:left="379" w:right="-107"/>
              <w:rPr>
                <w:rFonts w:ascii="Times New Roman" w:eastAsia="Calibri" w:hAnsi="Times New Roman" w:cs="Times New Roman"/>
                <w:b/>
                <w:lang w:val="bg-BG"/>
              </w:rPr>
            </w:pPr>
            <w:r w:rsidRPr="00451964">
              <w:rPr>
                <w:rFonts w:ascii="Times New Roman" w:eastAsia="Calibri" w:hAnsi="Times New Roman" w:cs="Times New Roman"/>
                <w:b/>
                <w:lang w:val="bg-BG"/>
              </w:rPr>
              <w:t>10:00</w:t>
            </w:r>
            <w:r w:rsidRPr="00451964">
              <w:rPr>
                <w:rFonts w:ascii="Times New Roman" w:eastAsia="Calibri" w:hAnsi="Times New Roman" w:cs="Times New Roman"/>
                <w:b/>
                <w:lang w:val="ru-RU"/>
              </w:rPr>
              <w:t xml:space="preserve"> – 10</w:t>
            </w:r>
            <w:r w:rsidRPr="00451964">
              <w:rPr>
                <w:rFonts w:ascii="Times New Roman" w:eastAsia="Calibri" w:hAnsi="Times New Roman" w:cs="Times New Roman"/>
                <w:b/>
                <w:lang w:val="bg-BG"/>
              </w:rPr>
              <w:t>:30</w:t>
            </w:r>
          </w:p>
        </w:tc>
        <w:tc>
          <w:tcPr>
            <w:tcW w:w="4317" w:type="pct"/>
            <w:vAlign w:val="center"/>
          </w:tcPr>
          <w:p w:rsidR="00451964" w:rsidRPr="00451964" w:rsidRDefault="00451964" w:rsidP="00451964">
            <w:pPr>
              <w:spacing w:after="0"/>
              <w:rPr>
                <w:rFonts w:ascii="Times New Roman" w:eastAsia="Calibri" w:hAnsi="Times New Roman" w:cs="Times New Roman"/>
                <w:b/>
                <w:lang w:val="bg-BG"/>
              </w:rPr>
            </w:pPr>
            <w:r w:rsidRPr="00451964">
              <w:rPr>
                <w:rFonts w:ascii="Times New Roman" w:eastAsia="Calibri" w:hAnsi="Times New Roman" w:cs="Times New Roman"/>
                <w:b/>
                <w:lang w:val="bg-BG"/>
              </w:rPr>
              <w:t>Регистрация на участниците, проверка за наличие на кворум.</w:t>
            </w:r>
          </w:p>
        </w:tc>
      </w:tr>
      <w:tr w:rsidR="00451964" w:rsidRPr="00451964" w:rsidTr="00E23FC2">
        <w:trPr>
          <w:trHeight w:val="643"/>
          <w:jc w:val="center"/>
        </w:trPr>
        <w:tc>
          <w:tcPr>
            <w:tcW w:w="683" w:type="pct"/>
            <w:vAlign w:val="center"/>
          </w:tcPr>
          <w:p w:rsidR="00451964" w:rsidRPr="00451964" w:rsidRDefault="00451964" w:rsidP="00E23FC2">
            <w:pPr>
              <w:spacing w:after="0"/>
              <w:ind w:left="379" w:right="-107"/>
              <w:rPr>
                <w:rFonts w:ascii="Times New Roman" w:eastAsia="Calibri" w:hAnsi="Times New Roman" w:cs="Times New Roman"/>
                <w:b/>
                <w:lang w:val="ru-RU"/>
              </w:rPr>
            </w:pPr>
            <w:r w:rsidRPr="00451964">
              <w:rPr>
                <w:rFonts w:ascii="Times New Roman" w:eastAsia="Calibri" w:hAnsi="Times New Roman" w:cs="Times New Roman"/>
                <w:b/>
                <w:lang w:val="bg-BG"/>
              </w:rPr>
              <w:t>10:30 – 10:</w:t>
            </w:r>
            <w:r w:rsidRPr="00451964">
              <w:rPr>
                <w:rFonts w:ascii="Times New Roman" w:eastAsia="Calibri" w:hAnsi="Times New Roman" w:cs="Times New Roman"/>
                <w:b/>
                <w:lang w:val="ru-RU"/>
              </w:rPr>
              <w:t>40</w:t>
            </w:r>
          </w:p>
        </w:tc>
        <w:tc>
          <w:tcPr>
            <w:tcW w:w="4317" w:type="pct"/>
            <w:vAlign w:val="center"/>
          </w:tcPr>
          <w:p w:rsidR="00451964" w:rsidRPr="00451964" w:rsidRDefault="00451964" w:rsidP="00451964">
            <w:pPr>
              <w:spacing w:after="0"/>
              <w:jc w:val="both"/>
              <w:rPr>
                <w:rFonts w:ascii="Times New Roman" w:eastAsia="Calibri" w:hAnsi="Times New Roman" w:cs="Times New Roman"/>
                <w:b/>
                <w:lang w:val="bg-BG"/>
              </w:rPr>
            </w:pPr>
            <w:r w:rsidRPr="00451964">
              <w:rPr>
                <w:rFonts w:ascii="Times New Roman" w:eastAsia="Calibri" w:hAnsi="Times New Roman" w:cs="Times New Roman"/>
                <w:b/>
                <w:lang w:val="bg-BG"/>
              </w:rPr>
              <w:t>т. 1. Откриване на заседанието на КН на ПРСР 2014-2020 г. Приемане на дневния ред.</w:t>
            </w:r>
            <w:r w:rsidRPr="00451964">
              <w:rPr>
                <w:rFonts w:ascii="Times New Roman" w:eastAsia="Calibri" w:hAnsi="Times New Roman" w:cs="Times New Roman"/>
                <w:b/>
                <w:i/>
                <w:lang w:val="bg-BG"/>
              </w:rPr>
              <w:t xml:space="preserve">   </w:t>
            </w:r>
          </w:p>
          <w:p w:rsidR="00451964" w:rsidRPr="00451964" w:rsidRDefault="00451964" w:rsidP="00451964">
            <w:pPr>
              <w:spacing w:after="0"/>
              <w:jc w:val="both"/>
              <w:rPr>
                <w:rFonts w:ascii="Times New Roman" w:eastAsia="Calibri" w:hAnsi="Times New Roman" w:cs="Times New Roman"/>
                <w:i/>
                <w:lang w:val="bg-BG"/>
              </w:rPr>
            </w:pPr>
            <w:r w:rsidRPr="00451964">
              <w:rPr>
                <w:rFonts w:ascii="Times New Roman" w:eastAsia="Calibri" w:hAnsi="Times New Roman" w:cs="Times New Roman"/>
                <w:i/>
                <w:lang w:val="bg-BG"/>
              </w:rPr>
              <w:t>Д-р Момчил Неков – заместник-министър на земеделието и председател на КН на ПРСР (2014-2020)</w:t>
            </w:r>
          </w:p>
          <w:p w:rsidR="00451964" w:rsidRPr="00451964" w:rsidRDefault="00451964" w:rsidP="00451964">
            <w:pPr>
              <w:spacing w:after="0"/>
              <w:jc w:val="both"/>
              <w:rPr>
                <w:rFonts w:ascii="Times New Roman" w:eastAsia="Calibri" w:hAnsi="Times New Roman" w:cs="Times New Roman"/>
                <w:i/>
                <w:lang w:val="bg-BG"/>
              </w:rPr>
            </w:pPr>
            <w:r w:rsidRPr="00451964">
              <w:rPr>
                <w:rFonts w:ascii="Times New Roman" w:eastAsia="Calibri" w:hAnsi="Times New Roman" w:cs="Times New Roman"/>
                <w:i/>
                <w:lang w:val="bg-BG"/>
              </w:rPr>
              <w:t>за одобрение</w:t>
            </w:r>
          </w:p>
        </w:tc>
      </w:tr>
      <w:tr w:rsidR="00451964" w:rsidRPr="00451964" w:rsidTr="00E23FC2">
        <w:trPr>
          <w:trHeight w:val="643"/>
          <w:jc w:val="center"/>
        </w:trPr>
        <w:tc>
          <w:tcPr>
            <w:tcW w:w="683" w:type="pct"/>
            <w:vAlign w:val="center"/>
          </w:tcPr>
          <w:p w:rsidR="00451964" w:rsidRPr="00451964" w:rsidRDefault="00451964" w:rsidP="00E23FC2">
            <w:pPr>
              <w:spacing w:after="0"/>
              <w:ind w:left="379" w:right="-107"/>
              <w:rPr>
                <w:rFonts w:ascii="Times New Roman" w:eastAsia="Calibri" w:hAnsi="Times New Roman" w:cs="Times New Roman"/>
                <w:b/>
                <w:lang w:val="bg-BG"/>
              </w:rPr>
            </w:pPr>
            <w:r w:rsidRPr="00451964">
              <w:rPr>
                <w:rFonts w:ascii="Times New Roman" w:eastAsia="Calibri" w:hAnsi="Times New Roman" w:cs="Times New Roman"/>
                <w:b/>
                <w:lang w:val="bg-BG"/>
              </w:rPr>
              <w:t>10:40 - 11:40</w:t>
            </w:r>
          </w:p>
        </w:tc>
        <w:tc>
          <w:tcPr>
            <w:tcW w:w="4317" w:type="pct"/>
            <w:vAlign w:val="center"/>
          </w:tcPr>
          <w:p w:rsidR="00451964" w:rsidRPr="00451964" w:rsidRDefault="00451964" w:rsidP="00451964">
            <w:pPr>
              <w:spacing w:after="0"/>
              <w:jc w:val="both"/>
              <w:rPr>
                <w:rFonts w:ascii="Times New Roman" w:eastAsia="Calibri" w:hAnsi="Times New Roman" w:cs="Times New Roman"/>
                <w:b/>
                <w:lang w:val="bg-BG"/>
              </w:rPr>
            </w:pPr>
            <w:r w:rsidRPr="00451964">
              <w:rPr>
                <w:rFonts w:ascii="Times New Roman" w:eastAsia="Calibri" w:hAnsi="Times New Roman" w:cs="Times New Roman"/>
                <w:b/>
                <w:lang w:val="bg-BG"/>
              </w:rPr>
              <w:t xml:space="preserve">т. 2. Информация за напредъка в изпълнението на Програмата за развитие на селските райони 2014-2020 г.                 </w:t>
            </w:r>
          </w:p>
          <w:p w:rsidR="00451964" w:rsidRPr="00451964" w:rsidRDefault="00451964" w:rsidP="00451964">
            <w:pPr>
              <w:spacing w:after="0"/>
              <w:jc w:val="both"/>
              <w:rPr>
                <w:rFonts w:ascii="Times New Roman" w:eastAsia="Calibri" w:hAnsi="Times New Roman" w:cs="Times New Roman"/>
                <w:i/>
                <w:lang w:val="bg-BG"/>
              </w:rPr>
            </w:pPr>
            <w:r w:rsidRPr="00451964">
              <w:rPr>
                <w:rFonts w:ascii="Times New Roman" w:eastAsia="Calibri" w:hAnsi="Times New Roman" w:cs="Times New Roman"/>
                <w:i/>
                <w:lang w:val="bg-BG"/>
              </w:rPr>
              <w:t>Докладват: Държавен фонд „Земеделие“ и Управляващ орган на ПРСР(2014-2020)</w:t>
            </w:r>
          </w:p>
          <w:p w:rsidR="00451964" w:rsidRPr="00451964" w:rsidRDefault="00451964" w:rsidP="00451964">
            <w:pPr>
              <w:spacing w:after="0"/>
              <w:jc w:val="both"/>
              <w:rPr>
                <w:rFonts w:ascii="Times New Roman" w:eastAsia="Calibri" w:hAnsi="Times New Roman" w:cs="Times New Roman"/>
                <w:b/>
                <w:lang w:val="bg-BG"/>
              </w:rPr>
            </w:pPr>
            <w:r w:rsidRPr="00451964">
              <w:rPr>
                <w:rFonts w:ascii="Times New Roman" w:eastAsia="Calibri" w:hAnsi="Times New Roman" w:cs="Times New Roman"/>
                <w:i/>
                <w:lang w:val="bg-BG"/>
              </w:rPr>
              <w:t>за информация</w:t>
            </w:r>
          </w:p>
        </w:tc>
      </w:tr>
      <w:tr w:rsidR="00451964" w:rsidRPr="00451964" w:rsidTr="00E23FC2">
        <w:trPr>
          <w:trHeight w:val="643"/>
          <w:jc w:val="center"/>
        </w:trPr>
        <w:tc>
          <w:tcPr>
            <w:tcW w:w="683" w:type="pct"/>
            <w:tcBorders>
              <w:top w:val="single" w:sz="4" w:space="0" w:color="auto"/>
              <w:left w:val="single" w:sz="4" w:space="0" w:color="auto"/>
              <w:bottom w:val="single" w:sz="4" w:space="0" w:color="auto"/>
              <w:right w:val="single" w:sz="4" w:space="0" w:color="auto"/>
            </w:tcBorders>
            <w:vAlign w:val="center"/>
          </w:tcPr>
          <w:p w:rsidR="00451964" w:rsidRPr="00451964" w:rsidRDefault="00451964" w:rsidP="00E23FC2">
            <w:pPr>
              <w:spacing w:after="0"/>
              <w:ind w:left="379" w:right="-107"/>
              <w:rPr>
                <w:rFonts w:ascii="Times New Roman" w:eastAsia="Calibri" w:hAnsi="Times New Roman" w:cs="Times New Roman"/>
                <w:b/>
                <w:lang w:val="bg-BG"/>
              </w:rPr>
            </w:pPr>
            <w:r w:rsidRPr="00451964">
              <w:rPr>
                <w:rFonts w:ascii="Times New Roman" w:eastAsia="Calibri" w:hAnsi="Times New Roman" w:cs="Times New Roman"/>
                <w:b/>
                <w:lang w:val="bg-BG"/>
              </w:rPr>
              <w:t>11:40 – 12:10</w:t>
            </w:r>
          </w:p>
        </w:tc>
        <w:tc>
          <w:tcPr>
            <w:tcW w:w="4317" w:type="pct"/>
            <w:tcBorders>
              <w:top w:val="single" w:sz="4" w:space="0" w:color="auto"/>
              <w:left w:val="single" w:sz="4" w:space="0" w:color="auto"/>
              <w:bottom w:val="single" w:sz="4" w:space="0" w:color="auto"/>
              <w:right w:val="single" w:sz="4" w:space="0" w:color="auto"/>
            </w:tcBorders>
            <w:vAlign w:val="center"/>
          </w:tcPr>
          <w:p w:rsidR="00451964" w:rsidRPr="00451964" w:rsidRDefault="00451964" w:rsidP="00451964">
            <w:pPr>
              <w:spacing w:after="0"/>
              <w:jc w:val="both"/>
              <w:rPr>
                <w:rFonts w:ascii="Times New Roman" w:eastAsia="Calibri" w:hAnsi="Times New Roman" w:cs="Times New Roman"/>
                <w:b/>
                <w:lang w:val="bg-BG"/>
              </w:rPr>
            </w:pPr>
            <w:r w:rsidRPr="00451964">
              <w:rPr>
                <w:rFonts w:ascii="Times New Roman" w:eastAsia="Calibri" w:hAnsi="Times New Roman" w:cs="Times New Roman"/>
                <w:b/>
                <w:lang w:val="bg-BG"/>
              </w:rPr>
              <w:t>т. 3. Предложение на УО на ПРСР 2014-2020 г. за 13-то изменение на Програмата за развитие на селските райони 2014-2020 г. и даване на мандат на Управляващия орган да го представи и договори с  Европейската комисия, а именно:</w:t>
            </w:r>
          </w:p>
          <w:p w:rsidR="00451964" w:rsidRPr="00451964" w:rsidRDefault="00451964" w:rsidP="00451964">
            <w:pPr>
              <w:spacing w:after="0"/>
              <w:jc w:val="both"/>
              <w:rPr>
                <w:rFonts w:ascii="Times New Roman" w:eastAsia="Calibri" w:hAnsi="Times New Roman" w:cs="Times New Roman"/>
                <w:lang w:val="bg-BG"/>
              </w:rPr>
            </w:pPr>
            <w:r w:rsidRPr="00451964">
              <w:rPr>
                <w:rFonts w:ascii="Times New Roman" w:eastAsia="Calibri" w:hAnsi="Times New Roman" w:cs="Times New Roman"/>
                <w:lang w:val="bg-BG"/>
              </w:rPr>
              <w:t>3.1. Предложение на УО за промяна в текста на подмярка 7.2 „Инвестиции в създаването, подобряването или разширяването на всички видове малка по мащаби инфраструктура“ от ПРСР (2014-2020).</w:t>
            </w:r>
          </w:p>
          <w:p w:rsidR="00451964" w:rsidRPr="00451964" w:rsidRDefault="00451964" w:rsidP="00451964">
            <w:pPr>
              <w:spacing w:after="0"/>
              <w:jc w:val="both"/>
              <w:rPr>
                <w:rFonts w:ascii="Times New Roman" w:eastAsia="Calibri" w:hAnsi="Times New Roman" w:cs="Times New Roman"/>
                <w:i/>
                <w:lang w:val="bg-BG"/>
              </w:rPr>
            </w:pPr>
            <w:r w:rsidRPr="00451964">
              <w:rPr>
                <w:rFonts w:ascii="Times New Roman" w:eastAsia="Calibri" w:hAnsi="Times New Roman" w:cs="Times New Roman"/>
                <w:i/>
                <w:lang w:val="bg-BG"/>
              </w:rPr>
              <w:t>Докладва: Управляващ орган на ПРСР (2014-2020)</w:t>
            </w:r>
          </w:p>
          <w:p w:rsidR="00451964" w:rsidRPr="00451964" w:rsidRDefault="00451964" w:rsidP="00451964">
            <w:pPr>
              <w:spacing w:after="0"/>
              <w:jc w:val="both"/>
              <w:rPr>
                <w:rFonts w:ascii="Times New Roman" w:eastAsia="Calibri" w:hAnsi="Times New Roman" w:cs="Times New Roman"/>
                <w:b/>
                <w:lang w:val="bg-BG"/>
              </w:rPr>
            </w:pPr>
            <w:r w:rsidRPr="00451964">
              <w:rPr>
                <w:rFonts w:ascii="Times New Roman" w:eastAsia="Calibri" w:hAnsi="Times New Roman" w:cs="Times New Roman"/>
                <w:i/>
                <w:lang w:val="bg-BG"/>
              </w:rPr>
              <w:t>за одобрение</w:t>
            </w:r>
          </w:p>
        </w:tc>
      </w:tr>
      <w:tr w:rsidR="00451964" w:rsidRPr="00451964" w:rsidTr="00E23FC2">
        <w:trPr>
          <w:trHeight w:val="643"/>
          <w:jc w:val="center"/>
        </w:trPr>
        <w:tc>
          <w:tcPr>
            <w:tcW w:w="683" w:type="pct"/>
            <w:tcBorders>
              <w:top w:val="single" w:sz="4" w:space="0" w:color="auto"/>
              <w:left w:val="single" w:sz="4" w:space="0" w:color="auto"/>
              <w:bottom w:val="single" w:sz="4" w:space="0" w:color="auto"/>
              <w:right w:val="single" w:sz="4" w:space="0" w:color="auto"/>
            </w:tcBorders>
            <w:vAlign w:val="center"/>
          </w:tcPr>
          <w:p w:rsidR="00451964" w:rsidRPr="00451964" w:rsidRDefault="00451964" w:rsidP="00E23FC2">
            <w:pPr>
              <w:spacing w:after="0"/>
              <w:ind w:left="379" w:right="-107"/>
              <w:rPr>
                <w:rFonts w:ascii="Times New Roman" w:eastAsia="Calibri" w:hAnsi="Times New Roman" w:cs="Times New Roman"/>
                <w:b/>
                <w:lang w:val="bg-BG"/>
              </w:rPr>
            </w:pPr>
            <w:r w:rsidRPr="00451964">
              <w:rPr>
                <w:rFonts w:ascii="Times New Roman" w:eastAsia="Calibri" w:hAnsi="Times New Roman" w:cs="Times New Roman"/>
                <w:b/>
                <w:lang w:val="bg-BG"/>
              </w:rPr>
              <w:t>12:10 – 13:00</w:t>
            </w:r>
          </w:p>
        </w:tc>
        <w:tc>
          <w:tcPr>
            <w:tcW w:w="4317" w:type="pct"/>
            <w:tcBorders>
              <w:top w:val="single" w:sz="4" w:space="0" w:color="auto"/>
              <w:left w:val="single" w:sz="4" w:space="0" w:color="auto"/>
              <w:bottom w:val="single" w:sz="4" w:space="0" w:color="auto"/>
              <w:right w:val="single" w:sz="4" w:space="0" w:color="auto"/>
            </w:tcBorders>
            <w:vAlign w:val="center"/>
          </w:tcPr>
          <w:p w:rsidR="00451964" w:rsidRPr="00451964" w:rsidRDefault="00451964" w:rsidP="00451964">
            <w:pPr>
              <w:spacing w:after="0"/>
              <w:jc w:val="both"/>
              <w:rPr>
                <w:rFonts w:ascii="Times New Roman" w:eastAsia="Calibri" w:hAnsi="Times New Roman" w:cs="Times New Roman"/>
                <w:b/>
                <w:lang w:val="bg-BG"/>
              </w:rPr>
            </w:pPr>
            <w:r w:rsidRPr="00451964">
              <w:rPr>
                <w:rFonts w:ascii="Times New Roman" w:eastAsia="Calibri" w:hAnsi="Times New Roman" w:cs="Times New Roman"/>
                <w:b/>
                <w:lang w:val="bg-BG"/>
              </w:rPr>
              <w:t xml:space="preserve">т. </w:t>
            </w:r>
            <w:r w:rsidRPr="00451964">
              <w:rPr>
                <w:rFonts w:ascii="Times New Roman" w:eastAsia="Calibri" w:hAnsi="Times New Roman" w:cs="Times New Roman"/>
                <w:b/>
                <w:lang w:val="ru-RU"/>
              </w:rPr>
              <w:t>4</w:t>
            </w:r>
            <w:r w:rsidRPr="00451964">
              <w:rPr>
                <w:rFonts w:ascii="Times New Roman" w:eastAsia="Calibri" w:hAnsi="Times New Roman" w:cs="Times New Roman"/>
                <w:b/>
                <w:lang w:val="bg-BG"/>
              </w:rPr>
              <w:t>. Предложение на УО на ПРСР 2014-2020 г. за промяна в критериите за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от ПРСР (2014-2020).</w:t>
            </w:r>
          </w:p>
          <w:p w:rsidR="00451964" w:rsidRPr="00451964" w:rsidRDefault="00451964" w:rsidP="00451964">
            <w:pPr>
              <w:spacing w:after="0"/>
              <w:jc w:val="both"/>
              <w:rPr>
                <w:rFonts w:ascii="Times New Roman" w:eastAsia="Calibri" w:hAnsi="Times New Roman" w:cs="Times New Roman"/>
                <w:i/>
                <w:lang w:val="bg-BG"/>
              </w:rPr>
            </w:pPr>
            <w:r w:rsidRPr="00451964">
              <w:rPr>
                <w:rFonts w:ascii="Times New Roman" w:eastAsia="Calibri" w:hAnsi="Times New Roman" w:cs="Times New Roman"/>
                <w:i/>
                <w:lang w:val="bg-BG"/>
              </w:rPr>
              <w:t>Докладва: Управляващ орган на ПРСР (2014-2020)</w:t>
            </w:r>
          </w:p>
          <w:p w:rsidR="00451964" w:rsidRPr="00451964" w:rsidRDefault="00451964" w:rsidP="00451964">
            <w:pPr>
              <w:spacing w:after="0"/>
              <w:jc w:val="both"/>
              <w:rPr>
                <w:rFonts w:ascii="Times New Roman" w:eastAsia="Calibri" w:hAnsi="Times New Roman" w:cs="Times New Roman"/>
                <w:b/>
                <w:lang w:val="bg-BG"/>
              </w:rPr>
            </w:pPr>
            <w:r w:rsidRPr="00451964">
              <w:rPr>
                <w:rFonts w:ascii="Times New Roman" w:eastAsia="Calibri" w:hAnsi="Times New Roman" w:cs="Times New Roman"/>
                <w:i/>
                <w:lang w:val="bg-BG"/>
              </w:rPr>
              <w:t>за одобрение</w:t>
            </w:r>
          </w:p>
        </w:tc>
      </w:tr>
      <w:tr w:rsidR="00451964" w:rsidRPr="00451964" w:rsidTr="00E23FC2">
        <w:trPr>
          <w:trHeight w:val="643"/>
          <w:jc w:val="center"/>
        </w:trPr>
        <w:tc>
          <w:tcPr>
            <w:tcW w:w="683" w:type="pct"/>
            <w:vAlign w:val="center"/>
          </w:tcPr>
          <w:p w:rsidR="00451964" w:rsidRPr="00451964" w:rsidRDefault="00451964" w:rsidP="00E23FC2">
            <w:pPr>
              <w:spacing w:after="0"/>
              <w:ind w:left="379" w:right="-107"/>
              <w:rPr>
                <w:rFonts w:ascii="Times New Roman" w:eastAsia="Calibri" w:hAnsi="Times New Roman" w:cs="Times New Roman"/>
                <w:b/>
                <w:lang w:val="bg-BG"/>
              </w:rPr>
            </w:pPr>
            <w:r w:rsidRPr="00451964">
              <w:rPr>
                <w:rFonts w:ascii="Times New Roman" w:eastAsia="Calibri" w:hAnsi="Times New Roman" w:cs="Times New Roman"/>
                <w:b/>
                <w:lang w:val="bg-BG"/>
              </w:rPr>
              <w:t>13:</w:t>
            </w:r>
            <w:r w:rsidRPr="00451964">
              <w:rPr>
                <w:rFonts w:ascii="Times New Roman" w:eastAsia="Calibri" w:hAnsi="Times New Roman" w:cs="Times New Roman"/>
                <w:b/>
              </w:rPr>
              <w:t>00</w:t>
            </w:r>
            <w:r w:rsidRPr="00451964">
              <w:rPr>
                <w:rFonts w:ascii="Times New Roman" w:eastAsia="Calibri" w:hAnsi="Times New Roman" w:cs="Times New Roman"/>
                <w:b/>
                <w:lang w:val="bg-BG"/>
              </w:rPr>
              <w:t xml:space="preserve"> – 13:30</w:t>
            </w:r>
          </w:p>
        </w:tc>
        <w:tc>
          <w:tcPr>
            <w:tcW w:w="4317" w:type="pct"/>
            <w:vAlign w:val="center"/>
          </w:tcPr>
          <w:p w:rsidR="00451964" w:rsidRPr="00451964" w:rsidRDefault="00451964" w:rsidP="00451964">
            <w:pPr>
              <w:spacing w:after="0"/>
              <w:jc w:val="both"/>
              <w:rPr>
                <w:rFonts w:ascii="Times New Roman" w:eastAsia="Calibri" w:hAnsi="Times New Roman" w:cs="Times New Roman"/>
                <w:b/>
                <w:lang w:val="bg-BG"/>
              </w:rPr>
            </w:pPr>
            <w:r w:rsidRPr="00451964">
              <w:rPr>
                <w:rFonts w:ascii="Times New Roman" w:eastAsia="Calibri" w:hAnsi="Times New Roman" w:cs="Times New Roman"/>
                <w:b/>
                <w:lang w:val="bg-BG"/>
              </w:rPr>
              <w:t xml:space="preserve">т. </w:t>
            </w:r>
            <w:r w:rsidRPr="00451964">
              <w:rPr>
                <w:rFonts w:ascii="Times New Roman" w:eastAsia="Calibri" w:hAnsi="Times New Roman" w:cs="Times New Roman"/>
                <w:b/>
                <w:lang w:val="ru-RU"/>
              </w:rPr>
              <w:t>5</w:t>
            </w:r>
            <w:r w:rsidRPr="00451964">
              <w:rPr>
                <w:rFonts w:ascii="Times New Roman" w:eastAsia="Calibri" w:hAnsi="Times New Roman" w:cs="Times New Roman"/>
                <w:b/>
                <w:lang w:val="bg-BG"/>
              </w:rPr>
              <w:t xml:space="preserve">. Предложение на УО на ПРСР за актуализиране на Индикативната годишна работна програма на ПРСР за 2022 г. </w:t>
            </w:r>
          </w:p>
          <w:p w:rsidR="00451964" w:rsidRPr="00451964" w:rsidRDefault="00451964" w:rsidP="00451964">
            <w:pPr>
              <w:spacing w:after="0"/>
              <w:jc w:val="both"/>
              <w:rPr>
                <w:rFonts w:ascii="Times New Roman" w:eastAsia="Calibri" w:hAnsi="Times New Roman" w:cs="Times New Roman"/>
                <w:i/>
                <w:lang w:val="bg-BG"/>
              </w:rPr>
            </w:pPr>
            <w:r w:rsidRPr="00451964">
              <w:rPr>
                <w:rFonts w:ascii="Times New Roman" w:eastAsia="Calibri" w:hAnsi="Times New Roman" w:cs="Times New Roman"/>
                <w:i/>
                <w:lang w:val="bg-BG"/>
              </w:rPr>
              <w:t>Докладва: Управляващ орган на ПРСР (2014-2020)</w:t>
            </w:r>
          </w:p>
          <w:p w:rsidR="00451964" w:rsidRPr="00451964" w:rsidRDefault="00451964" w:rsidP="00451964">
            <w:pPr>
              <w:spacing w:after="0"/>
              <w:jc w:val="both"/>
              <w:rPr>
                <w:rFonts w:ascii="Times New Roman" w:eastAsia="Calibri" w:hAnsi="Times New Roman" w:cs="Times New Roman"/>
                <w:b/>
                <w:lang w:val="bg-BG"/>
              </w:rPr>
            </w:pPr>
            <w:r w:rsidRPr="00451964">
              <w:rPr>
                <w:rFonts w:ascii="Times New Roman" w:eastAsia="Calibri" w:hAnsi="Times New Roman" w:cs="Times New Roman"/>
                <w:i/>
                <w:lang w:val="bg-BG"/>
              </w:rPr>
              <w:t>за съгласуване</w:t>
            </w:r>
          </w:p>
        </w:tc>
      </w:tr>
      <w:tr w:rsidR="00451964" w:rsidRPr="00451964" w:rsidTr="00E23FC2">
        <w:trPr>
          <w:trHeight w:val="643"/>
          <w:jc w:val="center"/>
        </w:trPr>
        <w:tc>
          <w:tcPr>
            <w:tcW w:w="683" w:type="pct"/>
            <w:vAlign w:val="center"/>
          </w:tcPr>
          <w:p w:rsidR="00451964" w:rsidRPr="00451964" w:rsidRDefault="00451964" w:rsidP="00E23FC2">
            <w:pPr>
              <w:spacing w:after="0"/>
              <w:ind w:left="379" w:right="-107"/>
              <w:rPr>
                <w:rFonts w:ascii="Times New Roman" w:eastAsia="Calibri" w:hAnsi="Times New Roman" w:cs="Times New Roman"/>
                <w:b/>
                <w:lang w:val="bg-BG"/>
              </w:rPr>
            </w:pPr>
            <w:r w:rsidRPr="00451964">
              <w:rPr>
                <w:rFonts w:ascii="Times New Roman" w:eastAsia="Calibri" w:hAnsi="Times New Roman" w:cs="Times New Roman"/>
                <w:b/>
                <w:lang w:val="bg-BG"/>
              </w:rPr>
              <w:t>13:30 – 14:00</w:t>
            </w:r>
          </w:p>
        </w:tc>
        <w:tc>
          <w:tcPr>
            <w:tcW w:w="4317" w:type="pct"/>
            <w:vAlign w:val="center"/>
          </w:tcPr>
          <w:p w:rsidR="00451964" w:rsidRPr="00451964" w:rsidRDefault="00451964" w:rsidP="00451964">
            <w:pPr>
              <w:spacing w:after="0"/>
              <w:jc w:val="both"/>
              <w:rPr>
                <w:rFonts w:ascii="Times New Roman" w:eastAsia="Calibri" w:hAnsi="Times New Roman" w:cs="Times New Roman"/>
                <w:b/>
                <w:lang w:val="bg-BG"/>
              </w:rPr>
            </w:pPr>
            <w:r w:rsidRPr="00451964">
              <w:rPr>
                <w:rFonts w:ascii="Times New Roman" w:eastAsia="Calibri" w:hAnsi="Times New Roman" w:cs="Times New Roman"/>
                <w:b/>
                <w:lang w:val="bg-BG"/>
              </w:rPr>
              <w:t>т. 6. Информация за напредъка на преговорите с ЕК по Стратегическия план за развитие на земеделието и селските райони за периода 2023 - 2027 г.</w:t>
            </w:r>
          </w:p>
          <w:p w:rsidR="00451964" w:rsidRPr="00451964" w:rsidRDefault="00451964" w:rsidP="00451964">
            <w:pPr>
              <w:spacing w:after="0"/>
              <w:jc w:val="both"/>
              <w:rPr>
                <w:rFonts w:ascii="Times New Roman" w:eastAsia="Calibri" w:hAnsi="Times New Roman" w:cs="Times New Roman"/>
                <w:i/>
                <w:lang w:val="bg-BG"/>
              </w:rPr>
            </w:pPr>
            <w:r w:rsidRPr="00451964">
              <w:rPr>
                <w:rFonts w:ascii="Times New Roman" w:eastAsia="Calibri" w:hAnsi="Times New Roman" w:cs="Times New Roman"/>
                <w:i/>
                <w:lang w:val="bg-BG"/>
              </w:rPr>
              <w:t>Докладва: Управляващ орган на ПРСР (2014-2020)</w:t>
            </w:r>
          </w:p>
          <w:p w:rsidR="00451964" w:rsidRPr="00451964" w:rsidRDefault="00451964" w:rsidP="00451964">
            <w:pPr>
              <w:spacing w:after="0"/>
              <w:jc w:val="both"/>
              <w:rPr>
                <w:rFonts w:ascii="Times New Roman" w:eastAsia="Calibri" w:hAnsi="Times New Roman" w:cs="Times New Roman"/>
                <w:b/>
                <w:lang w:val="bg-BG"/>
              </w:rPr>
            </w:pPr>
            <w:r w:rsidRPr="00451964">
              <w:rPr>
                <w:rFonts w:ascii="Times New Roman" w:eastAsia="Calibri" w:hAnsi="Times New Roman" w:cs="Times New Roman"/>
                <w:i/>
                <w:lang w:val="bg-BG"/>
              </w:rPr>
              <w:t>за информация</w:t>
            </w:r>
          </w:p>
        </w:tc>
      </w:tr>
    </w:tbl>
    <w:p w:rsidR="00451964" w:rsidRPr="00451964" w:rsidRDefault="00451964" w:rsidP="00451964">
      <w:pPr>
        <w:tabs>
          <w:tab w:val="left" w:pos="2127"/>
        </w:tabs>
        <w:spacing w:after="0" w:line="240" w:lineRule="auto"/>
        <w:ind w:left="284" w:right="412"/>
        <w:contextualSpacing/>
        <w:jc w:val="both"/>
        <w:rPr>
          <w:rFonts w:ascii="Times New Roman" w:eastAsia="Times New Roman" w:hAnsi="Times New Roman" w:cs="Times New Roman"/>
          <w:color w:val="000000"/>
          <w:sz w:val="28"/>
          <w:szCs w:val="28"/>
          <w:lang w:val="bg-BG" w:eastAsia="bg-BG"/>
        </w:rPr>
      </w:pPr>
    </w:p>
    <w:p w:rsidR="00451964" w:rsidRPr="00451964" w:rsidRDefault="00451964" w:rsidP="00451964">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val="bg-BG"/>
        </w:rPr>
      </w:pPr>
    </w:p>
    <w:p w:rsidR="00451964" w:rsidRPr="00292755" w:rsidRDefault="00451964" w:rsidP="00292755">
      <w:pPr>
        <w:spacing w:after="12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Списъкът на участниците в 18-то заседание на Комитета по наблюдение на ПРСР (2014-2020) е даден като Приложение </w:t>
      </w:r>
      <w:r w:rsidRPr="00292755">
        <w:rPr>
          <w:rFonts w:ascii="Times New Roman" w:eastAsia="Times New Roman" w:hAnsi="Times New Roman" w:cs="Times New Roman"/>
          <w:sz w:val="24"/>
          <w:szCs w:val="24"/>
          <w:lang w:val="ru-RU"/>
        </w:rPr>
        <w:t>1</w:t>
      </w:r>
      <w:r w:rsidRPr="00292755">
        <w:rPr>
          <w:rFonts w:ascii="Times New Roman" w:eastAsia="Times New Roman" w:hAnsi="Times New Roman" w:cs="Times New Roman"/>
          <w:sz w:val="24"/>
          <w:szCs w:val="24"/>
          <w:lang w:val="bg-BG"/>
        </w:rPr>
        <w:t xml:space="preserve"> към настоящия протокол.</w:t>
      </w:r>
    </w:p>
    <w:p w:rsidR="00451964" w:rsidRPr="00292755" w:rsidRDefault="00451964" w:rsidP="00292755">
      <w:pPr>
        <w:spacing w:after="12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Предложение  за промяна в текста на подмярка 7.2 „Инвестиции в създаването, подобряването или разширяването на всички видове малка по мащаби инфраструктура“ от ПРСР (2014-2020) е дадено в Приложение 2 към настоящия протокол.</w:t>
      </w:r>
    </w:p>
    <w:p w:rsidR="00451964" w:rsidRPr="00292755" w:rsidRDefault="00451964" w:rsidP="00292755">
      <w:pPr>
        <w:spacing w:after="120" w:line="240" w:lineRule="auto"/>
        <w:jc w:val="both"/>
        <w:rPr>
          <w:rFonts w:ascii="Times New Roman" w:eastAsia="Calibri" w:hAnsi="Times New Roman" w:cs="Times New Roman"/>
          <w:sz w:val="24"/>
          <w:szCs w:val="24"/>
          <w:lang w:val="bg-BG"/>
        </w:rPr>
      </w:pPr>
      <w:r w:rsidRPr="00292755">
        <w:rPr>
          <w:rFonts w:ascii="Times New Roman" w:eastAsia="Times New Roman" w:hAnsi="Times New Roman" w:cs="Times New Roman"/>
          <w:sz w:val="24"/>
          <w:szCs w:val="24"/>
          <w:lang w:val="bg-BG"/>
        </w:rPr>
        <w:t xml:space="preserve">Предложението за изменение на  критериите за подбор на проектни предложения  по подмярка </w:t>
      </w:r>
      <w:r w:rsidRPr="00292755">
        <w:rPr>
          <w:rFonts w:ascii="Times New Roman" w:eastAsia="Calibri" w:hAnsi="Times New Roman" w:cs="Times New Roman"/>
          <w:sz w:val="24"/>
          <w:szCs w:val="24"/>
          <w:lang w:val="bg-BG"/>
        </w:rPr>
        <w:t xml:space="preserve">7.2 „Инвестиции в създаването, подобряването или разширяването на всички видове малка по мащаби инфраструктура“ от ПРСР (2014-2020) е дадено в </w:t>
      </w:r>
      <w:r w:rsidRPr="00292755">
        <w:rPr>
          <w:rFonts w:ascii="Times New Roman" w:eastAsia="Times New Roman" w:hAnsi="Times New Roman" w:cs="Times New Roman"/>
          <w:sz w:val="24"/>
          <w:szCs w:val="24"/>
          <w:lang w:val="bg-BG"/>
        </w:rPr>
        <w:t>Приложение 3 към настоящия протокол.</w:t>
      </w:r>
    </w:p>
    <w:p w:rsidR="00451964" w:rsidRPr="00292755" w:rsidRDefault="00451964" w:rsidP="00292755">
      <w:pPr>
        <w:spacing w:after="12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Предложението за актуализирана Индикативна годишна работна програма за 2022 година на Програмата за развитие на селските райони е дадено в Приложение 4 към настоящия протокол.</w:t>
      </w:r>
    </w:p>
    <w:p w:rsidR="00451964" w:rsidRPr="00292755" w:rsidRDefault="00451964" w:rsidP="00292755">
      <w:pPr>
        <w:spacing w:after="12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b/>
          <w:i/>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eastAsia="da-DK"/>
        </w:rPr>
      </w:pPr>
      <w:r w:rsidRPr="00292755">
        <w:rPr>
          <w:rFonts w:ascii="Times New Roman" w:eastAsia="Times New Roman" w:hAnsi="Times New Roman" w:cs="Times New Roman"/>
          <w:b/>
          <w:sz w:val="24"/>
          <w:szCs w:val="24"/>
          <w:lang w:val="bg-BG"/>
        </w:rPr>
        <w:lastRenderedPageBreak/>
        <w:t>Заседанието, ръководено от д-р Момчил Неков – заместник-министър на земеделието и председател на КН на ПРСР 2014-2020 г.</w:t>
      </w:r>
      <w:r w:rsidRPr="00292755">
        <w:rPr>
          <w:rFonts w:ascii="Times New Roman" w:eastAsia="Times New Roman" w:hAnsi="Times New Roman" w:cs="Times New Roman"/>
          <w:sz w:val="24"/>
          <w:szCs w:val="24"/>
          <w:lang w:val="bg-BG"/>
        </w:rPr>
        <w:t xml:space="preserve">, започна в 10:30 ч. и се проведе дистанционно чрез видеоконферентна връзка </w:t>
      </w:r>
      <w:r w:rsidRPr="00292755">
        <w:rPr>
          <w:rFonts w:ascii="Times New Roman" w:eastAsia="Times New Roman" w:hAnsi="Times New Roman" w:cs="Times New Roman"/>
          <w:sz w:val="24"/>
          <w:szCs w:val="24"/>
          <w:lang w:eastAsia="da-DK"/>
        </w:rPr>
        <w:t>CISCO</w:t>
      </w:r>
      <w:r w:rsidRPr="00292755">
        <w:rPr>
          <w:rFonts w:ascii="Times New Roman" w:eastAsia="Times New Roman" w:hAnsi="Times New Roman" w:cs="Times New Roman"/>
          <w:sz w:val="24"/>
          <w:szCs w:val="24"/>
          <w:lang w:val="bg-BG" w:eastAsia="da-DK"/>
        </w:rPr>
        <w:t xml:space="preserve"> </w:t>
      </w:r>
      <w:r w:rsidRPr="00292755">
        <w:rPr>
          <w:rFonts w:ascii="Times New Roman" w:eastAsia="Times New Roman" w:hAnsi="Times New Roman" w:cs="Times New Roman"/>
          <w:sz w:val="24"/>
          <w:szCs w:val="24"/>
          <w:lang w:eastAsia="da-DK"/>
        </w:rPr>
        <w:t>WEBEX</w:t>
      </w:r>
      <w:r w:rsidRPr="00292755">
        <w:rPr>
          <w:rFonts w:ascii="Times New Roman" w:eastAsia="Times New Roman" w:hAnsi="Times New Roman" w:cs="Times New Roman"/>
          <w:sz w:val="24"/>
          <w:szCs w:val="24"/>
          <w:lang w:val="bg-BG" w:eastAsia="da-DK"/>
        </w:rPr>
        <w:t>.</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eastAsia="da-DK"/>
        </w:rPr>
      </w:pPr>
    </w:p>
    <w:p w:rsidR="00451964" w:rsidRPr="00292755" w:rsidRDefault="00451964" w:rsidP="00292755">
      <w:pPr>
        <w:tabs>
          <w:tab w:val="left" w:pos="2127"/>
        </w:tabs>
        <w:spacing w:after="0" w:line="240" w:lineRule="auto"/>
        <w:contextualSpacing/>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 него участие</w:t>
      </w:r>
      <w:r w:rsidRPr="00292755">
        <w:rPr>
          <w:rFonts w:ascii="Times New Roman" w:eastAsia="Times New Roman" w:hAnsi="Times New Roman" w:cs="Times New Roman"/>
          <w:sz w:val="24"/>
          <w:szCs w:val="24"/>
          <w:lang w:val="ru-RU"/>
        </w:rPr>
        <w:t xml:space="preserve"> взеха</w:t>
      </w:r>
      <w:r w:rsidRPr="00292755">
        <w:rPr>
          <w:rFonts w:ascii="Times New Roman" w:eastAsia="Times New Roman" w:hAnsi="Times New Roman" w:cs="Times New Roman"/>
          <w:sz w:val="24"/>
          <w:szCs w:val="24"/>
          <w:lang w:val="bg-BG"/>
        </w:rPr>
        <w:t xml:space="preserve"> членове на Комитета, г-н Бенжамин Фейрбрадър</w:t>
      </w:r>
      <w:r w:rsidR="00504BF1" w:rsidRPr="00292755">
        <w:rPr>
          <w:rFonts w:ascii="Times New Roman" w:eastAsia="Times New Roman" w:hAnsi="Times New Roman" w:cs="Times New Roman"/>
          <w:sz w:val="24"/>
          <w:szCs w:val="24"/>
          <w:lang w:val="bg-BG"/>
        </w:rPr>
        <w:t xml:space="preserve">, </w:t>
      </w:r>
      <w:r w:rsidR="00292755" w:rsidRPr="00292755">
        <w:rPr>
          <w:rFonts w:ascii="Times New Roman" w:eastAsia="Times New Roman" w:hAnsi="Times New Roman" w:cs="Times New Roman"/>
          <w:sz w:val="24"/>
          <w:szCs w:val="24"/>
          <w:lang w:val="bg-BG"/>
        </w:rPr>
        <w:t>г-жа Здравка Димитрова</w:t>
      </w:r>
      <w:r w:rsidR="00292755">
        <w:rPr>
          <w:rFonts w:ascii="Times New Roman" w:eastAsia="Times New Roman" w:hAnsi="Times New Roman" w:cs="Times New Roman"/>
          <w:sz w:val="24"/>
          <w:szCs w:val="24"/>
          <w:lang w:val="bg-BG"/>
        </w:rPr>
        <w:t>,</w:t>
      </w:r>
      <w:r w:rsidR="00292755"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eastAsia="da-DK"/>
        </w:rPr>
        <w:t>(</w:t>
      </w:r>
      <w:r w:rsidRPr="00292755">
        <w:rPr>
          <w:rFonts w:ascii="Times New Roman" w:eastAsia="Times New Roman" w:hAnsi="Times New Roman" w:cs="Times New Roman"/>
          <w:sz w:val="24"/>
          <w:szCs w:val="24"/>
          <w:lang w:val="bg-BG"/>
        </w:rPr>
        <w:t>на по-късен етап се присъедини и</w:t>
      </w:r>
      <w:r w:rsidRPr="00292755">
        <w:rPr>
          <w:rFonts w:ascii="Times New Roman" w:eastAsia="Times New Roman" w:hAnsi="Times New Roman" w:cs="Times New Roman"/>
          <w:sz w:val="24"/>
          <w:szCs w:val="24"/>
        </w:rPr>
        <w:t xml:space="preserve"> </w:t>
      </w:r>
      <w:r w:rsidRPr="00292755">
        <w:rPr>
          <w:rFonts w:ascii="Times New Roman" w:eastAsia="Times New Roman" w:hAnsi="Times New Roman" w:cs="Times New Roman"/>
          <w:sz w:val="24"/>
          <w:szCs w:val="24"/>
          <w:lang w:val="bg-BG"/>
        </w:rPr>
        <w:t>г-жа Елица Живкова) от ГД „Земеделие“ на Европейската комисия, представители на Управляващия орган на ПРСР</w:t>
      </w:r>
      <w:r w:rsidR="00292755">
        <w:rPr>
          <w:rFonts w:ascii="Times New Roman" w:eastAsia="Times New Roman" w:hAnsi="Times New Roman" w:cs="Times New Roman"/>
          <w:sz w:val="24"/>
          <w:szCs w:val="24"/>
          <w:lang w:val="bg-BG"/>
        </w:rPr>
        <w:t xml:space="preserve"> 2014-2020 г.</w:t>
      </w:r>
      <w:r w:rsidRPr="00292755">
        <w:rPr>
          <w:rFonts w:ascii="Times New Roman" w:eastAsia="Times New Roman" w:hAnsi="Times New Roman" w:cs="Times New Roman"/>
          <w:sz w:val="24"/>
          <w:szCs w:val="24"/>
          <w:lang w:val="bg-BG"/>
        </w:rPr>
        <w:t xml:space="preserve">, на Държавен Фонд „Земеделие“ и други участници.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eastAsia="da-DK"/>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eastAsia="da-DK"/>
        </w:rPr>
        <w:t>След направе</w:t>
      </w:r>
      <w:r w:rsidR="00292755">
        <w:rPr>
          <w:rFonts w:ascii="Times New Roman" w:eastAsia="Times New Roman" w:hAnsi="Times New Roman" w:cs="Times New Roman"/>
          <w:sz w:val="24"/>
          <w:szCs w:val="24"/>
          <w:lang w:val="bg-BG" w:eastAsia="da-DK"/>
        </w:rPr>
        <w:t>ната от Секретариата на Комитета</w:t>
      </w:r>
      <w:r w:rsidRPr="00292755">
        <w:rPr>
          <w:rFonts w:ascii="Times New Roman" w:eastAsia="Times New Roman" w:hAnsi="Times New Roman" w:cs="Times New Roman"/>
          <w:sz w:val="24"/>
          <w:szCs w:val="24"/>
          <w:lang w:val="bg-BG" w:eastAsia="da-DK"/>
        </w:rPr>
        <w:t xml:space="preserve"> поименна проверка за наличието на кворум</w:t>
      </w:r>
      <w:r w:rsidRPr="00292755">
        <w:rPr>
          <w:rFonts w:ascii="Times New Roman" w:eastAsia="Times New Roman" w:hAnsi="Times New Roman" w:cs="Times New Roman"/>
          <w:b/>
          <w:bCs/>
          <w:sz w:val="24"/>
          <w:szCs w:val="24"/>
          <w:lang w:val="bg-BG"/>
        </w:rPr>
        <w:t xml:space="preserve"> (</w:t>
      </w:r>
      <w:r w:rsidRPr="00292755">
        <w:rPr>
          <w:rFonts w:ascii="Times New Roman" w:eastAsia="Times New Roman" w:hAnsi="Times New Roman" w:cs="Times New Roman"/>
          <w:bCs/>
          <w:sz w:val="24"/>
          <w:szCs w:val="24"/>
          <w:lang w:val="bg-BG"/>
        </w:rPr>
        <w:t>в съответствие със</w:t>
      </w:r>
      <w:r w:rsidRPr="00292755">
        <w:rPr>
          <w:rFonts w:ascii="Times New Roman" w:eastAsia="Times New Roman" w:hAnsi="Times New Roman" w:cs="Times New Roman"/>
          <w:b/>
          <w:bCs/>
          <w:sz w:val="24"/>
          <w:szCs w:val="24"/>
          <w:lang w:val="bg-BG"/>
        </w:rPr>
        <w:t xml:space="preserve"> </w:t>
      </w:r>
      <w:r w:rsidRPr="00292755">
        <w:rPr>
          <w:rFonts w:ascii="Times New Roman" w:eastAsia="Times New Roman" w:hAnsi="Times New Roman" w:cs="Times New Roman"/>
          <w:sz w:val="24"/>
          <w:szCs w:val="24"/>
          <w:lang w:val="bg-BG"/>
        </w:rPr>
        <w:t>Заповед № РД 09-719 от 21.06.2022 г. на Министъра на земеделието) и установяването на такъв, чрез участието на 38 членове на КН с право на глас, заседанието беше открито от  д-р Момчил Неков.</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 </w:t>
      </w:r>
    </w:p>
    <w:p w:rsidR="00451964" w:rsidRPr="00292755" w:rsidRDefault="00451964" w:rsidP="00292755">
      <w:pPr>
        <w:tabs>
          <w:tab w:val="left" w:pos="2127"/>
        </w:tabs>
        <w:spacing w:after="0" w:line="240" w:lineRule="auto"/>
        <w:jc w:val="both"/>
        <w:rPr>
          <w:rFonts w:ascii="Times New Roman" w:eastAsia="Times New Roman" w:hAnsi="Times New Roman" w:cs="Times New Roman"/>
          <w:sz w:val="24"/>
          <w:szCs w:val="24"/>
          <w:lang w:val="bg-BG" w:eastAsia="da-DK"/>
        </w:rPr>
      </w:pPr>
      <w:r w:rsidRPr="00292755">
        <w:rPr>
          <w:rFonts w:ascii="Times New Roman" w:eastAsia="Times New Roman" w:hAnsi="Times New Roman" w:cs="Times New Roman"/>
          <w:b/>
          <w:bCs/>
          <w:sz w:val="24"/>
          <w:szCs w:val="24"/>
          <w:lang w:val="bg-BG"/>
        </w:rPr>
        <w:t xml:space="preserve">Д-Р МОМЧИЛ НЕКОВ </w:t>
      </w:r>
      <w:r w:rsidRPr="00292755">
        <w:rPr>
          <w:rFonts w:ascii="Times New Roman" w:eastAsia="Times New Roman" w:hAnsi="Times New Roman" w:cs="Times New Roman"/>
          <w:bCs/>
          <w:sz w:val="24"/>
          <w:szCs w:val="24"/>
          <w:lang w:val="bg-BG"/>
        </w:rPr>
        <w:t>благодари на всички присъстващи</w:t>
      </w:r>
      <w:r w:rsidRPr="00292755">
        <w:rPr>
          <w:rFonts w:ascii="Times New Roman" w:eastAsia="Times New Roman" w:hAnsi="Times New Roman" w:cs="Times New Roman"/>
          <w:b/>
          <w:bCs/>
          <w:sz w:val="24"/>
          <w:szCs w:val="24"/>
          <w:lang w:val="bg-BG"/>
        </w:rPr>
        <w:t xml:space="preserve"> </w:t>
      </w:r>
      <w:r w:rsidRPr="00292755">
        <w:rPr>
          <w:rFonts w:ascii="Times New Roman" w:eastAsia="Times New Roman" w:hAnsi="Times New Roman" w:cs="Times New Roman"/>
          <w:bCs/>
          <w:sz w:val="24"/>
          <w:szCs w:val="24"/>
          <w:lang w:val="bg-BG"/>
        </w:rPr>
        <w:t>и</w:t>
      </w:r>
      <w:r w:rsidRPr="00292755">
        <w:rPr>
          <w:rFonts w:ascii="Times New Roman" w:eastAsia="Times New Roman" w:hAnsi="Times New Roman" w:cs="Times New Roman"/>
          <w:b/>
          <w:bCs/>
          <w:sz w:val="24"/>
          <w:szCs w:val="24"/>
          <w:lang w:val="bg-BG"/>
        </w:rPr>
        <w:t xml:space="preserve"> </w:t>
      </w:r>
      <w:r w:rsidRPr="00292755">
        <w:rPr>
          <w:rFonts w:ascii="Times New Roman" w:eastAsia="Times New Roman" w:hAnsi="Times New Roman" w:cs="Times New Roman"/>
          <w:sz w:val="24"/>
          <w:szCs w:val="24"/>
          <w:lang w:val="bg-BG" w:eastAsia="da-DK"/>
        </w:rPr>
        <w:t>откри 18-то заседание на КН на ПРСР 2014-2020 г., свикано във връзка с необходимостта от изменение на програмата, свързано с предстоящия прием по подмярка 72 „Инвестиции в създаването, подобряването и разширяването на всички видове малка по мащаби инфраструктура“, промяна в критериите по подмярката, както и актуализация на Индикативната годишна работна програма за настоящата година.</w:t>
      </w:r>
    </w:p>
    <w:p w:rsidR="00451964" w:rsidRPr="00292755" w:rsidRDefault="00451964" w:rsidP="00292755">
      <w:pPr>
        <w:tabs>
          <w:tab w:val="left" w:pos="2127"/>
        </w:tabs>
        <w:spacing w:before="120" w:after="0" w:line="240" w:lineRule="auto"/>
        <w:jc w:val="both"/>
        <w:rPr>
          <w:rFonts w:ascii="Times New Roman" w:eastAsia="Times New Roman" w:hAnsi="Times New Roman" w:cs="Times New Roman"/>
          <w:sz w:val="24"/>
          <w:szCs w:val="24"/>
          <w:lang w:val="bg-BG" w:eastAsia="da-DK"/>
        </w:rPr>
      </w:pPr>
      <w:r w:rsidRPr="00292755">
        <w:rPr>
          <w:rFonts w:ascii="Times New Roman" w:eastAsia="Times New Roman" w:hAnsi="Times New Roman" w:cs="Times New Roman"/>
          <w:sz w:val="24"/>
          <w:szCs w:val="24"/>
          <w:lang w:val="bg-BG" w:eastAsia="da-DK"/>
        </w:rPr>
        <w:t>Д-р Неков съобщи, че при наличието на кворум, заседанието е редовно и може да започне работата си. Той  представи участващите от страна на Европейската комисия: г-н Феърбрадър</w:t>
      </w:r>
      <w:r w:rsidR="00292755" w:rsidRPr="00292755">
        <w:rPr>
          <w:rFonts w:ascii="Times New Roman" w:eastAsia="Times New Roman" w:hAnsi="Times New Roman" w:cs="Times New Roman"/>
          <w:sz w:val="24"/>
          <w:szCs w:val="24"/>
          <w:lang w:val="bg-BG" w:eastAsia="da-DK"/>
        </w:rPr>
        <w:t>, г-жа Здравка Димитрова</w:t>
      </w:r>
      <w:r w:rsidRPr="00292755">
        <w:rPr>
          <w:rFonts w:ascii="Times New Roman" w:eastAsia="Times New Roman" w:hAnsi="Times New Roman" w:cs="Times New Roman"/>
          <w:sz w:val="24"/>
          <w:szCs w:val="24"/>
          <w:lang w:val="bg-BG" w:eastAsia="da-DK"/>
        </w:rPr>
        <w:t xml:space="preserve"> и г-жа Елица Живкова, като им предостави думата за приветствие.</w:t>
      </w:r>
    </w:p>
    <w:p w:rsidR="00451964" w:rsidRPr="00292755" w:rsidRDefault="00451964" w:rsidP="00292755">
      <w:pPr>
        <w:tabs>
          <w:tab w:val="left" w:pos="2127"/>
        </w:tabs>
        <w:spacing w:before="120" w:after="0" w:line="240" w:lineRule="auto"/>
        <w:jc w:val="both"/>
        <w:rPr>
          <w:rFonts w:ascii="Times New Roman" w:eastAsia="Times New Roman" w:hAnsi="Times New Roman" w:cs="Times New Roman"/>
          <w:sz w:val="24"/>
          <w:szCs w:val="24"/>
          <w:lang w:val="bg-BG" w:eastAsia="da-DK"/>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БЕНДЖАМИН ФЕЪРБРАДЪР</w:t>
      </w:r>
      <w:r w:rsidRPr="00292755">
        <w:rPr>
          <w:rFonts w:ascii="Times New Roman" w:eastAsia="Times New Roman" w:hAnsi="Times New Roman" w:cs="Times New Roman"/>
          <w:sz w:val="24"/>
          <w:szCs w:val="24"/>
          <w:lang w:val="bg-BG"/>
        </w:rPr>
        <w:t xml:space="preserve"> се представи като зам.-директор на   географския отдел, който работи с 5 държави, включително и с България. Той поздрави участващите в заседанието, уведоми за реорганизирането на </w:t>
      </w:r>
      <w:r w:rsidR="00292755">
        <w:rPr>
          <w:rFonts w:ascii="Times New Roman" w:eastAsia="Times New Roman" w:hAnsi="Times New Roman" w:cs="Times New Roman"/>
          <w:sz w:val="24"/>
          <w:szCs w:val="24"/>
          <w:lang w:val="bg-BG"/>
        </w:rPr>
        <w:t>ГД</w:t>
      </w:r>
      <w:r w:rsidRPr="00292755">
        <w:rPr>
          <w:rFonts w:ascii="Times New Roman" w:eastAsia="Times New Roman" w:hAnsi="Times New Roman" w:cs="Times New Roman"/>
          <w:sz w:val="24"/>
          <w:szCs w:val="24"/>
          <w:lang w:val="bg-BG"/>
        </w:rPr>
        <w:t xml:space="preserve"> „Земеделие“ и създаването на нови отдели, свързани с новата структура на ОСП. Г-н Феърбрадър представи г-жа Здравка Димитрова - нова колежка от същия отдел и уточни, че новият директор </w:t>
      </w:r>
      <w:r w:rsidR="00292755" w:rsidRPr="00292755">
        <w:rPr>
          <w:rFonts w:ascii="Times New Roman" w:eastAsia="Times New Roman" w:hAnsi="Times New Roman" w:cs="Times New Roman"/>
          <w:sz w:val="24"/>
          <w:szCs w:val="24"/>
          <w:lang w:val="bg-BG"/>
        </w:rPr>
        <w:t xml:space="preserve">на генералната дирекция </w:t>
      </w:r>
      <w:r w:rsidRPr="00292755">
        <w:rPr>
          <w:rFonts w:ascii="Times New Roman" w:eastAsia="Times New Roman" w:hAnsi="Times New Roman" w:cs="Times New Roman"/>
          <w:sz w:val="24"/>
          <w:szCs w:val="24"/>
          <w:lang w:val="bg-BG"/>
        </w:rPr>
        <w:t>е  г-н Мариос Мигас, който за съжаление не може да участва в заседанието.</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r w:rsidRPr="00292755">
        <w:rPr>
          <w:rFonts w:ascii="Times New Roman" w:eastAsia="Times New Roman" w:hAnsi="Times New Roman" w:cs="Times New Roman"/>
          <w:b/>
          <w:sz w:val="24"/>
          <w:szCs w:val="24"/>
          <w:lang w:val="bg-BG"/>
        </w:rPr>
        <w:t>Точка 1</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r w:rsidRPr="00292755">
        <w:rPr>
          <w:rFonts w:ascii="Times New Roman" w:eastAsia="Times New Roman" w:hAnsi="Times New Roman" w:cs="Times New Roman"/>
          <w:b/>
          <w:sz w:val="24"/>
          <w:szCs w:val="24"/>
          <w:lang w:val="bg-BG"/>
        </w:rPr>
        <w:t xml:space="preserve">Приемане на дневния ред.   </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rPr>
        <w:t xml:space="preserve"> </w:t>
      </w:r>
      <w:r w:rsidRPr="00292755">
        <w:rPr>
          <w:rFonts w:ascii="Times New Roman" w:eastAsia="Times New Roman" w:hAnsi="Times New Roman" w:cs="Times New Roman"/>
          <w:sz w:val="24"/>
          <w:szCs w:val="24"/>
          <w:lang w:val="bg-BG"/>
        </w:rPr>
        <w:t xml:space="preserve">предложи на Комитета да </w:t>
      </w:r>
      <w:r w:rsidR="00980D44">
        <w:rPr>
          <w:rFonts w:ascii="Times New Roman" w:eastAsia="Times New Roman" w:hAnsi="Times New Roman" w:cs="Times New Roman"/>
          <w:sz w:val="24"/>
          <w:szCs w:val="24"/>
          <w:lang w:val="bg-BG"/>
        </w:rPr>
        <w:t>започнат заседанието</w:t>
      </w:r>
      <w:r w:rsidRPr="00292755">
        <w:rPr>
          <w:rFonts w:ascii="Times New Roman" w:eastAsia="Times New Roman" w:hAnsi="Times New Roman" w:cs="Times New Roman"/>
          <w:sz w:val="24"/>
          <w:szCs w:val="24"/>
          <w:lang w:val="bg-BG"/>
        </w:rPr>
        <w:t xml:space="preserve"> </w:t>
      </w:r>
      <w:r w:rsidR="00980D44">
        <w:rPr>
          <w:rFonts w:ascii="Times New Roman" w:eastAsia="Times New Roman" w:hAnsi="Times New Roman" w:cs="Times New Roman"/>
          <w:sz w:val="24"/>
          <w:szCs w:val="24"/>
          <w:lang w:val="bg-BG"/>
        </w:rPr>
        <w:t>с</w:t>
      </w:r>
      <w:r w:rsidRPr="00292755">
        <w:rPr>
          <w:rFonts w:ascii="Times New Roman" w:eastAsia="Times New Roman" w:hAnsi="Times New Roman" w:cs="Times New Roman"/>
          <w:sz w:val="24"/>
          <w:szCs w:val="24"/>
          <w:lang w:val="bg-BG"/>
        </w:rPr>
        <w:t xml:space="preserve"> точка първа от дневния ред: „Приемане на дневния ред на заседанието“.</w:t>
      </w:r>
    </w:p>
    <w:p w:rsidR="00451964" w:rsidRPr="00292755" w:rsidRDefault="00451964" w:rsidP="00292755">
      <w:pPr>
        <w:spacing w:after="0" w:line="240" w:lineRule="auto"/>
        <w:ind w:right="3402"/>
        <w:jc w:val="both"/>
        <w:rPr>
          <w:rFonts w:ascii="Times New Roman" w:eastAsia="Times New Roman" w:hAnsi="Times New Roman" w:cs="Times New Roman"/>
          <w:b/>
          <w:sz w:val="24"/>
          <w:szCs w:val="24"/>
          <w:u w:val="single"/>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Д-р Неков поясни, че е получено предложение от г-н Главчовски, представител на екологичните организации в Комитета за наблюдение, да отпадне точка 2 от дневния ред „Информация за напредъка в изпълнението на Програмата за развитие на селските район 2014 – 2020 г.“, с мотива, че всички членове на Комитета за наблюдение на ПРСР са запознати с изпълнението на програмата и преформулира точката по следния начин: „Запознаване на членовете на Комитета за наблюдение на ПРСР с причините за забавените темпове на изпълне</w:t>
      </w:r>
      <w:r w:rsidR="005D696C">
        <w:rPr>
          <w:rFonts w:ascii="Times New Roman" w:eastAsia="Times New Roman" w:hAnsi="Times New Roman" w:cs="Times New Roman"/>
          <w:sz w:val="24"/>
          <w:szCs w:val="24"/>
          <w:lang w:val="bg-BG"/>
        </w:rPr>
        <w:t>ние на програмата“, като постави</w:t>
      </w:r>
      <w:r w:rsidRPr="00292755">
        <w:rPr>
          <w:rFonts w:ascii="Times New Roman" w:eastAsia="Times New Roman" w:hAnsi="Times New Roman" w:cs="Times New Roman"/>
          <w:sz w:val="24"/>
          <w:szCs w:val="24"/>
          <w:lang w:val="bg-BG"/>
        </w:rPr>
        <w:t xml:space="preserve"> редица въпроси </w:t>
      </w:r>
      <w:r w:rsidR="005D696C">
        <w:rPr>
          <w:rFonts w:ascii="Times New Roman" w:eastAsia="Times New Roman" w:hAnsi="Times New Roman" w:cs="Times New Roman"/>
          <w:sz w:val="24"/>
          <w:szCs w:val="24"/>
          <w:lang w:val="bg-BG"/>
        </w:rPr>
        <w:t>по така предложеното заглавие по</w:t>
      </w:r>
      <w:r w:rsidRPr="00292755">
        <w:rPr>
          <w:rFonts w:ascii="Times New Roman" w:eastAsia="Times New Roman" w:hAnsi="Times New Roman" w:cs="Times New Roman"/>
          <w:sz w:val="24"/>
          <w:szCs w:val="24"/>
          <w:lang w:val="bg-BG"/>
        </w:rPr>
        <w:t xml:space="preserve"> т. 2.</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Д-р Неков предложи да не се приеме предложението на г-н Главчо</w:t>
      </w:r>
      <w:r w:rsidR="005D696C">
        <w:rPr>
          <w:rFonts w:ascii="Times New Roman" w:eastAsia="Times New Roman" w:hAnsi="Times New Roman" w:cs="Times New Roman"/>
          <w:sz w:val="24"/>
          <w:szCs w:val="24"/>
          <w:lang w:val="bg-BG"/>
        </w:rPr>
        <w:t xml:space="preserve">вски, </w:t>
      </w:r>
      <w:r w:rsidRPr="00292755">
        <w:rPr>
          <w:rFonts w:ascii="Times New Roman" w:eastAsia="Times New Roman" w:hAnsi="Times New Roman" w:cs="Times New Roman"/>
          <w:sz w:val="24"/>
          <w:szCs w:val="24"/>
          <w:lang w:val="bg-BG"/>
        </w:rPr>
        <w:t xml:space="preserve">с мотива, че една от основните функции на Комитета е да разглежда, дискутира и анализира изпълнението на програмата и напредъка, докладван от Управляващия орган, но </w:t>
      </w:r>
      <w:r w:rsidR="005D696C">
        <w:rPr>
          <w:rFonts w:ascii="Times New Roman" w:eastAsia="Times New Roman" w:hAnsi="Times New Roman" w:cs="Times New Roman"/>
          <w:sz w:val="24"/>
          <w:szCs w:val="24"/>
          <w:lang w:val="bg-BG"/>
        </w:rPr>
        <w:t xml:space="preserve">уточни, че </w:t>
      </w:r>
      <w:r w:rsidRPr="00292755">
        <w:rPr>
          <w:rFonts w:ascii="Times New Roman" w:eastAsia="Times New Roman" w:hAnsi="Times New Roman" w:cs="Times New Roman"/>
          <w:sz w:val="24"/>
          <w:szCs w:val="24"/>
          <w:lang w:val="bg-BG"/>
        </w:rPr>
        <w:t>в рамките на дискусията по точка 2 ще се  предоставят отговори на поставените от г-н Главчовски въпроси</w:t>
      </w:r>
      <w:r w:rsidR="005D696C">
        <w:rPr>
          <w:rFonts w:ascii="Times New Roman" w:eastAsia="Times New Roman" w:hAnsi="Times New Roman" w:cs="Times New Roman"/>
          <w:sz w:val="24"/>
          <w:szCs w:val="24"/>
          <w:lang w:val="bg-BG"/>
        </w:rPr>
        <w:t xml:space="preserve">. Поради липса на други </w:t>
      </w:r>
      <w:r w:rsidRPr="00292755">
        <w:rPr>
          <w:rFonts w:ascii="Times New Roman" w:eastAsia="Times New Roman" w:hAnsi="Times New Roman" w:cs="Times New Roman"/>
          <w:sz w:val="24"/>
          <w:szCs w:val="24"/>
          <w:lang w:val="bg-BG"/>
        </w:rPr>
        <w:t>предложения, Комитетът ще разгледа останалите точки от дневния ред, така както са  изпратени от секретариата.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D1736E"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Д-р Неков уточни, че получените становища и предложения по материалите от дневния ред ще се дискутират по време на съответната точка от дневния ред и предложи да се премине към гласуване на дневния ред, като добави, че в дистанционен режим на работа, е най удобно първо да гласуват тези, които са против и </w:t>
      </w:r>
      <w:r w:rsidR="005D696C">
        <w:rPr>
          <w:rFonts w:ascii="Times New Roman" w:eastAsia="Times New Roman" w:hAnsi="Times New Roman" w:cs="Times New Roman"/>
          <w:sz w:val="24"/>
          <w:szCs w:val="24"/>
          <w:lang w:val="bg-BG"/>
        </w:rPr>
        <w:t xml:space="preserve"> тези, които са </w:t>
      </w:r>
      <w:r w:rsidRPr="00292755">
        <w:rPr>
          <w:rFonts w:ascii="Times New Roman" w:eastAsia="Times New Roman" w:hAnsi="Times New Roman" w:cs="Times New Roman"/>
          <w:sz w:val="24"/>
          <w:szCs w:val="24"/>
          <w:lang w:val="bg-BG"/>
        </w:rPr>
        <w:t>въздържали се,  индикирайки това в чата или чрез вдигане на ръка.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Гласуване: </w:t>
      </w:r>
    </w:p>
    <w:p w:rsidR="00451964" w:rsidRPr="00292755" w:rsidRDefault="00D1736E"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w:t>
      </w:r>
      <w:r w:rsidR="00451964" w:rsidRPr="00292755">
        <w:rPr>
          <w:rFonts w:ascii="Times New Roman" w:eastAsia="Times New Roman" w:hAnsi="Times New Roman" w:cs="Times New Roman"/>
          <w:sz w:val="24"/>
          <w:szCs w:val="24"/>
          <w:lang w:val="bg-BG"/>
        </w:rPr>
        <w:t xml:space="preserve">ротив“- няма, </w:t>
      </w:r>
    </w:p>
    <w:p w:rsidR="00451964" w:rsidRPr="00292755" w:rsidRDefault="00D1736E"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w:t>
      </w:r>
      <w:r w:rsidR="00451964" w:rsidRPr="00292755">
        <w:rPr>
          <w:rFonts w:ascii="Times New Roman" w:eastAsia="Times New Roman" w:hAnsi="Times New Roman" w:cs="Times New Roman"/>
          <w:sz w:val="24"/>
          <w:szCs w:val="24"/>
          <w:lang w:val="bg-BG"/>
        </w:rPr>
        <w:t>ъздържали се“- 1.</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Решението по т. 1 се прие с мнозинство.</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r w:rsidRPr="00292755">
        <w:rPr>
          <w:rFonts w:ascii="Times New Roman" w:eastAsia="Times New Roman" w:hAnsi="Times New Roman" w:cs="Times New Roman"/>
          <w:b/>
          <w:sz w:val="24"/>
          <w:szCs w:val="24"/>
          <w:lang w:val="bg-BG"/>
        </w:rPr>
        <w:t>РЕШЕНИЕ ПО Т. 1:</w:t>
      </w:r>
    </w:p>
    <w:p w:rsidR="00451964" w:rsidRPr="00292755" w:rsidRDefault="00451964" w:rsidP="00292755">
      <w:pPr>
        <w:spacing w:after="0" w:line="240" w:lineRule="auto"/>
        <w:jc w:val="both"/>
        <w:rPr>
          <w:rFonts w:ascii="Times New Roman" w:eastAsia="Times New Roman" w:hAnsi="Times New Roman" w:cs="Times New Roman"/>
          <w:i/>
          <w:sz w:val="24"/>
          <w:szCs w:val="24"/>
          <w:lang w:val="bg-BG"/>
        </w:rPr>
      </w:pPr>
      <w:r w:rsidRPr="00292755">
        <w:rPr>
          <w:rFonts w:ascii="Times New Roman" w:eastAsia="Times New Roman" w:hAnsi="Times New Roman" w:cs="Times New Roman"/>
          <w:i/>
          <w:sz w:val="24"/>
          <w:szCs w:val="24"/>
          <w:lang w:val="bg-BG"/>
        </w:rPr>
        <w:t xml:space="preserve">Комитетът по наблюдение на Програмата за развитие на селските райони 2014-2020 г. </w:t>
      </w:r>
      <w:r w:rsidR="005D696C">
        <w:rPr>
          <w:rFonts w:ascii="Times New Roman" w:eastAsia="Times New Roman" w:hAnsi="Times New Roman" w:cs="Times New Roman"/>
          <w:i/>
          <w:sz w:val="24"/>
          <w:szCs w:val="24"/>
          <w:lang w:val="bg-BG"/>
        </w:rPr>
        <w:t>прие</w:t>
      </w:r>
      <w:r w:rsidRPr="00292755">
        <w:rPr>
          <w:rFonts w:ascii="Times New Roman" w:eastAsia="Times New Roman" w:hAnsi="Times New Roman" w:cs="Times New Roman"/>
          <w:i/>
          <w:sz w:val="24"/>
          <w:szCs w:val="24"/>
          <w:lang w:val="bg-BG"/>
        </w:rPr>
        <w:t xml:space="preserve"> предложения от  Управляващия орган (УО) дневен ред като дневен ред на 18 заседание на КН на ПРСР 2014-2020 г.</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b/>
          <w:sz w:val="24"/>
          <w:szCs w:val="24"/>
          <w:u w:val="single"/>
          <w:lang w:val="bg-BG"/>
        </w:rPr>
      </w:pPr>
      <w:r w:rsidRPr="00292755">
        <w:rPr>
          <w:rFonts w:ascii="Times New Roman" w:eastAsia="Times New Roman" w:hAnsi="Times New Roman" w:cs="Times New Roman"/>
          <w:b/>
          <w:sz w:val="24"/>
          <w:szCs w:val="24"/>
          <w:u w:val="single"/>
          <w:lang w:val="bg-BG"/>
        </w:rPr>
        <w:t>Точка 2</w:t>
      </w:r>
    </w:p>
    <w:p w:rsidR="00451964" w:rsidRPr="00292755" w:rsidRDefault="00451964" w:rsidP="00292755">
      <w:pPr>
        <w:spacing w:after="0" w:line="240" w:lineRule="auto"/>
        <w:jc w:val="both"/>
        <w:rPr>
          <w:rFonts w:ascii="Times New Roman" w:eastAsia="Calibri" w:hAnsi="Times New Roman" w:cs="Times New Roman"/>
          <w:b/>
          <w:sz w:val="24"/>
          <w:szCs w:val="24"/>
          <w:lang w:val="bg-BG"/>
        </w:rPr>
      </w:pPr>
      <w:r w:rsidRPr="00292755">
        <w:rPr>
          <w:rFonts w:ascii="Times New Roman" w:eastAsia="Calibri" w:hAnsi="Times New Roman" w:cs="Times New Roman"/>
          <w:b/>
          <w:sz w:val="24"/>
          <w:szCs w:val="24"/>
          <w:lang w:val="bg-BG"/>
        </w:rPr>
        <w:t>Информация за напредъка в изпълнението на Програмата за развитие на селските райони 2014-2020 г.</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lang w:val="bg-BG"/>
        </w:rPr>
        <w:t xml:space="preserve"> даде думата на представителите на ДФ „Земеделие“ накратко да представят напредъка в изпълнението на програмата.</w:t>
      </w:r>
    </w:p>
    <w:p w:rsidR="005D696C" w:rsidRPr="00292755" w:rsidRDefault="005D696C"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КЛИМЕНТ ПЕТРОВ</w:t>
      </w:r>
      <w:r w:rsidRPr="00292755">
        <w:rPr>
          <w:rFonts w:ascii="Times New Roman" w:eastAsia="Times New Roman" w:hAnsi="Times New Roman" w:cs="Times New Roman"/>
          <w:sz w:val="24"/>
          <w:szCs w:val="24"/>
          <w:lang w:val="bg-BG"/>
        </w:rPr>
        <w:t>, зам.-изпълнителен директор на ДФЗ, представи структурата на презентацията, видима на екрана. В общия преглед на напредъка - общия</w:t>
      </w:r>
      <w:r w:rsidR="005D696C">
        <w:rPr>
          <w:rFonts w:ascii="Times New Roman" w:eastAsia="Times New Roman" w:hAnsi="Times New Roman" w:cs="Times New Roman"/>
          <w:sz w:val="24"/>
          <w:szCs w:val="24"/>
          <w:lang w:val="bg-BG"/>
        </w:rPr>
        <w:t>т</w:t>
      </w:r>
      <w:r w:rsidRPr="00292755">
        <w:rPr>
          <w:rFonts w:ascii="Times New Roman" w:eastAsia="Times New Roman" w:hAnsi="Times New Roman" w:cs="Times New Roman"/>
          <w:sz w:val="24"/>
          <w:szCs w:val="24"/>
          <w:lang w:val="bg-BG"/>
        </w:rPr>
        <w:t xml:space="preserve"> бюджет е </w:t>
      </w:r>
      <w:r w:rsidR="007F0E09">
        <w:rPr>
          <w:rFonts w:ascii="Times New Roman" w:eastAsia="Times New Roman" w:hAnsi="Times New Roman" w:cs="Times New Roman"/>
          <w:sz w:val="24"/>
          <w:szCs w:val="24"/>
          <w:lang w:val="bg-BG"/>
        </w:rPr>
        <w:t>3 764 057 416 евро</w:t>
      </w:r>
      <w:r w:rsidR="005D696C">
        <w:rPr>
          <w:rFonts w:ascii="Times New Roman" w:eastAsia="Times New Roman" w:hAnsi="Times New Roman" w:cs="Times New Roman"/>
          <w:sz w:val="24"/>
          <w:szCs w:val="24"/>
          <w:lang w:val="bg-BG"/>
        </w:rPr>
        <w:t>, като</w:t>
      </w:r>
      <w:r w:rsidRPr="00292755">
        <w:rPr>
          <w:rFonts w:ascii="Times New Roman" w:eastAsia="Times New Roman" w:hAnsi="Times New Roman" w:cs="Times New Roman"/>
          <w:sz w:val="24"/>
          <w:szCs w:val="24"/>
          <w:lang w:val="bg-BG"/>
        </w:rPr>
        <w:t xml:space="preserve"> националнот</w:t>
      </w:r>
      <w:r w:rsidR="007F0E09">
        <w:rPr>
          <w:rFonts w:ascii="Times New Roman" w:eastAsia="Times New Roman" w:hAnsi="Times New Roman" w:cs="Times New Roman"/>
          <w:sz w:val="24"/>
          <w:szCs w:val="24"/>
          <w:lang w:val="bg-BG"/>
        </w:rPr>
        <w:t>о финансиране е 694 </w:t>
      </w:r>
      <w:r w:rsidRPr="00292755">
        <w:rPr>
          <w:rFonts w:ascii="Times New Roman" w:eastAsia="Times New Roman" w:hAnsi="Times New Roman" w:cs="Times New Roman"/>
          <w:sz w:val="24"/>
          <w:szCs w:val="24"/>
          <w:lang w:val="bg-BG"/>
        </w:rPr>
        <w:t>379</w:t>
      </w:r>
      <w:r w:rsidR="007F0E09">
        <w:rPr>
          <w:rFonts w:ascii="Times New Roman" w:eastAsia="Times New Roman" w:hAnsi="Times New Roman" w:cs="Times New Roman"/>
          <w:sz w:val="24"/>
          <w:szCs w:val="24"/>
          <w:lang w:val="bg-BG"/>
        </w:rPr>
        <w:t xml:space="preserve"> 416 евро</w:t>
      </w:r>
      <w:r w:rsidRPr="00292755">
        <w:rPr>
          <w:rFonts w:ascii="Times New Roman" w:eastAsia="Times New Roman" w:hAnsi="Times New Roman" w:cs="Times New Roman"/>
          <w:sz w:val="24"/>
          <w:szCs w:val="24"/>
          <w:lang w:val="bg-BG"/>
        </w:rPr>
        <w:t xml:space="preserve"> и евр</w:t>
      </w:r>
      <w:r w:rsidR="007F0E09">
        <w:rPr>
          <w:rFonts w:ascii="Times New Roman" w:eastAsia="Times New Roman" w:hAnsi="Times New Roman" w:cs="Times New Roman"/>
          <w:sz w:val="24"/>
          <w:szCs w:val="24"/>
          <w:lang w:val="bg-BG"/>
        </w:rPr>
        <w:t>опейските средства са 3 0</w:t>
      </w:r>
      <w:r w:rsidRPr="00292755">
        <w:rPr>
          <w:rFonts w:ascii="Times New Roman" w:eastAsia="Times New Roman" w:hAnsi="Times New Roman" w:cs="Times New Roman"/>
          <w:sz w:val="24"/>
          <w:szCs w:val="24"/>
          <w:lang w:val="bg-BG"/>
        </w:rPr>
        <w:t>69</w:t>
      </w:r>
      <w:r w:rsidR="007F0E09">
        <w:rPr>
          <w:rFonts w:ascii="Times New Roman" w:eastAsia="Times New Roman" w:hAnsi="Times New Roman" w:cs="Times New Roman"/>
          <w:sz w:val="24"/>
          <w:szCs w:val="24"/>
          <w:lang w:val="bg-BG"/>
        </w:rPr>
        <w:t> 678 000 евро</w:t>
      </w:r>
      <w:r w:rsidRPr="00292755">
        <w:rPr>
          <w:rFonts w:ascii="Times New Roman" w:eastAsia="Times New Roman" w:hAnsi="Times New Roman" w:cs="Times New Roman"/>
          <w:sz w:val="24"/>
          <w:szCs w:val="24"/>
          <w:lang w:val="bg-BG"/>
        </w:rPr>
        <w:t>.</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По отношение на изплатените суми процентното изпълнение към 24 юни 2022 г.  е  малко под 55 %, с едно уточнение, че не всички отворени програми са платени.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 </w:t>
      </w:r>
    </w:p>
    <w:p w:rsidR="00451964" w:rsidRPr="00292755" w:rsidRDefault="005D696C"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 отношение на </w:t>
      </w:r>
      <w:r w:rsidR="00451964" w:rsidRPr="00292755">
        <w:rPr>
          <w:rFonts w:ascii="Times New Roman" w:eastAsia="Times New Roman" w:hAnsi="Times New Roman" w:cs="Times New Roman"/>
          <w:sz w:val="24"/>
          <w:szCs w:val="24"/>
          <w:lang w:val="bg-BG"/>
        </w:rPr>
        <w:t>проце</w:t>
      </w:r>
      <w:r>
        <w:rPr>
          <w:rFonts w:ascii="Times New Roman" w:eastAsia="Times New Roman" w:hAnsi="Times New Roman" w:cs="Times New Roman"/>
          <w:sz w:val="24"/>
          <w:szCs w:val="24"/>
          <w:lang w:val="bg-BG"/>
        </w:rPr>
        <w:t xml:space="preserve">нта </w:t>
      </w:r>
      <w:r w:rsidR="007F0E09">
        <w:rPr>
          <w:rFonts w:ascii="Times New Roman" w:eastAsia="Times New Roman" w:hAnsi="Times New Roman" w:cs="Times New Roman"/>
          <w:sz w:val="24"/>
          <w:szCs w:val="24"/>
          <w:lang w:val="bg-BG"/>
        </w:rPr>
        <w:t xml:space="preserve">на </w:t>
      </w:r>
      <w:r>
        <w:rPr>
          <w:rFonts w:ascii="Times New Roman" w:eastAsia="Times New Roman" w:hAnsi="Times New Roman" w:cs="Times New Roman"/>
          <w:sz w:val="24"/>
          <w:szCs w:val="24"/>
          <w:lang w:val="bg-BG"/>
        </w:rPr>
        <w:t xml:space="preserve">усвояемост - </w:t>
      </w:r>
      <w:r w:rsidR="00451964" w:rsidRPr="00292755">
        <w:rPr>
          <w:rFonts w:ascii="Times New Roman" w:eastAsia="Times New Roman" w:hAnsi="Times New Roman" w:cs="Times New Roman"/>
          <w:sz w:val="24"/>
          <w:szCs w:val="24"/>
          <w:lang w:val="bg-BG"/>
        </w:rPr>
        <w:t xml:space="preserve"> най-голяма усвояемост има по мярка 21 „Извънредно временно подп</w:t>
      </w:r>
      <w:r w:rsidR="003B5209">
        <w:rPr>
          <w:rFonts w:ascii="Times New Roman" w:eastAsia="Times New Roman" w:hAnsi="Times New Roman" w:cs="Times New Roman"/>
          <w:sz w:val="24"/>
          <w:szCs w:val="24"/>
          <w:lang w:val="bg-BG"/>
        </w:rPr>
        <w:t xml:space="preserve">омагане на земеделските стопани, които са особено засегнати и </w:t>
      </w:r>
      <w:r w:rsidR="00451964" w:rsidRPr="00292755">
        <w:rPr>
          <w:rFonts w:ascii="Times New Roman" w:eastAsia="Times New Roman" w:hAnsi="Times New Roman" w:cs="Times New Roman"/>
          <w:sz w:val="24"/>
          <w:szCs w:val="24"/>
          <w:lang w:val="bg-BG"/>
        </w:rPr>
        <w:t xml:space="preserve">от кризата предизвикана от </w:t>
      </w:r>
      <w:r w:rsidR="00451964" w:rsidRPr="00292755">
        <w:rPr>
          <w:rFonts w:ascii="Times New Roman" w:eastAsia="Times New Roman" w:hAnsi="Times New Roman" w:cs="Times New Roman"/>
          <w:sz w:val="24"/>
          <w:szCs w:val="24"/>
        </w:rPr>
        <w:t>COVID-1</w:t>
      </w:r>
      <w:r w:rsidR="00451964" w:rsidRPr="00292755">
        <w:rPr>
          <w:rFonts w:ascii="Times New Roman" w:eastAsia="Times New Roman" w:hAnsi="Times New Roman" w:cs="Times New Roman"/>
          <w:sz w:val="24"/>
          <w:szCs w:val="24"/>
          <w:lang w:val="bg-BG"/>
        </w:rPr>
        <w:t>9</w:t>
      </w:r>
      <w:r w:rsidR="007F0E09">
        <w:rPr>
          <w:rFonts w:ascii="Times New Roman" w:eastAsia="Times New Roman" w:hAnsi="Times New Roman" w:cs="Times New Roman"/>
          <w:sz w:val="24"/>
          <w:szCs w:val="24"/>
          <w:lang w:val="bg-BG"/>
        </w:rPr>
        <w:t xml:space="preserve">“ - </w:t>
      </w:r>
      <w:r w:rsidR="003B5209">
        <w:rPr>
          <w:rFonts w:ascii="Times New Roman" w:eastAsia="Times New Roman" w:hAnsi="Times New Roman" w:cs="Times New Roman"/>
          <w:sz w:val="24"/>
          <w:szCs w:val="24"/>
          <w:lang w:val="bg-BG"/>
        </w:rPr>
        <w:t xml:space="preserve"> процентът</w:t>
      </w:r>
      <w:r w:rsidR="00451964" w:rsidRPr="00292755">
        <w:rPr>
          <w:rFonts w:ascii="Times New Roman" w:eastAsia="Times New Roman" w:hAnsi="Times New Roman" w:cs="Times New Roman"/>
          <w:sz w:val="24"/>
          <w:szCs w:val="24"/>
          <w:lang w:val="bg-BG"/>
        </w:rPr>
        <w:t xml:space="preserve"> на изпълнение е 87 %.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На второ място, като изпълнение се нарежда мярка 13 „Плащания за райони</w:t>
      </w:r>
      <w:r w:rsidR="003B5209">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изправени пред природни и</w:t>
      </w:r>
      <w:r w:rsidR="003B5209">
        <w:rPr>
          <w:rFonts w:ascii="Times New Roman" w:eastAsia="Times New Roman" w:hAnsi="Times New Roman" w:cs="Times New Roman"/>
          <w:sz w:val="24"/>
          <w:szCs w:val="24"/>
          <w:lang w:val="bg-BG"/>
        </w:rPr>
        <w:t>ли други специфични ограничени“ – 85%. Следва мярка</w:t>
      </w:r>
      <w:r w:rsidRPr="00292755">
        <w:rPr>
          <w:rFonts w:ascii="Times New Roman" w:eastAsia="Times New Roman" w:hAnsi="Times New Roman" w:cs="Times New Roman"/>
          <w:sz w:val="24"/>
          <w:szCs w:val="24"/>
          <w:lang w:val="bg-BG"/>
        </w:rPr>
        <w:t xml:space="preserve"> „Натура</w:t>
      </w:r>
      <w:r w:rsidR="003B5209">
        <w:rPr>
          <w:rFonts w:ascii="Times New Roman" w:eastAsia="Times New Roman" w:hAnsi="Times New Roman" w:cs="Times New Roman"/>
          <w:sz w:val="24"/>
          <w:szCs w:val="24"/>
          <w:lang w:val="bg-BG"/>
        </w:rPr>
        <w:t xml:space="preserve"> 2000“ с 82 % усвояемост,</w:t>
      </w:r>
      <w:r w:rsidRPr="00292755">
        <w:rPr>
          <w:rFonts w:ascii="Times New Roman" w:eastAsia="Times New Roman" w:hAnsi="Times New Roman" w:cs="Times New Roman"/>
          <w:sz w:val="24"/>
          <w:szCs w:val="24"/>
          <w:lang w:val="bg-BG"/>
        </w:rPr>
        <w:t xml:space="preserve">  „Агроекология и климат“ с 76 %,   мярка 7 „Основни услуги и обновяване на селата и селските  райони“ с 67 %,   мярка 14 „Хуманно отношение към животните“ с 62 %,</w:t>
      </w:r>
      <w:r w:rsidR="003B5209">
        <w:rPr>
          <w:rFonts w:ascii="Times New Roman" w:eastAsia="Times New Roman" w:hAnsi="Times New Roman" w:cs="Times New Roman"/>
          <w:sz w:val="24"/>
          <w:szCs w:val="24"/>
          <w:lang w:val="bg-BG"/>
        </w:rPr>
        <w:t xml:space="preserve"> мярка 2 „Консултантски услуги,</w:t>
      </w:r>
      <w:r w:rsidRPr="00292755">
        <w:rPr>
          <w:rFonts w:ascii="Times New Roman" w:eastAsia="Times New Roman" w:hAnsi="Times New Roman" w:cs="Times New Roman"/>
          <w:sz w:val="24"/>
          <w:szCs w:val="24"/>
          <w:lang w:val="bg-BG"/>
        </w:rPr>
        <w:t xml:space="preserve"> управление на стоп</w:t>
      </w:r>
      <w:r w:rsidR="003B5209">
        <w:rPr>
          <w:rFonts w:ascii="Times New Roman" w:eastAsia="Times New Roman" w:hAnsi="Times New Roman" w:cs="Times New Roman"/>
          <w:sz w:val="24"/>
          <w:szCs w:val="24"/>
          <w:lang w:val="bg-BG"/>
        </w:rPr>
        <w:t>анство и услуги по заместване в</w:t>
      </w:r>
      <w:r w:rsidRPr="00292755">
        <w:rPr>
          <w:rFonts w:ascii="Times New Roman" w:eastAsia="Times New Roman" w:hAnsi="Times New Roman" w:cs="Times New Roman"/>
          <w:sz w:val="24"/>
          <w:szCs w:val="24"/>
          <w:lang w:val="bg-BG"/>
        </w:rPr>
        <w:t xml:space="preserve"> стопанството“ с 47 % и на осмо място </w:t>
      </w:r>
      <w:r w:rsidR="003B5209">
        <w:rPr>
          <w:rFonts w:ascii="Times New Roman" w:eastAsia="Times New Roman" w:hAnsi="Times New Roman" w:cs="Times New Roman"/>
          <w:sz w:val="24"/>
          <w:szCs w:val="24"/>
          <w:lang w:val="bg-BG"/>
        </w:rPr>
        <w:t xml:space="preserve">е мярка 6 </w:t>
      </w:r>
      <w:r w:rsidRPr="00292755">
        <w:rPr>
          <w:rFonts w:ascii="Times New Roman" w:eastAsia="Times New Roman" w:hAnsi="Times New Roman" w:cs="Times New Roman"/>
          <w:sz w:val="24"/>
          <w:szCs w:val="24"/>
          <w:lang w:val="bg-BG"/>
        </w:rPr>
        <w:t>„Развитие на стопанството и стопанска дей</w:t>
      </w:r>
      <w:r w:rsidR="003B5209">
        <w:rPr>
          <w:rFonts w:ascii="Times New Roman" w:eastAsia="Times New Roman" w:hAnsi="Times New Roman" w:cs="Times New Roman"/>
          <w:sz w:val="24"/>
          <w:szCs w:val="24"/>
          <w:lang w:val="bg-BG"/>
        </w:rPr>
        <w:t xml:space="preserve">ност“ </w:t>
      </w:r>
      <w:r w:rsidRPr="00292755">
        <w:rPr>
          <w:rFonts w:ascii="Times New Roman" w:eastAsia="Times New Roman" w:hAnsi="Times New Roman" w:cs="Times New Roman"/>
          <w:sz w:val="24"/>
          <w:szCs w:val="24"/>
          <w:lang w:val="bg-BG"/>
        </w:rPr>
        <w:t xml:space="preserve"> с 46 %.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По отношение на </w:t>
      </w:r>
      <w:r w:rsidR="003B5209">
        <w:rPr>
          <w:rFonts w:ascii="Times New Roman" w:eastAsia="Times New Roman" w:hAnsi="Times New Roman" w:cs="Times New Roman"/>
          <w:sz w:val="24"/>
          <w:szCs w:val="24"/>
          <w:lang w:val="bg-BG"/>
        </w:rPr>
        <w:t>подмярка 4.1, изцяло обработена по</w:t>
      </w:r>
      <w:r w:rsidRPr="00292755">
        <w:rPr>
          <w:rFonts w:ascii="Times New Roman" w:eastAsia="Times New Roman" w:hAnsi="Times New Roman" w:cs="Times New Roman"/>
          <w:sz w:val="24"/>
          <w:szCs w:val="24"/>
          <w:lang w:val="bg-BG"/>
        </w:rPr>
        <w:t xml:space="preserve"> последния прием</w:t>
      </w:r>
      <w:r w:rsidR="003B5209">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има изпратени 1796 писма и съответно има 72 предложения без никакви коментари.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3B5209"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 подмярка 5.1</w:t>
      </w:r>
      <w:r w:rsidR="0004715C">
        <w:rPr>
          <w:rFonts w:ascii="Times New Roman" w:eastAsia="Times New Roman" w:hAnsi="Times New Roman" w:cs="Times New Roman"/>
          <w:sz w:val="24"/>
          <w:szCs w:val="24"/>
          <w:lang w:val="bg-BG"/>
        </w:rPr>
        <w:t xml:space="preserve"> има</w:t>
      </w:r>
      <w:r w:rsidR="00451964" w:rsidRPr="00292755">
        <w:rPr>
          <w:rFonts w:ascii="Times New Roman" w:eastAsia="Times New Roman" w:hAnsi="Times New Roman" w:cs="Times New Roman"/>
          <w:sz w:val="24"/>
          <w:szCs w:val="24"/>
          <w:lang w:val="bg-BG"/>
        </w:rPr>
        <w:t xml:space="preserve"> три приема. По подмярка 5.2 </w:t>
      </w:r>
      <w:r>
        <w:rPr>
          <w:rFonts w:ascii="Times New Roman" w:eastAsia="Times New Roman" w:hAnsi="Times New Roman" w:cs="Times New Roman"/>
          <w:sz w:val="24"/>
          <w:szCs w:val="24"/>
          <w:lang w:val="bg-BG"/>
        </w:rPr>
        <w:t xml:space="preserve">- </w:t>
      </w:r>
      <w:r w:rsidR="00451964" w:rsidRPr="00292755">
        <w:rPr>
          <w:rFonts w:ascii="Times New Roman" w:eastAsia="Times New Roman" w:hAnsi="Times New Roman" w:cs="Times New Roman"/>
          <w:sz w:val="24"/>
          <w:szCs w:val="24"/>
          <w:lang w:val="bg-BG"/>
        </w:rPr>
        <w:t>един прием. Общият брой на сключените договори за подпо</w:t>
      </w:r>
      <w:r w:rsidR="0004715C">
        <w:rPr>
          <w:rFonts w:ascii="Times New Roman" w:eastAsia="Times New Roman" w:hAnsi="Times New Roman" w:cs="Times New Roman"/>
          <w:sz w:val="24"/>
          <w:szCs w:val="24"/>
          <w:lang w:val="bg-BG"/>
        </w:rPr>
        <w:t xml:space="preserve">магане по подмярка 5.1 е 55, а </w:t>
      </w:r>
      <w:r w:rsidR="00451964" w:rsidRPr="00292755">
        <w:rPr>
          <w:rFonts w:ascii="Times New Roman" w:eastAsia="Times New Roman" w:hAnsi="Times New Roman" w:cs="Times New Roman"/>
          <w:sz w:val="24"/>
          <w:szCs w:val="24"/>
          <w:lang w:val="bg-BG"/>
        </w:rPr>
        <w:t>подмярка 5.2 е в про</w:t>
      </w:r>
      <w:r w:rsidR="0004715C">
        <w:rPr>
          <w:rFonts w:ascii="Times New Roman" w:eastAsia="Times New Roman" w:hAnsi="Times New Roman" w:cs="Times New Roman"/>
          <w:sz w:val="24"/>
          <w:szCs w:val="24"/>
          <w:lang w:val="bg-BG"/>
        </w:rPr>
        <w:t>цес на оценка. Съответно размерът</w:t>
      </w:r>
      <w:r w:rsidR="00451964" w:rsidRPr="00292755">
        <w:rPr>
          <w:rFonts w:ascii="Times New Roman" w:eastAsia="Times New Roman" w:hAnsi="Times New Roman" w:cs="Times New Roman"/>
          <w:sz w:val="24"/>
          <w:szCs w:val="24"/>
          <w:lang w:val="bg-BG"/>
        </w:rPr>
        <w:t xml:space="preserve"> на договорената субсидия по подмярка 5.1 е 13 680 998 евро, при което изплатените средства са в размер на 920 514 евро до момента.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подмярка 6.1 има три приема. По подмярка 6.3 има четири приема и по подмярка 6.4.1 - три приема. Общият размер на договорената субсидия по подмярка 6.1 е 53 725 хиляди евро. Изплатените средства са 50 милиона 616 хиляди евро, като са сключени 2149 договора за подпомагане от общо 4541 подадени проектни предложния.</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04715C"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 подмярка 6.3</w:t>
      </w:r>
      <w:r w:rsidR="00451964" w:rsidRPr="00292755">
        <w:rPr>
          <w:rFonts w:ascii="Times New Roman" w:eastAsia="Times New Roman" w:hAnsi="Times New Roman" w:cs="Times New Roman"/>
          <w:sz w:val="24"/>
          <w:szCs w:val="24"/>
          <w:lang w:val="bg-BG"/>
        </w:rPr>
        <w:t xml:space="preserve"> договорена</w:t>
      </w:r>
      <w:r>
        <w:rPr>
          <w:rFonts w:ascii="Times New Roman" w:eastAsia="Times New Roman" w:hAnsi="Times New Roman" w:cs="Times New Roman"/>
          <w:sz w:val="24"/>
          <w:szCs w:val="24"/>
          <w:lang w:val="bg-BG"/>
        </w:rPr>
        <w:t>та</w:t>
      </w:r>
      <w:r w:rsidR="00451964" w:rsidRPr="00292755">
        <w:rPr>
          <w:rFonts w:ascii="Times New Roman" w:eastAsia="Times New Roman" w:hAnsi="Times New Roman" w:cs="Times New Roman"/>
          <w:sz w:val="24"/>
          <w:szCs w:val="24"/>
          <w:lang w:val="bg-BG"/>
        </w:rPr>
        <w:t xml:space="preserve"> субсидия</w:t>
      </w:r>
      <w:r>
        <w:rPr>
          <w:rFonts w:ascii="Times New Roman" w:eastAsia="Times New Roman" w:hAnsi="Times New Roman" w:cs="Times New Roman"/>
          <w:sz w:val="24"/>
          <w:szCs w:val="24"/>
          <w:lang w:val="bg-BG"/>
        </w:rPr>
        <w:t xml:space="preserve"> е 52 710 000</w:t>
      </w:r>
      <w:r w:rsidR="00451964" w:rsidRPr="00292755">
        <w:rPr>
          <w:rFonts w:ascii="Times New Roman" w:eastAsia="Times New Roman" w:hAnsi="Times New Roman" w:cs="Times New Roman"/>
          <w:sz w:val="24"/>
          <w:szCs w:val="24"/>
          <w:lang w:val="bg-BG"/>
        </w:rPr>
        <w:t xml:space="preserve"> евро, о</w:t>
      </w:r>
      <w:r>
        <w:rPr>
          <w:rFonts w:ascii="Times New Roman" w:eastAsia="Times New Roman" w:hAnsi="Times New Roman" w:cs="Times New Roman"/>
          <w:sz w:val="24"/>
          <w:szCs w:val="24"/>
          <w:lang w:val="bg-BG"/>
        </w:rPr>
        <w:t xml:space="preserve">т които са изплатени 48 122 </w:t>
      </w:r>
      <w:r w:rsidR="00451964" w:rsidRPr="00292755">
        <w:rPr>
          <w:rFonts w:ascii="Times New Roman" w:eastAsia="Times New Roman" w:hAnsi="Times New Roman" w:cs="Times New Roman"/>
          <w:sz w:val="24"/>
          <w:szCs w:val="24"/>
          <w:lang w:val="bg-BG"/>
        </w:rPr>
        <w:t xml:space="preserve"> 518 евро. Сключените договори са 3514 от общо 8100 подадени проектни предложения.</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04715C"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 подмярка 6.4.1 </w:t>
      </w:r>
      <w:r w:rsidR="00451964" w:rsidRPr="00292755">
        <w:rPr>
          <w:rFonts w:ascii="Times New Roman" w:eastAsia="Times New Roman" w:hAnsi="Times New Roman" w:cs="Times New Roman"/>
          <w:sz w:val="24"/>
          <w:szCs w:val="24"/>
          <w:lang w:val="bg-BG"/>
        </w:rPr>
        <w:t>договорена</w:t>
      </w:r>
      <w:r>
        <w:rPr>
          <w:rFonts w:ascii="Times New Roman" w:eastAsia="Times New Roman" w:hAnsi="Times New Roman" w:cs="Times New Roman"/>
          <w:sz w:val="24"/>
          <w:szCs w:val="24"/>
          <w:lang w:val="bg-BG"/>
        </w:rPr>
        <w:t>та</w:t>
      </w:r>
      <w:r w:rsidR="00451964" w:rsidRPr="00292755">
        <w:rPr>
          <w:rFonts w:ascii="Times New Roman" w:eastAsia="Times New Roman" w:hAnsi="Times New Roman" w:cs="Times New Roman"/>
          <w:sz w:val="24"/>
          <w:szCs w:val="24"/>
          <w:lang w:val="bg-BG"/>
        </w:rPr>
        <w:t xml:space="preserve"> субсидия </w:t>
      </w:r>
      <w:r>
        <w:rPr>
          <w:rFonts w:ascii="Times New Roman" w:eastAsia="Times New Roman" w:hAnsi="Times New Roman" w:cs="Times New Roman"/>
          <w:sz w:val="24"/>
          <w:szCs w:val="24"/>
          <w:lang w:val="bg-BG"/>
        </w:rPr>
        <w:t xml:space="preserve">е </w:t>
      </w:r>
      <w:r w:rsidR="00451964" w:rsidRPr="00292755">
        <w:rPr>
          <w:rFonts w:ascii="Times New Roman" w:eastAsia="Times New Roman" w:hAnsi="Times New Roman" w:cs="Times New Roman"/>
          <w:sz w:val="24"/>
          <w:szCs w:val="24"/>
          <w:lang w:val="bg-BG"/>
        </w:rPr>
        <w:t>в размер на 36 390 791 евро от постъпили 770 проектни предложения, от които сключените договори са 269 и общи</w:t>
      </w:r>
      <w:r>
        <w:rPr>
          <w:rFonts w:ascii="Times New Roman" w:eastAsia="Times New Roman" w:hAnsi="Times New Roman" w:cs="Times New Roman"/>
          <w:sz w:val="24"/>
          <w:szCs w:val="24"/>
          <w:lang w:val="bg-BG"/>
        </w:rPr>
        <w:t xml:space="preserve"> изплатени средства са 4  333 </w:t>
      </w:r>
      <w:r w:rsidR="00451964" w:rsidRPr="00292755">
        <w:rPr>
          <w:rFonts w:ascii="Times New Roman" w:eastAsia="Times New Roman" w:hAnsi="Times New Roman" w:cs="Times New Roman"/>
          <w:sz w:val="24"/>
          <w:szCs w:val="24"/>
          <w:lang w:val="bg-BG"/>
        </w:rPr>
        <w:t xml:space="preserve"> 353 евро.</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Постъпилите проектни предлож</w:t>
      </w:r>
      <w:r w:rsidR="0004715C">
        <w:rPr>
          <w:rFonts w:ascii="Times New Roman" w:eastAsia="Times New Roman" w:hAnsi="Times New Roman" w:cs="Times New Roman"/>
          <w:sz w:val="24"/>
          <w:szCs w:val="24"/>
          <w:lang w:val="bg-BG"/>
        </w:rPr>
        <w:t>ения по подмярка 7.2 са 1457,</w:t>
      </w:r>
      <w:r w:rsidRPr="00292755">
        <w:rPr>
          <w:rFonts w:ascii="Times New Roman" w:eastAsia="Times New Roman" w:hAnsi="Times New Roman" w:cs="Times New Roman"/>
          <w:sz w:val="24"/>
          <w:szCs w:val="24"/>
          <w:lang w:val="bg-BG"/>
        </w:rPr>
        <w:t xml:space="preserve"> съответно сключени 703 договора за подпомагане. Размерът на дого</w:t>
      </w:r>
      <w:r w:rsidR="0004715C">
        <w:rPr>
          <w:rFonts w:ascii="Times New Roman" w:eastAsia="Times New Roman" w:hAnsi="Times New Roman" w:cs="Times New Roman"/>
          <w:sz w:val="24"/>
          <w:szCs w:val="24"/>
          <w:lang w:val="bg-BG"/>
        </w:rPr>
        <w:t>ворената субсидия е 553 276</w:t>
      </w:r>
      <w:r w:rsidRPr="00292755">
        <w:rPr>
          <w:rFonts w:ascii="Times New Roman" w:eastAsia="Times New Roman" w:hAnsi="Times New Roman" w:cs="Times New Roman"/>
          <w:sz w:val="24"/>
          <w:szCs w:val="24"/>
          <w:lang w:val="bg-BG"/>
        </w:rPr>
        <w:t xml:space="preserve"> 211 евро и изплатените средства са в размер на 463 755 862 евро.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Подмярка 7.3 е оттеглена.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w:t>
      </w:r>
      <w:r w:rsidR="0004715C">
        <w:rPr>
          <w:rFonts w:ascii="Times New Roman" w:eastAsia="Times New Roman" w:hAnsi="Times New Roman" w:cs="Times New Roman"/>
          <w:sz w:val="24"/>
          <w:szCs w:val="24"/>
          <w:lang w:val="bg-BG"/>
        </w:rPr>
        <w:t>стъпилите проектни предложения по подмярка 7.6 са</w:t>
      </w:r>
      <w:r w:rsidRPr="00292755">
        <w:rPr>
          <w:rFonts w:ascii="Times New Roman" w:eastAsia="Times New Roman" w:hAnsi="Times New Roman" w:cs="Times New Roman"/>
          <w:sz w:val="24"/>
          <w:szCs w:val="24"/>
          <w:lang w:val="bg-BG"/>
        </w:rPr>
        <w:t xml:space="preserve"> 4</w:t>
      </w:r>
      <w:r w:rsidR="0004715C">
        <w:rPr>
          <w:rFonts w:ascii="Times New Roman" w:eastAsia="Times New Roman" w:hAnsi="Times New Roman" w:cs="Times New Roman"/>
          <w:sz w:val="24"/>
          <w:szCs w:val="24"/>
          <w:lang w:val="bg-BG"/>
        </w:rPr>
        <w:t xml:space="preserve">81, </w:t>
      </w:r>
      <w:r w:rsidRPr="00292755">
        <w:rPr>
          <w:rFonts w:ascii="Times New Roman" w:eastAsia="Times New Roman" w:hAnsi="Times New Roman" w:cs="Times New Roman"/>
          <w:sz w:val="24"/>
          <w:szCs w:val="24"/>
          <w:lang w:val="bg-BG"/>
        </w:rPr>
        <w:t>сключени 191 дого</w:t>
      </w:r>
      <w:r w:rsidR="0004715C">
        <w:rPr>
          <w:rFonts w:ascii="Times New Roman" w:eastAsia="Times New Roman" w:hAnsi="Times New Roman" w:cs="Times New Roman"/>
          <w:sz w:val="24"/>
          <w:szCs w:val="24"/>
          <w:lang w:val="bg-BG"/>
        </w:rPr>
        <w:t>вора на обща стойност 55 099 196</w:t>
      </w:r>
      <w:r w:rsidRPr="00292755">
        <w:rPr>
          <w:rFonts w:ascii="Times New Roman" w:eastAsia="Times New Roman" w:hAnsi="Times New Roman" w:cs="Times New Roman"/>
          <w:sz w:val="24"/>
          <w:szCs w:val="24"/>
          <w:lang w:val="bg-BG"/>
        </w:rPr>
        <w:t xml:space="preserve"> евро, о</w:t>
      </w:r>
      <w:r w:rsidR="0004715C">
        <w:rPr>
          <w:rFonts w:ascii="Times New Roman" w:eastAsia="Times New Roman" w:hAnsi="Times New Roman" w:cs="Times New Roman"/>
          <w:sz w:val="24"/>
          <w:szCs w:val="24"/>
          <w:lang w:val="bg-BG"/>
        </w:rPr>
        <w:t xml:space="preserve">т които са изплатени 22 </w:t>
      </w:r>
      <w:r w:rsidRPr="00292755">
        <w:rPr>
          <w:rFonts w:ascii="Times New Roman" w:eastAsia="Times New Roman" w:hAnsi="Times New Roman" w:cs="Times New Roman"/>
          <w:sz w:val="24"/>
          <w:szCs w:val="24"/>
          <w:lang w:val="bg-BG"/>
        </w:rPr>
        <w:t>316</w:t>
      </w:r>
      <w:r w:rsidR="0004715C">
        <w:rPr>
          <w:rFonts w:ascii="Times New Roman" w:eastAsia="Times New Roman" w:hAnsi="Times New Roman" w:cs="Times New Roman"/>
          <w:sz w:val="24"/>
          <w:szCs w:val="24"/>
          <w:lang w:val="bg-BG"/>
        </w:rPr>
        <w:t xml:space="preserve"> 046 </w:t>
      </w:r>
      <w:r w:rsidRPr="00292755">
        <w:rPr>
          <w:rFonts w:ascii="Times New Roman" w:eastAsia="Times New Roman" w:hAnsi="Times New Roman" w:cs="Times New Roman"/>
          <w:sz w:val="24"/>
          <w:szCs w:val="24"/>
          <w:lang w:val="bg-BG"/>
        </w:rPr>
        <w:t xml:space="preserve"> евро.</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04715C"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 подмярка 8.1 - един прием,</w:t>
      </w:r>
      <w:r w:rsidR="00451964" w:rsidRPr="00292755">
        <w:rPr>
          <w:rFonts w:ascii="Times New Roman" w:eastAsia="Times New Roman" w:hAnsi="Times New Roman" w:cs="Times New Roman"/>
          <w:sz w:val="24"/>
          <w:szCs w:val="24"/>
          <w:lang w:val="bg-BG"/>
        </w:rPr>
        <w:t xml:space="preserve"> постъпили  22 предложения, като обработката вече е приключила и са изпратени всички писма за одобрение.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подмярка 8.</w:t>
      </w:r>
      <w:r w:rsidR="0004715C">
        <w:rPr>
          <w:rFonts w:ascii="Times New Roman" w:eastAsia="Times New Roman" w:hAnsi="Times New Roman" w:cs="Times New Roman"/>
          <w:sz w:val="24"/>
          <w:szCs w:val="24"/>
          <w:lang w:val="bg-BG"/>
        </w:rPr>
        <w:t>3 -</w:t>
      </w:r>
      <w:r w:rsidRPr="00292755">
        <w:rPr>
          <w:rFonts w:ascii="Times New Roman" w:eastAsia="Times New Roman" w:hAnsi="Times New Roman" w:cs="Times New Roman"/>
          <w:sz w:val="24"/>
          <w:szCs w:val="24"/>
          <w:lang w:val="bg-BG"/>
        </w:rPr>
        <w:t xml:space="preserve"> един прием</w:t>
      </w:r>
      <w:r w:rsidR="0004715C">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с 31 постъпили проектни предложения, от които 22 са довели до сключване на договор. Размерът на до</w:t>
      </w:r>
      <w:r w:rsidR="0004715C">
        <w:rPr>
          <w:rFonts w:ascii="Times New Roman" w:eastAsia="Times New Roman" w:hAnsi="Times New Roman" w:cs="Times New Roman"/>
          <w:sz w:val="24"/>
          <w:szCs w:val="24"/>
          <w:lang w:val="bg-BG"/>
        </w:rPr>
        <w:t>говорената субсидия е 17 480 602</w:t>
      </w:r>
      <w:r w:rsidRPr="00292755">
        <w:rPr>
          <w:rFonts w:ascii="Times New Roman" w:eastAsia="Times New Roman" w:hAnsi="Times New Roman" w:cs="Times New Roman"/>
          <w:sz w:val="24"/>
          <w:szCs w:val="24"/>
          <w:lang w:val="bg-BG"/>
        </w:rPr>
        <w:t xml:space="preserve"> евро, от които са изплатени 5 милиона 8 хиляди 131 евро.</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04715C"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 подмярка 8.4 -</w:t>
      </w:r>
      <w:r w:rsidR="00451964" w:rsidRPr="00292755">
        <w:rPr>
          <w:rFonts w:ascii="Times New Roman" w:eastAsia="Times New Roman" w:hAnsi="Times New Roman" w:cs="Times New Roman"/>
          <w:sz w:val="24"/>
          <w:szCs w:val="24"/>
          <w:lang w:val="bg-BG"/>
        </w:rPr>
        <w:t xml:space="preserve"> един прием с 14 подадени проектни предложения, 11 сключени договора. Размерът на до</w:t>
      </w:r>
      <w:r>
        <w:rPr>
          <w:rFonts w:ascii="Times New Roman" w:eastAsia="Times New Roman" w:hAnsi="Times New Roman" w:cs="Times New Roman"/>
          <w:sz w:val="24"/>
          <w:szCs w:val="24"/>
          <w:lang w:val="bg-BG"/>
        </w:rPr>
        <w:t>говорената субсидия е 2 295</w:t>
      </w:r>
      <w:r w:rsidR="00451964" w:rsidRPr="00292755">
        <w:rPr>
          <w:rFonts w:ascii="Times New Roman" w:eastAsia="Times New Roman" w:hAnsi="Times New Roman" w:cs="Times New Roman"/>
          <w:sz w:val="24"/>
          <w:szCs w:val="24"/>
          <w:lang w:val="bg-BG"/>
        </w:rPr>
        <w:t xml:space="preserve"> 164 евро, от които са изплатени 732</w:t>
      </w:r>
      <w:r>
        <w:rPr>
          <w:rFonts w:ascii="Times New Roman" w:eastAsia="Times New Roman" w:hAnsi="Times New Roman" w:cs="Times New Roman"/>
          <w:sz w:val="24"/>
          <w:szCs w:val="24"/>
          <w:lang w:val="bg-BG"/>
        </w:rPr>
        <w:t xml:space="preserve"> 674 </w:t>
      </w:r>
      <w:r w:rsidR="00451964" w:rsidRPr="00292755">
        <w:rPr>
          <w:rFonts w:ascii="Times New Roman" w:eastAsia="Times New Roman" w:hAnsi="Times New Roman" w:cs="Times New Roman"/>
          <w:sz w:val="24"/>
          <w:szCs w:val="24"/>
          <w:lang w:val="bg-BG"/>
        </w:rPr>
        <w:t>евро.</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подмярка 8.6 - един прием. Има постъпили 191 проектни предложения, с 48 сключени договора. Договорена</w:t>
      </w:r>
      <w:r w:rsidR="006C0F85">
        <w:rPr>
          <w:rFonts w:ascii="Times New Roman" w:eastAsia="Times New Roman" w:hAnsi="Times New Roman" w:cs="Times New Roman"/>
          <w:sz w:val="24"/>
          <w:szCs w:val="24"/>
          <w:lang w:val="bg-BG"/>
        </w:rPr>
        <w:t>та субсидия е</w:t>
      </w:r>
      <w:r w:rsidRPr="00292755">
        <w:rPr>
          <w:rFonts w:ascii="Times New Roman" w:eastAsia="Times New Roman" w:hAnsi="Times New Roman" w:cs="Times New Roman"/>
          <w:sz w:val="24"/>
          <w:szCs w:val="24"/>
          <w:lang w:val="bg-BG"/>
        </w:rPr>
        <w:t xml:space="preserve"> 10 милиона евро и </w:t>
      </w:r>
      <w:r w:rsidR="006C0F85">
        <w:rPr>
          <w:rFonts w:ascii="Times New Roman" w:eastAsia="Times New Roman" w:hAnsi="Times New Roman" w:cs="Times New Roman"/>
          <w:sz w:val="24"/>
          <w:szCs w:val="24"/>
          <w:lang w:val="bg-BG"/>
        </w:rPr>
        <w:t xml:space="preserve">са изплатени до момента 416  977 </w:t>
      </w:r>
      <w:r w:rsidRPr="00292755">
        <w:rPr>
          <w:rFonts w:ascii="Times New Roman" w:eastAsia="Times New Roman" w:hAnsi="Times New Roman" w:cs="Times New Roman"/>
          <w:sz w:val="24"/>
          <w:szCs w:val="24"/>
          <w:lang w:val="bg-BG"/>
        </w:rPr>
        <w:t xml:space="preserve"> евро.</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мярка 9 „Учредяване на групи и организации на производителите“  - един прием с 38 постъпил</w:t>
      </w:r>
      <w:r w:rsidR="006C0F85">
        <w:rPr>
          <w:rFonts w:ascii="Times New Roman" w:eastAsia="Times New Roman" w:hAnsi="Times New Roman" w:cs="Times New Roman"/>
          <w:sz w:val="24"/>
          <w:szCs w:val="24"/>
          <w:lang w:val="bg-BG"/>
        </w:rPr>
        <w:t xml:space="preserve">и проектни предложен с </w:t>
      </w:r>
      <w:r w:rsidRPr="00292755">
        <w:rPr>
          <w:rFonts w:ascii="Times New Roman" w:eastAsia="Times New Roman" w:hAnsi="Times New Roman" w:cs="Times New Roman"/>
          <w:sz w:val="24"/>
          <w:szCs w:val="24"/>
          <w:lang w:val="bg-BG"/>
        </w:rPr>
        <w:t xml:space="preserve"> 25 сключени договора. Размерът на догово</w:t>
      </w:r>
      <w:r w:rsidR="006C0F85">
        <w:rPr>
          <w:rFonts w:ascii="Times New Roman" w:eastAsia="Times New Roman" w:hAnsi="Times New Roman" w:cs="Times New Roman"/>
          <w:sz w:val="24"/>
          <w:szCs w:val="24"/>
          <w:lang w:val="bg-BG"/>
        </w:rPr>
        <w:t>рената субсидия е 7 479 166</w:t>
      </w:r>
      <w:r w:rsidRPr="00292755">
        <w:rPr>
          <w:rFonts w:ascii="Times New Roman" w:eastAsia="Times New Roman" w:hAnsi="Times New Roman" w:cs="Times New Roman"/>
          <w:sz w:val="24"/>
          <w:szCs w:val="24"/>
          <w:lang w:val="bg-BG"/>
        </w:rPr>
        <w:t xml:space="preserve"> евро и изплатените </w:t>
      </w:r>
      <w:r w:rsidR="006C0F85">
        <w:rPr>
          <w:rFonts w:ascii="Times New Roman" w:eastAsia="Times New Roman" w:hAnsi="Times New Roman" w:cs="Times New Roman"/>
          <w:sz w:val="24"/>
          <w:szCs w:val="24"/>
          <w:lang w:val="bg-BG"/>
        </w:rPr>
        <w:t>средства до момента са 3  271</w:t>
      </w:r>
      <w:r w:rsidRPr="00292755">
        <w:rPr>
          <w:rFonts w:ascii="Times New Roman" w:eastAsia="Times New Roman" w:hAnsi="Times New Roman" w:cs="Times New Roman"/>
          <w:sz w:val="24"/>
          <w:szCs w:val="24"/>
          <w:lang w:val="bg-BG"/>
        </w:rPr>
        <w:t xml:space="preserve"> 315 евро.</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мярка 19</w:t>
      </w:r>
      <w:r w:rsidR="006C0F85">
        <w:rPr>
          <w:rFonts w:ascii="Times New Roman" w:eastAsia="Times New Roman" w:hAnsi="Times New Roman" w:cs="Times New Roman"/>
          <w:sz w:val="24"/>
          <w:szCs w:val="24"/>
          <w:lang w:val="bg-BG"/>
        </w:rPr>
        <w:t xml:space="preserve"> </w:t>
      </w:r>
      <w:r w:rsidR="006C0F85" w:rsidRPr="006C0F85">
        <w:rPr>
          <w:rFonts w:ascii="Times New Roman" w:eastAsia="Times New Roman" w:hAnsi="Times New Roman" w:cs="Times New Roman"/>
          <w:sz w:val="24"/>
          <w:szCs w:val="24"/>
          <w:lang w:val="bg-BG"/>
        </w:rPr>
        <w:t>„Водено от общностните местно развитие“</w:t>
      </w:r>
      <w:r w:rsidRPr="00292755">
        <w:rPr>
          <w:rFonts w:ascii="Times New Roman" w:eastAsia="Times New Roman" w:hAnsi="Times New Roman" w:cs="Times New Roman"/>
          <w:sz w:val="24"/>
          <w:szCs w:val="24"/>
          <w:lang w:val="bg-BG"/>
        </w:rPr>
        <w:t xml:space="preserve">, подмярка 19.2 - брой подадени проекти в ИСУН </w:t>
      </w:r>
      <w:r w:rsidR="00D55931">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2</w:t>
      </w:r>
      <w:r w:rsidR="00D55931">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312, общ брой сключени договори по проектни предложен</w:t>
      </w:r>
      <w:r w:rsidR="006C0F85">
        <w:rPr>
          <w:rFonts w:ascii="Times New Roman" w:eastAsia="Times New Roman" w:hAnsi="Times New Roman" w:cs="Times New Roman"/>
          <w:sz w:val="24"/>
          <w:szCs w:val="24"/>
          <w:lang w:val="bg-BG"/>
        </w:rPr>
        <w:t xml:space="preserve">ия - 1006 на стойност 50 226 </w:t>
      </w:r>
      <w:r w:rsidRPr="00292755">
        <w:rPr>
          <w:rFonts w:ascii="Times New Roman" w:eastAsia="Times New Roman" w:hAnsi="Times New Roman" w:cs="Times New Roman"/>
          <w:sz w:val="24"/>
          <w:szCs w:val="24"/>
          <w:lang w:val="bg-BG"/>
        </w:rPr>
        <w:t>721 евро. Общо постъпили процедури за контрол в ДФ „Земеделие“ – 645, от които 548 броя са обработени, а 97 броя са в процес на обработка, като от тях 73 са за 2022 година и 24 са от 2021 година.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lang w:val="bg-BG"/>
        </w:rPr>
        <w:t xml:space="preserve"> предостави думата на Милен Кръстев – началник на отдел в дирекция РСР.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МИЛЕН КРЪСТЕВ</w:t>
      </w:r>
      <w:r w:rsidRPr="00292755">
        <w:rPr>
          <w:rFonts w:ascii="Times New Roman" w:eastAsia="Times New Roman" w:hAnsi="Times New Roman" w:cs="Times New Roman"/>
          <w:sz w:val="24"/>
          <w:szCs w:val="24"/>
          <w:lang w:val="bg-BG"/>
        </w:rPr>
        <w:t xml:space="preserve"> представи съвсем накратко напредъка по договориране и разплащане на мерките от Програмата за развитие на селските райони, които са обект на договаряне в рамките на Управляващия орган на ПРСР.</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подмярка 1.1 „Професионално обучение и придобиване на умения“</w:t>
      </w:r>
      <w:r w:rsidR="00D55931">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  прием в периода 2</w:t>
      </w:r>
      <w:r w:rsidR="00D55931">
        <w:rPr>
          <w:rFonts w:ascii="Times New Roman" w:eastAsia="Times New Roman" w:hAnsi="Times New Roman" w:cs="Times New Roman"/>
          <w:sz w:val="24"/>
          <w:szCs w:val="24"/>
          <w:lang w:val="bg-BG"/>
        </w:rPr>
        <w:t xml:space="preserve">019 – 2020 г., с бюджет приблизително на 16 милиона </w:t>
      </w:r>
      <w:r w:rsidRPr="00292755">
        <w:rPr>
          <w:rFonts w:ascii="Times New Roman" w:eastAsia="Times New Roman" w:hAnsi="Times New Roman" w:cs="Times New Roman"/>
          <w:sz w:val="24"/>
          <w:szCs w:val="24"/>
          <w:lang w:val="bg-BG"/>
        </w:rPr>
        <w:t xml:space="preserve">лева, постъпили 77 проектни предложения,  одобрени 47 проектни предложения, сключени 41 административни договора на стойност малко над 12 милиона лева. Към днешна дата в процес на изпълнение са 38 от сключените административни </w:t>
      </w:r>
      <w:r w:rsidR="00D55931">
        <w:rPr>
          <w:rFonts w:ascii="Times New Roman" w:eastAsia="Times New Roman" w:hAnsi="Times New Roman" w:cs="Times New Roman"/>
          <w:sz w:val="24"/>
          <w:szCs w:val="24"/>
          <w:lang w:val="bg-BG"/>
        </w:rPr>
        <w:t xml:space="preserve">договори. Три от договорите са </w:t>
      </w:r>
      <w:r w:rsidRPr="00292755">
        <w:rPr>
          <w:rFonts w:ascii="Times New Roman" w:eastAsia="Times New Roman" w:hAnsi="Times New Roman" w:cs="Times New Roman"/>
          <w:sz w:val="24"/>
          <w:szCs w:val="24"/>
          <w:lang w:val="bg-BG"/>
        </w:rPr>
        <w:t>прекратени. В този период беше извършена промяна в Насоките за кандидатстване, свързана със ситуацията с пандемията</w:t>
      </w:r>
      <w:r w:rsidR="00D55931">
        <w:rPr>
          <w:rFonts w:ascii="Times New Roman" w:eastAsia="Times New Roman" w:hAnsi="Times New Roman" w:cs="Times New Roman"/>
          <w:sz w:val="24"/>
          <w:szCs w:val="24"/>
          <w:lang w:val="bg-BG"/>
        </w:rPr>
        <w:t xml:space="preserve"> от</w:t>
      </w:r>
      <w:r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rPr>
        <w:t>COVID</w:t>
      </w:r>
      <w:r w:rsidR="00D55931">
        <w:rPr>
          <w:rFonts w:ascii="Times New Roman" w:eastAsia="Times New Roman" w:hAnsi="Times New Roman" w:cs="Times New Roman"/>
          <w:sz w:val="24"/>
          <w:szCs w:val="24"/>
          <w:lang w:val="bg-BG"/>
        </w:rPr>
        <w:t>-19. Б</w:t>
      </w:r>
      <w:r w:rsidRPr="00292755">
        <w:rPr>
          <w:rFonts w:ascii="Times New Roman" w:eastAsia="Times New Roman" w:hAnsi="Times New Roman" w:cs="Times New Roman"/>
          <w:sz w:val="24"/>
          <w:szCs w:val="24"/>
          <w:lang w:val="bg-BG"/>
        </w:rPr>
        <w:t>енефициентите срещнаха проблеми с изпълнение на договорите и бе предвидена клауза със срок за по-късно стартир</w:t>
      </w:r>
      <w:r w:rsidR="00D55931">
        <w:rPr>
          <w:rFonts w:ascii="Times New Roman" w:eastAsia="Times New Roman" w:hAnsi="Times New Roman" w:cs="Times New Roman"/>
          <w:sz w:val="24"/>
          <w:szCs w:val="24"/>
          <w:lang w:val="bg-BG"/>
        </w:rPr>
        <w:t xml:space="preserve">ане на дейностите. Поради това </w:t>
      </w:r>
      <w:r w:rsidRPr="00292755">
        <w:rPr>
          <w:rFonts w:ascii="Times New Roman" w:eastAsia="Times New Roman" w:hAnsi="Times New Roman" w:cs="Times New Roman"/>
          <w:sz w:val="24"/>
          <w:szCs w:val="24"/>
          <w:lang w:val="bg-BG"/>
        </w:rPr>
        <w:t xml:space="preserve">размерът на плащанията към днешна дата е незначителен спрямо договорираните средства.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подмярка 1.2 „Демонстрационни дейно</w:t>
      </w:r>
      <w:r w:rsidR="00D55931">
        <w:rPr>
          <w:rFonts w:ascii="Times New Roman" w:eastAsia="Times New Roman" w:hAnsi="Times New Roman" w:cs="Times New Roman"/>
          <w:sz w:val="24"/>
          <w:szCs w:val="24"/>
          <w:lang w:val="bg-BG"/>
        </w:rPr>
        <w:t>сти и действия по осведомяване“, това е нова подмярка. М</w:t>
      </w:r>
      <w:r w:rsidRPr="00292755">
        <w:rPr>
          <w:rFonts w:ascii="Times New Roman" w:eastAsia="Times New Roman" w:hAnsi="Times New Roman" w:cs="Times New Roman"/>
          <w:sz w:val="24"/>
          <w:szCs w:val="24"/>
          <w:lang w:val="bg-BG"/>
        </w:rPr>
        <w:t>иналата седмица бе проведено обществено обсъжд</w:t>
      </w:r>
      <w:r w:rsidR="00D55931">
        <w:rPr>
          <w:rFonts w:ascii="Times New Roman" w:eastAsia="Times New Roman" w:hAnsi="Times New Roman" w:cs="Times New Roman"/>
          <w:sz w:val="24"/>
          <w:szCs w:val="24"/>
          <w:lang w:val="bg-BG"/>
        </w:rPr>
        <w:t xml:space="preserve">ане на проекта на насоки, като </w:t>
      </w:r>
      <w:r w:rsidRPr="00292755">
        <w:rPr>
          <w:rFonts w:ascii="Times New Roman" w:eastAsia="Times New Roman" w:hAnsi="Times New Roman" w:cs="Times New Roman"/>
          <w:sz w:val="24"/>
          <w:szCs w:val="24"/>
          <w:lang w:val="bg-BG"/>
        </w:rPr>
        <w:t>предвидения</w:t>
      </w:r>
      <w:r w:rsidR="00D55931">
        <w:rPr>
          <w:rFonts w:ascii="Times New Roman" w:eastAsia="Times New Roman" w:hAnsi="Times New Roman" w:cs="Times New Roman"/>
          <w:sz w:val="24"/>
          <w:szCs w:val="24"/>
          <w:lang w:val="bg-BG"/>
        </w:rPr>
        <w:t>т</w:t>
      </w:r>
      <w:r w:rsidRPr="00292755">
        <w:rPr>
          <w:rFonts w:ascii="Times New Roman" w:eastAsia="Times New Roman" w:hAnsi="Times New Roman" w:cs="Times New Roman"/>
          <w:sz w:val="24"/>
          <w:szCs w:val="24"/>
          <w:lang w:val="bg-BG"/>
        </w:rPr>
        <w:t xml:space="preserve"> бюджет е  15 милиона евро или </w:t>
      </w:r>
      <w:r w:rsidR="00377C8C">
        <w:rPr>
          <w:rFonts w:ascii="Times New Roman" w:eastAsia="Times New Roman" w:hAnsi="Times New Roman" w:cs="Times New Roman"/>
          <w:sz w:val="24"/>
          <w:szCs w:val="24"/>
          <w:lang w:val="bg-BG"/>
        </w:rPr>
        <w:t xml:space="preserve">приблизително </w:t>
      </w:r>
      <w:r w:rsidRPr="00292755">
        <w:rPr>
          <w:rFonts w:ascii="Times New Roman" w:eastAsia="Times New Roman" w:hAnsi="Times New Roman" w:cs="Times New Roman"/>
          <w:sz w:val="24"/>
          <w:szCs w:val="24"/>
          <w:lang w:val="bg-BG"/>
        </w:rPr>
        <w:t>29 милиона лева. Постъпили са коментари по проекта на насоки и веднага след тяхното отразяване предстои стартиране на прием.</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Процедурата по подмярка 2.1.1 „Консултантски услуги за земеделски и горски стопанства“ бе отворена в периода февруари – май 2022 година и бе насочена към предоставяне на консултантски пакет А2Б - изготвяне на безплатни проекти за млади фермери</w:t>
      </w:r>
      <w:r w:rsidR="00D55931">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във връзка с предстоящия прием по 6.1 през ес</w:t>
      </w:r>
      <w:r w:rsidR="00D55931">
        <w:rPr>
          <w:rFonts w:ascii="Times New Roman" w:eastAsia="Times New Roman" w:hAnsi="Times New Roman" w:cs="Times New Roman"/>
          <w:sz w:val="24"/>
          <w:szCs w:val="24"/>
          <w:lang w:val="bg-BG"/>
        </w:rPr>
        <w:t>ента. Бюджетът по процедурата е</w:t>
      </w:r>
      <w:r w:rsidRPr="00292755">
        <w:rPr>
          <w:rFonts w:ascii="Times New Roman" w:eastAsia="Times New Roman" w:hAnsi="Times New Roman" w:cs="Times New Roman"/>
          <w:sz w:val="24"/>
          <w:szCs w:val="24"/>
          <w:lang w:val="bg-BG"/>
        </w:rPr>
        <w:t xml:space="preserve"> малко над 3 милиона лева. Постъпили </w:t>
      </w:r>
      <w:r w:rsidR="00D55931">
        <w:rPr>
          <w:rFonts w:ascii="Times New Roman" w:eastAsia="Times New Roman" w:hAnsi="Times New Roman" w:cs="Times New Roman"/>
          <w:sz w:val="24"/>
          <w:szCs w:val="24"/>
          <w:lang w:val="bg-BG"/>
        </w:rPr>
        <w:t xml:space="preserve">са </w:t>
      </w:r>
      <w:r w:rsidRPr="00292755">
        <w:rPr>
          <w:rFonts w:ascii="Times New Roman" w:eastAsia="Times New Roman" w:hAnsi="Times New Roman" w:cs="Times New Roman"/>
          <w:sz w:val="24"/>
          <w:szCs w:val="24"/>
          <w:lang w:val="bg-BG"/>
        </w:rPr>
        <w:t xml:space="preserve">три проектни предложения със заявен размер на финансовата помощ приблизително 1,9 милиона лева, като към 24 юни </w:t>
      </w:r>
      <w:r w:rsidR="00377C8C">
        <w:rPr>
          <w:rFonts w:ascii="Times New Roman" w:eastAsia="Times New Roman" w:hAnsi="Times New Roman" w:cs="Times New Roman"/>
          <w:sz w:val="24"/>
          <w:szCs w:val="24"/>
          <w:lang w:val="en-GB"/>
        </w:rPr>
        <w:t xml:space="preserve">2022 </w:t>
      </w:r>
      <w:r w:rsidR="00377C8C">
        <w:rPr>
          <w:rFonts w:ascii="Times New Roman" w:eastAsia="Times New Roman" w:hAnsi="Times New Roman" w:cs="Times New Roman"/>
          <w:sz w:val="24"/>
          <w:szCs w:val="24"/>
          <w:lang w:val="bg-BG"/>
        </w:rPr>
        <w:t xml:space="preserve">г. </w:t>
      </w:r>
      <w:r w:rsidRPr="00292755">
        <w:rPr>
          <w:rFonts w:ascii="Times New Roman" w:eastAsia="Times New Roman" w:hAnsi="Times New Roman" w:cs="Times New Roman"/>
          <w:sz w:val="24"/>
          <w:szCs w:val="24"/>
          <w:lang w:val="bg-BG"/>
        </w:rPr>
        <w:t>тези три проектни предложения са одобрени въз основа на оценителен доклад, като е стартирала процедура по сключване на административни договори с одобрените кандидати.</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Приемът по подмярка 2.2  „Създаване на консултантски услуги“ по тематичната подпрограма с единствен бенефициент Национална служба за съвети в земеделието бе проведен в периода февруари – май 2021 година, като към 22 ноември 2021 година проектното предложение бе одобрено и бе сключе</w:t>
      </w:r>
      <w:r w:rsidR="003E5CA0">
        <w:rPr>
          <w:rFonts w:ascii="Times New Roman" w:eastAsia="Times New Roman" w:hAnsi="Times New Roman" w:cs="Times New Roman"/>
          <w:sz w:val="24"/>
          <w:szCs w:val="24"/>
          <w:lang w:val="bg-BG"/>
        </w:rPr>
        <w:t>н договор на стойност 10</w:t>
      </w:r>
      <w:r w:rsidRPr="00292755">
        <w:rPr>
          <w:rFonts w:ascii="Times New Roman" w:eastAsia="Times New Roman" w:hAnsi="Times New Roman" w:cs="Times New Roman"/>
          <w:sz w:val="24"/>
          <w:szCs w:val="24"/>
          <w:lang w:val="bg-BG"/>
        </w:rPr>
        <w:t xml:space="preserve"> 412</w:t>
      </w:r>
      <w:r w:rsidR="003E5CA0">
        <w:rPr>
          <w:rFonts w:ascii="Times New Roman" w:eastAsia="Times New Roman" w:hAnsi="Times New Roman" w:cs="Times New Roman"/>
          <w:sz w:val="24"/>
          <w:szCs w:val="24"/>
          <w:lang w:val="bg-BG"/>
        </w:rPr>
        <w:t xml:space="preserve"> 042 </w:t>
      </w:r>
      <w:r w:rsidRPr="00292755">
        <w:rPr>
          <w:rFonts w:ascii="Times New Roman" w:eastAsia="Times New Roman" w:hAnsi="Times New Roman" w:cs="Times New Roman"/>
          <w:sz w:val="24"/>
          <w:szCs w:val="24"/>
          <w:lang w:val="bg-BG"/>
        </w:rPr>
        <w:t xml:space="preserve"> лева, като проектът е в процес на изпълнение.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подмярка 4.3 и по-к</w:t>
      </w:r>
      <w:r w:rsidR="003E5CA0">
        <w:rPr>
          <w:rFonts w:ascii="Times New Roman" w:eastAsia="Times New Roman" w:hAnsi="Times New Roman" w:cs="Times New Roman"/>
          <w:sz w:val="24"/>
          <w:szCs w:val="24"/>
          <w:lang w:val="bg-BG"/>
        </w:rPr>
        <w:t>онкретно процедурата, която бе</w:t>
      </w:r>
      <w:r w:rsidRPr="00292755">
        <w:rPr>
          <w:rFonts w:ascii="Times New Roman" w:eastAsia="Times New Roman" w:hAnsi="Times New Roman" w:cs="Times New Roman"/>
          <w:sz w:val="24"/>
          <w:szCs w:val="24"/>
          <w:lang w:val="bg-BG"/>
        </w:rPr>
        <w:t xml:space="preserve"> проведена в периода април – юли 2020 година с </w:t>
      </w:r>
      <w:r w:rsidR="00377C8C">
        <w:rPr>
          <w:rFonts w:ascii="Times New Roman" w:eastAsia="Times New Roman" w:hAnsi="Times New Roman" w:cs="Times New Roman"/>
          <w:sz w:val="24"/>
          <w:szCs w:val="24"/>
          <w:lang w:val="bg-BG"/>
        </w:rPr>
        <w:t xml:space="preserve">допустим </w:t>
      </w:r>
      <w:r w:rsidRPr="00292755">
        <w:rPr>
          <w:rFonts w:ascii="Times New Roman" w:eastAsia="Times New Roman" w:hAnsi="Times New Roman" w:cs="Times New Roman"/>
          <w:sz w:val="24"/>
          <w:szCs w:val="24"/>
          <w:lang w:val="bg-BG"/>
        </w:rPr>
        <w:t>бенефициент „Напоителни системи“, крайният бюджет бе 107 милиона лева, с постъпили проектни предложения  - 26  и заявен размер на БФП – 114 милиона лева. Бяха одобрени 24 проектни предложения,  но тъй като кандидатът не отговаряше на изискванията за бенефициент, обработк</w:t>
      </w:r>
      <w:r w:rsidR="003E5CA0">
        <w:rPr>
          <w:rFonts w:ascii="Times New Roman" w:eastAsia="Times New Roman" w:hAnsi="Times New Roman" w:cs="Times New Roman"/>
          <w:sz w:val="24"/>
          <w:szCs w:val="24"/>
          <w:lang w:val="bg-BG"/>
        </w:rPr>
        <w:t>ата на проектни предложения бе</w:t>
      </w:r>
      <w:r w:rsidRPr="00292755">
        <w:rPr>
          <w:rFonts w:ascii="Times New Roman" w:eastAsia="Times New Roman" w:hAnsi="Times New Roman" w:cs="Times New Roman"/>
          <w:sz w:val="24"/>
          <w:szCs w:val="24"/>
          <w:lang w:val="bg-BG"/>
        </w:rPr>
        <w:t xml:space="preserve"> прекр</w:t>
      </w:r>
      <w:r w:rsidR="003E5CA0">
        <w:rPr>
          <w:rFonts w:ascii="Times New Roman" w:eastAsia="Times New Roman" w:hAnsi="Times New Roman" w:cs="Times New Roman"/>
          <w:sz w:val="24"/>
          <w:szCs w:val="24"/>
          <w:lang w:val="bg-BG"/>
        </w:rPr>
        <w:t>атена</w:t>
      </w:r>
      <w:r w:rsidRPr="00292755">
        <w:rPr>
          <w:rFonts w:ascii="Times New Roman" w:eastAsia="Times New Roman" w:hAnsi="Times New Roman" w:cs="Times New Roman"/>
          <w:sz w:val="24"/>
          <w:szCs w:val="24"/>
          <w:lang w:val="bg-BG"/>
        </w:rPr>
        <w:t xml:space="preserve"> и не бяха сключени договори.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По подмярка 4.3 - процедура, която бе насочена към проектни предложния от Сдружения за напояване и други юридически  лица за възстановяване на съществуващи хидромелиоративни съоръжения за напояване с период на прием: април – юли 2020 година и бюджет - 9,8 милиона лева. Постъпили </w:t>
      </w:r>
      <w:r w:rsidR="003E5CA0">
        <w:rPr>
          <w:rFonts w:ascii="Times New Roman" w:eastAsia="Times New Roman" w:hAnsi="Times New Roman" w:cs="Times New Roman"/>
          <w:sz w:val="24"/>
          <w:szCs w:val="24"/>
          <w:lang w:val="bg-BG"/>
        </w:rPr>
        <w:t xml:space="preserve">са </w:t>
      </w:r>
      <w:r w:rsidRPr="00292755">
        <w:rPr>
          <w:rFonts w:ascii="Times New Roman" w:eastAsia="Times New Roman" w:hAnsi="Times New Roman" w:cs="Times New Roman"/>
          <w:sz w:val="24"/>
          <w:szCs w:val="24"/>
          <w:lang w:val="bg-BG"/>
        </w:rPr>
        <w:t>шест проектни предложния със заявена финансова помощ в размер на 12 милиона лева. Към днешна дата са сключени договори по три одобрени проектни предложения със стойност на одобрената финансова помощ около 8 милиона лева.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Нов</w:t>
      </w:r>
      <w:r w:rsidR="003E5CA0">
        <w:rPr>
          <w:rFonts w:ascii="Times New Roman" w:eastAsia="Times New Roman" w:hAnsi="Times New Roman" w:cs="Times New Roman"/>
          <w:sz w:val="24"/>
          <w:szCs w:val="24"/>
          <w:lang w:val="bg-BG"/>
        </w:rPr>
        <w:t>ата процедура по подмярка 4.3,</w:t>
      </w:r>
      <w:r w:rsidRPr="00292755">
        <w:rPr>
          <w:rFonts w:ascii="Times New Roman" w:eastAsia="Times New Roman" w:hAnsi="Times New Roman" w:cs="Times New Roman"/>
          <w:sz w:val="24"/>
          <w:szCs w:val="24"/>
          <w:lang w:val="bg-BG"/>
        </w:rPr>
        <w:t xml:space="preserve"> насочена към „Напоителни системи“, с</w:t>
      </w:r>
      <w:r w:rsidR="003E5CA0">
        <w:rPr>
          <w:rFonts w:ascii="Times New Roman" w:eastAsia="Times New Roman" w:hAnsi="Times New Roman" w:cs="Times New Roman"/>
          <w:sz w:val="24"/>
          <w:szCs w:val="24"/>
          <w:lang w:val="bg-BG"/>
        </w:rPr>
        <w:t xml:space="preserve">тартира през настоящата година </w:t>
      </w:r>
      <w:r w:rsidRPr="00292755">
        <w:rPr>
          <w:rFonts w:ascii="Times New Roman" w:eastAsia="Times New Roman" w:hAnsi="Times New Roman" w:cs="Times New Roman"/>
          <w:sz w:val="24"/>
          <w:szCs w:val="24"/>
          <w:lang w:val="bg-BG"/>
        </w:rPr>
        <w:t xml:space="preserve"> с бюджет в размер на 107 милиона лева. Процедурата към настоящия момент е отворена.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подмярка 16.1 „Подкрепа за сформиране и функциониране на оперативни групи“, първият период на прием бе октомври 2019 –февруари 2020 година,  с бюджет в размер на 39 милиона лева. Постъпили 48 проектни предложения със заявена финансова помощ в размер на 34 милиона лева. Одобрени 26 проектни предложения, като към настоящия момент 18 административни договора са в процес на изпълнение с финансова помощ в размер на 11 милиона лева., с изплатени средства в размер на 1 милион 126 хиляди лева, като в момента е в ход и процедура по подав</w:t>
      </w:r>
      <w:r w:rsidR="003E5CA0">
        <w:rPr>
          <w:rFonts w:ascii="Times New Roman" w:eastAsia="Times New Roman" w:hAnsi="Times New Roman" w:cs="Times New Roman"/>
          <w:sz w:val="24"/>
          <w:szCs w:val="24"/>
          <w:lang w:val="bg-BG"/>
        </w:rPr>
        <w:t>ане на заявки за плащания</w:t>
      </w:r>
      <w:r w:rsidRPr="00292755">
        <w:rPr>
          <w:rFonts w:ascii="Times New Roman" w:eastAsia="Times New Roman" w:hAnsi="Times New Roman" w:cs="Times New Roman"/>
          <w:sz w:val="24"/>
          <w:szCs w:val="24"/>
          <w:lang w:val="bg-BG"/>
        </w:rPr>
        <w:t xml:space="preserve">.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втория период на прием по подмярка 16.1,  проведен в периода октомври – януари 2021 година, са постъпили 34 проектни предложения със заявена финансова помощ в размер на 26 милиона лева, при определен бюджет в размер на 20 милиона лева. Към настоящия момент проектните предложения все още са в процес на обработка, като в кратки срокове се предвижда приключване на етап административно съответствие и допустимост.</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3E5CA0"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 </w:t>
      </w:r>
      <w:r w:rsidR="00451964" w:rsidRPr="00292755">
        <w:rPr>
          <w:rFonts w:ascii="Times New Roman" w:eastAsia="Times New Roman" w:hAnsi="Times New Roman" w:cs="Times New Roman"/>
          <w:sz w:val="24"/>
          <w:szCs w:val="24"/>
          <w:lang w:val="bg-BG"/>
        </w:rPr>
        <w:t>подмярка 16.4 „Подкрепа за хоризонтално и вертикално сътрудничество между участн</w:t>
      </w:r>
      <w:r>
        <w:rPr>
          <w:rFonts w:ascii="Times New Roman" w:eastAsia="Times New Roman" w:hAnsi="Times New Roman" w:cs="Times New Roman"/>
          <w:sz w:val="24"/>
          <w:szCs w:val="24"/>
          <w:lang w:val="bg-BG"/>
        </w:rPr>
        <w:t xml:space="preserve">иците във верига на доставки“, </w:t>
      </w:r>
      <w:r w:rsidR="00377C8C">
        <w:rPr>
          <w:rFonts w:ascii="Times New Roman" w:eastAsia="Times New Roman" w:hAnsi="Times New Roman" w:cs="Times New Roman"/>
          <w:sz w:val="24"/>
          <w:szCs w:val="24"/>
          <w:lang w:val="bg-BG"/>
        </w:rPr>
        <w:t xml:space="preserve">в рамките на </w:t>
      </w:r>
      <w:r>
        <w:rPr>
          <w:rFonts w:ascii="Times New Roman" w:eastAsia="Times New Roman" w:hAnsi="Times New Roman" w:cs="Times New Roman"/>
          <w:sz w:val="24"/>
          <w:szCs w:val="24"/>
          <w:lang w:val="bg-BG"/>
        </w:rPr>
        <w:t>п</w:t>
      </w:r>
      <w:r w:rsidR="00451964" w:rsidRPr="00292755">
        <w:rPr>
          <w:rFonts w:ascii="Times New Roman" w:eastAsia="Times New Roman" w:hAnsi="Times New Roman" w:cs="Times New Roman"/>
          <w:sz w:val="24"/>
          <w:szCs w:val="24"/>
          <w:lang w:val="bg-BG"/>
        </w:rPr>
        <w:t>ървият период на прием, проведен в периода юли – септември 2020 година, с бюджет в размер на 15 милиона лева, с</w:t>
      </w:r>
      <w:r w:rsidR="00377C8C">
        <w:rPr>
          <w:rFonts w:ascii="Times New Roman" w:eastAsia="Times New Roman" w:hAnsi="Times New Roman" w:cs="Times New Roman"/>
          <w:sz w:val="24"/>
          <w:szCs w:val="24"/>
          <w:lang w:val="bg-BG"/>
        </w:rPr>
        <w:t>а</w:t>
      </w:r>
      <w:r w:rsidR="00451964" w:rsidRPr="00292755">
        <w:rPr>
          <w:rFonts w:ascii="Times New Roman" w:eastAsia="Times New Roman" w:hAnsi="Times New Roman" w:cs="Times New Roman"/>
          <w:sz w:val="24"/>
          <w:szCs w:val="24"/>
          <w:lang w:val="bg-BG"/>
        </w:rPr>
        <w:t xml:space="preserve"> постъпили две проектни предложения</w:t>
      </w:r>
      <w:r>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със заявен размер на БФП – 300 хиляди лева, като проектните предложения бяха отхвърлени на етап административно съответствие и допустимост.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Вторият период на прием, който бе проведен в периода ноември 2020 – февруари 2021 година бе с бю</w:t>
      </w:r>
      <w:r w:rsidR="003E5CA0">
        <w:rPr>
          <w:rFonts w:ascii="Times New Roman" w:eastAsia="Times New Roman" w:hAnsi="Times New Roman" w:cs="Times New Roman"/>
          <w:sz w:val="24"/>
          <w:szCs w:val="24"/>
          <w:lang w:val="bg-BG"/>
        </w:rPr>
        <w:t>джет в размер на 13 690 600</w:t>
      </w:r>
      <w:r w:rsidRPr="00292755">
        <w:rPr>
          <w:rFonts w:ascii="Times New Roman" w:eastAsia="Times New Roman" w:hAnsi="Times New Roman" w:cs="Times New Roman"/>
          <w:sz w:val="24"/>
          <w:szCs w:val="24"/>
          <w:lang w:val="bg-BG"/>
        </w:rPr>
        <w:t xml:space="preserve"> лева, с подадени 11 проектни предложения</w:t>
      </w:r>
      <w:r w:rsidR="003E5CA0">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със заявена финан</w:t>
      </w:r>
      <w:r w:rsidR="003E5CA0">
        <w:rPr>
          <w:rFonts w:ascii="Times New Roman" w:eastAsia="Times New Roman" w:hAnsi="Times New Roman" w:cs="Times New Roman"/>
          <w:sz w:val="24"/>
          <w:szCs w:val="24"/>
          <w:lang w:val="bg-BG"/>
        </w:rPr>
        <w:t>сова помощ в размер на 2 582 824</w:t>
      </w:r>
      <w:r w:rsidRPr="00292755">
        <w:rPr>
          <w:rFonts w:ascii="Times New Roman" w:eastAsia="Times New Roman" w:hAnsi="Times New Roman" w:cs="Times New Roman"/>
          <w:sz w:val="24"/>
          <w:szCs w:val="24"/>
          <w:lang w:val="bg-BG"/>
        </w:rPr>
        <w:t xml:space="preserve"> лева безвъзмездна финансова помощ, като към днешна дата са одобрени шест проектни предложения и са сключени четири административни договори със стойност на одобрената финансова помощ 557 769  лева.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подмярка 19.1 „Помощ за подготвителни дейности в частта малки пилотни проекти“, периодът на прием бе юни 2020 – юли 2020 годи</w:t>
      </w:r>
      <w:r w:rsidR="003E5CA0">
        <w:rPr>
          <w:rFonts w:ascii="Times New Roman" w:eastAsia="Times New Roman" w:hAnsi="Times New Roman" w:cs="Times New Roman"/>
          <w:sz w:val="24"/>
          <w:szCs w:val="24"/>
          <w:lang w:val="bg-BG"/>
        </w:rPr>
        <w:t>на с бюджет в размер на 1 266 466</w:t>
      </w:r>
      <w:r w:rsidRPr="00292755">
        <w:rPr>
          <w:rFonts w:ascii="Times New Roman" w:eastAsia="Times New Roman" w:hAnsi="Times New Roman" w:cs="Times New Roman"/>
          <w:sz w:val="24"/>
          <w:szCs w:val="24"/>
          <w:lang w:val="bg-BG"/>
        </w:rPr>
        <w:t xml:space="preserve"> лева с постъпили 7 проектни предложения със заявен размер на финансовата помощ 198 881 лева, като към днешна дата 6 проектни предложения са одобрени</w:t>
      </w:r>
      <w:r w:rsidR="003E5CA0">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с обща стойност на финан</w:t>
      </w:r>
      <w:r w:rsidR="003E5CA0">
        <w:rPr>
          <w:rFonts w:ascii="Times New Roman" w:eastAsia="Times New Roman" w:hAnsi="Times New Roman" w:cs="Times New Roman"/>
          <w:sz w:val="24"/>
          <w:szCs w:val="24"/>
          <w:lang w:val="bg-BG"/>
        </w:rPr>
        <w:t>совата помощ в размер на 164 568</w:t>
      </w:r>
      <w:r w:rsidRPr="00292755">
        <w:rPr>
          <w:rFonts w:ascii="Times New Roman" w:eastAsia="Times New Roman" w:hAnsi="Times New Roman" w:cs="Times New Roman"/>
          <w:sz w:val="24"/>
          <w:szCs w:val="24"/>
          <w:lang w:val="bg-BG"/>
        </w:rPr>
        <w:t xml:space="preserve"> лева,</w:t>
      </w:r>
      <w:r w:rsidR="003E5CA0">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сключени са административни договори, като в ИСУН са подадени 4 заявки за окончателно плащане по сключените договори.</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Вторият период на прием в частта „Маки пилотни проекти“ по подмярка 19.1 се проведе в периода ноември – април 2021 година с бюджет  над 4 милиона лева. Постъпили са 24 проектни предложения със заявена финансова помощ в размер на</w:t>
      </w:r>
      <w:r w:rsidR="00907CCA">
        <w:rPr>
          <w:rFonts w:ascii="Times New Roman" w:eastAsia="Times New Roman" w:hAnsi="Times New Roman" w:cs="Times New Roman"/>
          <w:sz w:val="24"/>
          <w:szCs w:val="24"/>
          <w:lang w:val="bg-BG"/>
        </w:rPr>
        <w:t>д</w:t>
      </w:r>
      <w:r w:rsidRPr="00292755">
        <w:rPr>
          <w:rFonts w:ascii="Times New Roman" w:eastAsia="Times New Roman" w:hAnsi="Times New Roman" w:cs="Times New Roman"/>
          <w:sz w:val="24"/>
          <w:szCs w:val="24"/>
          <w:lang w:val="bg-BG"/>
        </w:rPr>
        <w:t xml:space="preserve"> 4 милиона лева. Петнадесет проектни предложения са одобрени, като общата стойност на одобрената финанс</w:t>
      </w:r>
      <w:r w:rsidR="00907CCA">
        <w:rPr>
          <w:rFonts w:ascii="Times New Roman" w:eastAsia="Times New Roman" w:hAnsi="Times New Roman" w:cs="Times New Roman"/>
          <w:sz w:val="24"/>
          <w:szCs w:val="24"/>
          <w:lang w:val="bg-BG"/>
        </w:rPr>
        <w:t>ова помощ е в размер на 1 </w:t>
      </w:r>
      <w:r w:rsidRPr="00292755">
        <w:rPr>
          <w:rFonts w:ascii="Times New Roman" w:eastAsia="Times New Roman" w:hAnsi="Times New Roman" w:cs="Times New Roman"/>
          <w:sz w:val="24"/>
          <w:szCs w:val="24"/>
          <w:lang w:val="bg-BG"/>
        </w:rPr>
        <w:t>959</w:t>
      </w:r>
      <w:r w:rsidR="00907CCA">
        <w:rPr>
          <w:rFonts w:ascii="Times New Roman" w:eastAsia="Times New Roman" w:hAnsi="Times New Roman" w:cs="Times New Roman"/>
          <w:sz w:val="24"/>
          <w:szCs w:val="24"/>
          <w:lang w:val="bg-BG"/>
        </w:rPr>
        <w:t xml:space="preserve"> 169 </w:t>
      </w:r>
      <w:r w:rsidRPr="00292755">
        <w:rPr>
          <w:rFonts w:ascii="Times New Roman" w:eastAsia="Times New Roman" w:hAnsi="Times New Roman" w:cs="Times New Roman"/>
          <w:sz w:val="24"/>
          <w:szCs w:val="24"/>
          <w:lang w:val="bg-BG"/>
        </w:rPr>
        <w:t xml:space="preserve"> лева. Осем проектни предложения са отхвърлени на етап административно съответствие и допустимост. С </w:t>
      </w:r>
      <w:r w:rsidR="00907CCA">
        <w:rPr>
          <w:rFonts w:ascii="Times New Roman" w:eastAsia="Times New Roman" w:hAnsi="Times New Roman" w:cs="Times New Roman"/>
          <w:sz w:val="24"/>
          <w:szCs w:val="24"/>
          <w:lang w:val="bg-BG"/>
        </w:rPr>
        <w:t>одобрените кандидати е стартирал</w:t>
      </w:r>
      <w:r w:rsidRPr="00292755">
        <w:rPr>
          <w:rFonts w:ascii="Times New Roman" w:eastAsia="Times New Roman" w:hAnsi="Times New Roman" w:cs="Times New Roman"/>
          <w:sz w:val="24"/>
          <w:szCs w:val="24"/>
          <w:lang w:val="bg-BG"/>
        </w:rPr>
        <w:t>а процедура за сключване на административни договори.</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подмярка 19.1 „Помощ за подготвителни дейности“. С прием юни – юли 2022 година</w:t>
      </w:r>
      <w:r w:rsidR="00907CCA">
        <w:rPr>
          <w:rFonts w:ascii="Times New Roman" w:eastAsia="Times New Roman" w:hAnsi="Times New Roman" w:cs="Times New Roman"/>
          <w:sz w:val="24"/>
          <w:szCs w:val="24"/>
          <w:lang w:val="bg-BG"/>
        </w:rPr>
        <w:t xml:space="preserve"> с бюджет в размер на 6 </w:t>
      </w:r>
      <w:r w:rsidRPr="00292755">
        <w:rPr>
          <w:rFonts w:ascii="Times New Roman" w:eastAsia="Times New Roman" w:hAnsi="Times New Roman" w:cs="Times New Roman"/>
          <w:sz w:val="24"/>
          <w:szCs w:val="24"/>
          <w:lang w:val="bg-BG"/>
        </w:rPr>
        <w:t>845</w:t>
      </w:r>
      <w:r w:rsidR="00907CCA">
        <w:rPr>
          <w:rFonts w:ascii="Times New Roman" w:eastAsia="Times New Roman" w:hAnsi="Times New Roman" w:cs="Times New Roman"/>
          <w:sz w:val="24"/>
          <w:szCs w:val="24"/>
          <w:lang w:val="bg-BG"/>
        </w:rPr>
        <w:t xml:space="preserve"> 300 </w:t>
      </w:r>
      <w:r w:rsidRPr="00292755">
        <w:rPr>
          <w:rFonts w:ascii="Times New Roman" w:eastAsia="Times New Roman" w:hAnsi="Times New Roman" w:cs="Times New Roman"/>
          <w:sz w:val="24"/>
          <w:szCs w:val="24"/>
          <w:lang w:val="bg-BG"/>
        </w:rPr>
        <w:t xml:space="preserve"> лева, към настоящия момент все още не са постъпили проектни предложения, крайният срок за кандидатстване е 31 юли и  предстои сформиране на оценителна комисия за разглеждане на постъпилите проектни предложения.</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По подмярка 19.3 „Подготовка за изпълнение на дейности за сътрудничество на местни инициативни групи“ бяха проведени два периода на прием: 2018 – 2021 г. и 2022 – 2023 г. Първият бе за проекти за подготвителни дейности и проекти за сътрудничество. Вторият - само за проекти за сътрудничество. По обявения прием за вътрешно териториални и транснационално сътрудничество до 31 декември 2023 година, все още не са подадени проектни предложения. </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Към 1 юли 2022 г. общата сума на изплатените разходи по проекти за подготвителни дейности и сътрудничество по подмярка 1</w:t>
      </w:r>
      <w:r w:rsidR="00907CCA">
        <w:rPr>
          <w:rFonts w:ascii="Times New Roman" w:eastAsia="Times New Roman" w:hAnsi="Times New Roman" w:cs="Times New Roman"/>
          <w:sz w:val="24"/>
          <w:szCs w:val="24"/>
          <w:lang w:val="bg-BG"/>
        </w:rPr>
        <w:t>9.3 са 1 092 546</w:t>
      </w:r>
      <w:r w:rsidRPr="00292755">
        <w:rPr>
          <w:rFonts w:ascii="Times New Roman" w:eastAsia="Times New Roman" w:hAnsi="Times New Roman" w:cs="Times New Roman"/>
          <w:sz w:val="24"/>
          <w:szCs w:val="24"/>
          <w:lang w:val="bg-BG"/>
        </w:rPr>
        <w:t xml:space="preserve"> лева. </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По подмярка 19.4 „Текущи разходи за популяризиране на Стратегиите за ВОМР“ по първи прием - 2016 г.  и втори 2018 година, бюджетът по процедурата възлиза на 59 милиона лева. </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През 2021 година са подадени 64 броя заявление за планираните дейности и разходи за 2022 година и към момен</w:t>
      </w:r>
      <w:r w:rsidR="00907CCA">
        <w:rPr>
          <w:rFonts w:ascii="Times New Roman" w:eastAsia="Times New Roman" w:hAnsi="Times New Roman" w:cs="Times New Roman"/>
          <w:sz w:val="24"/>
          <w:szCs w:val="24"/>
          <w:lang w:val="bg-BG"/>
        </w:rPr>
        <w:t>та са одобрени всички заявления за 2022 г.</w:t>
      </w:r>
      <w:r w:rsidRPr="00292755">
        <w:rPr>
          <w:rFonts w:ascii="Times New Roman" w:eastAsia="Times New Roman" w:hAnsi="Times New Roman" w:cs="Times New Roman"/>
          <w:sz w:val="24"/>
          <w:szCs w:val="24"/>
          <w:lang w:val="bg-BG"/>
        </w:rPr>
        <w:t xml:space="preserve"> </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lang w:val="bg-BG"/>
        </w:rPr>
        <w:t xml:space="preserve"> даде думата на Ива Иванова от ДФЗ да представи презентацията на агроекологичните мерки.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ИВА ИВАНОВА</w:t>
      </w:r>
      <w:r w:rsidRPr="00292755">
        <w:rPr>
          <w:rFonts w:ascii="Times New Roman" w:eastAsia="Times New Roman" w:hAnsi="Times New Roman" w:cs="Times New Roman"/>
          <w:sz w:val="24"/>
          <w:szCs w:val="24"/>
          <w:lang w:val="bg-BG"/>
        </w:rPr>
        <w:t xml:space="preserve"> уточни, че през последната кампания има известен брой намалени заявления за плащане, които все още не са обработени, защото кампанията приключи преди един месец. </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907CCA"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 отношение на одобрените и не</w:t>
      </w:r>
      <w:r w:rsidR="00451964" w:rsidRPr="00292755">
        <w:rPr>
          <w:rFonts w:ascii="Times New Roman" w:eastAsia="Times New Roman" w:hAnsi="Times New Roman" w:cs="Times New Roman"/>
          <w:sz w:val="24"/>
          <w:szCs w:val="24"/>
          <w:lang w:val="bg-BG"/>
        </w:rPr>
        <w:t>одобрените заявления за подпомагане през кампаниите броят е относително стабилен през годините.</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По отношение на разпределението по мерки за кампаниите относително по-голям дял има мярка 10 спрямо мярка 11.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По отношение на бюджетите, които изпълняват мерките от Развитие на селските райони прилагани от директни плащания се наблюдава едно добро усвояване за кампаниите, заедно с кампания 2022 усвояването върви около 90 %. </w:t>
      </w:r>
    </w:p>
    <w:p w:rsidR="00907CCA" w:rsidRPr="00292755" w:rsidRDefault="00907CCA"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lang w:val="bg-BG"/>
        </w:rPr>
        <w:t xml:space="preserve"> отвори дискусията за въпроси и коментари.</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ИРИНА МАТЕЕВА</w:t>
      </w:r>
      <w:r w:rsidRPr="00292755">
        <w:rPr>
          <w:rFonts w:ascii="Times New Roman" w:eastAsia="Times New Roman" w:hAnsi="Times New Roman" w:cs="Times New Roman"/>
          <w:sz w:val="24"/>
          <w:szCs w:val="24"/>
          <w:lang w:val="bg-BG"/>
        </w:rPr>
        <w:t xml:space="preserve"> посочи, че даването само на цифрова информация за изразходваните средства не е достатъчна. Необходима е повече информация за резултатите и ефектите от използваните средства</w:t>
      </w:r>
      <w:r w:rsidRPr="00292755">
        <w:rPr>
          <w:rFonts w:ascii="Times New Roman" w:eastAsia="Times New Roman" w:hAnsi="Times New Roman" w:cs="Times New Roman"/>
          <w:sz w:val="24"/>
          <w:szCs w:val="24"/>
        </w:rPr>
        <w:t xml:space="preserve"> </w:t>
      </w:r>
      <w:r w:rsidRPr="00292755">
        <w:rPr>
          <w:rFonts w:ascii="Times New Roman" w:eastAsia="Times New Roman" w:hAnsi="Times New Roman" w:cs="Times New Roman"/>
          <w:sz w:val="24"/>
          <w:szCs w:val="24"/>
          <w:lang w:val="bg-BG"/>
        </w:rPr>
        <w:t>за да се разбере действителният напредък.</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r w:rsidRPr="00292755">
        <w:rPr>
          <w:rFonts w:ascii="Times New Roman" w:eastAsia="Times New Roman" w:hAnsi="Times New Roman" w:cs="Times New Roman"/>
          <w:b/>
          <w:sz w:val="24"/>
          <w:szCs w:val="24"/>
          <w:lang w:val="bg-BG"/>
        </w:rPr>
        <w:t xml:space="preserve">Г-ЖА ЕЛЕНА ИВАНОВА </w:t>
      </w:r>
      <w:r w:rsidRPr="00292755">
        <w:rPr>
          <w:rFonts w:ascii="Times New Roman" w:eastAsia="Times New Roman" w:hAnsi="Times New Roman" w:cs="Times New Roman"/>
          <w:sz w:val="24"/>
          <w:szCs w:val="24"/>
          <w:lang w:val="bg-BG"/>
        </w:rPr>
        <w:t>уточни, че предложението на г-жа Матеева до известна степен препокрива предложението и на г-н Главчовски</w:t>
      </w:r>
      <w:r w:rsidR="00A310A8">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изпратено официално до членовете на Комитета за наблюдение да се даде информация относно ефекта от изпълнението на програмата и съответно направените изменения на ПРСР.</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Ефектът от изпълнението на програмата ще бъде оценен, ще бъде измерен  на един по-късен етап с последващата оценка на програмата.  Към настоящия момент е  възлагано включително и на външни изпълнители извършването на анализи, които да оценят ефекта от изпълнението на отделните мерки и компенсаторните плащания по програмата, но пълен цялостен ефект от изпълнението ще бъде наличен с последващата оцен</w:t>
      </w:r>
      <w:r w:rsidR="00A310A8">
        <w:rPr>
          <w:rFonts w:ascii="Times New Roman" w:eastAsia="Times New Roman" w:hAnsi="Times New Roman" w:cs="Times New Roman"/>
          <w:sz w:val="24"/>
          <w:szCs w:val="24"/>
          <w:lang w:val="bg-BG"/>
        </w:rPr>
        <w:t>ка на програмата, включително ще</w:t>
      </w:r>
      <w:r w:rsidRPr="00292755">
        <w:rPr>
          <w:rFonts w:ascii="Times New Roman" w:eastAsia="Times New Roman" w:hAnsi="Times New Roman" w:cs="Times New Roman"/>
          <w:sz w:val="24"/>
          <w:szCs w:val="24"/>
          <w:lang w:val="bg-BG"/>
        </w:rPr>
        <w:t xml:space="preserve"> се измери до каква степен ПРСР е допринесла за увеличаване на процента на заетост на населението в селск</w:t>
      </w:r>
      <w:r w:rsidR="00A310A8">
        <w:rPr>
          <w:rFonts w:ascii="Times New Roman" w:eastAsia="Times New Roman" w:hAnsi="Times New Roman" w:cs="Times New Roman"/>
          <w:sz w:val="24"/>
          <w:szCs w:val="24"/>
          <w:lang w:val="bg-BG"/>
        </w:rPr>
        <w:t>ите райони, до каква степен</w:t>
      </w:r>
      <w:r w:rsidRPr="00292755">
        <w:rPr>
          <w:rFonts w:ascii="Times New Roman" w:eastAsia="Times New Roman" w:hAnsi="Times New Roman" w:cs="Times New Roman"/>
          <w:sz w:val="24"/>
          <w:szCs w:val="24"/>
          <w:lang w:val="bg-BG"/>
        </w:rPr>
        <w:t xml:space="preserve"> е допринесла за инвестиране на определен процент от брутния вътрешен продукт в научно-изс</w:t>
      </w:r>
      <w:r w:rsidR="00A310A8">
        <w:rPr>
          <w:rFonts w:ascii="Times New Roman" w:eastAsia="Times New Roman" w:hAnsi="Times New Roman" w:cs="Times New Roman"/>
          <w:sz w:val="24"/>
          <w:szCs w:val="24"/>
          <w:lang w:val="bg-BG"/>
        </w:rPr>
        <w:t>ледователска и развойна дейност, п</w:t>
      </w:r>
      <w:r w:rsidRPr="00292755">
        <w:rPr>
          <w:rFonts w:ascii="Times New Roman" w:eastAsia="Times New Roman" w:hAnsi="Times New Roman" w:cs="Times New Roman"/>
          <w:sz w:val="24"/>
          <w:szCs w:val="24"/>
          <w:lang w:val="bg-BG"/>
        </w:rPr>
        <w:t>о какъв начин е постигната водещата цел на Европейския съюз за намаляване на емисиите от парникови газове. Всички тези аспекти, включително и</w:t>
      </w:r>
      <w:r w:rsidR="00A310A8">
        <w:rPr>
          <w:rFonts w:ascii="Times New Roman" w:eastAsia="Times New Roman" w:hAnsi="Times New Roman" w:cs="Times New Roman"/>
          <w:sz w:val="24"/>
          <w:szCs w:val="24"/>
          <w:lang w:val="bg-BG"/>
        </w:rPr>
        <w:t xml:space="preserve"> тези, </w:t>
      </w:r>
      <w:r w:rsidRPr="00292755">
        <w:rPr>
          <w:rFonts w:ascii="Times New Roman" w:eastAsia="Times New Roman" w:hAnsi="Times New Roman" w:cs="Times New Roman"/>
          <w:sz w:val="24"/>
          <w:szCs w:val="24"/>
          <w:lang w:val="bg-BG"/>
        </w:rPr>
        <w:t xml:space="preserve"> свързани с околната среда</w:t>
      </w:r>
      <w:r w:rsidR="00A310A8">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ще намерят своя отговор в по</w:t>
      </w:r>
      <w:r w:rsidR="00A310A8">
        <w:rPr>
          <w:rFonts w:ascii="Times New Roman" w:eastAsia="Times New Roman" w:hAnsi="Times New Roman" w:cs="Times New Roman"/>
          <w:sz w:val="24"/>
          <w:szCs w:val="24"/>
          <w:lang w:val="bg-BG"/>
        </w:rPr>
        <w:t>следващата оценка на програмата.</w:t>
      </w:r>
      <w:r w:rsidRPr="00292755">
        <w:rPr>
          <w:rFonts w:ascii="Times New Roman" w:eastAsia="Times New Roman" w:hAnsi="Times New Roman" w:cs="Times New Roman"/>
          <w:sz w:val="24"/>
          <w:szCs w:val="24"/>
          <w:lang w:val="bg-BG"/>
        </w:rPr>
        <w:t xml:space="preserve"> </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ВЛАДИСЛАВ МИХАЙЛОВ</w:t>
      </w:r>
      <w:r w:rsidRPr="00292755">
        <w:rPr>
          <w:rFonts w:ascii="Times New Roman" w:eastAsia="Times New Roman" w:hAnsi="Times New Roman" w:cs="Times New Roman"/>
          <w:sz w:val="24"/>
          <w:szCs w:val="24"/>
          <w:lang w:val="bg-BG"/>
        </w:rPr>
        <w:t xml:space="preserve"> се присъедини към мненията на г-н Главчовски и г-жа Матеева относно необходимостта да се представя по-подробна информация относно изпълнението на заложените приоритети и цели.</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Г-н Михайлов попита защо се получава забавяне  по мярка 16 - 34 проекта  се оценяват  близо 16 месеца от месец януари 2021 година.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A310A8" w:rsidRDefault="00A310A8"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w:t>
      </w:r>
      <w:r w:rsidR="00451964" w:rsidRPr="00292755">
        <w:rPr>
          <w:rFonts w:ascii="Times New Roman" w:eastAsia="Times New Roman" w:hAnsi="Times New Roman" w:cs="Times New Roman"/>
          <w:sz w:val="24"/>
          <w:szCs w:val="24"/>
          <w:lang w:val="bg-BG"/>
        </w:rPr>
        <w:t>-н Михайлов се обърна към г-н Феърбрадър  с  молба да даде  информация относно другите страни членки, за които той  отговаря</w:t>
      </w:r>
      <w:r>
        <w:rPr>
          <w:rFonts w:ascii="Times New Roman" w:eastAsia="Times New Roman" w:hAnsi="Times New Roman" w:cs="Times New Roman"/>
          <w:sz w:val="24"/>
          <w:szCs w:val="24"/>
          <w:lang w:val="bg-BG"/>
        </w:rPr>
        <w:t xml:space="preserve"> в Комисията. Той  попита дали н</w:t>
      </w:r>
      <w:r w:rsidR="00451964" w:rsidRPr="00292755">
        <w:rPr>
          <w:rFonts w:ascii="Times New Roman" w:eastAsia="Times New Roman" w:hAnsi="Times New Roman" w:cs="Times New Roman"/>
          <w:sz w:val="24"/>
          <w:szCs w:val="24"/>
          <w:lang w:val="bg-BG"/>
        </w:rPr>
        <w:t>ационалните браншови организации, ко</w:t>
      </w:r>
      <w:r>
        <w:rPr>
          <w:rFonts w:ascii="Times New Roman" w:eastAsia="Times New Roman" w:hAnsi="Times New Roman" w:cs="Times New Roman"/>
          <w:sz w:val="24"/>
          <w:szCs w:val="24"/>
          <w:lang w:val="bg-BG"/>
        </w:rPr>
        <w:t xml:space="preserve">ито </w:t>
      </w:r>
      <w:r w:rsidR="00451964" w:rsidRPr="00292755">
        <w:rPr>
          <w:rFonts w:ascii="Times New Roman" w:eastAsia="Times New Roman" w:hAnsi="Times New Roman" w:cs="Times New Roman"/>
          <w:sz w:val="24"/>
          <w:szCs w:val="24"/>
          <w:lang w:val="bg-BG"/>
        </w:rPr>
        <w:t>представляват определени браншове като месопрерботка, производство на хляб, млекопре</w:t>
      </w:r>
      <w:r>
        <w:rPr>
          <w:rFonts w:ascii="Times New Roman" w:eastAsia="Times New Roman" w:hAnsi="Times New Roman" w:cs="Times New Roman"/>
          <w:sz w:val="24"/>
          <w:szCs w:val="24"/>
          <w:lang w:val="bg-BG"/>
        </w:rPr>
        <w:t>работка са само със съвещателен глас, както е България.</w:t>
      </w:r>
    </w:p>
    <w:p w:rsidR="00451964" w:rsidRPr="00292755" w:rsidRDefault="00A310A8"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ЕЛЕНА ИВАНОВА</w:t>
      </w:r>
      <w:r w:rsidRPr="00292755">
        <w:rPr>
          <w:rFonts w:ascii="Times New Roman" w:eastAsia="Times New Roman" w:hAnsi="Times New Roman" w:cs="Times New Roman"/>
          <w:sz w:val="24"/>
          <w:szCs w:val="24"/>
          <w:lang w:val="bg-BG"/>
        </w:rPr>
        <w:t xml:space="preserve"> уточни, че при втория прием по подмярка 16.1, наистина има забавяне. Има идентифициран проблем, който към настоящия момен</w:t>
      </w:r>
      <w:r w:rsidR="00A310A8">
        <w:rPr>
          <w:rFonts w:ascii="Times New Roman" w:eastAsia="Times New Roman" w:hAnsi="Times New Roman" w:cs="Times New Roman"/>
          <w:sz w:val="24"/>
          <w:szCs w:val="24"/>
          <w:lang w:val="bg-BG"/>
        </w:rPr>
        <w:t>т вече е решен и съвсем  скоро к</w:t>
      </w:r>
      <w:r w:rsidRPr="00292755">
        <w:rPr>
          <w:rFonts w:ascii="Times New Roman" w:eastAsia="Times New Roman" w:hAnsi="Times New Roman" w:cs="Times New Roman"/>
          <w:sz w:val="24"/>
          <w:szCs w:val="24"/>
          <w:lang w:val="bg-BG"/>
        </w:rPr>
        <w:t>омисията за оценка ще приключи с етап административно съответствие и допустимост</w:t>
      </w:r>
      <w:r w:rsidR="00A310A8">
        <w:rPr>
          <w:rFonts w:ascii="Times New Roman" w:eastAsia="Times New Roman" w:hAnsi="Times New Roman" w:cs="Times New Roman"/>
          <w:sz w:val="24"/>
          <w:szCs w:val="24"/>
          <w:lang w:val="bg-BG"/>
        </w:rPr>
        <w:t xml:space="preserve"> и списъкът</w:t>
      </w:r>
      <w:r w:rsidRPr="00292755">
        <w:rPr>
          <w:rFonts w:ascii="Times New Roman" w:eastAsia="Times New Roman" w:hAnsi="Times New Roman" w:cs="Times New Roman"/>
          <w:sz w:val="24"/>
          <w:szCs w:val="24"/>
          <w:lang w:val="bg-BG"/>
        </w:rPr>
        <w:t xml:space="preserve"> с недопуснатите проекти ще бъде публикуван на страницата на министерството.</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A310A8"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Г-жа Иванова насочи вниманието</w:t>
      </w:r>
      <w:r w:rsidR="00451964" w:rsidRPr="00292755">
        <w:rPr>
          <w:rFonts w:ascii="Times New Roman" w:eastAsia="Times New Roman" w:hAnsi="Times New Roman" w:cs="Times New Roman"/>
          <w:sz w:val="24"/>
          <w:szCs w:val="24"/>
          <w:lang w:val="bg-BG"/>
        </w:rPr>
        <w:t xml:space="preserve"> към процедурата за избор на членове на Комитета по наблюдение с право на глас, която е регламентирана в националното</w:t>
      </w:r>
      <w:r>
        <w:rPr>
          <w:rFonts w:ascii="Times New Roman" w:eastAsia="Times New Roman" w:hAnsi="Times New Roman" w:cs="Times New Roman"/>
          <w:sz w:val="24"/>
          <w:szCs w:val="24"/>
          <w:lang w:val="bg-BG"/>
        </w:rPr>
        <w:t xml:space="preserve"> ни</w:t>
      </w:r>
      <w:r w:rsidR="00451964" w:rsidRPr="00292755">
        <w:rPr>
          <w:rFonts w:ascii="Times New Roman" w:eastAsia="Times New Roman" w:hAnsi="Times New Roman" w:cs="Times New Roman"/>
          <w:sz w:val="24"/>
          <w:szCs w:val="24"/>
          <w:lang w:val="bg-BG"/>
        </w:rPr>
        <w:t xml:space="preserve"> законодателство.</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БЕНДЖАМИН ФЕЪРБРАДЪР</w:t>
      </w:r>
      <w:r w:rsidRPr="00292755">
        <w:rPr>
          <w:rFonts w:ascii="Times New Roman" w:eastAsia="Times New Roman" w:hAnsi="Times New Roman" w:cs="Times New Roman"/>
          <w:sz w:val="24"/>
          <w:szCs w:val="24"/>
          <w:lang w:val="bg-BG"/>
        </w:rPr>
        <w:t xml:space="preserve">  посочи, че не е  запознат с тази практика в другите държави членки. </w:t>
      </w:r>
    </w:p>
    <w:p w:rsidR="00A310A8" w:rsidRPr="00292755" w:rsidRDefault="00A310A8"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ЕЛЕНА ИВАНОВА</w:t>
      </w:r>
      <w:r w:rsidRPr="00292755">
        <w:rPr>
          <w:rFonts w:ascii="Times New Roman" w:eastAsia="Times New Roman" w:hAnsi="Times New Roman" w:cs="Times New Roman"/>
          <w:sz w:val="24"/>
          <w:szCs w:val="24"/>
          <w:lang w:val="bg-BG"/>
        </w:rPr>
        <w:t xml:space="preserve">  отговори на </w:t>
      </w:r>
      <w:r w:rsidR="00A310A8">
        <w:rPr>
          <w:rFonts w:ascii="Times New Roman" w:eastAsia="Times New Roman" w:hAnsi="Times New Roman" w:cs="Times New Roman"/>
          <w:sz w:val="24"/>
          <w:szCs w:val="24"/>
          <w:lang w:val="bg-BG"/>
        </w:rPr>
        <w:t xml:space="preserve">въпроса на г-н  Михайлов относно 0% </w:t>
      </w:r>
      <w:r w:rsidRPr="00292755">
        <w:rPr>
          <w:rFonts w:ascii="Times New Roman" w:eastAsia="Times New Roman" w:hAnsi="Times New Roman" w:cs="Times New Roman"/>
          <w:sz w:val="24"/>
          <w:szCs w:val="24"/>
          <w:lang w:val="bg-BG"/>
        </w:rPr>
        <w:t xml:space="preserve"> усвояване на някои мерки, като у</w:t>
      </w:r>
      <w:r w:rsidR="00A310A8">
        <w:rPr>
          <w:rFonts w:ascii="Times New Roman" w:eastAsia="Times New Roman" w:hAnsi="Times New Roman" w:cs="Times New Roman"/>
          <w:sz w:val="24"/>
          <w:szCs w:val="24"/>
          <w:lang w:val="bg-BG"/>
        </w:rPr>
        <w:t>точни че към настоящия момент 0</w:t>
      </w:r>
      <w:r w:rsidRPr="00292755">
        <w:rPr>
          <w:rFonts w:ascii="Times New Roman" w:eastAsia="Times New Roman" w:hAnsi="Times New Roman" w:cs="Times New Roman"/>
          <w:sz w:val="24"/>
          <w:szCs w:val="24"/>
          <w:lang w:val="bg-BG"/>
        </w:rPr>
        <w:t>% усвояване означава, че няма извършен</w:t>
      </w:r>
      <w:r w:rsidR="00A310A8">
        <w:rPr>
          <w:rFonts w:ascii="Times New Roman" w:eastAsia="Times New Roman" w:hAnsi="Times New Roman" w:cs="Times New Roman"/>
          <w:sz w:val="24"/>
          <w:szCs w:val="24"/>
          <w:lang w:val="bg-BG"/>
        </w:rPr>
        <w:t>и разплащания. Усвояването</w:t>
      </w:r>
      <w:r w:rsidRPr="00292755">
        <w:rPr>
          <w:rFonts w:ascii="Times New Roman" w:eastAsia="Times New Roman" w:hAnsi="Times New Roman" w:cs="Times New Roman"/>
          <w:sz w:val="24"/>
          <w:szCs w:val="24"/>
          <w:lang w:val="bg-BG"/>
        </w:rPr>
        <w:t xml:space="preserve"> в случая е на базата на разплащания, така както са посочени данните в презентацията на колегите от Фонда.  Заявки за плащане има в проце</w:t>
      </w:r>
      <w:r w:rsidR="00A310A8">
        <w:rPr>
          <w:rFonts w:ascii="Times New Roman" w:eastAsia="Times New Roman" w:hAnsi="Times New Roman" w:cs="Times New Roman"/>
          <w:sz w:val="24"/>
          <w:szCs w:val="24"/>
          <w:lang w:val="bg-BG"/>
        </w:rPr>
        <w:t>с на обработка, но все още няма</w:t>
      </w:r>
      <w:r w:rsidRPr="00292755">
        <w:rPr>
          <w:rFonts w:ascii="Times New Roman" w:eastAsia="Times New Roman" w:hAnsi="Times New Roman" w:cs="Times New Roman"/>
          <w:sz w:val="24"/>
          <w:szCs w:val="24"/>
          <w:lang w:val="bg-BG"/>
        </w:rPr>
        <w:t xml:space="preserve"> извършени плащания за това към 24 юни процента на усвояване спрямо бюджета на мярка 1 е нула. </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МИЛЕНА НЕДЕВА</w:t>
      </w:r>
      <w:r w:rsidRPr="00292755">
        <w:rPr>
          <w:rFonts w:ascii="Times New Roman" w:eastAsia="Times New Roman" w:hAnsi="Times New Roman" w:cs="Times New Roman"/>
          <w:sz w:val="24"/>
          <w:szCs w:val="24"/>
          <w:lang w:val="bg-BG"/>
        </w:rPr>
        <w:t xml:space="preserve"> </w:t>
      </w:r>
      <w:r w:rsidR="00A310A8">
        <w:rPr>
          <w:rFonts w:ascii="Times New Roman" w:eastAsia="Times New Roman" w:hAnsi="Times New Roman" w:cs="Times New Roman"/>
          <w:sz w:val="24"/>
          <w:szCs w:val="24"/>
          <w:lang w:val="bg-BG"/>
        </w:rPr>
        <w:t xml:space="preserve">посочи, че </w:t>
      </w:r>
      <w:r w:rsidRPr="00292755">
        <w:rPr>
          <w:rFonts w:ascii="Times New Roman" w:eastAsia="Times New Roman" w:hAnsi="Times New Roman" w:cs="Times New Roman"/>
          <w:sz w:val="24"/>
          <w:szCs w:val="24"/>
          <w:lang w:val="bg-BG"/>
        </w:rPr>
        <w:t xml:space="preserve"> едва 22 % </w:t>
      </w:r>
      <w:r w:rsidR="00A310A8">
        <w:rPr>
          <w:rFonts w:ascii="Times New Roman" w:eastAsia="Times New Roman" w:hAnsi="Times New Roman" w:cs="Times New Roman"/>
          <w:sz w:val="24"/>
          <w:szCs w:val="24"/>
          <w:lang w:val="bg-BG"/>
        </w:rPr>
        <w:t xml:space="preserve"> е </w:t>
      </w:r>
      <w:r w:rsidRPr="00292755">
        <w:rPr>
          <w:rFonts w:ascii="Times New Roman" w:eastAsia="Times New Roman" w:hAnsi="Times New Roman" w:cs="Times New Roman"/>
          <w:sz w:val="24"/>
          <w:szCs w:val="24"/>
          <w:lang w:val="bg-BG"/>
        </w:rPr>
        <w:t>изпълнение</w:t>
      </w:r>
      <w:r w:rsidR="00A310A8">
        <w:rPr>
          <w:rFonts w:ascii="Times New Roman" w:eastAsia="Times New Roman" w:hAnsi="Times New Roman" w:cs="Times New Roman"/>
          <w:sz w:val="24"/>
          <w:szCs w:val="24"/>
          <w:lang w:val="bg-BG"/>
        </w:rPr>
        <w:t xml:space="preserve">то на  мярка 19. Въпросът </w:t>
      </w:r>
      <w:r w:rsidR="00ED22D5">
        <w:rPr>
          <w:rFonts w:ascii="Times New Roman" w:eastAsia="Times New Roman" w:hAnsi="Times New Roman" w:cs="Times New Roman"/>
          <w:sz w:val="24"/>
          <w:szCs w:val="24"/>
          <w:lang w:val="bg-BG"/>
        </w:rPr>
        <w:t>е:</w:t>
      </w:r>
      <w:r w:rsidRPr="00292755">
        <w:rPr>
          <w:rFonts w:ascii="Times New Roman" w:eastAsia="Times New Roman" w:hAnsi="Times New Roman" w:cs="Times New Roman"/>
          <w:sz w:val="24"/>
          <w:szCs w:val="24"/>
          <w:lang w:val="bg-BG"/>
        </w:rPr>
        <w:t xml:space="preserve"> какво се случва с проектите, които са подадени през 2018 година, основно това са </w:t>
      </w:r>
      <w:r w:rsidR="00A310A8">
        <w:rPr>
          <w:rFonts w:ascii="Times New Roman" w:eastAsia="Times New Roman" w:hAnsi="Times New Roman" w:cs="Times New Roman"/>
          <w:sz w:val="24"/>
          <w:szCs w:val="24"/>
          <w:lang w:val="bg-BG"/>
        </w:rPr>
        <w:t xml:space="preserve">проекти </w:t>
      </w:r>
      <w:r w:rsidR="00ED22D5">
        <w:rPr>
          <w:rFonts w:ascii="Times New Roman" w:eastAsia="Times New Roman" w:hAnsi="Times New Roman" w:cs="Times New Roman"/>
          <w:sz w:val="24"/>
          <w:szCs w:val="24"/>
          <w:lang w:val="bg-BG"/>
        </w:rPr>
        <w:t>по мярка 6.4 с м</w:t>
      </w:r>
      <w:r w:rsidRPr="00292755">
        <w:rPr>
          <w:rFonts w:ascii="Times New Roman" w:eastAsia="Times New Roman" w:hAnsi="Times New Roman" w:cs="Times New Roman"/>
          <w:sz w:val="24"/>
          <w:szCs w:val="24"/>
          <w:lang w:val="bg-BG"/>
        </w:rPr>
        <w:t>асово отказване на потенциалните бенефициенти от т</w:t>
      </w:r>
      <w:r w:rsidR="00ED22D5">
        <w:rPr>
          <w:rFonts w:ascii="Times New Roman" w:eastAsia="Times New Roman" w:hAnsi="Times New Roman" w:cs="Times New Roman"/>
          <w:sz w:val="24"/>
          <w:szCs w:val="24"/>
          <w:lang w:val="bg-BG"/>
        </w:rPr>
        <w:t>ези проекти. От 2018 година до сега</w:t>
      </w:r>
      <w:r w:rsidRPr="00292755">
        <w:rPr>
          <w:rFonts w:ascii="Times New Roman" w:eastAsia="Times New Roman" w:hAnsi="Times New Roman" w:cs="Times New Roman"/>
          <w:sz w:val="24"/>
          <w:szCs w:val="24"/>
          <w:lang w:val="bg-BG"/>
        </w:rPr>
        <w:t xml:space="preserve"> са почти четири години </w:t>
      </w:r>
      <w:r w:rsidR="00ED22D5">
        <w:rPr>
          <w:rFonts w:ascii="Times New Roman" w:eastAsia="Times New Roman" w:hAnsi="Times New Roman" w:cs="Times New Roman"/>
          <w:sz w:val="24"/>
          <w:szCs w:val="24"/>
          <w:lang w:val="bg-BG"/>
        </w:rPr>
        <w:t xml:space="preserve">и ситуацията </w:t>
      </w:r>
      <w:r w:rsidRPr="00292755">
        <w:rPr>
          <w:rFonts w:ascii="Times New Roman" w:eastAsia="Times New Roman" w:hAnsi="Times New Roman" w:cs="Times New Roman"/>
          <w:sz w:val="24"/>
          <w:szCs w:val="24"/>
          <w:lang w:val="bg-BG"/>
        </w:rPr>
        <w:t xml:space="preserve">е коренно различна? </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КАЛОЯН КОСТАДИНОВ</w:t>
      </w:r>
      <w:r w:rsidRPr="00292755">
        <w:rPr>
          <w:rFonts w:ascii="Times New Roman" w:eastAsia="Times New Roman" w:hAnsi="Times New Roman" w:cs="Times New Roman"/>
          <w:sz w:val="24"/>
          <w:szCs w:val="24"/>
          <w:lang w:val="bg-BG"/>
        </w:rPr>
        <w:t xml:space="preserve"> уточни, че </w:t>
      </w:r>
      <w:r w:rsidR="00ED22D5">
        <w:rPr>
          <w:rFonts w:ascii="Times New Roman" w:eastAsia="Times New Roman" w:hAnsi="Times New Roman" w:cs="Times New Roman"/>
          <w:sz w:val="24"/>
          <w:szCs w:val="24"/>
          <w:lang w:val="bg-BG"/>
        </w:rPr>
        <w:t xml:space="preserve">отделът разполага с едва 15 щатни брайки и </w:t>
      </w:r>
      <w:r w:rsidRPr="00292755">
        <w:rPr>
          <w:rFonts w:ascii="Times New Roman" w:eastAsia="Times New Roman" w:hAnsi="Times New Roman" w:cs="Times New Roman"/>
          <w:sz w:val="24"/>
          <w:szCs w:val="24"/>
          <w:lang w:val="bg-BG"/>
        </w:rPr>
        <w:t>през юли 2021 година беше сформи</w:t>
      </w:r>
      <w:r w:rsidR="00ED22D5">
        <w:rPr>
          <w:rFonts w:ascii="Times New Roman" w:eastAsia="Times New Roman" w:hAnsi="Times New Roman" w:cs="Times New Roman"/>
          <w:sz w:val="24"/>
          <w:szCs w:val="24"/>
          <w:lang w:val="bg-BG"/>
        </w:rPr>
        <w:t>ран екип от областните дирекции -</w:t>
      </w:r>
      <w:r w:rsidRPr="00292755">
        <w:rPr>
          <w:rFonts w:ascii="Times New Roman" w:eastAsia="Times New Roman" w:hAnsi="Times New Roman" w:cs="Times New Roman"/>
          <w:sz w:val="24"/>
          <w:szCs w:val="24"/>
          <w:lang w:val="bg-BG"/>
        </w:rPr>
        <w:t xml:space="preserve"> 240 човека</w:t>
      </w:r>
      <w:r w:rsidR="00ED22D5">
        <w:rPr>
          <w:rFonts w:ascii="Times New Roman" w:eastAsia="Times New Roman" w:hAnsi="Times New Roman" w:cs="Times New Roman"/>
          <w:sz w:val="24"/>
          <w:szCs w:val="24"/>
          <w:lang w:val="bg-BG"/>
        </w:rPr>
        <w:t>, които</w:t>
      </w:r>
      <w:r w:rsidRPr="00292755">
        <w:rPr>
          <w:rFonts w:ascii="Times New Roman" w:eastAsia="Times New Roman" w:hAnsi="Times New Roman" w:cs="Times New Roman"/>
          <w:sz w:val="24"/>
          <w:szCs w:val="24"/>
          <w:lang w:val="bg-BG"/>
        </w:rPr>
        <w:t xml:space="preserve"> бяха командировани</w:t>
      </w:r>
      <w:r w:rsidR="00ED22D5">
        <w:rPr>
          <w:rFonts w:ascii="Times New Roman" w:eastAsia="Times New Roman" w:hAnsi="Times New Roman" w:cs="Times New Roman"/>
          <w:sz w:val="24"/>
          <w:szCs w:val="24"/>
          <w:lang w:val="bg-BG"/>
        </w:rPr>
        <w:t>. О</w:t>
      </w:r>
      <w:r w:rsidRPr="00292755">
        <w:rPr>
          <w:rFonts w:ascii="Times New Roman" w:eastAsia="Times New Roman" w:hAnsi="Times New Roman" w:cs="Times New Roman"/>
          <w:sz w:val="24"/>
          <w:szCs w:val="24"/>
          <w:lang w:val="bg-BG"/>
        </w:rPr>
        <w:t xml:space="preserve">т </w:t>
      </w:r>
      <w:r w:rsidR="00ED22D5">
        <w:rPr>
          <w:rFonts w:ascii="Times New Roman" w:eastAsia="Times New Roman" w:hAnsi="Times New Roman" w:cs="Times New Roman"/>
          <w:sz w:val="24"/>
          <w:szCs w:val="24"/>
          <w:lang w:val="bg-BG"/>
        </w:rPr>
        <w:t xml:space="preserve">месец юли до </w:t>
      </w:r>
      <w:r w:rsidRPr="00292755">
        <w:rPr>
          <w:rFonts w:ascii="Times New Roman" w:eastAsia="Times New Roman" w:hAnsi="Times New Roman" w:cs="Times New Roman"/>
          <w:sz w:val="24"/>
          <w:szCs w:val="24"/>
          <w:lang w:val="bg-BG"/>
        </w:rPr>
        <w:t>началото на месец март 2022 година. Бяха обработени 138 процедури и 460 проекта. В момента тези 240 човека са ангажирани с приемите по заявленията по директни</w:t>
      </w:r>
      <w:r w:rsidR="00ED22D5">
        <w:rPr>
          <w:rFonts w:ascii="Times New Roman" w:eastAsia="Times New Roman" w:hAnsi="Times New Roman" w:cs="Times New Roman"/>
          <w:sz w:val="24"/>
          <w:szCs w:val="24"/>
          <w:lang w:val="bg-BG"/>
        </w:rPr>
        <w:t>те</w:t>
      </w:r>
      <w:r w:rsidRPr="00292755">
        <w:rPr>
          <w:rFonts w:ascii="Times New Roman" w:eastAsia="Times New Roman" w:hAnsi="Times New Roman" w:cs="Times New Roman"/>
          <w:sz w:val="24"/>
          <w:szCs w:val="24"/>
          <w:lang w:val="bg-BG"/>
        </w:rPr>
        <w:t xml:space="preserve"> плащания. Ще се сформира нова комисия, която ще изгледа одобрените от МИГ проекти </w:t>
      </w:r>
      <w:r w:rsidR="00453FE6">
        <w:rPr>
          <w:rFonts w:ascii="Times New Roman" w:eastAsia="Times New Roman" w:hAnsi="Times New Roman" w:cs="Times New Roman"/>
          <w:sz w:val="24"/>
          <w:szCs w:val="24"/>
          <w:lang w:val="bg-BG"/>
        </w:rPr>
        <w:t xml:space="preserve">от </w:t>
      </w:r>
      <w:r w:rsidRPr="00292755">
        <w:rPr>
          <w:rFonts w:ascii="Times New Roman" w:eastAsia="Times New Roman" w:hAnsi="Times New Roman" w:cs="Times New Roman"/>
          <w:sz w:val="24"/>
          <w:szCs w:val="24"/>
          <w:lang w:val="bg-BG"/>
        </w:rPr>
        <w:t>138</w:t>
      </w:r>
      <w:r w:rsidR="00453FE6">
        <w:rPr>
          <w:rFonts w:ascii="Times New Roman" w:eastAsia="Times New Roman" w:hAnsi="Times New Roman" w:cs="Times New Roman"/>
          <w:sz w:val="24"/>
          <w:szCs w:val="24"/>
          <w:lang w:val="bg-BG"/>
        </w:rPr>
        <w:t xml:space="preserve"> те процедури. Предстои</w:t>
      </w:r>
      <w:r w:rsidRPr="00292755">
        <w:rPr>
          <w:rFonts w:ascii="Times New Roman" w:eastAsia="Times New Roman" w:hAnsi="Times New Roman" w:cs="Times New Roman"/>
          <w:sz w:val="24"/>
          <w:szCs w:val="24"/>
          <w:lang w:val="bg-BG"/>
        </w:rPr>
        <w:t xml:space="preserve"> да бъдат обработени 200 проекта, от тези одобрени процедури, които са подавани в периода</w:t>
      </w:r>
      <w:r w:rsidR="00453FE6">
        <w:rPr>
          <w:rFonts w:ascii="Times New Roman" w:eastAsia="Times New Roman" w:hAnsi="Times New Roman" w:cs="Times New Roman"/>
          <w:sz w:val="24"/>
          <w:szCs w:val="24"/>
          <w:lang w:val="bg-BG"/>
        </w:rPr>
        <w:t xml:space="preserve"> 2018 – 2021 година, </w:t>
      </w:r>
      <w:r w:rsidRPr="00292755">
        <w:rPr>
          <w:rFonts w:ascii="Times New Roman" w:eastAsia="Times New Roman" w:hAnsi="Times New Roman" w:cs="Times New Roman"/>
          <w:sz w:val="24"/>
          <w:szCs w:val="24"/>
          <w:lang w:val="bg-BG"/>
        </w:rPr>
        <w:t xml:space="preserve">има </w:t>
      </w:r>
      <w:r w:rsidR="00453FE6">
        <w:rPr>
          <w:rFonts w:ascii="Times New Roman" w:eastAsia="Times New Roman" w:hAnsi="Times New Roman" w:cs="Times New Roman"/>
          <w:sz w:val="24"/>
          <w:szCs w:val="24"/>
          <w:lang w:val="bg-BG"/>
        </w:rPr>
        <w:t xml:space="preserve">и </w:t>
      </w:r>
      <w:r w:rsidRPr="00292755">
        <w:rPr>
          <w:rFonts w:ascii="Times New Roman" w:eastAsia="Times New Roman" w:hAnsi="Times New Roman" w:cs="Times New Roman"/>
          <w:sz w:val="24"/>
          <w:szCs w:val="24"/>
          <w:lang w:val="bg-BG"/>
        </w:rPr>
        <w:t>резервни прое</w:t>
      </w:r>
      <w:r w:rsidR="00453FE6">
        <w:rPr>
          <w:rFonts w:ascii="Times New Roman" w:eastAsia="Times New Roman" w:hAnsi="Times New Roman" w:cs="Times New Roman"/>
          <w:sz w:val="24"/>
          <w:szCs w:val="24"/>
          <w:lang w:val="bg-BG"/>
        </w:rPr>
        <w:t>кти, тъй като</w:t>
      </w:r>
      <w:r w:rsidRPr="00292755">
        <w:rPr>
          <w:rFonts w:ascii="Times New Roman" w:eastAsia="Times New Roman" w:hAnsi="Times New Roman" w:cs="Times New Roman"/>
          <w:sz w:val="24"/>
          <w:szCs w:val="24"/>
          <w:lang w:val="bg-BG"/>
        </w:rPr>
        <w:t xml:space="preserve"> има освободен бюджет. В началото на годината на 160 проекта бе изпратено запитване дали искат да продължат, тоест дали да бъдат оценени от Фонда, 140 върнаха положителен отговор, така че общо около 350 проекта в рамките на две седмици ще бъдат раздадени на екипи от областните дирекции. Процедурите в процес на обработка от екипи</w:t>
      </w:r>
      <w:r w:rsidR="00453FE6">
        <w:rPr>
          <w:rFonts w:ascii="Times New Roman" w:eastAsia="Times New Roman" w:hAnsi="Times New Roman" w:cs="Times New Roman"/>
          <w:sz w:val="24"/>
          <w:szCs w:val="24"/>
          <w:lang w:val="bg-BG"/>
        </w:rPr>
        <w:t>те на</w:t>
      </w:r>
      <w:r w:rsidRPr="00292755">
        <w:rPr>
          <w:rFonts w:ascii="Times New Roman" w:eastAsia="Times New Roman" w:hAnsi="Times New Roman" w:cs="Times New Roman"/>
          <w:sz w:val="24"/>
          <w:szCs w:val="24"/>
          <w:lang w:val="bg-BG"/>
        </w:rPr>
        <w:t xml:space="preserve"> областните дирекции в момента са 97. Същите тези екипи плюс освободенит</w:t>
      </w:r>
      <w:r w:rsidR="00453FE6">
        <w:rPr>
          <w:rFonts w:ascii="Times New Roman" w:eastAsia="Times New Roman" w:hAnsi="Times New Roman" w:cs="Times New Roman"/>
          <w:sz w:val="24"/>
          <w:szCs w:val="24"/>
          <w:lang w:val="bg-BG"/>
        </w:rPr>
        <w:t>е от други задължения</w:t>
      </w:r>
      <w:r w:rsidRPr="00292755">
        <w:rPr>
          <w:rFonts w:ascii="Times New Roman" w:eastAsia="Times New Roman" w:hAnsi="Times New Roman" w:cs="Times New Roman"/>
          <w:sz w:val="24"/>
          <w:szCs w:val="24"/>
          <w:lang w:val="bg-BG"/>
        </w:rPr>
        <w:t>, ще се ангажират ударно да разглеждат проектите и процедурите по подхода „Лидер“ със с</w:t>
      </w:r>
      <w:r w:rsidR="00453FE6">
        <w:rPr>
          <w:rFonts w:ascii="Times New Roman" w:eastAsia="Times New Roman" w:hAnsi="Times New Roman" w:cs="Times New Roman"/>
          <w:sz w:val="24"/>
          <w:szCs w:val="24"/>
          <w:lang w:val="bg-BG"/>
        </w:rPr>
        <w:t xml:space="preserve">рок  септември месец. </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КОСТАДИН КОСТАДИНОВ</w:t>
      </w:r>
      <w:r w:rsidRPr="00292755">
        <w:rPr>
          <w:rFonts w:ascii="Times New Roman" w:eastAsia="Times New Roman" w:hAnsi="Times New Roman" w:cs="Times New Roman"/>
          <w:sz w:val="24"/>
          <w:szCs w:val="24"/>
          <w:lang w:val="bg-BG"/>
        </w:rPr>
        <w:t xml:space="preserve"> отправи пожелание </w:t>
      </w:r>
      <w:r w:rsidR="004E292B" w:rsidRPr="004E292B">
        <w:rPr>
          <w:rFonts w:ascii="Times New Roman" w:eastAsia="Times New Roman" w:hAnsi="Times New Roman" w:cs="Times New Roman"/>
          <w:sz w:val="24"/>
          <w:szCs w:val="24"/>
          <w:lang w:val="bg-BG"/>
        </w:rPr>
        <w:t xml:space="preserve">оценителните комисии </w:t>
      </w:r>
      <w:r w:rsidR="004E292B">
        <w:rPr>
          <w:rFonts w:ascii="Times New Roman" w:eastAsia="Times New Roman" w:hAnsi="Times New Roman" w:cs="Times New Roman"/>
          <w:sz w:val="24"/>
          <w:szCs w:val="24"/>
          <w:lang w:val="bg-BG"/>
        </w:rPr>
        <w:t xml:space="preserve">по подмярка 4.1 </w:t>
      </w:r>
      <w:r w:rsidR="004E292B" w:rsidRPr="004E292B">
        <w:rPr>
          <w:rFonts w:ascii="Times New Roman" w:eastAsia="Times New Roman" w:hAnsi="Times New Roman" w:cs="Times New Roman"/>
          <w:sz w:val="24"/>
          <w:szCs w:val="24"/>
          <w:lang w:val="bg-BG"/>
        </w:rPr>
        <w:t xml:space="preserve">по която тече процес на изпращане на писма да прочетат въпросите и отговорите, които са зададени в процеса на изготвяне на нормативната база </w:t>
      </w:r>
      <w:r w:rsidR="00090B0D">
        <w:rPr>
          <w:rFonts w:ascii="Times New Roman" w:eastAsia="Times New Roman" w:hAnsi="Times New Roman" w:cs="Times New Roman"/>
          <w:sz w:val="24"/>
          <w:szCs w:val="24"/>
          <w:lang w:val="bg-BG"/>
        </w:rPr>
        <w:t>-</w:t>
      </w:r>
      <w:r w:rsidR="00E47476">
        <w:rPr>
          <w:rFonts w:ascii="Times New Roman" w:eastAsia="Times New Roman" w:hAnsi="Times New Roman" w:cs="Times New Roman"/>
          <w:sz w:val="24"/>
          <w:szCs w:val="24"/>
          <w:lang w:val="bg-BG"/>
        </w:rPr>
        <w:t xml:space="preserve"> т.нар. десетдневки. Така</w:t>
      </w:r>
      <w:r w:rsidRPr="00292755">
        <w:rPr>
          <w:rFonts w:ascii="Times New Roman" w:eastAsia="Times New Roman" w:hAnsi="Times New Roman" w:cs="Times New Roman"/>
          <w:sz w:val="24"/>
          <w:szCs w:val="24"/>
          <w:lang w:val="bg-BG"/>
        </w:rPr>
        <w:t xml:space="preserve">  тези писма ще бъдат много по-малко</w:t>
      </w:r>
      <w:r w:rsidR="00E47476">
        <w:rPr>
          <w:rFonts w:ascii="Times New Roman" w:eastAsia="Times New Roman" w:hAnsi="Times New Roman" w:cs="Times New Roman"/>
          <w:sz w:val="24"/>
          <w:szCs w:val="24"/>
          <w:lang w:val="bg-BG"/>
        </w:rPr>
        <w:t xml:space="preserve"> от изпратените 1762</w:t>
      </w:r>
      <w:r w:rsidRPr="00292755">
        <w:rPr>
          <w:rFonts w:ascii="Times New Roman" w:eastAsia="Times New Roman" w:hAnsi="Times New Roman" w:cs="Times New Roman"/>
          <w:sz w:val="24"/>
          <w:szCs w:val="24"/>
          <w:lang w:val="bg-BG"/>
        </w:rPr>
        <w:t>. Има въпроси, които са коментирани десетки пъти, повдигането им отново забавя процеса, а това води до загуба на 80 % от средствата при повишението на цените.</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00E47476">
        <w:rPr>
          <w:rFonts w:ascii="Times New Roman" w:eastAsia="Times New Roman" w:hAnsi="Times New Roman" w:cs="Times New Roman"/>
          <w:sz w:val="24"/>
          <w:szCs w:val="24"/>
          <w:lang w:val="bg-BG"/>
        </w:rPr>
        <w:t xml:space="preserve"> благодари, като уточни, че</w:t>
      </w:r>
      <w:r w:rsidRPr="00292755">
        <w:rPr>
          <w:rFonts w:ascii="Times New Roman" w:eastAsia="Times New Roman" w:hAnsi="Times New Roman" w:cs="Times New Roman"/>
          <w:sz w:val="24"/>
          <w:szCs w:val="24"/>
          <w:lang w:val="bg-BG"/>
        </w:rPr>
        <w:t xml:space="preserve"> </w:t>
      </w:r>
      <w:r w:rsidR="00E47476">
        <w:rPr>
          <w:rFonts w:ascii="Times New Roman" w:eastAsia="Times New Roman" w:hAnsi="Times New Roman" w:cs="Times New Roman"/>
          <w:sz w:val="24"/>
          <w:szCs w:val="24"/>
          <w:lang w:val="bg-BG"/>
        </w:rPr>
        <w:t xml:space="preserve">се </w:t>
      </w:r>
      <w:r w:rsidRPr="00292755">
        <w:rPr>
          <w:rFonts w:ascii="Times New Roman" w:eastAsia="Times New Roman" w:hAnsi="Times New Roman" w:cs="Times New Roman"/>
          <w:sz w:val="24"/>
          <w:szCs w:val="24"/>
          <w:lang w:val="bg-BG"/>
        </w:rPr>
        <w:t>работи се по въпроса, включително и с консултан</w:t>
      </w:r>
      <w:r w:rsidR="00E47476">
        <w:rPr>
          <w:rFonts w:ascii="Times New Roman" w:eastAsia="Times New Roman" w:hAnsi="Times New Roman" w:cs="Times New Roman"/>
          <w:sz w:val="24"/>
          <w:szCs w:val="24"/>
          <w:lang w:val="bg-BG"/>
        </w:rPr>
        <w:t>тските организации и с Фонда,  да се облекчи административната тежест</w:t>
      </w:r>
      <w:r w:rsidRPr="00292755">
        <w:rPr>
          <w:rFonts w:ascii="Times New Roman" w:eastAsia="Times New Roman" w:hAnsi="Times New Roman" w:cs="Times New Roman"/>
          <w:sz w:val="24"/>
          <w:szCs w:val="24"/>
          <w:lang w:val="bg-BG"/>
        </w:rPr>
        <w:t xml:space="preserve"> и да се намали бюрокрацията.</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 xml:space="preserve">Г-Н ГЕОРГИ ГРЪНЧАРОВ </w:t>
      </w:r>
      <w:r w:rsidRPr="00292755">
        <w:rPr>
          <w:rFonts w:ascii="Times New Roman" w:eastAsia="Times New Roman" w:hAnsi="Times New Roman" w:cs="Times New Roman"/>
          <w:sz w:val="24"/>
          <w:szCs w:val="24"/>
          <w:lang w:val="bg-BG"/>
        </w:rPr>
        <w:t xml:space="preserve">уточни, че според него УО няма предложение, което да не е добре обмислено и </w:t>
      </w:r>
      <w:r w:rsidR="00E47476">
        <w:rPr>
          <w:rFonts w:ascii="Times New Roman" w:eastAsia="Times New Roman" w:hAnsi="Times New Roman" w:cs="Times New Roman"/>
          <w:sz w:val="24"/>
          <w:szCs w:val="24"/>
          <w:lang w:val="bg-BG"/>
        </w:rPr>
        <w:t>да не е подходящо. Проблемът е със сроковете.</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r w:rsidRPr="00292755">
        <w:rPr>
          <w:rFonts w:ascii="Times New Roman" w:eastAsia="Times New Roman" w:hAnsi="Times New Roman" w:cs="Times New Roman"/>
          <w:sz w:val="24"/>
          <w:szCs w:val="24"/>
          <w:lang w:val="bg-BG"/>
        </w:rPr>
        <w:t xml:space="preserve">В какви срокове се очаква да бъдат разгледани проектите по 4.1, както и на какъв етап е обработката по 4.2.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 презентациите по подмерки 5.1 и 5.2, които имат пряк ефект върху сектора, който г-н Грънчаров представлява, а именно птицевъдството усвояемостта по 5.1 е доста ниска в сравнение с договорираните проекти. Там има подадени жалби и тези жалби все още към днешна дата не са разгледани и няма окончателно решение. Голяма част от бенефициентите не могат да си отчитат проектите.</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подмярка 5.2 са входирани едва три проекта, мина повече от година и половина от входирането на проектите, кога тези проекти ще бъдат разгледани и съответно уведомени бенефициентите за резултата от тях.</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КЛИМЕНТ ПЕТРОВ</w:t>
      </w:r>
      <w:r w:rsidRPr="00292755">
        <w:rPr>
          <w:rFonts w:ascii="Times New Roman" w:eastAsia="Times New Roman" w:hAnsi="Times New Roman" w:cs="Times New Roman"/>
          <w:sz w:val="24"/>
          <w:szCs w:val="24"/>
          <w:lang w:val="bg-BG"/>
        </w:rPr>
        <w:t xml:space="preserve"> уточни, че отношение на подмярка 4.1 очакванията са до септември месец да се стигне до етап подписване на договор.</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ИВА ИВАНОВА</w:t>
      </w:r>
      <w:r w:rsidRPr="00292755">
        <w:rPr>
          <w:rFonts w:ascii="Times New Roman" w:eastAsia="Times New Roman" w:hAnsi="Times New Roman" w:cs="Times New Roman"/>
          <w:sz w:val="24"/>
          <w:szCs w:val="24"/>
          <w:lang w:val="bg-BG"/>
        </w:rPr>
        <w:t xml:space="preserve"> посочи, че по подмярка 5.1 е имало с среща с г-н Грънчаров и  жалбите са обсъждани. До края на седмицата ще се получат решенията.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отношение на подмярка 5.2 има забавен прием. Подадени са  три проекта, като по единия има казус и в момента тече кореспонденция с БАБХ.  Очаква се отговор от тяхна страна, за да може да се финализира и този прием.</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ЕМИЛ ДЪРЕВ</w:t>
      </w:r>
      <w:r w:rsidRPr="00292755">
        <w:rPr>
          <w:rFonts w:ascii="Times New Roman" w:eastAsia="Times New Roman" w:hAnsi="Times New Roman" w:cs="Times New Roman"/>
          <w:sz w:val="24"/>
          <w:szCs w:val="24"/>
          <w:lang w:val="bg-BG"/>
        </w:rPr>
        <w:t xml:space="preserve"> посочи, че презентациите на ДФ „Земеделие“ са ясни и данните са много притеснителни. Близо 55 % усвояемост и това се дължи основно на площните мерки – 10, 11, 12, 13 и 14.</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Изключително притеснително е, че процентът на усвояване и по двете най-популярни и важни мерки за земеделците е 36,6 %. Платени са 438 милиона лева при бюджет 1 милиард 200 милиона, абсурдна ситуация. Фондът е одобрявал по 20 – 30 проекта по 4.2 на година или по 100 проекта по 4.1 на година.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Абсурдно е Фондът да не си изчисти системната грешка. Единият от големите проблеми е, че трябва два пъти да се вкара информация в ИСУН и ИСАК. Този проблем е от преди 4 години.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Въпросът на г-н Дърев е как ще се оптимизира дейността на Фонда и как в крайна сметка той ще заработи нормално.</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lang w:val="bg-BG"/>
        </w:rPr>
        <w:t xml:space="preserve"> уточни, че с г-</w:t>
      </w:r>
      <w:r w:rsidR="00E47476">
        <w:rPr>
          <w:rFonts w:ascii="Times New Roman" w:eastAsia="Times New Roman" w:hAnsi="Times New Roman" w:cs="Times New Roman"/>
          <w:sz w:val="24"/>
          <w:szCs w:val="24"/>
          <w:lang w:val="bg-BG"/>
        </w:rPr>
        <w:t>н Петров са анализирали  темата</w:t>
      </w:r>
      <w:r w:rsidRPr="00292755">
        <w:rPr>
          <w:rFonts w:ascii="Times New Roman" w:eastAsia="Times New Roman" w:hAnsi="Times New Roman" w:cs="Times New Roman"/>
          <w:sz w:val="24"/>
          <w:szCs w:val="24"/>
          <w:lang w:val="bg-BG"/>
        </w:rPr>
        <w:t xml:space="preserve"> за изчистване на системните грешки и се очаква до средата на юли да се направят изчисления колко човеко часа труд са нужни по различните проекти, зависи от сложността на разглеждането на един проект. Той е оптимист, че във Фонда н</w:t>
      </w:r>
      <w:r w:rsidR="00E47476">
        <w:rPr>
          <w:rFonts w:ascii="Times New Roman" w:eastAsia="Times New Roman" w:hAnsi="Times New Roman" w:cs="Times New Roman"/>
          <w:sz w:val="24"/>
          <w:szCs w:val="24"/>
          <w:lang w:val="bg-BG"/>
        </w:rPr>
        <w:t>ещата ще тръгнат по-добре</w:t>
      </w:r>
      <w:r w:rsidRPr="00292755">
        <w:rPr>
          <w:rFonts w:ascii="Times New Roman" w:eastAsia="Times New Roman" w:hAnsi="Times New Roman" w:cs="Times New Roman"/>
          <w:sz w:val="24"/>
          <w:szCs w:val="24"/>
          <w:lang w:val="bg-BG"/>
        </w:rPr>
        <w:t>.</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КЛИМЕНТ ПЕТРОВ</w:t>
      </w:r>
      <w:r w:rsidR="00E47476">
        <w:rPr>
          <w:rFonts w:ascii="Times New Roman" w:eastAsia="Times New Roman" w:hAnsi="Times New Roman" w:cs="Times New Roman"/>
          <w:sz w:val="24"/>
          <w:szCs w:val="24"/>
          <w:lang w:val="bg-BG"/>
        </w:rPr>
        <w:t xml:space="preserve">  увери, че се полагат всички усилия от ДФЗ</w:t>
      </w:r>
      <w:r w:rsidRPr="00292755">
        <w:rPr>
          <w:rFonts w:ascii="Times New Roman" w:eastAsia="Times New Roman" w:hAnsi="Times New Roman" w:cs="Times New Roman"/>
          <w:sz w:val="24"/>
          <w:szCs w:val="24"/>
          <w:lang w:val="bg-BG"/>
        </w:rPr>
        <w:t xml:space="preserve"> да се оптимизира процеса за набиране, обработка, отваряне на схеми и т.н.,  да се съкрати времето от подаване на проектни предложения до подписване на договор.</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отношение на това, което се случва в последните месеци, инфлация, ръст на горива, промяна на це</w:t>
      </w:r>
      <w:r w:rsidR="00E47476">
        <w:rPr>
          <w:rFonts w:ascii="Times New Roman" w:eastAsia="Times New Roman" w:hAnsi="Times New Roman" w:cs="Times New Roman"/>
          <w:sz w:val="24"/>
          <w:szCs w:val="24"/>
          <w:lang w:val="bg-BG"/>
        </w:rPr>
        <w:t>ни на СМР, на желязо, на машини</w:t>
      </w:r>
      <w:r w:rsidRPr="00292755">
        <w:rPr>
          <w:rFonts w:ascii="Times New Roman" w:eastAsia="Times New Roman" w:hAnsi="Times New Roman" w:cs="Times New Roman"/>
          <w:sz w:val="24"/>
          <w:szCs w:val="24"/>
          <w:lang w:val="bg-BG"/>
        </w:rPr>
        <w:t xml:space="preserve"> ясно е, че това са непредвидими обстоятелства.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ВЛАДИСЛАВ МИХАЙЛОВ</w:t>
      </w:r>
      <w:r w:rsidRPr="00292755">
        <w:rPr>
          <w:rFonts w:ascii="Times New Roman" w:eastAsia="Times New Roman" w:hAnsi="Times New Roman" w:cs="Times New Roman"/>
          <w:sz w:val="24"/>
          <w:szCs w:val="24"/>
          <w:lang w:val="bg-BG"/>
        </w:rPr>
        <w:t xml:space="preserve"> зададе въпрос относно референтните норми. Ако останат само новите референтни норми, но не се предвиди промяна на общия  размер на допустимите разходи</w:t>
      </w:r>
      <w:r w:rsidR="00E47476">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става неприложимо използването на новите референтни норми, защото трябва да се отпишат  някои от инвестициите, за да може да се усвои по-голяма сума по увеличената референтна норма. Става изключително сложно.  Одобрени ли са вече окончателно новите референтни норми. По-важният въпрос е, ще бъде ли </w:t>
      </w:r>
      <w:r w:rsidR="00E47476">
        <w:rPr>
          <w:rFonts w:ascii="Times New Roman" w:eastAsia="Times New Roman" w:hAnsi="Times New Roman" w:cs="Times New Roman"/>
          <w:sz w:val="24"/>
          <w:szCs w:val="24"/>
          <w:lang w:val="bg-BG"/>
        </w:rPr>
        <w:t xml:space="preserve">допустимо за приемите, </w:t>
      </w:r>
      <w:r w:rsidRPr="00292755">
        <w:rPr>
          <w:rFonts w:ascii="Times New Roman" w:eastAsia="Times New Roman" w:hAnsi="Times New Roman" w:cs="Times New Roman"/>
          <w:sz w:val="24"/>
          <w:szCs w:val="24"/>
          <w:lang w:val="bg-BG"/>
        </w:rPr>
        <w:t>по</w:t>
      </w:r>
      <w:r w:rsidR="00E47476">
        <w:rPr>
          <w:rFonts w:ascii="Times New Roman" w:eastAsia="Times New Roman" w:hAnsi="Times New Roman" w:cs="Times New Roman"/>
          <w:sz w:val="24"/>
          <w:szCs w:val="24"/>
          <w:lang w:val="bg-BG"/>
        </w:rPr>
        <w:t xml:space="preserve"> подмерки</w:t>
      </w:r>
      <w:r w:rsidRPr="00292755">
        <w:rPr>
          <w:rFonts w:ascii="Times New Roman" w:eastAsia="Times New Roman" w:hAnsi="Times New Roman" w:cs="Times New Roman"/>
          <w:sz w:val="24"/>
          <w:szCs w:val="24"/>
          <w:lang w:val="bg-BG"/>
        </w:rPr>
        <w:t xml:space="preserve"> 4.2 и по 4.1</w:t>
      </w:r>
      <w:r w:rsidR="00E47476">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които не са подписали договори,  да се променят общите размери по договорите без да се н</w:t>
      </w:r>
      <w:r w:rsidR="00E47476">
        <w:rPr>
          <w:rFonts w:ascii="Times New Roman" w:eastAsia="Times New Roman" w:hAnsi="Times New Roman" w:cs="Times New Roman"/>
          <w:sz w:val="24"/>
          <w:szCs w:val="24"/>
          <w:lang w:val="bg-BG"/>
        </w:rPr>
        <w:t xml:space="preserve">админава допустимия максимум </w:t>
      </w:r>
      <w:r w:rsidRPr="00292755">
        <w:rPr>
          <w:rFonts w:ascii="Times New Roman" w:eastAsia="Times New Roman" w:hAnsi="Times New Roman" w:cs="Times New Roman"/>
          <w:sz w:val="24"/>
          <w:szCs w:val="24"/>
          <w:lang w:val="bg-BG"/>
        </w:rPr>
        <w:t>разх</w:t>
      </w:r>
      <w:r w:rsidR="00E47476">
        <w:rPr>
          <w:rFonts w:ascii="Times New Roman" w:eastAsia="Times New Roman" w:hAnsi="Times New Roman" w:cs="Times New Roman"/>
          <w:sz w:val="24"/>
          <w:szCs w:val="24"/>
          <w:lang w:val="bg-BG"/>
        </w:rPr>
        <w:t>оди</w:t>
      </w:r>
      <w:r w:rsidRPr="00292755">
        <w:rPr>
          <w:rFonts w:ascii="Times New Roman" w:eastAsia="Times New Roman" w:hAnsi="Times New Roman" w:cs="Times New Roman"/>
          <w:sz w:val="24"/>
          <w:szCs w:val="24"/>
          <w:lang w:val="bg-BG"/>
        </w:rPr>
        <w:t>.</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E47476">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ЕЛИЦА ЖИВКОВА</w:t>
      </w:r>
      <w:r w:rsidRPr="00292755">
        <w:rPr>
          <w:rFonts w:ascii="Times New Roman" w:eastAsia="Times New Roman" w:hAnsi="Times New Roman" w:cs="Times New Roman"/>
          <w:sz w:val="24"/>
          <w:szCs w:val="24"/>
          <w:lang w:val="bg-BG"/>
        </w:rPr>
        <w:t xml:space="preserve"> обърна внимание на изоставането в изпълнението на програмата, тема която се коментира на всеки мониторингов комитет. От страна на ЕК също биха желали да разберат</w:t>
      </w:r>
    </w:p>
    <w:p w:rsidR="00451964" w:rsidRPr="00292755" w:rsidRDefault="00451964" w:rsidP="00E47476">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какви мерки смята да предприеме ръководството на Разплащателна аген</w:t>
      </w:r>
      <w:r w:rsidR="00A52706" w:rsidRPr="00292755">
        <w:rPr>
          <w:rFonts w:ascii="Times New Roman" w:eastAsia="Times New Roman" w:hAnsi="Times New Roman" w:cs="Times New Roman"/>
          <w:sz w:val="24"/>
          <w:szCs w:val="24"/>
          <w:lang w:val="bg-BG"/>
        </w:rPr>
        <w:t xml:space="preserve">ция и министерството </w:t>
      </w:r>
      <w:r w:rsidRPr="00292755">
        <w:rPr>
          <w:rFonts w:ascii="Times New Roman" w:eastAsia="Times New Roman" w:hAnsi="Times New Roman" w:cs="Times New Roman"/>
          <w:sz w:val="24"/>
          <w:szCs w:val="24"/>
          <w:lang w:val="bg-BG"/>
        </w:rPr>
        <w:t>като Управляващ орган, за да се компенсира това изоставане. Говори се за отка</w:t>
      </w:r>
      <w:r w:rsidR="00A52706" w:rsidRPr="00292755">
        <w:rPr>
          <w:rFonts w:ascii="Times New Roman" w:eastAsia="Times New Roman" w:hAnsi="Times New Roman" w:cs="Times New Roman"/>
          <w:sz w:val="24"/>
          <w:szCs w:val="24"/>
          <w:lang w:val="bg-BG"/>
        </w:rPr>
        <w:t>зани проекти, поради инфлацията. Не е ясно</w:t>
      </w:r>
      <w:r w:rsidRPr="00292755">
        <w:rPr>
          <w:rFonts w:ascii="Times New Roman" w:eastAsia="Times New Roman" w:hAnsi="Times New Roman" w:cs="Times New Roman"/>
          <w:sz w:val="24"/>
          <w:szCs w:val="24"/>
          <w:lang w:val="bg-BG"/>
        </w:rPr>
        <w:t xml:space="preserve"> колко проекти са отказани и по</w:t>
      </w:r>
      <w:r w:rsidR="00A52706" w:rsidRPr="00292755">
        <w:rPr>
          <w:rFonts w:ascii="Times New Roman" w:eastAsia="Times New Roman" w:hAnsi="Times New Roman" w:cs="Times New Roman"/>
          <w:sz w:val="24"/>
          <w:szCs w:val="24"/>
          <w:lang w:val="bg-BG"/>
        </w:rPr>
        <w:t xml:space="preserve"> кои мерки и дали това </w:t>
      </w:r>
      <w:r w:rsidR="00E47476">
        <w:rPr>
          <w:rFonts w:ascii="Times New Roman" w:eastAsia="Times New Roman" w:hAnsi="Times New Roman" w:cs="Times New Roman"/>
          <w:sz w:val="24"/>
          <w:szCs w:val="24"/>
          <w:lang w:val="bg-BG"/>
        </w:rPr>
        <w:t xml:space="preserve">това би </w:t>
      </w:r>
      <w:r w:rsidRPr="00292755">
        <w:rPr>
          <w:rFonts w:ascii="Times New Roman" w:eastAsia="Times New Roman" w:hAnsi="Times New Roman" w:cs="Times New Roman"/>
          <w:sz w:val="24"/>
          <w:szCs w:val="24"/>
          <w:lang w:val="bg-BG"/>
        </w:rPr>
        <w:t xml:space="preserve"> дове</w:t>
      </w:r>
      <w:r w:rsidR="003C0EEA">
        <w:rPr>
          <w:rFonts w:ascii="Times New Roman" w:eastAsia="Times New Roman" w:hAnsi="Times New Roman" w:cs="Times New Roman"/>
          <w:sz w:val="24"/>
          <w:szCs w:val="24"/>
          <w:lang w:val="bg-BG"/>
        </w:rPr>
        <w:t>ло до риск от автоматично отчисление на средствата</w:t>
      </w:r>
      <w:r w:rsidRPr="00292755">
        <w:rPr>
          <w:rFonts w:ascii="Times New Roman" w:eastAsia="Times New Roman" w:hAnsi="Times New Roman" w:cs="Times New Roman"/>
          <w:sz w:val="24"/>
          <w:szCs w:val="24"/>
          <w:lang w:val="bg-BG"/>
        </w:rPr>
        <w:t xml:space="preserve"> в края на годината.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КЛИМЕНТ ПЕТРОВ</w:t>
      </w:r>
      <w:r w:rsidRPr="00292755">
        <w:rPr>
          <w:rFonts w:ascii="Times New Roman" w:eastAsia="Times New Roman" w:hAnsi="Times New Roman" w:cs="Times New Roman"/>
          <w:sz w:val="24"/>
          <w:szCs w:val="24"/>
          <w:lang w:val="bg-BG"/>
        </w:rPr>
        <w:t xml:space="preserve"> потвърди,  че референтнит</w:t>
      </w:r>
      <w:r w:rsidR="00A52706" w:rsidRPr="00292755">
        <w:rPr>
          <w:rFonts w:ascii="Times New Roman" w:eastAsia="Times New Roman" w:hAnsi="Times New Roman" w:cs="Times New Roman"/>
          <w:sz w:val="24"/>
          <w:szCs w:val="24"/>
          <w:lang w:val="bg-BG"/>
        </w:rPr>
        <w:t xml:space="preserve">е цени са одобрени и са в сила. </w:t>
      </w:r>
      <w:r w:rsidRPr="00292755">
        <w:rPr>
          <w:rFonts w:ascii="Times New Roman" w:eastAsia="Times New Roman" w:hAnsi="Times New Roman" w:cs="Times New Roman"/>
          <w:sz w:val="24"/>
          <w:szCs w:val="24"/>
          <w:lang w:val="bg-BG"/>
        </w:rPr>
        <w:t>По отношение на мярка 6.1 и 6.3 приемът е приключил на 1</w:t>
      </w:r>
      <w:r w:rsidR="00A52706" w:rsidRPr="00292755">
        <w:rPr>
          <w:rFonts w:ascii="Times New Roman" w:eastAsia="Times New Roman" w:hAnsi="Times New Roman" w:cs="Times New Roman"/>
          <w:sz w:val="24"/>
          <w:szCs w:val="24"/>
          <w:lang w:val="bg-BG"/>
        </w:rPr>
        <w:t>5 март 2022 година. Няма  забавяне</w:t>
      </w:r>
      <w:r w:rsidRPr="00292755">
        <w:rPr>
          <w:rFonts w:ascii="Times New Roman" w:eastAsia="Times New Roman" w:hAnsi="Times New Roman" w:cs="Times New Roman"/>
          <w:sz w:val="24"/>
          <w:szCs w:val="24"/>
          <w:lang w:val="bg-BG"/>
        </w:rPr>
        <w:t xml:space="preserve">.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lang w:val="bg-BG"/>
        </w:rPr>
        <w:t xml:space="preserve"> уточни, че за тази година</w:t>
      </w:r>
      <w:r w:rsidR="003C0EEA">
        <w:rPr>
          <w:rFonts w:ascii="Times New Roman" w:eastAsia="Times New Roman" w:hAnsi="Times New Roman" w:cs="Times New Roman"/>
          <w:sz w:val="24"/>
          <w:szCs w:val="24"/>
          <w:lang w:val="bg-BG"/>
        </w:rPr>
        <w:t xml:space="preserve"> не се очаква да има автоматично отчисление на средствата</w:t>
      </w:r>
      <w:r w:rsidRPr="00292755">
        <w:rPr>
          <w:rFonts w:ascii="Times New Roman" w:eastAsia="Times New Roman" w:hAnsi="Times New Roman" w:cs="Times New Roman"/>
          <w:sz w:val="24"/>
          <w:szCs w:val="24"/>
          <w:lang w:val="bg-BG"/>
        </w:rPr>
        <w:t xml:space="preserve">. При най-песимистичните прогнози на ДФЗ средствата, които могат да бъдат загубени са около 36 милиона евро. Мярката, която ще подпомогне земеделските производители във връзка със ситуацията в Украйна, реално </w:t>
      </w:r>
      <w:r w:rsidR="0021021F" w:rsidRPr="00292755">
        <w:rPr>
          <w:rFonts w:ascii="Times New Roman" w:eastAsia="Times New Roman" w:hAnsi="Times New Roman" w:cs="Times New Roman"/>
          <w:sz w:val="24"/>
          <w:szCs w:val="24"/>
          <w:lang w:val="bg-BG"/>
        </w:rPr>
        <w:t xml:space="preserve">ще </w:t>
      </w:r>
      <w:r w:rsidR="00A52706" w:rsidRPr="00292755">
        <w:rPr>
          <w:rFonts w:ascii="Times New Roman" w:eastAsia="Times New Roman" w:hAnsi="Times New Roman" w:cs="Times New Roman"/>
          <w:sz w:val="24"/>
          <w:szCs w:val="24"/>
          <w:lang w:val="bg-BG"/>
        </w:rPr>
        <w:t>предотврати</w:t>
      </w:r>
      <w:r w:rsidRPr="00292755">
        <w:rPr>
          <w:rFonts w:ascii="Times New Roman" w:eastAsia="Times New Roman" w:hAnsi="Times New Roman" w:cs="Times New Roman"/>
          <w:sz w:val="24"/>
          <w:szCs w:val="24"/>
          <w:lang w:val="bg-BG"/>
        </w:rPr>
        <w:t xml:space="preserve"> </w:t>
      </w:r>
      <w:r w:rsidR="0021021F" w:rsidRPr="00292755">
        <w:rPr>
          <w:rFonts w:ascii="Times New Roman" w:eastAsia="Times New Roman" w:hAnsi="Times New Roman" w:cs="Times New Roman"/>
          <w:sz w:val="24"/>
          <w:szCs w:val="24"/>
          <w:lang w:val="bg-BG"/>
        </w:rPr>
        <w:t xml:space="preserve">всякаква </w:t>
      </w:r>
      <w:r w:rsidRPr="00292755">
        <w:rPr>
          <w:rFonts w:ascii="Times New Roman" w:eastAsia="Times New Roman" w:hAnsi="Times New Roman" w:cs="Times New Roman"/>
          <w:sz w:val="24"/>
          <w:szCs w:val="24"/>
          <w:lang w:val="bg-BG"/>
        </w:rPr>
        <w:t>опасност от загуба на средства през настоящата година. Отделно има и други мер</w:t>
      </w:r>
      <w:r w:rsidR="0021021F" w:rsidRPr="00292755">
        <w:rPr>
          <w:rFonts w:ascii="Times New Roman" w:eastAsia="Times New Roman" w:hAnsi="Times New Roman" w:cs="Times New Roman"/>
          <w:sz w:val="24"/>
          <w:szCs w:val="24"/>
          <w:lang w:val="bg-BG"/>
        </w:rPr>
        <w:t>ки, които са разписани в П</w:t>
      </w:r>
      <w:r w:rsidRPr="00292755">
        <w:rPr>
          <w:rFonts w:ascii="Times New Roman" w:eastAsia="Times New Roman" w:hAnsi="Times New Roman" w:cs="Times New Roman"/>
          <w:sz w:val="24"/>
          <w:szCs w:val="24"/>
          <w:lang w:val="bg-BG"/>
        </w:rPr>
        <w:t>лана</w:t>
      </w:r>
      <w:r w:rsidR="0021021F" w:rsidRPr="00292755">
        <w:rPr>
          <w:rFonts w:ascii="Times New Roman" w:eastAsia="Times New Roman" w:hAnsi="Times New Roman" w:cs="Times New Roman"/>
          <w:sz w:val="24"/>
          <w:szCs w:val="24"/>
          <w:lang w:val="bg-BG"/>
        </w:rPr>
        <w:t xml:space="preserve"> за действие</w:t>
      </w:r>
      <w:r w:rsidRPr="00292755">
        <w:rPr>
          <w:rFonts w:ascii="Times New Roman" w:eastAsia="Times New Roman" w:hAnsi="Times New Roman" w:cs="Times New Roman"/>
          <w:sz w:val="24"/>
          <w:szCs w:val="24"/>
          <w:lang w:val="bg-BG"/>
        </w:rPr>
        <w:t xml:space="preserve"> до края на годината</w:t>
      </w:r>
      <w:r w:rsidR="0021021F"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по отношение на средствата които да</w:t>
      </w:r>
      <w:r w:rsidR="0021021F" w:rsidRPr="00292755">
        <w:rPr>
          <w:rFonts w:ascii="Times New Roman" w:eastAsia="Times New Roman" w:hAnsi="Times New Roman" w:cs="Times New Roman"/>
          <w:sz w:val="24"/>
          <w:szCs w:val="24"/>
          <w:lang w:val="bg-BG"/>
        </w:rPr>
        <w:t xml:space="preserve"> бъдат разплатени, за да няма </w:t>
      </w:r>
      <w:r w:rsidRPr="00292755">
        <w:rPr>
          <w:rFonts w:ascii="Times New Roman" w:eastAsia="Times New Roman" w:hAnsi="Times New Roman" w:cs="Times New Roman"/>
          <w:sz w:val="24"/>
          <w:szCs w:val="24"/>
          <w:lang w:val="bg-BG"/>
        </w:rPr>
        <w:t xml:space="preserve"> опасност от </w:t>
      </w:r>
      <w:r w:rsidR="003C0EEA">
        <w:rPr>
          <w:rFonts w:ascii="Times New Roman" w:eastAsia="Times New Roman" w:hAnsi="Times New Roman" w:cs="Times New Roman"/>
          <w:sz w:val="24"/>
          <w:szCs w:val="24"/>
          <w:lang w:val="bg-BG"/>
        </w:rPr>
        <w:t>загуба на средства. Най-голямото</w:t>
      </w:r>
      <w:r w:rsidRPr="00292755">
        <w:rPr>
          <w:rFonts w:ascii="Times New Roman" w:eastAsia="Times New Roman" w:hAnsi="Times New Roman" w:cs="Times New Roman"/>
          <w:sz w:val="24"/>
          <w:szCs w:val="24"/>
          <w:lang w:val="bg-BG"/>
        </w:rPr>
        <w:t xml:space="preserve"> предизвикателство е средствата, които са предвидени за усвояване </w:t>
      </w:r>
      <w:r w:rsidR="0021021F" w:rsidRPr="00292755">
        <w:rPr>
          <w:rFonts w:ascii="Times New Roman" w:eastAsia="Times New Roman" w:hAnsi="Times New Roman" w:cs="Times New Roman"/>
          <w:sz w:val="24"/>
          <w:szCs w:val="24"/>
          <w:lang w:val="bg-BG"/>
        </w:rPr>
        <w:t>през</w:t>
      </w:r>
      <w:r w:rsidRPr="00292755">
        <w:rPr>
          <w:rFonts w:ascii="Times New Roman" w:eastAsia="Times New Roman" w:hAnsi="Times New Roman" w:cs="Times New Roman"/>
          <w:sz w:val="24"/>
          <w:szCs w:val="24"/>
          <w:lang w:val="bg-BG"/>
        </w:rPr>
        <w:t xml:space="preserve"> 2023, 2024 и</w:t>
      </w:r>
      <w:r w:rsidR="0021021F" w:rsidRPr="00292755">
        <w:rPr>
          <w:rFonts w:ascii="Times New Roman" w:eastAsia="Times New Roman" w:hAnsi="Times New Roman" w:cs="Times New Roman"/>
          <w:sz w:val="24"/>
          <w:szCs w:val="24"/>
          <w:lang w:val="bg-BG"/>
        </w:rPr>
        <w:t xml:space="preserve"> 2025 да бъдат договорирани и из</w:t>
      </w:r>
      <w:r w:rsidRPr="00292755">
        <w:rPr>
          <w:rFonts w:ascii="Times New Roman" w:eastAsia="Times New Roman" w:hAnsi="Times New Roman" w:cs="Times New Roman"/>
          <w:sz w:val="24"/>
          <w:szCs w:val="24"/>
          <w:lang w:val="bg-BG"/>
        </w:rPr>
        <w:t xml:space="preserve">платени до </w:t>
      </w:r>
      <w:r w:rsidR="0021021F" w:rsidRPr="00292755">
        <w:rPr>
          <w:rFonts w:ascii="Times New Roman" w:eastAsia="Times New Roman" w:hAnsi="Times New Roman" w:cs="Times New Roman"/>
          <w:sz w:val="24"/>
          <w:szCs w:val="24"/>
          <w:lang w:val="bg-BG"/>
        </w:rPr>
        <w:t xml:space="preserve">края на 2025 г. С тази цел се изготвя </w:t>
      </w:r>
      <w:r w:rsidRPr="00292755">
        <w:rPr>
          <w:rFonts w:ascii="Times New Roman" w:eastAsia="Times New Roman" w:hAnsi="Times New Roman" w:cs="Times New Roman"/>
          <w:sz w:val="24"/>
          <w:szCs w:val="24"/>
          <w:lang w:val="bg-BG"/>
        </w:rPr>
        <w:t xml:space="preserve">съвместно с  ДФЗ </w:t>
      </w:r>
      <w:r w:rsidR="0021021F" w:rsidRPr="00292755">
        <w:rPr>
          <w:rFonts w:ascii="Times New Roman" w:eastAsia="Times New Roman" w:hAnsi="Times New Roman" w:cs="Times New Roman"/>
          <w:sz w:val="24"/>
          <w:szCs w:val="24"/>
          <w:lang w:val="bg-BG"/>
        </w:rPr>
        <w:t xml:space="preserve">анализ и план </w:t>
      </w:r>
      <w:r w:rsidRPr="00292755">
        <w:rPr>
          <w:rFonts w:ascii="Times New Roman" w:eastAsia="Times New Roman" w:hAnsi="Times New Roman" w:cs="Times New Roman"/>
          <w:sz w:val="24"/>
          <w:szCs w:val="24"/>
          <w:lang w:val="bg-BG"/>
        </w:rPr>
        <w:t>за рационалното използване на административния капацитет и облекчаване на административни</w:t>
      </w:r>
      <w:r w:rsidR="0021021F" w:rsidRPr="00292755">
        <w:rPr>
          <w:rFonts w:ascii="Times New Roman" w:eastAsia="Times New Roman" w:hAnsi="Times New Roman" w:cs="Times New Roman"/>
          <w:sz w:val="24"/>
          <w:szCs w:val="24"/>
          <w:lang w:val="bg-BG"/>
        </w:rPr>
        <w:t>те процедури за преодоляване</w:t>
      </w:r>
      <w:r w:rsidR="003C0EEA">
        <w:rPr>
          <w:rFonts w:ascii="Times New Roman" w:eastAsia="Times New Roman" w:hAnsi="Times New Roman" w:cs="Times New Roman"/>
          <w:sz w:val="24"/>
          <w:szCs w:val="24"/>
          <w:lang w:val="bg-BG"/>
        </w:rPr>
        <w:t xml:space="preserve"> натрупването на проекти във Фонда</w:t>
      </w:r>
      <w:r w:rsidRPr="00292755">
        <w:rPr>
          <w:rFonts w:ascii="Times New Roman" w:eastAsia="Times New Roman" w:hAnsi="Times New Roman" w:cs="Times New Roman"/>
          <w:sz w:val="24"/>
          <w:szCs w:val="24"/>
          <w:lang w:val="bg-BG"/>
        </w:rPr>
        <w:t>.</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Предвижда се  в края на септември, началото на октомври </w:t>
      </w:r>
      <w:r w:rsidR="0021021F" w:rsidRPr="00292755">
        <w:rPr>
          <w:rFonts w:ascii="Times New Roman" w:eastAsia="Times New Roman" w:hAnsi="Times New Roman" w:cs="Times New Roman"/>
          <w:sz w:val="24"/>
          <w:szCs w:val="24"/>
          <w:lang w:val="bg-BG"/>
        </w:rPr>
        <w:t>Стратегическият план да бъде</w:t>
      </w:r>
      <w:r w:rsidRPr="00292755">
        <w:rPr>
          <w:rFonts w:ascii="Times New Roman" w:eastAsia="Times New Roman" w:hAnsi="Times New Roman" w:cs="Times New Roman"/>
          <w:sz w:val="24"/>
          <w:szCs w:val="24"/>
          <w:lang w:val="bg-BG"/>
        </w:rPr>
        <w:t xml:space="preserve"> входира</w:t>
      </w:r>
      <w:r w:rsidR="0021021F" w:rsidRPr="00292755">
        <w:rPr>
          <w:rFonts w:ascii="Times New Roman" w:eastAsia="Times New Roman" w:hAnsi="Times New Roman" w:cs="Times New Roman"/>
          <w:sz w:val="24"/>
          <w:szCs w:val="24"/>
          <w:lang w:val="bg-BG"/>
        </w:rPr>
        <w:t>н</w:t>
      </w:r>
      <w:r w:rsidRPr="00292755">
        <w:rPr>
          <w:rFonts w:ascii="Times New Roman" w:eastAsia="Times New Roman" w:hAnsi="Times New Roman" w:cs="Times New Roman"/>
          <w:sz w:val="24"/>
          <w:szCs w:val="24"/>
          <w:lang w:val="bg-BG"/>
        </w:rPr>
        <w:t xml:space="preserve"> и успоредно </w:t>
      </w:r>
      <w:r w:rsidR="0021021F" w:rsidRPr="00292755">
        <w:rPr>
          <w:rFonts w:ascii="Times New Roman" w:eastAsia="Times New Roman" w:hAnsi="Times New Roman" w:cs="Times New Roman"/>
          <w:sz w:val="24"/>
          <w:szCs w:val="24"/>
          <w:lang w:val="bg-BG"/>
        </w:rPr>
        <w:t xml:space="preserve">с това </w:t>
      </w:r>
      <w:r w:rsidRPr="00292755">
        <w:rPr>
          <w:rFonts w:ascii="Times New Roman" w:eastAsia="Times New Roman" w:hAnsi="Times New Roman" w:cs="Times New Roman"/>
          <w:sz w:val="24"/>
          <w:szCs w:val="24"/>
          <w:lang w:val="bg-BG"/>
        </w:rPr>
        <w:t>да се преодолеят системните грешки при разгле</w:t>
      </w:r>
      <w:r w:rsidR="003C0EEA">
        <w:rPr>
          <w:rFonts w:ascii="Times New Roman" w:eastAsia="Times New Roman" w:hAnsi="Times New Roman" w:cs="Times New Roman"/>
          <w:sz w:val="24"/>
          <w:szCs w:val="24"/>
          <w:lang w:val="bg-BG"/>
        </w:rPr>
        <w:t>ждането на проектни предложения.</w:t>
      </w:r>
      <w:r w:rsidR="0021021F" w:rsidRPr="00292755">
        <w:rPr>
          <w:rFonts w:ascii="Times New Roman" w:eastAsia="Times New Roman" w:hAnsi="Times New Roman" w:cs="Times New Roman"/>
          <w:sz w:val="24"/>
          <w:szCs w:val="24"/>
          <w:lang w:val="bg-BG"/>
        </w:rPr>
        <w:t xml:space="preserve"> Н</w:t>
      </w:r>
      <w:r w:rsidRPr="00292755">
        <w:rPr>
          <w:rFonts w:ascii="Times New Roman" w:eastAsia="Times New Roman" w:hAnsi="Times New Roman" w:cs="Times New Roman"/>
          <w:sz w:val="24"/>
          <w:szCs w:val="24"/>
          <w:lang w:val="bg-BG"/>
        </w:rPr>
        <w:t>астоящата п</w:t>
      </w:r>
      <w:r w:rsidR="0021021F" w:rsidRPr="00292755">
        <w:rPr>
          <w:rFonts w:ascii="Times New Roman" w:eastAsia="Times New Roman" w:hAnsi="Times New Roman" w:cs="Times New Roman"/>
          <w:sz w:val="24"/>
          <w:szCs w:val="24"/>
          <w:lang w:val="bg-BG"/>
        </w:rPr>
        <w:t>олитическа ситуация в страната предполага предприемането на краткосрочни приоритети и мерки.</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ЕЛЕНА ИВАНОВА</w:t>
      </w:r>
      <w:r w:rsidRPr="00292755">
        <w:rPr>
          <w:rFonts w:ascii="Times New Roman" w:eastAsia="Times New Roman" w:hAnsi="Times New Roman" w:cs="Times New Roman"/>
          <w:sz w:val="24"/>
          <w:szCs w:val="24"/>
          <w:lang w:val="bg-BG"/>
        </w:rPr>
        <w:t xml:space="preserve"> уточни, че допълнените  900 милиона евро </w:t>
      </w:r>
      <w:r w:rsidR="0021021F" w:rsidRPr="00292755">
        <w:rPr>
          <w:rFonts w:ascii="Times New Roman" w:eastAsia="Times New Roman" w:hAnsi="Times New Roman" w:cs="Times New Roman"/>
          <w:sz w:val="24"/>
          <w:szCs w:val="24"/>
          <w:lang w:val="bg-BG"/>
        </w:rPr>
        <w:t xml:space="preserve">от „Некст дженерейшън“ </w:t>
      </w:r>
      <w:r w:rsidRPr="00292755">
        <w:rPr>
          <w:rFonts w:ascii="Times New Roman" w:eastAsia="Times New Roman" w:hAnsi="Times New Roman" w:cs="Times New Roman"/>
          <w:sz w:val="24"/>
          <w:szCs w:val="24"/>
          <w:lang w:val="bg-BG"/>
        </w:rPr>
        <w:t>към общия бюджет на програмата</w:t>
      </w:r>
      <w:r w:rsidR="0021021F"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които не са договорирани в цялост, изкривяват</w:t>
      </w:r>
      <w:r w:rsidR="003C0EEA">
        <w:rPr>
          <w:rFonts w:ascii="Times New Roman" w:eastAsia="Times New Roman" w:hAnsi="Times New Roman" w:cs="Times New Roman"/>
          <w:sz w:val="24"/>
          <w:szCs w:val="24"/>
          <w:lang w:val="bg-BG"/>
        </w:rPr>
        <w:t xml:space="preserve"> процента на усвояване. При положение</w:t>
      </w:r>
      <w:r w:rsidRPr="00292755">
        <w:rPr>
          <w:rFonts w:ascii="Times New Roman" w:eastAsia="Times New Roman" w:hAnsi="Times New Roman" w:cs="Times New Roman"/>
          <w:sz w:val="24"/>
          <w:szCs w:val="24"/>
          <w:lang w:val="bg-BG"/>
        </w:rPr>
        <w:t xml:space="preserve">, че тези средства не бяха добавени и периодът на изпълнение на програмата не беше удължен с две години, договарянето би било към настоящия момент близо 90 %, а усвояването на средствата 73 %.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lang w:val="bg-BG"/>
        </w:rPr>
        <w:t xml:space="preserve"> представи въпросите на г-н Главчовски, изпратени писмено</w:t>
      </w:r>
      <w:r w:rsidR="00EC7FF1" w:rsidRPr="00292755">
        <w:rPr>
          <w:rFonts w:ascii="Times New Roman" w:eastAsia="Times New Roman" w:hAnsi="Times New Roman" w:cs="Times New Roman"/>
          <w:sz w:val="24"/>
          <w:szCs w:val="24"/>
          <w:lang w:val="bg-BG"/>
        </w:rPr>
        <w:t xml:space="preserve">  преди заседанието на Комитета: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1.Какъв е ефектът от одобрените изменения на ПРСР, тези изменения дали с</w:t>
      </w:r>
      <w:r w:rsidR="003C0EEA">
        <w:rPr>
          <w:rFonts w:ascii="Times New Roman" w:eastAsia="Times New Roman" w:hAnsi="Times New Roman" w:cs="Times New Roman"/>
          <w:sz w:val="24"/>
          <w:szCs w:val="24"/>
          <w:lang w:val="bg-BG"/>
        </w:rPr>
        <w:t>а</w:t>
      </w:r>
      <w:r w:rsidRPr="00292755">
        <w:rPr>
          <w:rFonts w:ascii="Times New Roman" w:eastAsia="Times New Roman" w:hAnsi="Times New Roman" w:cs="Times New Roman"/>
          <w:sz w:val="24"/>
          <w:szCs w:val="24"/>
          <w:lang w:val="bg-BG"/>
        </w:rPr>
        <w:t xml:space="preserve"> изпълнили целта, за коят</w:t>
      </w:r>
      <w:r w:rsidR="003C0EEA">
        <w:rPr>
          <w:rFonts w:ascii="Times New Roman" w:eastAsia="Times New Roman" w:hAnsi="Times New Roman" w:cs="Times New Roman"/>
          <w:sz w:val="24"/>
          <w:szCs w:val="24"/>
          <w:lang w:val="bg-BG"/>
        </w:rPr>
        <w:t>о са били предложени и разрешени</w:t>
      </w:r>
      <w:r w:rsidRPr="00292755">
        <w:rPr>
          <w:rFonts w:ascii="Times New Roman" w:eastAsia="Times New Roman" w:hAnsi="Times New Roman" w:cs="Times New Roman"/>
          <w:sz w:val="24"/>
          <w:szCs w:val="24"/>
          <w:lang w:val="bg-BG"/>
        </w:rPr>
        <w:t xml:space="preserve"> от Европейската комисия?</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2.От 2016 година се очаква изграждането на широколентовия интернет по под</w:t>
      </w:r>
      <w:r w:rsidR="003C0EEA">
        <w:rPr>
          <w:rFonts w:ascii="Times New Roman" w:eastAsia="Times New Roman" w:hAnsi="Times New Roman" w:cs="Times New Roman"/>
          <w:sz w:val="24"/>
          <w:szCs w:val="24"/>
          <w:lang w:val="bg-BG"/>
        </w:rPr>
        <w:t>мярка 7.3, вече сме 2022 година</w:t>
      </w:r>
      <w:r w:rsidRPr="00292755">
        <w:rPr>
          <w:rFonts w:ascii="Times New Roman" w:eastAsia="Times New Roman" w:hAnsi="Times New Roman" w:cs="Times New Roman"/>
          <w:sz w:val="24"/>
          <w:szCs w:val="24"/>
          <w:lang w:val="bg-BG"/>
        </w:rPr>
        <w:t xml:space="preserve"> и все още нямаме одобрен проект</w:t>
      </w:r>
      <w:r w:rsidR="003C0EEA">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каква е причината?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3.Каква е причината „Напоителни системи“ АД да са недопустим кандидат по ЗУСЕСИФ, а да са допустим по Условията за кандидатстване и да са преминали етап административно съответствие за допустимост?</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4.Каква е причината проекти от 2018 година, подмярка 6.4.1 преминали техническа и финансова оценка /ТФО/</w:t>
      </w:r>
      <w:r w:rsidR="003C0EEA">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все още да няма подписани договори?</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5.Какъв е размерът на финансовите средства като остатък, след откази от подписани договори и отказ на бенефициента да подпише договор по вече одобрен проект? Ако може разбивка по подмерки.</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6.По представената справка е видно, че усвояването по мярка 4 „Инвестиции в материални активи“ е около 35 – 36 % за период от шест години, какви действия ще предприеме УО на ПРСР за остатъка от 65 % да се усвои за три години?</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7.На каква стойност са отказаните д</w:t>
      </w:r>
      <w:r w:rsidR="003C0EEA">
        <w:rPr>
          <w:rFonts w:ascii="Times New Roman" w:eastAsia="Times New Roman" w:hAnsi="Times New Roman" w:cs="Times New Roman"/>
          <w:sz w:val="24"/>
          <w:szCs w:val="24"/>
          <w:lang w:val="bg-BG"/>
        </w:rPr>
        <w:t>оговори по ВОМР, т.нар. МИГ-ове?</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8.Каква е причината проектите по ВОМР</w:t>
      </w:r>
      <w:r w:rsidR="003C0EEA">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подадени през 2019 година</w:t>
      </w:r>
      <w:r w:rsidR="003C0EEA">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все още да не са одобрени?</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 xml:space="preserve">Г-ЖА ЕЛЕНА ИВАНОВА, </w:t>
      </w:r>
      <w:r w:rsidRPr="00292755">
        <w:rPr>
          <w:rFonts w:ascii="Times New Roman" w:eastAsia="Times New Roman" w:hAnsi="Times New Roman" w:cs="Times New Roman"/>
          <w:sz w:val="24"/>
          <w:szCs w:val="24"/>
          <w:lang w:val="bg-BG"/>
        </w:rPr>
        <w:t>отговаряйки на първи въпрос посочи, че</w:t>
      </w:r>
      <w:r w:rsidRPr="00292755">
        <w:rPr>
          <w:rFonts w:ascii="Times New Roman" w:eastAsia="Times New Roman" w:hAnsi="Times New Roman" w:cs="Times New Roman"/>
          <w:b/>
          <w:sz w:val="24"/>
          <w:szCs w:val="24"/>
          <w:lang w:val="bg-BG"/>
        </w:rPr>
        <w:t xml:space="preserve"> </w:t>
      </w:r>
      <w:r w:rsidRPr="00292755">
        <w:rPr>
          <w:rFonts w:ascii="Times New Roman" w:eastAsia="Times New Roman" w:hAnsi="Times New Roman" w:cs="Times New Roman"/>
          <w:sz w:val="24"/>
          <w:szCs w:val="24"/>
          <w:lang w:val="bg-BG"/>
        </w:rPr>
        <w:t>макроикономическият</w:t>
      </w:r>
      <w:r w:rsidR="00EC7FF1" w:rsidRPr="00292755">
        <w:rPr>
          <w:rFonts w:ascii="Times New Roman" w:eastAsia="Times New Roman" w:hAnsi="Times New Roman" w:cs="Times New Roman"/>
          <w:sz w:val="24"/>
          <w:szCs w:val="24"/>
          <w:lang w:val="bg-BG"/>
        </w:rPr>
        <w:t xml:space="preserve"> ефект ще бъде измерен и </w:t>
      </w:r>
      <w:r w:rsidRPr="00292755">
        <w:rPr>
          <w:rFonts w:ascii="Times New Roman" w:eastAsia="Times New Roman" w:hAnsi="Times New Roman" w:cs="Times New Roman"/>
          <w:sz w:val="24"/>
          <w:szCs w:val="24"/>
          <w:lang w:val="bg-BG"/>
        </w:rPr>
        <w:t>отчетен с извършването на последващата оценка на програмата или междинните анализи и оценки, които</w:t>
      </w:r>
      <w:r w:rsidR="001E61C2" w:rsidRPr="00292755">
        <w:rPr>
          <w:rFonts w:ascii="Times New Roman" w:eastAsia="Times New Roman" w:hAnsi="Times New Roman" w:cs="Times New Roman"/>
          <w:sz w:val="24"/>
          <w:szCs w:val="24"/>
          <w:lang w:val="bg-BG"/>
        </w:rPr>
        <w:t xml:space="preserve"> се изготвят</w:t>
      </w:r>
      <w:r w:rsidRPr="00292755">
        <w:rPr>
          <w:rFonts w:ascii="Times New Roman" w:eastAsia="Times New Roman" w:hAnsi="Times New Roman" w:cs="Times New Roman"/>
          <w:sz w:val="24"/>
          <w:szCs w:val="24"/>
          <w:lang w:val="bg-BG"/>
        </w:rPr>
        <w:t xml:space="preserve"> и към н</w:t>
      </w:r>
      <w:r w:rsidR="003C0EEA">
        <w:rPr>
          <w:rFonts w:ascii="Times New Roman" w:eastAsia="Times New Roman" w:hAnsi="Times New Roman" w:cs="Times New Roman"/>
          <w:sz w:val="24"/>
          <w:szCs w:val="24"/>
          <w:lang w:val="bg-BG"/>
        </w:rPr>
        <w:t xml:space="preserve">астоящия момент. </w:t>
      </w:r>
      <w:r w:rsidRPr="00292755">
        <w:rPr>
          <w:rFonts w:ascii="Times New Roman" w:eastAsia="Times New Roman" w:hAnsi="Times New Roman" w:cs="Times New Roman"/>
          <w:sz w:val="24"/>
          <w:szCs w:val="24"/>
          <w:lang w:val="bg-BG"/>
        </w:rPr>
        <w:t>Ефектът е ясно видим при измененията на програмата и допълнителното разработване и включване на нови мерки, например М4.3,</w:t>
      </w:r>
      <w:r w:rsidR="001E61C2"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М5,</w:t>
      </w:r>
      <w:r w:rsidR="001E61C2" w:rsidRPr="00292755">
        <w:rPr>
          <w:rFonts w:ascii="Times New Roman" w:eastAsia="Times New Roman" w:hAnsi="Times New Roman" w:cs="Times New Roman"/>
          <w:sz w:val="24"/>
          <w:szCs w:val="24"/>
          <w:lang w:val="bg-BG"/>
        </w:rPr>
        <w:t xml:space="preserve"> М13.3 и мярката за справяне с Ковид кризата - М21, с цел</w:t>
      </w:r>
      <w:r w:rsidR="001E61C2" w:rsidRPr="00292755">
        <w:rPr>
          <w:rFonts w:ascii="Times New Roman" w:hAnsi="Times New Roman" w:cs="Times New Roman"/>
          <w:sz w:val="24"/>
          <w:szCs w:val="24"/>
        </w:rPr>
        <w:t xml:space="preserve"> </w:t>
      </w:r>
      <w:r w:rsidR="001E61C2" w:rsidRPr="00292755">
        <w:rPr>
          <w:rFonts w:ascii="Times New Roman" w:eastAsia="Times New Roman" w:hAnsi="Times New Roman" w:cs="Times New Roman"/>
          <w:sz w:val="24"/>
          <w:szCs w:val="24"/>
          <w:lang w:val="bg-BG"/>
        </w:rPr>
        <w:t xml:space="preserve"> насочване на помощта по най-ефективен начин.</w:t>
      </w:r>
    </w:p>
    <w:p w:rsidR="009305EE" w:rsidRPr="00292755" w:rsidRDefault="009305EE" w:rsidP="00292755">
      <w:pPr>
        <w:spacing w:after="0" w:line="240" w:lineRule="auto"/>
        <w:jc w:val="both"/>
        <w:rPr>
          <w:rFonts w:ascii="Times New Roman" w:eastAsia="Times New Roman" w:hAnsi="Times New Roman" w:cs="Times New Roman"/>
          <w:sz w:val="24"/>
          <w:szCs w:val="24"/>
          <w:lang w:val="bg-BG"/>
        </w:rPr>
      </w:pPr>
    </w:p>
    <w:p w:rsidR="00451964" w:rsidRPr="00292755" w:rsidRDefault="00EC7FF1"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Разпредел</w:t>
      </w:r>
      <w:r w:rsidR="00DF4607" w:rsidRPr="00292755">
        <w:rPr>
          <w:rFonts w:ascii="Times New Roman" w:eastAsia="Times New Roman" w:hAnsi="Times New Roman" w:cs="Times New Roman"/>
          <w:sz w:val="24"/>
          <w:szCs w:val="24"/>
          <w:lang w:val="bg-BG"/>
        </w:rPr>
        <w:t>и се</w:t>
      </w:r>
      <w:r w:rsidRPr="00292755">
        <w:rPr>
          <w:rFonts w:ascii="Times New Roman" w:eastAsia="Times New Roman" w:hAnsi="Times New Roman" w:cs="Times New Roman"/>
          <w:sz w:val="24"/>
          <w:szCs w:val="24"/>
          <w:lang w:val="bg-BG"/>
        </w:rPr>
        <w:t xml:space="preserve"> огромния финансов ресурс</w:t>
      </w:r>
      <w:r w:rsidR="00451964" w:rsidRPr="00292755">
        <w:rPr>
          <w:rFonts w:ascii="Times New Roman" w:eastAsia="Times New Roman" w:hAnsi="Times New Roman" w:cs="Times New Roman"/>
          <w:sz w:val="24"/>
          <w:szCs w:val="24"/>
          <w:lang w:val="bg-BG"/>
        </w:rPr>
        <w:t xml:space="preserve"> в размер на близо 900 милиона евро за преходните 2021 – 2022 година, съответно бяха обявени приеми по част от мерките. По друга част от мерките с тези средства и през настоящата 2022 година ще бъдат обявени приеми.</w:t>
      </w:r>
      <w:r w:rsidR="00451964" w:rsidRPr="00292755">
        <w:rPr>
          <w:rFonts w:ascii="Times New Roman" w:eastAsia="Times New Roman" w:hAnsi="Times New Roman" w:cs="Times New Roman"/>
          <w:sz w:val="24"/>
          <w:szCs w:val="24"/>
        </w:rPr>
        <w:t xml:space="preserve"> </w:t>
      </w:r>
    </w:p>
    <w:p w:rsidR="009305EE" w:rsidRPr="00292755" w:rsidRDefault="009305EE"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 голяма част от изменен</w:t>
      </w:r>
      <w:r w:rsidR="001E61C2" w:rsidRPr="00292755">
        <w:rPr>
          <w:rFonts w:ascii="Times New Roman" w:eastAsia="Times New Roman" w:hAnsi="Times New Roman" w:cs="Times New Roman"/>
          <w:sz w:val="24"/>
          <w:szCs w:val="24"/>
          <w:lang w:val="bg-BG"/>
        </w:rPr>
        <w:t>ията на програмата са прецизирани условията,</w:t>
      </w:r>
      <w:r w:rsidR="00DF4607" w:rsidRPr="00292755">
        <w:rPr>
          <w:rFonts w:ascii="Times New Roman" w:eastAsia="Times New Roman" w:hAnsi="Times New Roman" w:cs="Times New Roman"/>
          <w:sz w:val="24"/>
          <w:szCs w:val="24"/>
          <w:lang w:val="bg-BG"/>
        </w:rPr>
        <w:t xml:space="preserve"> изискванията за допустимост и</w:t>
      </w:r>
      <w:r w:rsidRPr="00292755">
        <w:rPr>
          <w:rFonts w:ascii="Times New Roman" w:eastAsia="Times New Roman" w:hAnsi="Times New Roman" w:cs="Times New Roman"/>
          <w:sz w:val="24"/>
          <w:szCs w:val="24"/>
          <w:lang w:val="bg-BG"/>
        </w:rPr>
        <w:t xml:space="preserve"> изисквания</w:t>
      </w:r>
      <w:r w:rsidR="001E61C2" w:rsidRPr="00292755">
        <w:rPr>
          <w:rFonts w:ascii="Times New Roman" w:eastAsia="Times New Roman" w:hAnsi="Times New Roman" w:cs="Times New Roman"/>
          <w:sz w:val="24"/>
          <w:szCs w:val="24"/>
          <w:lang w:val="bg-BG"/>
        </w:rPr>
        <w:t>та към кандидатите. Адаптира се</w:t>
      </w:r>
      <w:r w:rsidRPr="00292755">
        <w:rPr>
          <w:rFonts w:ascii="Times New Roman" w:eastAsia="Times New Roman" w:hAnsi="Times New Roman" w:cs="Times New Roman"/>
          <w:sz w:val="24"/>
          <w:szCs w:val="24"/>
          <w:lang w:val="bg-BG"/>
        </w:rPr>
        <w:t xml:space="preserve"> продължителността на ангажиментите по мерките свързани с „Агроекология“ и „Биологично земеделие“ именно с цел да се отговори на всяк</w:t>
      </w:r>
      <w:r w:rsidR="003C0EEA">
        <w:rPr>
          <w:rFonts w:ascii="Times New Roman" w:eastAsia="Times New Roman" w:hAnsi="Times New Roman" w:cs="Times New Roman"/>
          <w:sz w:val="24"/>
          <w:szCs w:val="24"/>
          <w:lang w:val="bg-BG"/>
        </w:rPr>
        <w:t xml:space="preserve">о едно от предизвикателствата в </w:t>
      </w:r>
      <w:r w:rsidRPr="00292755">
        <w:rPr>
          <w:rFonts w:ascii="Times New Roman" w:eastAsia="Times New Roman" w:hAnsi="Times New Roman" w:cs="Times New Roman"/>
          <w:sz w:val="24"/>
          <w:szCs w:val="24"/>
          <w:lang w:val="bg-BG"/>
        </w:rPr>
        <w:t xml:space="preserve">сектора като поемане на нови ангажименти, удължаване на стари ангажименти и съответното им прекратяване. </w:t>
      </w:r>
    </w:p>
    <w:p w:rsidR="009305EE" w:rsidRPr="00292755" w:rsidRDefault="009305EE" w:rsidP="00292755">
      <w:pPr>
        <w:spacing w:after="0" w:line="240" w:lineRule="auto"/>
        <w:jc w:val="both"/>
        <w:rPr>
          <w:rFonts w:ascii="Times New Roman" w:eastAsia="Times New Roman" w:hAnsi="Times New Roman" w:cs="Times New Roman"/>
          <w:sz w:val="24"/>
          <w:szCs w:val="24"/>
          <w:lang w:val="bg-BG"/>
        </w:rPr>
      </w:pPr>
    </w:p>
    <w:p w:rsidR="00451964" w:rsidRDefault="001E61C2"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w:t>
      </w:r>
      <w:r w:rsidR="00451964" w:rsidRPr="00292755">
        <w:rPr>
          <w:rFonts w:ascii="Times New Roman" w:eastAsia="Times New Roman" w:hAnsi="Times New Roman" w:cs="Times New Roman"/>
          <w:sz w:val="24"/>
          <w:szCs w:val="24"/>
          <w:lang w:val="bg-BG"/>
        </w:rPr>
        <w:t>рогр</w:t>
      </w:r>
      <w:r w:rsidR="003C0EEA">
        <w:rPr>
          <w:rFonts w:ascii="Times New Roman" w:eastAsia="Times New Roman" w:hAnsi="Times New Roman" w:cs="Times New Roman"/>
          <w:sz w:val="24"/>
          <w:szCs w:val="24"/>
          <w:lang w:val="bg-BG"/>
        </w:rPr>
        <w:t xml:space="preserve">амата се промени и зпо отношение на </w:t>
      </w:r>
      <w:r w:rsidR="00451964" w:rsidRPr="00292755">
        <w:rPr>
          <w:rFonts w:ascii="Times New Roman" w:eastAsia="Times New Roman" w:hAnsi="Times New Roman" w:cs="Times New Roman"/>
          <w:sz w:val="24"/>
          <w:szCs w:val="24"/>
          <w:lang w:val="bg-BG"/>
        </w:rPr>
        <w:t xml:space="preserve"> финансовия инструмент по ПРСР, т.нар. Кредитен фонд</w:t>
      </w:r>
      <w:r w:rsidRPr="00292755">
        <w:rPr>
          <w:rFonts w:ascii="Times New Roman" w:eastAsia="Times New Roman" w:hAnsi="Times New Roman" w:cs="Times New Roman"/>
          <w:sz w:val="24"/>
          <w:szCs w:val="24"/>
          <w:lang w:val="bg-BG"/>
        </w:rPr>
        <w:t>.</w:t>
      </w:r>
    </w:p>
    <w:p w:rsidR="003C0EEA" w:rsidRPr="00292755" w:rsidRDefault="003C0EEA" w:rsidP="00292755">
      <w:pPr>
        <w:spacing w:after="0" w:line="240" w:lineRule="auto"/>
        <w:jc w:val="both"/>
        <w:rPr>
          <w:rFonts w:ascii="Times New Roman" w:eastAsia="Times New Roman" w:hAnsi="Times New Roman" w:cs="Times New Roman"/>
          <w:sz w:val="24"/>
          <w:szCs w:val="24"/>
          <w:lang w:val="bg-BG"/>
        </w:rPr>
      </w:pPr>
    </w:p>
    <w:p w:rsidR="00451964" w:rsidRPr="00292755" w:rsidRDefault="001E61C2"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w:t>
      </w:r>
      <w:r w:rsidR="00451964" w:rsidRPr="00292755">
        <w:rPr>
          <w:rFonts w:ascii="Times New Roman" w:eastAsia="Times New Roman" w:hAnsi="Times New Roman" w:cs="Times New Roman"/>
          <w:sz w:val="24"/>
          <w:szCs w:val="24"/>
          <w:lang w:val="bg-BG"/>
        </w:rPr>
        <w:t>рез 2021 година</w:t>
      </w:r>
      <w:r w:rsidRPr="00292755">
        <w:rPr>
          <w:rFonts w:ascii="Times New Roman" w:eastAsia="Times New Roman" w:hAnsi="Times New Roman" w:cs="Times New Roman"/>
          <w:sz w:val="24"/>
          <w:szCs w:val="24"/>
          <w:lang w:val="bg-BG"/>
        </w:rPr>
        <w:t xml:space="preserve"> се проведе прием </w:t>
      </w:r>
      <w:r w:rsidR="0011327B" w:rsidRPr="00292755">
        <w:rPr>
          <w:rFonts w:ascii="Times New Roman" w:eastAsia="Times New Roman" w:hAnsi="Times New Roman" w:cs="Times New Roman"/>
          <w:sz w:val="24"/>
          <w:szCs w:val="24"/>
          <w:lang w:val="bg-BG"/>
        </w:rPr>
        <w:t>по М7.3</w:t>
      </w:r>
      <w:r w:rsidR="00451964" w:rsidRPr="00292755">
        <w:rPr>
          <w:rFonts w:ascii="Times New Roman" w:eastAsia="Times New Roman" w:hAnsi="Times New Roman" w:cs="Times New Roman"/>
          <w:sz w:val="24"/>
          <w:szCs w:val="24"/>
          <w:lang w:val="bg-BG"/>
        </w:rPr>
        <w:t xml:space="preserve">, като единствения допустим кандидат </w:t>
      </w:r>
      <w:r w:rsidR="0011327B" w:rsidRPr="00292755">
        <w:rPr>
          <w:rFonts w:ascii="Times New Roman" w:eastAsia="Times New Roman" w:hAnsi="Times New Roman" w:cs="Times New Roman"/>
          <w:sz w:val="24"/>
          <w:szCs w:val="24"/>
          <w:lang w:val="bg-BG"/>
        </w:rPr>
        <w:t xml:space="preserve">- </w:t>
      </w:r>
      <w:r w:rsidR="00451964" w:rsidRPr="00292755">
        <w:rPr>
          <w:rFonts w:ascii="Times New Roman" w:eastAsia="Times New Roman" w:hAnsi="Times New Roman" w:cs="Times New Roman"/>
          <w:sz w:val="24"/>
          <w:szCs w:val="24"/>
          <w:lang w:val="bg-BG"/>
        </w:rPr>
        <w:t>Държавна агенция „Електронно управление“ подаде проектно предложени</w:t>
      </w:r>
      <w:r w:rsidR="003C0EEA">
        <w:rPr>
          <w:rFonts w:ascii="Times New Roman" w:eastAsia="Times New Roman" w:hAnsi="Times New Roman" w:cs="Times New Roman"/>
          <w:sz w:val="24"/>
          <w:szCs w:val="24"/>
          <w:lang w:val="bg-BG"/>
        </w:rPr>
        <w:t xml:space="preserve">е на стойност 42 милиона евро. </w:t>
      </w:r>
      <w:r w:rsidR="00451964" w:rsidRPr="00292755">
        <w:rPr>
          <w:rFonts w:ascii="Times New Roman" w:eastAsia="Times New Roman" w:hAnsi="Times New Roman" w:cs="Times New Roman"/>
          <w:sz w:val="24"/>
          <w:szCs w:val="24"/>
          <w:lang w:val="bg-BG"/>
        </w:rPr>
        <w:t>Новосъздаденото Министерство на електронното управление стана правоприемник на Държавна агенция „Електрон</w:t>
      </w:r>
      <w:r w:rsidR="003C0EEA">
        <w:rPr>
          <w:rFonts w:ascii="Times New Roman" w:eastAsia="Times New Roman" w:hAnsi="Times New Roman" w:cs="Times New Roman"/>
          <w:sz w:val="24"/>
          <w:szCs w:val="24"/>
          <w:lang w:val="bg-BG"/>
        </w:rPr>
        <w:t>но управление“, която се закрива</w:t>
      </w:r>
      <w:r w:rsidR="00451964" w:rsidRPr="00292755">
        <w:rPr>
          <w:rFonts w:ascii="Times New Roman" w:eastAsia="Times New Roman" w:hAnsi="Times New Roman" w:cs="Times New Roman"/>
          <w:sz w:val="24"/>
          <w:szCs w:val="24"/>
          <w:lang w:val="bg-BG"/>
        </w:rPr>
        <w:t xml:space="preserve">. В тази връзка в Държавна агенция „Електронно управление“ е създадена ликвидационна комисия, която да уреди всички правоотношения </w:t>
      </w:r>
      <w:r w:rsidR="0011327B" w:rsidRPr="00292755">
        <w:rPr>
          <w:rFonts w:ascii="Times New Roman" w:eastAsia="Times New Roman" w:hAnsi="Times New Roman" w:cs="Times New Roman"/>
          <w:sz w:val="24"/>
          <w:szCs w:val="24"/>
          <w:lang w:val="bg-BG"/>
        </w:rPr>
        <w:t xml:space="preserve">по закриване на агенцията. </w:t>
      </w:r>
      <w:r w:rsidR="003C0EEA">
        <w:rPr>
          <w:rFonts w:ascii="Times New Roman" w:eastAsia="Times New Roman" w:hAnsi="Times New Roman" w:cs="Times New Roman"/>
          <w:sz w:val="24"/>
          <w:szCs w:val="24"/>
          <w:lang w:val="bg-BG"/>
        </w:rPr>
        <w:t>Това закриване</w:t>
      </w:r>
      <w:r w:rsidR="00451964" w:rsidRPr="00292755">
        <w:rPr>
          <w:rFonts w:ascii="Times New Roman" w:eastAsia="Times New Roman" w:hAnsi="Times New Roman" w:cs="Times New Roman"/>
          <w:sz w:val="24"/>
          <w:szCs w:val="24"/>
          <w:lang w:val="bg-BG"/>
        </w:rPr>
        <w:t xml:space="preserve"> поставя в невъзможност изпълнението на про</w:t>
      </w:r>
      <w:r w:rsidR="0011327B" w:rsidRPr="00292755">
        <w:rPr>
          <w:rFonts w:ascii="Times New Roman" w:eastAsia="Times New Roman" w:hAnsi="Times New Roman" w:cs="Times New Roman"/>
          <w:sz w:val="24"/>
          <w:szCs w:val="24"/>
          <w:lang w:val="bg-BG"/>
        </w:rPr>
        <w:t>екта. Юридическият въпрос по отнощение на</w:t>
      </w:r>
      <w:r w:rsidR="00451964" w:rsidRPr="00292755">
        <w:rPr>
          <w:rFonts w:ascii="Times New Roman" w:eastAsia="Times New Roman" w:hAnsi="Times New Roman" w:cs="Times New Roman"/>
          <w:sz w:val="24"/>
          <w:szCs w:val="24"/>
          <w:lang w:val="bg-BG"/>
        </w:rPr>
        <w:t xml:space="preserve"> приемствеността към настоя</w:t>
      </w:r>
      <w:r w:rsidR="0011327B" w:rsidRPr="00292755">
        <w:rPr>
          <w:rFonts w:ascii="Times New Roman" w:eastAsia="Times New Roman" w:hAnsi="Times New Roman" w:cs="Times New Roman"/>
          <w:sz w:val="24"/>
          <w:szCs w:val="24"/>
          <w:lang w:val="bg-BG"/>
        </w:rPr>
        <w:t>щия момент все още не е уреден. П</w:t>
      </w:r>
      <w:r w:rsidR="00451964" w:rsidRPr="00292755">
        <w:rPr>
          <w:rFonts w:ascii="Times New Roman" w:eastAsia="Times New Roman" w:hAnsi="Times New Roman" w:cs="Times New Roman"/>
          <w:sz w:val="24"/>
          <w:szCs w:val="24"/>
          <w:lang w:val="bg-BG"/>
        </w:rPr>
        <w:t>рез месец март 2022 година Държавна агенция „Електронно управление“ или по-скоро ликвидационната комисия изпрати писмо до ДФ „Земеделие“ и до Министерството</w:t>
      </w:r>
      <w:r w:rsidR="00A52706" w:rsidRPr="00292755">
        <w:rPr>
          <w:rFonts w:ascii="Times New Roman" w:eastAsia="Times New Roman" w:hAnsi="Times New Roman" w:cs="Times New Roman"/>
          <w:sz w:val="24"/>
          <w:szCs w:val="24"/>
          <w:lang w:val="bg-BG"/>
        </w:rPr>
        <w:t xml:space="preserve"> на земеделието, с което оттегли</w:t>
      </w:r>
      <w:r w:rsidR="00451964" w:rsidRPr="00292755">
        <w:rPr>
          <w:rFonts w:ascii="Times New Roman" w:eastAsia="Times New Roman" w:hAnsi="Times New Roman" w:cs="Times New Roman"/>
          <w:sz w:val="24"/>
          <w:szCs w:val="24"/>
          <w:lang w:val="bg-BG"/>
        </w:rPr>
        <w:t xml:space="preserve"> прое</w:t>
      </w:r>
      <w:r w:rsidR="00A52706" w:rsidRPr="00292755">
        <w:rPr>
          <w:rFonts w:ascii="Times New Roman" w:eastAsia="Times New Roman" w:hAnsi="Times New Roman" w:cs="Times New Roman"/>
          <w:sz w:val="24"/>
          <w:szCs w:val="24"/>
          <w:lang w:val="bg-BG"/>
        </w:rPr>
        <w:t xml:space="preserve">ктното предложение и се отказа </w:t>
      </w:r>
      <w:r w:rsidR="00451964" w:rsidRPr="00292755">
        <w:rPr>
          <w:rFonts w:ascii="Times New Roman" w:eastAsia="Times New Roman" w:hAnsi="Times New Roman" w:cs="Times New Roman"/>
          <w:sz w:val="24"/>
          <w:szCs w:val="24"/>
          <w:lang w:val="bg-BG"/>
        </w:rPr>
        <w:t>от неговото изпълнение.</w:t>
      </w:r>
    </w:p>
    <w:p w:rsidR="009305EE" w:rsidRPr="00292755" w:rsidRDefault="009305EE" w:rsidP="00292755">
      <w:pPr>
        <w:spacing w:after="0" w:line="240" w:lineRule="auto"/>
        <w:jc w:val="both"/>
        <w:rPr>
          <w:rFonts w:ascii="Times New Roman" w:eastAsia="Times New Roman" w:hAnsi="Times New Roman" w:cs="Times New Roman"/>
          <w:sz w:val="24"/>
          <w:szCs w:val="24"/>
          <w:lang w:val="bg-BG"/>
        </w:rPr>
      </w:pPr>
    </w:p>
    <w:p w:rsidR="00451964" w:rsidRPr="00292755" w:rsidRDefault="00A52706"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Освен това в</w:t>
      </w:r>
      <w:r w:rsidR="00451964" w:rsidRPr="00292755">
        <w:rPr>
          <w:rFonts w:ascii="Times New Roman" w:eastAsia="Times New Roman" w:hAnsi="Times New Roman" w:cs="Times New Roman"/>
          <w:sz w:val="24"/>
          <w:szCs w:val="24"/>
          <w:lang w:val="bg-BG"/>
        </w:rPr>
        <w:t xml:space="preserve"> актуализирания Национален план за възстановяване и устойчивост е посочено, че правоприемникът на Държавна агенция „Електронно управление“,  Министерството на електронното управление съвместно с Министерството на транспорта ще изпълняват проект по изграждане на широколентова инфраструктура, включително и изграждане на пасивна такава и инсталиране на активно оборудване във всички общински центрове, които са оп</w:t>
      </w:r>
      <w:r w:rsidR="0005064B">
        <w:rPr>
          <w:rFonts w:ascii="Times New Roman" w:eastAsia="Times New Roman" w:hAnsi="Times New Roman" w:cs="Times New Roman"/>
          <w:sz w:val="24"/>
          <w:szCs w:val="24"/>
          <w:lang w:val="bg-BG"/>
        </w:rPr>
        <w:t>ределени като бели и сиви зони, които</w:t>
      </w:r>
      <w:r w:rsidR="00451964" w:rsidRPr="00292755">
        <w:rPr>
          <w:rFonts w:ascii="Times New Roman" w:eastAsia="Times New Roman" w:hAnsi="Times New Roman" w:cs="Times New Roman"/>
          <w:sz w:val="24"/>
          <w:szCs w:val="24"/>
          <w:lang w:val="bg-BG"/>
        </w:rPr>
        <w:t xml:space="preserve"> бяха допустими в обхвата на подмярка 7.3, тоест идентичен проект със същия тип дейности ще бъде изпълнен по Плана за възстановяване.</w:t>
      </w:r>
    </w:p>
    <w:p w:rsidR="009305EE" w:rsidRPr="00292755" w:rsidRDefault="009305EE"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Освободеният ресурс в размер на 42 милиона евро със следващо изменение на програмата</w:t>
      </w:r>
      <w:r w:rsidR="00A52706" w:rsidRPr="00292755">
        <w:rPr>
          <w:rFonts w:ascii="Times New Roman" w:eastAsia="Times New Roman" w:hAnsi="Times New Roman" w:cs="Times New Roman"/>
          <w:sz w:val="24"/>
          <w:szCs w:val="24"/>
          <w:lang w:val="bg-BG"/>
        </w:rPr>
        <w:t xml:space="preserve"> ще бъде прехвърлен</w:t>
      </w:r>
      <w:r w:rsidRPr="00292755">
        <w:rPr>
          <w:rFonts w:ascii="Times New Roman" w:eastAsia="Times New Roman" w:hAnsi="Times New Roman" w:cs="Times New Roman"/>
          <w:sz w:val="24"/>
          <w:szCs w:val="24"/>
          <w:lang w:val="bg-BG"/>
        </w:rPr>
        <w:t xml:space="preserve"> </w:t>
      </w:r>
      <w:r w:rsidR="00A52706" w:rsidRPr="00292755">
        <w:rPr>
          <w:rFonts w:ascii="Times New Roman" w:eastAsia="Times New Roman" w:hAnsi="Times New Roman" w:cs="Times New Roman"/>
          <w:sz w:val="24"/>
          <w:szCs w:val="24"/>
          <w:lang w:val="bg-BG"/>
        </w:rPr>
        <w:t>към мерки, по които следва да бъдат постигнати допълнителни цели до края на програмния период.</w:t>
      </w:r>
      <w:r w:rsidR="00DF4607" w:rsidRPr="00292755">
        <w:rPr>
          <w:rFonts w:ascii="Times New Roman" w:eastAsia="Times New Roman" w:hAnsi="Times New Roman" w:cs="Times New Roman"/>
          <w:sz w:val="24"/>
          <w:szCs w:val="24"/>
          <w:lang w:val="bg-BG"/>
        </w:rPr>
        <w:t xml:space="preserve"> </w:t>
      </w:r>
      <w:r w:rsidR="00A52706" w:rsidRPr="00292755">
        <w:rPr>
          <w:rFonts w:ascii="Times New Roman" w:eastAsia="Times New Roman" w:hAnsi="Times New Roman" w:cs="Times New Roman"/>
          <w:sz w:val="24"/>
          <w:szCs w:val="24"/>
          <w:lang w:val="bg-BG"/>
        </w:rPr>
        <w:t xml:space="preserve">Това ще бъде </w:t>
      </w:r>
      <w:r w:rsidRPr="00292755">
        <w:rPr>
          <w:rFonts w:ascii="Times New Roman" w:eastAsia="Times New Roman" w:hAnsi="Times New Roman" w:cs="Times New Roman"/>
          <w:sz w:val="24"/>
          <w:szCs w:val="24"/>
          <w:lang w:val="bg-BG"/>
        </w:rPr>
        <w:t>обсъдено с членовете на Комитета по н</w:t>
      </w:r>
      <w:r w:rsidR="00A52706" w:rsidRPr="00292755">
        <w:rPr>
          <w:rFonts w:ascii="Times New Roman" w:eastAsia="Times New Roman" w:hAnsi="Times New Roman" w:cs="Times New Roman"/>
          <w:sz w:val="24"/>
          <w:szCs w:val="24"/>
          <w:lang w:val="bg-BG"/>
        </w:rPr>
        <w:t xml:space="preserve">аблюдение </w:t>
      </w:r>
      <w:r w:rsidR="00DF4607" w:rsidRPr="00292755">
        <w:rPr>
          <w:rFonts w:ascii="Times New Roman" w:eastAsia="Times New Roman" w:hAnsi="Times New Roman" w:cs="Times New Roman"/>
          <w:sz w:val="24"/>
          <w:szCs w:val="24"/>
          <w:lang w:val="bg-BG"/>
        </w:rPr>
        <w:t xml:space="preserve">и </w:t>
      </w:r>
      <w:r w:rsidR="00A52706" w:rsidRPr="00292755">
        <w:rPr>
          <w:rFonts w:ascii="Times New Roman" w:eastAsia="Times New Roman" w:hAnsi="Times New Roman" w:cs="Times New Roman"/>
          <w:sz w:val="24"/>
          <w:szCs w:val="24"/>
          <w:lang w:val="bg-BG"/>
        </w:rPr>
        <w:t>ще бъде взето решение.</w:t>
      </w:r>
    </w:p>
    <w:p w:rsidR="00A52706" w:rsidRPr="00292755" w:rsidRDefault="00A52706"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ВЛАДИСЛАВ ЦВЕТАНОВ</w:t>
      </w:r>
      <w:r w:rsidRPr="00292755">
        <w:rPr>
          <w:rFonts w:ascii="Times New Roman" w:eastAsia="Times New Roman" w:hAnsi="Times New Roman" w:cs="Times New Roman"/>
          <w:sz w:val="24"/>
          <w:szCs w:val="24"/>
          <w:lang w:val="bg-BG"/>
        </w:rPr>
        <w:t xml:space="preserve"> отговори на третия въпрос</w:t>
      </w:r>
      <w:r w:rsidR="009305EE" w:rsidRPr="00292755">
        <w:rPr>
          <w:rFonts w:ascii="Times New Roman" w:eastAsia="Times New Roman" w:hAnsi="Times New Roman" w:cs="Times New Roman"/>
          <w:sz w:val="24"/>
          <w:szCs w:val="24"/>
          <w:lang w:val="bg-BG"/>
        </w:rPr>
        <w:t xml:space="preserve">а, касаещ </w:t>
      </w:r>
      <w:r w:rsidRPr="00292755">
        <w:rPr>
          <w:rFonts w:ascii="Times New Roman" w:eastAsia="Times New Roman" w:hAnsi="Times New Roman" w:cs="Times New Roman"/>
          <w:sz w:val="24"/>
          <w:szCs w:val="24"/>
          <w:lang w:val="bg-BG"/>
        </w:rPr>
        <w:t xml:space="preserve"> „Напоителни системи“</w:t>
      </w:r>
      <w:r w:rsidR="009305EE" w:rsidRPr="00292755">
        <w:rPr>
          <w:rFonts w:ascii="Times New Roman" w:eastAsia="Times New Roman" w:hAnsi="Times New Roman" w:cs="Times New Roman"/>
          <w:sz w:val="24"/>
          <w:szCs w:val="24"/>
          <w:lang w:val="bg-BG"/>
        </w:rPr>
        <w:t xml:space="preserve">. Въпреки </w:t>
      </w:r>
      <w:r w:rsidRPr="00292755">
        <w:rPr>
          <w:rFonts w:ascii="Times New Roman" w:eastAsia="Times New Roman" w:hAnsi="Times New Roman" w:cs="Times New Roman"/>
          <w:sz w:val="24"/>
          <w:szCs w:val="24"/>
          <w:lang w:val="bg-BG"/>
        </w:rPr>
        <w:t>общ</w:t>
      </w:r>
      <w:r w:rsidR="009305EE" w:rsidRPr="00292755">
        <w:rPr>
          <w:rFonts w:ascii="Times New Roman" w:eastAsia="Times New Roman" w:hAnsi="Times New Roman" w:cs="Times New Roman"/>
          <w:sz w:val="24"/>
          <w:szCs w:val="24"/>
          <w:lang w:val="bg-BG"/>
        </w:rPr>
        <w:t>ия</w:t>
      </w:r>
      <w:r w:rsidRPr="00292755">
        <w:rPr>
          <w:rFonts w:ascii="Times New Roman" w:eastAsia="Times New Roman" w:hAnsi="Times New Roman" w:cs="Times New Roman"/>
          <w:sz w:val="24"/>
          <w:szCs w:val="24"/>
          <w:lang w:val="bg-BG"/>
        </w:rPr>
        <w:t xml:space="preserve"> характер</w:t>
      </w:r>
      <w:r w:rsidR="009305EE" w:rsidRPr="00292755">
        <w:rPr>
          <w:rFonts w:ascii="Times New Roman" w:eastAsia="Times New Roman" w:hAnsi="Times New Roman" w:cs="Times New Roman"/>
          <w:sz w:val="24"/>
          <w:szCs w:val="24"/>
          <w:lang w:val="bg-BG"/>
        </w:rPr>
        <w:t xml:space="preserve"> на въпроса се предполага, </w:t>
      </w:r>
      <w:r w:rsidRPr="00292755">
        <w:rPr>
          <w:rFonts w:ascii="Times New Roman" w:eastAsia="Times New Roman" w:hAnsi="Times New Roman" w:cs="Times New Roman"/>
          <w:sz w:val="24"/>
          <w:szCs w:val="24"/>
          <w:lang w:val="bg-BG"/>
        </w:rPr>
        <w:t>че питането е п</w:t>
      </w:r>
      <w:r w:rsidR="0005064B">
        <w:rPr>
          <w:rFonts w:ascii="Times New Roman" w:eastAsia="Times New Roman" w:hAnsi="Times New Roman" w:cs="Times New Roman"/>
          <w:sz w:val="24"/>
          <w:szCs w:val="24"/>
          <w:lang w:val="bg-BG"/>
        </w:rPr>
        <w:t xml:space="preserve">о отношение на процедура № 10, </w:t>
      </w:r>
      <w:r w:rsidRPr="00292755">
        <w:rPr>
          <w:rFonts w:ascii="Times New Roman" w:eastAsia="Times New Roman" w:hAnsi="Times New Roman" w:cs="Times New Roman"/>
          <w:sz w:val="24"/>
          <w:szCs w:val="24"/>
          <w:lang w:val="bg-BG"/>
        </w:rPr>
        <w:t xml:space="preserve"> където основен бенефициент</w:t>
      </w:r>
      <w:r w:rsidR="0005064B">
        <w:rPr>
          <w:rFonts w:ascii="Times New Roman" w:eastAsia="Times New Roman" w:hAnsi="Times New Roman" w:cs="Times New Roman"/>
          <w:sz w:val="24"/>
          <w:szCs w:val="24"/>
          <w:lang w:val="bg-BG"/>
        </w:rPr>
        <w:t xml:space="preserve"> </w:t>
      </w:r>
      <w:r w:rsidR="009305EE" w:rsidRPr="00292755">
        <w:rPr>
          <w:rFonts w:ascii="Times New Roman" w:eastAsia="Times New Roman" w:hAnsi="Times New Roman" w:cs="Times New Roman"/>
          <w:sz w:val="24"/>
          <w:szCs w:val="24"/>
          <w:lang w:val="bg-BG"/>
        </w:rPr>
        <w:t xml:space="preserve"> бе</w:t>
      </w:r>
      <w:r w:rsidRPr="00292755">
        <w:rPr>
          <w:rFonts w:ascii="Times New Roman" w:eastAsia="Times New Roman" w:hAnsi="Times New Roman" w:cs="Times New Roman"/>
          <w:sz w:val="24"/>
          <w:szCs w:val="24"/>
          <w:lang w:val="bg-BG"/>
        </w:rPr>
        <w:t xml:space="preserve"> „Напоителни системи“.</w:t>
      </w:r>
    </w:p>
    <w:p w:rsidR="00DD5805" w:rsidRPr="00292755" w:rsidRDefault="00DD5805"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Управляващият орган е разработил</w:t>
      </w:r>
      <w:r w:rsidR="009305EE" w:rsidRPr="00292755">
        <w:rPr>
          <w:rFonts w:ascii="Times New Roman" w:hAnsi="Times New Roman" w:cs="Times New Roman"/>
          <w:sz w:val="24"/>
          <w:szCs w:val="24"/>
        </w:rPr>
        <w:t xml:space="preserve"> </w:t>
      </w:r>
      <w:r w:rsidR="00DD5805" w:rsidRPr="00292755">
        <w:rPr>
          <w:rFonts w:ascii="Times New Roman" w:eastAsia="Times New Roman" w:hAnsi="Times New Roman" w:cs="Times New Roman"/>
          <w:sz w:val="24"/>
          <w:szCs w:val="24"/>
          <w:lang w:val="bg-BG"/>
        </w:rPr>
        <w:t>у</w:t>
      </w:r>
      <w:r w:rsidR="009305EE" w:rsidRPr="00292755">
        <w:rPr>
          <w:rFonts w:ascii="Times New Roman" w:eastAsia="Times New Roman" w:hAnsi="Times New Roman" w:cs="Times New Roman"/>
          <w:sz w:val="24"/>
          <w:szCs w:val="24"/>
          <w:lang w:val="bg-BG"/>
        </w:rPr>
        <w:t>словия за кандидатстване,</w:t>
      </w:r>
      <w:r w:rsidR="00DD5805" w:rsidRPr="00292755">
        <w:rPr>
          <w:rFonts w:ascii="Times New Roman" w:eastAsia="Times New Roman" w:hAnsi="Times New Roman" w:cs="Times New Roman"/>
          <w:sz w:val="24"/>
          <w:szCs w:val="24"/>
          <w:lang w:val="bg-BG"/>
        </w:rPr>
        <w:t xml:space="preserve"> условия</w:t>
      </w:r>
      <w:r w:rsidR="009305EE" w:rsidRPr="00292755">
        <w:rPr>
          <w:rFonts w:ascii="Times New Roman" w:eastAsia="Times New Roman" w:hAnsi="Times New Roman" w:cs="Times New Roman"/>
          <w:sz w:val="24"/>
          <w:szCs w:val="24"/>
          <w:lang w:val="bg-BG"/>
        </w:rPr>
        <w:t xml:space="preserve"> за изпълнение и приложенията към тях</w:t>
      </w:r>
      <w:r w:rsidRPr="00292755">
        <w:rPr>
          <w:rFonts w:ascii="Times New Roman" w:eastAsia="Times New Roman" w:hAnsi="Times New Roman" w:cs="Times New Roman"/>
          <w:sz w:val="24"/>
          <w:szCs w:val="24"/>
          <w:lang w:val="bg-BG"/>
        </w:rPr>
        <w:t xml:space="preserve"> в съответствие с у</w:t>
      </w:r>
      <w:r w:rsidR="00DD5805" w:rsidRPr="00292755">
        <w:rPr>
          <w:rFonts w:ascii="Times New Roman" w:eastAsia="Times New Roman" w:hAnsi="Times New Roman" w:cs="Times New Roman"/>
          <w:sz w:val="24"/>
          <w:szCs w:val="24"/>
          <w:lang w:val="bg-BG"/>
        </w:rPr>
        <w:t xml:space="preserve">твърдените правила. Проведени бяха съответните работни групи и </w:t>
      </w:r>
      <w:r w:rsidRPr="00292755">
        <w:rPr>
          <w:rFonts w:ascii="Times New Roman" w:eastAsia="Times New Roman" w:hAnsi="Times New Roman" w:cs="Times New Roman"/>
          <w:sz w:val="24"/>
          <w:szCs w:val="24"/>
          <w:lang w:val="bg-BG"/>
        </w:rPr>
        <w:t>обществено обсъждан</w:t>
      </w:r>
      <w:r w:rsidR="00DD5805" w:rsidRPr="00292755">
        <w:rPr>
          <w:rFonts w:ascii="Times New Roman" w:eastAsia="Times New Roman" w:hAnsi="Times New Roman" w:cs="Times New Roman"/>
          <w:sz w:val="24"/>
          <w:szCs w:val="24"/>
          <w:lang w:val="bg-BG"/>
        </w:rPr>
        <w:t>е на текстовете, след което бе</w:t>
      </w:r>
      <w:r w:rsidRPr="00292755">
        <w:rPr>
          <w:rFonts w:ascii="Times New Roman" w:eastAsia="Times New Roman" w:hAnsi="Times New Roman" w:cs="Times New Roman"/>
          <w:sz w:val="24"/>
          <w:szCs w:val="24"/>
          <w:lang w:val="bg-BG"/>
        </w:rPr>
        <w:t xml:space="preserve"> стартиран период на прием с определени параметри </w:t>
      </w:r>
      <w:r w:rsidR="00DD5805" w:rsidRPr="00292755">
        <w:rPr>
          <w:rFonts w:ascii="Times New Roman" w:eastAsia="Times New Roman" w:hAnsi="Times New Roman" w:cs="Times New Roman"/>
          <w:sz w:val="24"/>
          <w:szCs w:val="24"/>
          <w:lang w:val="bg-BG"/>
        </w:rPr>
        <w:t xml:space="preserve">и документи, </w:t>
      </w:r>
      <w:r w:rsidRPr="00292755">
        <w:rPr>
          <w:rFonts w:ascii="Times New Roman" w:eastAsia="Times New Roman" w:hAnsi="Times New Roman" w:cs="Times New Roman"/>
          <w:sz w:val="24"/>
          <w:szCs w:val="24"/>
          <w:lang w:val="bg-BG"/>
        </w:rPr>
        <w:t>утвърдени от ръ</w:t>
      </w:r>
      <w:r w:rsidR="00DD5805" w:rsidRPr="00292755">
        <w:rPr>
          <w:rFonts w:ascii="Times New Roman" w:eastAsia="Times New Roman" w:hAnsi="Times New Roman" w:cs="Times New Roman"/>
          <w:sz w:val="24"/>
          <w:szCs w:val="24"/>
          <w:lang w:val="bg-BG"/>
        </w:rPr>
        <w:t>ководителя на Управляващия орган. С</w:t>
      </w:r>
      <w:r w:rsidRPr="00292755">
        <w:rPr>
          <w:rFonts w:ascii="Times New Roman" w:eastAsia="Times New Roman" w:hAnsi="Times New Roman" w:cs="Times New Roman"/>
          <w:sz w:val="24"/>
          <w:szCs w:val="24"/>
          <w:lang w:val="bg-BG"/>
        </w:rPr>
        <w:t xml:space="preserve">лед подаването на проектните предложения и приключването на периода на прием оценката се извърши </w:t>
      </w:r>
      <w:r w:rsidR="00DD5805" w:rsidRPr="00292755">
        <w:rPr>
          <w:rFonts w:ascii="Times New Roman" w:eastAsia="Times New Roman" w:hAnsi="Times New Roman" w:cs="Times New Roman"/>
          <w:sz w:val="24"/>
          <w:szCs w:val="24"/>
          <w:lang w:val="bg-BG"/>
        </w:rPr>
        <w:t>в рамките на Управляващия орган. Т</w:t>
      </w:r>
      <w:r w:rsidRPr="00292755">
        <w:rPr>
          <w:rFonts w:ascii="Times New Roman" w:eastAsia="Times New Roman" w:hAnsi="Times New Roman" w:cs="Times New Roman"/>
          <w:sz w:val="24"/>
          <w:szCs w:val="24"/>
          <w:lang w:val="bg-BG"/>
        </w:rPr>
        <w:t>ова е една от мерките, които се прилагат от дирекция „Развитие на селските райони“ в к</w:t>
      </w:r>
      <w:r w:rsidR="00DD5805" w:rsidRPr="00292755">
        <w:rPr>
          <w:rFonts w:ascii="Times New Roman" w:eastAsia="Times New Roman" w:hAnsi="Times New Roman" w:cs="Times New Roman"/>
          <w:sz w:val="24"/>
          <w:szCs w:val="24"/>
          <w:lang w:val="bg-BG"/>
        </w:rPr>
        <w:t xml:space="preserve">ачеството на Управляващ орган. </w:t>
      </w:r>
      <w:r w:rsidRPr="00292755">
        <w:rPr>
          <w:rFonts w:ascii="Times New Roman" w:eastAsia="Times New Roman" w:hAnsi="Times New Roman" w:cs="Times New Roman"/>
          <w:sz w:val="24"/>
          <w:szCs w:val="24"/>
          <w:lang w:val="bg-BG"/>
        </w:rPr>
        <w:t xml:space="preserve">Проектните предложения </w:t>
      </w:r>
      <w:r w:rsidR="00DD5805" w:rsidRPr="00292755">
        <w:rPr>
          <w:rFonts w:ascii="Times New Roman" w:eastAsia="Times New Roman" w:hAnsi="Times New Roman" w:cs="Times New Roman"/>
          <w:sz w:val="24"/>
          <w:szCs w:val="24"/>
          <w:lang w:val="bg-BG"/>
        </w:rPr>
        <w:t>пре</w:t>
      </w:r>
      <w:r w:rsidRPr="00292755">
        <w:rPr>
          <w:rFonts w:ascii="Times New Roman" w:eastAsia="Times New Roman" w:hAnsi="Times New Roman" w:cs="Times New Roman"/>
          <w:sz w:val="24"/>
          <w:szCs w:val="24"/>
          <w:lang w:val="bg-BG"/>
        </w:rPr>
        <w:t>минаха пр</w:t>
      </w:r>
      <w:r w:rsidR="00DD5805" w:rsidRPr="00292755">
        <w:rPr>
          <w:rFonts w:ascii="Times New Roman" w:eastAsia="Times New Roman" w:hAnsi="Times New Roman" w:cs="Times New Roman"/>
          <w:sz w:val="24"/>
          <w:szCs w:val="24"/>
          <w:lang w:val="bg-BG"/>
        </w:rPr>
        <w:t xml:space="preserve">ез съответните етапи, </w:t>
      </w:r>
      <w:r w:rsidRPr="00292755">
        <w:rPr>
          <w:rFonts w:ascii="Times New Roman" w:eastAsia="Times New Roman" w:hAnsi="Times New Roman" w:cs="Times New Roman"/>
          <w:sz w:val="24"/>
          <w:szCs w:val="24"/>
          <w:lang w:val="bg-BG"/>
        </w:rPr>
        <w:t xml:space="preserve">административно съответствие и допустимост и техническа </w:t>
      </w:r>
      <w:r w:rsidR="00DD5805" w:rsidRPr="00292755">
        <w:rPr>
          <w:rFonts w:ascii="Times New Roman" w:eastAsia="Times New Roman" w:hAnsi="Times New Roman" w:cs="Times New Roman"/>
          <w:sz w:val="24"/>
          <w:szCs w:val="24"/>
          <w:lang w:val="bg-BG"/>
        </w:rPr>
        <w:t xml:space="preserve">и финансова оценка, за което бяха </w:t>
      </w:r>
      <w:r w:rsidRPr="00292755">
        <w:rPr>
          <w:rFonts w:ascii="Times New Roman" w:eastAsia="Times New Roman" w:hAnsi="Times New Roman" w:cs="Times New Roman"/>
          <w:sz w:val="24"/>
          <w:szCs w:val="24"/>
          <w:lang w:val="bg-BG"/>
        </w:rPr>
        <w:t xml:space="preserve">съставени съответните документи и междинни доклади. Публикувана </w:t>
      </w:r>
      <w:r w:rsidR="00DD5805" w:rsidRPr="00292755">
        <w:rPr>
          <w:rFonts w:ascii="Times New Roman" w:eastAsia="Times New Roman" w:hAnsi="Times New Roman" w:cs="Times New Roman"/>
          <w:sz w:val="24"/>
          <w:szCs w:val="24"/>
          <w:lang w:val="bg-BG"/>
        </w:rPr>
        <w:t xml:space="preserve">бе и </w:t>
      </w:r>
      <w:r w:rsidRPr="00292755">
        <w:rPr>
          <w:rFonts w:ascii="Times New Roman" w:eastAsia="Times New Roman" w:hAnsi="Times New Roman" w:cs="Times New Roman"/>
          <w:sz w:val="24"/>
          <w:szCs w:val="24"/>
          <w:lang w:val="bg-BG"/>
        </w:rPr>
        <w:t>необходимата информация в съответствие с Условият</w:t>
      </w:r>
      <w:r w:rsidR="00DD5805" w:rsidRPr="00292755">
        <w:rPr>
          <w:rFonts w:ascii="Times New Roman" w:eastAsia="Times New Roman" w:hAnsi="Times New Roman" w:cs="Times New Roman"/>
          <w:sz w:val="24"/>
          <w:szCs w:val="24"/>
          <w:lang w:val="bg-BG"/>
        </w:rPr>
        <w:t xml:space="preserve">а за кандидатстване и </w:t>
      </w:r>
      <w:r w:rsidRPr="00292755">
        <w:rPr>
          <w:rFonts w:ascii="Times New Roman" w:eastAsia="Times New Roman" w:hAnsi="Times New Roman" w:cs="Times New Roman"/>
          <w:sz w:val="24"/>
          <w:szCs w:val="24"/>
          <w:lang w:val="bg-BG"/>
        </w:rPr>
        <w:t>ЗУСЕСИФ.</w:t>
      </w:r>
    </w:p>
    <w:p w:rsidR="00DD5805" w:rsidRPr="00292755" w:rsidRDefault="00DD5805" w:rsidP="00292755">
      <w:pPr>
        <w:spacing w:after="0" w:line="240" w:lineRule="auto"/>
        <w:jc w:val="both"/>
        <w:rPr>
          <w:rFonts w:ascii="Times New Roman" w:eastAsia="Times New Roman" w:hAnsi="Times New Roman" w:cs="Times New Roman"/>
          <w:sz w:val="24"/>
          <w:szCs w:val="24"/>
          <w:lang w:val="bg-BG"/>
        </w:rPr>
      </w:pPr>
    </w:p>
    <w:p w:rsidR="00451964" w:rsidRPr="00292755" w:rsidRDefault="00DD5805"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На финал</w:t>
      </w:r>
      <w:r w:rsidR="00451964" w:rsidRPr="00292755">
        <w:rPr>
          <w:rFonts w:ascii="Times New Roman" w:eastAsia="Times New Roman" w:hAnsi="Times New Roman" w:cs="Times New Roman"/>
          <w:sz w:val="24"/>
          <w:szCs w:val="24"/>
          <w:lang w:val="bg-BG"/>
        </w:rPr>
        <w:t>н</w:t>
      </w:r>
      <w:r w:rsidRPr="00292755">
        <w:rPr>
          <w:rFonts w:ascii="Times New Roman" w:eastAsia="Times New Roman" w:hAnsi="Times New Roman" w:cs="Times New Roman"/>
          <w:sz w:val="24"/>
          <w:szCs w:val="24"/>
          <w:lang w:val="bg-BG"/>
        </w:rPr>
        <w:t>ия етап се извършиха</w:t>
      </w:r>
      <w:r w:rsidR="00451964" w:rsidRPr="00292755">
        <w:rPr>
          <w:rFonts w:ascii="Times New Roman" w:eastAsia="Times New Roman" w:hAnsi="Times New Roman" w:cs="Times New Roman"/>
          <w:sz w:val="24"/>
          <w:szCs w:val="24"/>
          <w:lang w:val="bg-BG"/>
        </w:rPr>
        <w:t xml:space="preserve"> допълнителни проверки, които изрично са разписани в</w:t>
      </w:r>
      <w:r w:rsidR="0005064B">
        <w:rPr>
          <w:rFonts w:ascii="Times New Roman" w:eastAsia="Times New Roman" w:hAnsi="Times New Roman" w:cs="Times New Roman"/>
          <w:sz w:val="24"/>
          <w:szCs w:val="24"/>
          <w:lang w:val="bg-BG"/>
        </w:rPr>
        <w:t xml:space="preserve"> Насоките за кандидатстване и</w:t>
      </w:r>
      <w:r w:rsidR="00451964" w:rsidRPr="00292755">
        <w:rPr>
          <w:rFonts w:ascii="Times New Roman" w:eastAsia="Times New Roman" w:hAnsi="Times New Roman" w:cs="Times New Roman"/>
          <w:sz w:val="24"/>
          <w:szCs w:val="24"/>
          <w:lang w:val="bg-BG"/>
        </w:rPr>
        <w:t xml:space="preserve"> са свързани с обстоятелството дали съответния бенефициент отговаря на изискванията за бенефициент</w:t>
      </w:r>
      <w:r w:rsidRPr="00292755">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Това е процедура, която се прилага</w:t>
      </w:r>
      <w:r w:rsidR="00451964" w:rsidRPr="00292755">
        <w:rPr>
          <w:rFonts w:ascii="Times New Roman" w:eastAsia="Times New Roman" w:hAnsi="Times New Roman" w:cs="Times New Roman"/>
          <w:sz w:val="24"/>
          <w:szCs w:val="24"/>
          <w:lang w:val="bg-BG"/>
        </w:rPr>
        <w:t xml:space="preserve"> по отношение на всички инвес</w:t>
      </w:r>
      <w:r w:rsidRPr="00292755">
        <w:rPr>
          <w:rFonts w:ascii="Times New Roman" w:eastAsia="Times New Roman" w:hAnsi="Times New Roman" w:cs="Times New Roman"/>
          <w:sz w:val="24"/>
          <w:szCs w:val="24"/>
          <w:lang w:val="bg-BG"/>
        </w:rPr>
        <w:t xml:space="preserve">тиционни мерки, </w:t>
      </w:r>
      <w:r w:rsidR="00451964" w:rsidRPr="00292755">
        <w:rPr>
          <w:rFonts w:ascii="Times New Roman" w:eastAsia="Times New Roman" w:hAnsi="Times New Roman" w:cs="Times New Roman"/>
          <w:sz w:val="24"/>
          <w:szCs w:val="24"/>
          <w:lang w:val="bg-BG"/>
        </w:rPr>
        <w:t>включително</w:t>
      </w:r>
      <w:r w:rsidRPr="00292755">
        <w:rPr>
          <w:rFonts w:ascii="Times New Roman" w:eastAsia="Times New Roman" w:hAnsi="Times New Roman" w:cs="Times New Roman"/>
          <w:sz w:val="24"/>
          <w:szCs w:val="24"/>
          <w:lang w:val="bg-BG"/>
        </w:rPr>
        <w:t xml:space="preserve"> и</w:t>
      </w:r>
      <w:r w:rsidR="00451964" w:rsidRPr="00292755">
        <w:rPr>
          <w:rFonts w:ascii="Times New Roman" w:eastAsia="Times New Roman" w:hAnsi="Times New Roman" w:cs="Times New Roman"/>
          <w:sz w:val="24"/>
          <w:szCs w:val="24"/>
          <w:lang w:val="bg-BG"/>
        </w:rPr>
        <w:t xml:space="preserve"> тези, които се прилагат от </w:t>
      </w:r>
      <w:r w:rsidRPr="00292755">
        <w:rPr>
          <w:rFonts w:ascii="Times New Roman" w:eastAsia="Times New Roman" w:hAnsi="Times New Roman" w:cs="Times New Roman"/>
          <w:sz w:val="24"/>
          <w:szCs w:val="24"/>
          <w:lang w:val="bg-BG"/>
        </w:rPr>
        <w:t>страна на ДФ „Земеделие“. И</w:t>
      </w:r>
      <w:r w:rsidR="00451964" w:rsidRPr="00292755">
        <w:rPr>
          <w:rFonts w:ascii="Times New Roman" w:eastAsia="Times New Roman" w:hAnsi="Times New Roman" w:cs="Times New Roman"/>
          <w:sz w:val="24"/>
          <w:szCs w:val="24"/>
          <w:lang w:val="bg-BG"/>
        </w:rPr>
        <w:t>зискват се допълнителни документи по отношение удостоверяв</w:t>
      </w:r>
      <w:r w:rsidRPr="00292755">
        <w:rPr>
          <w:rFonts w:ascii="Times New Roman" w:eastAsia="Times New Roman" w:hAnsi="Times New Roman" w:cs="Times New Roman"/>
          <w:sz w:val="24"/>
          <w:szCs w:val="24"/>
          <w:lang w:val="bg-BG"/>
        </w:rPr>
        <w:t>ане съответствието на бенефициента с правилата</w:t>
      </w:r>
      <w:r w:rsidR="00451964" w:rsidRPr="00292755">
        <w:rPr>
          <w:rFonts w:ascii="Times New Roman" w:eastAsia="Times New Roman" w:hAnsi="Times New Roman" w:cs="Times New Roman"/>
          <w:sz w:val="24"/>
          <w:szCs w:val="24"/>
          <w:lang w:val="bg-BG"/>
        </w:rPr>
        <w:t xml:space="preserve"> преди сключване на административен договор. За част от обстоятелствата се извършват и</w:t>
      </w:r>
      <w:r w:rsidRPr="00292755">
        <w:rPr>
          <w:rFonts w:ascii="Times New Roman" w:eastAsia="Times New Roman" w:hAnsi="Times New Roman" w:cs="Times New Roman"/>
          <w:sz w:val="24"/>
          <w:szCs w:val="24"/>
          <w:lang w:val="bg-BG"/>
        </w:rPr>
        <w:t xml:space="preserve"> служебни проверки, за които са </w:t>
      </w:r>
      <w:r w:rsidR="00451964" w:rsidRPr="00292755">
        <w:rPr>
          <w:rFonts w:ascii="Times New Roman" w:eastAsia="Times New Roman" w:hAnsi="Times New Roman" w:cs="Times New Roman"/>
          <w:sz w:val="24"/>
          <w:szCs w:val="24"/>
          <w:lang w:val="bg-BG"/>
        </w:rPr>
        <w:t>оторизирани както УО така и Разплащателна агенция в зависимост от мерките, които прилагат двете институции.</w:t>
      </w:r>
    </w:p>
    <w:p w:rsidR="00DD5805" w:rsidRPr="00292755" w:rsidRDefault="00DD5805" w:rsidP="00292755">
      <w:pPr>
        <w:spacing w:after="0" w:line="240" w:lineRule="auto"/>
        <w:jc w:val="both"/>
        <w:rPr>
          <w:rFonts w:ascii="Times New Roman" w:eastAsia="Times New Roman" w:hAnsi="Times New Roman" w:cs="Times New Roman"/>
          <w:sz w:val="24"/>
          <w:szCs w:val="24"/>
          <w:lang w:val="bg-BG"/>
        </w:rPr>
      </w:pPr>
    </w:p>
    <w:p w:rsidR="00451964" w:rsidRPr="00292755" w:rsidRDefault="00DD5805"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Н</w:t>
      </w:r>
      <w:r w:rsidR="00451964" w:rsidRPr="00292755">
        <w:rPr>
          <w:rFonts w:ascii="Times New Roman" w:eastAsia="Times New Roman" w:hAnsi="Times New Roman" w:cs="Times New Roman"/>
          <w:sz w:val="24"/>
          <w:szCs w:val="24"/>
          <w:lang w:val="bg-BG"/>
        </w:rPr>
        <w:t xml:space="preserve">а тази финална фаза </w:t>
      </w:r>
      <w:r w:rsidRPr="00292755">
        <w:rPr>
          <w:rFonts w:ascii="Times New Roman" w:eastAsia="Times New Roman" w:hAnsi="Times New Roman" w:cs="Times New Roman"/>
          <w:sz w:val="24"/>
          <w:szCs w:val="24"/>
          <w:lang w:val="bg-BG"/>
        </w:rPr>
        <w:t>се установи</w:t>
      </w:r>
      <w:r w:rsidR="00451964" w:rsidRPr="00292755">
        <w:rPr>
          <w:rFonts w:ascii="Times New Roman" w:eastAsia="Times New Roman" w:hAnsi="Times New Roman" w:cs="Times New Roman"/>
          <w:sz w:val="24"/>
          <w:szCs w:val="24"/>
          <w:lang w:val="bg-BG"/>
        </w:rPr>
        <w:t xml:space="preserve">, че има несъответствие с </w:t>
      </w:r>
      <w:r w:rsidRPr="00292755">
        <w:rPr>
          <w:rFonts w:ascii="Times New Roman" w:eastAsia="Times New Roman" w:hAnsi="Times New Roman" w:cs="Times New Roman"/>
          <w:sz w:val="24"/>
          <w:szCs w:val="24"/>
          <w:lang w:val="bg-BG"/>
        </w:rPr>
        <w:t>изискванията за бенефициент и бяха</w:t>
      </w:r>
      <w:r w:rsidR="00451964" w:rsidRPr="00292755">
        <w:rPr>
          <w:rFonts w:ascii="Times New Roman" w:eastAsia="Times New Roman" w:hAnsi="Times New Roman" w:cs="Times New Roman"/>
          <w:sz w:val="24"/>
          <w:szCs w:val="24"/>
          <w:lang w:val="bg-BG"/>
        </w:rPr>
        <w:t xml:space="preserve"> постановени откази за сключване на административни договори по подадените проектни предложения.</w:t>
      </w:r>
    </w:p>
    <w:p w:rsidR="00DD5805" w:rsidRPr="00292755" w:rsidRDefault="00DD5805" w:rsidP="00292755">
      <w:pPr>
        <w:spacing w:after="0" w:line="240" w:lineRule="auto"/>
        <w:jc w:val="both"/>
        <w:rPr>
          <w:rFonts w:ascii="Times New Roman" w:eastAsia="Times New Roman" w:hAnsi="Times New Roman" w:cs="Times New Roman"/>
          <w:sz w:val="24"/>
          <w:szCs w:val="24"/>
          <w:lang w:val="bg-BG"/>
        </w:rPr>
      </w:pPr>
    </w:p>
    <w:p w:rsidR="00451964" w:rsidRPr="00292755" w:rsidRDefault="00DD5805"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w:t>
      </w:r>
      <w:r w:rsidR="00451964" w:rsidRPr="00292755">
        <w:rPr>
          <w:rFonts w:ascii="Times New Roman" w:eastAsia="Times New Roman" w:hAnsi="Times New Roman" w:cs="Times New Roman"/>
          <w:sz w:val="24"/>
          <w:szCs w:val="24"/>
          <w:lang w:val="bg-BG"/>
        </w:rPr>
        <w:t>последствие Управляващият орган за много кратък период от време разработи нова процедура № 16, която в момента е активна в електронната система ИСУН 2020 и могат да се подават проектни предложения за инвестиции в инфраструктура от страна на „Напоителни системи“.</w:t>
      </w:r>
    </w:p>
    <w:p w:rsidR="00DD5805" w:rsidRPr="00292755" w:rsidRDefault="00DD5805" w:rsidP="00292755">
      <w:pPr>
        <w:spacing w:after="0" w:line="240" w:lineRule="auto"/>
        <w:jc w:val="both"/>
        <w:rPr>
          <w:rFonts w:ascii="Times New Roman" w:eastAsia="Times New Roman" w:hAnsi="Times New Roman" w:cs="Times New Roman"/>
          <w:sz w:val="24"/>
          <w:szCs w:val="24"/>
          <w:lang w:val="bg-BG"/>
        </w:rPr>
      </w:pPr>
    </w:p>
    <w:p w:rsidR="00451964" w:rsidRPr="00292755" w:rsidRDefault="00DD5805"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Г-</w:t>
      </w:r>
      <w:r w:rsidR="0005064B">
        <w:rPr>
          <w:rFonts w:ascii="Times New Roman" w:eastAsia="Times New Roman" w:hAnsi="Times New Roman" w:cs="Times New Roman"/>
          <w:sz w:val="24"/>
          <w:szCs w:val="24"/>
          <w:lang w:val="bg-BG"/>
        </w:rPr>
        <w:t>н</w:t>
      </w:r>
      <w:r w:rsidRPr="00292755">
        <w:rPr>
          <w:rFonts w:ascii="Times New Roman" w:eastAsia="Times New Roman" w:hAnsi="Times New Roman" w:cs="Times New Roman"/>
          <w:sz w:val="24"/>
          <w:szCs w:val="24"/>
          <w:lang w:val="bg-BG"/>
        </w:rPr>
        <w:t xml:space="preserve"> Цветанов продължи с отговора на в</w:t>
      </w:r>
      <w:r w:rsidR="00451964" w:rsidRPr="00292755">
        <w:rPr>
          <w:rFonts w:ascii="Times New Roman" w:eastAsia="Times New Roman" w:hAnsi="Times New Roman" w:cs="Times New Roman"/>
          <w:sz w:val="24"/>
          <w:szCs w:val="24"/>
          <w:lang w:val="bg-BG"/>
        </w:rPr>
        <w:t>ъпрос № 6</w:t>
      </w:r>
      <w:r w:rsidR="006F0C9C" w:rsidRPr="00292755">
        <w:rPr>
          <w:rFonts w:ascii="Times New Roman" w:eastAsia="Times New Roman" w:hAnsi="Times New Roman" w:cs="Times New Roman"/>
          <w:sz w:val="24"/>
          <w:szCs w:val="24"/>
          <w:lang w:val="bg-BG"/>
        </w:rPr>
        <w:t>, който</w:t>
      </w:r>
      <w:r w:rsidR="00451964" w:rsidRPr="00292755">
        <w:rPr>
          <w:rFonts w:ascii="Times New Roman" w:eastAsia="Times New Roman" w:hAnsi="Times New Roman" w:cs="Times New Roman"/>
          <w:sz w:val="24"/>
          <w:szCs w:val="24"/>
          <w:lang w:val="bg-BG"/>
        </w:rPr>
        <w:t xml:space="preserve"> е адресиран в ч</w:t>
      </w:r>
      <w:r w:rsidR="006F0C9C" w:rsidRPr="00292755">
        <w:rPr>
          <w:rFonts w:ascii="Times New Roman" w:eastAsia="Times New Roman" w:hAnsi="Times New Roman" w:cs="Times New Roman"/>
          <w:sz w:val="24"/>
          <w:szCs w:val="24"/>
          <w:lang w:val="bg-BG"/>
        </w:rPr>
        <w:t>астност към мярка 4. В рамките на мярка 4 бе</w:t>
      </w:r>
      <w:r w:rsidR="00451964" w:rsidRPr="00292755">
        <w:rPr>
          <w:rFonts w:ascii="Times New Roman" w:eastAsia="Times New Roman" w:hAnsi="Times New Roman" w:cs="Times New Roman"/>
          <w:sz w:val="24"/>
          <w:szCs w:val="24"/>
          <w:lang w:val="bg-BG"/>
        </w:rPr>
        <w:t xml:space="preserve"> генериран допълнителен финансов ресурс в</w:t>
      </w:r>
      <w:r w:rsidR="006F0C9C" w:rsidRPr="00292755">
        <w:rPr>
          <w:rFonts w:ascii="Times New Roman" w:eastAsia="Times New Roman" w:hAnsi="Times New Roman" w:cs="Times New Roman"/>
          <w:sz w:val="24"/>
          <w:szCs w:val="24"/>
          <w:lang w:val="bg-BG"/>
        </w:rPr>
        <w:t xml:space="preserve">ъв връзка с преходния регламент, от малко над 415 милиона евро, които  бяха насочени към приеми  по подмярка 4.1 и подмярка 4.2. </w:t>
      </w:r>
      <w:r w:rsidR="00451964" w:rsidRPr="00292755">
        <w:rPr>
          <w:rFonts w:ascii="Times New Roman" w:eastAsia="Times New Roman" w:hAnsi="Times New Roman" w:cs="Times New Roman"/>
          <w:sz w:val="24"/>
          <w:szCs w:val="24"/>
          <w:lang w:val="bg-BG"/>
        </w:rPr>
        <w:t xml:space="preserve"> Управляващият орг</w:t>
      </w:r>
      <w:r w:rsidR="0005064B">
        <w:rPr>
          <w:rFonts w:ascii="Times New Roman" w:eastAsia="Times New Roman" w:hAnsi="Times New Roman" w:cs="Times New Roman"/>
          <w:sz w:val="24"/>
          <w:szCs w:val="24"/>
          <w:lang w:val="bg-BG"/>
        </w:rPr>
        <w:t>ан още в рамките на 2021 година,</w:t>
      </w:r>
      <w:r w:rsidR="00451964" w:rsidRPr="00292755">
        <w:rPr>
          <w:rFonts w:ascii="Times New Roman" w:eastAsia="Times New Roman" w:hAnsi="Times New Roman" w:cs="Times New Roman"/>
          <w:sz w:val="24"/>
          <w:szCs w:val="24"/>
          <w:lang w:val="bg-BG"/>
        </w:rPr>
        <w:t xml:space="preserve"> след приемането в края на 2020 година на преходното законодателство, изключително в кратки срокове проведе многобройни работни групи по отношение на подмярка 4.1 и подмярка 4.2. Създадоха се Насоки за кандидатс</w:t>
      </w:r>
      <w:r w:rsidR="006F0C9C" w:rsidRPr="00292755">
        <w:rPr>
          <w:rFonts w:ascii="Times New Roman" w:eastAsia="Times New Roman" w:hAnsi="Times New Roman" w:cs="Times New Roman"/>
          <w:sz w:val="24"/>
          <w:szCs w:val="24"/>
          <w:lang w:val="bg-BG"/>
        </w:rPr>
        <w:t xml:space="preserve">тване. Отвориха се </w:t>
      </w:r>
      <w:r w:rsidR="00451964" w:rsidRPr="00292755">
        <w:rPr>
          <w:rFonts w:ascii="Times New Roman" w:eastAsia="Times New Roman" w:hAnsi="Times New Roman" w:cs="Times New Roman"/>
          <w:sz w:val="24"/>
          <w:szCs w:val="24"/>
          <w:lang w:val="bg-BG"/>
        </w:rPr>
        <w:t>прием</w:t>
      </w:r>
      <w:r w:rsidR="006F0C9C" w:rsidRPr="00292755">
        <w:rPr>
          <w:rFonts w:ascii="Times New Roman" w:eastAsia="Times New Roman" w:hAnsi="Times New Roman" w:cs="Times New Roman"/>
          <w:sz w:val="24"/>
          <w:szCs w:val="24"/>
          <w:lang w:val="bg-BG"/>
        </w:rPr>
        <w:t>и, в рамките на които реално бе</w:t>
      </w:r>
      <w:r w:rsidR="00451964" w:rsidRPr="00292755">
        <w:rPr>
          <w:rFonts w:ascii="Times New Roman" w:eastAsia="Times New Roman" w:hAnsi="Times New Roman" w:cs="Times New Roman"/>
          <w:sz w:val="24"/>
          <w:szCs w:val="24"/>
          <w:lang w:val="bg-BG"/>
        </w:rPr>
        <w:t xml:space="preserve"> о</w:t>
      </w:r>
      <w:r w:rsidR="006F0C9C" w:rsidRPr="00292755">
        <w:rPr>
          <w:rFonts w:ascii="Times New Roman" w:eastAsia="Times New Roman" w:hAnsi="Times New Roman" w:cs="Times New Roman"/>
          <w:sz w:val="24"/>
          <w:szCs w:val="24"/>
          <w:lang w:val="bg-BG"/>
        </w:rPr>
        <w:t>сигурен достъп на кандидатите до</w:t>
      </w:r>
      <w:r w:rsidR="00451964" w:rsidRPr="00292755">
        <w:rPr>
          <w:rFonts w:ascii="Times New Roman" w:eastAsia="Times New Roman" w:hAnsi="Times New Roman" w:cs="Times New Roman"/>
          <w:sz w:val="24"/>
          <w:szCs w:val="24"/>
          <w:lang w:val="bg-BG"/>
        </w:rPr>
        <w:t xml:space="preserve"> тези допълнителни сре</w:t>
      </w:r>
      <w:r w:rsidR="006F0C9C" w:rsidRPr="00292755">
        <w:rPr>
          <w:rFonts w:ascii="Times New Roman" w:eastAsia="Times New Roman" w:hAnsi="Times New Roman" w:cs="Times New Roman"/>
          <w:sz w:val="24"/>
          <w:szCs w:val="24"/>
          <w:lang w:val="bg-BG"/>
        </w:rPr>
        <w:t>дства чрез преходните правила. Получи се</w:t>
      </w:r>
      <w:r w:rsidR="00451964" w:rsidRPr="00292755">
        <w:rPr>
          <w:rFonts w:ascii="Times New Roman" w:eastAsia="Times New Roman" w:hAnsi="Times New Roman" w:cs="Times New Roman"/>
          <w:sz w:val="24"/>
          <w:szCs w:val="24"/>
          <w:lang w:val="bg-BG"/>
        </w:rPr>
        <w:t xml:space="preserve"> изключително висок ръст в бюджетно отношение в рамките н</w:t>
      </w:r>
      <w:r w:rsidR="006F0C9C" w:rsidRPr="00292755">
        <w:rPr>
          <w:rFonts w:ascii="Times New Roman" w:eastAsia="Times New Roman" w:hAnsi="Times New Roman" w:cs="Times New Roman"/>
          <w:sz w:val="24"/>
          <w:szCs w:val="24"/>
          <w:lang w:val="bg-BG"/>
        </w:rPr>
        <w:t xml:space="preserve">а една година. Това предполага </w:t>
      </w:r>
      <w:r w:rsidR="00451964" w:rsidRPr="00292755">
        <w:rPr>
          <w:rFonts w:ascii="Times New Roman" w:eastAsia="Times New Roman" w:hAnsi="Times New Roman" w:cs="Times New Roman"/>
          <w:sz w:val="24"/>
          <w:szCs w:val="24"/>
          <w:lang w:val="bg-BG"/>
        </w:rPr>
        <w:t>до 2025 година да се случи и разплащането на тези средства и да бъдат отчетени към Европейската комисия.</w:t>
      </w:r>
    </w:p>
    <w:p w:rsidR="006F0C9C" w:rsidRPr="00292755" w:rsidRDefault="006F0C9C" w:rsidP="00292755">
      <w:pPr>
        <w:spacing w:after="0" w:line="240" w:lineRule="auto"/>
        <w:jc w:val="both"/>
        <w:rPr>
          <w:rFonts w:ascii="Times New Roman" w:eastAsia="Times New Roman" w:hAnsi="Times New Roman" w:cs="Times New Roman"/>
          <w:sz w:val="24"/>
          <w:szCs w:val="24"/>
          <w:lang w:val="bg-BG"/>
        </w:rPr>
      </w:pPr>
    </w:p>
    <w:p w:rsidR="00451964" w:rsidRPr="00292755" w:rsidRDefault="006F0C9C"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Към настоящия момент има </w:t>
      </w:r>
      <w:r w:rsidR="00451964" w:rsidRPr="00292755">
        <w:rPr>
          <w:rFonts w:ascii="Times New Roman" w:eastAsia="Times New Roman" w:hAnsi="Times New Roman" w:cs="Times New Roman"/>
          <w:sz w:val="24"/>
          <w:szCs w:val="24"/>
          <w:lang w:val="bg-BG"/>
        </w:rPr>
        <w:t xml:space="preserve">прием </w:t>
      </w:r>
      <w:r w:rsidRPr="00292755">
        <w:rPr>
          <w:rFonts w:ascii="Times New Roman" w:eastAsia="Times New Roman" w:hAnsi="Times New Roman" w:cs="Times New Roman"/>
          <w:sz w:val="24"/>
          <w:szCs w:val="24"/>
          <w:lang w:val="bg-BG"/>
        </w:rPr>
        <w:t xml:space="preserve">на проекти </w:t>
      </w:r>
      <w:r w:rsidR="00451964" w:rsidRPr="00292755">
        <w:rPr>
          <w:rFonts w:ascii="Times New Roman" w:eastAsia="Times New Roman" w:hAnsi="Times New Roman" w:cs="Times New Roman"/>
          <w:sz w:val="24"/>
          <w:szCs w:val="24"/>
          <w:lang w:val="bg-BG"/>
        </w:rPr>
        <w:t>за инвестиции в преработка и маркетинг на селскостопански продукти</w:t>
      </w:r>
      <w:r w:rsidR="0005064B" w:rsidRPr="0005064B">
        <w:t xml:space="preserve"> </w:t>
      </w:r>
      <w:r w:rsidR="0005064B" w:rsidRPr="0005064B">
        <w:rPr>
          <w:rFonts w:ascii="Times New Roman" w:eastAsia="Times New Roman" w:hAnsi="Times New Roman" w:cs="Times New Roman"/>
          <w:sz w:val="24"/>
          <w:szCs w:val="24"/>
          <w:lang w:val="bg-BG"/>
        </w:rPr>
        <w:t>с бюджет 20 милиона евро</w:t>
      </w:r>
      <w:r w:rsidR="0005064B">
        <w:rPr>
          <w:rFonts w:ascii="Times New Roman" w:eastAsia="Times New Roman" w:hAnsi="Times New Roman" w:cs="Times New Roman"/>
          <w:sz w:val="24"/>
          <w:szCs w:val="24"/>
          <w:lang w:val="bg-BG"/>
        </w:rPr>
        <w:t xml:space="preserve">, </w:t>
      </w:r>
      <w:r w:rsidR="00451964" w:rsidRPr="00292755">
        <w:rPr>
          <w:rFonts w:ascii="Times New Roman" w:eastAsia="Times New Roman" w:hAnsi="Times New Roman" w:cs="Times New Roman"/>
          <w:sz w:val="24"/>
          <w:szCs w:val="24"/>
          <w:lang w:val="bg-BG"/>
        </w:rPr>
        <w:t xml:space="preserve"> за по-мал</w:t>
      </w:r>
      <w:r w:rsidR="0005064B">
        <w:rPr>
          <w:rFonts w:ascii="Times New Roman" w:eastAsia="Times New Roman" w:hAnsi="Times New Roman" w:cs="Times New Roman"/>
          <w:sz w:val="24"/>
          <w:szCs w:val="24"/>
          <w:lang w:val="bg-BG"/>
        </w:rPr>
        <w:t>ки проекти</w:t>
      </w:r>
      <w:r w:rsidR="00451964" w:rsidRPr="00292755">
        <w:rPr>
          <w:rFonts w:ascii="Times New Roman" w:eastAsia="Times New Roman" w:hAnsi="Times New Roman" w:cs="Times New Roman"/>
          <w:sz w:val="24"/>
          <w:szCs w:val="24"/>
          <w:lang w:val="bg-BG"/>
        </w:rPr>
        <w:t xml:space="preserve">. </w:t>
      </w:r>
    </w:p>
    <w:p w:rsidR="006F0C9C" w:rsidRPr="00292755" w:rsidRDefault="006F0C9C"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ИВА ИВАНОВА</w:t>
      </w:r>
      <w:r w:rsidR="00567D59" w:rsidRPr="00292755">
        <w:rPr>
          <w:rFonts w:ascii="Times New Roman" w:eastAsia="Times New Roman" w:hAnsi="Times New Roman" w:cs="Times New Roman"/>
          <w:b/>
          <w:sz w:val="24"/>
          <w:szCs w:val="24"/>
          <w:lang w:val="bg-BG"/>
        </w:rPr>
        <w:t xml:space="preserve"> </w:t>
      </w:r>
      <w:r w:rsidR="00567D59" w:rsidRPr="00292755">
        <w:rPr>
          <w:rFonts w:ascii="Times New Roman" w:eastAsia="Times New Roman" w:hAnsi="Times New Roman" w:cs="Times New Roman"/>
          <w:sz w:val="24"/>
          <w:szCs w:val="24"/>
          <w:lang w:val="bg-BG"/>
        </w:rPr>
        <w:t>посочи, че</w:t>
      </w:r>
      <w:r w:rsidR="006F0C9C" w:rsidRPr="00292755">
        <w:rPr>
          <w:rFonts w:ascii="Times New Roman" w:eastAsia="Times New Roman" w:hAnsi="Times New Roman" w:cs="Times New Roman"/>
          <w:b/>
          <w:sz w:val="24"/>
          <w:szCs w:val="24"/>
          <w:lang w:val="bg-BG"/>
        </w:rPr>
        <w:t xml:space="preserve"> </w:t>
      </w:r>
      <w:r w:rsidR="006F0C9C" w:rsidRPr="00292755">
        <w:rPr>
          <w:rFonts w:ascii="Times New Roman" w:eastAsia="Times New Roman" w:hAnsi="Times New Roman" w:cs="Times New Roman"/>
          <w:sz w:val="24"/>
          <w:szCs w:val="24"/>
          <w:lang w:val="bg-BG"/>
        </w:rPr>
        <w:t xml:space="preserve"> </w:t>
      </w:r>
      <w:r w:rsidR="0005064B">
        <w:rPr>
          <w:rFonts w:ascii="Times New Roman" w:eastAsia="Times New Roman" w:hAnsi="Times New Roman" w:cs="Times New Roman"/>
          <w:sz w:val="24"/>
          <w:szCs w:val="24"/>
          <w:lang w:val="bg-BG"/>
        </w:rPr>
        <w:t xml:space="preserve">по въпрос 4, </w:t>
      </w:r>
      <w:r w:rsidR="006F0C9C" w:rsidRPr="00292755">
        <w:rPr>
          <w:rFonts w:ascii="Times New Roman" w:eastAsia="Times New Roman" w:hAnsi="Times New Roman" w:cs="Times New Roman"/>
          <w:sz w:val="24"/>
          <w:szCs w:val="24"/>
          <w:lang w:val="bg-BG"/>
        </w:rPr>
        <w:t xml:space="preserve">  в</w:t>
      </w:r>
      <w:r w:rsidRPr="00292755">
        <w:rPr>
          <w:rFonts w:ascii="Times New Roman" w:eastAsia="Times New Roman" w:hAnsi="Times New Roman" w:cs="Times New Roman"/>
          <w:sz w:val="24"/>
          <w:szCs w:val="24"/>
          <w:lang w:val="bg-BG"/>
        </w:rPr>
        <w:t>сички проекти по подмярка 6.4.1 с</w:t>
      </w:r>
      <w:r w:rsidR="006F0C9C" w:rsidRPr="00292755">
        <w:rPr>
          <w:rFonts w:ascii="Times New Roman" w:eastAsia="Times New Roman" w:hAnsi="Times New Roman" w:cs="Times New Roman"/>
          <w:sz w:val="24"/>
          <w:szCs w:val="24"/>
          <w:lang w:val="bg-BG"/>
        </w:rPr>
        <w:t>а преминали етап ТФО, като на</w:t>
      </w:r>
      <w:r w:rsidRPr="00292755">
        <w:rPr>
          <w:rFonts w:ascii="Times New Roman" w:eastAsia="Times New Roman" w:hAnsi="Times New Roman" w:cs="Times New Roman"/>
          <w:sz w:val="24"/>
          <w:szCs w:val="24"/>
          <w:lang w:val="bg-BG"/>
        </w:rPr>
        <w:t xml:space="preserve"> всички са изпратени уведом</w:t>
      </w:r>
      <w:r w:rsidR="00FF6847" w:rsidRPr="00292755">
        <w:rPr>
          <w:rFonts w:ascii="Times New Roman" w:eastAsia="Times New Roman" w:hAnsi="Times New Roman" w:cs="Times New Roman"/>
          <w:sz w:val="24"/>
          <w:szCs w:val="24"/>
          <w:lang w:val="bg-BG"/>
        </w:rPr>
        <w:t>ителни писма за одобрение, с изключение на</w:t>
      </w:r>
      <w:r w:rsidRPr="00292755">
        <w:rPr>
          <w:rFonts w:ascii="Times New Roman" w:eastAsia="Times New Roman" w:hAnsi="Times New Roman" w:cs="Times New Roman"/>
          <w:sz w:val="24"/>
          <w:szCs w:val="24"/>
          <w:lang w:val="bg-BG"/>
        </w:rPr>
        <w:t xml:space="preserve"> тези проекти, при които се е наложило да се направят допълнителни проверки от друга компетентна дирекция. </w:t>
      </w:r>
    </w:p>
    <w:p w:rsidR="00FF6847" w:rsidRPr="00292755" w:rsidRDefault="00FF6847"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Ако има такива проекти, при които са изпратени уведомителни писма за одобрения, върнати са отговори и все още не са получени покани</w:t>
      </w:r>
      <w:r w:rsidR="00FF6847"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до края на утрешния ден </w:t>
      </w:r>
      <w:r w:rsidR="00FF6847" w:rsidRPr="00292755">
        <w:rPr>
          <w:rFonts w:ascii="Times New Roman" w:eastAsia="Times New Roman" w:hAnsi="Times New Roman" w:cs="Times New Roman"/>
          <w:sz w:val="24"/>
          <w:szCs w:val="24"/>
          <w:lang w:val="bg-BG"/>
        </w:rPr>
        <w:t xml:space="preserve">поканите </w:t>
      </w:r>
      <w:r w:rsidRPr="00292755">
        <w:rPr>
          <w:rFonts w:ascii="Times New Roman" w:eastAsia="Times New Roman" w:hAnsi="Times New Roman" w:cs="Times New Roman"/>
          <w:sz w:val="24"/>
          <w:szCs w:val="24"/>
          <w:lang w:val="bg-BG"/>
        </w:rPr>
        <w:t>ще бъдат изпратени през ИСУН.</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rPr>
      </w:pPr>
      <w:r w:rsidRPr="00292755">
        <w:rPr>
          <w:rFonts w:ascii="Times New Roman" w:eastAsia="Times New Roman" w:hAnsi="Times New Roman" w:cs="Times New Roman"/>
          <w:b/>
          <w:sz w:val="24"/>
          <w:szCs w:val="24"/>
          <w:lang w:val="bg-BG"/>
        </w:rPr>
        <w:t>Г-Н КАЛОЯН КОСТАДИНОВ</w:t>
      </w:r>
      <w:r w:rsidRPr="00292755">
        <w:rPr>
          <w:rFonts w:ascii="Times New Roman" w:eastAsia="Times New Roman" w:hAnsi="Times New Roman" w:cs="Times New Roman"/>
          <w:sz w:val="24"/>
          <w:szCs w:val="24"/>
          <w:lang w:val="bg-BG"/>
        </w:rPr>
        <w:t xml:space="preserve"> </w:t>
      </w:r>
      <w:r w:rsidR="00BD27EC" w:rsidRPr="00292755">
        <w:rPr>
          <w:rFonts w:ascii="Times New Roman" w:eastAsia="Times New Roman" w:hAnsi="Times New Roman" w:cs="Times New Roman"/>
          <w:sz w:val="24"/>
          <w:szCs w:val="24"/>
          <w:lang w:val="bg-BG"/>
        </w:rPr>
        <w:t>отговори на</w:t>
      </w:r>
      <w:r w:rsidRPr="00292755">
        <w:rPr>
          <w:rFonts w:ascii="Times New Roman" w:eastAsia="Times New Roman" w:hAnsi="Times New Roman" w:cs="Times New Roman"/>
          <w:sz w:val="24"/>
          <w:szCs w:val="24"/>
          <w:lang w:val="bg-BG"/>
        </w:rPr>
        <w:t xml:space="preserve"> въпрос 5</w:t>
      </w:r>
      <w:r w:rsidR="0005064B">
        <w:rPr>
          <w:rFonts w:ascii="Times New Roman" w:eastAsia="Times New Roman" w:hAnsi="Times New Roman" w:cs="Times New Roman"/>
          <w:sz w:val="24"/>
          <w:szCs w:val="24"/>
          <w:lang w:val="bg-BG"/>
        </w:rPr>
        <w:t xml:space="preserve">, като посочи, че съществува </w:t>
      </w:r>
      <w:r w:rsidRPr="00292755">
        <w:rPr>
          <w:rFonts w:ascii="Times New Roman" w:eastAsia="Times New Roman" w:hAnsi="Times New Roman" w:cs="Times New Roman"/>
          <w:sz w:val="24"/>
          <w:szCs w:val="24"/>
          <w:lang w:val="bg-BG"/>
        </w:rPr>
        <w:t>разбивка</w:t>
      </w:r>
      <w:r w:rsidR="00567D59" w:rsidRPr="00292755">
        <w:rPr>
          <w:rFonts w:ascii="Times New Roman" w:eastAsia="Times New Roman" w:hAnsi="Times New Roman" w:cs="Times New Roman"/>
          <w:sz w:val="24"/>
          <w:szCs w:val="24"/>
          <w:lang w:val="bg-BG"/>
        </w:rPr>
        <w:t xml:space="preserve"> по подмерки на прекратени и не</w:t>
      </w:r>
      <w:r w:rsidR="007837AE">
        <w:rPr>
          <w:rFonts w:ascii="Times New Roman" w:eastAsia="Times New Roman" w:hAnsi="Times New Roman" w:cs="Times New Roman"/>
          <w:sz w:val="24"/>
          <w:szCs w:val="24"/>
          <w:lang w:val="bg-BG"/>
        </w:rPr>
        <w:t>подписани договори. К</w:t>
      </w:r>
      <w:r w:rsidR="00567D59" w:rsidRPr="00292755">
        <w:rPr>
          <w:rFonts w:ascii="Times New Roman" w:eastAsia="Times New Roman" w:hAnsi="Times New Roman" w:cs="Times New Roman"/>
          <w:sz w:val="24"/>
          <w:szCs w:val="24"/>
          <w:lang w:val="bg-BG"/>
        </w:rPr>
        <w:t>ъм днешна дата н</w:t>
      </w:r>
      <w:r w:rsidR="007837AE">
        <w:rPr>
          <w:rFonts w:ascii="Times New Roman" w:eastAsia="Times New Roman" w:hAnsi="Times New Roman" w:cs="Times New Roman"/>
          <w:sz w:val="24"/>
          <w:szCs w:val="24"/>
          <w:lang w:val="bg-BG"/>
        </w:rPr>
        <w:t>е е възможно да се посочат остатъци</w:t>
      </w:r>
      <w:r w:rsidR="00391962">
        <w:rPr>
          <w:rFonts w:ascii="Times New Roman" w:eastAsia="Times New Roman" w:hAnsi="Times New Roman" w:cs="Times New Roman"/>
          <w:sz w:val="24"/>
          <w:szCs w:val="24"/>
          <w:lang w:val="bg-BG"/>
        </w:rPr>
        <w:t>,</w:t>
      </w:r>
      <w:r w:rsidR="00567D59" w:rsidRPr="00292755">
        <w:rPr>
          <w:rFonts w:ascii="Times New Roman" w:eastAsia="Times New Roman" w:hAnsi="Times New Roman" w:cs="Times New Roman"/>
          <w:sz w:val="24"/>
          <w:szCs w:val="24"/>
          <w:lang w:val="bg-BG"/>
        </w:rPr>
        <w:t xml:space="preserve"> тъй като </w:t>
      </w:r>
      <w:r w:rsidR="007837AE">
        <w:rPr>
          <w:rFonts w:ascii="Times New Roman" w:eastAsia="Times New Roman" w:hAnsi="Times New Roman" w:cs="Times New Roman"/>
          <w:sz w:val="24"/>
          <w:szCs w:val="24"/>
          <w:lang w:val="bg-BG"/>
        </w:rPr>
        <w:t>п</w:t>
      </w:r>
      <w:r w:rsidR="00391962">
        <w:rPr>
          <w:rFonts w:ascii="Times New Roman" w:eastAsia="Times New Roman" w:hAnsi="Times New Roman" w:cs="Times New Roman"/>
          <w:sz w:val="24"/>
          <w:szCs w:val="24"/>
          <w:lang w:val="bg-BG"/>
        </w:rPr>
        <w:t>ри всеки</w:t>
      </w:r>
      <w:r w:rsidR="0014452D" w:rsidRPr="00292755">
        <w:rPr>
          <w:rFonts w:ascii="Times New Roman" w:eastAsia="Times New Roman" w:hAnsi="Times New Roman" w:cs="Times New Roman"/>
          <w:sz w:val="24"/>
          <w:szCs w:val="24"/>
          <w:lang w:val="bg-BG"/>
        </w:rPr>
        <w:t xml:space="preserve"> прием </w:t>
      </w:r>
      <w:r w:rsidR="00391962">
        <w:rPr>
          <w:rFonts w:ascii="Times New Roman" w:eastAsia="Times New Roman" w:hAnsi="Times New Roman" w:cs="Times New Roman"/>
          <w:sz w:val="24"/>
          <w:szCs w:val="24"/>
          <w:lang w:val="bg-BG"/>
        </w:rPr>
        <w:t>са вземани</w:t>
      </w:r>
      <w:r w:rsidRPr="00292755">
        <w:rPr>
          <w:rFonts w:ascii="Times New Roman" w:eastAsia="Times New Roman" w:hAnsi="Times New Roman" w:cs="Times New Roman"/>
          <w:sz w:val="24"/>
          <w:szCs w:val="24"/>
          <w:lang w:val="bg-BG"/>
        </w:rPr>
        <w:t xml:space="preserve"> остатъци. </w:t>
      </w:r>
      <w:r w:rsidR="0005064B">
        <w:rPr>
          <w:rFonts w:ascii="Times New Roman" w:eastAsia="Times New Roman" w:hAnsi="Times New Roman" w:cs="Times New Roman"/>
          <w:sz w:val="24"/>
          <w:szCs w:val="24"/>
          <w:lang w:val="bg-BG"/>
        </w:rPr>
        <w:t>О</w:t>
      </w:r>
      <w:r w:rsidRPr="00292755">
        <w:rPr>
          <w:rFonts w:ascii="Times New Roman" w:eastAsia="Times New Roman" w:hAnsi="Times New Roman" w:cs="Times New Roman"/>
          <w:sz w:val="24"/>
          <w:szCs w:val="24"/>
          <w:lang w:val="bg-BG"/>
        </w:rPr>
        <w:t>бщо неподписани</w:t>
      </w:r>
      <w:r w:rsidR="00391962">
        <w:rPr>
          <w:rFonts w:ascii="Times New Roman" w:eastAsia="Times New Roman" w:hAnsi="Times New Roman" w:cs="Times New Roman"/>
          <w:sz w:val="24"/>
          <w:szCs w:val="24"/>
          <w:lang w:val="bg-BG"/>
        </w:rPr>
        <w:t>те</w:t>
      </w:r>
      <w:r w:rsidRPr="00292755">
        <w:rPr>
          <w:rFonts w:ascii="Times New Roman" w:eastAsia="Times New Roman" w:hAnsi="Times New Roman" w:cs="Times New Roman"/>
          <w:sz w:val="24"/>
          <w:szCs w:val="24"/>
          <w:lang w:val="bg-BG"/>
        </w:rPr>
        <w:t xml:space="preserve"> догов</w:t>
      </w:r>
      <w:r w:rsidR="002E434A">
        <w:rPr>
          <w:rFonts w:ascii="Times New Roman" w:eastAsia="Times New Roman" w:hAnsi="Times New Roman" w:cs="Times New Roman"/>
          <w:sz w:val="24"/>
          <w:szCs w:val="24"/>
          <w:lang w:val="bg-BG"/>
        </w:rPr>
        <w:t>ори, т. е. проектът</w:t>
      </w:r>
      <w:r w:rsidRPr="00292755">
        <w:rPr>
          <w:rFonts w:ascii="Times New Roman" w:eastAsia="Times New Roman" w:hAnsi="Times New Roman" w:cs="Times New Roman"/>
          <w:sz w:val="24"/>
          <w:szCs w:val="24"/>
          <w:lang w:val="bg-BG"/>
        </w:rPr>
        <w:t xml:space="preserve"> е разгледан, представен е на кан</w:t>
      </w:r>
      <w:r w:rsidR="002E434A">
        <w:rPr>
          <w:rFonts w:ascii="Times New Roman" w:eastAsia="Times New Roman" w:hAnsi="Times New Roman" w:cs="Times New Roman"/>
          <w:sz w:val="24"/>
          <w:szCs w:val="24"/>
          <w:lang w:val="bg-BG"/>
        </w:rPr>
        <w:t>дидата за подписване на договор, но той е отказал да го подпише</w:t>
      </w:r>
      <w:r w:rsidRPr="00292755">
        <w:rPr>
          <w:rFonts w:ascii="Times New Roman" w:eastAsia="Times New Roman" w:hAnsi="Times New Roman" w:cs="Times New Roman"/>
          <w:sz w:val="24"/>
          <w:szCs w:val="24"/>
          <w:lang w:val="bg-BG"/>
        </w:rPr>
        <w:t xml:space="preserve"> е 356 броя на обща стойност близо 77  милиона евро.</w:t>
      </w:r>
    </w:p>
    <w:p w:rsidR="00451964" w:rsidRPr="00292755" w:rsidRDefault="00762005"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Р</w:t>
      </w:r>
      <w:r w:rsidRPr="00292755">
        <w:rPr>
          <w:rFonts w:ascii="Times New Roman" w:eastAsia="Times New Roman" w:hAnsi="Times New Roman" w:cs="Times New Roman"/>
          <w:sz w:val="24"/>
          <w:szCs w:val="24"/>
        </w:rPr>
        <w:t xml:space="preserve">азбивка </w:t>
      </w:r>
      <w:r w:rsidRPr="00292755">
        <w:rPr>
          <w:rFonts w:ascii="Times New Roman" w:eastAsia="Times New Roman" w:hAnsi="Times New Roman" w:cs="Times New Roman"/>
          <w:sz w:val="24"/>
          <w:szCs w:val="24"/>
          <w:lang w:val="bg-BG"/>
        </w:rPr>
        <w:t xml:space="preserve">на </w:t>
      </w:r>
      <w:r w:rsidRPr="00292755">
        <w:rPr>
          <w:rFonts w:ascii="Times New Roman" w:eastAsia="Times New Roman" w:hAnsi="Times New Roman" w:cs="Times New Roman"/>
          <w:sz w:val="24"/>
          <w:szCs w:val="24"/>
        </w:rPr>
        <w:t>прекратените и неподписани</w:t>
      </w:r>
      <w:r w:rsidRPr="00292755">
        <w:rPr>
          <w:rFonts w:ascii="Times New Roman" w:eastAsia="Times New Roman" w:hAnsi="Times New Roman" w:cs="Times New Roman"/>
          <w:sz w:val="24"/>
          <w:szCs w:val="24"/>
          <w:lang w:val="bg-BG"/>
        </w:rPr>
        <w:t>те</w:t>
      </w:r>
      <w:r w:rsidRPr="00292755">
        <w:rPr>
          <w:rFonts w:ascii="Times New Roman" w:eastAsia="Times New Roman" w:hAnsi="Times New Roman" w:cs="Times New Roman"/>
          <w:sz w:val="24"/>
          <w:szCs w:val="24"/>
        </w:rPr>
        <w:t xml:space="preserve"> от кандидатите договори</w:t>
      </w:r>
      <w:r w:rsidRPr="00292755">
        <w:rPr>
          <w:rFonts w:ascii="Times New Roman" w:eastAsia="Times New Roman" w:hAnsi="Times New Roman" w:cs="Times New Roman"/>
          <w:sz w:val="24"/>
          <w:szCs w:val="24"/>
          <w:lang w:val="bg-BG"/>
        </w:rPr>
        <w:t xml:space="preserve"> по </w:t>
      </w:r>
      <w:r w:rsidR="00451964" w:rsidRPr="00292755">
        <w:rPr>
          <w:rFonts w:ascii="Times New Roman" w:eastAsia="Times New Roman" w:hAnsi="Times New Roman" w:cs="Times New Roman"/>
          <w:sz w:val="24"/>
          <w:szCs w:val="24"/>
          <w:lang w:val="bg-BG"/>
        </w:rPr>
        <w:t>мерки</w:t>
      </w:r>
      <w:r w:rsidRPr="00292755">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по </w:t>
      </w:r>
      <w:r w:rsidRPr="00292755">
        <w:rPr>
          <w:rFonts w:ascii="Times New Roman" w:eastAsia="Times New Roman" w:hAnsi="Times New Roman" w:cs="Times New Roman"/>
          <w:sz w:val="24"/>
          <w:szCs w:val="24"/>
          <w:lang w:val="bg-BG"/>
        </w:rPr>
        <w:t>М</w:t>
      </w:r>
      <w:r w:rsidR="00391962">
        <w:rPr>
          <w:rFonts w:ascii="Times New Roman" w:eastAsia="Times New Roman" w:hAnsi="Times New Roman" w:cs="Times New Roman"/>
          <w:sz w:val="24"/>
          <w:szCs w:val="24"/>
          <w:lang w:val="bg-BG"/>
        </w:rPr>
        <w:t>19.</w:t>
      </w:r>
      <w:r w:rsidR="00451964" w:rsidRPr="00292755">
        <w:rPr>
          <w:rFonts w:ascii="Times New Roman" w:eastAsia="Times New Roman" w:hAnsi="Times New Roman" w:cs="Times New Roman"/>
          <w:sz w:val="24"/>
          <w:szCs w:val="24"/>
          <w:lang w:val="bg-BG"/>
        </w:rPr>
        <w:t>2</w:t>
      </w:r>
      <w:r w:rsidR="00391962">
        <w:rPr>
          <w:rFonts w:ascii="Times New Roman" w:eastAsia="Times New Roman" w:hAnsi="Times New Roman" w:cs="Times New Roman"/>
          <w:sz w:val="24"/>
          <w:szCs w:val="24"/>
          <w:lang w:val="bg-BG"/>
        </w:rPr>
        <w:t xml:space="preserve"> - </w:t>
      </w:r>
      <w:r w:rsidR="00451964" w:rsidRPr="00292755">
        <w:rPr>
          <w:rFonts w:ascii="Times New Roman" w:eastAsia="Times New Roman" w:hAnsi="Times New Roman" w:cs="Times New Roman"/>
          <w:sz w:val="24"/>
          <w:szCs w:val="24"/>
          <w:lang w:val="bg-BG"/>
        </w:rPr>
        <w:t xml:space="preserve">45 броя, по </w:t>
      </w:r>
      <w:r w:rsidRPr="00292755">
        <w:rPr>
          <w:rFonts w:ascii="Times New Roman" w:eastAsia="Times New Roman" w:hAnsi="Times New Roman" w:cs="Times New Roman"/>
          <w:sz w:val="24"/>
          <w:szCs w:val="24"/>
          <w:lang w:val="bg-BG"/>
        </w:rPr>
        <w:t>М 4.1 - 170  броя, по М 4.2 – 49 броя, по М 6.1 - 30 броя, М 6.3 - 28 броя, по М 6.4.1 -  8 броя, по М 7.2 - 10 броя, по М 7.6 - 4 броя, по М</w:t>
      </w:r>
      <w:r w:rsidR="00451964" w:rsidRPr="00292755">
        <w:rPr>
          <w:rFonts w:ascii="Times New Roman" w:eastAsia="Times New Roman" w:hAnsi="Times New Roman" w:cs="Times New Roman"/>
          <w:sz w:val="24"/>
          <w:szCs w:val="24"/>
          <w:lang w:val="bg-BG"/>
        </w:rPr>
        <w:t xml:space="preserve"> 8.3 – 1 брой, по</w:t>
      </w:r>
      <w:r w:rsidRPr="00292755">
        <w:rPr>
          <w:rFonts w:ascii="Times New Roman" w:eastAsia="Times New Roman" w:hAnsi="Times New Roman" w:cs="Times New Roman"/>
          <w:sz w:val="24"/>
          <w:szCs w:val="24"/>
          <w:lang w:val="bg-BG"/>
        </w:rPr>
        <w:t xml:space="preserve"> М 8.4 също 1 проект и по М</w:t>
      </w:r>
      <w:r w:rsidR="00451964" w:rsidRPr="00292755">
        <w:rPr>
          <w:rFonts w:ascii="Times New Roman" w:eastAsia="Times New Roman" w:hAnsi="Times New Roman" w:cs="Times New Roman"/>
          <w:sz w:val="24"/>
          <w:szCs w:val="24"/>
          <w:lang w:val="bg-BG"/>
        </w:rPr>
        <w:t xml:space="preserve"> 9 - 4 броя.</w:t>
      </w:r>
    </w:p>
    <w:p w:rsidR="00762005" w:rsidRPr="00292755" w:rsidRDefault="00762005" w:rsidP="00292755">
      <w:pPr>
        <w:spacing w:after="0" w:line="240" w:lineRule="auto"/>
        <w:jc w:val="both"/>
        <w:rPr>
          <w:rFonts w:ascii="Times New Roman" w:eastAsia="Times New Roman" w:hAnsi="Times New Roman" w:cs="Times New Roman"/>
          <w:sz w:val="24"/>
          <w:szCs w:val="24"/>
        </w:rPr>
      </w:pPr>
    </w:p>
    <w:p w:rsidR="00451964" w:rsidRPr="00292755" w:rsidRDefault="00762005"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На</w:t>
      </w:r>
      <w:r w:rsidR="00451964" w:rsidRPr="00292755">
        <w:rPr>
          <w:rFonts w:ascii="Times New Roman" w:eastAsia="Times New Roman" w:hAnsi="Times New Roman" w:cs="Times New Roman"/>
          <w:sz w:val="24"/>
          <w:szCs w:val="24"/>
          <w:lang w:val="bg-BG"/>
        </w:rPr>
        <w:t xml:space="preserve"> въпрос № 7 – на каква стойност</w:t>
      </w:r>
      <w:r w:rsidRPr="00292755">
        <w:rPr>
          <w:rFonts w:ascii="Times New Roman" w:eastAsia="Times New Roman" w:hAnsi="Times New Roman" w:cs="Times New Roman"/>
          <w:sz w:val="24"/>
          <w:szCs w:val="24"/>
          <w:lang w:val="bg-BG"/>
        </w:rPr>
        <w:t xml:space="preserve"> са отказаните договори по ВОМР, г-н Костадинов посочи, че Фондът е  отказал да предложи договор за финансиране</w:t>
      </w:r>
      <w:r w:rsidR="00451964" w:rsidRPr="00292755">
        <w:rPr>
          <w:rFonts w:ascii="Times New Roman" w:eastAsia="Times New Roman" w:hAnsi="Times New Roman" w:cs="Times New Roman"/>
          <w:sz w:val="24"/>
          <w:szCs w:val="24"/>
          <w:lang w:val="bg-BG"/>
        </w:rPr>
        <w:t xml:space="preserve"> само на 26 броя одобрени от МИГ проекти. Тези 26 проекта са на обща стойност близо 2,6 милио</w:t>
      </w:r>
      <w:r w:rsidRPr="00292755">
        <w:rPr>
          <w:rFonts w:ascii="Times New Roman" w:eastAsia="Times New Roman" w:hAnsi="Times New Roman" w:cs="Times New Roman"/>
          <w:sz w:val="24"/>
          <w:szCs w:val="24"/>
          <w:lang w:val="bg-BG"/>
        </w:rPr>
        <w:t xml:space="preserve">на лева, </w:t>
      </w:r>
      <w:r w:rsidR="00451964" w:rsidRPr="00292755">
        <w:rPr>
          <w:rFonts w:ascii="Times New Roman" w:eastAsia="Times New Roman" w:hAnsi="Times New Roman" w:cs="Times New Roman"/>
          <w:sz w:val="24"/>
          <w:szCs w:val="24"/>
          <w:lang w:val="bg-BG"/>
        </w:rPr>
        <w:t xml:space="preserve">от тези 26 проекта 3 са общински, а 23 са частни проекти. </w:t>
      </w:r>
    </w:p>
    <w:p w:rsidR="00762005" w:rsidRPr="00292755" w:rsidRDefault="00762005" w:rsidP="00292755">
      <w:pPr>
        <w:spacing w:after="0" w:line="240" w:lineRule="auto"/>
        <w:jc w:val="both"/>
        <w:rPr>
          <w:rFonts w:ascii="Times New Roman" w:eastAsia="Times New Roman" w:hAnsi="Times New Roman" w:cs="Times New Roman"/>
          <w:sz w:val="24"/>
          <w:szCs w:val="24"/>
          <w:lang w:val="bg-BG"/>
        </w:rPr>
      </w:pPr>
    </w:p>
    <w:p w:rsidR="00451964" w:rsidRPr="00292755" w:rsidRDefault="00762005"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въпрос 8 вече бе отговорено на г-жа Недева, в допълнение г-н Костадинов  уточни, че  най-главната причина да се забавя одобрението на проектите и процедурите по ВОМР във Фонда е</w:t>
      </w:r>
      <w:r w:rsidR="00451964" w:rsidRPr="00292755">
        <w:rPr>
          <w:rFonts w:ascii="Times New Roman" w:eastAsia="Times New Roman" w:hAnsi="Times New Roman" w:cs="Times New Roman"/>
          <w:sz w:val="24"/>
          <w:szCs w:val="24"/>
          <w:lang w:val="bg-BG"/>
        </w:rPr>
        <w:t xml:space="preserve"> липсата на административен капа</w:t>
      </w:r>
      <w:r w:rsidR="00D64FCE" w:rsidRPr="00292755">
        <w:rPr>
          <w:rFonts w:ascii="Times New Roman" w:eastAsia="Times New Roman" w:hAnsi="Times New Roman" w:cs="Times New Roman"/>
          <w:sz w:val="24"/>
          <w:szCs w:val="24"/>
          <w:lang w:val="bg-BG"/>
        </w:rPr>
        <w:t>цитет до 2021 година, който бе</w:t>
      </w:r>
      <w:r w:rsidR="00451964" w:rsidRPr="00292755">
        <w:rPr>
          <w:rFonts w:ascii="Times New Roman" w:eastAsia="Times New Roman" w:hAnsi="Times New Roman" w:cs="Times New Roman"/>
          <w:sz w:val="24"/>
          <w:szCs w:val="24"/>
          <w:lang w:val="bg-BG"/>
        </w:rPr>
        <w:t xml:space="preserve"> наваксан през 2021 година с осигуряването на 240 човека от областните дирекции, които бяха обучени и навлязоха в обработката на тези проекти. </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ИВАН ГЛАВЧОВСКИ</w:t>
      </w:r>
      <w:r w:rsidR="00286A8A" w:rsidRPr="00292755">
        <w:rPr>
          <w:rFonts w:ascii="Times New Roman" w:eastAsia="Times New Roman" w:hAnsi="Times New Roman" w:cs="Times New Roman"/>
          <w:sz w:val="24"/>
          <w:szCs w:val="24"/>
          <w:lang w:val="bg-BG"/>
        </w:rPr>
        <w:t xml:space="preserve"> благодари</w:t>
      </w:r>
      <w:r w:rsidR="00391962">
        <w:rPr>
          <w:rFonts w:ascii="Times New Roman" w:eastAsia="Times New Roman" w:hAnsi="Times New Roman" w:cs="Times New Roman"/>
          <w:sz w:val="24"/>
          <w:szCs w:val="24"/>
          <w:lang w:val="bg-BG"/>
        </w:rPr>
        <w:t xml:space="preserve"> на УО и на ДФЗ</w:t>
      </w:r>
      <w:r w:rsidRPr="00292755">
        <w:rPr>
          <w:rFonts w:ascii="Times New Roman" w:eastAsia="Times New Roman" w:hAnsi="Times New Roman" w:cs="Times New Roman"/>
          <w:sz w:val="24"/>
          <w:szCs w:val="24"/>
          <w:lang w:val="bg-BG"/>
        </w:rPr>
        <w:t xml:space="preserve"> за изчерпателните отговори, </w:t>
      </w:r>
      <w:r w:rsidR="00D64FCE" w:rsidRPr="00292755">
        <w:rPr>
          <w:rFonts w:ascii="Times New Roman" w:eastAsia="Times New Roman" w:hAnsi="Times New Roman" w:cs="Times New Roman"/>
          <w:sz w:val="24"/>
          <w:szCs w:val="24"/>
          <w:lang w:val="bg-BG"/>
        </w:rPr>
        <w:t>к</w:t>
      </w:r>
      <w:r w:rsidR="00286A8A" w:rsidRPr="00292755">
        <w:rPr>
          <w:rFonts w:ascii="Times New Roman" w:eastAsia="Times New Roman" w:hAnsi="Times New Roman" w:cs="Times New Roman"/>
          <w:sz w:val="24"/>
          <w:szCs w:val="24"/>
          <w:lang w:val="bg-BG"/>
        </w:rPr>
        <w:t>ато направи предложение</w:t>
      </w:r>
      <w:r w:rsidR="00D64FCE" w:rsidRPr="00292755">
        <w:rPr>
          <w:rFonts w:ascii="Times New Roman" w:eastAsia="Times New Roman" w:hAnsi="Times New Roman" w:cs="Times New Roman"/>
          <w:sz w:val="24"/>
          <w:szCs w:val="24"/>
          <w:lang w:val="bg-BG"/>
        </w:rPr>
        <w:t xml:space="preserve"> да се направи  справка  колко проекта  и средства до декември 2020 г. са</w:t>
      </w:r>
      <w:r w:rsidR="00286A8A" w:rsidRPr="00292755">
        <w:rPr>
          <w:rFonts w:ascii="Times New Roman" w:eastAsia="Times New Roman" w:hAnsi="Times New Roman" w:cs="Times New Roman"/>
          <w:sz w:val="24"/>
          <w:szCs w:val="24"/>
          <w:lang w:val="bg-BG"/>
        </w:rPr>
        <w:t xml:space="preserve"> договорени</w:t>
      </w:r>
      <w:r w:rsidR="00D64FCE" w:rsidRPr="00292755">
        <w:rPr>
          <w:rFonts w:ascii="Times New Roman" w:eastAsia="Times New Roman" w:hAnsi="Times New Roman" w:cs="Times New Roman"/>
          <w:sz w:val="24"/>
          <w:szCs w:val="24"/>
          <w:lang w:val="bg-BG"/>
        </w:rPr>
        <w:t xml:space="preserve"> и колко са разплатени и </w:t>
      </w:r>
      <w:r w:rsidR="00286A8A" w:rsidRPr="00292755">
        <w:rPr>
          <w:rFonts w:ascii="Times New Roman" w:eastAsia="Times New Roman" w:hAnsi="Times New Roman" w:cs="Times New Roman"/>
          <w:sz w:val="24"/>
          <w:szCs w:val="24"/>
          <w:lang w:val="bg-BG"/>
        </w:rPr>
        <w:t>да се</w:t>
      </w:r>
      <w:r w:rsidR="00D64FCE" w:rsidRPr="00292755">
        <w:rPr>
          <w:rFonts w:ascii="Times New Roman" w:eastAsia="Times New Roman" w:hAnsi="Times New Roman" w:cs="Times New Roman"/>
          <w:sz w:val="24"/>
          <w:szCs w:val="24"/>
          <w:lang w:val="bg-BG"/>
        </w:rPr>
        <w:t xml:space="preserve"> анализ</w:t>
      </w:r>
      <w:r w:rsidR="00286A8A" w:rsidRPr="00292755">
        <w:rPr>
          <w:rFonts w:ascii="Times New Roman" w:eastAsia="Times New Roman" w:hAnsi="Times New Roman" w:cs="Times New Roman"/>
          <w:sz w:val="24"/>
          <w:szCs w:val="24"/>
          <w:lang w:val="bg-BG"/>
        </w:rPr>
        <w:t>ира</w:t>
      </w:r>
      <w:r w:rsidR="00D64FCE" w:rsidRPr="00292755">
        <w:rPr>
          <w:rFonts w:ascii="Times New Roman" w:eastAsia="Times New Roman" w:hAnsi="Times New Roman" w:cs="Times New Roman"/>
          <w:sz w:val="24"/>
          <w:szCs w:val="24"/>
          <w:lang w:val="bg-BG"/>
        </w:rPr>
        <w:t>, колко реално средства щяха да бъдат загубени или респективно замаеделци</w:t>
      </w:r>
      <w:r w:rsidR="00286A8A" w:rsidRPr="00292755">
        <w:rPr>
          <w:rFonts w:ascii="Times New Roman" w:eastAsia="Times New Roman" w:hAnsi="Times New Roman" w:cs="Times New Roman"/>
          <w:sz w:val="24"/>
          <w:szCs w:val="24"/>
          <w:lang w:val="bg-BG"/>
        </w:rPr>
        <w:t>те щяха да загубят, ако не беше удължена програмата. От отговорите стана ясно</w:t>
      </w:r>
      <w:r w:rsidRPr="00292755">
        <w:rPr>
          <w:rFonts w:ascii="Times New Roman" w:eastAsia="Times New Roman" w:hAnsi="Times New Roman" w:cs="Times New Roman"/>
          <w:sz w:val="24"/>
          <w:szCs w:val="24"/>
          <w:lang w:val="bg-BG"/>
        </w:rPr>
        <w:t>, че благодарение на увеличените средства процент</w:t>
      </w:r>
      <w:r w:rsidR="00D64FCE" w:rsidRPr="00292755">
        <w:rPr>
          <w:rFonts w:ascii="Times New Roman" w:eastAsia="Times New Roman" w:hAnsi="Times New Roman" w:cs="Times New Roman"/>
          <w:sz w:val="24"/>
          <w:szCs w:val="24"/>
          <w:lang w:val="bg-BG"/>
        </w:rPr>
        <w:t>ът</w:t>
      </w:r>
      <w:r w:rsidRPr="00292755">
        <w:rPr>
          <w:rFonts w:ascii="Times New Roman" w:eastAsia="Times New Roman" w:hAnsi="Times New Roman" w:cs="Times New Roman"/>
          <w:sz w:val="24"/>
          <w:szCs w:val="24"/>
          <w:lang w:val="bg-BG"/>
        </w:rPr>
        <w:t xml:space="preserve"> на усвояемост е паднал.</w:t>
      </w:r>
    </w:p>
    <w:p w:rsidR="00286A8A" w:rsidRPr="00292755" w:rsidRDefault="00286A8A" w:rsidP="00292755">
      <w:pPr>
        <w:spacing w:after="0" w:line="240" w:lineRule="auto"/>
        <w:jc w:val="both"/>
        <w:rPr>
          <w:rFonts w:ascii="Times New Roman" w:eastAsia="Times New Roman" w:hAnsi="Times New Roman" w:cs="Times New Roman"/>
          <w:sz w:val="24"/>
          <w:szCs w:val="24"/>
          <w:lang w:val="bg-BG"/>
        </w:rPr>
      </w:pPr>
    </w:p>
    <w:p w:rsidR="00D64FCE" w:rsidRDefault="00D64FCE"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По </w:t>
      </w:r>
      <w:r w:rsidR="00451964" w:rsidRPr="00292755">
        <w:rPr>
          <w:rFonts w:ascii="Times New Roman" w:eastAsia="Times New Roman" w:hAnsi="Times New Roman" w:cs="Times New Roman"/>
          <w:sz w:val="24"/>
          <w:szCs w:val="24"/>
          <w:lang w:val="bg-BG"/>
        </w:rPr>
        <w:t>отнош</w:t>
      </w:r>
      <w:r w:rsidRPr="00292755">
        <w:rPr>
          <w:rFonts w:ascii="Times New Roman" w:eastAsia="Times New Roman" w:hAnsi="Times New Roman" w:cs="Times New Roman"/>
          <w:sz w:val="24"/>
          <w:szCs w:val="24"/>
          <w:lang w:val="bg-BG"/>
        </w:rPr>
        <w:t xml:space="preserve">ение на широколентовия интернет дискусия се води от 2016 година. През </w:t>
      </w:r>
      <w:r w:rsidR="00391962">
        <w:rPr>
          <w:rFonts w:ascii="Times New Roman" w:eastAsia="Times New Roman" w:hAnsi="Times New Roman" w:cs="Times New Roman"/>
          <w:sz w:val="24"/>
          <w:szCs w:val="24"/>
          <w:lang w:val="bg-BG"/>
        </w:rPr>
        <w:t>2017</w:t>
      </w:r>
      <w:r w:rsidRPr="00292755">
        <w:rPr>
          <w:rFonts w:ascii="Times New Roman" w:eastAsia="Times New Roman" w:hAnsi="Times New Roman" w:cs="Times New Roman"/>
          <w:sz w:val="24"/>
          <w:szCs w:val="24"/>
          <w:lang w:val="bg-BG"/>
        </w:rPr>
        <w:t xml:space="preserve"> </w:t>
      </w:r>
      <w:r w:rsidR="00451964" w:rsidRPr="00292755">
        <w:rPr>
          <w:rFonts w:ascii="Times New Roman" w:eastAsia="Times New Roman" w:hAnsi="Times New Roman" w:cs="Times New Roman"/>
          <w:sz w:val="24"/>
          <w:szCs w:val="24"/>
          <w:lang w:val="bg-BG"/>
        </w:rPr>
        <w:t>год</w:t>
      </w:r>
      <w:r w:rsidRPr="00292755">
        <w:rPr>
          <w:rFonts w:ascii="Times New Roman" w:eastAsia="Times New Roman" w:hAnsi="Times New Roman" w:cs="Times New Roman"/>
          <w:sz w:val="24"/>
          <w:szCs w:val="24"/>
          <w:lang w:val="bg-BG"/>
        </w:rPr>
        <w:t xml:space="preserve">ина </w:t>
      </w:r>
      <w:r w:rsidR="00391962">
        <w:rPr>
          <w:rFonts w:ascii="Times New Roman" w:eastAsia="Times New Roman" w:hAnsi="Times New Roman" w:cs="Times New Roman"/>
          <w:sz w:val="24"/>
          <w:szCs w:val="24"/>
          <w:lang w:val="bg-BG"/>
        </w:rPr>
        <w:t xml:space="preserve">е </w:t>
      </w:r>
      <w:r w:rsidRPr="00292755">
        <w:rPr>
          <w:rFonts w:ascii="Times New Roman" w:eastAsia="Times New Roman" w:hAnsi="Times New Roman" w:cs="Times New Roman"/>
          <w:sz w:val="24"/>
          <w:szCs w:val="24"/>
          <w:lang w:val="bg-BG"/>
        </w:rPr>
        <w:t>имало</w:t>
      </w:r>
      <w:r w:rsidR="00451964" w:rsidRPr="00292755">
        <w:rPr>
          <w:rFonts w:ascii="Times New Roman" w:eastAsia="Times New Roman" w:hAnsi="Times New Roman" w:cs="Times New Roman"/>
          <w:sz w:val="24"/>
          <w:szCs w:val="24"/>
          <w:lang w:val="bg-BG"/>
        </w:rPr>
        <w:t xml:space="preserve"> специално изменение на програмата за да се удовлетво</w:t>
      </w:r>
      <w:r w:rsidRPr="00292755">
        <w:rPr>
          <w:rFonts w:ascii="Times New Roman" w:eastAsia="Times New Roman" w:hAnsi="Times New Roman" w:cs="Times New Roman"/>
          <w:sz w:val="24"/>
          <w:szCs w:val="24"/>
          <w:lang w:val="bg-BG"/>
        </w:rPr>
        <w:t>рят изискванията за бенефициент</w:t>
      </w:r>
      <w:r w:rsidR="00451964" w:rsidRPr="00292755">
        <w:rPr>
          <w:rFonts w:ascii="Times New Roman" w:eastAsia="Times New Roman" w:hAnsi="Times New Roman" w:cs="Times New Roman"/>
          <w:sz w:val="24"/>
          <w:szCs w:val="24"/>
          <w:lang w:val="bg-BG"/>
        </w:rPr>
        <w:t xml:space="preserve"> за широк</w:t>
      </w:r>
      <w:r w:rsidRPr="00292755">
        <w:rPr>
          <w:rFonts w:ascii="Times New Roman" w:eastAsia="Times New Roman" w:hAnsi="Times New Roman" w:cs="Times New Roman"/>
          <w:sz w:val="24"/>
          <w:szCs w:val="24"/>
          <w:lang w:val="bg-BG"/>
        </w:rPr>
        <w:t xml:space="preserve">олентовия интернет. През 2022 година </w:t>
      </w:r>
      <w:r w:rsidR="00451964" w:rsidRPr="00292755">
        <w:rPr>
          <w:rFonts w:ascii="Times New Roman" w:eastAsia="Times New Roman" w:hAnsi="Times New Roman" w:cs="Times New Roman"/>
          <w:sz w:val="24"/>
          <w:szCs w:val="24"/>
          <w:lang w:val="bg-BG"/>
        </w:rPr>
        <w:t>тези сред</w:t>
      </w:r>
      <w:r w:rsidRPr="00292755">
        <w:rPr>
          <w:rFonts w:ascii="Times New Roman" w:eastAsia="Times New Roman" w:hAnsi="Times New Roman" w:cs="Times New Roman"/>
          <w:sz w:val="24"/>
          <w:szCs w:val="24"/>
          <w:lang w:val="bg-BG"/>
        </w:rPr>
        <w:t>ства безвъзвр</w:t>
      </w:r>
      <w:r w:rsidR="00391962">
        <w:rPr>
          <w:rFonts w:ascii="Times New Roman" w:eastAsia="Times New Roman" w:hAnsi="Times New Roman" w:cs="Times New Roman"/>
          <w:sz w:val="24"/>
          <w:szCs w:val="24"/>
          <w:lang w:val="bg-BG"/>
        </w:rPr>
        <w:t>атно щяха да бъдат загубени, ка</w:t>
      </w:r>
      <w:r w:rsidRPr="00292755">
        <w:rPr>
          <w:rFonts w:ascii="Times New Roman" w:eastAsia="Times New Roman" w:hAnsi="Times New Roman" w:cs="Times New Roman"/>
          <w:sz w:val="24"/>
          <w:szCs w:val="24"/>
          <w:lang w:val="bg-BG"/>
        </w:rPr>
        <w:t>то респективно процентът</w:t>
      </w:r>
      <w:r w:rsidR="00451964" w:rsidRPr="00292755">
        <w:rPr>
          <w:rFonts w:ascii="Times New Roman" w:eastAsia="Times New Roman" w:hAnsi="Times New Roman" w:cs="Times New Roman"/>
          <w:sz w:val="24"/>
          <w:szCs w:val="24"/>
          <w:lang w:val="bg-BG"/>
        </w:rPr>
        <w:t xml:space="preserve"> на усвоява</w:t>
      </w:r>
      <w:r w:rsidRPr="00292755">
        <w:rPr>
          <w:rFonts w:ascii="Times New Roman" w:eastAsia="Times New Roman" w:hAnsi="Times New Roman" w:cs="Times New Roman"/>
          <w:sz w:val="24"/>
          <w:szCs w:val="24"/>
          <w:lang w:val="bg-BG"/>
        </w:rPr>
        <w:t>не щеше да е нула. З</w:t>
      </w:r>
      <w:r w:rsidR="00451964" w:rsidRPr="00292755">
        <w:rPr>
          <w:rFonts w:ascii="Times New Roman" w:eastAsia="Times New Roman" w:hAnsi="Times New Roman" w:cs="Times New Roman"/>
          <w:sz w:val="24"/>
          <w:szCs w:val="24"/>
          <w:lang w:val="bg-BG"/>
        </w:rPr>
        <w:t xml:space="preserve">а пет години не </w:t>
      </w:r>
      <w:r w:rsidRPr="00292755">
        <w:rPr>
          <w:rFonts w:ascii="Times New Roman" w:eastAsia="Times New Roman" w:hAnsi="Times New Roman" w:cs="Times New Roman"/>
          <w:sz w:val="24"/>
          <w:szCs w:val="24"/>
          <w:lang w:val="bg-BG"/>
        </w:rPr>
        <w:t>се намери</w:t>
      </w:r>
      <w:r w:rsidR="00451964" w:rsidRPr="00292755">
        <w:rPr>
          <w:rFonts w:ascii="Times New Roman" w:eastAsia="Times New Roman" w:hAnsi="Times New Roman" w:cs="Times New Roman"/>
          <w:sz w:val="24"/>
          <w:szCs w:val="24"/>
          <w:lang w:val="bg-BG"/>
        </w:rPr>
        <w:t xml:space="preserve"> бенефициент и правоприемник, който да изпълни това заложе</w:t>
      </w:r>
      <w:r w:rsidR="00286A8A" w:rsidRPr="00292755">
        <w:rPr>
          <w:rFonts w:ascii="Times New Roman" w:eastAsia="Times New Roman" w:hAnsi="Times New Roman" w:cs="Times New Roman"/>
          <w:sz w:val="24"/>
          <w:szCs w:val="24"/>
          <w:lang w:val="bg-BG"/>
        </w:rPr>
        <w:t>но изискване в програмата</w:t>
      </w:r>
      <w:r w:rsidRPr="00292755">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w:t>
      </w:r>
    </w:p>
    <w:p w:rsidR="00391962" w:rsidRPr="00292755" w:rsidRDefault="00391962" w:rsidP="00292755">
      <w:pPr>
        <w:spacing w:after="0" w:line="240" w:lineRule="auto"/>
        <w:jc w:val="both"/>
        <w:rPr>
          <w:rFonts w:ascii="Times New Roman" w:eastAsia="Times New Roman" w:hAnsi="Times New Roman" w:cs="Times New Roman"/>
          <w:sz w:val="24"/>
          <w:szCs w:val="24"/>
          <w:lang w:val="bg-BG"/>
        </w:rPr>
      </w:pPr>
    </w:p>
    <w:p w:rsidR="00286A8A"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от</w:t>
      </w:r>
      <w:r w:rsidR="00286A8A" w:rsidRPr="00292755">
        <w:rPr>
          <w:rFonts w:ascii="Times New Roman" w:eastAsia="Times New Roman" w:hAnsi="Times New Roman" w:cs="Times New Roman"/>
          <w:sz w:val="24"/>
          <w:szCs w:val="24"/>
          <w:lang w:val="bg-BG"/>
        </w:rPr>
        <w:t xml:space="preserve">ношение на </w:t>
      </w:r>
      <w:r w:rsidRPr="00292755">
        <w:rPr>
          <w:rFonts w:ascii="Times New Roman" w:eastAsia="Times New Roman" w:hAnsi="Times New Roman" w:cs="Times New Roman"/>
          <w:sz w:val="24"/>
          <w:szCs w:val="24"/>
          <w:lang w:val="bg-BG"/>
        </w:rPr>
        <w:t xml:space="preserve"> </w:t>
      </w:r>
      <w:r w:rsidR="00286A8A" w:rsidRPr="00292755">
        <w:rPr>
          <w:rFonts w:ascii="Times New Roman" w:eastAsia="Times New Roman" w:hAnsi="Times New Roman" w:cs="Times New Roman"/>
          <w:sz w:val="24"/>
          <w:szCs w:val="24"/>
          <w:lang w:val="bg-BG"/>
        </w:rPr>
        <w:t>размера на финансовите средства като остатък, след прекратени и неподписани от бенефициента договори, се разбра само бройката, но по приблизителни изчисления става въпрос за около 50 – 70 милиона евро отказана субсидия. Не стана ясно как тези пари ще</w:t>
      </w:r>
      <w:r w:rsidR="00391962">
        <w:rPr>
          <w:rFonts w:ascii="Times New Roman" w:eastAsia="Times New Roman" w:hAnsi="Times New Roman" w:cs="Times New Roman"/>
          <w:sz w:val="24"/>
          <w:szCs w:val="24"/>
          <w:lang w:val="bg-BG"/>
        </w:rPr>
        <w:t xml:space="preserve"> </w:t>
      </w:r>
      <w:r w:rsidR="00286A8A" w:rsidRPr="00292755">
        <w:rPr>
          <w:rFonts w:ascii="Times New Roman" w:eastAsia="Times New Roman" w:hAnsi="Times New Roman" w:cs="Times New Roman"/>
          <w:sz w:val="24"/>
          <w:szCs w:val="24"/>
          <w:lang w:val="bg-BG"/>
        </w:rPr>
        <w:t>се усвоят.</w:t>
      </w:r>
    </w:p>
    <w:p w:rsidR="00391962" w:rsidRDefault="00391962"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отношение на прилагането на ВОМР</w:t>
      </w:r>
      <w:r w:rsidR="009C4567" w:rsidRPr="00292755">
        <w:rPr>
          <w:rFonts w:ascii="Times New Roman" w:eastAsia="Times New Roman" w:hAnsi="Times New Roman" w:cs="Times New Roman"/>
          <w:sz w:val="24"/>
          <w:szCs w:val="24"/>
          <w:lang w:val="bg-BG"/>
        </w:rPr>
        <w:t xml:space="preserve">, г-н Главчовски  попита </w:t>
      </w:r>
      <w:r w:rsidRPr="00292755">
        <w:rPr>
          <w:rFonts w:ascii="Times New Roman" w:eastAsia="Times New Roman" w:hAnsi="Times New Roman" w:cs="Times New Roman"/>
          <w:sz w:val="24"/>
          <w:szCs w:val="24"/>
          <w:lang w:val="bg-BG"/>
        </w:rPr>
        <w:t xml:space="preserve"> </w:t>
      </w:r>
      <w:r w:rsidR="009C4567" w:rsidRPr="00292755">
        <w:rPr>
          <w:rFonts w:ascii="Times New Roman" w:eastAsia="Times New Roman" w:hAnsi="Times New Roman" w:cs="Times New Roman"/>
          <w:sz w:val="24"/>
          <w:szCs w:val="24"/>
          <w:lang w:val="bg-BG"/>
        </w:rPr>
        <w:t>как УО следи за това общините да нямат възможност за доминиращо участие.</w:t>
      </w:r>
    </w:p>
    <w:p w:rsidR="00BD27EC" w:rsidRPr="00292755" w:rsidRDefault="00BD27EC"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lang w:val="bg-BG"/>
        </w:rPr>
        <w:t xml:space="preserve"> </w:t>
      </w:r>
      <w:r w:rsidR="0072048D" w:rsidRPr="00292755">
        <w:rPr>
          <w:rFonts w:ascii="Times New Roman" w:eastAsia="Times New Roman" w:hAnsi="Times New Roman" w:cs="Times New Roman"/>
          <w:sz w:val="24"/>
          <w:szCs w:val="24"/>
          <w:lang w:val="bg-BG"/>
        </w:rPr>
        <w:t xml:space="preserve">подчерта, че ако програмата трябваше да бъде изпълнена и изплатена до 2023 година към настоящия момент в средата на 2022 година, програмата щеше да бъде договорирана на 90 %  да има 73 % усвояване. Това означава, </w:t>
      </w:r>
      <w:r w:rsidRPr="00292755">
        <w:rPr>
          <w:rFonts w:ascii="Times New Roman" w:eastAsia="Times New Roman" w:hAnsi="Times New Roman" w:cs="Times New Roman"/>
          <w:sz w:val="24"/>
          <w:szCs w:val="24"/>
          <w:lang w:val="bg-BG"/>
        </w:rPr>
        <w:t xml:space="preserve"> </w:t>
      </w:r>
      <w:r w:rsidR="0072048D" w:rsidRPr="00292755">
        <w:rPr>
          <w:rFonts w:ascii="Times New Roman" w:eastAsia="Times New Roman" w:hAnsi="Times New Roman" w:cs="Times New Roman"/>
          <w:sz w:val="24"/>
          <w:szCs w:val="24"/>
          <w:lang w:val="bg-BG"/>
        </w:rPr>
        <w:t xml:space="preserve">че </w:t>
      </w:r>
      <w:r w:rsidRPr="00292755">
        <w:rPr>
          <w:rFonts w:ascii="Times New Roman" w:eastAsia="Times New Roman" w:hAnsi="Times New Roman" w:cs="Times New Roman"/>
          <w:sz w:val="24"/>
          <w:szCs w:val="24"/>
          <w:lang w:val="bg-BG"/>
        </w:rPr>
        <w:t>за годи</w:t>
      </w:r>
      <w:r w:rsidR="0072048D" w:rsidRPr="00292755">
        <w:rPr>
          <w:rFonts w:ascii="Times New Roman" w:eastAsia="Times New Roman" w:hAnsi="Times New Roman" w:cs="Times New Roman"/>
          <w:sz w:val="24"/>
          <w:szCs w:val="24"/>
          <w:lang w:val="bg-BG"/>
        </w:rPr>
        <w:t xml:space="preserve">на и половина трябваше </w:t>
      </w:r>
      <w:r w:rsidRPr="00292755">
        <w:rPr>
          <w:rFonts w:ascii="Times New Roman" w:eastAsia="Times New Roman" w:hAnsi="Times New Roman" w:cs="Times New Roman"/>
          <w:sz w:val="24"/>
          <w:szCs w:val="24"/>
          <w:lang w:val="bg-BG"/>
        </w:rPr>
        <w:t>да бъдат догов</w:t>
      </w:r>
      <w:r w:rsidR="0072048D" w:rsidRPr="00292755">
        <w:rPr>
          <w:rFonts w:ascii="Times New Roman" w:eastAsia="Times New Roman" w:hAnsi="Times New Roman" w:cs="Times New Roman"/>
          <w:sz w:val="24"/>
          <w:szCs w:val="24"/>
          <w:lang w:val="bg-BG"/>
        </w:rPr>
        <w:t>орирани и</w:t>
      </w:r>
      <w:r w:rsidRPr="00292755">
        <w:rPr>
          <w:rFonts w:ascii="Times New Roman" w:eastAsia="Times New Roman" w:hAnsi="Times New Roman" w:cs="Times New Roman"/>
          <w:sz w:val="24"/>
          <w:szCs w:val="24"/>
          <w:lang w:val="bg-BG"/>
        </w:rPr>
        <w:t xml:space="preserve"> изплатени</w:t>
      </w:r>
      <w:r w:rsidR="0072048D" w:rsidRPr="00292755">
        <w:rPr>
          <w:rFonts w:ascii="Times New Roman" w:eastAsia="Times New Roman" w:hAnsi="Times New Roman" w:cs="Times New Roman"/>
          <w:sz w:val="24"/>
          <w:szCs w:val="24"/>
          <w:lang w:val="bg-BG"/>
        </w:rPr>
        <w:t xml:space="preserve"> 10 % или  290 милиона евро</w:t>
      </w:r>
      <w:r w:rsidRPr="00292755">
        <w:rPr>
          <w:rFonts w:ascii="Times New Roman" w:eastAsia="Times New Roman" w:hAnsi="Times New Roman" w:cs="Times New Roman"/>
          <w:sz w:val="24"/>
          <w:szCs w:val="24"/>
          <w:lang w:val="bg-BG"/>
        </w:rPr>
        <w:t xml:space="preserve">, </w:t>
      </w:r>
      <w:r w:rsidR="0072048D" w:rsidRPr="00292755">
        <w:rPr>
          <w:rFonts w:ascii="Times New Roman" w:eastAsia="Times New Roman" w:hAnsi="Times New Roman" w:cs="Times New Roman"/>
          <w:sz w:val="24"/>
          <w:szCs w:val="24"/>
          <w:lang w:val="bg-BG"/>
        </w:rPr>
        <w:t>което е напълно постижимо</w:t>
      </w:r>
      <w:r w:rsidRPr="00292755">
        <w:rPr>
          <w:rFonts w:ascii="Times New Roman" w:eastAsia="Times New Roman" w:hAnsi="Times New Roman" w:cs="Times New Roman"/>
          <w:sz w:val="24"/>
          <w:szCs w:val="24"/>
          <w:lang w:val="bg-BG"/>
        </w:rPr>
        <w:t>.</w:t>
      </w:r>
    </w:p>
    <w:p w:rsidR="00391962" w:rsidRDefault="00391962" w:rsidP="00292755">
      <w:pPr>
        <w:spacing w:after="0" w:line="240" w:lineRule="auto"/>
        <w:jc w:val="both"/>
        <w:rPr>
          <w:rFonts w:ascii="Times New Roman" w:eastAsia="Times New Roman" w:hAnsi="Times New Roman" w:cs="Times New Roman"/>
          <w:sz w:val="24"/>
          <w:szCs w:val="24"/>
          <w:lang w:val="bg-BG"/>
        </w:rPr>
      </w:pPr>
    </w:p>
    <w:p w:rsidR="0072048D" w:rsidRPr="00292755" w:rsidRDefault="0072048D"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Сега </w:t>
      </w:r>
      <w:r w:rsidR="00451964" w:rsidRPr="00292755">
        <w:rPr>
          <w:rFonts w:ascii="Times New Roman" w:eastAsia="Times New Roman" w:hAnsi="Times New Roman" w:cs="Times New Roman"/>
          <w:sz w:val="24"/>
          <w:szCs w:val="24"/>
          <w:lang w:val="bg-BG"/>
        </w:rPr>
        <w:t>на разположение</w:t>
      </w:r>
      <w:r w:rsidRPr="00292755">
        <w:rPr>
          <w:rFonts w:ascii="Times New Roman" w:eastAsia="Times New Roman" w:hAnsi="Times New Roman" w:cs="Times New Roman"/>
          <w:sz w:val="24"/>
          <w:szCs w:val="24"/>
          <w:lang w:val="bg-BG"/>
        </w:rPr>
        <w:t xml:space="preserve"> са</w:t>
      </w:r>
      <w:r w:rsidR="006E6C16" w:rsidRPr="00292755">
        <w:rPr>
          <w:rFonts w:ascii="Times New Roman" w:eastAsia="Times New Roman" w:hAnsi="Times New Roman" w:cs="Times New Roman"/>
          <w:sz w:val="24"/>
          <w:szCs w:val="24"/>
          <w:lang w:val="bg-BG"/>
        </w:rPr>
        <w:t xml:space="preserve"> три години и половина и</w:t>
      </w:r>
      <w:r w:rsidR="00391962">
        <w:rPr>
          <w:rFonts w:ascii="Times New Roman" w:eastAsia="Times New Roman" w:hAnsi="Times New Roman" w:cs="Times New Roman"/>
          <w:sz w:val="24"/>
          <w:szCs w:val="24"/>
          <w:lang w:val="bg-BG"/>
        </w:rPr>
        <w:t xml:space="preserve"> договорирането и изплащането</w:t>
      </w:r>
      <w:r w:rsidRPr="00292755">
        <w:rPr>
          <w:rFonts w:ascii="Times New Roman" w:eastAsia="Times New Roman" w:hAnsi="Times New Roman" w:cs="Times New Roman"/>
          <w:sz w:val="24"/>
          <w:szCs w:val="24"/>
          <w:lang w:val="bg-BG"/>
        </w:rPr>
        <w:t xml:space="preserve"> </w:t>
      </w:r>
      <w:r w:rsidR="00391962">
        <w:rPr>
          <w:rFonts w:ascii="Times New Roman" w:eastAsia="Times New Roman" w:hAnsi="Times New Roman" w:cs="Times New Roman"/>
          <w:sz w:val="24"/>
          <w:szCs w:val="24"/>
          <w:lang w:val="bg-BG"/>
        </w:rPr>
        <w:t xml:space="preserve">на средствата за този програмен период </w:t>
      </w:r>
      <w:r w:rsidRPr="00292755">
        <w:rPr>
          <w:rFonts w:ascii="Times New Roman" w:eastAsia="Times New Roman" w:hAnsi="Times New Roman" w:cs="Times New Roman"/>
          <w:sz w:val="24"/>
          <w:szCs w:val="24"/>
          <w:lang w:val="bg-BG"/>
        </w:rPr>
        <w:t xml:space="preserve">заедно с предаването </w:t>
      </w:r>
      <w:r w:rsidR="00391962">
        <w:rPr>
          <w:rFonts w:ascii="Times New Roman" w:eastAsia="Times New Roman" w:hAnsi="Times New Roman" w:cs="Times New Roman"/>
          <w:sz w:val="24"/>
          <w:szCs w:val="24"/>
          <w:lang w:val="bg-BG"/>
        </w:rPr>
        <w:t>на Стретегическия план са</w:t>
      </w:r>
      <w:r w:rsidR="006E6C16" w:rsidRPr="00292755">
        <w:rPr>
          <w:rFonts w:ascii="Times New Roman" w:eastAsia="Times New Roman" w:hAnsi="Times New Roman" w:cs="Times New Roman"/>
          <w:sz w:val="24"/>
          <w:szCs w:val="24"/>
          <w:lang w:val="bg-BG"/>
        </w:rPr>
        <w:t xml:space="preserve"> </w:t>
      </w:r>
      <w:r w:rsidR="00391962">
        <w:rPr>
          <w:rFonts w:ascii="Times New Roman" w:eastAsia="Times New Roman" w:hAnsi="Times New Roman" w:cs="Times New Roman"/>
          <w:sz w:val="24"/>
          <w:szCs w:val="24"/>
          <w:lang w:val="bg-BG"/>
        </w:rPr>
        <w:t>най-големият приоритет.</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 </w:t>
      </w:r>
    </w:p>
    <w:p w:rsidR="006B0D56"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ЕЛИЦА ЖИВКОВА</w:t>
      </w:r>
      <w:r w:rsidR="006B0D56" w:rsidRPr="00292755">
        <w:rPr>
          <w:rFonts w:ascii="Times New Roman" w:eastAsia="Times New Roman" w:hAnsi="Times New Roman" w:cs="Times New Roman"/>
          <w:b/>
          <w:sz w:val="24"/>
          <w:szCs w:val="24"/>
          <w:lang w:val="bg-BG"/>
        </w:rPr>
        <w:t xml:space="preserve"> </w:t>
      </w:r>
      <w:r w:rsidR="006B0D56" w:rsidRPr="00292755">
        <w:rPr>
          <w:rFonts w:ascii="Times New Roman" w:eastAsia="Times New Roman" w:hAnsi="Times New Roman" w:cs="Times New Roman"/>
          <w:sz w:val="24"/>
          <w:szCs w:val="24"/>
          <w:lang w:val="bg-BG"/>
        </w:rPr>
        <w:t>коментира въпроса с широколентовия интернет, като много важна инфраструктура, по която се работи от 2018 г. и  която трябваше вече да бъде изградена и попита какви са сроковете за изпълнение на този проект в рамките на Плана за възстановяване и развитие.</w:t>
      </w:r>
    </w:p>
    <w:p w:rsidR="00451964" w:rsidRPr="00292755" w:rsidRDefault="006B0D56"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 </w:t>
      </w:r>
    </w:p>
    <w:p w:rsidR="00451964" w:rsidRPr="00292755" w:rsidRDefault="006B0D56"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О</w:t>
      </w:r>
      <w:r w:rsidR="00451964" w:rsidRPr="00292755">
        <w:rPr>
          <w:rFonts w:ascii="Times New Roman" w:eastAsia="Times New Roman" w:hAnsi="Times New Roman" w:cs="Times New Roman"/>
          <w:sz w:val="24"/>
          <w:szCs w:val="24"/>
          <w:lang w:val="bg-BG"/>
        </w:rPr>
        <w:t xml:space="preserve">тносно мярка 4.3 с бенефициент „Напоителни системи“ как така се оказа, че този бенефициент всъщност не </w:t>
      </w:r>
      <w:r w:rsidR="00A03831">
        <w:rPr>
          <w:rFonts w:ascii="Times New Roman" w:eastAsia="Times New Roman" w:hAnsi="Times New Roman" w:cs="Times New Roman"/>
          <w:sz w:val="24"/>
          <w:szCs w:val="24"/>
          <w:lang w:val="bg-BG"/>
        </w:rPr>
        <w:t>е допустим. Това води до</w:t>
      </w:r>
      <w:r w:rsidR="00451964" w:rsidRPr="00292755">
        <w:rPr>
          <w:rFonts w:ascii="Times New Roman" w:eastAsia="Times New Roman" w:hAnsi="Times New Roman" w:cs="Times New Roman"/>
          <w:sz w:val="24"/>
          <w:szCs w:val="24"/>
          <w:lang w:val="bg-BG"/>
        </w:rPr>
        <w:t xml:space="preserve"> </w:t>
      </w:r>
      <w:r w:rsidR="00A03831">
        <w:rPr>
          <w:rFonts w:ascii="Times New Roman" w:eastAsia="Times New Roman" w:hAnsi="Times New Roman" w:cs="Times New Roman"/>
          <w:sz w:val="24"/>
          <w:szCs w:val="24"/>
          <w:lang w:val="bg-BG"/>
        </w:rPr>
        <w:t>около 2 години закъснение за изпълнение на проектите и има</w:t>
      </w:r>
      <w:r w:rsidR="00451964" w:rsidRPr="00292755">
        <w:rPr>
          <w:rFonts w:ascii="Times New Roman" w:eastAsia="Times New Roman" w:hAnsi="Times New Roman" w:cs="Times New Roman"/>
          <w:sz w:val="24"/>
          <w:szCs w:val="24"/>
          <w:lang w:val="bg-BG"/>
        </w:rPr>
        <w:t xml:space="preserve"> ли някаква степен на увереност, че тези проекти, които са били отказани</w:t>
      </w:r>
      <w:r w:rsidR="00A03831">
        <w:rPr>
          <w:rFonts w:ascii="Times New Roman" w:eastAsia="Times New Roman" w:hAnsi="Times New Roman" w:cs="Times New Roman"/>
          <w:sz w:val="24"/>
          <w:szCs w:val="24"/>
          <w:lang w:val="bg-BG"/>
        </w:rPr>
        <w:t>, ще</w:t>
      </w:r>
      <w:r w:rsidR="00451964" w:rsidRPr="00292755">
        <w:rPr>
          <w:rFonts w:ascii="Times New Roman" w:eastAsia="Times New Roman" w:hAnsi="Times New Roman" w:cs="Times New Roman"/>
          <w:sz w:val="24"/>
          <w:szCs w:val="24"/>
          <w:lang w:val="bg-BG"/>
        </w:rPr>
        <w:t xml:space="preserve"> бъдат подадени пак в рамките на новия</w:t>
      </w:r>
      <w:r w:rsidR="00A03831">
        <w:rPr>
          <w:rFonts w:ascii="Times New Roman" w:eastAsia="Times New Roman" w:hAnsi="Times New Roman" w:cs="Times New Roman"/>
          <w:sz w:val="24"/>
          <w:szCs w:val="24"/>
          <w:lang w:val="bg-BG"/>
        </w:rPr>
        <w:t xml:space="preserve"> прием.</w:t>
      </w:r>
    </w:p>
    <w:p w:rsidR="006B0D56" w:rsidRPr="00292755" w:rsidRDefault="006B0D56" w:rsidP="00292755">
      <w:pPr>
        <w:spacing w:after="0" w:line="240" w:lineRule="auto"/>
        <w:jc w:val="both"/>
        <w:rPr>
          <w:rFonts w:ascii="Times New Roman" w:eastAsia="Times New Roman" w:hAnsi="Times New Roman" w:cs="Times New Roman"/>
          <w:sz w:val="24"/>
          <w:szCs w:val="24"/>
          <w:lang w:val="bg-BG"/>
        </w:rPr>
      </w:pPr>
    </w:p>
    <w:p w:rsidR="006B0D56"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006B0D56" w:rsidRPr="00292755">
        <w:rPr>
          <w:rFonts w:ascii="Times New Roman" w:eastAsia="Times New Roman" w:hAnsi="Times New Roman" w:cs="Times New Roman"/>
          <w:sz w:val="24"/>
          <w:szCs w:val="24"/>
          <w:lang w:val="bg-BG"/>
        </w:rPr>
        <w:t xml:space="preserve"> </w:t>
      </w:r>
      <w:r w:rsidR="006E76FD" w:rsidRPr="00292755">
        <w:rPr>
          <w:rFonts w:ascii="Times New Roman" w:eastAsia="Times New Roman" w:hAnsi="Times New Roman" w:cs="Times New Roman"/>
          <w:sz w:val="24"/>
          <w:szCs w:val="24"/>
          <w:lang w:val="bg-BG"/>
        </w:rPr>
        <w:t>счита че</w:t>
      </w:r>
      <w:r w:rsidRPr="00292755">
        <w:rPr>
          <w:rFonts w:ascii="Times New Roman" w:eastAsia="Times New Roman" w:hAnsi="Times New Roman" w:cs="Times New Roman"/>
          <w:sz w:val="24"/>
          <w:szCs w:val="24"/>
          <w:lang w:val="bg-BG"/>
        </w:rPr>
        <w:t xml:space="preserve"> до 2025 година широколентовата връзка в селските р</w:t>
      </w:r>
      <w:r w:rsidR="006E76FD" w:rsidRPr="00292755">
        <w:rPr>
          <w:rFonts w:ascii="Times New Roman" w:eastAsia="Times New Roman" w:hAnsi="Times New Roman" w:cs="Times New Roman"/>
          <w:sz w:val="24"/>
          <w:szCs w:val="24"/>
          <w:lang w:val="bg-BG"/>
        </w:rPr>
        <w:t>айони трябва да бъде приключена.</w:t>
      </w:r>
      <w:r w:rsidRPr="00292755">
        <w:rPr>
          <w:rFonts w:ascii="Times New Roman" w:eastAsia="Times New Roman" w:hAnsi="Times New Roman" w:cs="Times New Roman"/>
          <w:sz w:val="24"/>
          <w:szCs w:val="24"/>
          <w:lang w:val="bg-BG"/>
        </w:rPr>
        <w:t xml:space="preserve"> </w:t>
      </w:r>
    </w:p>
    <w:p w:rsidR="006E76FD" w:rsidRPr="00292755" w:rsidRDefault="006E76FD" w:rsidP="00292755">
      <w:pPr>
        <w:spacing w:after="0" w:line="240" w:lineRule="auto"/>
        <w:jc w:val="both"/>
        <w:rPr>
          <w:rFonts w:ascii="Times New Roman" w:eastAsia="Times New Roman" w:hAnsi="Times New Roman" w:cs="Times New Roman"/>
          <w:sz w:val="24"/>
          <w:szCs w:val="24"/>
          <w:lang w:val="bg-BG"/>
        </w:rPr>
      </w:pPr>
    </w:p>
    <w:p w:rsidR="00404621"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ВЛАДИСЛАВ ЦВЕТАНОВ</w:t>
      </w:r>
      <w:r w:rsidRPr="00292755">
        <w:rPr>
          <w:rFonts w:ascii="Times New Roman" w:eastAsia="Times New Roman" w:hAnsi="Times New Roman" w:cs="Times New Roman"/>
          <w:sz w:val="24"/>
          <w:szCs w:val="24"/>
          <w:lang w:val="bg-BG"/>
        </w:rPr>
        <w:t xml:space="preserve"> </w:t>
      </w:r>
      <w:r w:rsidR="006E76FD" w:rsidRPr="00292755">
        <w:rPr>
          <w:rFonts w:ascii="Times New Roman" w:eastAsia="Times New Roman" w:hAnsi="Times New Roman" w:cs="Times New Roman"/>
          <w:sz w:val="24"/>
          <w:szCs w:val="24"/>
          <w:lang w:val="bg-BG"/>
        </w:rPr>
        <w:t>подчерта че в процедурата за инвестиции в инфраструктура</w:t>
      </w:r>
      <w:r w:rsidR="006E76FD" w:rsidRPr="00292755">
        <w:rPr>
          <w:rFonts w:ascii="Times New Roman" w:hAnsi="Times New Roman" w:cs="Times New Roman"/>
          <w:sz w:val="24"/>
          <w:szCs w:val="24"/>
        </w:rPr>
        <w:t xml:space="preserve"> </w:t>
      </w:r>
      <w:r w:rsidR="006E76FD" w:rsidRPr="00292755">
        <w:rPr>
          <w:rFonts w:ascii="Times New Roman" w:eastAsia="Times New Roman" w:hAnsi="Times New Roman" w:cs="Times New Roman"/>
          <w:sz w:val="24"/>
          <w:szCs w:val="24"/>
          <w:lang w:val="bg-BG"/>
        </w:rPr>
        <w:t xml:space="preserve">за напояване практически бенефициентът е един и </w:t>
      </w:r>
      <w:r w:rsidR="00404621" w:rsidRPr="00292755">
        <w:rPr>
          <w:rFonts w:ascii="Times New Roman" w:eastAsia="Times New Roman" w:hAnsi="Times New Roman" w:cs="Times New Roman"/>
          <w:sz w:val="24"/>
          <w:szCs w:val="24"/>
          <w:lang w:val="bg-BG"/>
        </w:rPr>
        <w:t xml:space="preserve">той подава проектни предложения, </w:t>
      </w:r>
      <w:r w:rsidRPr="00292755">
        <w:rPr>
          <w:rFonts w:ascii="Times New Roman" w:eastAsia="Times New Roman" w:hAnsi="Times New Roman" w:cs="Times New Roman"/>
          <w:sz w:val="24"/>
          <w:szCs w:val="24"/>
          <w:lang w:val="bg-BG"/>
        </w:rPr>
        <w:t>които са структурирани за различна територия от страната по съответните клонове</w:t>
      </w:r>
      <w:r w:rsidR="00404621" w:rsidRPr="00292755">
        <w:rPr>
          <w:rFonts w:ascii="Times New Roman" w:eastAsia="Times New Roman" w:hAnsi="Times New Roman" w:cs="Times New Roman"/>
          <w:sz w:val="24"/>
          <w:szCs w:val="24"/>
          <w:lang w:val="bg-BG"/>
        </w:rPr>
        <w:t>.</w:t>
      </w:r>
    </w:p>
    <w:p w:rsidR="00A03831" w:rsidRPr="00292755" w:rsidRDefault="00A03831"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Действията, които</w:t>
      </w:r>
      <w:r w:rsidR="00404621" w:rsidRPr="00292755">
        <w:rPr>
          <w:rFonts w:ascii="Times New Roman" w:eastAsia="Times New Roman" w:hAnsi="Times New Roman" w:cs="Times New Roman"/>
          <w:sz w:val="24"/>
          <w:szCs w:val="24"/>
          <w:lang w:val="bg-BG"/>
        </w:rPr>
        <w:t xml:space="preserve"> се предприеха</w:t>
      </w:r>
      <w:r w:rsidRPr="00292755">
        <w:rPr>
          <w:rFonts w:ascii="Times New Roman" w:eastAsia="Times New Roman" w:hAnsi="Times New Roman" w:cs="Times New Roman"/>
          <w:sz w:val="24"/>
          <w:szCs w:val="24"/>
          <w:lang w:val="bg-BG"/>
        </w:rPr>
        <w:t xml:space="preserve"> след отхвърлянето на пр</w:t>
      </w:r>
      <w:r w:rsidR="00404621" w:rsidRPr="00292755">
        <w:rPr>
          <w:rFonts w:ascii="Times New Roman" w:eastAsia="Times New Roman" w:hAnsi="Times New Roman" w:cs="Times New Roman"/>
          <w:sz w:val="24"/>
          <w:szCs w:val="24"/>
          <w:lang w:val="bg-BG"/>
        </w:rPr>
        <w:t xml:space="preserve">оектните предложения по </w:t>
      </w:r>
      <w:r w:rsidRPr="00292755">
        <w:rPr>
          <w:rFonts w:ascii="Times New Roman" w:eastAsia="Times New Roman" w:hAnsi="Times New Roman" w:cs="Times New Roman"/>
          <w:sz w:val="24"/>
          <w:szCs w:val="24"/>
          <w:lang w:val="bg-BG"/>
        </w:rPr>
        <w:t>процедура № 10, се изразяваха в това да</w:t>
      </w:r>
      <w:r w:rsidR="00404621" w:rsidRPr="00292755">
        <w:rPr>
          <w:rFonts w:ascii="Times New Roman" w:eastAsia="Times New Roman" w:hAnsi="Times New Roman" w:cs="Times New Roman"/>
          <w:sz w:val="24"/>
          <w:szCs w:val="24"/>
          <w:lang w:val="bg-BG"/>
        </w:rPr>
        <w:t xml:space="preserve"> се разработи</w:t>
      </w:r>
      <w:r w:rsidRPr="00292755">
        <w:rPr>
          <w:rFonts w:ascii="Times New Roman" w:eastAsia="Times New Roman" w:hAnsi="Times New Roman" w:cs="Times New Roman"/>
          <w:sz w:val="24"/>
          <w:szCs w:val="24"/>
          <w:lang w:val="bg-BG"/>
        </w:rPr>
        <w:t xml:space="preserve"> нова процедура</w:t>
      </w:r>
      <w:r w:rsidR="00404621"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спазвайки всички изисквания на ЗУСЕСИФ</w:t>
      </w:r>
      <w:r w:rsidR="00404621" w:rsidRPr="00292755">
        <w:rPr>
          <w:rFonts w:ascii="Times New Roman" w:eastAsia="Times New Roman" w:hAnsi="Times New Roman" w:cs="Times New Roman"/>
          <w:sz w:val="24"/>
          <w:szCs w:val="24"/>
          <w:lang w:val="bg-BG"/>
        </w:rPr>
        <w:t xml:space="preserve">.  Очаква се в рамките на новата </w:t>
      </w:r>
      <w:r w:rsidRPr="00292755">
        <w:rPr>
          <w:rFonts w:ascii="Times New Roman" w:eastAsia="Times New Roman" w:hAnsi="Times New Roman" w:cs="Times New Roman"/>
          <w:sz w:val="24"/>
          <w:szCs w:val="24"/>
          <w:lang w:val="bg-BG"/>
        </w:rPr>
        <w:t xml:space="preserve">процедура, която </w:t>
      </w:r>
      <w:r w:rsidR="00404621" w:rsidRPr="00292755">
        <w:rPr>
          <w:rFonts w:ascii="Times New Roman" w:eastAsia="Times New Roman" w:hAnsi="Times New Roman" w:cs="Times New Roman"/>
          <w:sz w:val="24"/>
          <w:szCs w:val="24"/>
          <w:lang w:val="bg-BG"/>
        </w:rPr>
        <w:t>в момента тече,</w:t>
      </w:r>
      <w:r w:rsidRPr="00292755">
        <w:rPr>
          <w:rFonts w:ascii="Times New Roman" w:eastAsia="Times New Roman" w:hAnsi="Times New Roman" w:cs="Times New Roman"/>
          <w:sz w:val="24"/>
          <w:szCs w:val="24"/>
          <w:lang w:val="bg-BG"/>
        </w:rPr>
        <w:t xml:space="preserve"> да бъдат пода</w:t>
      </w:r>
      <w:r w:rsidR="00404621" w:rsidRPr="00292755">
        <w:rPr>
          <w:rFonts w:ascii="Times New Roman" w:eastAsia="Times New Roman" w:hAnsi="Times New Roman" w:cs="Times New Roman"/>
          <w:sz w:val="24"/>
          <w:szCs w:val="24"/>
          <w:lang w:val="bg-BG"/>
        </w:rPr>
        <w:t xml:space="preserve">дени проектни предложения и в впоследствие </w:t>
      </w:r>
      <w:r w:rsidRPr="00292755">
        <w:rPr>
          <w:rFonts w:ascii="Times New Roman" w:eastAsia="Times New Roman" w:hAnsi="Times New Roman" w:cs="Times New Roman"/>
          <w:sz w:val="24"/>
          <w:szCs w:val="24"/>
          <w:lang w:val="bg-BG"/>
        </w:rPr>
        <w:t>комисия</w:t>
      </w:r>
      <w:r w:rsidR="00404621" w:rsidRPr="00292755">
        <w:rPr>
          <w:rFonts w:ascii="Times New Roman" w:eastAsia="Times New Roman" w:hAnsi="Times New Roman" w:cs="Times New Roman"/>
          <w:sz w:val="24"/>
          <w:szCs w:val="24"/>
          <w:lang w:val="bg-BG"/>
        </w:rPr>
        <w:t>та</w:t>
      </w:r>
      <w:r w:rsidRPr="00292755">
        <w:rPr>
          <w:rFonts w:ascii="Times New Roman" w:eastAsia="Times New Roman" w:hAnsi="Times New Roman" w:cs="Times New Roman"/>
          <w:sz w:val="24"/>
          <w:szCs w:val="24"/>
          <w:lang w:val="bg-BG"/>
        </w:rPr>
        <w:t xml:space="preserve"> за оценка да прецени кои от проектните предложения отговарят на правилата и кои не.</w:t>
      </w:r>
    </w:p>
    <w:p w:rsidR="006B0D56" w:rsidRPr="00292755" w:rsidRDefault="006B0D56"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00404621" w:rsidRPr="00292755">
        <w:rPr>
          <w:rFonts w:ascii="Times New Roman" w:eastAsia="Times New Roman" w:hAnsi="Times New Roman" w:cs="Times New Roman"/>
          <w:b/>
          <w:sz w:val="24"/>
          <w:szCs w:val="24"/>
          <w:lang w:val="bg-BG"/>
        </w:rPr>
        <w:t xml:space="preserve"> </w:t>
      </w:r>
      <w:r w:rsidR="00404621" w:rsidRPr="00292755">
        <w:rPr>
          <w:rFonts w:ascii="Times New Roman" w:eastAsia="Times New Roman" w:hAnsi="Times New Roman" w:cs="Times New Roman"/>
          <w:sz w:val="24"/>
          <w:szCs w:val="24"/>
          <w:lang w:val="bg-BG"/>
        </w:rPr>
        <w:t xml:space="preserve">представи решение по дискутираната точка от дневния ред, като уточни, че  точката </w:t>
      </w:r>
      <w:r w:rsidRPr="00292755">
        <w:rPr>
          <w:rFonts w:ascii="Times New Roman" w:eastAsia="Times New Roman" w:hAnsi="Times New Roman" w:cs="Times New Roman"/>
          <w:sz w:val="24"/>
          <w:szCs w:val="24"/>
          <w:lang w:val="bg-BG"/>
        </w:rPr>
        <w:t xml:space="preserve">е за информация </w:t>
      </w:r>
      <w:r w:rsidR="00404621" w:rsidRPr="00292755">
        <w:rPr>
          <w:rFonts w:ascii="Times New Roman" w:eastAsia="Times New Roman" w:hAnsi="Times New Roman" w:cs="Times New Roman"/>
          <w:sz w:val="24"/>
          <w:szCs w:val="24"/>
          <w:lang w:val="bg-BG"/>
        </w:rPr>
        <w:t xml:space="preserve">и </w:t>
      </w:r>
      <w:r w:rsidRPr="00292755">
        <w:rPr>
          <w:rFonts w:ascii="Times New Roman" w:eastAsia="Times New Roman" w:hAnsi="Times New Roman" w:cs="Times New Roman"/>
          <w:sz w:val="24"/>
          <w:szCs w:val="24"/>
          <w:lang w:val="bg-BG"/>
        </w:rPr>
        <w:t>не следва да се гласува.</w:t>
      </w:r>
    </w:p>
    <w:p w:rsidR="0031329E" w:rsidRPr="00292755" w:rsidRDefault="0031329E" w:rsidP="00292755">
      <w:pPr>
        <w:spacing w:after="0" w:line="240" w:lineRule="auto"/>
        <w:jc w:val="both"/>
        <w:rPr>
          <w:rFonts w:ascii="Times New Roman" w:eastAsia="Times New Roman" w:hAnsi="Times New Roman" w:cs="Times New Roman"/>
          <w:sz w:val="24"/>
          <w:szCs w:val="24"/>
          <w:lang w:val="bg-BG"/>
        </w:rPr>
      </w:pPr>
    </w:p>
    <w:p w:rsidR="00404621" w:rsidRPr="00292755" w:rsidRDefault="0031329E" w:rsidP="00292755">
      <w:pPr>
        <w:spacing w:after="0" w:line="240" w:lineRule="auto"/>
        <w:jc w:val="both"/>
        <w:rPr>
          <w:rFonts w:ascii="Times New Roman" w:eastAsia="Times New Roman" w:hAnsi="Times New Roman" w:cs="Times New Roman"/>
          <w:b/>
          <w:sz w:val="24"/>
          <w:szCs w:val="24"/>
          <w:lang w:val="bg-BG"/>
        </w:rPr>
      </w:pPr>
      <w:r w:rsidRPr="00292755">
        <w:rPr>
          <w:rFonts w:ascii="Times New Roman" w:eastAsia="Times New Roman" w:hAnsi="Times New Roman" w:cs="Times New Roman"/>
          <w:b/>
          <w:sz w:val="24"/>
          <w:szCs w:val="24"/>
          <w:lang w:val="bg-BG"/>
        </w:rPr>
        <w:t xml:space="preserve">РЕШЕНИЕ ПО Т. </w:t>
      </w:r>
      <w:r w:rsidR="00404621" w:rsidRPr="00292755">
        <w:rPr>
          <w:rFonts w:ascii="Times New Roman" w:eastAsia="Times New Roman" w:hAnsi="Times New Roman" w:cs="Times New Roman"/>
          <w:b/>
          <w:sz w:val="24"/>
          <w:szCs w:val="24"/>
          <w:lang w:val="bg-BG"/>
        </w:rPr>
        <w:t>2</w:t>
      </w:r>
      <w:r w:rsidRPr="00292755">
        <w:rPr>
          <w:rFonts w:ascii="Times New Roman" w:eastAsia="Times New Roman" w:hAnsi="Times New Roman" w:cs="Times New Roman"/>
          <w:b/>
          <w:sz w:val="24"/>
          <w:szCs w:val="24"/>
          <w:lang w:val="bg-BG"/>
        </w:rPr>
        <w:t>:</w:t>
      </w:r>
    </w:p>
    <w:p w:rsidR="00451964" w:rsidRPr="00292755" w:rsidRDefault="00395738" w:rsidP="00292755">
      <w:pPr>
        <w:spacing w:after="0" w:line="240" w:lineRule="auto"/>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t>Комитетът по наблюдение прие</w:t>
      </w:r>
      <w:r w:rsidR="00451964" w:rsidRPr="00292755">
        <w:rPr>
          <w:rFonts w:ascii="Times New Roman" w:eastAsia="Times New Roman" w:hAnsi="Times New Roman" w:cs="Times New Roman"/>
          <w:i/>
          <w:sz w:val="24"/>
          <w:szCs w:val="24"/>
          <w:lang w:val="bg-BG"/>
        </w:rPr>
        <w:t xml:space="preserve"> за сведение информацията за напредъка в изпълнението на ПРСР 2014-2020 г.</w:t>
      </w:r>
    </w:p>
    <w:p w:rsidR="00404621" w:rsidRPr="00292755" w:rsidRDefault="00404621"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b/>
          <w:sz w:val="24"/>
          <w:szCs w:val="24"/>
          <w:u w:val="single"/>
          <w:lang w:val="bg-BG"/>
        </w:rPr>
      </w:pPr>
      <w:r w:rsidRPr="00292755">
        <w:rPr>
          <w:rFonts w:ascii="Times New Roman" w:eastAsia="Times New Roman" w:hAnsi="Times New Roman" w:cs="Times New Roman"/>
          <w:b/>
          <w:sz w:val="24"/>
          <w:szCs w:val="24"/>
          <w:u w:val="single"/>
          <w:lang w:val="bg-BG"/>
        </w:rPr>
        <w:t>Точка 3</w:t>
      </w:r>
    </w:p>
    <w:p w:rsidR="00451964" w:rsidRPr="00292755" w:rsidRDefault="00451964" w:rsidP="00292755">
      <w:pPr>
        <w:spacing w:after="0" w:line="240" w:lineRule="auto"/>
        <w:jc w:val="both"/>
        <w:rPr>
          <w:rFonts w:ascii="Times New Roman" w:eastAsia="Calibri" w:hAnsi="Times New Roman" w:cs="Times New Roman"/>
          <w:b/>
          <w:sz w:val="24"/>
          <w:szCs w:val="24"/>
          <w:lang w:val="bg-BG"/>
        </w:rPr>
      </w:pPr>
      <w:r w:rsidRPr="00292755">
        <w:rPr>
          <w:rFonts w:ascii="Times New Roman" w:eastAsia="Calibri" w:hAnsi="Times New Roman" w:cs="Times New Roman"/>
          <w:b/>
          <w:sz w:val="24"/>
          <w:szCs w:val="24"/>
          <w:lang w:val="bg-BG"/>
        </w:rPr>
        <w:t>Предложение на УО на ПРСР 2014-2020 г. за 13-то изменение на Програмата за развитие на селските райони 2014-2020 г. и даване на мандат на Управляващия орган да го представи и договори с  Европейската комисия, а именно:</w:t>
      </w:r>
    </w:p>
    <w:p w:rsidR="00451964" w:rsidRPr="00292755" w:rsidRDefault="00451964" w:rsidP="00292755">
      <w:pPr>
        <w:spacing w:after="0" w:line="240" w:lineRule="auto"/>
        <w:jc w:val="both"/>
        <w:rPr>
          <w:rFonts w:ascii="Times New Roman" w:eastAsia="Calibri" w:hAnsi="Times New Roman" w:cs="Times New Roman"/>
          <w:sz w:val="24"/>
          <w:szCs w:val="24"/>
          <w:lang w:val="bg-BG"/>
        </w:rPr>
      </w:pPr>
      <w:r w:rsidRPr="00292755">
        <w:rPr>
          <w:rFonts w:ascii="Times New Roman" w:eastAsia="Calibri" w:hAnsi="Times New Roman" w:cs="Times New Roman"/>
          <w:sz w:val="24"/>
          <w:szCs w:val="24"/>
          <w:lang w:val="bg-BG"/>
        </w:rPr>
        <w:t>3.1. Предложение на УО за промяна в текста на подмярка 7.2 „Инвестиции в създаването, подобряването или разширяването на всички видове малка по мащаби инфра</w:t>
      </w:r>
      <w:r w:rsidR="00440B39" w:rsidRPr="00292755">
        <w:rPr>
          <w:rFonts w:ascii="Times New Roman" w:eastAsia="Calibri" w:hAnsi="Times New Roman" w:cs="Times New Roman"/>
          <w:sz w:val="24"/>
          <w:szCs w:val="24"/>
          <w:lang w:val="bg-BG"/>
        </w:rPr>
        <w:t>структура“ от ПРСР (2014-2020).</w:t>
      </w:r>
    </w:p>
    <w:p w:rsidR="00440B39" w:rsidRPr="00292755" w:rsidRDefault="00440B39" w:rsidP="00292755">
      <w:pPr>
        <w:spacing w:after="0" w:line="240" w:lineRule="auto"/>
        <w:jc w:val="both"/>
        <w:rPr>
          <w:rFonts w:ascii="Times New Roman" w:eastAsia="Calibri"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lang w:val="bg-BG"/>
        </w:rPr>
        <w:t xml:space="preserve"> даде думата на г-жа Елена Иванова да представи пхредложението за 13</w:t>
      </w:r>
      <w:r w:rsidR="00A03831">
        <w:rPr>
          <w:rFonts w:ascii="Times New Roman" w:eastAsia="Times New Roman" w:hAnsi="Times New Roman" w:cs="Times New Roman"/>
          <w:sz w:val="24"/>
          <w:szCs w:val="24"/>
          <w:lang w:val="bg-BG"/>
        </w:rPr>
        <w:t>-то</w:t>
      </w:r>
      <w:r w:rsidRPr="00292755">
        <w:rPr>
          <w:rFonts w:ascii="Times New Roman" w:eastAsia="Times New Roman" w:hAnsi="Times New Roman" w:cs="Times New Roman"/>
          <w:sz w:val="24"/>
          <w:szCs w:val="24"/>
          <w:lang w:val="bg-BG"/>
        </w:rPr>
        <w:t xml:space="preserve"> изменение на програмата, съответно изменението в текста на подмярка 7.2.</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ЕЛЕНА ИВАНОВА</w:t>
      </w:r>
      <w:r w:rsidRPr="00292755">
        <w:rPr>
          <w:rFonts w:ascii="Times New Roman" w:eastAsia="Times New Roman" w:hAnsi="Times New Roman" w:cs="Times New Roman"/>
          <w:sz w:val="24"/>
          <w:szCs w:val="24"/>
          <w:lang w:val="bg-BG"/>
        </w:rPr>
        <w:t xml:space="preserve"> накратко  изложи измененията и допълненията в текста на подмярка 7.2,  свързани с прецизиране на условията за допустимост и </w:t>
      </w:r>
      <w:r w:rsidR="00A03831">
        <w:rPr>
          <w:rFonts w:ascii="Times New Roman" w:eastAsia="Times New Roman" w:hAnsi="Times New Roman" w:cs="Times New Roman"/>
          <w:sz w:val="24"/>
          <w:szCs w:val="24"/>
          <w:lang w:val="bg-BG"/>
        </w:rPr>
        <w:t xml:space="preserve">принципите при определяне на </w:t>
      </w:r>
      <w:r w:rsidRPr="00292755">
        <w:rPr>
          <w:rFonts w:ascii="Times New Roman" w:eastAsia="Times New Roman" w:hAnsi="Times New Roman" w:cs="Times New Roman"/>
          <w:sz w:val="24"/>
          <w:szCs w:val="24"/>
          <w:lang w:val="bg-BG"/>
        </w:rPr>
        <w:t xml:space="preserve">критериите за подбор. </w:t>
      </w:r>
      <w:r w:rsidR="00440B39" w:rsidRPr="00292755">
        <w:rPr>
          <w:rFonts w:ascii="Times New Roman" w:eastAsia="Times New Roman" w:hAnsi="Times New Roman" w:cs="Times New Roman"/>
          <w:sz w:val="24"/>
          <w:szCs w:val="24"/>
          <w:lang w:val="bg-BG"/>
        </w:rPr>
        <w:t>П</w:t>
      </w:r>
      <w:r w:rsidRPr="00292755">
        <w:rPr>
          <w:rFonts w:ascii="Times New Roman" w:eastAsia="Times New Roman" w:hAnsi="Times New Roman" w:cs="Times New Roman"/>
          <w:sz w:val="24"/>
          <w:szCs w:val="24"/>
          <w:lang w:val="bg-BG"/>
        </w:rPr>
        <w:t>редложението за тези изменения и допълнения е обусловено</w:t>
      </w:r>
      <w:r w:rsidR="00440B39" w:rsidRPr="00292755">
        <w:rPr>
          <w:rFonts w:ascii="Times New Roman" w:eastAsia="Times New Roman" w:hAnsi="Times New Roman" w:cs="Times New Roman"/>
          <w:sz w:val="24"/>
          <w:szCs w:val="24"/>
          <w:lang w:val="bg-BG"/>
        </w:rPr>
        <w:t xml:space="preserve"> от факта, че предстои обявяването</w:t>
      </w:r>
      <w:r w:rsidRPr="00292755">
        <w:rPr>
          <w:rFonts w:ascii="Times New Roman" w:eastAsia="Times New Roman" w:hAnsi="Times New Roman" w:cs="Times New Roman"/>
          <w:sz w:val="24"/>
          <w:szCs w:val="24"/>
          <w:lang w:val="bg-BG"/>
        </w:rPr>
        <w:t xml:space="preserve"> на четири процедури за подбор и с цел ефективното насочване на средствата и прецизиране на изискванията и условията за допустимост се налагат някои изменения в текста на подмярка 7.2 в рамките на програмата.</w:t>
      </w:r>
    </w:p>
    <w:p w:rsidR="00451964" w:rsidRDefault="00440B39"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Първото </w:t>
      </w:r>
      <w:r w:rsidR="00451964" w:rsidRPr="00292755">
        <w:rPr>
          <w:rFonts w:ascii="Times New Roman" w:eastAsia="Times New Roman" w:hAnsi="Times New Roman" w:cs="Times New Roman"/>
          <w:sz w:val="24"/>
          <w:szCs w:val="24"/>
          <w:lang w:val="bg-BG"/>
        </w:rPr>
        <w:t>пр</w:t>
      </w:r>
      <w:r w:rsidRPr="00292755">
        <w:rPr>
          <w:rFonts w:ascii="Times New Roman" w:eastAsia="Times New Roman" w:hAnsi="Times New Roman" w:cs="Times New Roman"/>
          <w:sz w:val="24"/>
          <w:szCs w:val="24"/>
          <w:lang w:val="bg-BG"/>
        </w:rPr>
        <w:t>едложение е свързано с отпадане</w:t>
      </w:r>
      <w:r w:rsidR="00451964" w:rsidRPr="00292755">
        <w:rPr>
          <w:rFonts w:ascii="Times New Roman" w:eastAsia="Times New Roman" w:hAnsi="Times New Roman" w:cs="Times New Roman"/>
          <w:sz w:val="24"/>
          <w:szCs w:val="24"/>
          <w:lang w:val="bg-BG"/>
        </w:rPr>
        <w:t xml:space="preserve"> на изискването да има </w:t>
      </w:r>
      <w:r w:rsidR="00744677">
        <w:rPr>
          <w:rFonts w:ascii="Times New Roman" w:eastAsia="Times New Roman" w:hAnsi="Times New Roman" w:cs="Times New Roman"/>
          <w:sz w:val="24"/>
          <w:szCs w:val="24"/>
          <w:lang w:val="bg-BG"/>
        </w:rPr>
        <w:t>ограничение в броя на проектите</w:t>
      </w:r>
      <w:r w:rsidR="00451964" w:rsidRPr="00292755">
        <w:rPr>
          <w:rFonts w:ascii="Times New Roman" w:eastAsia="Times New Roman" w:hAnsi="Times New Roman" w:cs="Times New Roman"/>
          <w:sz w:val="24"/>
          <w:szCs w:val="24"/>
          <w:lang w:val="bg-BG"/>
        </w:rPr>
        <w:t xml:space="preserve"> на кандидати общини, които имат одобрен проект по конкретна дейност от предходен проведен прием на заявления за подпомагане да нямат възможност да кандидатстват с проект за същата дейност. Предложението на Управляващия орган е това ограничение да не се прилага в рамките на преходния период 2021 – 2022 година, тоест в рамките на настоящия прием да има възможност, ако има кандидат община, </w:t>
      </w:r>
      <w:r w:rsidRPr="00292755">
        <w:rPr>
          <w:rFonts w:ascii="Times New Roman" w:eastAsia="Times New Roman" w:hAnsi="Times New Roman" w:cs="Times New Roman"/>
          <w:sz w:val="24"/>
          <w:szCs w:val="24"/>
          <w:lang w:val="bg-BG"/>
        </w:rPr>
        <w:t xml:space="preserve">с </w:t>
      </w:r>
      <w:r w:rsidR="00451964" w:rsidRPr="00292755">
        <w:rPr>
          <w:rFonts w:ascii="Times New Roman" w:eastAsia="Times New Roman" w:hAnsi="Times New Roman" w:cs="Times New Roman"/>
          <w:sz w:val="24"/>
          <w:szCs w:val="24"/>
          <w:lang w:val="bg-BG"/>
        </w:rPr>
        <w:t xml:space="preserve">одобрен проект </w:t>
      </w:r>
      <w:r w:rsidR="00744677">
        <w:rPr>
          <w:rFonts w:ascii="Times New Roman" w:eastAsia="Times New Roman" w:hAnsi="Times New Roman" w:cs="Times New Roman"/>
          <w:sz w:val="24"/>
          <w:szCs w:val="24"/>
          <w:lang w:val="bg-BG"/>
        </w:rPr>
        <w:t xml:space="preserve">например </w:t>
      </w:r>
      <w:r w:rsidR="00451964" w:rsidRPr="00292755">
        <w:rPr>
          <w:rFonts w:ascii="Times New Roman" w:eastAsia="Times New Roman" w:hAnsi="Times New Roman" w:cs="Times New Roman"/>
          <w:sz w:val="24"/>
          <w:szCs w:val="24"/>
          <w:lang w:val="bg-BG"/>
        </w:rPr>
        <w:t>за дейност „Улици“</w:t>
      </w:r>
      <w:r w:rsidR="00744677">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отново да има възможност да кандидатства за дейност „Улици“ в рамките на настоящия прием.</w:t>
      </w:r>
    </w:p>
    <w:p w:rsidR="00744677" w:rsidRPr="00292755" w:rsidRDefault="00744677" w:rsidP="00292755">
      <w:pPr>
        <w:spacing w:after="0" w:line="240" w:lineRule="auto"/>
        <w:jc w:val="both"/>
        <w:rPr>
          <w:rFonts w:ascii="Times New Roman" w:eastAsia="Times New Roman" w:hAnsi="Times New Roman" w:cs="Times New Roman"/>
          <w:sz w:val="24"/>
          <w:szCs w:val="24"/>
          <w:lang w:val="bg-BG"/>
        </w:rPr>
      </w:pPr>
    </w:p>
    <w:p w:rsidR="00451964"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С единадесетото изменение на програмата</w:t>
      </w:r>
      <w:r w:rsidR="00440B39"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 xml:space="preserve">беше въведен текст, който казва, че ще има изготвена и утвърдена Методика за определяне на гарантирани бюджети за общините в обхвата на селските райони на страната. Този текст беше включен с оглед взетото към онзи момент решение приемът за общините да се прилага в рамките на Подхода за интегрирани териториални инвестиции. След проведени срещи, включително с представители на Националното сдружение на общините в Република България е взето решение, че приемът през настоящата 2022 година, четирите процедури ще бъдат проведени в рамките на конкурентен подбор. В тази връзка Методиката за определяне на гарантирани бюджети за общините е неприложима в рамките на този прием. Тя няма да бъде приложима и до края на програмния период, а ще се прилага в рамките на Стратегическия план и на новата интервенция </w:t>
      </w:r>
      <w:r w:rsidR="00440B39" w:rsidRPr="00292755">
        <w:rPr>
          <w:rFonts w:ascii="Times New Roman" w:eastAsia="Times New Roman" w:hAnsi="Times New Roman" w:cs="Times New Roman"/>
          <w:sz w:val="24"/>
          <w:szCs w:val="24"/>
          <w:lang w:val="bg-BG"/>
        </w:rPr>
        <w:t xml:space="preserve">и в тази връзка предложението </w:t>
      </w:r>
      <w:r w:rsidRPr="00292755">
        <w:rPr>
          <w:rFonts w:ascii="Times New Roman" w:eastAsia="Times New Roman" w:hAnsi="Times New Roman" w:cs="Times New Roman"/>
          <w:sz w:val="24"/>
          <w:szCs w:val="24"/>
          <w:lang w:val="bg-BG"/>
        </w:rPr>
        <w:t xml:space="preserve"> е този текст да отпадне.</w:t>
      </w:r>
    </w:p>
    <w:p w:rsidR="00744677" w:rsidRPr="00292755" w:rsidRDefault="00744677" w:rsidP="00292755">
      <w:pPr>
        <w:spacing w:after="0" w:line="240" w:lineRule="auto"/>
        <w:jc w:val="both"/>
        <w:rPr>
          <w:rFonts w:ascii="Times New Roman" w:eastAsia="Times New Roman" w:hAnsi="Times New Roman" w:cs="Times New Roman"/>
          <w:sz w:val="24"/>
          <w:szCs w:val="24"/>
          <w:lang w:val="bg-BG"/>
        </w:rPr>
      </w:pPr>
    </w:p>
    <w:p w:rsidR="00451964"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Допълнително </w:t>
      </w:r>
      <w:r w:rsidR="00440B39" w:rsidRPr="00292755">
        <w:rPr>
          <w:rFonts w:ascii="Times New Roman" w:eastAsia="Times New Roman" w:hAnsi="Times New Roman" w:cs="Times New Roman"/>
          <w:sz w:val="24"/>
          <w:szCs w:val="24"/>
          <w:lang w:val="bg-BG"/>
        </w:rPr>
        <w:t>се прави</w:t>
      </w:r>
      <w:r w:rsidRPr="00292755">
        <w:rPr>
          <w:rFonts w:ascii="Times New Roman" w:eastAsia="Times New Roman" w:hAnsi="Times New Roman" w:cs="Times New Roman"/>
          <w:sz w:val="24"/>
          <w:szCs w:val="24"/>
          <w:lang w:val="bg-BG"/>
        </w:rPr>
        <w:t xml:space="preserve"> прецизиране на дефиницията за селски райони. </w:t>
      </w:r>
      <w:r w:rsidR="00440B39" w:rsidRPr="00292755">
        <w:rPr>
          <w:rFonts w:ascii="Times New Roman" w:eastAsia="Times New Roman" w:hAnsi="Times New Roman" w:cs="Times New Roman"/>
          <w:sz w:val="24"/>
          <w:szCs w:val="24"/>
          <w:lang w:val="bg-BG"/>
        </w:rPr>
        <w:t>В одобреното Споразумение</w:t>
      </w:r>
      <w:r w:rsidRPr="00292755">
        <w:rPr>
          <w:rFonts w:ascii="Times New Roman" w:eastAsia="Times New Roman" w:hAnsi="Times New Roman" w:cs="Times New Roman"/>
          <w:sz w:val="24"/>
          <w:szCs w:val="24"/>
          <w:lang w:val="bg-BG"/>
        </w:rPr>
        <w:t xml:space="preserve"> за партньорство </w:t>
      </w:r>
      <w:r w:rsidR="00440B39" w:rsidRPr="00292755">
        <w:rPr>
          <w:rFonts w:ascii="Times New Roman" w:eastAsia="Times New Roman" w:hAnsi="Times New Roman" w:cs="Times New Roman"/>
          <w:sz w:val="24"/>
          <w:szCs w:val="24"/>
          <w:lang w:val="bg-BG"/>
        </w:rPr>
        <w:t>на Република България  е  включена</w:t>
      </w:r>
      <w:r w:rsidRPr="00292755">
        <w:rPr>
          <w:rFonts w:ascii="Times New Roman" w:eastAsia="Times New Roman" w:hAnsi="Times New Roman" w:cs="Times New Roman"/>
          <w:sz w:val="24"/>
          <w:szCs w:val="24"/>
          <w:lang w:val="bg-BG"/>
        </w:rPr>
        <w:t xml:space="preserve"> новата дефиниция, която ще бъде приложима и ще служи като разграничение и разделение между дейностите и обхвата на допустимите кандидати по Програмата за развитие на селските райони, респективно Стратегическия план от 2023 година </w:t>
      </w:r>
      <w:r w:rsidR="00440B39" w:rsidRPr="00292755">
        <w:rPr>
          <w:rFonts w:ascii="Times New Roman" w:eastAsia="Times New Roman" w:hAnsi="Times New Roman" w:cs="Times New Roman"/>
          <w:sz w:val="24"/>
          <w:szCs w:val="24"/>
          <w:lang w:val="bg-BG"/>
        </w:rPr>
        <w:t>и Програма „Региони в растеж“,</w:t>
      </w:r>
      <w:r w:rsidR="00744677">
        <w:rPr>
          <w:rFonts w:ascii="Times New Roman" w:eastAsia="Times New Roman" w:hAnsi="Times New Roman" w:cs="Times New Roman"/>
          <w:sz w:val="24"/>
          <w:szCs w:val="24"/>
          <w:lang w:val="bg-BG"/>
        </w:rPr>
        <w:t xml:space="preserve"> </w:t>
      </w:r>
      <w:r w:rsidR="00440B39" w:rsidRPr="00292755">
        <w:rPr>
          <w:rFonts w:ascii="Times New Roman" w:eastAsia="Times New Roman" w:hAnsi="Times New Roman" w:cs="Times New Roman"/>
          <w:sz w:val="24"/>
          <w:szCs w:val="24"/>
          <w:lang w:val="bg-BG"/>
        </w:rPr>
        <w:t>“Р</w:t>
      </w:r>
      <w:r w:rsidRPr="00292755">
        <w:rPr>
          <w:rFonts w:ascii="Times New Roman" w:eastAsia="Times New Roman" w:hAnsi="Times New Roman" w:cs="Times New Roman"/>
          <w:sz w:val="24"/>
          <w:szCs w:val="24"/>
          <w:lang w:val="bg-BG"/>
        </w:rPr>
        <w:t>азвитие на регионите</w:t>
      </w:r>
      <w:r w:rsidR="00440B39" w:rsidRPr="00292755">
        <w:rPr>
          <w:rFonts w:ascii="Times New Roman" w:eastAsia="Times New Roman" w:hAnsi="Times New Roman" w:cs="Times New Roman"/>
          <w:sz w:val="24"/>
          <w:szCs w:val="24"/>
          <w:lang w:val="bg-BG"/>
        </w:rPr>
        <w:t xml:space="preserve">“ от новия програмен период. </w:t>
      </w:r>
      <w:r w:rsidR="00B33AE8" w:rsidRPr="00292755">
        <w:rPr>
          <w:rFonts w:ascii="Times New Roman" w:eastAsia="Times New Roman" w:hAnsi="Times New Roman" w:cs="Times New Roman"/>
          <w:sz w:val="24"/>
          <w:szCs w:val="24"/>
          <w:lang w:val="bg-BG"/>
        </w:rPr>
        <w:t>П</w:t>
      </w:r>
      <w:r w:rsidRPr="00292755">
        <w:rPr>
          <w:rFonts w:ascii="Times New Roman" w:eastAsia="Times New Roman" w:hAnsi="Times New Roman" w:cs="Times New Roman"/>
          <w:sz w:val="24"/>
          <w:szCs w:val="24"/>
          <w:lang w:val="bg-BG"/>
        </w:rPr>
        <w:t>о новата дефиниция т.нар.</w:t>
      </w:r>
      <w:r w:rsidR="00B33AE8" w:rsidRPr="00292755">
        <w:rPr>
          <w:rFonts w:ascii="Times New Roman" w:eastAsia="Times New Roman" w:hAnsi="Times New Roman" w:cs="Times New Roman"/>
          <w:sz w:val="24"/>
          <w:szCs w:val="24"/>
          <w:lang w:val="bg-BG"/>
        </w:rPr>
        <w:t xml:space="preserve"> „селски общини“ са 215 на брой, </w:t>
      </w:r>
      <w:r w:rsidR="00744677">
        <w:rPr>
          <w:rFonts w:ascii="Times New Roman" w:eastAsia="Times New Roman" w:hAnsi="Times New Roman" w:cs="Times New Roman"/>
          <w:sz w:val="24"/>
          <w:szCs w:val="24"/>
          <w:lang w:val="bg-BG"/>
        </w:rPr>
        <w:t xml:space="preserve"> </w:t>
      </w:r>
      <w:r w:rsidR="00B33AE8" w:rsidRPr="00292755">
        <w:rPr>
          <w:rFonts w:ascii="Times New Roman" w:eastAsia="Times New Roman" w:hAnsi="Times New Roman" w:cs="Times New Roman"/>
          <w:sz w:val="24"/>
          <w:szCs w:val="24"/>
          <w:lang w:val="bg-BG"/>
        </w:rPr>
        <w:t>о</w:t>
      </w:r>
      <w:r w:rsidR="00744677">
        <w:rPr>
          <w:rFonts w:ascii="Times New Roman" w:eastAsia="Times New Roman" w:hAnsi="Times New Roman" w:cs="Times New Roman"/>
          <w:sz w:val="24"/>
          <w:szCs w:val="24"/>
          <w:lang w:val="bg-BG"/>
        </w:rPr>
        <w:t>бщини</w:t>
      </w:r>
      <w:r w:rsidRPr="00292755">
        <w:rPr>
          <w:rFonts w:ascii="Times New Roman" w:eastAsia="Times New Roman" w:hAnsi="Times New Roman" w:cs="Times New Roman"/>
          <w:sz w:val="24"/>
          <w:szCs w:val="24"/>
          <w:lang w:val="bg-BG"/>
        </w:rPr>
        <w:t xml:space="preserve"> в които няма населено място с население над 15 хиляди души. Тази дефиниция ще се прилага в рамките на преходния период 2021 – 2022 година.</w:t>
      </w:r>
    </w:p>
    <w:p w:rsidR="00744677" w:rsidRPr="00292755" w:rsidRDefault="00744677" w:rsidP="00292755">
      <w:pPr>
        <w:spacing w:after="0" w:line="240" w:lineRule="auto"/>
        <w:jc w:val="both"/>
        <w:rPr>
          <w:rFonts w:ascii="Times New Roman" w:eastAsia="Times New Roman" w:hAnsi="Times New Roman" w:cs="Times New Roman"/>
          <w:sz w:val="24"/>
          <w:szCs w:val="24"/>
          <w:lang w:val="bg-BG"/>
        </w:rPr>
      </w:pPr>
    </w:p>
    <w:p w:rsidR="00451964"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Последните изменения и допълнения са свързани с прецизиране на принципите при определяне на критериите за подбор. В дейността за реконструкция и рехабилитация на нови и същ</w:t>
      </w:r>
      <w:r w:rsidR="00B33AE8" w:rsidRPr="00292755">
        <w:rPr>
          <w:rFonts w:ascii="Times New Roman" w:eastAsia="Times New Roman" w:hAnsi="Times New Roman" w:cs="Times New Roman"/>
          <w:sz w:val="24"/>
          <w:szCs w:val="24"/>
          <w:lang w:val="bg-BG"/>
        </w:rPr>
        <w:t>ествуващи общински пътища, улици</w:t>
      </w:r>
      <w:r w:rsidRPr="00292755">
        <w:rPr>
          <w:rFonts w:ascii="Times New Roman" w:eastAsia="Times New Roman" w:hAnsi="Times New Roman" w:cs="Times New Roman"/>
          <w:sz w:val="24"/>
          <w:szCs w:val="24"/>
          <w:lang w:val="bg-BG"/>
        </w:rPr>
        <w:t>, тротоари, съоръжения и прина</w:t>
      </w:r>
      <w:r w:rsidR="00744677">
        <w:rPr>
          <w:rFonts w:ascii="Times New Roman" w:eastAsia="Times New Roman" w:hAnsi="Times New Roman" w:cs="Times New Roman"/>
          <w:sz w:val="24"/>
          <w:szCs w:val="24"/>
          <w:lang w:val="bg-BG"/>
        </w:rPr>
        <w:t>длежностите към тях, в критерия</w:t>
      </w:r>
      <w:r w:rsidRPr="00292755">
        <w:rPr>
          <w:rFonts w:ascii="Times New Roman" w:eastAsia="Times New Roman" w:hAnsi="Times New Roman" w:cs="Times New Roman"/>
          <w:sz w:val="24"/>
          <w:szCs w:val="24"/>
          <w:lang w:val="bg-BG"/>
        </w:rPr>
        <w:t xml:space="preserve"> който предоставя приоритет за инвестиция, която осигурява директна свързаност на населеното място с по-висок клас републикански път</w:t>
      </w:r>
      <w:r w:rsidR="00B33AE8"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предложението е да няма ограниче</w:t>
      </w:r>
      <w:r w:rsidR="00B33AE8" w:rsidRPr="00292755">
        <w:rPr>
          <w:rFonts w:ascii="Times New Roman" w:eastAsia="Times New Roman" w:hAnsi="Times New Roman" w:cs="Times New Roman"/>
          <w:sz w:val="24"/>
          <w:szCs w:val="24"/>
          <w:lang w:val="bg-BG"/>
        </w:rPr>
        <w:t>ние само до републикански път</w:t>
      </w:r>
      <w:r w:rsidRPr="00292755">
        <w:rPr>
          <w:rFonts w:ascii="Times New Roman" w:eastAsia="Times New Roman" w:hAnsi="Times New Roman" w:cs="Times New Roman"/>
          <w:sz w:val="24"/>
          <w:szCs w:val="24"/>
          <w:lang w:val="bg-BG"/>
        </w:rPr>
        <w:t xml:space="preserve"> и критерия з</w:t>
      </w:r>
      <w:r w:rsidR="00B33AE8" w:rsidRPr="00292755">
        <w:rPr>
          <w:rFonts w:ascii="Times New Roman" w:eastAsia="Times New Roman" w:hAnsi="Times New Roman" w:cs="Times New Roman"/>
          <w:sz w:val="24"/>
          <w:szCs w:val="24"/>
          <w:lang w:val="bg-BG"/>
        </w:rPr>
        <w:t>а оценка да придобие следни вид:</w:t>
      </w:r>
      <w:r w:rsidRPr="00292755">
        <w:rPr>
          <w:rFonts w:ascii="Times New Roman" w:eastAsia="Times New Roman" w:hAnsi="Times New Roman" w:cs="Times New Roman"/>
          <w:sz w:val="24"/>
          <w:szCs w:val="24"/>
          <w:lang w:val="bg-BG"/>
        </w:rPr>
        <w:t xml:space="preserve"> </w:t>
      </w:r>
      <w:r w:rsidR="00B33AE8"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Изграждане или реконструкция на инфрастр</w:t>
      </w:r>
      <w:r w:rsidR="00B33AE8" w:rsidRPr="00292755">
        <w:rPr>
          <w:rFonts w:ascii="Times New Roman" w:eastAsia="Times New Roman" w:hAnsi="Times New Roman" w:cs="Times New Roman"/>
          <w:sz w:val="24"/>
          <w:szCs w:val="24"/>
          <w:lang w:val="bg-BG"/>
        </w:rPr>
        <w:t>уктура, която осигурява директна</w:t>
      </w:r>
      <w:r w:rsidRPr="00292755">
        <w:rPr>
          <w:rFonts w:ascii="Times New Roman" w:eastAsia="Times New Roman" w:hAnsi="Times New Roman" w:cs="Times New Roman"/>
          <w:sz w:val="24"/>
          <w:szCs w:val="24"/>
          <w:lang w:val="bg-BG"/>
        </w:rPr>
        <w:t xml:space="preserve"> свързаност на населено място с по-висок клас пътища</w:t>
      </w:r>
      <w:r w:rsidR="00B33AE8"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w:t>
      </w:r>
    </w:p>
    <w:p w:rsidR="00744677" w:rsidRPr="00292755" w:rsidRDefault="00744677" w:rsidP="00292755">
      <w:pPr>
        <w:spacing w:after="0" w:line="240" w:lineRule="auto"/>
        <w:jc w:val="both"/>
        <w:rPr>
          <w:rFonts w:ascii="Times New Roman" w:eastAsia="Times New Roman" w:hAnsi="Times New Roman" w:cs="Times New Roman"/>
          <w:sz w:val="24"/>
          <w:szCs w:val="24"/>
          <w:lang w:val="bg-BG"/>
        </w:rPr>
      </w:pPr>
    </w:p>
    <w:p w:rsidR="00451964"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До </w:t>
      </w:r>
      <w:r w:rsidR="00B33AE8" w:rsidRPr="00292755">
        <w:rPr>
          <w:rFonts w:ascii="Times New Roman" w:eastAsia="Times New Roman" w:hAnsi="Times New Roman" w:cs="Times New Roman"/>
          <w:sz w:val="24"/>
          <w:szCs w:val="24"/>
          <w:lang w:val="bg-BG"/>
        </w:rPr>
        <w:t>известна степен предложението е базирано</w:t>
      </w:r>
      <w:r w:rsidRPr="00292755">
        <w:rPr>
          <w:rFonts w:ascii="Times New Roman" w:eastAsia="Times New Roman" w:hAnsi="Times New Roman" w:cs="Times New Roman"/>
          <w:sz w:val="24"/>
          <w:szCs w:val="24"/>
          <w:lang w:val="bg-BG"/>
        </w:rPr>
        <w:t xml:space="preserve"> на опита от прилагане</w:t>
      </w:r>
      <w:r w:rsidR="00B33AE8" w:rsidRPr="00292755">
        <w:rPr>
          <w:rFonts w:ascii="Times New Roman" w:eastAsia="Times New Roman" w:hAnsi="Times New Roman" w:cs="Times New Roman"/>
          <w:sz w:val="24"/>
          <w:szCs w:val="24"/>
          <w:lang w:val="bg-BG"/>
        </w:rPr>
        <w:t>то</w:t>
      </w:r>
      <w:r w:rsidRPr="00292755">
        <w:rPr>
          <w:rFonts w:ascii="Times New Roman" w:eastAsia="Times New Roman" w:hAnsi="Times New Roman" w:cs="Times New Roman"/>
          <w:sz w:val="24"/>
          <w:szCs w:val="24"/>
          <w:lang w:val="bg-BG"/>
        </w:rPr>
        <w:t xml:space="preserve"> на подмярка 7.2 и на проведените два приема през 2016 и 2018 година. Просто ограничението </w:t>
      </w:r>
      <w:r w:rsidR="00744677">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по-висок клас републикански пътища</w:t>
      </w:r>
      <w:r w:rsidR="00744677">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не е релевантно, особено за инвестициите свързани с реконструкция на уличната инфраструктура в населените места.</w:t>
      </w:r>
    </w:p>
    <w:p w:rsidR="00744677" w:rsidRPr="00292755" w:rsidRDefault="00744677" w:rsidP="00292755">
      <w:pPr>
        <w:spacing w:after="0" w:line="240" w:lineRule="auto"/>
        <w:jc w:val="both"/>
        <w:rPr>
          <w:rFonts w:ascii="Times New Roman" w:eastAsia="Times New Roman" w:hAnsi="Times New Roman" w:cs="Times New Roman"/>
          <w:sz w:val="24"/>
          <w:szCs w:val="24"/>
          <w:lang w:val="bg-BG"/>
        </w:rPr>
      </w:pPr>
    </w:p>
    <w:p w:rsidR="00451964" w:rsidRPr="00292755" w:rsidRDefault="00744677"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Последното предложение е: включване</w:t>
      </w:r>
      <w:r w:rsidR="00451964" w:rsidRPr="00292755">
        <w:rPr>
          <w:rFonts w:ascii="Times New Roman" w:eastAsia="Times New Roman" w:hAnsi="Times New Roman" w:cs="Times New Roman"/>
          <w:sz w:val="24"/>
          <w:szCs w:val="24"/>
          <w:lang w:val="bg-BG"/>
        </w:rPr>
        <w:t xml:space="preserve"> на нов принцип при определяне на критериите за подбор по дей</w:t>
      </w:r>
      <w:r w:rsidR="00B33AE8" w:rsidRPr="00292755">
        <w:rPr>
          <w:rFonts w:ascii="Times New Roman" w:eastAsia="Times New Roman" w:hAnsi="Times New Roman" w:cs="Times New Roman"/>
          <w:sz w:val="24"/>
          <w:szCs w:val="24"/>
          <w:lang w:val="bg-BG"/>
        </w:rPr>
        <w:t>ността за енергийна ефективност. Предложението е</w:t>
      </w:r>
      <w:r>
        <w:rPr>
          <w:rFonts w:ascii="Times New Roman" w:eastAsia="Times New Roman" w:hAnsi="Times New Roman" w:cs="Times New Roman"/>
          <w:sz w:val="24"/>
          <w:szCs w:val="24"/>
          <w:lang w:val="bg-BG"/>
        </w:rPr>
        <w:t>:</w:t>
      </w:r>
      <w:r w:rsidR="00B33AE8" w:rsidRPr="00292755">
        <w:rPr>
          <w:rFonts w:ascii="Times New Roman" w:eastAsia="Times New Roman" w:hAnsi="Times New Roman" w:cs="Times New Roman"/>
          <w:sz w:val="24"/>
          <w:szCs w:val="24"/>
          <w:lang w:val="bg-BG"/>
        </w:rPr>
        <w:t xml:space="preserve"> п</w:t>
      </w:r>
      <w:r w:rsidR="00451964" w:rsidRPr="00292755">
        <w:rPr>
          <w:rFonts w:ascii="Times New Roman" w:eastAsia="Times New Roman" w:hAnsi="Times New Roman" w:cs="Times New Roman"/>
          <w:sz w:val="24"/>
          <w:szCs w:val="24"/>
          <w:lang w:val="bg-BG"/>
        </w:rPr>
        <w:t>риоритет да бъде предоставен на проекти насочени към производство на енергия за собствено потребление от възобновяеми енергийн</w:t>
      </w:r>
      <w:r w:rsidR="00B33AE8" w:rsidRPr="00292755">
        <w:rPr>
          <w:rFonts w:ascii="Times New Roman" w:eastAsia="Times New Roman" w:hAnsi="Times New Roman" w:cs="Times New Roman"/>
          <w:sz w:val="24"/>
          <w:szCs w:val="24"/>
          <w:lang w:val="bg-BG"/>
        </w:rPr>
        <w:t>и източници. Това е обусловено най-вече</w:t>
      </w:r>
      <w:r w:rsidR="00451964" w:rsidRPr="00292755">
        <w:rPr>
          <w:rFonts w:ascii="Times New Roman" w:eastAsia="Times New Roman" w:hAnsi="Times New Roman" w:cs="Times New Roman"/>
          <w:sz w:val="24"/>
          <w:szCs w:val="24"/>
          <w:lang w:val="bg-BG"/>
        </w:rPr>
        <w:t xml:space="preserve"> </w:t>
      </w:r>
      <w:r w:rsidR="00B33AE8" w:rsidRPr="00292755">
        <w:rPr>
          <w:rFonts w:ascii="Times New Roman" w:eastAsia="Times New Roman" w:hAnsi="Times New Roman" w:cs="Times New Roman"/>
          <w:sz w:val="24"/>
          <w:szCs w:val="24"/>
          <w:lang w:val="bg-BG"/>
        </w:rPr>
        <w:t xml:space="preserve">от </w:t>
      </w:r>
      <w:r w:rsidR="00451964" w:rsidRPr="00292755">
        <w:rPr>
          <w:rFonts w:ascii="Times New Roman" w:eastAsia="Times New Roman" w:hAnsi="Times New Roman" w:cs="Times New Roman"/>
          <w:sz w:val="24"/>
          <w:szCs w:val="24"/>
          <w:lang w:val="bg-BG"/>
        </w:rPr>
        <w:t>създалата се икономическа ситуация, която доведе до значително увеличение на цените за енергия</w:t>
      </w:r>
      <w:r w:rsidR="00B33AE8" w:rsidRPr="00292755">
        <w:rPr>
          <w:rFonts w:ascii="Times New Roman" w:eastAsia="Times New Roman" w:hAnsi="Times New Roman" w:cs="Times New Roman"/>
          <w:sz w:val="24"/>
          <w:szCs w:val="24"/>
          <w:lang w:val="bg-BG"/>
        </w:rPr>
        <w:t>та. Т</w:t>
      </w:r>
      <w:r w:rsidR="00451964" w:rsidRPr="00292755">
        <w:rPr>
          <w:rFonts w:ascii="Times New Roman" w:eastAsia="Times New Roman" w:hAnsi="Times New Roman" w:cs="Times New Roman"/>
          <w:sz w:val="24"/>
          <w:szCs w:val="24"/>
          <w:lang w:val="bg-BG"/>
        </w:rPr>
        <w:t>ака ще се поощри производството на енергия за собствени нужди и респективно ще се намали енергийната зависимост на селските общини в страната.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КРАСИМИР ДЖОНЕВ</w:t>
      </w:r>
      <w:r w:rsidRPr="00292755">
        <w:rPr>
          <w:rFonts w:ascii="Times New Roman" w:eastAsia="Times New Roman" w:hAnsi="Times New Roman" w:cs="Times New Roman"/>
          <w:sz w:val="24"/>
          <w:szCs w:val="24"/>
          <w:lang w:val="bg-BG"/>
        </w:rPr>
        <w:t xml:space="preserve"> </w:t>
      </w:r>
      <w:r w:rsidR="00B33AE8" w:rsidRPr="00292755">
        <w:rPr>
          <w:rFonts w:ascii="Times New Roman" w:eastAsia="Times New Roman" w:hAnsi="Times New Roman" w:cs="Times New Roman"/>
          <w:sz w:val="24"/>
          <w:szCs w:val="24"/>
          <w:lang w:val="bg-BG"/>
        </w:rPr>
        <w:t>подчерта, че становището на НСОРБ е изпратено своевременно на</w:t>
      </w:r>
      <w:r w:rsidRPr="00292755">
        <w:rPr>
          <w:rFonts w:ascii="Times New Roman" w:eastAsia="Times New Roman" w:hAnsi="Times New Roman" w:cs="Times New Roman"/>
          <w:sz w:val="24"/>
          <w:szCs w:val="24"/>
          <w:lang w:val="bg-BG"/>
        </w:rPr>
        <w:t xml:space="preserve"> Комитета по наблюдение</w:t>
      </w:r>
      <w:r w:rsidR="00B33AE8"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w:t>
      </w:r>
      <w:r w:rsidR="00B33AE8" w:rsidRPr="00292755">
        <w:rPr>
          <w:rFonts w:ascii="Times New Roman" w:eastAsia="Times New Roman" w:hAnsi="Times New Roman" w:cs="Times New Roman"/>
          <w:sz w:val="24"/>
          <w:szCs w:val="24"/>
          <w:lang w:val="bg-BG"/>
        </w:rPr>
        <w:t>По принцип общините държаха</w:t>
      </w:r>
      <w:r w:rsidRPr="00292755">
        <w:rPr>
          <w:rFonts w:ascii="Times New Roman" w:eastAsia="Times New Roman" w:hAnsi="Times New Roman" w:cs="Times New Roman"/>
          <w:sz w:val="24"/>
          <w:szCs w:val="24"/>
          <w:lang w:val="bg-BG"/>
        </w:rPr>
        <w:t xml:space="preserve"> на принципа всяка от селските общини да разполага с гарантиран бюджет и местните общности, и общинските съвети да решават как да приоретизират разходването на тези средства. Така или иначе нямаше политическа воля и не </w:t>
      </w:r>
      <w:r w:rsidR="00D55B9D" w:rsidRPr="00292755">
        <w:rPr>
          <w:rFonts w:ascii="Times New Roman" w:eastAsia="Times New Roman" w:hAnsi="Times New Roman" w:cs="Times New Roman"/>
          <w:sz w:val="24"/>
          <w:szCs w:val="24"/>
          <w:lang w:val="bg-BG"/>
        </w:rPr>
        <w:t xml:space="preserve">се стигна до </w:t>
      </w:r>
      <w:r w:rsidRPr="00292755">
        <w:rPr>
          <w:rFonts w:ascii="Times New Roman" w:eastAsia="Times New Roman" w:hAnsi="Times New Roman" w:cs="Times New Roman"/>
          <w:sz w:val="24"/>
          <w:szCs w:val="24"/>
          <w:lang w:val="bg-BG"/>
        </w:rPr>
        <w:t xml:space="preserve">консенсус. </w:t>
      </w:r>
    </w:p>
    <w:p w:rsidR="00D55B9D" w:rsidRPr="00292755" w:rsidRDefault="00D55B9D" w:rsidP="00292755">
      <w:pPr>
        <w:spacing w:after="0" w:line="240" w:lineRule="auto"/>
        <w:jc w:val="both"/>
        <w:rPr>
          <w:rFonts w:ascii="Times New Roman" w:eastAsia="Times New Roman" w:hAnsi="Times New Roman" w:cs="Times New Roman"/>
          <w:sz w:val="24"/>
          <w:szCs w:val="24"/>
          <w:lang w:val="bg-BG"/>
        </w:rPr>
      </w:pPr>
    </w:p>
    <w:p w:rsidR="00451964" w:rsidRPr="00292755" w:rsidRDefault="00D55B9D"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груба сметка</w:t>
      </w:r>
      <w:r w:rsidR="00451964" w:rsidRPr="00292755">
        <w:rPr>
          <w:rFonts w:ascii="Times New Roman" w:eastAsia="Times New Roman" w:hAnsi="Times New Roman" w:cs="Times New Roman"/>
          <w:sz w:val="24"/>
          <w:szCs w:val="24"/>
          <w:lang w:val="bg-BG"/>
        </w:rPr>
        <w:t xml:space="preserve"> от 215 селски общини при условие, че максимален брой проекти бъдат одобрени в пътна инфраструктура, ВиК инфраструктура, улична инфраструктура и енергийна ефективност в крайна сметка бюджетите, с ко</w:t>
      </w:r>
      <w:r w:rsidRPr="00292755">
        <w:rPr>
          <w:rFonts w:ascii="Times New Roman" w:eastAsia="Times New Roman" w:hAnsi="Times New Roman" w:cs="Times New Roman"/>
          <w:sz w:val="24"/>
          <w:szCs w:val="24"/>
          <w:lang w:val="bg-BG"/>
        </w:rPr>
        <w:t xml:space="preserve">ито разполагат изброените </w:t>
      </w:r>
      <w:r w:rsidR="00451964" w:rsidRPr="00292755">
        <w:rPr>
          <w:rFonts w:ascii="Times New Roman" w:eastAsia="Times New Roman" w:hAnsi="Times New Roman" w:cs="Times New Roman"/>
          <w:sz w:val="24"/>
          <w:szCs w:val="24"/>
          <w:lang w:val="bg-BG"/>
        </w:rPr>
        <w:t>сфери ще гарантират 131 проекта. Одобрени 131 проекта в 131</w:t>
      </w:r>
      <w:r w:rsidR="00744677">
        <w:rPr>
          <w:rFonts w:ascii="Times New Roman" w:eastAsia="Times New Roman" w:hAnsi="Times New Roman" w:cs="Times New Roman"/>
          <w:sz w:val="24"/>
          <w:szCs w:val="24"/>
          <w:lang w:val="bg-BG"/>
        </w:rPr>
        <w:t xml:space="preserve"> общини, а 84 общини ще останат без финансиране.</w:t>
      </w:r>
      <w:r w:rsidR="00451964" w:rsidRPr="00292755">
        <w:rPr>
          <w:rFonts w:ascii="Times New Roman" w:eastAsia="Times New Roman" w:hAnsi="Times New Roman" w:cs="Times New Roman"/>
          <w:sz w:val="24"/>
          <w:szCs w:val="24"/>
          <w:lang w:val="bg-BG"/>
        </w:rPr>
        <w:t xml:space="preserve"> </w:t>
      </w:r>
    </w:p>
    <w:p w:rsidR="00D55B9D" w:rsidRPr="00292755" w:rsidRDefault="00D55B9D"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Основната причина да се настоява за гарантирани бюджети бе, че през изтеклия вече период останаха повече</w:t>
      </w:r>
      <w:r w:rsidRPr="00292755">
        <w:rPr>
          <w:rFonts w:ascii="Times New Roman" w:hAnsi="Times New Roman" w:cs="Times New Roman"/>
          <w:sz w:val="24"/>
          <w:szCs w:val="24"/>
        </w:rPr>
        <w:t xml:space="preserve"> </w:t>
      </w:r>
      <w:r w:rsidRPr="00292755">
        <w:rPr>
          <w:rFonts w:ascii="Times New Roman" w:eastAsia="Times New Roman" w:hAnsi="Times New Roman" w:cs="Times New Roman"/>
          <w:sz w:val="24"/>
          <w:szCs w:val="24"/>
          <w:lang w:val="bg-BG"/>
        </w:rPr>
        <w:t>от 50 български общини без нито лев по европейско финансиране.</w:t>
      </w:r>
    </w:p>
    <w:p w:rsidR="00451964" w:rsidRPr="00292755" w:rsidRDefault="00D55B9D"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Сега рискът е да има </w:t>
      </w:r>
      <w:r w:rsidR="00451964" w:rsidRPr="00292755">
        <w:rPr>
          <w:rFonts w:ascii="Times New Roman" w:eastAsia="Times New Roman" w:hAnsi="Times New Roman" w:cs="Times New Roman"/>
          <w:sz w:val="24"/>
          <w:szCs w:val="24"/>
          <w:lang w:val="bg-BG"/>
        </w:rPr>
        <w:t>по-</w:t>
      </w:r>
      <w:r w:rsidRPr="00292755">
        <w:rPr>
          <w:rFonts w:ascii="Times New Roman" w:eastAsia="Times New Roman" w:hAnsi="Times New Roman" w:cs="Times New Roman"/>
          <w:sz w:val="24"/>
          <w:szCs w:val="24"/>
          <w:lang w:val="bg-BG"/>
        </w:rPr>
        <w:t>голяма усвояемост, но</w:t>
      </w:r>
      <w:r w:rsidR="00451964" w:rsidRPr="00292755">
        <w:rPr>
          <w:rFonts w:ascii="Times New Roman" w:eastAsia="Times New Roman" w:hAnsi="Times New Roman" w:cs="Times New Roman"/>
          <w:sz w:val="24"/>
          <w:szCs w:val="24"/>
          <w:lang w:val="bg-BG"/>
        </w:rPr>
        <w:t xml:space="preserve"> повече общини </w:t>
      </w:r>
      <w:r w:rsidRPr="00292755">
        <w:rPr>
          <w:rFonts w:ascii="Times New Roman" w:eastAsia="Times New Roman" w:hAnsi="Times New Roman" w:cs="Times New Roman"/>
          <w:sz w:val="24"/>
          <w:szCs w:val="24"/>
          <w:lang w:val="bg-BG"/>
        </w:rPr>
        <w:t xml:space="preserve">да останат </w:t>
      </w:r>
      <w:r w:rsidR="00451964" w:rsidRPr="00292755">
        <w:rPr>
          <w:rFonts w:ascii="Times New Roman" w:eastAsia="Times New Roman" w:hAnsi="Times New Roman" w:cs="Times New Roman"/>
          <w:sz w:val="24"/>
          <w:szCs w:val="24"/>
          <w:lang w:val="bg-BG"/>
        </w:rPr>
        <w:t>под чертата.</w:t>
      </w:r>
      <w:r w:rsidRPr="00292755">
        <w:rPr>
          <w:rFonts w:ascii="Times New Roman" w:eastAsia="Times New Roman" w:hAnsi="Times New Roman" w:cs="Times New Roman"/>
          <w:sz w:val="24"/>
          <w:szCs w:val="24"/>
          <w:lang w:val="bg-BG"/>
        </w:rPr>
        <w:t xml:space="preserve"> Той  помоли Комитетът  и УО да имат предвид тази бележка на НСОРБ.</w:t>
      </w:r>
    </w:p>
    <w:p w:rsidR="00B33AE8" w:rsidRPr="00292755" w:rsidRDefault="00B33AE8" w:rsidP="00292755">
      <w:pPr>
        <w:spacing w:after="0" w:line="240" w:lineRule="auto"/>
        <w:jc w:val="both"/>
        <w:rPr>
          <w:rFonts w:ascii="Times New Roman" w:eastAsia="Times New Roman" w:hAnsi="Times New Roman" w:cs="Times New Roman"/>
          <w:b/>
          <w:sz w:val="24"/>
          <w:szCs w:val="24"/>
          <w:lang w:val="bg-BG"/>
        </w:rPr>
      </w:pPr>
    </w:p>
    <w:p w:rsidR="00451964"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00D55B9D" w:rsidRPr="00292755">
        <w:rPr>
          <w:rFonts w:ascii="Times New Roman" w:eastAsia="Times New Roman" w:hAnsi="Times New Roman" w:cs="Times New Roman"/>
          <w:sz w:val="24"/>
          <w:szCs w:val="24"/>
          <w:lang w:val="bg-BG"/>
        </w:rPr>
        <w:t xml:space="preserve"> уточни, че с</w:t>
      </w:r>
      <w:r w:rsidRPr="00292755">
        <w:rPr>
          <w:rFonts w:ascii="Times New Roman" w:eastAsia="Times New Roman" w:hAnsi="Times New Roman" w:cs="Times New Roman"/>
          <w:sz w:val="24"/>
          <w:szCs w:val="24"/>
          <w:lang w:val="bg-BG"/>
        </w:rPr>
        <w:t xml:space="preserve"> Решение № 4</w:t>
      </w:r>
      <w:r w:rsidR="00D55B9D" w:rsidRPr="00292755">
        <w:rPr>
          <w:rFonts w:ascii="Times New Roman" w:eastAsia="Times New Roman" w:hAnsi="Times New Roman" w:cs="Times New Roman"/>
          <w:sz w:val="24"/>
          <w:szCs w:val="24"/>
          <w:lang w:val="bg-BG"/>
        </w:rPr>
        <w:t>37 на Министерския съвет, в което</w:t>
      </w:r>
      <w:r w:rsidRPr="00292755">
        <w:rPr>
          <w:rFonts w:ascii="Times New Roman" w:eastAsia="Times New Roman" w:hAnsi="Times New Roman" w:cs="Times New Roman"/>
          <w:sz w:val="24"/>
          <w:szCs w:val="24"/>
          <w:lang w:val="bg-BG"/>
        </w:rPr>
        <w:t xml:space="preserve"> от предвидените за прием 60 милиона евро</w:t>
      </w:r>
      <w:r w:rsidR="00D55B9D" w:rsidRPr="00292755">
        <w:rPr>
          <w:rFonts w:ascii="Times New Roman" w:eastAsia="Times New Roman" w:hAnsi="Times New Roman" w:cs="Times New Roman"/>
          <w:sz w:val="24"/>
          <w:szCs w:val="24"/>
          <w:lang w:val="bg-BG"/>
        </w:rPr>
        <w:t xml:space="preserve">, средствата са увеличени на </w:t>
      </w:r>
      <w:r w:rsidRPr="00292755">
        <w:rPr>
          <w:rFonts w:ascii="Times New Roman" w:eastAsia="Times New Roman" w:hAnsi="Times New Roman" w:cs="Times New Roman"/>
          <w:sz w:val="24"/>
          <w:szCs w:val="24"/>
          <w:lang w:val="bg-BG"/>
        </w:rPr>
        <w:t xml:space="preserve"> 150</w:t>
      </w:r>
      <w:r w:rsidR="00D55B9D" w:rsidRPr="00292755">
        <w:rPr>
          <w:rFonts w:ascii="Times New Roman" w:eastAsia="Times New Roman" w:hAnsi="Times New Roman" w:cs="Times New Roman"/>
          <w:sz w:val="24"/>
          <w:szCs w:val="24"/>
          <w:lang w:val="bg-BG"/>
        </w:rPr>
        <w:t xml:space="preserve"> милиона евро. </w:t>
      </w:r>
      <w:r w:rsidRPr="00292755">
        <w:rPr>
          <w:rFonts w:ascii="Times New Roman" w:eastAsia="Times New Roman" w:hAnsi="Times New Roman" w:cs="Times New Roman"/>
          <w:sz w:val="24"/>
          <w:szCs w:val="24"/>
          <w:lang w:val="bg-BG"/>
        </w:rPr>
        <w:t xml:space="preserve"> 90 милиона евро над това, което е било като прием за общин</w:t>
      </w:r>
      <w:r w:rsidR="00D55B9D" w:rsidRPr="00292755">
        <w:rPr>
          <w:rFonts w:ascii="Times New Roman" w:eastAsia="Times New Roman" w:hAnsi="Times New Roman" w:cs="Times New Roman"/>
          <w:sz w:val="24"/>
          <w:szCs w:val="24"/>
          <w:lang w:val="bg-BG"/>
        </w:rPr>
        <w:t>ите означава, че  всички остатъци по програмата</w:t>
      </w:r>
      <w:r w:rsidRPr="00292755">
        <w:rPr>
          <w:rFonts w:ascii="Times New Roman" w:eastAsia="Times New Roman" w:hAnsi="Times New Roman" w:cs="Times New Roman"/>
          <w:sz w:val="24"/>
          <w:szCs w:val="24"/>
          <w:lang w:val="bg-BG"/>
        </w:rPr>
        <w:t xml:space="preserve"> с</w:t>
      </w:r>
      <w:r w:rsidR="00D55B9D" w:rsidRPr="00292755">
        <w:rPr>
          <w:rFonts w:ascii="Times New Roman" w:eastAsia="Times New Roman" w:hAnsi="Times New Roman" w:cs="Times New Roman"/>
          <w:sz w:val="24"/>
          <w:szCs w:val="24"/>
          <w:lang w:val="bg-BG"/>
        </w:rPr>
        <w:t>а насочени</w:t>
      </w:r>
      <w:r w:rsidRPr="00292755">
        <w:rPr>
          <w:rFonts w:ascii="Times New Roman" w:eastAsia="Times New Roman" w:hAnsi="Times New Roman" w:cs="Times New Roman"/>
          <w:sz w:val="24"/>
          <w:szCs w:val="24"/>
          <w:lang w:val="bg-BG"/>
        </w:rPr>
        <w:t xml:space="preserve"> към общинската мярка, </w:t>
      </w:r>
      <w:r w:rsidR="00BB74A6" w:rsidRPr="00292755">
        <w:rPr>
          <w:rFonts w:ascii="Times New Roman" w:eastAsia="Times New Roman" w:hAnsi="Times New Roman" w:cs="Times New Roman"/>
          <w:sz w:val="24"/>
          <w:szCs w:val="24"/>
          <w:lang w:val="bg-BG"/>
        </w:rPr>
        <w:t>за да може да се направи необходимото</w:t>
      </w:r>
      <w:r w:rsidRPr="00292755">
        <w:rPr>
          <w:rFonts w:ascii="Times New Roman" w:eastAsia="Times New Roman" w:hAnsi="Times New Roman" w:cs="Times New Roman"/>
          <w:sz w:val="24"/>
          <w:szCs w:val="24"/>
          <w:lang w:val="bg-BG"/>
        </w:rPr>
        <w:t xml:space="preserve"> </w:t>
      </w:r>
      <w:r w:rsidR="00BB74A6" w:rsidRPr="00292755">
        <w:rPr>
          <w:rFonts w:ascii="Times New Roman" w:eastAsia="Times New Roman" w:hAnsi="Times New Roman" w:cs="Times New Roman"/>
          <w:sz w:val="24"/>
          <w:szCs w:val="24"/>
          <w:lang w:val="bg-BG"/>
        </w:rPr>
        <w:t>по процедурите, по които има възможност за кандидатстване</w:t>
      </w:r>
      <w:r w:rsidRPr="00292755">
        <w:rPr>
          <w:rFonts w:ascii="Times New Roman" w:eastAsia="Times New Roman" w:hAnsi="Times New Roman" w:cs="Times New Roman"/>
          <w:sz w:val="24"/>
          <w:szCs w:val="24"/>
          <w:lang w:val="bg-BG"/>
        </w:rPr>
        <w:t xml:space="preserve">. </w:t>
      </w:r>
    </w:p>
    <w:p w:rsidR="00744677" w:rsidRPr="00292755" w:rsidRDefault="00744677" w:rsidP="00292755">
      <w:pPr>
        <w:spacing w:after="0" w:line="240" w:lineRule="auto"/>
        <w:jc w:val="both"/>
        <w:rPr>
          <w:rFonts w:ascii="Times New Roman" w:eastAsia="Times New Roman" w:hAnsi="Times New Roman" w:cs="Times New Roman"/>
          <w:sz w:val="24"/>
          <w:szCs w:val="24"/>
          <w:lang w:val="bg-BG"/>
        </w:rPr>
      </w:pPr>
    </w:p>
    <w:p w:rsidR="00451964" w:rsidRPr="00292755" w:rsidRDefault="00EF153A"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Г</w:t>
      </w:r>
      <w:r w:rsidR="00451964" w:rsidRPr="00292755">
        <w:rPr>
          <w:rFonts w:ascii="Times New Roman" w:eastAsia="Times New Roman" w:hAnsi="Times New Roman" w:cs="Times New Roman"/>
          <w:sz w:val="24"/>
          <w:szCs w:val="24"/>
          <w:lang w:val="bg-BG"/>
        </w:rPr>
        <w:t>арантирани бюджети от гледна точка на Европейската комисия не съществува</w:t>
      </w:r>
      <w:r w:rsidRPr="00292755">
        <w:rPr>
          <w:rFonts w:ascii="Times New Roman" w:eastAsia="Times New Roman" w:hAnsi="Times New Roman" w:cs="Times New Roman"/>
          <w:sz w:val="24"/>
          <w:szCs w:val="24"/>
          <w:lang w:val="bg-BG"/>
        </w:rPr>
        <w:t>т</w:t>
      </w:r>
      <w:r w:rsidR="00451964" w:rsidRPr="00292755">
        <w:rPr>
          <w:rFonts w:ascii="Times New Roman" w:eastAsia="Times New Roman" w:hAnsi="Times New Roman" w:cs="Times New Roman"/>
          <w:sz w:val="24"/>
          <w:szCs w:val="24"/>
          <w:lang w:val="bg-BG"/>
        </w:rPr>
        <w:t>. Има критерии, които трябва да бъдат изпълнени и покрити</w:t>
      </w:r>
      <w:r w:rsidRPr="00292755">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w:t>
      </w:r>
    </w:p>
    <w:p w:rsidR="00D55B9D" w:rsidRPr="00292755" w:rsidRDefault="00D55B9D"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ЕЛЕНА ИВАНОВА</w:t>
      </w:r>
      <w:r w:rsidR="00EF153A" w:rsidRPr="00292755">
        <w:rPr>
          <w:rFonts w:ascii="Times New Roman" w:eastAsia="Times New Roman" w:hAnsi="Times New Roman" w:cs="Times New Roman"/>
          <w:b/>
          <w:sz w:val="24"/>
          <w:szCs w:val="24"/>
          <w:lang w:val="bg-BG"/>
        </w:rPr>
        <w:t xml:space="preserve"> </w:t>
      </w:r>
      <w:r w:rsidR="00EF153A" w:rsidRPr="00292755">
        <w:rPr>
          <w:rFonts w:ascii="Times New Roman" w:eastAsia="Times New Roman" w:hAnsi="Times New Roman" w:cs="Times New Roman"/>
          <w:sz w:val="24"/>
          <w:szCs w:val="24"/>
          <w:lang w:val="bg-BG"/>
        </w:rPr>
        <w:t>предложи, в съответствие с бележка № 5 на НСОРБ, в</w:t>
      </w:r>
      <w:r w:rsidR="00744677">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 xml:space="preserve">рамките на четирите процедури, които ще бъдат обявени до края на месец юли да се направи ограничение една община да има възможност да подаде не повече от две проектни предложения в рамките на четирите процедури, като едното проектно предложение </w:t>
      </w:r>
      <w:r w:rsidR="00EF153A" w:rsidRPr="00292755">
        <w:rPr>
          <w:rFonts w:ascii="Times New Roman" w:eastAsia="Times New Roman" w:hAnsi="Times New Roman" w:cs="Times New Roman"/>
          <w:sz w:val="24"/>
          <w:szCs w:val="24"/>
          <w:lang w:val="bg-BG"/>
        </w:rPr>
        <w:t xml:space="preserve">да </w:t>
      </w:r>
      <w:r w:rsidRPr="00292755">
        <w:rPr>
          <w:rFonts w:ascii="Times New Roman" w:eastAsia="Times New Roman" w:hAnsi="Times New Roman" w:cs="Times New Roman"/>
          <w:sz w:val="24"/>
          <w:szCs w:val="24"/>
          <w:lang w:val="bg-BG"/>
        </w:rPr>
        <w:t>е свързано с инвестиции в енергийна ефективност.</w:t>
      </w:r>
    </w:p>
    <w:p w:rsidR="00EF153A" w:rsidRPr="00292755" w:rsidRDefault="00EF153A" w:rsidP="00292755">
      <w:pPr>
        <w:spacing w:after="0" w:line="240" w:lineRule="auto"/>
        <w:jc w:val="both"/>
        <w:rPr>
          <w:rFonts w:ascii="Times New Roman" w:eastAsia="Times New Roman" w:hAnsi="Times New Roman" w:cs="Times New Roman"/>
          <w:b/>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КРАСИМИР ДЖОНЕВ</w:t>
      </w:r>
      <w:r w:rsidR="00EF153A" w:rsidRPr="00292755">
        <w:rPr>
          <w:rFonts w:ascii="Times New Roman" w:eastAsia="Times New Roman" w:hAnsi="Times New Roman" w:cs="Times New Roman"/>
          <w:b/>
          <w:sz w:val="24"/>
          <w:szCs w:val="24"/>
          <w:lang w:val="bg-BG"/>
        </w:rPr>
        <w:t xml:space="preserve"> </w:t>
      </w:r>
      <w:r w:rsidR="00EF153A" w:rsidRPr="00292755">
        <w:rPr>
          <w:rFonts w:ascii="Times New Roman" w:eastAsia="Times New Roman" w:hAnsi="Times New Roman" w:cs="Times New Roman"/>
          <w:sz w:val="24"/>
          <w:szCs w:val="24"/>
          <w:lang w:val="bg-BG"/>
        </w:rPr>
        <w:t>изрази съгласие с предложението.</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ЕЛЕНА ИВАНОВА</w:t>
      </w:r>
      <w:r w:rsidR="00EF153A" w:rsidRPr="00292755">
        <w:rPr>
          <w:rFonts w:ascii="Times New Roman" w:eastAsia="Times New Roman" w:hAnsi="Times New Roman" w:cs="Times New Roman"/>
          <w:b/>
          <w:sz w:val="24"/>
          <w:szCs w:val="24"/>
          <w:lang w:val="bg-BG"/>
        </w:rPr>
        <w:t xml:space="preserve"> </w:t>
      </w:r>
      <w:r w:rsidR="00EF153A" w:rsidRPr="00292755">
        <w:rPr>
          <w:rFonts w:ascii="Times New Roman" w:eastAsia="Times New Roman" w:hAnsi="Times New Roman" w:cs="Times New Roman"/>
          <w:sz w:val="24"/>
          <w:szCs w:val="24"/>
          <w:lang w:val="bg-BG"/>
        </w:rPr>
        <w:t xml:space="preserve">допълни, че </w:t>
      </w:r>
      <w:r w:rsidRPr="00292755">
        <w:rPr>
          <w:rFonts w:ascii="Times New Roman" w:eastAsia="Times New Roman" w:hAnsi="Times New Roman" w:cs="Times New Roman"/>
          <w:sz w:val="24"/>
          <w:szCs w:val="24"/>
          <w:lang w:val="bg-BG"/>
        </w:rPr>
        <w:t>това ограничение ще бъде записано и в Условията за кандидатстване по всяка е</w:t>
      </w:r>
      <w:r w:rsidR="00EF153A" w:rsidRPr="00292755">
        <w:rPr>
          <w:rFonts w:ascii="Times New Roman" w:eastAsia="Times New Roman" w:hAnsi="Times New Roman" w:cs="Times New Roman"/>
          <w:sz w:val="24"/>
          <w:szCs w:val="24"/>
          <w:lang w:val="bg-BG"/>
        </w:rPr>
        <w:t>дна от четирите процедури, и се взима</w:t>
      </w:r>
      <w:r w:rsidRPr="00292755">
        <w:rPr>
          <w:rFonts w:ascii="Times New Roman" w:eastAsia="Times New Roman" w:hAnsi="Times New Roman" w:cs="Times New Roman"/>
          <w:sz w:val="24"/>
          <w:szCs w:val="24"/>
          <w:lang w:val="bg-BG"/>
        </w:rPr>
        <w:t xml:space="preserve"> като решение на Комитета по наблюдение.</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00202023" w:rsidRPr="00292755">
        <w:rPr>
          <w:rFonts w:ascii="Times New Roman" w:eastAsia="Times New Roman" w:hAnsi="Times New Roman" w:cs="Times New Roman"/>
          <w:sz w:val="24"/>
          <w:szCs w:val="24"/>
          <w:lang w:val="bg-BG"/>
        </w:rPr>
        <w:t xml:space="preserve"> представи предложението за решение </w:t>
      </w:r>
      <w:r w:rsidR="000330F0">
        <w:rPr>
          <w:rFonts w:ascii="Times New Roman" w:eastAsia="Times New Roman" w:hAnsi="Times New Roman" w:cs="Times New Roman"/>
          <w:sz w:val="24"/>
          <w:szCs w:val="24"/>
          <w:lang w:val="bg-BG"/>
        </w:rPr>
        <w:t>по</w:t>
      </w:r>
      <w:r w:rsidR="00202023" w:rsidRPr="00292755">
        <w:rPr>
          <w:rFonts w:ascii="Times New Roman" w:eastAsia="Times New Roman" w:hAnsi="Times New Roman" w:cs="Times New Roman"/>
          <w:sz w:val="24"/>
          <w:szCs w:val="24"/>
          <w:lang w:val="bg-BG"/>
        </w:rPr>
        <w:t xml:space="preserve"> точка 3 от дневния ред. Той обяви, че кворумът е 42 човека  към настоящия момент.</w:t>
      </w:r>
    </w:p>
    <w:p w:rsidR="00202023" w:rsidRPr="00292755" w:rsidRDefault="00202023" w:rsidP="00292755">
      <w:pPr>
        <w:spacing w:after="0" w:line="240" w:lineRule="auto"/>
        <w:jc w:val="both"/>
        <w:rPr>
          <w:rFonts w:ascii="Times New Roman" w:eastAsia="Times New Roman" w:hAnsi="Times New Roman" w:cs="Times New Roman"/>
          <w:sz w:val="24"/>
          <w:szCs w:val="24"/>
          <w:lang w:val="bg-BG"/>
        </w:rPr>
      </w:pPr>
    </w:p>
    <w:p w:rsidR="00202023" w:rsidRPr="00292755" w:rsidRDefault="00202023" w:rsidP="00292755">
      <w:pPr>
        <w:spacing w:after="0" w:line="240" w:lineRule="auto"/>
        <w:jc w:val="both"/>
        <w:rPr>
          <w:rFonts w:ascii="Times New Roman" w:eastAsia="Times New Roman" w:hAnsi="Times New Roman" w:cs="Times New Roman"/>
          <w:b/>
          <w:sz w:val="24"/>
          <w:szCs w:val="24"/>
          <w:lang w:val="bg-BG"/>
        </w:rPr>
      </w:pPr>
      <w:r w:rsidRPr="00292755">
        <w:rPr>
          <w:rFonts w:ascii="Times New Roman" w:eastAsia="Times New Roman" w:hAnsi="Times New Roman" w:cs="Times New Roman"/>
          <w:b/>
          <w:sz w:val="24"/>
          <w:szCs w:val="24"/>
          <w:lang w:val="bg-BG"/>
        </w:rPr>
        <w:t>РЕШЕНИЕ ПО Т. 3</w:t>
      </w:r>
    </w:p>
    <w:p w:rsidR="00202023" w:rsidRPr="00292755" w:rsidRDefault="00451964" w:rsidP="00292755">
      <w:pPr>
        <w:spacing w:after="0" w:line="240" w:lineRule="auto"/>
        <w:jc w:val="both"/>
        <w:rPr>
          <w:rFonts w:ascii="Times New Roman" w:eastAsia="Times New Roman" w:hAnsi="Times New Roman" w:cs="Times New Roman"/>
          <w:i/>
          <w:sz w:val="24"/>
          <w:szCs w:val="24"/>
        </w:rPr>
      </w:pPr>
      <w:r w:rsidRPr="00292755">
        <w:rPr>
          <w:rFonts w:ascii="Times New Roman" w:eastAsia="Times New Roman" w:hAnsi="Times New Roman" w:cs="Times New Roman"/>
          <w:i/>
          <w:sz w:val="24"/>
          <w:szCs w:val="24"/>
          <w:lang w:val="bg-BG"/>
        </w:rPr>
        <w:t>Комитетъ</w:t>
      </w:r>
      <w:r w:rsidR="00395738">
        <w:rPr>
          <w:rFonts w:ascii="Times New Roman" w:eastAsia="Times New Roman" w:hAnsi="Times New Roman" w:cs="Times New Roman"/>
          <w:i/>
          <w:sz w:val="24"/>
          <w:szCs w:val="24"/>
          <w:lang w:val="bg-BG"/>
        </w:rPr>
        <w:t>т по наблюдение на ПРСР одобри</w:t>
      </w:r>
      <w:r w:rsidRPr="00292755">
        <w:rPr>
          <w:rFonts w:ascii="Times New Roman" w:eastAsia="Times New Roman" w:hAnsi="Times New Roman" w:cs="Times New Roman"/>
          <w:i/>
          <w:sz w:val="24"/>
          <w:szCs w:val="24"/>
          <w:lang w:val="bg-BG"/>
        </w:rPr>
        <w:t xml:space="preserve"> предложението за Тринадесетото изменение на ПРСР и упълномощава Управляващия орган на програмата да го</w:t>
      </w:r>
      <w:r w:rsidR="00202023" w:rsidRPr="00292755">
        <w:rPr>
          <w:rFonts w:ascii="Times New Roman" w:eastAsia="Times New Roman" w:hAnsi="Times New Roman" w:cs="Times New Roman"/>
          <w:i/>
          <w:sz w:val="24"/>
          <w:szCs w:val="24"/>
          <w:lang w:val="bg-BG"/>
        </w:rPr>
        <w:t xml:space="preserve"> изпрати официално чрез </w:t>
      </w:r>
      <w:r w:rsidR="00202023" w:rsidRPr="00292755">
        <w:rPr>
          <w:rFonts w:ascii="Times New Roman" w:eastAsia="Times New Roman" w:hAnsi="Times New Roman" w:cs="Times New Roman"/>
          <w:i/>
          <w:sz w:val="24"/>
          <w:szCs w:val="24"/>
        </w:rPr>
        <w:t>SFC</w:t>
      </w:r>
      <w:r w:rsidRPr="00292755">
        <w:rPr>
          <w:rFonts w:ascii="Times New Roman" w:eastAsia="Times New Roman" w:hAnsi="Times New Roman" w:cs="Times New Roman"/>
          <w:i/>
          <w:sz w:val="24"/>
          <w:szCs w:val="24"/>
          <w:lang w:val="bg-BG"/>
        </w:rPr>
        <w:t xml:space="preserve">, на Европейската комисия и да договори окончателния вариант на промените в преговорния процес с Европейската комисия, както следва: </w:t>
      </w:r>
    </w:p>
    <w:p w:rsidR="00451964" w:rsidRPr="000330F0" w:rsidRDefault="00451964" w:rsidP="000330F0">
      <w:pPr>
        <w:pStyle w:val="ListParagraph"/>
        <w:numPr>
          <w:ilvl w:val="0"/>
          <w:numId w:val="43"/>
        </w:numPr>
        <w:spacing w:after="0" w:line="240" w:lineRule="auto"/>
        <w:jc w:val="both"/>
        <w:rPr>
          <w:rFonts w:ascii="Times New Roman" w:eastAsia="Times New Roman" w:hAnsi="Times New Roman" w:cs="Times New Roman"/>
          <w:sz w:val="24"/>
          <w:szCs w:val="24"/>
          <w:lang w:val="bg-BG"/>
        </w:rPr>
      </w:pPr>
      <w:r w:rsidRPr="000330F0">
        <w:rPr>
          <w:rFonts w:ascii="Times New Roman" w:eastAsia="Times New Roman" w:hAnsi="Times New Roman" w:cs="Times New Roman"/>
          <w:i/>
          <w:sz w:val="24"/>
          <w:szCs w:val="24"/>
          <w:lang w:val="bg-BG"/>
        </w:rPr>
        <w:t xml:space="preserve">Комитетът по наблюдение одобри предложението на УО за промяна на текста на подмярка 7.2 „Инвестиции в създаването, подобряването или разширяването на всички видове </w:t>
      </w:r>
      <w:r w:rsidR="00202023" w:rsidRPr="000330F0">
        <w:rPr>
          <w:rFonts w:ascii="Times New Roman" w:eastAsia="Times New Roman" w:hAnsi="Times New Roman" w:cs="Times New Roman"/>
          <w:i/>
          <w:sz w:val="24"/>
          <w:szCs w:val="24"/>
          <w:lang w:val="bg-BG"/>
        </w:rPr>
        <w:t>малки по мащаби инфраструктура“.</w:t>
      </w:r>
    </w:p>
    <w:p w:rsidR="000330F0" w:rsidRPr="000330F0" w:rsidRDefault="000330F0" w:rsidP="000330F0">
      <w:pPr>
        <w:pStyle w:val="ListParagraph"/>
        <w:spacing w:after="0" w:line="240" w:lineRule="auto"/>
        <w:jc w:val="both"/>
        <w:rPr>
          <w:rFonts w:ascii="Times New Roman" w:eastAsia="Times New Roman" w:hAnsi="Times New Roman" w:cs="Times New Roman"/>
          <w:sz w:val="24"/>
          <w:szCs w:val="24"/>
          <w:lang w:val="bg-BG"/>
        </w:rPr>
      </w:pPr>
    </w:p>
    <w:p w:rsidR="000330F0" w:rsidRPr="000330F0" w:rsidRDefault="000330F0" w:rsidP="000330F0">
      <w:pPr>
        <w:spacing w:after="0" w:line="240" w:lineRule="auto"/>
        <w:jc w:val="both"/>
        <w:rPr>
          <w:rFonts w:ascii="Times New Roman" w:eastAsia="Times New Roman" w:hAnsi="Times New Roman" w:cs="Times New Roman"/>
          <w:sz w:val="24"/>
          <w:szCs w:val="24"/>
          <w:lang w:val="bg-BG"/>
        </w:rPr>
      </w:pPr>
      <w:r w:rsidRPr="000330F0">
        <w:rPr>
          <w:rFonts w:ascii="Times New Roman" w:eastAsia="Times New Roman" w:hAnsi="Times New Roman" w:cs="Times New Roman"/>
          <w:sz w:val="24"/>
          <w:szCs w:val="24"/>
          <w:lang w:val="bg-BG"/>
        </w:rPr>
        <w:t>Гласуване:</w:t>
      </w:r>
    </w:p>
    <w:p w:rsidR="00451964" w:rsidRPr="00292755" w:rsidRDefault="00D1736E" w:rsidP="00292755">
      <w:pPr>
        <w:spacing w:after="0" w:line="240" w:lineRule="auto"/>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„Против“ - няма</w:t>
      </w:r>
      <w:r w:rsidR="00451964" w:rsidRPr="00292755">
        <w:rPr>
          <w:rFonts w:ascii="Times New Roman" w:eastAsia="Times New Roman" w:hAnsi="Times New Roman" w:cs="Times New Roman"/>
          <w:sz w:val="24"/>
          <w:szCs w:val="24"/>
          <w:lang w:val="bg-BG"/>
        </w:rPr>
        <w:t>.</w:t>
      </w:r>
    </w:p>
    <w:p w:rsidR="00451964" w:rsidRPr="00292755" w:rsidRDefault="00D1736E" w:rsidP="00292755">
      <w:pPr>
        <w:spacing w:after="0" w:line="240" w:lineRule="auto"/>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„Въздържали се“ - няма</w:t>
      </w:r>
      <w:r w:rsidR="00451964" w:rsidRPr="00292755">
        <w:rPr>
          <w:rFonts w:ascii="Times New Roman" w:eastAsia="Times New Roman" w:hAnsi="Times New Roman" w:cs="Times New Roman"/>
          <w:sz w:val="24"/>
          <w:szCs w:val="24"/>
          <w:lang w:val="bg-BG"/>
        </w:rPr>
        <w:t>.</w:t>
      </w:r>
    </w:p>
    <w:p w:rsidR="00D1736E" w:rsidRPr="00292755" w:rsidRDefault="00D1736E" w:rsidP="00292755">
      <w:pPr>
        <w:spacing w:after="0" w:line="240" w:lineRule="auto"/>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„За“ - 42</w:t>
      </w:r>
    </w:p>
    <w:p w:rsidR="00202023" w:rsidRPr="00292755" w:rsidRDefault="00451964" w:rsidP="00292755">
      <w:pPr>
        <w:spacing w:after="0" w:line="240" w:lineRule="auto"/>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Предложението се при</w:t>
      </w:r>
      <w:r w:rsidR="00202023" w:rsidRPr="00292755">
        <w:rPr>
          <w:rFonts w:ascii="Times New Roman" w:eastAsia="Times New Roman" w:hAnsi="Times New Roman" w:cs="Times New Roman"/>
          <w:sz w:val="24"/>
          <w:szCs w:val="24"/>
          <w:lang w:val="bg-BG"/>
        </w:rPr>
        <w:t>е</w:t>
      </w:r>
      <w:r w:rsidR="00D1736E" w:rsidRPr="00292755">
        <w:rPr>
          <w:rFonts w:ascii="Times New Roman" w:eastAsia="Times New Roman" w:hAnsi="Times New Roman" w:cs="Times New Roman"/>
          <w:sz w:val="24"/>
          <w:szCs w:val="24"/>
          <w:lang w:val="bg-BG"/>
        </w:rPr>
        <w:t xml:space="preserve"> с единодушие</w:t>
      </w:r>
      <w:r w:rsidR="00202023" w:rsidRPr="00292755">
        <w:rPr>
          <w:rFonts w:ascii="Times New Roman" w:eastAsia="Times New Roman" w:hAnsi="Times New Roman" w:cs="Times New Roman"/>
          <w:sz w:val="24"/>
          <w:szCs w:val="24"/>
          <w:lang w:val="bg-BG"/>
        </w:rPr>
        <w:t>.</w:t>
      </w:r>
    </w:p>
    <w:p w:rsidR="00202023" w:rsidRPr="00292755" w:rsidRDefault="00202023" w:rsidP="00292755">
      <w:pPr>
        <w:spacing w:after="0" w:line="240" w:lineRule="auto"/>
        <w:ind w:firstLine="1134"/>
        <w:rPr>
          <w:rFonts w:ascii="Times New Roman" w:eastAsia="Times New Roman" w:hAnsi="Times New Roman" w:cs="Times New Roman"/>
          <w:sz w:val="24"/>
          <w:szCs w:val="24"/>
          <w:lang w:val="bg-BG"/>
        </w:rPr>
      </w:pPr>
    </w:p>
    <w:p w:rsidR="00202023" w:rsidRPr="00292755" w:rsidRDefault="00202023" w:rsidP="00292755">
      <w:pPr>
        <w:spacing w:after="0" w:line="240" w:lineRule="auto"/>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 xml:space="preserve">Д-Р МОМЧИЛ НЕКОВ </w:t>
      </w:r>
      <w:r w:rsidRPr="00292755">
        <w:rPr>
          <w:rFonts w:ascii="Times New Roman" w:eastAsia="Times New Roman" w:hAnsi="Times New Roman" w:cs="Times New Roman"/>
          <w:sz w:val="24"/>
          <w:szCs w:val="24"/>
          <w:lang w:val="bg-BG"/>
        </w:rPr>
        <w:t>подложи на гласуване допълнителното предложение  на УО:</w:t>
      </w:r>
    </w:p>
    <w:p w:rsidR="00202023" w:rsidRDefault="00202023" w:rsidP="00292755">
      <w:pPr>
        <w:spacing w:line="240" w:lineRule="auto"/>
        <w:jc w:val="both"/>
        <w:rPr>
          <w:rFonts w:ascii="Times New Roman" w:hAnsi="Times New Roman" w:cs="Times New Roman"/>
          <w:i/>
          <w:sz w:val="24"/>
          <w:szCs w:val="24"/>
          <w:lang w:val="bg-BG"/>
        </w:rPr>
      </w:pPr>
      <w:r w:rsidRPr="00292755">
        <w:rPr>
          <w:rFonts w:ascii="Times New Roman" w:hAnsi="Times New Roman" w:cs="Times New Roman"/>
          <w:i/>
          <w:sz w:val="24"/>
          <w:szCs w:val="24"/>
          <w:lang w:val="bg-BG"/>
        </w:rPr>
        <w:t>В рамките на четирите процедури по подмярка 7.2, които ще бъдат обявени до края на месец юли 2022 г.,  всяка една община може да подаде не повече от две проектни предложения, като едното проектно предложение трябва да е свързано с инвестиции в енергийна ефективност“.</w:t>
      </w:r>
      <w:r w:rsidRPr="00292755">
        <w:rPr>
          <w:rFonts w:ascii="Times New Roman" w:hAnsi="Times New Roman" w:cs="Times New Roman"/>
          <w:b/>
          <w:i/>
          <w:sz w:val="24"/>
          <w:szCs w:val="24"/>
          <w:lang w:val="bg-BG"/>
        </w:rPr>
        <w:t xml:space="preserve"> </w:t>
      </w:r>
      <w:r w:rsidRPr="00292755">
        <w:rPr>
          <w:rFonts w:ascii="Times New Roman" w:hAnsi="Times New Roman" w:cs="Times New Roman"/>
          <w:i/>
          <w:sz w:val="24"/>
          <w:szCs w:val="24"/>
          <w:lang w:val="bg-BG"/>
        </w:rPr>
        <w:t>Допълнението ще бъде включено в Насоките за кандидатстване по всяка една от четирите процедури по подмярка 7.2 „Инвестиции в създаването, подобряването или разширяването на всички видове малка по мащаби инфраструктура“ от ПРСР 2014-2020 г.</w:t>
      </w:r>
    </w:p>
    <w:p w:rsidR="00443BFC" w:rsidRPr="00443BFC" w:rsidRDefault="00443BFC" w:rsidP="00292755">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Гласуване:</w:t>
      </w:r>
    </w:p>
    <w:p w:rsidR="00202023" w:rsidRPr="00292755" w:rsidRDefault="00202023" w:rsidP="00292755">
      <w:pPr>
        <w:spacing w:after="0" w:line="240" w:lineRule="auto"/>
        <w:rPr>
          <w:rFonts w:ascii="Times New Roman" w:eastAsia="Times New Roman" w:hAnsi="Times New Roman" w:cs="Times New Roman"/>
          <w:sz w:val="24"/>
          <w:szCs w:val="24"/>
          <w:lang w:val="bg-BG"/>
        </w:rPr>
      </w:pPr>
    </w:p>
    <w:p w:rsidR="00451964" w:rsidRPr="00292755" w:rsidRDefault="00D1736E"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w:t>
      </w:r>
      <w:r w:rsidR="00451964" w:rsidRPr="00292755">
        <w:rPr>
          <w:rFonts w:ascii="Times New Roman" w:eastAsia="Times New Roman" w:hAnsi="Times New Roman" w:cs="Times New Roman"/>
          <w:sz w:val="24"/>
          <w:szCs w:val="24"/>
          <w:lang w:val="bg-BG"/>
        </w:rPr>
        <w:t>р</w:t>
      </w:r>
      <w:r w:rsidRPr="00292755">
        <w:rPr>
          <w:rFonts w:ascii="Times New Roman" w:eastAsia="Times New Roman" w:hAnsi="Times New Roman" w:cs="Times New Roman"/>
          <w:sz w:val="24"/>
          <w:szCs w:val="24"/>
          <w:lang w:val="bg-BG"/>
        </w:rPr>
        <w:t>отив“ - няма</w:t>
      </w:r>
    </w:p>
    <w:p w:rsidR="00451964" w:rsidRPr="00292755" w:rsidRDefault="00D1736E"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„Въздържали се“ – няма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„За“ – 42.</w:t>
      </w:r>
    </w:p>
    <w:p w:rsidR="00451964" w:rsidRPr="00292755" w:rsidRDefault="00443BFC"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Предложението се прие</w:t>
      </w:r>
      <w:r w:rsidR="00451964" w:rsidRPr="00292755">
        <w:rPr>
          <w:rFonts w:ascii="Times New Roman" w:eastAsia="Times New Roman" w:hAnsi="Times New Roman" w:cs="Times New Roman"/>
          <w:sz w:val="24"/>
          <w:szCs w:val="24"/>
          <w:lang w:val="bg-BG"/>
        </w:rPr>
        <w:t xml:space="preserve"> </w:t>
      </w:r>
      <w:r w:rsidR="00D1736E" w:rsidRPr="00292755">
        <w:rPr>
          <w:rFonts w:ascii="Times New Roman" w:eastAsia="Times New Roman" w:hAnsi="Times New Roman" w:cs="Times New Roman"/>
          <w:sz w:val="24"/>
          <w:szCs w:val="24"/>
          <w:lang w:val="bg-BG"/>
        </w:rPr>
        <w:t xml:space="preserve"> с единодушие</w:t>
      </w:r>
      <w:r w:rsidR="00451964" w:rsidRPr="00292755">
        <w:rPr>
          <w:rFonts w:ascii="Times New Roman" w:eastAsia="Times New Roman" w:hAnsi="Times New Roman" w:cs="Times New Roman"/>
          <w:sz w:val="24"/>
          <w:szCs w:val="24"/>
          <w:lang w:val="bg-BG"/>
        </w:rPr>
        <w:t>.</w:t>
      </w:r>
    </w:p>
    <w:p w:rsidR="00451964" w:rsidRPr="00292755" w:rsidRDefault="00451964" w:rsidP="00292755">
      <w:pPr>
        <w:spacing w:after="0" w:line="240" w:lineRule="auto"/>
        <w:ind w:left="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ind w:right="3402"/>
        <w:jc w:val="both"/>
        <w:rPr>
          <w:rFonts w:ascii="Times New Roman" w:eastAsia="Times New Roman" w:hAnsi="Times New Roman" w:cs="Times New Roman"/>
          <w:b/>
          <w:sz w:val="24"/>
          <w:szCs w:val="24"/>
          <w:u w:val="single"/>
          <w:lang w:val="bg-BG"/>
        </w:rPr>
      </w:pPr>
      <w:r w:rsidRPr="00292755">
        <w:rPr>
          <w:rFonts w:ascii="Times New Roman" w:eastAsia="Times New Roman" w:hAnsi="Times New Roman" w:cs="Times New Roman"/>
          <w:b/>
          <w:sz w:val="24"/>
          <w:szCs w:val="24"/>
          <w:u w:val="single"/>
          <w:lang w:val="bg-BG"/>
        </w:rPr>
        <w:t>Точка 4</w:t>
      </w:r>
    </w:p>
    <w:p w:rsidR="00451964" w:rsidRPr="00292755" w:rsidRDefault="00451964" w:rsidP="00292755">
      <w:pPr>
        <w:spacing w:after="0" w:line="240" w:lineRule="auto"/>
        <w:jc w:val="both"/>
        <w:rPr>
          <w:rFonts w:ascii="Times New Roman" w:eastAsia="Calibri" w:hAnsi="Times New Roman" w:cs="Times New Roman"/>
          <w:b/>
          <w:sz w:val="24"/>
          <w:szCs w:val="24"/>
          <w:lang w:val="bg-BG"/>
        </w:rPr>
      </w:pPr>
      <w:r w:rsidRPr="00292755">
        <w:rPr>
          <w:rFonts w:ascii="Times New Roman" w:eastAsia="Calibri" w:hAnsi="Times New Roman" w:cs="Times New Roman"/>
          <w:b/>
          <w:sz w:val="24"/>
          <w:szCs w:val="24"/>
          <w:lang w:val="bg-BG"/>
        </w:rPr>
        <w:t>Предложение на УО на ПРСР 2014-2020 г. за промяна в критериите за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от ПРСР (2014-2020).</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lang w:val="bg-BG"/>
        </w:rPr>
        <w:t xml:space="preserve"> пре</w:t>
      </w:r>
      <w:r w:rsidR="00443BFC">
        <w:rPr>
          <w:rFonts w:ascii="Times New Roman" w:eastAsia="Times New Roman" w:hAnsi="Times New Roman" w:cs="Times New Roman"/>
          <w:sz w:val="24"/>
          <w:szCs w:val="24"/>
          <w:lang w:val="bg-BG"/>
        </w:rPr>
        <w:t>достави думата на г-жа  Иванова да представи промяната в критериите.</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ЕЛЕНА ИВАНОВА</w:t>
      </w:r>
      <w:r w:rsidRPr="00292755">
        <w:rPr>
          <w:rFonts w:ascii="Times New Roman" w:eastAsia="Times New Roman" w:hAnsi="Times New Roman" w:cs="Times New Roman"/>
          <w:sz w:val="24"/>
          <w:szCs w:val="24"/>
          <w:lang w:val="bg-BG"/>
        </w:rPr>
        <w:t xml:space="preserve"> представи</w:t>
      </w:r>
      <w:r w:rsidR="00202023"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 xml:space="preserve"> критерии</w:t>
      </w:r>
      <w:r w:rsidR="00202023" w:rsidRPr="00292755">
        <w:rPr>
          <w:rFonts w:ascii="Times New Roman" w:eastAsia="Times New Roman" w:hAnsi="Times New Roman" w:cs="Times New Roman"/>
          <w:sz w:val="24"/>
          <w:szCs w:val="24"/>
          <w:lang w:val="bg-BG"/>
        </w:rPr>
        <w:t>те</w:t>
      </w:r>
      <w:r w:rsidRPr="00292755">
        <w:rPr>
          <w:rFonts w:ascii="Times New Roman" w:eastAsia="Times New Roman" w:hAnsi="Times New Roman" w:cs="Times New Roman"/>
          <w:sz w:val="24"/>
          <w:szCs w:val="24"/>
          <w:lang w:val="bg-BG"/>
        </w:rPr>
        <w:t xml:space="preserve"> за подбор за всяка едн</w:t>
      </w:r>
      <w:r w:rsidR="00443BFC">
        <w:rPr>
          <w:rFonts w:ascii="Times New Roman" w:eastAsia="Times New Roman" w:hAnsi="Times New Roman" w:cs="Times New Roman"/>
          <w:sz w:val="24"/>
          <w:szCs w:val="24"/>
          <w:lang w:val="bg-BG"/>
        </w:rPr>
        <w:t>а от четирите процедури, като</w:t>
      </w:r>
      <w:r w:rsidR="003A4263" w:rsidRPr="00292755">
        <w:rPr>
          <w:rFonts w:ascii="Times New Roman" w:eastAsia="Times New Roman" w:hAnsi="Times New Roman" w:cs="Times New Roman"/>
          <w:sz w:val="24"/>
          <w:szCs w:val="24"/>
          <w:lang w:val="bg-BG"/>
        </w:rPr>
        <w:t xml:space="preserve"> уточни, че в</w:t>
      </w:r>
      <w:r w:rsidRPr="00292755">
        <w:rPr>
          <w:rFonts w:ascii="Times New Roman" w:eastAsia="Times New Roman" w:hAnsi="Times New Roman" w:cs="Times New Roman"/>
          <w:sz w:val="24"/>
          <w:szCs w:val="24"/>
          <w:lang w:val="bg-BG"/>
        </w:rPr>
        <w:t xml:space="preserve"> съответните критерии за подбор не са направени сериозни изменения, включително и от гледна </w:t>
      </w:r>
      <w:r w:rsidR="003A4263" w:rsidRPr="00292755">
        <w:rPr>
          <w:rFonts w:ascii="Times New Roman" w:eastAsia="Times New Roman" w:hAnsi="Times New Roman" w:cs="Times New Roman"/>
          <w:sz w:val="24"/>
          <w:szCs w:val="24"/>
          <w:lang w:val="bg-BG"/>
        </w:rPr>
        <w:t xml:space="preserve">точка на тежестта на </w:t>
      </w:r>
      <w:r w:rsidRPr="00292755">
        <w:rPr>
          <w:rFonts w:ascii="Times New Roman" w:eastAsia="Times New Roman" w:hAnsi="Times New Roman" w:cs="Times New Roman"/>
          <w:sz w:val="24"/>
          <w:szCs w:val="24"/>
          <w:lang w:val="bg-BG"/>
        </w:rPr>
        <w:t xml:space="preserve"> критерии</w:t>
      </w:r>
      <w:r w:rsidR="003A4263" w:rsidRPr="00292755">
        <w:rPr>
          <w:rFonts w:ascii="Times New Roman" w:eastAsia="Times New Roman" w:hAnsi="Times New Roman" w:cs="Times New Roman"/>
          <w:sz w:val="24"/>
          <w:szCs w:val="24"/>
          <w:lang w:val="bg-BG"/>
        </w:rPr>
        <w:t>те</w:t>
      </w:r>
      <w:r w:rsidRPr="00292755">
        <w:rPr>
          <w:rFonts w:ascii="Times New Roman" w:eastAsia="Times New Roman" w:hAnsi="Times New Roman" w:cs="Times New Roman"/>
          <w:sz w:val="24"/>
          <w:szCs w:val="24"/>
          <w:lang w:val="bg-BG"/>
        </w:rPr>
        <w:t>.</w:t>
      </w:r>
    </w:p>
    <w:p w:rsidR="00202023" w:rsidRPr="00292755" w:rsidRDefault="00202023" w:rsidP="00292755">
      <w:pPr>
        <w:spacing w:after="0" w:line="240" w:lineRule="auto"/>
        <w:jc w:val="both"/>
        <w:rPr>
          <w:rFonts w:ascii="Times New Roman" w:eastAsia="Times New Roman" w:hAnsi="Times New Roman" w:cs="Times New Roman"/>
          <w:sz w:val="24"/>
          <w:szCs w:val="24"/>
          <w:lang w:val="bg-BG"/>
        </w:rPr>
      </w:pPr>
    </w:p>
    <w:p w:rsidR="00332F89" w:rsidRDefault="00443BFC"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 критерия</w:t>
      </w:r>
      <w:r w:rsidR="00451964" w:rsidRPr="00292755">
        <w:rPr>
          <w:rFonts w:ascii="Times New Roman" w:eastAsia="Times New Roman" w:hAnsi="Times New Roman" w:cs="Times New Roman"/>
          <w:sz w:val="24"/>
          <w:szCs w:val="24"/>
          <w:lang w:val="bg-BG"/>
        </w:rPr>
        <w:t xml:space="preserve"> „Изграждане или реконструкция на инфраструктура</w:t>
      </w:r>
      <w:r w:rsidR="00202023" w:rsidRPr="00292755">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обслужваща общини с високо нив</w:t>
      </w:r>
      <w:r>
        <w:rPr>
          <w:rFonts w:ascii="Times New Roman" w:eastAsia="Times New Roman" w:hAnsi="Times New Roman" w:cs="Times New Roman"/>
          <w:sz w:val="24"/>
          <w:szCs w:val="24"/>
          <w:lang w:val="bg-BG"/>
        </w:rPr>
        <w:t>о на безработица“,</w:t>
      </w:r>
      <w:r w:rsidR="00332F89">
        <w:rPr>
          <w:rFonts w:ascii="Times New Roman" w:eastAsia="Times New Roman" w:hAnsi="Times New Roman" w:cs="Times New Roman"/>
          <w:sz w:val="24"/>
          <w:szCs w:val="24"/>
          <w:lang w:val="bg-BG"/>
        </w:rPr>
        <w:t xml:space="preserve"> приложим за процедурата</w:t>
      </w:r>
      <w:r w:rsidR="00451964" w:rsidRPr="00292755">
        <w:rPr>
          <w:rFonts w:ascii="Times New Roman" w:eastAsia="Times New Roman" w:hAnsi="Times New Roman" w:cs="Times New Roman"/>
          <w:sz w:val="24"/>
          <w:szCs w:val="24"/>
          <w:lang w:val="bg-BG"/>
        </w:rPr>
        <w:t xml:space="preserve"> </w:t>
      </w:r>
      <w:r w:rsidR="00332F89">
        <w:rPr>
          <w:rFonts w:ascii="Times New Roman" w:eastAsia="Times New Roman" w:hAnsi="Times New Roman" w:cs="Times New Roman"/>
          <w:sz w:val="24"/>
          <w:szCs w:val="24"/>
          <w:lang w:val="bg-BG"/>
        </w:rPr>
        <w:t>„У</w:t>
      </w:r>
      <w:r w:rsidR="00451964" w:rsidRPr="00292755">
        <w:rPr>
          <w:rFonts w:ascii="Times New Roman" w:eastAsia="Times New Roman" w:hAnsi="Times New Roman" w:cs="Times New Roman"/>
          <w:sz w:val="24"/>
          <w:szCs w:val="24"/>
          <w:lang w:val="bg-BG"/>
        </w:rPr>
        <w:t>лици</w:t>
      </w:r>
      <w:r w:rsidR="00332F89">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и </w:t>
      </w:r>
      <w:r w:rsidR="00332F89">
        <w:rPr>
          <w:rFonts w:ascii="Times New Roman" w:eastAsia="Times New Roman" w:hAnsi="Times New Roman" w:cs="Times New Roman"/>
          <w:sz w:val="24"/>
          <w:szCs w:val="24"/>
          <w:lang w:val="bg-BG"/>
        </w:rPr>
        <w:t>процедурата „П</w:t>
      </w:r>
      <w:r w:rsidR="00451964" w:rsidRPr="00292755">
        <w:rPr>
          <w:rFonts w:ascii="Times New Roman" w:eastAsia="Times New Roman" w:hAnsi="Times New Roman" w:cs="Times New Roman"/>
          <w:sz w:val="24"/>
          <w:szCs w:val="24"/>
          <w:lang w:val="bg-BG"/>
        </w:rPr>
        <w:t>ътища</w:t>
      </w:r>
      <w:r w:rsidR="00332F89">
        <w:rPr>
          <w:rFonts w:ascii="Times New Roman" w:eastAsia="Times New Roman" w:hAnsi="Times New Roman" w:cs="Times New Roman"/>
          <w:sz w:val="24"/>
          <w:szCs w:val="24"/>
          <w:lang w:val="bg-BG"/>
        </w:rPr>
        <w:t>“,  пр</w:t>
      </w:r>
      <w:r w:rsidR="00202023" w:rsidRPr="00292755">
        <w:rPr>
          <w:rFonts w:ascii="Times New Roman" w:eastAsia="Times New Roman" w:hAnsi="Times New Roman" w:cs="Times New Roman"/>
          <w:sz w:val="24"/>
          <w:szCs w:val="24"/>
          <w:lang w:val="bg-BG"/>
        </w:rPr>
        <w:t>омените са на база получена</w:t>
      </w:r>
      <w:r w:rsidR="00451964" w:rsidRPr="00292755">
        <w:rPr>
          <w:rFonts w:ascii="Times New Roman" w:eastAsia="Times New Roman" w:hAnsi="Times New Roman" w:cs="Times New Roman"/>
          <w:sz w:val="24"/>
          <w:szCs w:val="24"/>
          <w:lang w:val="bg-BG"/>
        </w:rPr>
        <w:t xml:space="preserve"> статистика и данни от Агенцията по заето</w:t>
      </w:r>
      <w:r w:rsidR="00E80E24" w:rsidRPr="00292755">
        <w:rPr>
          <w:rFonts w:ascii="Times New Roman" w:eastAsia="Times New Roman" w:hAnsi="Times New Roman" w:cs="Times New Roman"/>
          <w:sz w:val="24"/>
          <w:szCs w:val="24"/>
          <w:lang w:val="bg-BG"/>
        </w:rPr>
        <w:t xml:space="preserve">стта с прецизиране на границата. </w:t>
      </w:r>
    </w:p>
    <w:p w:rsidR="00332F89" w:rsidRDefault="00332F89" w:rsidP="00292755">
      <w:pPr>
        <w:spacing w:after="0" w:line="240" w:lineRule="auto"/>
        <w:jc w:val="both"/>
        <w:rPr>
          <w:rFonts w:ascii="Times New Roman" w:eastAsia="Times New Roman" w:hAnsi="Times New Roman" w:cs="Times New Roman"/>
          <w:sz w:val="24"/>
          <w:szCs w:val="24"/>
          <w:lang w:val="bg-BG"/>
        </w:rPr>
      </w:pPr>
    </w:p>
    <w:p w:rsidR="00451964" w:rsidRPr="00292755" w:rsidRDefault="00E80E2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w:t>
      </w:r>
      <w:r w:rsidR="00451964" w:rsidRPr="00292755">
        <w:rPr>
          <w:rFonts w:ascii="Times New Roman" w:eastAsia="Times New Roman" w:hAnsi="Times New Roman" w:cs="Times New Roman"/>
          <w:sz w:val="24"/>
          <w:szCs w:val="24"/>
          <w:lang w:val="bg-BG"/>
        </w:rPr>
        <w:t>роцент</w:t>
      </w:r>
      <w:r w:rsidRPr="00292755">
        <w:rPr>
          <w:rFonts w:ascii="Times New Roman" w:eastAsia="Times New Roman" w:hAnsi="Times New Roman" w:cs="Times New Roman"/>
          <w:sz w:val="24"/>
          <w:szCs w:val="24"/>
          <w:lang w:val="bg-BG"/>
        </w:rPr>
        <w:t>ът на</w:t>
      </w:r>
      <w:r w:rsidR="00451964" w:rsidRPr="00292755">
        <w:rPr>
          <w:rFonts w:ascii="Times New Roman" w:eastAsia="Times New Roman" w:hAnsi="Times New Roman" w:cs="Times New Roman"/>
          <w:sz w:val="24"/>
          <w:szCs w:val="24"/>
          <w:lang w:val="bg-BG"/>
        </w:rPr>
        <w:t xml:space="preserve"> безработица съответно е променен в процедурата „Улици“ – 7 точки се получават на територията на община със средногодишно равнище на реги</w:t>
      </w:r>
      <w:r w:rsidR="00443BFC">
        <w:rPr>
          <w:rFonts w:ascii="Times New Roman" w:eastAsia="Times New Roman" w:hAnsi="Times New Roman" w:cs="Times New Roman"/>
          <w:sz w:val="24"/>
          <w:szCs w:val="24"/>
          <w:lang w:val="bg-BG"/>
        </w:rPr>
        <w:t>стрираната безработица до 10 % . Т</w:t>
      </w:r>
      <w:r w:rsidR="00451964" w:rsidRPr="00292755">
        <w:rPr>
          <w:rFonts w:ascii="Times New Roman" w:eastAsia="Times New Roman" w:hAnsi="Times New Roman" w:cs="Times New Roman"/>
          <w:sz w:val="24"/>
          <w:szCs w:val="24"/>
          <w:lang w:val="bg-BG"/>
        </w:rPr>
        <w:t>очките са променени в сравнение с предходния прием от 2018 година.</w:t>
      </w:r>
    </w:p>
    <w:p w:rsidR="00451964"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Подкритерий 2.2 е границата от 10,</w:t>
      </w:r>
      <w:r w:rsidR="00443BFC">
        <w:rPr>
          <w:rFonts w:ascii="Times New Roman" w:eastAsia="Times New Roman" w:hAnsi="Times New Roman" w:cs="Times New Roman"/>
          <w:sz w:val="24"/>
          <w:szCs w:val="24"/>
          <w:lang w:val="bg-BG"/>
        </w:rPr>
        <w:t xml:space="preserve">01 % до 20 % - 9 точки. Подкритерий 2.3 </w:t>
      </w:r>
      <w:r w:rsidR="00332F89">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 xml:space="preserve"> над 20.01 % - 11 точки. Това е основната промяна </w:t>
      </w:r>
      <w:r w:rsidR="00E80E24" w:rsidRPr="00292755">
        <w:rPr>
          <w:rFonts w:ascii="Times New Roman" w:eastAsia="Times New Roman" w:hAnsi="Times New Roman" w:cs="Times New Roman"/>
          <w:sz w:val="24"/>
          <w:szCs w:val="24"/>
          <w:lang w:val="bg-BG"/>
        </w:rPr>
        <w:t xml:space="preserve">на </w:t>
      </w:r>
      <w:r w:rsidRPr="00292755">
        <w:rPr>
          <w:rFonts w:ascii="Times New Roman" w:eastAsia="Times New Roman" w:hAnsi="Times New Roman" w:cs="Times New Roman"/>
          <w:sz w:val="24"/>
          <w:szCs w:val="24"/>
          <w:lang w:val="bg-BG"/>
        </w:rPr>
        <w:t xml:space="preserve">критерия за улици. </w:t>
      </w:r>
    </w:p>
    <w:p w:rsidR="00332F89" w:rsidRPr="00292755" w:rsidRDefault="00332F89" w:rsidP="00292755">
      <w:pPr>
        <w:spacing w:after="0" w:line="240" w:lineRule="auto"/>
        <w:jc w:val="both"/>
        <w:rPr>
          <w:rFonts w:ascii="Times New Roman" w:eastAsia="Times New Roman" w:hAnsi="Times New Roman" w:cs="Times New Roman"/>
          <w:sz w:val="24"/>
          <w:szCs w:val="24"/>
          <w:lang w:val="bg-BG"/>
        </w:rPr>
      </w:pPr>
    </w:p>
    <w:p w:rsidR="00451964" w:rsidRDefault="00332F89"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 дейността за „П</w:t>
      </w:r>
      <w:r w:rsidR="00451964" w:rsidRPr="00292755">
        <w:rPr>
          <w:rFonts w:ascii="Times New Roman" w:eastAsia="Times New Roman" w:hAnsi="Times New Roman" w:cs="Times New Roman"/>
          <w:sz w:val="24"/>
          <w:szCs w:val="24"/>
          <w:lang w:val="bg-BG"/>
        </w:rPr>
        <w:t>ътища</w:t>
      </w:r>
      <w:r>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съответния критерий </w:t>
      </w:r>
      <w:r w:rsidR="00E80E24" w:rsidRPr="00292755">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2 е разделен </w:t>
      </w:r>
      <w:r>
        <w:rPr>
          <w:rFonts w:ascii="Times New Roman" w:eastAsia="Times New Roman" w:hAnsi="Times New Roman" w:cs="Times New Roman"/>
          <w:sz w:val="24"/>
          <w:szCs w:val="24"/>
          <w:lang w:val="bg-BG"/>
        </w:rPr>
        <w:t xml:space="preserve">на четири подкритерия. </w:t>
      </w:r>
      <w:r w:rsidR="00E80E24" w:rsidRPr="00292755">
        <w:rPr>
          <w:rFonts w:ascii="Times New Roman" w:eastAsia="Times New Roman" w:hAnsi="Times New Roman" w:cs="Times New Roman"/>
          <w:sz w:val="24"/>
          <w:szCs w:val="24"/>
          <w:lang w:val="bg-BG"/>
        </w:rPr>
        <w:t>Р</w:t>
      </w:r>
      <w:r w:rsidR="00451964" w:rsidRPr="00292755">
        <w:rPr>
          <w:rFonts w:ascii="Times New Roman" w:eastAsia="Times New Roman" w:hAnsi="Times New Roman" w:cs="Times New Roman"/>
          <w:sz w:val="24"/>
          <w:szCs w:val="24"/>
          <w:lang w:val="bg-BG"/>
        </w:rPr>
        <w:t>авнищата и границите са до 10 %</w:t>
      </w:r>
      <w:r>
        <w:rPr>
          <w:rFonts w:ascii="Times New Roman" w:eastAsia="Times New Roman" w:hAnsi="Times New Roman" w:cs="Times New Roman"/>
          <w:sz w:val="24"/>
          <w:szCs w:val="24"/>
          <w:lang w:val="bg-BG"/>
        </w:rPr>
        <w:t>, от 10.01 % до</w:t>
      </w:r>
      <w:r w:rsidR="00451964" w:rsidRPr="00292755">
        <w:rPr>
          <w:rFonts w:ascii="Times New Roman" w:eastAsia="Times New Roman" w:hAnsi="Times New Roman" w:cs="Times New Roman"/>
          <w:sz w:val="24"/>
          <w:szCs w:val="24"/>
          <w:lang w:val="bg-BG"/>
        </w:rPr>
        <w:t xml:space="preserve"> 20 %, от  20.01 % до 30 % и над 30</w:t>
      </w:r>
      <w:r w:rsidR="00E80E24" w:rsidRPr="00292755">
        <w:rPr>
          <w:rFonts w:ascii="Times New Roman" w:eastAsia="Times New Roman" w:hAnsi="Times New Roman" w:cs="Times New Roman"/>
          <w:sz w:val="24"/>
          <w:szCs w:val="24"/>
          <w:lang w:val="bg-BG"/>
        </w:rPr>
        <w:t>,01</w:t>
      </w:r>
      <w:r w:rsidR="00451964" w:rsidRPr="00292755">
        <w:rPr>
          <w:rFonts w:ascii="Times New Roman" w:eastAsia="Times New Roman" w:hAnsi="Times New Roman" w:cs="Times New Roman"/>
          <w:sz w:val="24"/>
          <w:szCs w:val="24"/>
          <w:lang w:val="bg-BG"/>
        </w:rPr>
        <w:t xml:space="preserve"> %, като съответно точките са 6, 9, 12 и 15.</w:t>
      </w:r>
    </w:p>
    <w:p w:rsidR="00332F89" w:rsidRPr="00292755" w:rsidRDefault="00332F89"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Включен е съответно новият критерий в процедурата за енергийна ефективност.</w:t>
      </w:r>
      <w:r w:rsidR="00332F89">
        <w:rPr>
          <w:rFonts w:ascii="Times New Roman" w:eastAsia="Times New Roman" w:hAnsi="Times New Roman" w:cs="Times New Roman"/>
          <w:sz w:val="24"/>
          <w:szCs w:val="24"/>
          <w:lang w:val="bg-BG"/>
        </w:rPr>
        <w:t xml:space="preserve"> По критерий 3  предложението има </w:t>
      </w:r>
      <w:r w:rsidRPr="00292755">
        <w:rPr>
          <w:rFonts w:ascii="Times New Roman" w:eastAsia="Times New Roman" w:hAnsi="Times New Roman" w:cs="Times New Roman"/>
          <w:sz w:val="24"/>
          <w:szCs w:val="24"/>
          <w:lang w:val="bg-BG"/>
        </w:rPr>
        <w:t xml:space="preserve"> три подкритерия. Проектното предложение включва разходи за инвестиции в производство на енергия от ВЕИ за собствено потребление на сто</w:t>
      </w:r>
      <w:r w:rsidR="005C6301" w:rsidRPr="00292755">
        <w:rPr>
          <w:rFonts w:ascii="Times New Roman" w:eastAsia="Times New Roman" w:hAnsi="Times New Roman" w:cs="Times New Roman"/>
          <w:sz w:val="24"/>
          <w:szCs w:val="24"/>
          <w:lang w:val="bg-BG"/>
        </w:rPr>
        <w:t xml:space="preserve">йност от 10 до 20 %, </w:t>
      </w:r>
      <w:r w:rsidRPr="00292755">
        <w:rPr>
          <w:rFonts w:ascii="Times New Roman" w:eastAsia="Times New Roman" w:hAnsi="Times New Roman" w:cs="Times New Roman"/>
          <w:sz w:val="24"/>
          <w:szCs w:val="24"/>
          <w:lang w:val="bg-BG"/>
        </w:rPr>
        <w:t xml:space="preserve"> получават</w:t>
      </w:r>
      <w:r w:rsidR="005C6301" w:rsidRPr="00292755">
        <w:rPr>
          <w:rFonts w:ascii="Times New Roman" w:eastAsia="Times New Roman" w:hAnsi="Times New Roman" w:cs="Times New Roman"/>
          <w:sz w:val="24"/>
          <w:szCs w:val="24"/>
          <w:lang w:val="bg-BG"/>
        </w:rPr>
        <w:t xml:space="preserve"> се</w:t>
      </w:r>
      <w:r w:rsidRPr="00292755">
        <w:rPr>
          <w:rFonts w:ascii="Times New Roman" w:eastAsia="Times New Roman" w:hAnsi="Times New Roman" w:cs="Times New Roman"/>
          <w:sz w:val="24"/>
          <w:szCs w:val="24"/>
          <w:lang w:val="bg-BG"/>
        </w:rPr>
        <w:t xml:space="preserve"> определените точки и определената тежест на критерия – 5 точки.</w:t>
      </w:r>
    </w:p>
    <w:p w:rsidR="005C6301"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Подкритерий 2 от </w:t>
      </w:r>
      <w:r w:rsidR="005C6301" w:rsidRPr="00292755">
        <w:rPr>
          <w:rFonts w:ascii="Times New Roman" w:eastAsia="Times New Roman" w:hAnsi="Times New Roman" w:cs="Times New Roman"/>
          <w:sz w:val="24"/>
          <w:szCs w:val="24"/>
          <w:lang w:val="bg-BG"/>
        </w:rPr>
        <w:t>20.01 % до 30 % - предоставят се  7 точки.</w:t>
      </w:r>
    </w:p>
    <w:p w:rsidR="00451964" w:rsidRPr="00292755" w:rsidRDefault="005C6301"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Подкритерий 3 над 30.01 % - предоставят се </w:t>
      </w:r>
      <w:r w:rsidR="00451964" w:rsidRPr="00292755">
        <w:rPr>
          <w:rFonts w:ascii="Times New Roman" w:eastAsia="Times New Roman" w:hAnsi="Times New Roman" w:cs="Times New Roman"/>
          <w:sz w:val="24"/>
          <w:szCs w:val="24"/>
          <w:lang w:val="bg-BG"/>
        </w:rPr>
        <w:t>9 точки.</w:t>
      </w:r>
    </w:p>
    <w:p w:rsidR="003A4263" w:rsidRPr="00292755" w:rsidRDefault="003A4263"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Друго</w:t>
      </w:r>
      <w:r w:rsidR="005C6301" w:rsidRPr="00292755">
        <w:rPr>
          <w:rFonts w:ascii="Times New Roman" w:eastAsia="Times New Roman" w:hAnsi="Times New Roman" w:cs="Times New Roman"/>
          <w:sz w:val="24"/>
          <w:szCs w:val="24"/>
          <w:lang w:val="bg-BG"/>
        </w:rPr>
        <w:t xml:space="preserve">то </w:t>
      </w:r>
      <w:r w:rsidRPr="00292755">
        <w:rPr>
          <w:rFonts w:ascii="Times New Roman" w:eastAsia="Times New Roman" w:hAnsi="Times New Roman" w:cs="Times New Roman"/>
          <w:sz w:val="24"/>
          <w:szCs w:val="24"/>
          <w:lang w:val="bg-BG"/>
        </w:rPr>
        <w:t>по-важно изменение е в дейността за рехабилитация или реконструкция на водоснаб</w:t>
      </w:r>
      <w:r w:rsidR="00332F89">
        <w:rPr>
          <w:rFonts w:ascii="Times New Roman" w:eastAsia="Times New Roman" w:hAnsi="Times New Roman" w:cs="Times New Roman"/>
          <w:sz w:val="24"/>
          <w:szCs w:val="24"/>
          <w:lang w:val="bg-BG"/>
        </w:rPr>
        <w:t>дителните системи и съоръжения в критерий 1 „Р</w:t>
      </w:r>
      <w:r w:rsidR="005C6301" w:rsidRPr="00292755">
        <w:rPr>
          <w:rFonts w:ascii="Times New Roman" w:eastAsia="Times New Roman" w:hAnsi="Times New Roman" w:cs="Times New Roman"/>
          <w:sz w:val="24"/>
          <w:szCs w:val="24"/>
          <w:lang w:val="bg-BG"/>
        </w:rPr>
        <w:t>айони с установен</w:t>
      </w:r>
      <w:r w:rsidRPr="00292755">
        <w:rPr>
          <w:rFonts w:ascii="Times New Roman" w:eastAsia="Times New Roman" w:hAnsi="Times New Roman" w:cs="Times New Roman"/>
          <w:sz w:val="24"/>
          <w:szCs w:val="24"/>
          <w:lang w:val="bg-BG"/>
        </w:rPr>
        <w:t xml:space="preserve"> или прогноз</w:t>
      </w:r>
      <w:r w:rsidR="00332F89">
        <w:rPr>
          <w:rFonts w:ascii="Times New Roman" w:eastAsia="Times New Roman" w:hAnsi="Times New Roman" w:cs="Times New Roman"/>
          <w:sz w:val="24"/>
          <w:szCs w:val="24"/>
          <w:lang w:val="bg-BG"/>
        </w:rPr>
        <w:t>иран воден стрес (</w:t>
      </w:r>
      <w:r w:rsidRPr="00292755">
        <w:rPr>
          <w:rFonts w:ascii="Times New Roman" w:eastAsia="Times New Roman" w:hAnsi="Times New Roman" w:cs="Times New Roman"/>
          <w:sz w:val="24"/>
          <w:szCs w:val="24"/>
          <w:lang w:val="bg-BG"/>
        </w:rPr>
        <w:t>засушаване или недостиг на вода</w:t>
      </w:r>
      <w:r w:rsidR="00332F89">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и с лошо качество на питейната вода</w:t>
      </w:r>
      <w:r w:rsidR="00332F89">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В рамките на приема през 2016 година този критерий и неговите два подкритерия </w:t>
      </w:r>
      <w:r w:rsidR="00445BFA" w:rsidRPr="00292755">
        <w:rPr>
          <w:rFonts w:ascii="Times New Roman" w:eastAsia="Times New Roman" w:hAnsi="Times New Roman" w:cs="Times New Roman"/>
          <w:sz w:val="24"/>
          <w:szCs w:val="24"/>
          <w:lang w:val="bg-BG"/>
        </w:rPr>
        <w:t xml:space="preserve">се прилагаха по следния начин: </w:t>
      </w:r>
      <w:r w:rsidRPr="00292755">
        <w:rPr>
          <w:rFonts w:ascii="Times New Roman" w:eastAsia="Times New Roman" w:hAnsi="Times New Roman" w:cs="Times New Roman"/>
          <w:sz w:val="24"/>
          <w:szCs w:val="24"/>
          <w:lang w:val="bg-BG"/>
        </w:rPr>
        <w:t>Министерството на земеделието и Управляващия орган изиска информация от Министерството на регионалното развитие за районите с установен или прогнозиран воден стрес и с лошо качество на питейната вода. В следствие, на което Министерството на регионалното развитие събираше информацията от с</w:t>
      </w:r>
      <w:r w:rsidR="00853960" w:rsidRPr="00292755">
        <w:rPr>
          <w:rFonts w:ascii="Times New Roman" w:eastAsia="Times New Roman" w:hAnsi="Times New Roman" w:cs="Times New Roman"/>
          <w:sz w:val="24"/>
          <w:szCs w:val="24"/>
          <w:lang w:val="bg-BG"/>
        </w:rPr>
        <w:t>вои компетентни институции,</w:t>
      </w:r>
      <w:r w:rsidRPr="00292755">
        <w:rPr>
          <w:rFonts w:ascii="Times New Roman" w:eastAsia="Times New Roman" w:hAnsi="Times New Roman" w:cs="Times New Roman"/>
          <w:sz w:val="24"/>
          <w:szCs w:val="24"/>
          <w:lang w:val="bg-BG"/>
        </w:rPr>
        <w:t xml:space="preserve"> основно от ВиК операторите. Бяха предоставени данни от съответните регионални здравни инспекции към Министерството на здравеопазването, които да съставят списъците въз основа, на които трябваше да бъдат присъждани точки по тези критерии.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С оглед прилаган</w:t>
      </w:r>
      <w:r w:rsidR="00332F89">
        <w:rPr>
          <w:rFonts w:ascii="Times New Roman" w:eastAsia="Times New Roman" w:hAnsi="Times New Roman" w:cs="Times New Roman"/>
          <w:sz w:val="24"/>
          <w:szCs w:val="24"/>
          <w:lang w:val="bg-BG"/>
        </w:rPr>
        <w:t xml:space="preserve">ето, </w:t>
      </w:r>
      <w:r w:rsidRPr="00292755">
        <w:rPr>
          <w:rFonts w:ascii="Times New Roman" w:eastAsia="Times New Roman" w:hAnsi="Times New Roman" w:cs="Times New Roman"/>
          <w:sz w:val="24"/>
          <w:szCs w:val="24"/>
          <w:lang w:val="bg-BG"/>
        </w:rPr>
        <w:t xml:space="preserve">този </w:t>
      </w:r>
      <w:r w:rsidR="00853960" w:rsidRPr="00292755">
        <w:rPr>
          <w:rFonts w:ascii="Times New Roman" w:eastAsia="Times New Roman" w:hAnsi="Times New Roman" w:cs="Times New Roman"/>
          <w:sz w:val="24"/>
          <w:szCs w:val="24"/>
          <w:lang w:val="bg-BG"/>
        </w:rPr>
        <w:t xml:space="preserve">подход </w:t>
      </w:r>
      <w:r w:rsidRPr="00292755">
        <w:rPr>
          <w:rFonts w:ascii="Times New Roman" w:eastAsia="Times New Roman" w:hAnsi="Times New Roman" w:cs="Times New Roman"/>
          <w:sz w:val="24"/>
          <w:szCs w:val="24"/>
          <w:lang w:val="bg-BG"/>
        </w:rPr>
        <w:t>не беше достатъчно ефективен</w:t>
      </w:r>
      <w:r w:rsidR="00332F89">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и не се пр</w:t>
      </w:r>
      <w:r w:rsidR="00853960" w:rsidRPr="00292755">
        <w:rPr>
          <w:rFonts w:ascii="Times New Roman" w:eastAsia="Times New Roman" w:hAnsi="Times New Roman" w:cs="Times New Roman"/>
          <w:sz w:val="24"/>
          <w:szCs w:val="24"/>
          <w:lang w:val="bg-BG"/>
        </w:rPr>
        <w:t>иложи достатъчно добре за</w:t>
      </w:r>
      <w:r w:rsidRPr="00292755">
        <w:rPr>
          <w:rFonts w:ascii="Times New Roman" w:eastAsia="Times New Roman" w:hAnsi="Times New Roman" w:cs="Times New Roman"/>
          <w:sz w:val="24"/>
          <w:szCs w:val="24"/>
          <w:lang w:val="bg-BG"/>
        </w:rPr>
        <w:t xml:space="preserve"> да гарантира, че най-качествените проекти могат да п</w:t>
      </w:r>
      <w:r w:rsidR="00332F89">
        <w:rPr>
          <w:rFonts w:ascii="Times New Roman" w:eastAsia="Times New Roman" w:hAnsi="Times New Roman" w:cs="Times New Roman"/>
          <w:sz w:val="24"/>
          <w:szCs w:val="24"/>
          <w:lang w:val="bg-BG"/>
        </w:rPr>
        <w:t xml:space="preserve">олучат точки по този критерий. </w:t>
      </w:r>
      <w:r w:rsidR="00853960" w:rsidRPr="00292755">
        <w:rPr>
          <w:rFonts w:ascii="Times New Roman" w:eastAsia="Times New Roman" w:hAnsi="Times New Roman" w:cs="Times New Roman"/>
          <w:sz w:val="24"/>
          <w:szCs w:val="24"/>
          <w:lang w:val="bg-BG"/>
        </w:rPr>
        <w:t xml:space="preserve">В тази връзка настоящото предложение в </w:t>
      </w:r>
      <w:r w:rsidRPr="00292755">
        <w:rPr>
          <w:rFonts w:ascii="Times New Roman" w:eastAsia="Times New Roman" w:hAnsi="Times New Roman" w:cs="Times New Roman"/>
          <w:sz w:val="24"/>
          <w:szCs w:val="24"/>
          <w:lang w:val="bg-BG"/>
        </w:rPr>
        <w:t>двата подкритерия</w:t>
      </w:r>
      <w:r w:rsidR="00853960" w:rsidRPr="00292755">
        <w:rPr>
          <w:rFonts w:ascii="Times New Roman" w:eastAsia="Times New Roman" w:hAnsi="Times New Roman" w:cs="Times New Roman"/>
          <w:sz w:val="24"/>
          <w:szCs w:val="24"/>
          <w:lang w:val="bg-BG"/>
        </w:rPr>
        <w:t xml:space="preserve"> съответствието да се</w:t>
      </w:r>
      <w:r w:rsidRPr="00292755">
        <w:rPr>
          <w:rFonts w:ascii="Times New Roman" w:eastAsia="Times New Roman" w:hAnsi="Times New Roman" w:cs="Times New Roman"/>
          <w:sz w:val="24"/>
          <w:szCs w:val="24"/>
          <w:lang w:val="bg-BG"/>
        </w:rPr>
        <w:t xml:space="preserve"> </w:t>
      </w:r>
      <w:r w:rsidR="00853960" w:rsidRPr="00292755">
        <w:rPr>
          <w:rFonts w:ascii="Times New Roman" w:eastAsia="Times New Roman" w:hAnsi="Times New Roman" w:cs="Times New Roman"/>
          <w:sz w:val="24"/>
          <w:szCs w:val="24"/>
          <w:lang w:val="bg-BG"/>
        </w:rPr>
        <w:t>доказва с документ, предоставен от кандидата и издаден от съответния консолидиран ВиК оператор</w:t>
      </w:r>
      <w:r w:rsidRPr="00292755">
        <w:rPr>
          <w:rFonts w:ascii="Times New Roman" w:eastAsia="Times New Roman" w:hAnsi="Times New Roman" w:cs="Times New Roman"/>
          <w:sz w:val="24"/>
          <w:szCs w:val="24"/>
          <w:lang w:val="bg-BG"/>
        </w:rPr>
        <w:t xml:space="preserve"> за засушаване или недостиг на вода, тоест за установен или прогнозиран воден стрес, чести аварии.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От съответната Регионална здравна инспекция </w:t>
      </w:r>
      <w:r w:rsidR="009711EE">
        <w:rPr>
          <w:rFonts w:ascii="Times New Roman" w:eastAsia="Times New Roman" w:hAnsi="Times New Roman" w:cs="Times New Roman"/>
          <w:sz w:val="24"/>
          <w:szCs w:val="24"/>
          <w:lang w:val="bg-BG"/>
        </w:rPr>
        <w:t xml:space="preserve">ще се предоставя </w:t>
      </w:r>
      <w:r w:rsidRPr="00292755">
        <w:rPr>
          <w:rFonts w:ascii="Times New Roman" w:eastAsia="Times New Roman" w:hAnsi="Times New Roman" w:cs="Times New Roman"/>
          <w:sz w:val="24"/>
          <w:szCs w:val="24"/>
          <w:lang w:val="bg-BG"/>
        </w:rPr>
        <w:t>удостоверение, заключение или документ, който да удостоверява, че на територията на съответното населено място или населени места в рамките, на която ще се извършва инвестицията е установено лошо качество на питейната вода. Под лошо качество на питейната вода</w:t>
      </w:r>
      <w:r w:rsidR="00853960" w:rsidRPr="00292755">
        <w:rPr>
          <w:rFonts w:ascii="Times New Roman" w:eastAsia="Times New Roman" w:hAnsi="Times New Roman" w:cs="Times New Roman"/>
          <w:sz w:val="24"/>
          <w:szCs w:val="24"/>
          <w:lang w:val="bg-BG"/>
        </w:rPr>
        <w:t xml:space="preserve"> се има</w:t>
      </w:r>
      <w:r w:rsidRPr="00292755">
        <w:rPr>
          <w:rFonts w:ascii="Times New Roman" w:eastAsia="Times New Roman" w:hAnsi="Times New Roman" w:cs="Times New Roman"/>
          <w:sz w:val="24"/>
          <w:szCs w:val="24"/>
          <w:lang w:val="bg-BG"/>
        </w:rPr>
        <w:t xml:space="preserve"> предвид отклонение от стандартните показатели заложени в Наредба № 9 на Министерството на здравеопазването.</w:t>
      </w:r>
    </w:p>
    <w:p w:rsidR="003A4263" w:rsidRPr="00292755" w:rsidRDefault="003A4263" w:rsidP="00292755">
      <w:pPr>
        <w:spacing w:after="0" w:line="240" w:lineRule="auto"/>
        <w:jc w:val="both"/>
        <w:rPr>
          <w:rFonts w:ascii="Times New Roman" w:eastAsia="Times New Roman" w:hAnsi="Times New Roman" w:cs="Times New Roman"/>
          <w:sz w:val="24"/>
          <w:szCs w:val="24"/>
          <w:lang w:val="bg-BG"/>
        </w:rPr>
      </w:pPr>
    </w:p>
    <w:p w:rsidR="00451964" w:rsidRDefault="00853960"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Д</w:t>
      </w:r>
      <w:r w:rsidR="00451964" w:rsidRPr="00292755">
        <w:rPr>
          <w:rFonts w:ascii="Times New Roman" w:eastAsia="Times New Roman" w:hAnsi="Times New Roman" w:cs="Times New Roman"/>
          <w:sz w:val="24"/>
          <w:szCs w:val="24"/>
          <w:lang w:val="bg-BG"/>
        </w:rPr>
        <w:t>вата документа, следва да бъдат представени. Периодът им на валидност да бъде от 1 януари 2022 година до датата на подаване на проектното предложение. Удостоверението от ВиК оператора, че на територията на съответната община, населеното място или населените места в рамките, на които ще се извършва инвестицията има установени че</w:t>
      </w:r>
      <w:r w:rsidRPr="00292755">
        <w:rPr>
          <w:rFonts w:ascii="Times New Roman" w:eastAsia="Times New Roman" w:hAnsi="Times New Roman" w:cs="Times New Roman"/>
          <w:sz w:val="24"/>
          <w:szCs w:val="24"/>
          <w:lang w:val="bg-BG"/>
        </w:rPr>
        <w:t>сти аварии, тоест има установен</w:t>
      </w:r>
      <w:r w:rsidR="00451964" w:rsidRPr="00292755">
        <w:rPr>
          <w:rFonts w:ascii="Times New Roman" w:eastAsia="Times New Roman" w:hAnsi="Times New Roman" w:cs="Times New Roman"/>
          <w:sz w:val="24"/>
          <w:szCs w:val="24"/>
          <w:lang w:val="bg-BG"/>
        </w:rPr>
        <w:t xml:space="preserve"> или прогнозиран воден стрес, има засушаване или недостиг на вода,</w:t>
      </w:r>
      <w:r w:rsidRPr="00292755">
        <w:rPr>
          <w:rFonts w:ascii="Times New Roman" w:eastAsia="Times New Roman" w:hAnsi="Times New Roman" w:cs="Times New Roman"/>
          <w:sz w:val="24"/>
          <w:szCs w:val="24"/>
          <w:lang w:val="bg-BG"/>
        </w:rPr>
        <w:t xml:space="preserve"> като</w:t>
      </w:r>
      <w:r w:rsidR="00451964" w:rsidRPr="00292755">
        <w:rPr>
          <w:rFonts w:ascii="Times New Roman" w:eastAsia="Times New Roman" w:hAnsi="Times New Roman" w:cs="Times New Roman"/>
          <w:sz w:val="24"/>
          <w:szCs w:val="24"/>
          <w:lang w:val="bg-BG"/>
        </w:rPr>
        <w:t xml:space="preserve"> изискването ще бъде</w:t>
      </w:r>
      <w:r w:rsidRPr="00292755">
        <w:rPr>
          <w:rFonts w:ascii="Times New Roman" w:eastAsia="Times New Roman" w:hAnsi="Times New Roman" w:cs="Times New Roman"/>
          <w:sz w:val="24"/>
          <w:szCs w:val="24"/>
          <w:lang w:val="bg-BG"/>
        </w:rPr>
        <w:t xml:space="preserve"> - </w:t>
      </w:r>
      <w:r w:rsidR="00DA4C60" w:rsidRPr="00292755">
        <w:rPr>
          <w:rFonts w:ascii="Times New Roman" w:eastAsia="Times New Roman" w:hAnsi="Times New Roman" w:cs="Times New Roman"/>
          <w:sz w:val="24"/>
          <w:szCs w:val="24"/>
          <w:lang w:val="bg-BG"/>
        </w:rPr>
        <w:t xml:space="preserve"> </w:t>
      </w:r>
      <w:r w:rsidR="00451964" w:rsidRPr="00292755">
        <w:rPr>
          <w:rFonts w:ascii="Times New Roman" w:eastAsia="Times New Roman" w:hAnsi="Times New Roman" w:cs="Times New Roman"/>
          <w:sz w:val="24"/>
          <w:szCs w:val="24"/>
          <w:lang w:val="bg-BG"/>
        </w:rPr>
        <w:t xml:space="preserve"> да са установени поне пет аварии на година за последните три години. Тук </w:t>
      </w:r>
      <w:r w:rsidR="00DA4C60" w:rsidRPr="00292755">
        <w:rPr>
          <w:rFonts w:ascii="Times New Roman" w:eastAsia="Times New Roman" w:hAnsi="Times New Roman" w:cs="Times New Roman"/>
          <w:sz w:val="24"/>
          <w:szCs w:val="24"/>
          <w:lang w:val="bg-BG"/>
        </w:rPr>
        <w:t>се заимства подходът от</w:t>
      </w:r>
      <w:r w:rsidR="00451964" w:rsidRPr="00292755">
        <w:rPr>
          <w:rFonts w:ascii="Times New Roman" w:eastAsia="Times New Roman" w:hAnsi="Times New Roman" w:cs="Times New Roman"/>
          <w:sz w:val="24"/>
          <w:szCs w:val="24"/>
          <w:lang w:val="bg-BG"/>
        </w:rPr>
        <w:t xml:space="preserve"> прием 2016</w:t>
      </w:r>
      <w:r w:rsidR="00DA4C60" w:rsidRPr="00292755">
        <w:rPr>
          <w:rFonts w:ascii="Times New Roman" w:eastAsia="Times New Roman" w:hAnsi="Times New Roman" w:cs="Times New Roman"/>
          <w:sz w:val="24"/>
          <w:szCs w:val="24"/>
          <w:lang w:val="bg-BG"/>
        </w:rPr>
        <w:t xml:space="preserve"> година, с</w:t>
      </w:r>
      <w:r w:rsidR="009711EE">
        <w:rPr>
          <w:rFonts w:ascii="Times New Roman" w:eastAsia="Times New Roman" w:hAnsi="Times New Roman" w:cs="Times New Roman"/>
          <w:sz w:val="24"/>
          <w:szCs w:val="24"/>
          <w:lang w:val="bg-BG"/>
        </w:rPr>
        <w:t>ч</w:t>
      </w:r>
      <w:r w:rsidR="00DA4C60" w:rsidRPr="00292755">
        <w:rPr>
          <w:rFonts w:ascii="Times New Roman" w:eastAsia="Times New Roman" w:hAnsi="Times New Roman" w:cs="Times New Roman"/>
          <w:sz w:val="24"/>
          <w:szCs w:val="24"/>
          <w:lang w:val="bg-BG"/>
        </w:rPr>
        <w:t xml:space="preserve">ита се, че </w:t>
      </w:r>
      <w:r w:rsidR="00451964" w:rsidRPr="00292755">
        <w:rPr>
          <w:rFonts w:ascii="Times New Roman" w:eastAsia="Times New Roman" w:hAnsi="Times New Roman" w:cs="Times New Roman"/>
          <w:sz w:val="24"/>
          <w:szCs w:val="24"/>
          <w:lang w:val="bg-BG"/>
        </w:rPr>
        <w:t xml:space="preserve">тази част действително отразява районите и населените места, в които е установен водния стрес. </w:t>
      </w:r>
    </w:p>
    <w:p w:rsidR="009711EE" w:rsidRPr="00292755" w:rsidRDefault="009711EE" w:rsidP="00292755">
      <w:pPr>
        <w:spacing w:after="0" w:line="240" w:lineRule="auto"/>
        <w:jc w:val="both"/>
        <w:rPr>
          <w:rFonts w:ascii="Times New Roman" w:eastAsia="Times New Roman" w:hAnsi="Times New Roman" w:cs="Times New Roman"/>
          <w:sz w:val="24"/>
          <w:szCs w:val="24"/>
          <w:lang w:val="bg-BG"/>
        </w:rPr>
      </w:pPr>
    </w:p>
    <w:p w:rsidR="00451964" w:rsidRPr="00292755" w:rsidRDefault="00DA4C60"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 отношение на л</w:t>
      </w:r>
      <w:r w:rsidR="00451964" w:rsidRPr="00292755">
        <w:rPr>
          <w:rFonts w:ascii="Times New Roman" w:eastAsia="Times New Roman" w:hAnsi="Times New Roman" w:cs="Times New Roman"/>
          <w:sz w:val="24"/>
          <w:szCs w:val="24"/>
          <w:lang w:val="bg-BG"/>
        </w:rPr>
        <w:t>о</w:t>
      </w:r>
      <w:r w:rsidRPr="00292755">
        <w:rPr>
          <w:rFonts w:ascii="Times New Roman" w:eastAsia="Times New Roman" w:hAnsi="Times New Roman" w:cs="Times New Roman"/>
          <w:sz w:val="24"/>
          <w:szCs w:val="24"/>
          <w:lang w:val="bg-BG"/>
        </w:rPr>
        <w:t>шото качество на питейната вода, и</w:t>
      </w:r>
      <w:r w:rsidR="00451964" w:rsidRPr="00292755">
        <w:rPr>
          <w:rFonts w:ascii="Times New Roman" w:eastAsia="Times New Roman" w:hAnsi="Times New Roman" w:cs="Times New Roman"/>
          <w:sz w:val="24"/>
          <w:szCs w:val="24"/>
          <w:lang w:val="bg-BG"/>
        </w:rPr>
        <w:t xml:space="preserve">зискването </w:t>
      </w:r>
      <w:r w:rsidRPr="00292755">
        <w:rPr>
          <w:rFonts w:ascii="Times New Roman" w:eastAsia="Times New Roman" w:hAnsi="Times New Roman" w:cs="Times New Roman"/>
          <w:sz w:val="24"/>
          <w:szCs w:val="24"/>
          <w:lang w:val="bg-BG"/>
        </w:rPr>
        <w:t>се предлага да остане по същия начин: з</w:t>
      </w:r>
      <w:r w:rsidR="00451964" w:rsidRPr="00292755">
        <w:rPr>
          <w:rFonts w:ascii="Times New Roman" w:eastAsia="Times New Roman" w:hAnsi="Times New Roman" w:cs="Times New Roman"/>
          <w:sz w:val="24"/>
          <w:szCs w:val="24"/>
          <w:lang w:val="bg-BG"/>
        </w:rPr>
        <w:t xml:space="preserve">а последните три години да има поне пет установени с протоколи или със съответните документи от компетентната институция </w:t>
      </w:r>
      <w:r w:rsidRPr="00292755">
        <w:rPr>
          <w:rFonts w:ascii="Times New Roman" w:eastAsia="Times New Roman" w:hAnsi="Times New Roman" w:cs="Times New Roman"/>
          <w:sz w:val="24"/>
          <w:szCs w:val="24"/>
          <w:lang w:val="bg-BG"/>
        </w:rPr>
        <w:t xml:space="preserve">или акредитираната лаборатория </w:t>
      </w:r>
      <w:r w:rsidR="00451964" w:rsidRPr="00292755">
        <w:rPr>
          <w:rFonts w:ascii="Times New Roman" w:eastAsia="Times New Roman" w:hAnsi="Times New Roman" w:cs="Times New Roman"/>
          <w:sz w:val="24"/>
          <w:szCs w:val="24"/>
          <w:lang w:val="bg-BG"/>
        </w:rPr>
        <w:t>отклонения в качеството на питейната вода по показателите от Наредба № 9.</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КРАСИМИР ДЖОНЕВ</w:t>
      </w:r>
      <w:r w:rsidRPr="00292755">
        <w:rPr>
          <w:rFonts w:ascii="Times New Roman" w:eastAsia="Times New Roman" w:hAnsi="Times New Roman" w:cs="Times New Roman"/>
          <w:sz w:val="24"/>
          <w:szCs w:val="24"/>
          <w:lang w:val="bg-BG"/>
        </w:rPr>
        <w:t xml:space="preserve"> прие, че повечето от забележките на НСОРБ по критериите са взети предвид и благодаря на Управляващия орган за отношението по проблематиката на общините.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МИЛЕНА НЕДЕВА</w:t>
      </w:r>
      <w:r w:rsidR="00647E98" w:rsidRPr="00292755">
        <w:rPr>
          <w:rFonts w:ascii="Times New Roman" w:eastAsia="Times New Roman" w:hAnsi="Times New Roman" w:cs="Times New Roman"/>
          <w:sz w:val="24"/>
          <w:szCs w:val="24"/>
          <w:lang w:val="bg-BG"/>
        </w:rPr>
        <w:t xml:space="preserve"> предложи, </w:t>
      </w:r>
      <w:r w:rsidR="00DA4C60" w:rsidRPr="00292755">
        <w:rPr>
          <w:rFonts w:ascii="Times New Roman" w:eastAsia="Times New Roman" w:hAnsi="Times New Roman" w:cs="Times New Roman"/>
          <w:sz w:val="24"/>
          <w:szCs w:val="24"/>
          <w:lang w:val="bg-BG"/>
        </w:rPr>
        <w:t xml:space="preserve">в </w:t>
      </w:r>
      <w:r w:rsidR="00647E98" w:rsidRPr="00292755">
        <w:rPr>
          <w:rFonts w:ascii="Times New Roman" w:eastAsia="Times New Roman" w:hAnsi="Times New Roman" w:cs="Times New Roman"/>
          <w:sz w:val="24"/>
          <w:szCs w:val="24"/>
          <w:lang w:val="bg-BG"/>
        </w:rPr>
        <w:t xml:space="preserve">критериите за </w:t>
      </w:r>
      <w:r w:rsidR="00DA4C60" w:rsidRPr="00292755">
        <w:rPr>
          <w:rFonts w:ascii="Times New Roman" w:eastAsia="Times New Roman" w:hAnsi="Times New Roman" w:cs="Times New Roman"/>
          <w:sz w:val="24"/>
          <w:szCs w:val="24"/>
          <w:lang w:val="bg-BG"/>
        </w:rPr>
        <w:t>пътища и в улици</w:t>
      </w:r>
      <w:r w:rsidR="009711EE">
        <w:rPr>
          <w:rFonts w:ascii="Times New Roman" w:eastAsia="Times New Roman" w:hAnsi="Times New Roman" w:cs="Times New Roman"/>
          <w:sz w:val="24"/>
          <w:szCs w:val="24"/>
          <w:lang w:val="bg-BG"/>
        </w:rPr>
        <w:t>, където е</w:t>
      </w:r>
      <w:r w:rsidR="00647E98" w:rsidRPr="00292755">
        <w:rPr>
          <w:rFonts w:ascii="Times New Roman" w:eastAsia="Times New Roman" w:hAnsi="Times New Roman" w:cs="Times New Roman"/>
          <w:sz w:val="24"/>
          <w:szCs w:val="24"/>
          <w:lang w:val="bg-BG"/>
        </w:rPr>
        <w:t xml:space="preserve"> посочено</w:t>
      </w:r>
      <w:r w:rsidRPr="00292755">
        <w:rPr>
          <w:rFonts w:ascii="Times New Roman" w:eastAsia="Times New Roman" w:hAnsi="Times New Roman" w:cs="Times New Roman"/>
          <w:sz w:val="24"/>
          <w:szCs w:val="24"/>
          <w:lang w:val="bg-BG"/>
        </w:rPr>
        <w:t xml:space="preserve">, че </w:t>
      </w:r>
      <w:r w:rsidR="00DA4C60" w:rsidRPr="00292755">
        <w:rPr>
          <w:rFonts w:ascii="Times New Roman" w:eastAsia="Times New Roman" w:hAnsi="Times New Roman" w:cs="Times New Roman"/>
          <w:sz w:val="24"/>
          <w:szCs w:val="24"/>
          <w:lang w:val="bg-BG"/>
        </w:rPr>
        <w:t xml:space="preserve">се </w:t>
      </w:r>
      <w:r w:rsidRPr="00292755">
        <w:rPr>
          <w:rFonts w:ascii="Times New Roman" w:eastAsia="Times New Roman" w:hAnsi="Times New Roman" w:cs="Times New Roman"/>
          <w:sz w:val="24"/>
          <w:szCs w:val="24"/>
          <w:lang w:val="bg-BG"/>
        </w:rPr>
        <w:t>осигур</w:t>
      </w:r>
      <w:r w:rsidR="00647E98" w:rsidRPr="00292755">
        <w:rPr>
          <w:rFonts w:ascii="Times New Roman" w:eastAsia="Times New Roman" w:hAnsi="Times New Roman" w:cs="Times New Roman"/>
          <w:sz w:val="24"/>
          <w:szCs w:val="24"/>
          <w:lang w:val="bg-BG"/>
        </w:rPr>
        <w:t xml:space="preserve">ява транспортна свързаност </w:t>
      </w:r>
      <w:r w:rsidRPr="00292755">
        <w:rPr>
          <w:rFonts w:ascii="Times New Roman" w:eastAsia="Times New Roman" w:hAnsi="Times New Roman" w:cs="Times New Roman"/>
          <w:sz w:val="24"/>
          <w:szCs w:val="24"/>
          <w:lang w:val="bg-BG"/>
        </w:rPr>
        <w:t xml:space="preserve">до малките градове от четвърто </w:t>
      </w:r>
      <w:r w:rsidR="00DA4C60" w:rsidRPr="00292755">
        <w:rPr>
          <w:rFonts w:ascii="Times New Roman" w:eastAsia="Times New Roman" w:hAnsi="Times New Roman" w:cs="Times New Roman"/>
          <w:sz w:val="24"/>
          <w:szCs w:val="24"/>
          <w:lang w:val="bg-BG"/>
        </w:rPr>
        <w:t xml:space="preserve">йерархично ниво, </w:t>
      </w:r>
      <w:r w:rsidRPr="00292755">
        <w:rPr>
          <w:rFonts w:ascii="Times New Roman" w:eastAsia="Times New Roman" w:hAnsi="Times New Roman" w:cs="Times New Roman"/>
          <w:sz w:val="24"/>
          <w:szCs w:val="24"/>
          <w:lang w:val="bg-BG"/>
        </w:rPr>
        <w:t xml:space="preserve">да </w:t>
      </w:r>
      <w:r w:rsidR="00DA4C60" w:rsidRPr="00292755">
        <w:rPr>
          <w:rFonts w:ascii="Times New Roman" w:eastAsia="Times New Roman" w:hAnsi="Times New Roman" w:cs="Times New Roman"/>
          <w:sz w:val="24"/>
          <w:szCs w:val="24"/>
          <w:lang w:val="bg-BG"/>
        </w:rPr>
        <w:t>се допише</w:t>
      </w:r>
      <w:r w:rsidRPr="00292755">
        <w:rPr>
          <w:rFonts w:ascii="Times New Roman" w:eastAsia="Times New Roman" w:hAnsi="Times New Roman" w:cs="Times New Roman"/>
          <w:sz w:val="24"/>
          <w:szCs w:val="24"/>
          <w:lang w:val="bg-BG"/>
        </w:rPr>
        <w:t xml:space="preserve"> и пето йерархично ниво</w:t>
      </w:r>
      <w:r w:rsidR="00DA4C60"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В Североизточен регион за развитие, </w:t>
      </w:r>
      <w:r w:rsidR="00647E98" w:rsidRPr="00292755">
        <w:rPr>
          <w:rFonts w:ascii="Times New Roman" w:eastAsia="Times New Roman" w:hAnsi="Times New Roman" w:cs="Times New Roman"/>
          <w:sz w:val="24"/>
          <w:szCs w:val="24"/>
          <w:lang w:val="bg-BG"/>
        </w:rPr>
        <w:t>има</w:t>
      </w:r>
      <w:r w:rsidR="00A543A3"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21 общини и 21 града от пето йе</w:t>
      </w:r>
      <w:r w:rsidR="00647E98" w:rsidRPr="00292755">
        <w:rPr>
          <w:rFonts w:ascii="Times New Roman" w:eastAsia="Times New Roman" w:hAnsi="Times New Roman" w:cs="Times New Roman"/>
          <w:sz w:val="24"/>
          <w:szCs w:val="24"/>
          <w:lang w:val="bg-BG"/>
        </w:rPr>
        <w:t xml:space="preserve">рархично ниво от общо 35 общини. Тя смята, че </w:t>
      </w:r>
      <w:r w:rsidRPr="00292755">
        <w:rPr>
          <w:rFonts w:ascii="Times New Roman" w:eastAsia="Times New Roman" w:hAnsi="Times New Roman" w:cs="Times New Roman"/>
          <w:sz w:val="24"/>
          <w:szCs w:val="24"/>
          <w:lang w:val="bg-BG"/>
        </w:rPr>
        <w:t xml:space="preserve"> критерия</w:t>
      </w:r>
      <w:r w:rsidR="00647E98" w:rsidRPr="00292755">
        <w:rPr>
          <w:rFonts w:ascii="Times New Roman" w:eastAsia="Times New Roman" w:hAnsi="Times New Roman" w:cs="Times New Roman"/>
          <w:sz w:val="24"/>
          <w:szCs w:val="24"/>
          <w:lang w:val="bg-BG"/>
        </w:rPr>
        <w:t>т</w:t>
      </w:r>
      <w:r w:rsidRPr="00292755">
        <w:rPr>
          <w:rFonts w:ascii="Times New Roman" w:eastAsia="Times New Roman" w:hAnsi="Times New Roman" w:cs="Times New Roman"/>
          <w:sz w:val="24"/>
          <w:szCs w:val="24"/>
          <w:lang w:val="bg-BG"/>
        </w:rPr>
        <w:t xml:space="preserve"> за брой население</w:t>
      </w:r>
      <w:r w:rsidR="00647E98" w:rsidRPr="00292755">
        <w:rPr>
          <w:rFonts w:ascii="Times New Roman" w:eastAsia="Times New Roman" w:hAnsi="Times New Roman" w:cs="Times New Roman"/>
          <w:sz w:val="24"/>
          <w:szCs w:val="24"/>
          <w:lang w:val="bg-BG"/>
        </w:rPr>
        <w:t xml:space="preserve"> е несправедлив</w:t>
      </w:r>
      <w:r w:rsidRPr="00292755">
        <w:rPr>
          <w:rFonts w:ascii="Times New Roman" w:eastAsia="Times New Roman" w:hAnsi="Times New Roman" w:cs="Times New Roman"/>
          <w:sz w:val="24"/>
          <w:szCs w:val="24"/>
          <w:lang w:val="bg-BG"/>
        </w:rPr>
        <w:t xml:space="preserve">, тъй като в по-малките общини </w:t>
      </w:r>
      <w:r w:rsidR="00647E98" w:rsidRPr="00292755">
        <w:rPr>
          <w:rFonts w:ascii="Times New Roman" w:eastAsia="Times New Roman" w:hAnsi="Times New Roman" w:cs="Times New Roman"/>
          <w:sz w:val="24"/>
          <w:szCs w:val="24"/>
          <w:lang w:val="bg-BG"/>
        </w:rPr>
        <w:t>броят на населението е по-малък.</w:t>
      </w:r>
    </w:p>
    <w:p w:rsidR="00647E98" w:rsidRPr="00292755" w:rsidRDefault="00647E98" w:rsidP="00292755">
      <w:pPr>
        <w:spacing w:after="0" w:line="240" w:lineRule="auto"/>
        <w:jc w:val="both"/>
        <w:rPr>
          <w:rFonts w:ascii="Times New Roman" w:eastAsia="Times New Roman" w:hAnsi="Times New Roman" w:cs="Times New Roman"/>
          <w:sz w:val="24"/>
          <w:szCs w:val="24"/>
          <w:lang w:val="bg-BG"/>
        </w:rPr>
      </w:pPr>
    </w:p>
    <w:p w:rsidR="00451964"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ЕЛЕНА ИВАНОВА</w:t>
      </w:r>
      <w:r w:rsidR="00A543A3" w:rsidRPr="00292755">
        <w:rPr>
          <w:rFonts w:ascii="Times New Roman" w:eastAsia="Times New Roman" w:hAnsi="Times New Roman" w:cs="Times New Roman"/>
          <w:b/>
          <w:sz w:val="24"/>
          <w:szCs w:val="24"/>
          <w:lang w:val="bg-BG"/>
        </w:rPr>
        <w:t xml:space="preserve"> </w:t>
      </w:r>
      <w:r w:rsidR="00647E98" w:rsidRPr="00292755">
        <w:rPr>
          <w:rFonts w:ascii="Times New Roman" w:eastAsia="Times New Roman" w:hAnsi="Times New Roman" w:cs="Times New Roman"/>
          <w:sz w:val="24"/>
          <w:szCs w:val="24"/>
          <w:lang w:val="bg-BG"/>
        </w:rPr>
        <w:t xml:space="preserve"> уточни</w:t>
      </w:r>
      <w:r w:rsidR="00A543A3" w:rsidRPr="00292755">
        <w:rPr>
          <w:rFonts w:ascii="Times New Roman" w:eastAsia="Times New Roman" w:hAnsi="Times New Roman" w:cs="Times New Roman"/>
          <w:b/>
          <w:sz w:val="24"/>
          <w:szCs w:val="24"/>
          <w:lang w:val="bg-BG"/>
        </w:rPr>
        <w:t xml:space="preserve"> </w:t>
      </w:r>
      <w:r w:rsidR="00647E98" w:rsidRPr="00292755">
        <w:rPr>
          <w:rFonts w:ascii="Times New Roman" w:eastAsia="Times New Roman" w:hAnsi="Times New Roman" w:cs="Times New Roman"/>
          <w:sz w:val="24"/>
          <w:szCs w:val="24"/>
          <w:lang w:val="bg-BG"/>
        </w:rPr>
        <w:t>к</w:t>
      </w:r>
      <w:r w:rsidRPr="00292755">
        <w:rPr>
          <w:rFonts w:ascii="Times New Roman" w:eastAsia="Times New Roman" w:hAnsi="Times New Roman" w:cs="Times New Roman"/>
          <w:sz w:val="24"/>
          <w:szCs w:val="24"/>
          <w:lang w:val="bg-BG"/>
        </w:rPr>
        <w:t xml:space="preserve">ак ще се процедира при предоставяне </w:t>
      </w:r>
      <w:r w:rsidR="00647E98" w:rsidRPr="00292755">
        <w:rPr>
          <w:rFonts w:ascii="Times New Roman" w:eastAsia="Times New Roman" w:hAnsi="Times New Roman" w:cs="Times New Roman"/>
          <w:sz w:val="24"/>
          <w:szCs w:val="24"/>
          <w:lang w:val="bg-BG"/>
        </w:rPr>
        <w:t>на точки по критериите</w:t>
      </w:r>
      <w:r w:rsidR="009711EE">
        <w:rPr>
          <w:rFonts w:ascii="Times New Roman" w:eastAsia="Times New Roman" w:hAnsi="Times New Roman" w:cs="Times New Roman"/>
          <w:sz w:val="24"/>
          <w:szCs w:val="24"/>
          <w:lang w:val="bg-BG"/>
        </w:rPr>
        <w:t>,</w:t>
      </w:r>
      <w:r w:rsidR="00647E98" w:rsidRPr="00292755">
        <w:rPr>
          <w:rFonts w:ascii="Times New Roman" w:eastAsia="Times New Roman" w:hAnsi="Times New Roman" w:cs="Times New Roman"/>
          <w:sz w:val="24"/>
          <w:szCs w:val="24"/>
          <w:lang w:val="bg-BG"/>
        </w:rPr>
        <w:t xml:space="preserve"> отнасящи се до</w:t>
      </w:r>
      <w:r w:rsidRPr="00292755">
        <w:rPr>
          <w:rFonts w:ascii="Times New Roman" w:eastAsia="Times New Roman" w:hAnsi="Times New Roman" w:cs="Times New Roman"/>
          <w:sz w:val="24"/>
          <w:szCs w:val="24"/>
          <w:lang w:val="bg-BG"/>
        </w:rPr>
        <w:t xml:space="preserve"> директната свъ</w:t>
      </w:r>
      <w:r w:rsidR="00647E98" w:rsidRPr="00292755">
        <w:rPr>
          <w:rFonts w:ascii="Times New Roman" w:eastAsia="Times New Roman" w:hAnsi="Times New Roman" w:cs="Times New Roman"/>
          <w:sz w:val="24"/>
          <w:szCs w:val="24"/>
          <w:lang w:val="bg-BG"/>
        </w:rPr>
        <w:t>рзаност с по-висок клас пътища,</w:t>
      </w:r>
      <w:r w:rsidRPr="00292755">
        <w:rPr>
          <w:rFonts w:ascii="Times New Roman" w:eastAsia="Times New Roman" w:hAnsi="Times New Roman" w:cs="Times New Roman"/>
          <w:sz w:val="24"/>
          <w:szCs w:val="24"/>
          <w:lang w:val="bg-BG"/>
        </w:rPr>
        <w:t xml:space="preserve"> включително градовете от ч</w:t>
      </w:r>
      <w:r w:rsidR="00647E98" w:rsidRPr="00292755">
        <w:rPr>
          <w:rFonts w:ascii="Times New Roman" w:eastAsia="Times New Roman" w:hAnsi="Times New Roman" w:cs="Times New Roman"/>
          <w:sz w:val="24"/>
          <w:szCs w:val="24"/>
          <w:lang w:val="bg-BG"/>
        </w:rPr>
        <w:t>етвърто ниво</w:t>
      </w:r>
      <w:r w:rsidRPr="00292755">
        <w:rPr>
          <w:rFonts w:ascii="Times New Roman" w:eastAsia="Times New Roman" w:hAnsi="Times New Roman" w:cs="Times New Roman"/>
          <w:sz w:val="24"/>
          <w:szCs w:val="24"/>
          <w:lang w:val="bg-BG"/>
        </w:rPr>
        <w:t xml:space="preserve"> при улиците и </w:t>
      </w:r>
      <w:r w:rsidR="00A543A3" w:rsidRPr="00292755">
        <w:rPr>
          <w:rFonts w:ascii="Times New Roman" w:eastAsia="Times New Roman" w:hAnsi="Times New Roman" w:cs="Times New Roman"/>
          <w:sz w:val="24"/>
          <w:szCs w:val="24"/>
          <w:lang w:val="bg-BG"/>
        </w:rPr>
        <w:t>при пътищата</w:t>
      </w:r>
      <w:r w:rsidR="00647E98" w:rsidRPr="00292755">
        <w:rPr>
          <w:rFonts w:ascii="Times New Roman" w:eastAsia="Times New Roman" w:hAnsi="Times New Roman" w:cs="Times New Roman"/>
          <w:sz w:val="24"/>
          <w:szCs w:val="24"/>
          <w:lang w:val="bg-BG"/>
        </w:rPr>
        <w:t xml:space="preserve"> </w:t>
      </w:r>
      <w:r w:rsidR="00A543A3" w:rsidRPr="00292755">
        <w:rPr>
          <w:rFonts w:ascii="Times New Roman" w:eastAsia="Times New Roman" w:hAnsi="Times New Roman" w:cs="Times New Roman"/>
          <w:sz w:val="24"/>
          <w:szCs w:val="24"/>
          <w:lang w:val="bg-BG"/>
        </w:rPr>
        <w:t>-  и</w:t>
      </w:r>
      <w:r w:rsidRPr="00292755">
        <w:rPr>
          <w:rFonts w:ascii="Times New Roman" w:eastAsia="Times New Roman" w:hAnsi="Times New Roman" w:cs="Times New Roman"/>
          <w:sz w:val="24"/>
          <w:szCs w:val="24"/>
          <w:lang w:val="bg-BG"/>
        </w:rPr>
        <w:t>зискването ще бъде както и при прием</w:t>
      </w:r>
      <w:r w:rsidR="00647E98" w:rsidRPr="00292755">
        <w:rPr>
          <w:rFonts w:ascii="Times New Roman" w:eastAsia="Times New Roman" w:hAnsi="Times New Roman" w:cs="Times New Roman"/>
          <w:sz w:val="24"/>
          <w:szCs w:val="24"/>
          <w:lang w:val="bg-BG"/>
        </w:rPr>
        <w:t>а от</w:t>
      </w:r>
      <w:r w:rsidRPr="00292755">
        <w:rPr>
          <w:rFonts w:ascii="Times New Roman" w:eastAsia="Times New Roman" w:hAnsi="Times New Roman" w:cs="Times New Roman"/>
          <w:sz w:val="24"/>
          <w:szCs w:val="24"/>
          <w:lang w:val="bg-BG"/>
        </w:rPr>
        <w:t xml:space="preserve"> 2018 година, поне една улица във всяко едно от населените места да осигур</w:t>
      </w:r>
      <w:r w:rsidR="00A543A3" w:rsidRPr="00292755">
        <w:rPr>
          <w:rFonts w:ascii="Times New Roman" w:eastAsia="Times New Roman" w:hAnsi="Times New Roman" w:cs="Times New Roman"/>
          <w:sz w:val="24"/>
          <w:szCs w:val="24"/>
          <w:lang w:val="bg-BG"/>
        </w:rPr>
        <w:t>ява свързаност с по-висок клас пътища. В случай, че има</w:t>
      </w:r>
      <w:r w:rsidRPr="00292755">
        <w:rPr>
          <w:rFonts w:ascii="Times New Roman" w:eastAsia="Times New Roman" w:hAnsi="Times New Roman" w:cs="Times New Roman"/>
          <w:sz w:val="24"/>
          <w:szCs w:val="24"/>
          <w:lang w:val="bg-BG"/>
        </w:rPr>
        <w:t xml:space="preserve"> реконструкция на няколко улици в рамките на едно населено място</w:t>
      </w:r>
      <w:r w:rsidR="00A543A3"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отново ще</w:t>
      </w:r>
      <w:r w:rsidR="00A543A3" w:rsidRPr="00292755">
        <w:rPr>
          <w:rFonts w:ascii="Times New Roman" w:eastAsia="Times New Roman" w:hAnsi="Times New Roman" w:cs="Times New Roman"/>
          <w:sz w:val="24"/>
          <w:szCs w:val="24"/>
          <w:lang w:val="bg-BG"/>
        </w:rPr>
        <w:t xml:space="preserve"> има изискване</w:t>
      </w:r>
      <w:r w:rsidRPr="00292755">
        <w:rPr>
          <w:rFonts w:ascii="Times New Roman" w:eastAsia="Times New Roman" w:hAnsi="Times New Roman" w:cs="Times New Roman"/>
          <w:sz w:val="24"/>
          <w:szCs w:val="24"/>
          <w:lang w:val="bg-BG"/>
        </w:rPr>
        <w:t xml:space="preserve"> поне една от улиците да осигурява свързаност с по-висок клас път.</w:t>
      </w:r>
    </w:p>
    <w:p w:rsidR="009711EE" w:rsidRPr="00292755" w:rsidRDefault="009711EE"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По</w:t>
      </w:r>
      <w:r w:rsidR="003E37BB" w:rsidRPr="00292755">
        <w:rPr>
          <w:rFonts w:ascii="Times New Roman" w:eastAsia="Times New Roman" w:hAnsi="Times New Roman" w:cs="Times New Roman"/>
          <w:sz w:val="24"/>
          <w:szCs w:val="24"/>
          <w:lang w:val="bg-BG"/>
        </w:rPr>
        <w:t xml:space="preserve"> отношение на</w:t>
      </w:r>
      <w:r w:rsidRPr="00292755">
        <w:rPr>
          <w:rFonts w:ascii="Times New Roman" w:eastAsia="Times New Roman" w:hAnsi="Times New Roman" w:cs="Times New Roman"/>
          <w:sz w:val="24"/>
          <w:szCs w:val="24"/>
          <w:lang w:val="bg-BG"/>
        </w:rPr>
        <w:t xml:space="preserve"> предложението на госпожа </w:t>
      </w:r>
      <w:r w:rsidR="00A543A3" w:rsidRPr="00292755">
        <w:rPr>
          <w:rFonts w:ascii="Times New Roman" w:eastAsia="Times New Roman" w:hAnsi="Times New Roman" w:cs="Times New Roman"/>
          <w:sz w:val="24"/>
          <w:szCs w:val="24"/>
          <w:lang w:val="bg-BG"/>
        </w:rPr>
        <w:t>Недева за</w:t>
      </w:r>
      <w:r w:rsidR="003E37BB" w:rsidRPr="00292755">
        <w:rPr>
          <w:rFonts w:ascii="Times New Roman" w:eastAsia="Times New Roman" w:hAnsi="Times New Roman" w:cs="Times New Roman"/>
          <w:sz w:val="24"/>
          <w:szCs w:val="24"/>
          <w:lang w:val="bg-BG"/>
        </w:rPr>
        <w:t xml:space="preserve"> пето йерархично ниво, г-жа</w:t>
      </w:r>
      <w:r w:rsidR="00A543A3" w:rsidRPr="00292755">
        <w:rPr>
          <w:rFonts w:ascii="Times New Roman" w:eastAsia="Times New Roman" w:hAnsi="Times New Roman" w:cs="Times New Roman"/>
          <w:sz w:val="24"/>
          <w:szCs w:val="24"/>
          <w:lang w:val="bg-BG"/>
        </w:rPr>
        <w:t xml:space="preserve"> </w:t>
      </w:r>
      <w:r w:rsidR="003E37BB" w:rsidRPr="00292755">
        <w:rPr>
          <w:rFonts w:ascii="Times New Roman" w:eastAsia="Times New Roman" w:hAnsi="Times New Roman" w:cs="Times New Roman"/>
          <w:sz w:val="24"/>
          <w:szCs w:val="24"/>
          <w:lang w:val="bg-BG"/>
        </w:rPr>
        <w:t xml:space="preserve">Иванова уточни, че УО се е ръководил от </w:t>
      </w:r>
      <w:r w:rsidR="00A543A3"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Националната концепция з</w:t>
      </w:r>
      <w:r w:rsidR="00A543A3" w:rsidRPr="00292755">
        <w:rPr>
          <w:rFonts w:ascii="Times New Roman" w:eastAsia="Times New Roman" w:hAnsi="Times New Roman" w:cs="Times New Roman"/>
          <w:sz w:val="24"/>
          <w:szCs w:val="24"/>
          <w:lang w:val="bg-BG"/>
        </w:rPr>
        <w:t>а пространствено развитие</w:t>
      </w:r>
      <w:r w:rsidR="003E37BB" w:rsidRPr="00292755">
        <w:rPr>
          <w:rFonts w:ascii="Times New Roman" w:eastAsia="Times New Roman" w:hAnsi="Times New Roman" w:cs="Times New Roman"/>
          <w:sz w:val="24"/>
          <w:szCs w:val="24"/>
          <w:lang w:val="bg-BG"/>
        </w:rPr>
        <w:t xml:space="preserve">, където </w:t>
      </w:r>
      <w:r w:rsidR="00A543A3" w:rsidRPr="00292755">
        <w:rPr>
          <w:rFonts w:ascii="Times New Roman" w:eastAsia="Times New Roman" w:hAnsi="Times New Roman" w:cs="Times New Roman"/>
          <w:sz w:val="24"/>
          <w:szCs w:val="24"/>
          <w:lang w:val="bg-BG"/>
        </w:rPr>
        <w:t xml:space="preserve"> изрично</w:t>
      </w:r>
      <w:r w:rsidRPr="00292755">
        <w:rPr>
          <w:rFonts w:ascii="Times New Roman" w:eastAsia="Times New Roman" w:hAnsi="Times New Roman" w:cs="Times New Roman"/>
          <w:sz w:val="24"/>
          <w:szCs w:val="24"/>
          <w:lang w:val="bg-BG"/>
        </w:rPr>
        <w:t xml:space="preserve"> е посочено, че градовете о</w:t>
      </w:r>
      <w:r w:rsidR="00A543A3" w:rsidRPr="00292755">
        <w:rPr>
          <w:rFonts w:ascii="Times New Roman" w:eastAsia="Times New Roman" w:hAnsi="Times New Roman" w:cs="Times New Roman"/>
          <w:sz w:val="24"/>
          <w:szCs w:val="24"/>
          <w:lang w:val="bg-BG"/>
        </w:rPr>
        <w:t xml:space="preserve">т четвърто йерархично ниво са </w:t>
      </w:r>
      <w:r w:rsidRPr="00292755">
        <w:rPr>
          <w:rFonts w:ascii="Times New Roman" w:eastAsia="Times New Roman" w:hAnsi="Times New Roman" w:cs="Times New Roman"/>
          <w:sz w:val="24"/>
          <w:szCs w:val="24"/>
          <w:lang w:val="bg-BG"/>
        </w:rPr>
        <w:t xml:space="preserve"> </w:t>
      </w:r>
      <w:r w:rsidR="009C4DFC" w:rsidRPr="00292755">
        <w:rPr>
          <w:rFonts w:ascii="Times New Roman" w:eastAsia="Times New Roman" w:hAnsi="Times New Roman" w:cs="Times New Roman"/>
          <w:sz w:val="24"/>
          <w:szCs w:val="24"/>
          <w:lang w:val="bg-BG"/>
        </w:rPr>
        <w:t xml:space="preserve">тези </w:t>
      </w:r>
      <w:r w:rsidRPr="00292755">
        <w:rPr>
          <w:rFonts w:ascii="Times New Roman" w:eastAsia="Times New Roman" w:hAnsi="Times New Roman" w:cs="Times New Roman"/>
          <w:sz w:val="24"/>
          <w:szCs w:val="24"/>
          <w:lang w:val="bg-BG"/>
        </w:rPr>
        <w:t>центров</w:t>
      </w:r>
      <w:r w:rsidR="009C4DFC" w:rsidRPr="00292755">
        <w:rPr>
          <w:rFonts w:ascii="Times New Roman" w:eastAsia="Times New Roman" w:hAnsi="Times New Roman" w:cs="Times New Roman"/>
          <w:sz w:val="24"/>
          <w:szCs w:val="24"/>
          <w:lang w:val="bg-BG"/>
        </w:rPr>
        <w:t>е</w:t>
      </w:r>
      <w:r w:rsidR="003E37BB" w:rsidRPr="00292755">
        <w:rPr>
          <w:rFonts w:ascii="Times New Roman" w:eastAsia="Times New Roman" w:hAnsi="Times New Roman" w:cs="Times New Roman"/>
          <w:sz w:val="24"/>
          <w:szCs w:val="24"/>
          <w:lang w:val="bg-BG"/>
        </w:rPr>
        <w:t xml:space="preserve"> на растеж в селските райони, </w:t>
      </w:r>
      <w:r w:rsidRPr="00292755">
        <w:rPr>
          <w:rFonts w:ascii="Times New Roman" w:eastAsia="Times New Roman" w:hAnsi="Times New Roman" w:cs="Times New Roman"/>
          <w:sz w:val="24"/>
          <w:szCs w:val="24"/>
          <w:lang w:val="bg-BG"/>
        </w:rPr>
        <w:t xml:space="preserve">в които се предоставят повече публични блага, обществени услуги и </w:t>
      </w:r>
      <w:r w:rsidR="003E37BB" w:rsidRPr="00292755">
        <w:rPr>
          <w:rFonts w:ascii="Times New Roman" w:eastAsia="Times New Roman" w:hAnsi="Times New Roman" w:cs="Times New Roman"/>
          <w:sz w:val="24"/>
          <w:szCs w:val="24"/>
          <w:lang w:val="bg-BG"/>
        </w:rPr>
        <w:t xml:space="preserve">се </w:t>
      </w:r>
      <w:r w:rsidRPr="00292755">
        <w:rPr>
          <w:rFonts w:ascii="Times New Roman" w:eastAsia="Times New Roman" w:hAnsi="Times New Roman" w:cs="Times New Roman"/>
          <w:sz w:val="24"/>
          <w:szCs w:val="24"/>
          <w:lang w:val="bg-BG"/>
        </w:rPr>
        <w:t>осигуряват възможности за работни места, възможности за работа.</w:t>
      </w:r>
      <w:r w:rsidR="003E37BB" w:rsidRPr="00292755">
        <w:rPr>
          <w:rFonts w:ascii="Times New Roman" w:eastAsia="Times New Roman" w:hAnsi="Times New Roman" w:cs="Times New Roman"/>
          <w:sz w:val="24"/>
          <w:szCs w:val="24"/>
          <w:lang w:val="bg-BG"/>
        </w:rPr>
        <w:t xml:space="preserve"> В тази връзка </w:t>
      </w:r>
      <w:r w:rsidR="009C4DFC" w:rsidRPr="00292755">
        <w:rPr>
          <w:rFonts w:ascii="Times New Roman" w:eastAsia="Times New Roman" w:hAnsi="Times New Roman" w:cs="Times New Roman"/>
          <w:sz w:val="24"/>
          <w:szCs w:val="24"/>
          <w:lang w:val="bg-BG"/>
        </w:rPr>
        <w:t xml:space="preserve">инвестициите по ПРСР </w:t>
      </w:r>
      <w:r w:rsidRPr="00292755">
        <w:rPr>
          <w:rFonts w:ascii="Times New Roman" w:eastAsia="Times New Roman" w:hAnsi="Times New Roman" w:cs="Times New Roman"/>
          <w:sz w:val="24"/>
          <w:szCs w:val="24"/>
          <w:lang w:val="bg-BG"/>
        </w:rPr>
        <w:t>по подмярка 7.2 с</w:t>
      </w:r>
      <w:r w:rsidR="003E37BB" w:rsidRPr="00292755">
        <w:rPr>
          <w:rFonts w:ascii="Times New Roman" w:eastAsia="Times New Roman" w:hAnsi="Times New Roman" w:cs="Times New Roman"/>
          <w:sz w:val="24"/>
          <w:szCs w:val="24"/>
          <w:lang w:val="bg-BG"/>
        </w:rPr>
        <w:t>е свързват с</w:t>
      </w:r>
      <w:r w:rsidRPr="00292755">
        <w:rPr>
          <w:rFonts w:ascii="Times New Roman" w:eastAsia="Times New Roman" w:hAnsi="Times New Roman" w:cs="Times New Roman"/>
          <w:sz w:val="24"/>
          <w:szCs w:val="24"/>
          <w:lang w:val="bg-BG"/>
        </w:rPr>
        <w:t xml:space="preserve"> градовете от четвърто йерархично ни</w:t>
      </w:r>
      <w:r w:rsidR="003E37BB" w:rsidRPr="00292755">
        <w:rPr>
          <w:rFonts w:ascii="Times New Roman" w:eastAsia="Times New Roman" w:hAnsi="Times New Roman" w:cs="Times New Roman"/>
          <w:sz w:val="24"/>
          <w:szCs w:val="24"/>
          <w:lang w:val="bg-BG"/>
        </w:rPr>
        <w:t>во с цел</w:t>
      </w:r>
      <w:r w:rsidRPr="00292755">
        <w:rPr>
          <w:rFonts w:ascii="Times New Roman" w:eastAsia="Times New Roman" w:hAnsi="Times New Roman" w:cs="Times New Roman"/>
          <w:sz w:val="24"/>
          <w:szCs w:val="24"/>
          <w:lang w:val="bg-BG"/>
        </w:rPr>
        <w:t xml:space="preserve"> синергия с всички останали оперативни програми и фондове за изпълнение целите на Националната концепция за простран</w:t>
      </w:r>
      <w:r w:rsidR="003E37BB" w:rsidRPr="00292755">
        <w:rPr>
          <w:rFonts w:ascii="Times New Roman" w:eastAsia="Times New Roman" w:hAnsi="Times New Roman" w:cs="Times New Roman"/>
          <w:sz w:val="24"/>
          <w:szCs w:val="24"/>
          <w:lang w:val="bg-BG"/>
        </w:rPr>
        <w:t>ствено развитие. З</w:t>
      </w:r>
      <w:r w:rsidRPr="00292755">
        <w:rPr>
          <w:rFonts w:ascii="Times New Roman" w:eastAsia="Times New Roman" w:hAnsi="Times New Roman" w:cs="Times New Roman"/>
          <w:sz w:val="24"/>
          <w:szCs w:val="24"/>
          <w:lang w:val="bg-BG"/>
        </w:rPr>
        <w:t>а това</w:t>
      </w:r>
      <w:r w:rsidR="003E37BB"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придържайки се към концепцията</w:t>
      </w:r>
      <w:r w:rsidR="003E37BB"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следва да се запази свързаността само към четвърто йерархично ниво.</w:t>
      </w:r>
    </w:p>
    <w:p w:rsidR="003E37BB" w:rsidRPr="00292755" w:rsidRDefault="003E37BB" w:rsidP="00292755">
      <w:pPr>
        <w:spacing w:after="0" w:line="240" w:lineRule="auto"/>
        <w:jc w:val="both"/>
        <w:rPr>
          <w:rFonts w:ascii="Times New Roman" w:eastAsia="Times New Roman" w:hAnsi="Times New Roman" w:cs="Times New Roman"/>
          <w:sz w:val="24"/>
          <w:szCs w:val="24"/>
          <w:lang w:val="bg-BG"/>
        </w:rPr>
      </w:pPr>
    </w:p>
    <w:p w:rsidR="00451964" w:rsidRPr="00292755" w:rsidRDefault="009C4DFC"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Г-жа Иванова уточни че се приема предложението на НСОРБ в рамките на процедура „Пътища“</w:t>
      </w:r>
      <w:r w:rsidR="009711EE">
        <w:rPr>
          <w:rFonts w:ascii="Times New Roman" w:eastAsia="Times New Roman" w:hAnsi="Times New Roman" w:cs="Times New Roman"/>
          <w:sz w:val="24"/>
          <w:szCs w:val="24"/>
          <w:lang w:val="bg-BG"/>
        </w:rPr>
        <w:t xml:space="preserve"> </w:t>
      </w:r>
      <w:r w:rsidR="00451964" w:rsidRPr="00292755">
        <w:rPr>
          <w:rFonts w:ascii="Times New Roman" w:eastAsia="Times New Roman" w:hAnsi="Times New Roman" w:cs="Times New Roman"/>
          <w:sz w:val="24"/>
          <w:szCs w:val="24"/>
          <w:lang w:val="bg-BG"/>
        </w:rPr>
        <w:t xml:space="preserve">в критерий 5, </w:t>
      </w:r>
      <w:r w:rsidRPr="00292755">
        <w:rPr>
          <w:rFonts w:ascii="Times New Roman" w:eastAsia="Times New Roman" w:hAnsi="Times New Roman" w:cs="Times New Roman"/>
          <w:sz w:val="24"/>
          <w:szCs w:val="24"/>
          <w:lang w:val="bg-BG"/>
        </w:rPr>
        <w:t>горната граница да</w:t>
      </w:r>
      <w:r w:rsidR="009711EE">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бъде</w:t>
      </w:r>
      <w:r w:rsidR="009711EE">
        <w:rPr>
          <w:rFonts w:ascii="Times New Roman" w:eastAsia="Times New Roman" w:hAnsi="Times New Roman" w:cs="Times New Roman"/>
          <w:sz w:val="24"/>
          <w:szCs w:val="24"/>
          <w:lang w:val="bg-BG"/>
        </w:rPr>
        <w:t xml:space="preserve"> над 8001</w:t>
      </w:r>
      <w:r w:rsidRPr="00292755">
        <w:rPr>
          <w:rFonts w:ascii="Times New Roman" w:eastAsia="Times New Roman" w:hAnsi="Times New Roman" w:cs="Times New Roman"/>
          <w:sz w:val="24"/>
          <w:szCs w:val="24"/>
          <w:lang w:val="bg-BG"/>
        </w:rPr>
        <w:t xml:space="preserve"> души</w:t>
      </w:r>
      <w:r w:rsidR="009711EE">
        <w:rPr>
          <w:rFonts w:ascii="Times New Roman" w:eastAsia="Times New Roman" w:hAnsi="Times New Roman" w:cs="Times New Roman"/>
          <w:sz w:val="24"/>
          <w:szCs w:val="24"/>
          <w:lang w:val="bg-BG"/>
        </w:rPr>
        <w:t>.</w:t>
      </w:r>
    </w:p>
    <w:p w:rsidR="009C4DFC" w:rsidRPr="00292755" w:rsidRDefault="009C4DFC" w:rsidP="00292755">
      <w:pPr>
        <w:spacing w:after="0" w:line="240" w:lineRule="auto"/>
        <w:jc w:val="both"/>
        <w:rPr>
          <w:rFonts w:ascii="Times New Roman" w:eastAsia="Times New Roman" w:hAnsi="Times New Roman" w:cs="Times New Roman"/>
          <w:b/>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КРАСИМИР ДЖОНЕВ</w:t>
      </w:r>
      <w:r w:rsidR="009C4DFC" w:rsidRPr="00292755">
        <w:rPr>
          <w:rFonts w:ascii="Times New Roman" w:eastAsia="Times New Roman" w:hAnsi="Times New Roman" w:cs="Times New Roman"/>
          <w:sz w:val="24"/>
          <w:szCs w:val="24"/>
          <w:lang w:val="bg-BG"/>
        </w:rPr>
        <w:t xml:space="preserve"> предложи к</w:t>
      </w:r>
      <w:r w:rsidRPr="00292755">
        <w:rPr>
          <w:rFonts w:ascii="Times New Roman" w:eastAsia="Times New Roman" w:hAnsi="Times New Roman" w:cs="Times New Roman"/>
          <w:sz w:val="24"/>
          <w:szCs w:val="24"/>
          <w:lang w:val="bg-BG"/>
        </w:rPr>
        <w:t>ритериите при проекти въвеждащи иновативни технологии или инвестиц</w:t>
      </w:r>
      <w:r w:rsidR="009711EE">
        <w:rPr>
          <w:rFonts w:ascii="Times New Roman" w:eastAsia="Times New Roman" w:hAnsi="Times New Roman" w:cs="Times New Roman"/>
          <w:sz w:val="24"/>
          <w:szCs w:val="24"/>
          <w:lang w:val="bg-BG"/>
        </w:rPr>
        <w:t>ии с екологичен ефект да отпаднат</w:t>
      </w:r>
      <w:r w:rsidRPr="00292755">
        <w:rPr>
          <w:rFonts w:ascii="Times New Roman" w:eastAsia="Times New Roman" w:hAnsi="Times New Roman" w:cs="Times New Roman"/>
          <w:sz w:val="24"/>
          <w:szCs w:val="24"/>
          <w:lang w:val="bg-BG"/>
        </w:rPr>
        <w:t>.</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 xml:space="preserve">Г-ЖА ЕЛЕНА ИВАНОВА </w:t>
      </w:r>
      <w:r w:rsidR="009C4DFC" w:rsidRPr="00292755">
        <w:rPr>
          <w:rFonts w:ascii="Times New Roman" w:eastAsia="Times New Roman" w:hAnsi="Times New Roman" w:cs="Times New Roman"/>
          <w:sz w:val="24"/>
          <w:szCs w:val="24"/>
          <w:lang w:val="bg-BG"/>
        </w:rPr>
        <w:t xml:space="preserve">уточни, че </w:t>
      </w:r>
      <w:r w:rsidR="00210908" w:rsidRPr="00292755">
        <w:rPr>
          <w:rFonts w:ascii="Times New Roman" w:eastAsia="Times New Roman" w:hAnsi="Times New Roman" w:cs="Times New Roman"/>
          <w:sz w:val="24"/>
          <w:szCs w:val="24"/>
          <w:lang w:val="bg-BG"/>
        </w:rPr>
        <w:t xml:space="preserve"> по</w:t>
      </w:r>
      <w:r w:rsidRPr="00292755">
        <w:rPr>
          <w:rFonts w:ascii="Times New Roman" w:eastAsia="Times New Roman" w:hAnsi="Times New Roman" w:cs="Times New Roman"/>
          <w:sz w:val="24"/>
          <w:szCs w:val="24"/>
          <w:lang w:val="bg-BG"/>
        </w:rPr>
        <w:t xml:space="preserve"> критерий 3</w:t>
      </w:r>
      <w:r w:rsidR="00210908" w:rsidRPr="00292755">
        <w:rPr>
          <w:rFonts w:ascii="Times New Roman" w:eastAsia="Times New Roman" w:hAnsi="Times New Roman" w:cs="Times New Roman"/>
          <w:sz w:val="24"/>
          <w:szCs w:val="24"/>
          <w:lang w:val="bg-BG"/>
        </w:rPr>
        <w:t>„Проекти</w:t>
      </w:r>
      <w:r w:rsidR="009711EE">
        <w:rPr>
          <w:rFonts w:ascii="Times New Roman" w:eastAsia="Times New Roman" w:hAnsi="Times New Roman" w:cs="Times New Roman"/>
          <w:sz w:val="24"/>
          <w:szCs w:val="24"/>
          <w:lang w:val="bg-BG"/>
        </w:rPr>
        <w:t>,</w:t>
      </w:r>
      <w:r w:rsidR="00210908" w:rsidRPr="00292755">
        <w:rPr>
          <w:rFonts w:ascii="Times New Roman" w:eastAsia="Times New Roman" w:hAnsi="Times New Roman" w:cs="Times New Roman"/>
          <w:sz w:val="24"/>
          <w:szCs w:val="24"/>
          <w:lang w:val="bg-BG"/>
        </w:rPr>
        <w:t xml:space="preserve"> въвеждащи иновативните технологии или инвестиции с цел екологичен ефект“</w:t>
      </w:r>
      <w:r w:rsidRPr="00292755">
        <w:rPr>
          <w:rFonts w:ascii="Times New Roman" w:eastAsia="Times New Roman" w:hAnsi="Times New Roman" w:cs="Times New Roman"/>
          <w:sz w:val="24"/>
          <w:szCs w:val="24"/>
          <w:lang w:val="bg-BG"/>
        </w:rPr>
        <w:t xml:space="preserve"> от дейността за реконструкция и рехабилитация на водоснабдителни с</w:t>
      </w:r>
      <w:r w:rsidR="00210908" w:rsidRPr="00292755">
        <w:rPr>
          <w:rFonts w:ascii="Times New Roman" w:eastAsia="Times New Roman" w:hAnsi="Times New Roman" w:cs="Times New Roman"/>
          <w:sz w:val="24"/>
          <w:szCs w:val="24"/>
          <w:lang w:val="bg-BG"/>
        </w:rPr>
        <w:t xml:space="preserve">истеми и съоръжения УО ще  конкретизира този тип инвестиции </w:t>
      </w:r>
      <w:r w:rsidRPr="00292755">
        <w:rPr>
          <w:rFonts w:ascii="Times New Roman" w:eastAsia="Times New Roman" w:hAnsi="Times New Roman" w:cs="Times New Roman"/>
          <w:sz w:val="24"/>
          <w:szCs w:val="24"/>
          <w:lang w:val="bg-BG"/>
        </w:rPr>
        <w:t>по примера на прием</w:t>
      </w:r>
      <w:r w:rsidR="009711EE">
        <w:rPr>
          <w:rFonts w:ascii="Times New Roman" w:eastAsia="Times New Roman" w:hAnsi="Times New Roman" w:cs="Times New Roman"/>
          <w:sz w:val="24"/>
          <w:szCs w:val="24"/>
          <w:lang w:val="bg-BG"/>
        </w:rPr>
        <w:t>а</w:t>
      </w:r>
      <w:r w:rsidRPr="00292755">
        <w:rPr>
          <w:rFonts w:ascii="Times New Roman" w:eastAsia="Times New Roman" w:hAnsi="Times New Roman" w:cs="Times New Roman"/>
          <w:sz w:val="24"/>
          <w:szCs w:val="24"/>
          <w:lang w:val="bg-BG"/>
        </w:rPr>
        <w:t xml:space="preserve"> </w:t>
      </w:r>
      <w:r w:rsidR="00210908" w:rsidRPr="00292755">
        <w:rPr>
          <w:rFonts w:ascii="Times New Roman" w:eastAsia="Times New Roman" w:hAnsi="Times New Roman" w:cs="Times New Roman"/>
          <w:sz w:val="24"/>
          <w:szCs w:val="24"/>
          <w:lang w:val="bg-BG"/>
        </w:rPr>
        <w:t xml:space="preserve">от </w:t>
      </w:r>
      <w:r w:rsidRPr="00292755">
        <w:rPr>
          <w:rFonts w:ascii="Times New Roman" w:eastAsia="Times New Roman" w:hAnsi="Times New Roman" w:cs="Times New Roman"/>
          <w:sz w:val="24"/>
          <w:szCs w:val="24"/>
          <w:lang w:val="bg-BG"/>
        </w:rPr>
        <w:t>2016-та</w:t>
      </w:r>
      <w:r w:rsidR="00210908" w:rsidRPr="00292755">
        <w:rPr>
          <w:rFonts w:ascii="Times New Roman" w:eastAsia="Times New Roman" w:hAnsi="Times New Roman" w:cs="Times New Roman"/>
          <w:sz w:val="24"/>
          <w:szCs w:val="24"/>
          <w:lang w:val="bg-BG"/>
        </w:rPr>
        <w:t xml:space="preserve"> година. Т</w:t>
      </w:r>
      <w:r w:rsidRPr="00292755">
        <w:rPr>
          <w:rFonts w:ascii="Times New Roman" w:eastAsia="Times New Roman" w:hAnsi="Times New Roman" w:cs="Times New Roman"/>
          <w:sz w:val="24"/>
          <w:szCs w:val="24"/>
          <w:lang w:val="bg-BG"/>
        </w:rPr>
        <w:t xml:space="preserve">очки по критерия ще се определят, ако в проекта или съответно в документацията към него са описани прилагането на иновативни практики и очакван екологичен ефект след изпълнението </w:t>
      </w:r>
      <w:r w:rsidR="00210908" w:rsidRPr="00292755">
        <w:rPr>
          <w:rFonts w:ascii="Times New Roman" w:eastAsia="Times New Roman" w:hAnsi="Times New Roman" w:cs="Times New Roman"/>
          <w:sz w:val="24"/>
          <w:szCs w:val="24"/>
          <w:lang w:val="bg-BG"/>
        </w:rPr>
        <w:t>на инвестицията, като например:</w:t>
      </w:r>
      <w:r w:rsidR="009711EE">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принос към намаляване концентрацията на вредни вещества във водата или ограничаване замърсяването на водата от селскостопански източници или органи</w:t>
      </w:r>
      <w:r w:rsidR="00210908" w:rsidRPr="00292755">
        <w:rPr>
          <w:rFonts w:ascii="Times New Roman" w:eastAsia="Times New Roman" w:hAnsi="Times New Roman" w:cs="Times New Roman"/>
          <w:sz w:val="24"/>
          <w:szCs w:val="24"/>
          <w:lang w:val="bg-BG"/>
        </w:rPr>
        <w:t>чни замърсители, п</w:t>
      </w:r>
      <w:r w:rsidRPr="00292755">
        <w:rPr>
          <w:rFonts w:ascii="Times New Roman" w:eastAsia="Times New Roman" w:hAnsi="Times New Roman" w:cs="Times New Roman"/>
          <w:sz w:val="24"/>
          <w:szCs w:val="24"/>
          <w:lang w:val="bg-BG"/>
        </w:rPr>
        <w:t>редотвратяване използване</w:t>
      </w:r>
      <w:r w:rsidR="00210908" w:rsidRPr="00292755">
        <w:rPr>
          <w:rFonts w:ascii="Times New Roman" w:eastAsia="Times New Roman" w:hAnsi="Times New Roman" w:cs="Times New Roman"/>
          <w:sz w:val="24"/>
          <w:szCs w:val="24"/>
          <w:lang w:val="bg-BG"/>
        </w:rPr>
        <w:t>то на питейна вода за напояване, н</w:t>
      </w:r>
      <w:r w:rsidRPr="00292755">
        <w:rPr>
          <w:rFonts w:ascii="Times New Roman" w:eastAsia="Times New Roman" w:hAnsi="Times New Roman" w:cs="Times New Roman"/>
          <w:sz w:val="24"/>
          <w:szCs w:val="24"/>
          <w:lang w:val="bg-BG"/>
        </w:rPr>
        <w:t>амаление в ползването на природни ресурси и енергия. Този тип примерни инвестиции ще бъдат заложени включително и в Насоките за кандидатстване с цел пояснение към критерия за оценка и предотвратяване на неговото субективизиране.</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210908"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Г-жа Ива</w:t>
      </w:r>
      <w:r w:rsidR="009711EE">
        <w:rPr>
          <w:rFonts w:ascii="Times New Roman" w:eastAsia="Times New Roman" w:hAnsi="Times New Roman" w:cs="Times New Roman"/>
          <w:sz w:val="24"/>
          <w:szCs w:val="24"/>
          <w:lang w:val="bg-BG"/>
        </w:rPr>
        <w:t>нова добави коментар по</w:t>
      </w:r>
      <w:r w:rsidR="00451964"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 xml:space="preserve">постъпили </w:t>
      </w:r>
      <w:r w:rsidR="00451964" w:rsidRPr="00292755">
        <w:rPr>
          <w:rFonts w:ascii="Times New Roman" w:eastAsia="Times New Roman" w:hAnsi="Times New Roman" w:cs="Times New Roman"/>
          <w:sz w:val="24"/>
          <w:szCs w:val="24"/>
          <w:lang w:val="bg-BG"/>
        </w:rPr>
        <w:t xml:space="preserve"> въпроси от заин</w:t>
      </w:r>
      <w:r w:rsidR="006628E6" w:rsidRPr="00292755">
        <w:rPr>
          <w:rFonts w:ascii="Times New Roman" w:eastAsia="Times New Roman" w:hAnsi="Times New Roman" w:cs="Times New Roman"/>
          <w:sz w:val="24"/>
          <w:szCs w:val="24"/>
          <w:lang w:val="bg-BG"/>
        </w:rPr>
        <w:t>тересовани страни. В процедура</w:t>
      </w:r>
      <w:r w:rsidR="00451964" w:rsidRPr="00292755">
        <w:rPr>
          <w:rFonts w:ascii="Times New Roman" w:eastAsia="Times New Roman" w:hAnsi="Times New Roman" w:cs="Times New Roman"/>
          <w:sz w:val="24"/>
          <w:szCs w:val="24"/>
          <w:lang w:val="bg-BG"/>
        </w:rPr>
        <w:t xml:space="preserve"> </w:t>
      </w:r>
      <w:r w:rsidR="006628E6" w:rsidRPr="00292755">
        <w:rPr>
          <w:rFonts w:ascii="Times New Roman" w:eastAsia="Times New Roman" w:hAnsi="Times New Roman" w:cs="Times New Roman"/>
          <w:sz w:val="24"/>
          <w:szCs w:val="24"/>
          <w:lang w:val="bg-BG"/>
        </w:rPr>
        <w:t>„У</w:t>
      </w:r>
      <w:r w:rsidR="00451964" w:rsidRPr="00292755">
        <w:rPr>
          <w:rFonts w:ascii="Times New Roman" w:eastAsia="Times New Roman" w:hAnsi="Times New Roman" w:cs="Times New Roman"/>
          <w:sz w:val="24"/>
          <w:szCs w:val="24"/>
          <w:lang w:val="bg-BG"/>
        </w:rPr>
        <w:t>лици</w:t>
      </w:r>
      <w:r w:rsidR="006628E6" w:rsidRPr="00292755">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w:t>
      </w:r>
      <w:r w:rsidR="006628E6" w:rsidRPr="00292755">
        <w:rPr>
          <w:rFonts w:ascii="Times New Roman" w:eastAsia="Times New Roman" w:hAnsi="Times New Roman" w:cs="Times New Roman"/>
          <w:sz w:val="24"/>
          <w:szCs w:val="24"/>
          <w:lang w:val="bg-BG"/>
        </w:rPr>
        <w:t>е посочено</w:t>
      </w:r>
      <w:r w:rsidR="00451964" w:rsidRPr="00292755">
        <w:rPr>
          <w:rFonts w:ascii="Times New Roman" w:eastAsia="Times New Roman" w:hAnsi="Times New Roman" w:cs="Times New Roman"/>
          <w:sz w:val="24"/>
          <w:szCs w:val="24"/>
          <w:lang w:val="bg-BG"/>
        </w:rPr>
        <w:t xml:space="preserve"> и към настоящия момент, че проекти, които включват само инвестиции в</w:t>
      </w:r>
      <w:r w:rsidRPr="00292755">
        <w:rPr>
          <w:rFonts w:ascii="Times New Roman" w:eastAsia="Times New Roman" w:hAnsi="Times New Roman" w:cs="Times New Roman"/>
          <w:sz w:val="24"/>
          <w:szCs w:val="24"/>
          <w:lang w:val="bg-BG"/>
        </w:rPr>
        <w:t xml:space="preserve"> съоръжения и/или принадлежност</w:t>
      </w:r>
      <w:r w:rsidR="006628E6" w:rsidRPr="00292755">
        <w:rPr>
          <w:rFonts w:ascii="Times New Roman" w:eastAsia="Times New Roman" w:hAnsi="Times New Roman" w:cs="Times New Roman"/>
          <w:sz w:val="24"/>
          <w:szCs w:val="24"/>
          <w:lang w:val="bg-BG"/>
        </w:rPr>
        <w:t>и (вкл. тротоари),</w:t>
      </w:r>
      <w:r w:rsidR="00451964" w:rsidRPr="00292755">
        <w:rPr>
          <w:rFonts w:ascii="Times New Roman" w:eastAsia="Times New Roman" w:hAnsi="Times New Roman" w:cs="Times New Roman"/>
          <w:sz w:val="24"/>
          <w:szCs w:val="24"/>
          <w:lang w:val="bg-BG"/>
        </w:rPr>
        <w:t xml:space="preserve"> точки по критерия няма да бъдат присъждани. Това е критерият свързан с директна свързаност на населено място с по-висок клас пътища. Просто това ще бъде допълнено в обяснението към критерия.</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009711EE">
        <w:rPr>
          <w:rFonts w:ascii="Times New Roman" w:eastAsia="Times New Roman" w:hAnsi="Times New Roman" w:cs="Times New Roman"/>
          <w:sz w:val="24"/>
          <w:szCs w:val="24"/>
          <w:lang w:val="bg-BG"/>
        </w:rPr>
        <w:t xml:space="preserve"> предложи</w:t>
      </w:r>
      <w:r w:rsidRPr="00292755">
        <w:rPr>
          <w:rFonts w:ascii="Times New Roman" w:eastAsia="Times New Roman" w:hAnsi="Times New Roman" w:cs="Times New Roman"/>
          <w:sz w:val="24"/>
          <w:szCs w:val="24"/>
          <w:lang w:val="bg-BG"/>
        </w:rPr>
        <w:t xml:space="preserve"> да </w:t>
      </w:r>
      <w:r w:rsidR="009711EE">
        <w:rPr>
          <w:rFonts w:ascii="Times New Roman" w:eastAsia="Times New Roman" w:hAnsi="Times New Roman" w:cs="Times New Roman"/>
          <w:sz w:val="24"/>
          <w:szCs w:val="24"/>
          <w:lang w:val="bg-BG"/>
        </w:rPr>
        <w:t>се премине</w:t>
      </w:r>
      <w:r w:rsidRPr="00292755">
        <w:rPr>
          <w:rFonts w:ascii="Times New Roman" w:eastAsia="Times New Roman" w:hAnsi="Times New Roman" w:cs="Times New Roman"/>
          <w:sz w:val="24"/>
          <w:szCs w:val="24"/>
          <w:lang w:val="bg-BG"/>
        </w:rPr>
        <w:t xml:space="preserve"> към гласуване по точка 4 с така направените предложения за промени.</w:t>
      </w:r>
    </w:p>
    <w:p w:rsidR="00D22960" w:rsidRPr="00292755" w:rsidRDefault="00D22960" w:rsidP="00292755">
      <w:pPr>
        <w:spacing w:after="0" w:line="240" w:lineRule="auto"/>
        <w:jc w:val="both"/>
        <w:rPr>
          <w:rFonts w:ascii="Times New Roman" w:eastAsia="Times New Roman" w:hAnsi="Times New Roman" w:cs="Times New Roman"/>
          <w:sz w:val="24"/>
          <w:szCs w:val="24"/>
          <w:lang w:val="bg-BG"/>
        </w:rPr>
      </w:pPr>
    </w:p>
    <w:p w:rsidR="00D22960" w:rsidRPr="00292755" w:rsidRDefault="00D22960" w:rsidP="00292755">
      <w:pPr>
        <w:spacing w:after="0" w:line="240" w:lineRule="auto"/>
        <w:jc w:val="both"/>
        <w:rPr>
          <w:rFonts w:ascii="Times New Roman" w:eastAsia="Times New Roman" w:hAnsi="Times New Roman" w:cs="Times New Roman"/>
          <w:b/>
          <w:sz w:val="24"/>
          <w:szCs w:val="24"/>
          <w:lang w:val="bg-BG"/>
        </w:rPr>
      </w:pPr>
      <w:r w:rsidRPr="00292755">
        <w:rPr>
          <w:rFonts w:ascii="Times New Roman" w:eastAsia="Times New Roman" w:hAnsi="Times New Roman" w:cs="Times New Roman"/>
          <w:b/>
          <w:sz w:val="24"/>
          <w:szCs w:val="24"/>
          <w:lang w:val="bg-BG"/>
        </w:rPr>
        <w:t>РЕШЕНИЕ ПО Т. 4.</w:t>
      </w:r>
    </w:p>
    <w:p w:rsidR="00451964" w:rsidRPr="00FF095C" w:rsidRDefault="00465C72" w:rsidP="00292755">
      <w:pPr>
        <w:spacing w:after="0" w:line="240" w:lineRule="auto"/>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t>Комитетът по наблюдение одобри</w:t>
      </w:r>
      <w:r w:rsidR="00451964" w:rsidRPr="00FF095C">
        <w:rPr>
          <w:rFonts w:ascii="Times New Roman" w:eastAsia="Times New Roman" w:hAnsi="Times New Roman" w:cs="Times New Roman"/>
          <w:i/>
          <w:sz w:val="24"/>
          <w:szCs w:val="24"/>
          <w:lang w:val="bg-BG"/>
        </w:rPr>
        <w:t xml:space="preserve"> предложението на Управляващия орган за промяна в критериите за подбор на проектните предложения по подмярка 7.2 „Инвестиции в създаването, подобряването или разширяването на всички видове малки по мащаби инфраструктура“ с направените корекции и допълнения.</w:t>
      </w:r>
    </w:p>
    <w:p w:rsidR="00B366F9"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ЕЛЕНА ИВАНОВА</w:t>
      </w:r>
      <w:r w:rsidRPr="00292755">
        <w:rPr>
          <w:rFonts w:ascii="Times New Roman" w:eastAsia="Times New Roman" w:hAnsi="Times New Roman" w:cs="Times New Roman"/>
          <w:sz w:val="24"/>
          <w:szCs w:val="24"/>
          <w:lang w:val="bg-BG"/>
        </w:rPr>
        <w:t xml:space="preserve"> </w:t>
      </w:r>
      <w:r w:rsidR="00B366F9" w:rsidRPr="00292755">
        <w:rPr>
          <w:rFonts w:ascii="Times New Roman" w:eastAsia="Times New Roman" w:hAnsi="Times New Roman" w:cs="Times New Roman"/>
          <w:sz w:val="24"/>
          <w:szCs w:val="24"/>
          <w:lang w:val="bg-BG"/>
        </w:rPr>
        <w:t>посочи основните корекции:</w:t>
      </w:r>
    </w:p>
    <w:p w:rsidR="00451964" w:rsidRPr="00FF095C" w:rsidRDefault="00B366F9" w:rsidP="00292755">
      <w:pPr>
        <w:pStyle w:val="ListParagraph"/>
        <w:numPr>
          <w:ilvl w:val="0"/>
          <w:numId w:val="42"/>
        </w:numPr>
        <w:spacing w:after="0" w:line="240" w:lineRule="auto"/>
        <w:jc w:val="both"/>
        <w:rPr>
          <w:rFonts w:ascii="Times New Roman" w:eastAsia="Times New Roman" w:hAnsi="Times New Roman" w:cs="Times New Roman"/>
          <w:i/>
          <w:sz w:val="24"/>
          <w:szCs w:val="24"/>
          <w:lang w:val="bg-BG"/>
        </w:rPr>
      </w:pPr>
      <w:r w:rsidRPr="00FF095C">
        <w:rPr>
          <w:rFonts w:ascii="Times New Roman" w:eastAsia="Times New Roman" w:hAnsi="Times New Roman" w:cs="Times New Roman"/>
          <w:i/>
          <w:sz w:val="24"/>
          <w:szCs w:val="24"/>
          <w:lang w:val="bg-BG"/>
        </w:rPr>
        <w:t>В процедура „У</w:t>
      </w:r>
      <w:r w:rsidR="00451964" w:rsidRPr="00FF095C">
        <w:rPr>
          <w:rFonts w:ascii="Times New Roman" w:eastAsia="Times New Roman" w:hAnsi="Times New Roman" w:cs="Times New Roman"/>
          <w:i/>
          <w:sz w:val="24"/>
          <w:szCs w:val="24"/>
          <w:lang w:val="bg-BG"/>
        </w:rPr>
        <w:t>лици</w:t>
      </w:r>
      <w:r w:rsidRPr="00FF095C">
        <w:rPr>
          <w:rFonts w:ascii="Times New Roman" w:eastAsia="Times New Roman" w:hAnsi="Times New Roman" w:cs="Times New Roman"/>
          <w:i/>
          <w:sz w:val="24"/>
          <w:szCs w:val="24"/>
          <w:lang w:val="bg-BG"/>
        </w:rPr>
        <w:t>“</w:t>
      </w:r>
      <w:r w:rsidR="00451964" w:rsidRPr="00FF095C">
        <w:rPr>
          <w:rFonts w:ascii="Times New Roman" w:eastAsia="Times New Roman" w:hAnsi="Times New Roman" w:cs="Times New Roman"/>
          <w:i/>
          <w:sz w:val="24"/>
          <w:szCs w:val="24"/>
          <w:lang w:val="bg-BG"/>
        </w:rPr>
        <w:t xml:space="preserve"> ще </w:t>
      </w:r>
      <w:r w:rsidRPr="00FF095C">
        <w:rPr>
          <w:rFonts w:ascii="Times New Roman" w:eastAsia="Times New Roman" w:hAnsi="Times New Roman" w:cs="Times New Roman"/>
          <w:i/>
          <w:sz w:val="24"/>
          <w:szCs w:val="24"/>
          <w:lang w:val="bg-BG"/>
        </w:rPr>
        <w:t>се допълни</w:t>
      </w:r>
      <w:r w:rsidR="00451964" w:rsidRPr="00FF095C">
        <w:rPr>
          <w:rFonts w:ascii="Times New Roman" w:eastAsia="Times New Roman" w:hAnsi="Times New Roman" w:cs="Times New Roman"/>
          <w:i/>
          <w:sz w:val="24"/>
          <w:szCs w:val="24"/>
          <w:lang w:val="bg-BG"/>
        </w:rPr>
        <w:t xml:space="preserve"> критерий 3 „Изграждане или реконструкция на инфраструктура, която осигурява директна свързаност на населеното </w:t>
      </w:r>
      <w:r w:rsidRPr="00FF095C">
        <w:rPr>
          <w:rFonts w:ascii="Times New Roman" w:eastAsia="Times New Roman" w:hAnsi="Times New Roman" w:cs="Times New Roman"/>
          <w:i/>
          <w:sz w:val="24"/>
          <w:szCs w:val="24"/>
          <w:lang w:val="bg-BG"/>
        </w:rPr>
        <w:t>място с по-висок клас  пътища</w:t>
      </w:r>
      <w:r w:rsidR="009711EE" w:rsidRPr="00FF095C">
        <w:rPr>
          <w:rFonts w:ascii="Times New Roman" w:eastAsia="Times New Roman" w:hAnsi="Times New Roman" w:cs="Times New Roman"/>
          <w:i/>
          <w:sz w:val="24"/>
          <w:szCs w:val="24"/>
          <w:lang w:val="bg-BG"/>
        </w:rPr>
        <w:t>“</w:t>
      </w:r>
      <w:r w:rsidRPr="00FF095C">
        <w:rPr>
          <w:rFonts w:ascii="Times New Roman" w:eastAsia="Times New Roman" w:hAnsi="Times New Roman" w:cs="Times New Roman"/>
          <w:i/>
          <w:sz w:val="24"/>
          <w:szCs w:val="24"/>
          <w:lang w:val="bg-BG"/>
        </w:rPr>
        <w:t xml:space="preserve"> обяснението ще има</w:t>
      </w:r>
      <w:r w:rsidR="00451964" w:rsidRPr="00FF095C">
        <w:rPr>
          <w:rFonts w:ascii="Times New Roman" w:eastAsia="Times New Roman" w:hAnsi="Times New Roman" w:cs="Times New Roman"/>
          <w:i/>
          <w:sz w:val="24"/>
          <w:szCs w:val="24"/>
          <w:lang w:val="bg-BG"/>
        </w:rPr>
        <w:t xml:space="preserve"> следния вид: </w:t>
      </w:r>
    </w:p>
    <w:p w:rsidR="00451964" w:rsidRPr="00FF095C" w:rsidRDefault="00B366F9" w:rsidP="00292755">
      <w:pPr>
        <w:spacing w:after="0" w:line="240" w:lineRule="auto"/>
        <w:ind w:firstLine="1134"/>
        <w:jc w:val="both"/>
        <w:rPr>
          <w:rFonts w:ascii="Times New Roman" w:eastAsia="Times New Roman" w:hAnsi="Times New Roman" w:cs="Times New Roman"/>
          <w:i/>
          <w:sz w:val="24"/>
          <w:szCs w:val="24"/>
          <w:lang w:val="bg-BG"/>
        </w:rPr>
      </w:pPr>
      <w:r w:rsidRPr="00FF095C">
        <w:rPr>
          <w:rFonts w:ascii="Times New Roman" w:eastAsia="Times New Roman" w:hAnsi="Times New Roman" w:cs="Times New Roman"/>
          <w:i/>
          <w:sz w:val="24"/>
          <w:szCs w:val="24"/>
          <w:lang w:val="bg-BG"/>
        </w:rPr>
        <w:t>„</w:t>
      </w:r>
      <w:r w:rsidR="00451964" w:rsidRPr="00FF095C">
        <w:rPr>
          <w:rFonts w:ascii="Times New Roman" w:eastAsia="Times New Roman" w:hAnsi="Times New Roman" w:cs="Times New Roman"/>
          <w:i/>
          <w:sz w:val="24"/>
          <w:szCs w:val="24"/>
          <w:lang w:val="bg-BG"/>
        </w:rPr>
        <w:t>При проекти, които включват само инвестиции в съоръжения и/или принадлежности и/или тротоари точки по критерия, не следва да бъдат присъждани</w:t>
      </w:r>
      <w:r w:rsidRPr="00FF095C">
        <w:rPr>
          <w:rFonts w:ascii="Times New Roman" w:eastAsia="Times New Roman" w:hAnsi="Times New Roman" w:cs="Times New Roman"/>
          <w:i/>
          <w:sz w:val="24"/>
          <w:szCs w:val="24"/>
          <w:lang w:val="bg-BG"/>
        </w:rPr>
        <w:t>“</w:t>
      </w:r>
      <w:r w:rsidR="00451964" w:rsidRPr="00FF095C">
        <w:rPr>
          <w:rFonts w:ascii="Times New Roman" w:eastAsia="Times New Roman" w:hAnsi="Times New Roman" w:cs="Times New Roman"/>
          <w:i/>
          <w:sz w:val="24"/>
          <w:szCs w:val="24"/>
          <w:lang w:val="bg-BG"/>
        </w:rPr>
        <w:t xml:space="preserve">. </w:t>
      </w:r>
    </w:p>
    <w:p w:rsidR="00451964" w:rsidRPr="00FF095C" w:rsidRDefault="00B366F9" w:rsidP="00292755">
      <w:pPr>
        <w:pStyle w:val="ListParagraph"/>
        <w:numPr>
          <w:ilvl w:val="0"/>
          <w:numId w:val="42"/>
        </w:numPr>
        <w:spacing w:after="0" w:line="240" w:lineRule="auto"/>
        <w:jc w:val="both"/>
        <w:rPr>
          <w:rFonts w:ascii="Times New Roman" w:eastAsia="Times New Roman" w:hAnsi="Times New Roman" w:cs="Times New Roman"/>
          <w:i/>
          <w:sz w:val="24"/>
          <w:szCs w:val="24"/>
          <w:lang w:val="bg-BG"/>
        </w:rPr>
      </w:pPr>
      <w:r w:rsidRPr="00FF095C">
        <w:rPr>
          <w:rFonts w:ascii="Times New Roman" w:eastAsia="Times New Roman" w:hAnsi="Times New Roman" w:cs="Times New Roman"/>
          <w:i/>
          <w:sz w:val="24"/>
          <w:szCs w:val="24"/>
          <w:lang w:val="bg-BG"/>
        </w:rPr>
        <w:t xml:space="preserve">В процедурата </w:t>
      </w:r>
      <w:r w:rsidR="00451964" w:rsidRPr="00FF095C">
        <w:rPr>
          <w:rFonts w:ascii="Times New Roman" w:eastAsia="Times New Roman" w:hAnsi="Times New Roman" w:cs="Times New Roman"/>
          <w:i/>
          <w:sz w:val="24"/>
          <w:szCs w:val="24"/>
          <w:lang w:val="bg-BG"/>
        </w:rPr>
        <w:t xml:space="preserve"> </w:t>
      </w:r>
      <w:r w:rsidRPr="00FF095C">
        <w:rPr>
          <w:rFonts w:ascii="Times New Roman" w:eastAsia="Times New Roman" w:hAnsi="Times New Roman" w:cs="Times New Roman"/>
          <w:i/>
          <w:sz w:val="24"/>
          <w:szCs w:val="24"/>
          <w:lang w:val="bg-BG"/>
        </w:rPr>
        <w:t>„П</w:t>
      </w:r>
      <w:r w:rsidR="00451964" w:rsidRPr="00FF095C">
        <w:rPr>
          <w:rFonts w:ascii="Times New Roman" w:eastAsia="Times New Roman" w:hAnsi="Times New Roman" w:cs="Times New Roman"/>
          <w:i/>
          <w:sz w:val="24"/>
          <w:szCs w:val="24"/>
          <w:lang w:val="bg-BG"/>
        </w:rPr>
        <w:t>ътища</w:t>
      </w:r>
      <w:r w:rsidRPr="00FF095C">
        <w:rPr>
          <w:rFonts w:ascii="Times New Roman" w:eastAsia="Times New Roman" w:hAnsi="Times New Roman" w:cs="Times New Roman"/>
          <w:i/>
          <w:sz w:val="24"/>
          <w:szCs w:val="24"/>
          <w:lang w:val="bg-BG"/>
        </w:rPr>
        <w:t>“ се  редактират подкритерии</w:t>
      </w:r>
      <w:r w:rsidR="00451964" w:rsidRPr="00FF095C">
        <w:rPr>
          <w:rFonts w:ascii="Times New Roman" w:eastAsia="Times New Roman" w:hAnsi="Times New Roman" w:cs="Times New Roman"/>
          <w:i/>
          <w:sz w:val="24"/>
          <w:szCs w:val="24"/>
          <w:lang w:val="bg-BG"/>
        </w:rPr>
        <w:t xml:space="preserve"> 5.4</w:t>
      </w:r>
      <w:r w:rsidR="001C1818" w:rsidRPr="00FF095C">
        <w:rPr>
          <w:rFonts w:ascii="Times New Roman" w:eastAsia="Times New Roman" w:hAnsi="Times New Roman" w:cs="Times New Roman"/>
          <w:i/>
          <w:sz w:val="24"/>
          <w:szCs w:val="24"/>
          <w:lang w:val="bg-BG"/>
        </w:rPr>
        <w:t xml:space="preserve"> и 5.5:</w:t>
      </w:r>
    </w:p>
    <w:p w:rsidR="00451964" w:rsidRPr="00FF095C" w:rsidRDefault="001C1818" w:rsidP="00292755">
      <w:pPr>
        <w:pStyle w:val="ListParagraph"/>
        <w:numPr>
          <w:ilvl w:val="0"/>
          <w:numId w:val="39"/>
        </w:numPr>
        <w:spacing w:after="0" w:line="240" w:lineRule="auto"/>
        <w:jc w:val="both"/>
        <w:rPr>
          <w:rFonts w:ascii="Times New Roman" w:eastAsia="Times New Roman" w:hAnsi="Times New Roman" w:cs="Times New Roman"/>
          <w:i/>
          <w:sz w:val="24"/>
          <w:szCs w:val="24"/>
          <w:lang w:val="bg-BG"/>
        </w:rPr>
      </w:pPr>
      <w:r w:rsidRPr="00FF095C">
        <w:rPr>
          <w:rFonts w:ascii="Times New Roman" w:eastAsia="Times New Roman" w:hAnsi="Times New Roman" w:cs="Times New Roman"/>
          <w:i/>
          <w:sz w:val="24"/>
          <w:szCs w:val="24"/>
          <w:lang w:val="bg-BG"/>
        </w:rPr>
        <w:t>п</w:t>
      </w:r>
      <w:r w:rsidR="00451964" w:rsidRPr="00FF095C">
        <w:rPr>
          <w:rFonts w:ascii="Times New Roman" w:eastAsia="Times New Roman" w:hAnsi="Times New Roman" w:cs="Times New Roman"/>
          <w:i/>
          <w:sz w:val="24"/>
          <w:szCs w:val="24"/>
          <w:lang w:val="bg-BG"/>
        </w:rPr>
        <w:t>одкритерий 5.4 добива следният вариант: „Инвестицията се изпълнява на територията на населено място, населени места с общо население о</w:t>
      </w:r>
      <w:r w:rsidRPr="00FF095C">
        <w:rPr>
          <w:rFonts w:ascii="Times New Roman" w:eastAsia="Times New Roman" w:hAnsi="Times New Roman" w:cs="Times New Roman"/>
          <w:i/>
          <w:sz w:val="24"/>
          <w:szCs w:val="24"/>
          <w:lang w:val="bg-BG"/>
        </w:rPr>
        <w:t>т 5001 до 8000 души – 25 точки“;</w:t>
      </w:r>
    </w:p>
    <w:p w:rsidR="00451964" w:rsidRPr="00FF095C" w:rsidRDefault="001C1818" w:rsidP="00292755">
      <w:pPr>
        <w:pStyle w:val="ListParagraph"/>
        <w:numPr>
          <w:ilvl w:val="0"/>
          <w:numId w:val="39"/>
        </w:numPr>
        <w:spacing w:after="0" w:line="240" w:lineRule="auto"/>
        <w:jc w:val="both"/>
        <w:rPr>
          <w:rFonts w:ascii="Times New Roman" w:eastAsia="Times New Roman" w:hAnsi="Times New Roman" w:cs="Times New Roman"/>
          <w:i/>
          <w:sz w:val="24"/>
          <w:szCs w:val="24"/>
          <w:lang w:val="bg-BG"/>
        </w:rPr>
      </w:pPr>
      <w:r w:rsidRPr="00FF095C">
        <w:rPr>
          <w:rFonts w:ascii="Times New Roman" w:eastAsia="Times New Roman" w:hAnsi="Times New Roman" w:cs="Times New Roman"/>
          <w:i/>
          <w:sz w:val="24"/>
          <w:szCs w:val="24"/>
          <w:lang w:val="bg-BG"/>
        </w:rPr>
        <w:t>п</w:t>
      </w:r>
      <w:r w:rsidR="00451964" w:rsidRPr="00FF095C">
        <w:rPr>
          <w:rFonts w:ascii="Times New Roman" w:eastAsia="Times New Roman" w:hAnsi="Times New Roman" w:cs="Times New Roman"/>
          <w:i/>
          <w:sz w:val="24"/>
          <w:szCs w:val="24"/>
          <w:lang w:val="bg-BG"/>
        </w:rPr>
        <w:t>одкритерий 5.5 редактиран придобива следния вариант: „Инвестицията се изпълнява на територията на населено място, населени места, с общо население над 8001 души“.</w:t>
      </w:r>
    </w:p>
    <w:p w:rsidR="00B366F9" w:rsidRPr="00FF095C" w:rsidRDefault="00451964" w:rsidP="00292755">
      <w:pPr>
        <w:pStyle w:val="ListParagraph"/>
        <w:numPr>
          <w:ilvl w:val="0"/>
          <w:numId w:val="42"/>
        </w:numPr>
        <w:spacing w:after="0" w:line="240" w:lineRule="auto"/>
        <w:jc w:val="both"/>
        <w:rPr>
          <w:rFonts w:ascii="Times New Roman" w:eastAsia="Times New Roman" w:hAnsi="Times New Roman" w:cs="Times New Roman"/>
          <w:i/>
          <w:sz w:val="24"/>
          <w:szCs w:val="24"/>
          <w:lang w:val="bg-BG"/>
        </w:rPr>
      </w:pPr>
      <w:r w:rsidRPr="00FF095C">
        <w:rPr>
          <w:rFonts w:ascii="Times New Roman" w:eastAsia="Times New Roman" w:hAnsi="Times New Roman" w:cs="Times New Roman"/>
          <w:i/>
          <w:sz w:val="24"/>
          <w:szCs w:val="24"/>
          <w:lang w:val="bg-BG"/>
        </w:rPr>
        <w:t xml:space="preserve">В процедурата за реконструкция и рехабилитация на водоснабдителни системи и съоръжения </w:t>
      </w:r>
      <w:r w:rsidR="00B366F9" w:rsidRPr="00FF095C">
        <w:rPr>
          <w:rFonts w:ascii="Times New Roman" w:eastAsia="Times New Roman" w:hAnsi="Times New Roman" w:cs="Times New Roman"/>
          <w:i/>
          <w:sz w:val="24"/>
          <w:szCs w:val="24"/>
          <w:lang w:val="bg-BG"/>
        </w:rPr>
        <w:t>в</w:t>
      </w:r>
      <w:r w:rsidR="001C1818" w:rsidRPr="00FF095C">
        <w:rPr>
          <w:rFonts w:ascii="Times New Roman" w:eastAsia="Times New Roman" w:hAnsi="Times New Roman" w:cs="Times New Roman"/>
          <w:i/>
          <w:sz w:val="24"/>
          <w:szCs w:val="24"/>
          <w:lang w:val="bg-BG"/>
        </w:rPr>
        <w:t xml:space="preserve"> </w:t>
      </w:r>
      <w:r w:rsidRPr="00FF095C">
        <w:rPr>
          <w:rFonts w:ascii="Times New Roman" w:eastAsia="Times New Roman" w:hAnsi="Times New Roman" w:cs="Times New Roman"/>
          <w:i/>
          <w:sz w:val="24"/>
          <w:szCs w:val="24"/>
          <w:lang w:val="bg-BG"/>
        </w:rPr>
        <w:t>критерий 1</w:t>
      </w:r>
      <w:r w:rsidR="00B366F9" w:rsidRPr="00FF095C">
        <w:rPr>
          <w:rFonts w:ascii="Times New Roman" w:eastAsia="Times New Roman" w:hAnsi="Times New Roman" w:cs="Times New Roman"/>
          <w:i/>
          <w:sz w:val="24"/>
          <w:szCs w:val="24"/>
          <w:lang w:val="bg-BG"/>
        </w:rPr>
        <w:t>:</w:t>
      </w:r>
    </w:p>
    <w:p w:rsidR="00451964" w:rsidRPr="00FF095C" w:rsidRDefault="000E0305" w:rsidP="00292755">
      <w:pPr>
        <w:pStyle w:val="ListParagraph"/>
        <w:numPr>
          <w:ilvl w:val="0"/>
          <w:numId w:val="39"/>
        </w:numPr>
        <w:spacing w:after="0" w:line="240" w:lineRule="auto"/>
        <w:jc w:val="both"/>
        <w:rPr>
          <w:rFonts w:ascii="Times New Roman" w:eastAsia="Times New Roman" w:hAnsi="Times New Roman" w:cs="Times New Roman"/>
          <w:i/>
          <w:sz w:val="24"/>
          <w:szCs w:val="24"/>
          <w:lang w:val="bg-BG"/>
        </w:rPr>
      </w:pPr>
      <w:r w:rsidRPr="00FF095C">
        <w:rPr>
          <w:rFonts w:ascii="Times New Roman" w:eastAsia="Times New Roman" w:hAnsi="Times New Roman" w:cs="Times New Roman"/>
          <w:i/>
          <w:sz w:val="24"/>
          <w:szCs w:val="24"/>
          <w:lang w:val="bg-BG"/>
        </w:rPr>
        <w:t xml:space="preserve">в подкритерий 1.1 </w:t>
      </w:r>
      <w:r w:rsidR="00451964" w:rsidRPr="00FF095C">
        <w:rPr>
          <w:rFonts w:ascii="Times New Roman" w:eastAsia="Times New Roman" w:hAnsi="Times New Roman" w:cs="Times New Roman"/>
          <w:i/>
          <w:sz w:val="24"/>
          <w:szCs w:val="24"/>
          <w:lang w:val="bg-BG"/>
        </w:rPr>
        <w:t xml:space="preserve"> </w:t>
      </w:r>
      <w:r w:rsidR="00B366F9" w:rsidRPr="00FF095C">
        <w:rPr>
          <w:rFonts w:ascii="Times New Roman" w:eastAsia="Times New Roman" w:hAnsi="Times New Roman" w:cs="Times New Roman"/>
          <w:i/>
          <w:sz w:val="24"/>
          <w:szCs w:val="24"/>
          <w:lang w:val="bg-BG"/>
        </w:rPr>
        <w:t xml:space="preserve">ще бъде допълнено, че </w:t>
      </w:r>
      <w:r w:rsidR="00451964" w:rsidRPr="00FF095C">
        <w:rPr>
          <w:rFonts w:ascii="Times New Roman" w:eastAsia="Times New Roman" w:hAnsi="Times New Roman" w:cs="Times New Roman"/>
          <w:i/>
          <w:sz w:val="24"/>
          <w:szCs w:val="24"/>
          <w:lang w:val="bg-BG"/>
        </w:rPr>
        <w:t xml:space="preserve"> </w:t>
      </w:r>
      <w:r w:rsidR="00B366F9" w:rsidRPr="00FF095C">
        <w:rPr>
          <w:rFonts w:ascii="Times New Roman" w:eastAsia="Times New Roman" w:hAnsi="Times New Roman" w:cs="Times New Roman"/>
          <w:i/>
          <w:sz w:val="24"/>
          <w:szCs w:val="24"/>
          <w:lang w:val="bg-BG"/>
        </w:rPr>
        <w:t>„С</w:t>
      </w:r>
      <w:r w:rsidR="00451964" w:rsidRPr="00FF095C">
        <w:rPr>
          <w:rFonts w:ascii="Times New Roman" w:eastAsia="Times New Roman" w:hAnsi="Times New Roman" w:cs="Times New Roman"/>
          <w:i/>
          <w:sz w:val="24"/>
          <w:szCs w:val="24"/>
          <w:lang w:val="bg-BG"/>
        </w:rPr>
        <w:t>ъответствие</w:t>
      </w:r>
      <w:r w:rsidR="00B366F9" w:rsidRPr="00FF095C">
        <w:rPr>
          <w:rFonts w:ascii="Times New Roman" w:eastAsia="Times New Roman" w:hAnsi="Times New Roman" w:cs="Times New Roman"/>
          <w:i/>
          <w:sz w:val="24"/>
          <w:szCs w:val="24"/>
          <w:lang w:val="bg-BG"/>
        </w:rPr>
        <w:t>то</w:t>
      </w:r>
      <w:r w:rsidR="00451964" w:rsidRPr="00FF095C">
        <w:rPr>
          <w:rFonts w:ascii="Times New Roman" w:eastAsia="Times New Roman" w:hAnsi="Times New Roman" w:cs="Times New Roman"/>
          <w:i/>
          <w:sz w:val="24"/>
          <w:szCs w:val="24"/>
          <w:lang w:val="bg-BG"/>
        </w:rPr>
        <w:t xml:space="preserve"> с критерия се доказва с документ, представен от кандидата и издаден от съответния </w:t>
      </w:r>
      <w:r w:rsidRPr="00FF095C">
        <w:rPr>
          <w:rFonts w:ascii="Times New Roman" w:eastAsia="Times New Roman" w:hAnsi="Times New Roman" w:cs="Times New Roman"/>
          <w:i/>
          <w:sz w:val="24"/>
          <w:szCs w:val="24"/>
          <w:lang w:val="bg-BG"/>
        </w:rPr>
        <w:t>консолидиран ВиК оператор“ ; подкритерий 1.1 ще бъде прилаган в случай, че има установени минимум 5 аварии за последните три календарни години към датата на обявяване на приема.</w:t>
      </w:r>
    </w:p>
    <w:p w:rsidR="00451964" w:rsidRPr="00FF095C" w:rsidRDefault="000E0305" w:rsidP="00292755">
      <w:pPr>
        <w:pStyle w:val="ListParagraph"/>
        <w:numPr>
          <w:ilvl w:val="0"/>
          <w:numId w:val="39"/>
        </w:numPr>
        <w:spacing w:after="0" w:line="240" w:lineRule="auto"/>
        <w:jc w:val="both"/>
        <w:rPr>
          <w:rFonts w:ascii="Times New Roman" w:eastAsia="Times New Roman" w:hAnsi="Times New Roman" w:cs="Times New Roman"/>
          <w:i/>
          <w:sz w:val="24"/>
          <w:szCs w:val="24"/>
          <w:lang w:val="bg-BG"/>
        </w:rPr>
      </w:pPr>
      <w:r w:rsidRPr="00FF095C">
        <w:rPr>
          <w:rFonts w:ascii="Times New Roman" w:eastAsia="Times New Roman" w:hAnsi="Times New Roman" w:cs="Times New Roman"/>
          <w:i/>
          <w:sz w:val="24"/>
          <w:szCs w:val="24"/>
          <w:lang w:val="bg-BG"/>
        </w:rPr>
        <w:t xml:space="preserve">в </w:t>
      </w:r>
      <w:r w:rsidR="00B366F9" w:rsidRPr="00FF095C">
        <w:rPr>
          <w:rFonts w:ascii="Times New Roman" w:eastAsia="Times New Roman" w:hAnsi="Times New Roman" w:cs="Times New Roman"/>
          <w:i/>
          <w:sz w:val="24"/>
          <w:szCs w:val="24"/>
          <w:lang w:val="bg-BG"/>
        </w:rPr>
        <w:t xml:space="preserve"> </w:t>
      </w:r>
      <w:r w:rsidRPr="00FF095C">
        <w:rPr>
          <w:rFonts w:ascii="Times New Roman" w:eastAsia="Times New Roman" w:hAnsi="Times New Roman" w:cs="Times New Roman"/>
          <w:i/>
          <w:sz w:val="24"/>
          <w:szCs w:val="24"/>
          <w:lang w:val="bg-BG"/>
        </w:rPr>
        <w:t xml:space="preserve">подкритерий </w:t>
      </w:r>
      <w:r w:rsidR="00451964" w:rsidRPr="00FF095C">
        <w:rPr>
          <w:rFonts w:ascii="Times New Roman" w:eastAsia="Times New Roman" w:hAnsi="Times New Roman" w:cs="Times New Roman"/>
          <w:i/>
          <w:sz w:val="24"/>
          <w:szCs w:val="24"/>
          <w:lang w:val="bg-BG"/>
        </w:rPr>
        <w:t>1.2 ще се уточни, че „съответствие с критерия се доказва с документ представен от кандидата и издаден от съответна</w:t>
      </w:r>
      <w:r w:rsidRPr="00FF095C">
        <w:rPr>
          <w:rFonts w:ascii="Times New Roman" w:eastAsia="Times New Roman" w:hAnsi="Times New Roman" w:cs="Times New Roman"/>
          <w:i/>
          <w:sz w:val="24"/>
          <w:szCs w:val="24"/>
          <w:lang w:val="bg-BG"/>
        </w:rPr>
        <w:t>та Регионална здравна инспекция</w:t>
      </w:r>
      <w:r w:rsidR="00FF095C" w:rsidRPr="00FF095C">
        <w:rPr>
          <w:rFonts w:ascii="Times New Roman" w:eastAsia="Times New Roman" w:hAnsi="Times New Roman" w:cs="Times New Roman"/>
          <w:i/>
          <w:sz w:val="24"/>
          <w:szCs w:val="24"/>
          <w:lang w:val="bg-BG"/>
        </w:rPr>
        <w:t>“</w:t>
      </w:r>
      <w:r w:rsidRPr="00FF095C">
        <w:rPr>
          <w:rFonts w:ascii="Times New Roman" w:eastAsia="Times New Roman" w:hAnsi="Times New Roman" w:cs="Times New Roman"/>
          <w:i/>
          <w:sz w:val="24"/>
          <w:szCs w:val="24"/>
          <w:lang w:val="bg-BG"/>
        </w:rPr>
        <w:t xml:space="preserve">; в </w:t>
      </w:r>
      <w:r w:rsidR="00451964" w:rsidRPr="00FF095C">
        <w:rPr>
          <w:rFonts w:ascii="Times New Roman" w:eastAsia="Times New Roman" w:hAnsi="Times New Roman" w:cs="Times New Roman"/>
          <w:i/>
          <w:sz w:val="24"/>
          <w:szCs w:val="24"/>
          <w:lang w:val="bg-BG"/>
        </w:rPr>
        <w:t xml:space="preserve">рамките на подкритерий 1.2 </w:t>
      </w:r>
      <w:r w:rsidR="00FF095C" w:rsidRPr="00FF095C">
        <w:rPr>
          <w:rFonts w:ascii="Times New Roman" w:eastAsia="Times New Roman" w:hAnsi="Times New Roman" w:cs="Times New Roman"/>
          <w:i/>
          <w:sz w:val="24"/>
          <w:szCs w:val="24"/>
          <w:lang w:val="bg-BG"/>
        </w:rPr>
        <w:t>„У</w:t>
      </w:r>
      <w:r w:rsidR="00451964" w:rsidRPr="00FF095C">
        <w:rPr>
          <w:rFonts w:ascii="Times New Roman" w:eastAsia="Times New Roman" w:hAnsi="Times New Roman" w:cs="Times New Roman"/>
          <w:i/>
          <w:sz w:val="24"/>
          <w:szCs w:val="24"/>
          <w:lang w:val="bg-BG"/>
        </w:rPr>
        <w:t>становеното лошо качество на питейната вода, следва да бъде отразено в заключението или удостоверението на Регионалната здравна инспекция и да удостоверява, че в рамките на пос</w:t>
      </w:r>
      <w:r w:rsidR="001C1818" w:rsidRPr="00FF095C">
        <w:rPr>
          <w:rFonts w:ascii="Times New Roman" w:eastAsia="Times New Roman" w:hAnsi="Times New Roman" w:cs="Times New Roman"/>
          <w:i/>
          <w:sz w:val="24"/>
          <w:szCs w:val="24"/>
          <w:lang w:val="bg-BG"/>
        </w:rPr>
        <w:t>ледните 3 години има поне 5 регистрирани отклонения в</w:t>
      </w:r>
      <w:r w:rsidR="00451964" w:rsidRPr="00FF095C">
        <w:rPr>
          <w:rFonts w:ascii="Times New Roman" w:eastAsia="Times New Roman" w:hAnsi="Times New Roman" w:cs="Times New Roman"/>
          <w:i/>
          <w:sz w:val="24"/>
          <w:szCs w:val="24"/>
          <w:lang w:val="bg-BG"/>
        </w:rPr>
        <w:t xml:space="preserve"> рамките на населеното място или населените места, в които ще се извършва инвестицията</w:t>
      </w:r>
      <w:r w:rsidR="001C1818" w:rsidRPr="00FF095C">
        <w:rPr>
          <w:rFonts w:ascii="Times New Roman" w:eastAsia="Times New Roman" w:hAnsi="Times New Roman" w:cs="Times New Roman"/>
          <w:i/>
          <w:sz w:val="24"/>
          <w:szCs w:val="24"/>
          <w:lang w:val="bg-BG"/>
        </w:rPr>
        <w:t>,</w:t>
      </w:r>
      <w:r w:rsidR="00451964" w:rsidRPr="00FF095C">
        <w:rPr>
          <w:rFonts w:ascii="Times New Roman" w:eastAsia="Times New Roman" w:hAnsi="Times New Roman" w:cs="Times New Roman"/>
          <w:i/>
          <w:sz w:val="24"/>
          <w:szCs w:val="24"/>
          <w:lang w:val="bg-BG"/>
        </w:rPr>
        <w:t xml:space="preserve"> е установено несъответствие с част от показателите заложени в Наредба № 9 за качеството на питейните води</w:t>
      </w:r>
      <w:r w:rsidR="00FF095C" w:rsidRPr="00FF095C">
        <w:rPr>
          <w:rFonts w:ascii="Times New Roman" w:eastAsia="Times New Roman" w:hAnsi="Times New Roman" w:cs="Times New Roman"/>
          <w:i/>
          <w:sz w:val="24"/>
          <w:szCs w:val="24"/>
          <w:lang w:val="bg-BG"/>
        </w:rPr>
        <w:t>“</w:t>
      </w:r>
      <w:r w:rsidR="00451964" w:rsidRPr="00FF095C">
        <w:rPr>
          <w:rFonts w:ascii="Times New Roman" w:eastAsia="Times New Roman" w:hAnsi="Times New Roman" w:cs="Times New Roman"/>
          <w:i/>
          <w:sz w:val="24"/>
          <w:szCs w:val="24"/>
          <w:lang w:val="bg-BG"/>
        </w:rPr>
        <w:t>.</w:t>
      </w:r>
    </w:p>
    <w:p w:rsidR="001C1818" w:rsidRPr="00FF095C" w:rsidRDefault="001C1818" w:rsidP="00292755">
      <w:pPr>
        <w:pStyle w:val="ListParagraph"/>
        <w:numPr>
          <w:ilvl w:val="0"/>
          <w:numId w:val="42"/>
        </w:numPr>
        <w:spacing w:after="0" w:line="240" w:lineRule="auto"/>
        <w:jc w:val="both"/>
        <w:rPr>
          <w:rFonts w:ascii="Times New Roman" w:eastAsia="Times New Roman" w:hAnsi="Times New Roman" w:cs="Times New Roman"/>
          <w:i/>
          <w:sz w:val="24"/>
          <w:szCs w:val="24"/>
          <w:lang w:val="bg-BG"/>
        </w:rPr>
      </w:pPr>
      <w:r w:rsidRPr="00FF095C">
        <w:rPr>
          <w:rFonts w:ascii="Times New Roman" w:eastAsia="Times New Roman" w:hAnsi="Times New Roman" w:cs="Times New Roman"/>
          <w:i/>
          <w:sz w:val="24"/>
          <w:szCs w:val="24"/>
          <w:lang w:val="bg-BG"/>
        </w:rPr>
        <w:t>Е</w:t>
      </w:r>
      <w:r w:rsidR="00451964" w:rsidRPr="00FF095C">
        <w:rPr>
          <w:rFonts w:ascii="Times New Roman" w:eastAsia="Times New Roman" w:hAnsi="Times New Roman" w:cs="Times New Roman"/>
          <w:i/>
          <w:sz w:val="24"/>
          <w:szCs w:val="24"/>
          <w:lang w:val="bg-BG"/>
        </w:rPr>
        <w:t>дна техническа корекция, която</w:t>
      </w:r>
      <w:r w:rsidRPr="00FF095C">
        <w:rPr>
          <w:rFonts w:ascii="Times New Roman" w:eastAsia="Times New Roman" w:hAnsi="Times New Roman" w:cs="Times New Roman"/>
          <w:i/>
          <w:sz w:val="24"/>
          <w:szCs w:val="24"/>
          <w:lang w:val="bg-BG"/>
        </w:rPr>
        <w:t xml:space="preserve"> се  дискутира и с колегите от ДФЗ</w:t>
      </w:r>
      <w:r w:rsidR="00451964" w:rsidRPr="00FF095C">
        <w:rPr>
          <w:rFonts w:ascii="Times New Roman" w:eastAsia="Times New Roman" w:hAnsi="Times New Roman" w:cs="Times New Roman"/>
          <w:i/>
          <w:sz w:val="24"/>
          <w:szCs w:val="24"/>
          <w:lang w:val="bg-BG"/>
        </w:rPr>
        <w:t xml:space="preserve">, в подкритерий 2.4 </w:t>
      </w:r>
      <w:r w:rsidRPr="00FF095C">
        <w:rPr>
          <w:rFonts w:ascii="Times New Roman" w:eastAsia="Times New Roman" w:hAnsi="Times New Roman" w:cs="Times New Roman"/>
          <w:i/>
          <w:sz w:val="24"/>
          <w:szCs w:val="24"/>
          <w:lang w:val="bg-BG"/>
        </w:rPr>
        <w:t xml:space="preserve">ще бъде записано </w:t>
      </w:r>
      <w:r w:rsidR="00451964" w:rsidRPr="00FF095C">
        <w:rPr>
          <w:rFonts w:ascii="Times New Roman" w:eastAsia="Times New Roman" w:hAnsi="Times New Roman" w:cs="Times New Roman"/>
          <w:i/>
          <w:sz w:val="24"/>
          <w:szCs w:val="24"/>
          <w:lang w:val="bg-BG"/>
        </w:rPr>
        <w:t xml:space="preserve">„Инвестицията се изпълнява на територията на населено място с общо население </w:t>
      </w:r>
      <w:r w:rsidRPr="00FF095C">
        <w:rPr>
          <w:rFonts w:ascii="Times New Roman" w:eastAsia="Times New Roman" w:hAnsi="Times New Roman" w:cs="Times New Roman"/>
          <w:i/>
          <w:sz w:val="24"/>
          <w:szCs w:val="24"/>
          <w:lang w:val="bg-BG"/>
        </w:rPr>
        <w:t>над 1501 души“.</w:t>
      </w:r>
    </w:p>
    <w:p w:rsidR="001C1818" w:rsidRPr="00292755" w:rsidRDefault="001C1818" w:rsidP="00292755">
      <w:pPr>
        <w:spacing w:after="0" w:line="240" w:lineRule="auto"/>
        <w:ind w:left="360"/>
        <w:jc w:val="both"/>
        <w:rPr>
          <w:rFonts w:ascii="Times New Roman" w:eastAsia="Times New Roman" w:hAnsi="Times New Roman" w:cs="Times New Roman"/>
          <w:b/>
          <w:sz w:val="24"/>
          <w:szCs w:val="24"/>
          <w:lang w:val="bg-BG"/>
        </w:rPr>
      </w:pPr>
    </w:p>
    <w:p w:rsidR="001C1818" w:rsidRPr="00292755" w:rsidRDefault="00451964" w:rsidP="00292755">
      <w:pPr>
        <w:spacing w:after="0" w:line="240" w:lineRule="auto"/>
        <w:ind w:left="360"/>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lang w:val="bg-BG"/>
        </w:rPr>
        <w:t xml:space="preserve"> </w:t>
      </w:r>
      <w:r w:rsidR="001C1818" w:rsidRPr="00292755">
        <w:rPr>
          <w:rFonts w:ascii="Times New Roman" w:eastAsia="Times New Roman" w:hAnsi="Times New Roman" w:cs="Times New Roman"/>
          <w:sz w:val="24"/>
          <w:szCs w:val="24"/>
          <w:lang w:val="bg-BG"/>
        </w:rPr>
        <w:t>подложи решението на гласуване.</w:t>
      </w:r>
    </w:p>
    <w:p w:rsidR="001C1818" w:rsidRDefault="001C1818" w:rsidP="00292755">
      <w:pPr>
        <w:pStyle w:val="ListParagraph"/>
        <w:spacing w:after="0" w:line="240" w:lineRule="auto"/>
        <w:jc w:val="both"/>
        <w:rPr>
          <w:rFonts w:ascii="Times New Roman" w:eastAsia="Times New Roman" w:hAnsi="Times New Roman" w:cs="Times New Roman"/>
          <w:sz w:val="24"/>
          <w:szCs w:val="24"/>
          <w:lang w:val="bg-BG"/>
        </w:rPr>
      </w:pPr>
    </w:p>
    <w:p w:rsidR="00FF095C" w:rsidRDefault="00FF095C" w:rsidP="00292755">
      <w:pPr>
        <w:pStyle w:val="ListParagraph"/>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Гласуване:</w:t>
      </w:r>
    </w:p>
    <w:p w:rsidR="00FF095C" w:rsidRPr="00292755" w:rsidRDefault="00FF095C" w:rsidP="00292755">
      <w:pPr>
        <w:pStyle w:val="ListParagraph"/>
        <w:spacing w:after="0" w:line="240" w:lineRule="auto"/>
        <w:jc w:val="both"/>
        <w:rPr>
          <w:rFonts w:ascii="Times New Roman" w:eastAsia="Times New Roman" w:hAnsi="Times New Roman" w:cs="Times New Roman"/>
          <w:sz w:val="24"/>
          <w:szCs w:val="24"/>
          <w:lang w:val="bg-BG"/>
        </w:rPr>
      </w:pPr>
    </w:p>
    <w:p w:rsidR="00451964" w:rsidRPr="00292755" w:rsidRDefault="001C1818" w:rsidP="00292755">
      <w:pPr>
        <w:pStyle w:val="ListParagraph"/>
        <w:numPr>
          <w:ilvl w:val="0"/>
          <w:numId w:val="39"/>
        </w:num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„Против“ – няма </w:t>
      </w:r>
    </w:p>
    <w:p w:rsidR="00451964" w:rsidRPr="00292755" w:rsidRDefault="00451964" w:rsidP="00292755">
      <w:pPr>
        <w:numPr>
          <w:ilvl w:val="0"/>
          <w:numId w:val="39"/>
        </w:num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„Въздържали се“ – 1.</w:t>
      </w:r>
    </w:p>
    <w:p w:rsidR="00451964" w:rsidRPr="00292755" w:rsidRDefault="00451964" w:rsidP="00292755">
      <w:pPr>
        <w:numPr>
          <w:ilvl w:val="0"/>
          <w:numId w:val="39"/>
        </w:num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„За“ – 41.</w:t>
      </w:r>
    </w:p>
    <w:p w:rsidR="00451964" w:rsidRPr="00292755" w:rsidRDefault="00451964" w:rsidP="00292755">
      <w:pPr>
        <w:spacing w:after="0" w:line="240" w:lineRule="auto"/>
        <w:ind w:left="1134"/>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Предложенията и корекциите по точката се приемат.</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ind w:right="3402"/>
        <w:jc w:val="both"/>
        <w:rPr>
          <w:rFonts w:ascii="Times New Roman" w:eastAsia="Times New Roman" w:hAnsi="Times New Roman" w:cs="Times New Roman"/>
          <w:b/>
          <w:sz w:val="24"/>
          <w:szCs w:val="24"/>
          <w:u w:val="single"/>
          <w:lang w:val="bg-BG"/>
        </w:rPr>
      </w:pPr>
      <w:r w:rsidRPr="00292755">
        <w:rPr>
          <w:rFonts w:ascii="Times New Roman" w:eastAsia="Times New Roman" w:hAnsi="Times New Roman" w:cs="Times New Roman"/>
          <w:b/>
          <w:sz w:val="24"/>
          <w:szCs w:val="24"/>
          <w:u w:val="single"/>
          <w:lang w:val="bg-BG"/>
        </w:rPr>
        <w:t>Точка 5</w:t>
      </w:r>
    </w:p>
    <w:p w:rsidR="00451964" w:rsidRPr="00292755" w:rsidRDefault="00451964" w:rsidP="00292755">
      <w:pPr>
        <w:spacing w:after="0" w:line="240" w:lineRule="auto"/>
        <w:jc w:val="both"/>
        <w:rPr>
          <w:rFonts w:ascii="Times New Roman" w:eastAsia="Calibri" w:hAnsi="Times New Roman" w:cs="Times New Roman"/>
          <w:b/>
          <w:sz w:val="24"/>
          <w:szCs w:val="24"/>
          <w:lang w:val="bg-BG"/>
        </w:rPr>
      </w:pPr>
      <w:r w:rsidRPr="00292755">
        <w:rPr>
          <w:rFonts w:ascii="Times New Roman" w:eastAsia="Calibri" w:hAnsi="Times New Roman" w:cs="Times New Roman"/>
          <w:b/>
          <w:sz w:val="24"/>
          <w:szCs w:val="24"/>
          <w:lang w:val="bg-BG"/>
        </w:rPr>
        <w:t xml:space="preserve">Предложение на УО на ПРСР за актуализиране на Индикативната годишна работна програма на ПРСР за 2022 г. </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B6143"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lang w:val="bg-BG"/>
        </w:rPr>
        <w:t xml:space="preserve"> даде думата на </w:t>
      </w:r>
      <w:r w:rsidR="001C1818" w:rsidRPr="00292755">
        <w:rPr>
          <w:rFonts w:ascii="Times New Roman" w:eastAsia="Times New Roman" w:hAnsi="Times New Roman" w:cs="Times New Roman"/>
          <w:sz w:val="24"/>
          <w:szCs w:val="24"/>
          <w:lang w:val="bg-BG"/>
        </w:rPr>
        <w:t xml:space="preserve">г-жа Иванова да представи  актуализацията на </w:t>
      </w:r>
      <w:r w:rsidR="004B6143" w:rsidRPr="00292755">
        <w:rPr>
          <w:rFonts w:ascii="Times New Roman" w:eastAsia="Times New Roman" w:hAnsi="Times New Roman" w:cs="Times New Roman"/>
          <w:sz w:val="24"/>
          <w:szCs w:val="24"/>
          <w:lang w:val="bg-BG"/>
        </w:rPr>
        <w:t>Индикативната годишна работна програма</w:t>
      </w:r>
      <w:r w:rsidRPr="00292755">
        <w:rPr>
          <w:rFonts w:ascii="Times New Roman" w:eastAsia="Times New Roman" w:hAnsi="Times New Roman" w:cs="Times New Roman"/>
          <w:sz w:val="24"/>
          <w:szCs w:val="24"/>
          <w:lang w:val="bg-BG"/>
        </w:rPr>
        <w:t>, като уточни, че н</w:t>
      </w:r>
      <w:r w:rsidR="004B6143" w:rsidRPr="00292755">
        <w:rPr>
          <w:rFonts w:ascii="Times New Roman" w:eastAsia="Times New Roman" w:hAnsi="Times New Roman" w:cs="Times New Roman"/>
          <w:sz w:val="24"/>
          <w:szCs w:val="24"/>
          <w:lang w:val="bg-BG"/>
        </w:rPr>
        <w:t>е са получени писмени коментари по тази точка.</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 xml:space="preserve">Г-ЖА ЕЛЕНА ИВАНОВА </w:t>
      </w:r>
      <w:r w:rsidRPr="00292755">
        <w:rPr>
          <w:rFonts w:ascii="Times New Roman" w:eastAsia="Times New Roman" w:hAnsi="Times New Roman" w:cs="Times New Roman"/>
          <w:sz w:val="24"/>
          <w:szCs w:val="24"/>
          <w:lang w:val="bg-BG"/>
        </w:rPr>
        <w:t>посочи, че</w:t>
      </w:r>
      <w:r w:rsidRPr="00292755">
        <w:rPr>
          <w:rFonts w:ascii="Times New Roman" w:eastAsia="Times New Roman" w:hAnsi="Times New Roman" w:cs="Times New Roman"/>
          <w:b/>
          <w:sz w:val="24"/>
          <w:szCs w:val="24"/>
          <w:lang w:val="bg-BG"/>
        </w:rPr>
        <w:t xml:space="preserve"> </w:t>
      </w:r>
      <w:r w:rsidR="001C1818" w:rsidRPr="00292755">
        <w:rPr>
          <w:rFonts w:ascii="Times New Roman" w:eastAsia="Times New Roman" w:hAnsi="Times New Roman" w:cs="Times New Roman"/>
          <w:sz w:val="24"/>
          <w:szCs w:val="24"/>
          <w:lang w:val="bg-BG"/>
        </w:rPr>
        <w:t>актуализацията на</w:t>
      </w:r>
      <w:r w:rsidR="001C1818" w:rsidRPr="00292755">
        <w:rPr>
          <w:rFonts w:ascii="Times New Roman" w:eastAsia="Times New Roman" w:hAnsi="Times New Roman" w:cs="Times New Roman"/>
          <w:b/>
          <w:sz w:val="24"/>
          <w:szCs w:val="24"/>
          <w:lang w:val="bg-BG"/>
        </w:rPr>
        <w:t xml:space="preserve"> </w:t>
      </w:r>
      <w:r w:rsidRPr="00292755">
        <w:rPr>
          <w:rFonts w:ascii="Times New Roman" w:eastAsia="Times New Roman" w:hAnsi="Times New Roman" w:cs="Times New Roman"/>
          <w:sz w:val="24"/>
          <w:szCs w:val="24"/>
          <w:lang w:val="bg-BG"/>
        </w:rPr>
        <w:t>Индикативната годишна работна</w:t>
      </w:r>
      <w:r w:rsidR="004B6143" w:rsidRPr="00292755">
        <w:rPr>
          <w:rFonts w:ascii="Times New Roman" w:eastAsia="Times New Roman" w:hAnsi="Times New Roman" w:cs="Times New Roman"/>
          <w:sz w:val="24"/>
          <w:szCs w:val="24"/>
          <w:lang w:val="bg-BG"/>
        </w:rPr>
        <w:t xml:space="preserve"> програма</w:t>
      </w:r>
      <w:r w:rsidRPr="00292755">
        <w:rPr>
          <w:rFonts w:ascii="Times New Roman" w:eastAsia="Times New Roman" w:hAnsi="Times New Roman" w:cs="Times New Roman"/>
          <w:sz w:val="24"/>
          <w:szCs w:val="24"/>
          <w:lang w:val="bg-BG"/>
        </w:rPr>
        <w:t xml:space="preserve"> </w:t>
      </w:r>
      <w:r w:rsidR="004B6143" w:rsidRPr="00292755">
        <w:rPr>
          <w:rFonts w:ascii="Times New Roman" w:eastAsia="Times New Roman" w:hAnsi="Times New Roman" w:cs="Times New Roman"/>
          <w:sz w:val="24"/>
          <w:szCs w:val="24"/>
          <w:lang w:val="bg-BG"/>
        </w:rPr>
        <w:t>(ИГРП)</w:t>
      </w:r>
      <w:r w:rsidR="001C1818" w:rsidRPr="00292755">
        <w:rPr>
          <w:rFonts w:ascii="Times New Roman" w:eastAsia="Times New Roman" w:hAnsi="Times New Roman" w:cs="Times New Roman"/>
          <w:sz w:val="24"/>
          <w:szCs w:val="24"/>
          <w:lang w:val="bg-BG"/>
        </w:rPr>
        <w:t xml:space="preserve"> за 2022 г. </w:t>
      </w:r>
      <w:r w:rsidRPr="00292755">
        <w:rPr>
          <w:rFonts w:ascii="Times New Roman" w:eastAsia="Times New Roman" w:hAnsi="Times New Roman" w:cs="Times New Roman"/>
          <w:sz w:val="24"/>
          <w:szCs w:val="24"/>
          <w:lang w:val="bg-BG"/>
        </w:rPr>
        <w:t>включва основно обявените вече приеми по мерките, които не бяха включени към края на 2021 година, а име</w:t>
      </w:r>
      <w:r w:rsidR="004B6143" w:rsidRPr="00292755">
        <w:rPr>
          <w:rFonts w:ascii="Times New Roman" w:eastAsia="Times New Roman" w:hAnsi="Times New Roman" w:cs="Times New Roman"/>
          <w:sz w:val="24"/>
          <w:szCs w:val="24"/>
          <w:lang w:val="bg-BG"/>
        </w:rPr>
        <w:t>нно: подмярка 4.2 - приемът</w:t>
      </w:r>
      <w:r w:rsidRPr="00292755">
        <w:rPr>
          <w:rFonts w:ascii="Times New Roman" w:eastAsia="Times New Roman" w:hAnsi="Times New Roman" w:cs="Times New Roman"/>
          <w:sz w:val="24"/>
          <w:szCs w:val="24"/>
          <w:lang w:val="bg-BG"/>
        </w:rPr>
        <w:t xml:space="preserve"> стартира през месец май и продължава до месец август, както</w:t>
      </w:r>
      <w:r w:rsidR="004B6143" w:rsidRPr="00292755">
        <w:rPr>
          <w:rFonts w:ascii="Times New Roman" w:eastAsia="Times New Roman" w:hAnsi="Times New Roman" w:cs="Times New Roman"/>
          <w:sz w:val="24"/>
          <w:szCs w:val="24"/>
          <w:lang w:val="bg-BG"/>
        </w:rPr>
        <w:t xml:space="preserve"> и процедурата по подмярка  4.3, </w:t>
      </w:r>
      <w:r w:rsidRPr="00292755">
        <w:rPr>
          <w:rFonts w:ascii="Times New Roman" w:eastAsia="Times New Roman" w:hAnsi="Times New Roman" w:cs="Times New Roman"/>
          <w:sz w:val="24"/>
          <w:szCs w:val="24"/>
          <w:lang w:val="bg-BG"/>
        </w:rPr>
        <w:t>свързана с предоставяне на финансова помощ на „Напоителни сист</w:t>
      </w:r>
      <w:r w:rsidR="004B6143" w:rsidRPr="00292755">
        <w:rPr>
          <w:rFonts w:ascii="Times New Roman" w:eastAsia="Times New Roman" w:hAnsi="Times New Roman" w:cs="Times New Roman"/>
          <w:sz w:val="24"/>
          <w:szCs w:val="24"/>
          <w:lang w:val="bg-BG"/>
        </w:rPr>
        <w:t xml:space="preserve">еми“. Процедурата </w:t>
      </w:r>
      <w:r w:rsidRPr="00292755">
        <w:rPr>
          <w:rFonts w:ascii="Times New Roman" w:eastAsia="Times New Roman" w:hAnsi="Times New Roman" w:cs="Times New Roman"/>
          <w:sz w:val="24"/>
          <w:szCs w:val="24"/>
          <w:lang w:val="bg-BG"/>
        </w:rPr>
        <w:t xml:space="preserve">стартира през месец май и ще приключи през месец септември. </w:t>
      </w:r>
    </w:p>
    <w:p w:rsidR="004B6143" w:rsidRPr="00292755" w:rsidRDefault="004B6143" w:rsidP="00292755">
      <w:pPr>
        <w:spacing w:after="0" w:line="240" w:lineRule="auto"/>
        <w:jc w:val="both"/>
        <w:rPr>
          <w:rFonts w:ascii="Times New Roman" w:eastAsia="Times New Roman" w:hAnsi="Times New Roman" w:cs="Times New Roman"/>
          <w:sz w:val="24"/>
          <w:szCs w:val="24"/>
          <w:lang w:val="bg-BG"/>
        </w:rPr>
      </w:pPr>
    </w:p>
    <w:p w:rsidR="00451964" w:rsidRPr="00292755" w:rsidRDefault="004B6143"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В </w:t>
      </w:r>
      <w:r w:rsidR="00451964" w:rsidRPr="00292755">
        <w:rPr>
          <w:rFonts w:ascii="Times New Roman" w:eastAsia="Times New Roman" w:hAnsi="Times New Roman" w:cs="Times New Roman"/>
          <w:sz w:val="24"/>
          <w:szCs w:val="24"/>
          <w:lang w:val="bg-BG"/>
        </w:rPr>
        <w:t xml:space="preserve">Индикативната годишна работна програма е актуализиран периодът на прием по подмярка </w:t>
      </w:r>
      <w:r w:rsidRPr="00292755">
        <w:rPr>
          <w:rFonts w:ascii="Times New Roman" w:eastAsia="Times New Roman" w:hAnsi="Times New Roman" w:cs="Times New Roman"/>
          <w:sz w:val="24"/>
          <w:szCs w:val="24"/>
          <w:lang w:val="bg-BG"/>
        </w:rPr>
        <w:t>1.2 „Демонстрационни дейности“, като</w:t>
      </w:r>
      <w:r w:rsidR="00451964" w:rsidRPr="00292755">
        <w:rPr>
          <w:rFonts w:ascii="Times New Roman" w:eastAsia="Times New Roman" w:hAnsi="Times New Roman" w:cs="Times New Roman"/>
          <w:sz w:val="24"/>
          <w:szCs w:val="24"/>
          <w:lang w:val="bg-BG"/>
        </w:rPr>
        <w:t xml:space="preserve"> е предвидено нейното стартиране през месец авгус</w:t>
      </w:r>
      <w:r w:rsidRPr="00292755">
        <w:rPr>
          <w:rFonts w:ascii="Times New Roman" w:eastAsia="Times New Roman" w:hAnsi="Times New Roman" w:cs="Times New Roman"/>
          <w:sz w:val="24"/>
          <w:szCs w:val="24"/>
          <w:lang w:val="bg-BG"/>
        </w:rPr>
        <w:t xml:space="preserve">т с краен срок месец октомври. </w:t>
      </w:r>
      <w:r w:rsidR="00451964" w:rsidRPr="00292755">
        <w:rPr>
          <w:rFonts w:ascii="Times New Roman" w:eastAsia="Times New Roman" w:hAnsi="Times New Roman" w:cs="Times New Roman"/>
          <w:sz w:val="24"/>
          <w:szCs w:val="24"/>
          <w:lang w:val="bg-BG"/>
        </w:rPr>
        <w:t>Проектът на насоките за кандидатстване е публикуван за обществено обсъждане и срок</w:t>
      </w:r>
      <w:r w:rsidR="007B3F0B">
        <w:rPr>
          <w:rFonts w:ascii="Times New Roman" w:eastAsia="Times New Roman" w:hAnsi="Times New Roman" w:cs="Times New Roman"/>
          <w:sz w:val="24"/>
          <w:szCs w:val="24"/>
          <w:lang w:val="bg-BG"/>
        </w:rPr>
        <w:t>ът за общественото обсъждане</w:t>
      </w:r>
      <w:r w:rsidR="00451964" w:rsidRPr="00292755">
        <w:rPr>
          <w:rFonts w:ascii="Times New Roman" w:eastAsia="Times New Roman" w:hAnsi="Times New Roman" w:cs="Times New Roman"/>
          <w:sz w:val="24"/>
          <w:szCs w:val="24"/>
          <w:lang w:val="bg-BG"/>
        </w:rPr>
        <w:t xml:space="preserve"> изтече в рамките на миналата седмица, тоест мярката ще стартира до края на месец юли или началото на месец август, така както е предвидено в Индикативната годишна работна програма.</w:t>
      </w:r>
    </w:p>
    <w:p w:rsidR="004B6143" w:rsidRPr="00292755" w:rsidRDefault="004B6143" w:rsidP="00292755">
      <w:pPr>
        <w:spacing w:after="0" w:line="240" w:lineRule="auto"/>
        <w:jc w:val="both"/>
        <w:rPr>
          <w:rFonts w:ascii="Times New Roman" w:eastAsia="Times New Roman" w:hAnsi="Times New Roman" w:cs="Times New Roman"/>
          <w:sz w:val="24"/>
          <w:szCs w:val="24"/>
          <w:lang w:val="bg-BG"/>
        </w:rPr>
      </w:pPr>
    </w:p>
    <w:p w:rsidR="00451964" w:rsidRDefault="004B6143"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Получиха се индикации и се редактира </w:t>
      </w:r>
      <w:r w:rsidR="00451964" w:rsidRPr="00292755">
        <w:rPr>
          <w:rFonts w:ascii="Times New Roman" w:eastAsia="Times New Roman" w:hAnsi="Times New Roman" w:cs="Times New Roman"/>
          <w:sz w:val="24"/>
          <w:szCs w:val="24"/>
          <w:lang w:val="bg-BG"/>
        </w:rPr>
        <w:t>едно несъответствие в подмярка 6.4 „Инвестиции в подкр</w:t>
      </w:r>
      <w:r w:rsidRPr="00292755">
        <w:rPr>
          <w:rFonts w:ascii="Times New Roman" w:eastAsia="Times New Roman" w:hAnsi="Times New Roman" w:cs="Times New Roman"/>
          <w:sz w:val="24"/>
          <w:szCs w:val="24"/>
          <w:lang w:val="bg-BG"/>
        </w:rPr>
        <w:t xml:space="preserve">епа на неземеделски дейности“. </w:t>
      </w:r>
      <w:r w:rsidR="00451964" w:rsidRPr="00292755">
        <w:rPr>
          <w:rFonts w:ascii="Times New Roman" w:eastAsia="Times New Roman" w:hAnsi="Times New Roman" w:cs="Times New Roman"/>
          <w:sz w:val="24"/>
          <w:szCs w:val="24"/>
          <w:lang w:val="bg-BG"/>
        </w:rPr>
        <w:t>В последната колона „Размер на допустимите разходи за проект в лева“ в максимален размер следва да бъде „левовата равностойност на 400 хиляди евро</w:t>
      </w:r>
      <w:r w:rsidRPr="00292755">
        <w:rPr>
          <w:rFonts w:ascii="Times New Roman" w:eastAsia="Times New Roman" w:hAnsi="Times New Roman" w:cs="Times New Roman"/>
          <w:sz w:val="24"/>
          <w:szCs w:val="24"/>
          <w:lang w:val="bg-BG"/>
        </w:rPr>
        <w:t xml:space="preserve">. </w:t>
      </w:r>
      <w:r w:rsidR="00451964" w:rsidRPr="00292755">
        <w:rPr>
          <w:rFonts w:ascii="Times New Roman" w:eastAsia="Times New Roman" w:hAnsi="Times New Roman" w:cs="Times New Roman"/>
          <w:sz w:val="24"/>
          <w:szCs w:val="24"/>
          <w:lang w:val="bg-BG"/>
        </w:rPr>
        <w:t>Също така тук е мястото да</w:t>
      </w:r>
      <w:r w:rsidR="007B3F0B">
        <w:rPr>
          <w:rFonts w:ascii="Times New Roman" w:eastAsia="Times New Roman" w:hAnsi="Times New Roman" w:cs="Times New Roman"/>
          <w:sz w:val="24"/>
          <w:szCs w:val="24"/>
          <w:lang w:val="bg-BG"/>
        </w:rPr>
        <w:t xml:space="preserve"> се направи</w:t>
      </w:r>
      <w:r w:rsidR="00451964" w:rsidRPr="00292755">
        <w:rPr>
          <w:rFonts w:ascii="Times New Roman" w:eastAsia="Times New Roman" w:hAnsi="Times New Roman" w:cs="Times New Roman"/>
          <w:sz w:val="24"/>
          <w:szCs w:val="24"/>
          <w:lang w:val="bg-BG"/>
        </w:rPr>
        <w:t xml:space="preserve"> уточнение след проведен разговор с колегите от ОПИК относно прилагането на подмярка 6.4 на територията на селски райони. Преди малко стана ясно, че подмярка 7.2 в рамките на прием 2022 ще се прилага на територията на 215 общини</w:t>
      </w:r>
      <w:r w:rsidRPr="00292755">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класифицирани като „селски“ съгласно новата дефиниция.</w:t>
      </w:r>
    </w:p>
    <w:p w:rsidR="007B3F0B" w:rsidRPr="00292755" w:rsidRDefault="007B3F0B" w:rsidP="00292755">
      <w:pPr>
        <w:spacing w:after="0" w:line="240" w:lineRule="auto"/>
        <w:jc w:val="both"/>
        <w:rPr>
          <w:rFonts w:ascii="Times New Roman" w:eastAsia="Times New Roman" w:hAnsi="Times New Roman" w:cs="Times New Roman"/>
          <w:sz w:val="24"/>
          <w:szCs w:val="24"/>
          <w:lang w:val="bg-BG"/>
        </w:rPr>
      </w:pPr>
    </w:p>
    <w:p w:rsidR="00451964"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Предложението е, инвестициите по подмярка 6.4 в рамките на предстоящия прием през есента да се прилага на територията на 232 общини</w:t>
      </w:r>
      <w:r w:rsidR="004B6143"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класифицирани като „селски“ в продължение на утвърдената практика и т.нар. стара дефиниция.</w:t>
      </w:r>
    </w:p>
    <w:p w:rsidR="007B3F0B" w:rsidRPr="00292755" w:rsidRDefault="007B3F0B" w:rsidP="00292755">
      <w:pPr>
        <w:spacing w:after="0" w:line="240" w:lineRule="auto"/>
        <w:jc w:val="both"/>
        <w:rPr>
          <w:rFonts w:ascii="Times New Roman" w:eastAsia="Times New Roman" w:hAnsi="Times New Roman" w:cs="Times New Roman"/>
          <w:sz w:val="24"/>
          <w:szCs w:val="24"/>
          <w:lang w:val="bg-BG"/>
        </w:rPr>
      </w:pPr>
    </w:p>
    <w:p w:rsidR="00451964"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Новата дефиниция за „селски об</w:t>
      </w:r>
      <w:r w:rsidR="004B6143" w:rsidRPr="00292755">
        <w:rPr>
          <w:rFonts w:ascii="Times New Roman" w:eastAsia="Times New Roman" w:hAnsi="Times New Roman" w:cs="Times New Roman"/>
          <w:sz w:val="24"/>
          <w:szCs w:val="24"/>
          <w:lang w:val="bg-BG"/>
        </w:rPr>
        <w:t>щини“</w:t>
      </w:r>
      <w:r w:rsidRPr="00292755">
        <w:rPr>
          <w:rFonts w:ascii="Times New Roman" w:eastAsia="Times New Roman" w:hAnsi="Times New Roman" w:cs="Times New Roman"/>
          <w:sz w:val="24"/>
          <w:szCs w:val="24"/>
          <w:lang w:val="bg-BG"/>
        </w:rPr>
        <w:t>, следва да е приложима единствено за публичната инфраструктура</w:t>
      </w:r>
      <w:r w:rsidR="004B6143"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предвид предстоящото стартиране на процедурите по Пр</w:t>
      </w:r>
      <w:r w:rsidR="004B6143" w:rsidRPr="00292755">
        <w:rPr>
          <w:rFonts w:ascii="Times New Roman" w:eastAsia="Times New Roman" w:hAnsi="Times New Roman" w:cs="Times New Roman"/>
          <w:sz w:val="24"/>
          <w:szCs w:val="24"/>
          <w:lang w:val="bg-BG"/>
        </w:rPr>
        <w:t>ограма „Развитие на регионите“. Т</w:t>
      </w:r>
      <w:r w:rsidRPr="00292755">
        <w:rPr>
          <w:rFonts w:ascii="Times New Roman" w:eastAsia="Times New Roman" w:hAnsi="Times New Roman" w:cs="Times New Roman"/>
          <w:sz w:val="24"/>
          <w:szCs w:val="24"/>
          <w:lang w:val="bg-BG"/>
        </w:rPr>
        <w:t>е разширяват своя обхват, кръга на допустимите кандидати и ще имат възможност да ги подпомогнат в рамките на техните и</w:t>
      </w:r>
      <w:r w:rsidR="004B6143" w:rsidRPr="00292755">
        <w:rPr>
          <w:rFonts w:ascii="Times New Roman" w:eastAsia="Times New Roman" w:hAnsi="Times New Roman" w:cs="Times New Roman"/>
          <w:sz w:val="24"/>
          <w:szCs w:val="24"/>
          <w:lang w:val="bg-BG"/>
        </w:rPr>
        <w:t>нвестиции, но неземеделските</w:t>
      </w:r>
      <w:r w:rsidRPr="00292755">
        <w:rPr>
          <w:rFonts w:ascii="Times New Roman" w:eastAsia="Times New Roman" w:hAnsi="Times New Roman" w:cs="Times New Roman"/>
          <w:sz w:val="24"/>
          <w:szCs w:val="24"/>
          <w:lang w:val="bg-BG"/>
        </w:rPr>
        <w:t xml:space="preserve"> дейности</w:t>
      </w:r>
      <w:r w:rsidR="004B6143" w:rsidRPr="00292755">
        <w:rPr>
          <w:rFonts w:ascii="Times New Roman" w:eastAsia="Times New Roman" w:hAnsi="Times New Roman" w:cs="Times New Roman"/>
          <w:sz w:val="24"/>
          <w:szCs w:val="24"/>
          <w:lang w:val="bg-BG"/>
        </w:rPr>
        <w:t xml:space="preserve"> на </w:t>
      </w:r>
      <w:r w:rsidRPr="00292755">
        <w:rPr>
          <w:rFonts w:ascii="Times New Roman" w:eastAsia="Times New Roman" w:hAnsi="Times New Roman" w:cs="Times New Roman"/>
          <w:sz w:val="24"/>
          <w:szCs w:val="24"/>
          <w:lang w:val="bg-BG"/>
        </w:rPr>
        <w:t xml:space="preserve"> ми</w:t>
      </w:r>
      <w:r w:rsidR="004B6143" w:rsidRPr="00292755">
        <w:rPr>
          <w:rFonts w:ascii="Times New Roman" w:eastAsia="Times New Roman" w:hAnsi="Times New Roman" w:cs="Times New Roman"/>
          <w:sz w:val="24"/>
          <w:szCs w:val="24"/>
          <w:lang w:val="bg-BG"/>
        </w:rPr>
        <w:t>кро, малки и средни предприятия</w:t>
      </w:r>
      <w:r w:rsidRPr="00292755">
        <w:rPr>
          <w:rFonts w:ascii="Times New Roman" w:eastAsia="Times New Roman" w:hAnsi="Times New Roman" w:cs="Times New Roman"/>
          <w:sz w:val="24"/>
          <w:szCs w:val="24"/>
          <w:lang w:val="bg-BG"/>
        </w:rPr>
        <w:t xml:space="preserve"> следва да бъдат финансирани по ПРСР и по ОПИК в съответствие с приетата и утвърдена допълняемост и демаркация.</w:t>
      </w:r>
    </w:p>
    <w:p w:rsidR="007B3F0B" w:rsidRPr="00292755" w:rsidRDefault="007B3F0B" w:rsidP="00292755">
      <w:pPr>
        <w:spacing w:after="0" w:line="240" w:lineRule="auto"/>
        <w:jc w:val="both"/>
        <w:rPr>
          <w:rFonts w:ascii="Times New Roman" w:eastAsia="Times New Roman" w:hAnsi="Times New Roman" w:cs="Times New Roman"/>
          <w:sz w:val="24"/>
          <w:szCs w:val="24"/>
          <w:lang w:val="bg-BG"/>
        </w:rPr>
      </w:pPr>
    </w:p>
    <w:p w:rsidR="00451964" w:rsidRPr="00292755" w:rsidRDefault="004B6143"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В тази връзка </w:t>
      </w:r>
      <w:r w:rsidR="0035332D" w:rsidRPr="00292755">
        <w:rPr>
          <w:rFonts w:ascii="Times New Roman" w:eastAsia="Times New Roman" w:hAnsi="Times New Roman" w:cs="Times New Roman"/>
          <w:sz w:val="24"/>
          <w:szCs w:val="24"/>
          <w:lang w:val="bg-BG"/>
        </w:rPr>
        <w:t xml:space="preserve">се предлага </w:t>
      </w:r>
      <w:r w:rsidR="00451964" w:rsidRPr="00292755">
        <w:rPr>
          <w:rFonts w:ascii="Times New Roman" w:eastAsia="Times New Roman" w:hAnsi="Times New Roman" w:cs="Times New Roman"/>
          <w:sz w:val="24"/>
          <w:szCs w:val="24"/>
          <w:lang w:val="bg-BG"/>
        </w:rPr>
        <w:t>подмярка 6.4 да се прилага на територията на 232 общини дефинирани като „селски“.</w:t>
      </w:r>
    </w:p>
    <w:p w:rsidR="0035332D" w:rsidRPr="00292755" w:rsidRDefault="0035332D" w:rsidP="00292755">
      <w:pPr>
        <w:spacing w:after="0" w:line="240" w:lineRule="auto"/>
        <w:jc w:val="both"/>
        <w:rPr>
          <w:rFonts w:ascii="Times New Roman" w:eastAsia="Times New Roman" w:hAnsi="Times New Roman" w:cs="Times New Roman"/>
          <w:sz w:val="24"/>
          <w:szCs w:val="24"/>
          <w:lang w:val="bg-BG"/>
        </w:rPr>
      </w:pPr>
    </w:p>
    <w:p w:rsidR="0035332D"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В Индикативната годишна работна програма е посочено, че подмярка 7.2 ще се прилага вече в рамките на четири процедури чрез подбор, </w:t>
      </w:r>
      <w:r w:rsidR="007B3F0B">
        <w:rPr>
          <w:rFonts w:ascii="Times New Roman" w:eastAsia="Times New Roman" w:hAnsi="Times New Roman" w:cs="Times New Roman"/>
          <w:sz w:val="24"/>
          <w:szCs w:val="24"/>
          <w:lang w:val="bg-BG"/>
        </w:rPr>
        <w:t>като тпериодът на прием е</w:t>
      </w:r>
      <w:r w:rsidRPr="00292755">
        <w:rPr>
          <w:rFonts w:ascii="Times New Roman" w:eastAsia="Times New Roman" w:hAnsi="Times New Roman" w:cs="Times New Roman"/>
          <w:sz w:val="24"/>
          <w:szCs w:val="24"/>
          <w:lang w:val="bg-BG"/>
        </w:rPr>
        <w:t xml:space="preserve"> три месеца – юли, август и септем</w:t>
      </w:r>
      <w:r w:rsidR="0035332D" w:rsidRPr="00292755">
        <w:rPr>
          <w:rFonts w:ascii="Times New Roman" w:eastAsia="Times New Roman" w:hAnsi="Times New Roman" w:cs="Times New Roman"/>
          <w:sz w:val="24"/>
          <w:szCs w:val="24"/>
          <w:lang w:val="bg-BG"/>
        </w:rPr>
        <w:t xml:space="preserve">ври. Предвид това, че </w:t>
      </w:r>
      <w:r w:rsidRPr="00292755">
        <w:rPr>
          <w:rFonts w:ascii="Times New Roman" w:eastAsia="Times New Roman" w:hAnsi="Times New Roman" w:cs="Times New Roman"/>
          <w:sz w:val="24"/>
          <w:szCs w:val="24"/>
          <w:lang w:val="bg-BG"/>
        </w:rPr>
        <w:t>процедурата</w:t>
      </w:r>
      <w:r w:rsidR="0035332D" w:rsidRPr="00292755">
        <w:rPr>
          <w:rFonts w:ascii="Times New Roman" w:eastAsia="Times New Roman" w:hAnsi="Times New Roman" w:cs="Times New Roman"/>
          <w:sz w:val="24"/>
          <w:szCs w:val="24"/>
          <w:lang w:val="bg-BG"/>
        </w:rPr>
        <w:t xml:space="preserve"> се разделя</w:t>
      </w:r>
      <w:r w:rsidRPr="00292755">
        <w:rPr>
          <w:rFonts w:ascii="Times New Roman" w:eastAsia="Times New Roman" w:hAnsi="Times New Roman" w:cs="Times New Roman"/>
          <w:sz w:val="24"/>
          <w:szCs w:val="24"/>
          <w:lang w:val="bg-BG"/>
        </w:rPr>
        <w:t xml:space="preserve"> от една на четири</w:t>
      </w:r>
      <w:r w:rsidR="0035332D" w:rsidRPr="00292755">
        <w:rPr>
          <w:rFonts w:ascii="Times New Roman" w:eastAsia="Times New Roman" w:hAnsi="Times New Roman" w:cs="Times New Roman"/>
          <w:sz w:val="24"/>
          <w:szCs w:val="24"/>
          <w:lang w:val="bg-BG"/>
        </w:rPr>
        <w:t xml:space="preserve"> ще се направи </w:t>
      </w:r>
      <w:r w:rsidR="007B3F0B">
        <w:rPr>
          <w:rFonts w:ascii="Times New Roman" w:eastAsia="Times New Roman" w:hAnsi="Times New Roman" w:cs="Times New Roman"/>
          <w:sz w:val="24"/>
          <w:szCs w:val="24"/>
          <w:lang w:val="bg-BG"/>
        </w:rPr>
        <w:t>консултация с Министерски съвет</w:t>
      </w:r>
      <w:r w:rsidR="0035332D" w:rsidRPr="00292755">
        <w:rPr>
          <w:rFonts w:ascii="Times New Roman" w:eastAsia="Times New Roman" w:hAnsi="Times New Roman" w:cs="Times New Roman"/>
          <w:sz w:val="24"/>
          <w:szCs w:val="24"/>
          <w:lang w:val="bg-BG"/>
        </w:rPr>
        <w:t>, дали  следва периодът на прием да е 4 месеца.</w:t>
      </w:r>
    </w:p>
    <w:p w:rsidR="0035332D" w:rsidRPr="00292755" w:rsidRDefault="0035332D" w:rsidP="00292755">
      <w:pPr>
        <w:spacing w:after="0" w:line="240" w:lineRule="auto"/>
        <w:jc w:val="both"/>
        <w:rPr>
          <w:rFonts w:ascii="Times New Roman" w:eastAsia="Times New Roman" w:hAnsi="Times New Roman" w:cs="Times New Roman"/>
          <w:sz w:val="24"/>
          <w:szCs w:val="24"/>
          <w:lang w:val="bg-BG"/>
        </w:rPr>
      </w:pPr>
    </w:p>
    <w:p w:rsidR="00451964" w:rsidRPr="00292755" w:rsidRDefault="0035332D"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Актуализира се също така периодът</w:t>
      </w:r>
      <w:r w:rsidR="00451964" w:rsidRPr="00292755">
        <w:rPr>
          <w:rFonts w:ascii="Times New Roman" w:eastAsia="Times New Roman" w:hAnsi="Times New Roman" w:cs="Times New Roman"/>
          <w:sz w:val="24"/>
          <w:szCs w:val="24"/>
          <w:lang w:val="bg-BG"/>
        </w:rPr>
        <w:t xml:space="preserve"> на прием на подмярка и 16.4 в рамките на месеците септември и октомври.</w:t>
      </w:r>
    </w:p>
    <w:p w:rsidR="0035332D" w:rsidRPr="00292755" w:rsidRDefault="0035332D" w:rsidP="00292755">
      <w:pPr>
        <w:spacing w:after="0" w:line="240" w:lineRule="auto"/>
        <w:jc w:val="both"/>
        <w:rPr>
          <w:rFonts w:ascii="Times New Roman" w:eastAsia="Times New Roman" w:hAnsi="Times New Roman" w:cs="Times New Roman"/>
          <w:sz w:val="24"/>
          <w:szCs w:val="24"/>
          <w:lang w:val="bg-BG"/>
        </w:rPr>
      </w:pPr>
    </w:p>
    <w:p w:rsidR="0035332D" w:rsidRPr="00292755" w:rsidRDefault="007B3F0B"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Г-ЖА СОНЯ МИКОВА посочи,  периодът на прием по четирите процедури по М7.2</w:t>
      </w:r>
      <w:r w:rsidR="0035332D" w:rsidRPr="00292755">
        <w:rPr>
          <w:rFonts w:ascii="Times New Roman" w:eastAsia="Times New Roman" w:hAnsi="Times New Roman" w:cs="Times New Roman"/>
          <w:sz w:val="24"/>
          <w:szCs w:val="24"/>
          <w:lang w:val="bg-BG"/>
        </w:rPr>
        <w:t xml:space="preserve"> тряб</w:t>
      </w:r>
      <w:r>
        <w:rPr>
          <w:rFonts w:ascii="Times New Roman" w:eastAsia="Times New Roman" w:hAnsi="Times New Roman" w:cs="Times New Roman"/>
          <w:sz w:val="24"/>
          <w:szCs w:val="24"/>
          <w:lang w:val="bg-BG"/>
        </w:rPr>
        <w:t>ва да се обсъди с юристите, но</w:t>
      </w:r>
      <w:r w:rsidR="0035332D" w:rsidRPr="00292755">
        <w:rPr>
          <w:rFonts w:ascii="Times New Roman" w:eastAsia="Times New Roman" w:hAnsi="Times New Roman" w:cs="Times New Roman"/>
          <w:sz w:val="24"/>
          <w:szCs w:val="24"/>
          <w:lang w:val="bg-BG"/>
        </w:rPr>
        <w:t xml:space="preserve"> е важно и мнението на общините.</w:t>
      </w:r>
    </w:p>
    <w:p w:rsidR="00451964" w:rsidRPr="00292755" w:rsidRDefault="0035332D"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w:t>
      </w:r>
    </w:p>
    <w:p w:rsidR="00451964"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МИЛЕНА НЕДЕВА</w:t>
      </w:r>
      <w:r w:rsidR="0035332D" w:rsidRPr="00292755">
        <w:rPr>
          <w:rFonts w:ascii="Times New Roman" w:eastAsia="Times New Roman" w:hAnsi="Times New Roman" w:cs="Times New Roman"/>
          <w:sz w:val="24"/>
          <w:szCs w:val="24"/>
          <w:lang w:val="bg-BG"/>
        </w:rPr>
        <w:t xml:space="preserve"> посочи, </w:t>
      </w:r>
      <w:r w:rsidRPr="00292755">
        <w:rPr>
          <w:rFonts w:ascii="Times New Roman" w:eastAsia="Times New Roman" w:hAnsi="Times New Roman" w:cs="Times New Roman"/>
          <w:sz w:val="24"/>
          <w:szCs w:val="24"/>
          <w:lang w:val="bg-BG"/>
        </w:rPr>
        <w:t xml:space="preserve"> че е редно </w:t>
      </w:r>
      <w:r w:rsidR="0035332D" w:rsidRPr="00292755">
        <w:rPr>
          <w:rFonts w:ascii="Times New Roman" w:eastAsia="Times New Roman" w:hAnsi="Times New Roman" w:cs="Times New Roman"/>
          <w:sz w:val="24"/>
          <w:szCs w:val="24"/>
          <w:lang w:val="bg-BG"/>
        </w:rPr>
        <w:t xml:space="preserve">приемът </w:t>
      </w:r>
      <w:r w:rsidRPr="00292755">
        <w:rPr>
          <w:rFonts w:ascii="Times New Roman" w:eastAsia="Times New Roman" w:hAnsi="Times New Roman" w:cs="Times New Roman"/>
          <w:sz w:val="24"/>
          <w:szCs w:val="24"/>
          <w:lang w:val="bg-BG"/>
        </w:rPr>
        <w:t>да се удължи на четири месеца</w:t>
      </w:r>
      <w:r w:rsidR="0035332D" w:rsidRPr="00292755">
        <w:rPr>
          <w:rFonts w:ascii="Times New Roman" w:eastAsia="Times New Roman" w:hAnsi="Times New Roman" w:cs="Times New Roman"/>
          <w:sz w:val="24"/>
          <w:szCs w:val="24"/>
          <w:lang w:val="bg-BG"/>
        </w:rPr>
        <w:t>, тъй като все още няма</w:t>
      </w:r>
      <w:r w:rsidRPr="00292755">
        <w:rPr>
          <w:rFonts w:ascii="Times New Roman" w:eastAsia="Times New Roman" w:hAnsi="Times New Roman" w:cs="Times New Roman"/>
          <w:sz w:val="24"/>
          <w:szCs w:val="24"/>
          <w:lang w:val="bg-BG"/>
        </w:rPr>
        <w:t xml:space="preserve"> проектна готовност.</w:t>
      </w:r>
    </w:p>
    <w:p w:rsidR="007B3F0B" w:rsidRPr="00292755" w:rsidRDefault="007B3F0B"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КРАСИМИР ДЖОНЕВ</w:t>
      </w:r>
      <w:r w:rsidR="0035332D" w:rsidRPr="00292755">
        <w:rPr>
          <w:rFonts w:ascii="Times New Roman" w:eastAsia="Times New Roman" w:hAnsi="Times New Roman" w:cs="Times New Roman"/>
          <w:sz w:val="24"/>
          <w:szCs w:val="24"/>
          <w:lang w:val="bg-BG"/>
        </w:rPr>
        <w:t xml:space="preserve"> потвърди, че </w:t>
      </w:r>
      <w:r w:rsidRPr="00292755">
        <w:rPr>
          <w:rFonts w:ascii="Times New Roman" w:eastAsia="Times New Roman" w:hAnsi="Times New Roman" w:cs="Times New Roman"/>
          <w:sz w:val="24"/>
          <w:szCs w:val="24"/>
          <w:lang w:val="bg-BG"/>
        </w:rPr>
        <w:t xml:space="preserve"> по-дъл</w:t>
      </w:r>
      <w:r w:rsidR="0035332D" w:rsidRPr="00292755">
        <w:rPr>
          <w:rFonts w:ascii="Times New Roman" w:eastAsia="Times New Roman" w:hAnsi="Times New Roman" w:cs="Times New Roman"/>
          <w:sz w:val="24"/>
          <w:szCs w:val="24"/>
          <w:lang w:val="bg-BG"/>
        </w:rPr>
        <w:t>гият срок би бил по-добър за тях</w:t>
      </w:r>
      <w:r w:rsidRPr="00292755">
        <w:rPr>
          <w:rFonts w:ascii="Times New Roman" w:eastAsia="Times New Roman" w:hAnsi="Times New Roman" w:cs="Times New Roman"/>
          <w:sz w:val="24"/>
          <w:szCs w:val="24"/>
          <w:lang w:val="bg-BG"/>
        </w:rPr>
        <w:t>.</w:t>
      </w:r>
    </w:p>
    <w:p w:rsidR="0035332D" w:rsidRPr="00292755" w:rsidRDefault="0035332D" w:rsidP="00292755">
      <w:pPr>
        <w:spacing w:after="0" w:line="240" w:lineRule="auto"/>
        <w:jc w:val="both"/>
        <w:rPr>
          <w:rFonts w:ascii="Times New Roman" w:eastAsia="Times New Roman" w:hAnsi="Times New Roman" w:cs="Times New Roman"/>
          <w:b/>
          <w:sz w:val="24"/>
          <w:szCs w:val="24"/>
          <w:lang w:val="bg-BG"/>
        </w:rPr>
      </w:pPr>
    </w:p>
    <w:p w:rsidR="0035332D"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0035332D" w:rsidRPr="00292755">
        <w:rPr>
          <w:rFonts w:ascii="Times New Roman" w:eastAsia="Times New Roman" w:hAnsi="Times New Roman" w:cs="Times New Roman"/>
          <w:sz w:val="24"/>
          <w:szCs w:val="24"/>
          <w:lang w:val="bg-BG"/>
        </w:rPr>
        <w:t xml:space="preserve"> благодари</w:t>
      </w:r>
      <w:r w:rsidR="007B3F0B">
        <w:rPr>
          <w:rFonts w:ascii="Times New Roman" w:eastAsia="Times New Roman" w:hAnsi="Times New Roman" w:cs="Times New Roman"/>
          <w:sz w:val="24"/>
          <w:szCs w:val="24"/>
          <w:lang w:val="bg-BG"/>
        </w:rPr>
        <w:t xml:space="preserve"> за </w:t>
      </w:r>
      <w:r w:rsidR="0035332D" w:rsidRPr="00292755">
        <w:rPr>
          <w:rFonts w:ascii="Times New Roman" w:eastAsia="Times New Roman" w:hAnsi="Times New Roman" w:cs="Times New Roman"/>
          <w:sz w:val="24"/>
          <w:szCs w:val="24"/>
          <w:lang w:val="bg-BG"/>
        </w:rPr>
        <w:t xml:space="preserve"> мнението на представителите на общините и п</w:t>
      </w:r>
      <w:r w:rsidR="007B3F0B">
        <w:rPr>
          <w:rFonts w:ascii="Times New Roman" w:eastAsia="Times New Roman" w:hAnsi="Times New Roman" w:cs="Times New Roman"/>
          <w:sz w:val="24"/>
          <w:szCs w:val="24"/>
          <w:lang w:val="bg-BG"/>
        </w:rPr>
        <w:t>редложи</w:t>
      </w:r>
      <w:r w:rsidRPr="00292755">
        <w:rPr>
          <w:rFonts w:ascii="Times New Roman" w:eastAsia="Times New Roman" w:hAnsi="Times New Roman" w:cs="Times New Roman"/>
          <w:sz w:val="24"/>
          <w:szCs w:val="24"/>
          <w:lang w:val="bg-BG"/>
        </w:rPr>
        <w:t xml:space="preserve"> това </w:t>
      </w:r>
      <w:r w:rsidR="0035332D" w:rsidRPr="00292755">
        <w:rPr>
          <w:rFonts w:ascii="Times New Roman" w:eastAsia="Times New Roman" w:hAnsi="Times New Roman" w:cs="Times New Roman"/>
          <w:sz w:val="24"/>
          <w:szCs w:val="24"/>
          <w:lang w:val="bg-BG"/>
        </w:rPr>
        <w:t xml:space="preserve">да се обсъди </w:t>
      </w:r>
      <w:r w:rsidRPr="00292755">
        <w:rPr>
          <w:rFonts w:ascii="Times New Roman" w:eastAsia="Times New Roman" w:hAnsi="Times New Roman" w:cs="Times New Roman"/>
          <w:sz w:val="24"/>
          <w:szCs w:val="24"/>
          <w:lang w:val="bg-BG"/>
        </w:rPr>
        <w:t>на по-късен етап с Министерския съвет</w:t>
      </w:r>
      <w:r w:rsidR="0035332D" w:rsidRPr="00292755">
        <w:rPr>
          <w:rFonts w:ascii="Times New Roman" w:eastAsia="Times New Roman" w:hAnsi="Times New Roman" w:cs="Times New Roman"/>
          <w:sz w:val="24"/>
          <w:szCs w:val="24"/>
          <w:lang w:val="bg-BG"/>
        </w:rPr>
        <w:t>.</w:t>
      </w:r>
    </w:p>
    <w:p w:rsidR="0035332D" w:rsidRPr="00292755" w:rsidRDefault="0035332D" w:rsidP="00292755">
      <w:pPr>
        <w:spacing w:after="0" w:line="240" w:lineRule="auto"/>
        <w:jc w:val="both"/>
        <w:rPr>
          <w:rFonts w:ascii="Times New Roman" w:eastAsia="Times New Roman" w:hAnsi="Times New Roman" w:cs="Times New Roman"/>
          <w:sz w:val="24"/>
          <w:szCs w:val="24"/>
          <w:lang w:val="bg-BG"/>
        </w:rPr>
      </w:pPr>
    </w:p>
    <w:p w:rsidR="00451964" w:rsidRPr="00292755" w:rsidRDefault="0035332D"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Г-н Неков подложи на гласуване решението по тази точка.</w:t>
      </w:r>
    </w:p>
    <w:p w:rsidR="0035332D" w:rsidRPr="00292755" w:rsidRDefault="0035332D" w:rsidP="00292755">
      <w:pPr>
        <w:spacing w:after="0" w:line="240" w:lineRule="auto"/>
        <w:jc w:val="both"/>
        <w:rPr>
          <w:rFonts w:ascii="Times New Roman" w:eastAsia="Times New Roman" w:hAnsi="Times New Roman" w:cs="Times New Roman"/>
          <w:sz w:val="24"/>
          <w:szCs w:val="24"/>
          <w:lang w:val="bg-BG"/>
        </w:rPr>
      </w:pPr>
    </w:p>
    <w:p w:rsidR="0035332D" w:rsidRPr="00292755" w:rsidRDefault="0035332D" w:rsidP="00292755">
      <w:pPr>
        <w:spacing w:after="0" w:line="240" w:lineRule="auto"/>
        <w:jc w:val="both"/>
        <w:rPr>
          <w:rFonts w:ascii="Times New Roman" w:eastAsia="Times New Roman" w:hAnsi="Times New Roman" w:cs="Times New Roman"/>
          <w:b/>
          <w:sz w:val="24"/>
          <w:szCs w:val="24"/>
          <w:lang w:val="bg-BG"/>
        </w:rPr>
      </w:pPr>
      <w:r w:rsidRPr="00292755">
        <w:rPr>
          <w:rFonts w:ascii="Times New Roman" w:eastAsia="Times New Roman" w:hAnsi="Times New Roman" w:cs="Times New Roman"/>
          <w:b/>
          <w:sz w:val="24"/>
          <w:szCs w:val="24"/>
          <w:lang w:val="bg-BG"/>
        </w:rPr>
        <w:t>РЕШЕНИЕ ПО Т. 5.</w:t>
      </w:r>
    </w:p>
    <w:p w:rsidR="00451964" w:rsidRPr="00465C72" w:rsidRDefault="00451964" w:rsidP="00292755">
      <w:pPr>
        <w:spacing w:after="0" w:line="240" w:lineRule="auto"/>
        <w:jc w:val="both"/>
        <w:rPr>
          <w:rFonts w:ascii="Times New Roman" w:eastAsia="Times New Roman" w:hAnsi="Times New Roman" w:cs="Times New Roman"/>
          <w:i/>
          <w:sz w:val="24"/>
          <w:szCs w:val="24"/>
          <w:lang w:val="bg-BG"/>
        </w:rPr>
      </w:pPr>
      <w:r w:rsidRPr="00465C72">
        <w:rPr>
          <w:rFonts w:ascii="Times New Roman" w:eastAsia="Times New Roman" w:hAnsi="Times New Roman" w:cs="Times New Roman"/>
          <w:i/>
          <w:sz w:val="24"/>
          <w:szCs w:val="24"/>
          <w:lang w:val="bg-BG"/>
        </w:rPr>
        <w:t xml:space="preserve">Комитетът по наблюдение съгласува предложението на Управляващия орган за актуализиране на Индикативната годишна работна програма за 2022 година. </w:t>
      </w:r>
    </w:p>
    <w:p w:rsidR="00D41ABC" w:rsidRDefault="00D41ABC" w:rsidP="00292755">
      <w:pPr>
        <w:spacing w:after="0" w:line="240" w:lineRule="auto"/>
        <w:jc w:val="both"/>
        <w:rPr>
          <w:rFonts w:ascii="Times New Roman" w:eastAsia="Times New Roman" w:hAnsi="Times New Roman" w:cs="Times New Roman"/>
          <w:i/>
          <w:sz w:val="24"/>
          <w:szCs w:val="24"/>
          <w:lang w:val="bg-BG"/>
        </w:rPr>
      </w:pPr>
    </w:p>
    <w:p w:rsidR="00465C72" w:rsidRDefault="00465C72"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Гласуване:</w:t>
      </w:r>
    </w:p>
    <w:p w:rsidR="00465C72" w:rsidRPr="00465C72" w:rsidRDefault="00465C72" w:rsidP="00292755">
      <w:pPr>
        <w:spacing w:after="0" w:line="240" w:lineRule="auto"/>
        <w:jc w:val="both"/>
        <w:rPr>
          <w:rFonts w:ascii="Times New Roman" w:eastAsia="Times New Roman" w:hAnsi="Times New Roman" w:cs="Times New Roman"/>
          <w:sz w:val="24"/>
          <w:szCs w:val="24"/>
          <w:lang w:val="bg-BG"/>
        </w:rPr>
      </w:pPr>
    </w:p>
    <w:p w:rsidR="00451964" w:rsidRPr="00292755" w:rsidRDefault="00D41ABC"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w:t>
      </w:r>
      <w:r w:rsidR="00451964" w:rsidRPr="00292755">
        <w:rPr>
          <w:rFonts w:ascii="Times New Roman" w:eastAsia="Times New Roman" w:hAnsi="Times New Roman" w:cs="Times New Roman"/>
          <w:sz w:val="24"/>
          <w:szCs w:val="24"/>
          <w:lang w:val="bg-BG"/>
        </w:rPr>
        <w:t>р</w:t>
      </w:r>
      <w:r w:rsidRPr="00292755">
        <w:rPr>
          <w:rFonts w:ascii="Times New Roman" w:eastAsia="Times New Roman" w:hAnsi="Times New Roman" w:cs="Times New Roman"/>
          <w:sz w:val="24"/>
          <w:szCs w:val="24"/>
          <w:lang w:val="bg-BG"/>
        </w:rPr>
        <w:t>отив“ - няма</w:t>
      </w:r>
    </w:p>
    <w:p w:rsidR="00451964" w:rsidRPr="00292755" w:rsidRDefault="00D41ABC"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„Въздържали се“ – няма</w:t>
      </w:r>
      <w:r w:rsidR="00451964" w:rsidRPr="00292755">
        <w:rPr>
          <w:rFonts w:ascii="Times New Roman" w:eastAsia="Times New Roman" w:hAnsi="Times New Roman" w:cs="Times New Roman"/>
          <w:sz w:val="24"/>
          <w:szCs w:val="24"/>
          <w:lang w:val="bg-BG"/>
        </w:rPr>
        <w:t>.</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„За“ – 42.</w:t>
      </w:r>
    </w:p>
    <w:p w:rsidR="00451964" w:rsidRPr="00292755" w:rsidRDefault="00D41ABC"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Решението се приема с единодушие</w:t>
      </w:r>
      <w:r w:rsidR="00451964" w:rsidRPr="00292755">
        <w:rPr>
          <w:rFonts w:ascii="Times New Roman" w:eastAsia="Times New Roman" w:hAnsi="Times New Roman" w:cs="Times New Roman"/>
          <w:sz w:val="24"/>
          <w:szCs w:val="24"/>
          <w:lang w:val="bg-BG"/>
        </w:rPr>
        <w:t xml:space="preserve">. </w:t>
      </w:r>
    </w:p>
    <w:p w:rsidR="00D41ABC" w:rsidRPr="00292755" w:rsidRDefault="00D41ABC"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ind w:right="3402"/>
        <w:jc w:val="both"/>
        <w:rPr>
          <w:rFonts w:ascii="Times New Roman" w:eastAsia="Times New Roman" w:hAnsi="Times New Roman" w:cs="Times New Roman"/>
          <w:b/>
          <w:sz w:val="24"/>
          <w:szCs w:val="24"/>
          <w:u w:val="single"/>
          <w:lang w:val="bg-BG"/>
        </w:rPr>
      </w:pPr>
      <w:r w:rsidRPr="00292755">
        <w:rPr>
          <w:rFonts w:ascii="Times New Roman" w:eastAsia="Times New Roman" w:hAnsi="Times New Roman" w:cs="Times New Roman"/>
          <w:b/>
          <w:sz w:val="24"/>
          <w:szCs w:val="24"/>
          <w:u w:val="single"/>
          <w:lang w:val="bg-BG"/>
        </w:rPr>
        <w:t>Точка 6</w:t>
      </w:r>
    </w:p>
    <w:p w:rsidR="00451964" w:rsidRPr="00292755" w:rsidRDefault="00451964" w:rsidP="00292755">
      <w:pPr>
        <w:spacing w:after="0" w:line="240" w:lineRule="auto"/>
        <w:jc w:val="both"/>
        <w:rPr>
          <w:rFonts w:ascii="Times New Roman" w:eastAsia="Calibri" w:hAnsi="Times New Roman" w:cs="Times New Roman"/>
          <w:b/>
          <w:sz w:val="24"/>
          <w:szCs w:val="24"/>
          <w:lang w:val="bg-BG"/>
        </w:rPr>
      </w:pPr>
      <w:r w:rsidRPr="00292755">
        <w:rPr>
          <w:rFonts w:ascii="Times New Roman" w:eastAsia="Calibri" w:hAnsi="Times New Roman" w:cs="Times New Roman"/>
          <w:b/>
          <w:sz w:val="24"/>
          <w:szCs w:val="24"/>
          <w:lang w:val="bg-BG"/>
        </w:rPr>
        <w:t>Информация за напредъка на преговорите с ЕК по Стратегическия план за развитие на земеделието и селските райони за периода 2023 - 2027 г.</w:t>
      </w:r>
    </w:p>
    <w:p w:rsidR="00451964"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00C50B6F" w:rsidRPr="00292755">
        <w:rPr>
          <w:rFonts w:ascii="Times New Roman" w:eastAsia="Times New Roman" w:hAnsi="Times New Roman" w:cs="Times New Roman"/>
          <w:sz w:val="24"/>
          <w:szCs w:val="24"/>
          <w:lang w:val="bg-BG"/>
        </w:rPr>
        <w:t xml:space="preserve"> представи</w:t>
      </w:r>
      <w:r w:rsidRPr="00292755">
        <w:rPr>
          <w:rFonts w:ascii="Times New Roman" w:eastAsia="Times New Roman" w:hAnsi="Times New Roman" w:cs="Times New Roman"/>
          <w:sz w:val="24"/>
          <w:szCs w:val="24"/>
          <w:lang w:val="bg-BG"/>
        </w:rPr>
        <w:t xml:space="preserve"> презентация</w:t>
      </w:r>
      <w:r w:rsidR="00AE52AE" w:rsidRPr="00292755">
        <w:rPr>
          <w:rFonts w:ascii="Times New Roman" w:eastAsia="Times New Roman" w:hAnsi="Times New Roman" w:cs="Times New Roman"/>
          <w:sz w:val="24"/>
          <w:szCs w:val="24"/>
          <w:lang w:val="bg-BG"/>
        </w:rPr>
        <w:t xml:space="preserve"> с таблици</w:t>
      </w:r>
      <w:r w:rsidRPr="00292755">
        <w:rPr>
          <w:rFonts w:ascii="Times New Roman" w:eastAsia="Times New Roman" w:hAnsi="Times New Roman" w:cs="Times New Roman"/>
          <w:sz w:val="24"/>
          <w:szCs w:val="24"/>
          <w:lang w:val="bg-BG"/>
        </w:rPr>
        <w:t>,</w:t>
      </w:r>
      <w:r w:rsidR="00AE52AE" w:rsidRPr="00292755">
        <w:rPr>
          <w:rFonts w:ascii="Times New Roman" w:eastAsia="Times New Roman" w:hAnsi="Times New Roman" w:cs="Times New Roman"/>
          <w:sz w:val="24"/>
          <w:szCs w:val="24"/>
          <w:lang w:val="bg-BG"/>
        </w:rPr>
        <w:t xml:space="preserve"> в  които са отразени</w:t>
      </w:r>
      <w:r w:rsidRPr="00292755">
        <w:rPr>
          <w:rFonts w:ascii="Times New Roman" w:eastAsia="Times New Roman" w:hAnsi="Times New Roman" w:cs="Times New Roman"/>
          <w:sz w:val="24"/>
          <w:szCs w:val="24"/>
          <w:lang w:val="bg-BG"/>
        </w:rPr>
        <w:t xml:space="preserve"> коментарите към момента</w:t>
      </w:r>
      <w:r w:rsidR="00AE52AE"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 xml:space="preserve"> </w:t>
      </w:r>
      <w:r w:rsidR="00AE52AE" w:rsidRPr="00292755">
        <w:rPr>
          <w:rFonts w:ascii="Times New Roman" w:eastAsia="Times New Roman" w:hAnsi="Times New Roman" w:cs="Times New Roman"/>
          <w:sz w:val="24"/>
          <w:szCs w:val="24"/>
          <w:lang w:val="bg-BG"/>
        </w:rPr>
        <w:t>комуникирани</w:t>
      </w:r>
      <w:r w:rsidRPr="00292755">
        <w:rPr>
          <w:rFonts w:ascii="Times New Roman" w:eastAsia="Times New Roman" w:hAnsi="Times New Roman" w:cs="Times New Roman"/>
          <w:sz w:val="24"/>
          <w:szCs w:val="24"/>
          <w:lang w:val="bg-BG"/>
        </w:rPr>
        <w:t xml:space="preserve"> с различните дирекции в Европейската комисия.</w:t>
      </w:r>
    </w:p>
    <w:p w:rsidR="00A81A9E" w:rsidRPr="00292755" w:rsidRDefault="00A81A9E" w:rsidP="00292755">
      <w:pPr>
        <w:spacing w:after="0" w:line="240" w:lineRule="auto"/>
        <w:jc w:val="both"/>
        <w:rPr>
          <w:rFonts w:ascii="Times New Roman" w:eastAsia="Times New Roman" w:hAnsi="Times New Roman" w:cs="Times New Roman"/>
          <w:sz w:val="24"/>
          <w:szCs w:val="24"/>
          <w:lang w:val="bg-BG"/>
        </w:rPr>
      </w:pPr>
    </w:p>
    <w:p w:rsidR="00451964" w:rsidRPr="00292755" w:rsidRDefault="00A81A9E"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На 7 юни бе</w:t>
      </w:r>
      <w:r w:rsidR="00451964" w:rsidRPr="00292755">
        <w:rPr>
          <w:rFonts w:ascii="Times New Roman" w:eastAsia="Times New Roman" w:hAnsi="Times New Roman" w:cs="Times New Roman"/>
          <w:sz w:val="24"/>
          <w:szCs w:val="24"/>
          <w:lang w:val="bg-BG"/>
        </w:rPr>
        <w:t xml:space="preserve"> встъпителнат</w:t>
      </w:r>
      <w:r w:rsidRPr="00292755">
        <w:rPr>
          <w:rFonts w:ascii="Times New Roman" w:eastAsia="Times New Roman" w:hAnsi="Times New Roman" w:cs="Times New Roman"/>
          <w:sz w:val="24"/>
          <w:szCs w:val="24"/>
          <w:lang w:val="bg-BG"/>
        </w:rPr>
        <w:t>а среща,</w:t>
      </w:r>
      <w:r w:rsidR="007A21E4" w:rsidRPr="00292755">
        <w:rPr>
          <w:rFonts w:ascii="Times New Roman" w:eastAsia="Times New Roman" w:hAnsi="Times New Roman" w:cs="Times New Roman"/>
          <w:sz w:val="24"/>
          <w:szCs w:val="24"/>
          <w:lang w:val="bg-BG"/>
        </w:rPr>
        <w:t xml:space="preserve"> следващите срещи се проведоха</w:t>
      </w:r>
      <w:r w:rsidRPr="00292755">
        <w:rPr>
          <w:rFonts w:ascii="Times New Roman" w:eastAsia="Times New Roman" w:hAnsi="Times New Roman" w:cs="Times New Roman"/>
          <w:sz w:val="24"/>
          <w:szCs w:val="24"/>
          <w:lang w:val="bg-BG"/>
        </w:rPr>
        <w:t xml:space="preserve"> </w:t>
      </w:r>
      <w:r w:rsidR="00451964" w:rsidRPr="00292755">
        <w:rPr>
          <w:rFonts w:ascii="Times New Roman" w:eastAsia="Times New Roman" w:hAnsi="Times New Roman" w:cs="Times New Roman"/>
          <w:sz w:val="24"/>
          <w:szCs w:val="24"/>
          <w:lang w:val="bg-BG"/>
        </w:rPr>
        <w:t xml:space="preserve"> на 14 юни, 16 юни, </w:t>
      </w:r>
      <w:r w:rsidR="00D10E40" w:rsidRPr="00292755">
        <w:rPr>
          <w:rFonts w:ascii="Times New Roman" w:eastAsia="Times New Roman" w:hAnsi="Times New Roman" w:cs="Times New Roman"/>
          <w:sz w:val="24"/>
          <w:szCs w:val="24"/>
          <w:lang w:val="bg-BG"/>
        </w:rPr>
        <w:t>17 юни, 20 юни, 21 юни, 23 юни</w:t>
      </w:r>
      <w:r w:rsidRPr="00292755">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7 юли и 8 юли 2022 година. </w:t>
      </w:r>
      <w:r w:rsidRPr="00292755">
        <w:rPr>
          <w:rFonts w:ascii="Times New Roman" w:eastAsia="Times New Roman" w:hAnsi="Times New Roman" w:cs="Times New Roman"/>
          <w:sz w:val="24"/>
          <w:szCs w:val="24"/>
          <w:lang w:val="bg-BG"/>
        </w:rPr>
        <w:t>Целта на п</w:t>
      </w:r>
      <w:r w:rsidR="00451964" w:rsidRPr="00292755">
        <w:rPr>
          <w:rFonts w:ascii="Times New Roman" w:eastAsia="Times New Roman" w:hAnsi="Times New Roman" w:cs="Times New Roman"/>
          <w:sz w:val="24"/>
          <w:szCs w:val="24"/>
          <w:lang w:val="bg-BG"/>
        </w:rPr>
        <w:t>олитическия кабинет и експертите в министерството</w:t>
      </w:r>
      <w:r w:rsidRPr="00292755">
        <w:rPr>
          <w:rFonts w:ascii="Times New Roman" w:eastAsia="Times New Roman" w:hAnsi="Times New Roman" w:cs="Times New Roman"/>
          <w:sz w:val="24"/>
          <w:szCs w:val="24"/>
          <w:lang w:val="bg-BG"/>
        </w:rPr>
        <w:t xml:space="preserve"> е</w:t>
      </w:r>
      <w:r w:rsidR="00451964"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в максимално</w:t>
      </w:r>
      <w:r w:rsidR="00451964" w:rsidRPr="00292755">
        <w:rPr>
          <w:rFonts w:ascii="Times New Roman" w:eastAsia="Times New Roman" w:hAnsi="Times New Roman" w:cs="Times New Roman"/>
          <w:sz w:val="24"/>
          <w:szCs w:val="24"/>
          <w:lang w:val="bg-BG"/>
        </w:rPr>
        <w:t xml:space="preserve"> кратки срокове в рамките на </w:t>
      </w:r>
      <w:r w:rsidRPr="00292755">
        <w:rPr>
          <w:rFonts w:ascii="Times New Roman" w:eastAsia="Times New Roman" w:hAnsi="Times New Roman" w:cs="Times New Roman"/>
          <w:sz w:val="24"/>
          <w:szCs w:val="24"/>
          <w:lang w:val="bg-BG"/>
        </w:rPr>
        <w:t>месеците юли и август</w:t>
      </w:r>
      <w:r w:rsidR="00451964" w:rsidRPr="00292755">
        <w:rPr>
          <w:rFonts w:ascii="Times New Roman" w:eastAsia="Times New Roman" w:hAnsi="Times New Roman" w:cs="Times New Roman"/>
          <w:sz w:val="24"/>
          <w:szCs w:val="24"/>
          <w:lang w:val="bg-BG"/>
        </w:rPr>
        <w:t xml:space="preserve"> да</w:t>
      </w:r>
      <w:r w:rsidRPr="00292755">
        <w:rPr>
          <w:rFonts w:ascii="Times New Roman" w:eastAsia="Times New Roman" w:hAnsi="Times New Roman" w:cs="Times New Roman"/>
          <w:sz w:val="24"/>
          <w:szCs w:val="24"/>
          <w:lang w:val="bg-BG"/>
        </w:rPr>
        <w:t xml:space="preserve"> се отразят 405 –</w:t>
      </w:r>
      <w:r w:rsidR="007A21E4"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те  бележки</w:t>
      </w:r>
      <w:r w:rsidR="00451964" w:rsidRPr="00292755">
        <w:rPr>
          <w:rFonts w:ascii="Times New Roman" w:eastAsia="Times New Roman" w:hAnsi="Times New Roman" w:cs="Times New Roman"/>
          <w:sz w:val="24"/>
          <w:szCs w:val="24"/>
          <w:lang w:val="bg-BG"/>
        </w:rPr>
        <w:t xml:space="preserve"> по Стратегическия план, </w:t>
      </w:r>
      <w:r w:rsidRPr="00292755">
        <w:rPr>
          <w:rFonts w:ascii="Times New Roman" w:eastAsia="Times New Roman" w:hAnsi="Times New Roman" w:cs="Times New Roman"/>
          <w:sz w:val="24"/>
          <w:szCs w:val="24"/>
          <w:lang w:val="bg-BG"/>
        </w:rPr>
        <w:t xml:space="preserve">по </w:t>
      </w:r>
      <w:r w:rsidR="00451964" w:rsidRPr="00292755">
        <w:rPr>
          <w:rFonts w:ascii="Times New Roman" w:eastAsia="Times New Roman" w:hAnsi="Times New Roman" w:cs="Times New Roman"/>
          <w:sz w:val="24"/>
          <w:szCs w:val="24"/>
          <w:lang w:val="bg-BG"/>
        </w:rPr>
        <w:t>40 от тях  трябва да се вземе политическо решение.</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405</w:t>
      </w:r>
      <w:r w:rsidR="007572B9">
        <w:rPr>
          <w:rFonts w:ascii="Times New Roman" w:eastAsia="Times New Roman" w:hAnsi="Times New Roman" w:cs="Times New Roman"/>
          <w:sz w:val="24"/>
          <w:szCs w:val="24"/>
          <w:lang w:val="bg-BG"/>
        </w:rPr>
        <w:t>-</w:t>
      </w:r>
      <w:r w:rsidR="00A81A9E" w:rsidRPr="00292755">
        <w:rPr>
          <w:rFonts w:ascii="Times New Roman" w:eastAsia="Times New Roman" w:hAnsi="Times New Roman" w:cs="Times New Roman"/>
          <w:sz w:val="24"/>
          <w:szCs w:val="24"/>
          <w:lang w:val="bg-BG"/>
        </w:rPr>
        <w:t>те коментара са</w:t>
      </w:r>
      <w:r w:rsidR="007A21E4" w:rsidRPr="00292755">
        <w:rPr>
          <w:rFonts w:ascii="Times New Roman" w:eastAsia="Times New Roman" w:hAnsi="Times New Roman" w:cs="Times New Roman"/>
          <w:sz w:val="24"/>
          <w:szCs w:val="24"/>
          <w:lang w:val="bg-BG"/>
        </w:rPr>
        <w:t xml:space="preserve"> разделени в пет различни групи:</w:t>
      </w:r>
      <w:r w:rsidR="00A81A9E" w:rsidRPr="00292755">
        <w:rPr>
          <w:rFonts w:ascii="Times New Roman" w:eastAsia="Times New Roman" w:hAnsi="Times New Roman" w:cs="Times New Roman"/>
          <w:sz w:val="24"/>
          <w:szCs w:val="24"/>
          <w:lang w:val="bg-BG"/>
        </w:rPr>
        <w:t xml:space="preserve"> </w:t>
      </w:r>
      <w:r w:rsidR="007A21E4" w:rsidRPr="00292755">
        <w:rPr>
          <w:rFonts w:ascii="Times New Roman" w:eastAsia="Times New Roman" w:hAnsi="Times New Roman" w:cs="Times New Roman"/>
          <w:sz w:val="24"/>
          <w:szCs w:val="24"/>
          <w:lang w:val="bg-BG"/>
        </w:rPr>
        <w:t>1.О</w:t>
      </w:r>
      <w:r w:rsidRPr="00292755">
        <w:rPr>
          <w:rFonts w:ascii="Times New Roman" w:eastAsia="Times New Roman" w:hAnsi="Times New Roman" w:cs="Times New Roman"/>
          <w:sz w:val="24"/>
          <w:szCs w:val="24"/>
          <w:lang w:val="bg-BG"/>
        </w:rPr>
        <w:t>б</w:t>
      </w:r>
      <w:r w:rsidR="00A81A9E" w:rsidRPr="00292755">
        <w:rPr>
          <w:rFonts w:ascii="Times New Roman" w:eastAsia="Times New Roman" w:hAnsi="Times New Roman" w:cs="Times New Roman"/>
          <w:sz w:val="24"/>
          <w:szCs w:val="24"/>
          <w:lang w:val="bg-BG"/>
        </w:rPr>
        <w:t>щи</w:t>
      </w:r>
      <w:r w:rsidRPr="00292755">
        <w:rPr>
          <w:rFonts w:ascii="Times New Roman" w:eastAsia="Times New Roman" w:hAnsi="Times New Roman" w:cs="Times New Roman"/>
          <w:sz w:val="24"/>
          <w:szCs w:val="24"/>
          <w:lang w:val="bg-BG"/>
        </w:rPr>
        <w:t xml:space="preserve"> коментари</w:t>
      </w:r>
      <w:r w:rsidR="007A21E4" w:rsidRPr="00292755">
        <w:rPr>
          <w:rFonts w:ascii="Times New Roman" w:eastAsia="Times New Roman" w:hAnsi="Times New Roman" w:cs="Times New Roman"/>
          <w:sz w:val="24"/>
          <w:szCs w:val="24"/>
          <w:lang w:val="bg-BG"/>
        </w:rPr>
        <w:t xml:space="preserve"> (</w:t>
      </w:r>
      <w:r w:rsidR="00A81A9E" w:rsidRPr="00292755">
        <w:rPr>
          <w:rFonts w:ascii="Times New Roman" w:eastAsia="Times New Roman" w:hAnsi="Times New Roman" w:cs="Times New Roman"/>
          <w:sz w:val="24"/>
          <w:szCs w:val="24"/>
          <w:lang w:val="bg-BG"/>
        </w:rPr>
        <w:t xml:space="preserve">коментари </w:t>
      </w:r>
      <w:r w:rsidRPr="00292755">
        <w:rPr>
          <w:rFonts w:ascii="Times New Roman" w:eastAsia="Times New Roman" w:hAnsi="Times New Roman" w:cs="Times New Roman"/>
          <w:sz w:val="24"/>
          <w:szCs w:val="24"/>
          <w:lang w:val="bg-BG"/>
        </w:rPr>
        <w:t xml:space="preserve"> по </w:t>
      </w:r>
      <w:r w:rsidRPr="00292755">
        <w:rPr>
          <w:rFonts w:ascii="Times New Roman" w:eastAsia="Times New Roman" w:hAnsi="Times New Roman" w:cs="Times New Roman"/>
          <w:sz w:val="24"/>
          <w:szCs w:val="24"/>
        </w:rPr>
        <w:t>SWOT</w:t>
      </w:r>
      <w:r w:rsidRPr="00292755">
        <w:rPr>
          <w:rFonts w:ascii="Times New Roman" w:eastAsia="Times New Roman" w:hAnsi="Times New Roman" w:cs="Times New Roman"/>
          <w:sz w:val="24"/>
          <w:szCs w:val="24"/>
          <w:lang w:val="bg-BG"/>
        </w:rPr>
        <w:t xml:space="preserve"> анализа, </w:t>
      </w:r>
      <w:r w:rsidR="007A21E4" w:rsidRPr="00292755">
        <w:rPr>
          <w:rFonts w:ascii="Times New Roman" w:eastAsia="Times New Roman" w:hAnsi="Times New Roman" w:cs="Times New Roman"/>
          <w:sz w:val="24"/>
          <w:szCs w:val="24"/>
          <w:lang w:val="bg-BG"/>
        </w:rPr>
        <w:t xml:space="preserve"> п</w:t>
      </w:r>
      <w:r w:rsidR="00A81A9E" w:rsidRPr="00292755">
        <w:rPr>
          <w:rFonts w:ascii="Times New Roman" w:eastAsia="Times New Roman" w:hAnsi="Times New Roman" w:cs="Times New Roman"/>
          <w:sz w:val="24"/>
          <w:szCs w:val="24"/>
          <w:lang w:val="bg-BG"/>
        </w:rPr>
        <w:t xml:space="preserve">о </w:t>
      </w:r>
      <w:r w:rsidRPr="00292755">
        <w:rPr>
          <w:rFonts w:ascii="Times New Roman" w:eastAsia="Times New Roman" w:hAnsi="Times New Roman" w:cs="Times New Roman"/>
          <w:sz w:val="24"/>
          <w:szCs w:val="24"/>
          <w:lang w:val="bg-BG"/>
        </w:rPr>
        <w:t>Интервенционната логика,</w:t>
      </w:r>
      <w:r w:rsidR="007A21E4" w:rsidRPr="00292755">
        <w:rPr>
          <w:rFonts w:ascii="Times New Roman" w:eastAsia="Times New Roman" w:hAnsi="Times New Roman" w:cs="Times New Roman"/>
          <w:sz w:val="24"/>
          <w:szCs w:val="24"/>
          <w:lang w:val="bg-BG"/>
        </w:rPr>
        <w:t xml:space="preserve"> </w:t>
      </w:r>
      <w:r w:rsidR="00A81A9E" w:rsidRPr="00292755">
        <w:rPr>
          <w:rFonts w:ascii="Times New Roman" w:eastAsia="Times New Roman" w:hAnsi="Times New Roman" w:cs="Times New Roman"/>
          <w:sz w:val="24"/>
          <w:szCs w:val="24"/>
          <w:lang w:val="bg-BG"/>
        </w:rPr>
        <w:t xml:space="preserve"> по</w:t>
      </w:r>
      <w:r w:rsidRPr="00292755">
        <w:rPr>
          <w:rFonts w:ascii="Times New Roman" w:eastAsia="Times New Roman" w:hAnsi="Times New Roman" w:cs="Times New Roman"/>
          <w:sz w:val="24"/>
          <w:szCs w:val="24"/>
          <w:lang w:val="bg-BG"/>
        </w:rPr>
        <w:t xml:space="preserve"> бюджета и</w:t>
      </w:r>
      <w:r w:rsidR="007A21E4" w:rsidRPr="00292755">
        <w:rPr>
          <w:rFonts w:ascii="Times New Roman" w:eastAsia="Times New Roman" w:hAnsi="Times New Roman" w:cs="Times New Roman"/>
          <w:sz w:val="24"/>
          <w:szCs w:val="24"/>
          <w:lang w:val="bg-BG"/>
        </w:rPr>
        <w:t xml:space="preserve"> </w:t>
      </w:r>
      <w:r w:rsidR="00A81A9E" w:rsidRPr="00292755">
        <w:rPr>
          <w:rFonts w:ascii="Times New Roman" w:eastAsia="Times New Roman" w:hAnsi="Times New Roman" w:cs="Times New Roman"/>
          <w:sz w:val="24"/>
          <w:szCs w:val="24"/>
          <w:lang w:val="bg-BG"/>
        </w:rPr>
        <w:t xml:space="preserve">по общите  </w:t>
      </w:r>
      <w:r w:rsidRPr="00292755">
        <w:rPr>
          <w:rFonts w:ascii="Times New Roman" w:eastAsia="Times New Roman" w:hAnsi="Times New Roman" w:cs="Times New Roman"/>
          <w:sz w:val="24"/>
          <w:szCs w:val="24"/>
          <w:lang w:val="bg-BG"/>
        </w:rPr>
        <w:t xml:space="preserve"> части</w:t>
      </w:r>
      <w:r w:rsidR="007A21E4" w:rsidRPr="00292755">
        <w:rPr>
          <w:rFonts w:ascii="Times New Roman" w:eastAsia="Times New Roman" w:hAnsi="Times New Roman" w:cs="Times New Roman"/>
          <w:sz w:val="24"/>
          <w:szCs w:val="24"/>
          <w:lang w:val="bg-BG"/>
        </w:rPr>
        <w:t>); 2.</w:t>
      </w:r>
      <w:r w:rsidRPr="00292755">
        <w:rPr>
          <w:rFonts w:ascii="Times New Roman" w:eastAsia="Times New Roman" w:hAnsi="Times New Roman" w:cs="Times New Roman"/>
          <w:sz w:val="24"/>
          <w:szCs w:val="24"/>
          <w:lang w:val="bg-BG"/>
        </w:rPr>
        <w:t xml:space="preserve"> Зелената архитектура </w:t>
      </w:r>
      <w:r w:rsidR="00C02466"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еко схеми, агроекология и климат</w:t>
      </w:r>
      <w:r w:rsidR="00C02466" w:rsidRPr="00292755">
        <w:rPr>
          <w:rFonts w:ascii="Times New Roman" w:eastAsia="Times New Roman" w:hAnsi="Times New Roman" w:cs="Times New Roman"/>
          <w:sz w:val="24"/>
          <w:szCs w:val="24"/>
          <w:lang w:val="bg-BG"/>
        </w:rPr>
        <w:t>) - като основния коментар на ЕК</w:t>
      </w:r>
      <w:r w:rsidRPr="00292755">
        <w:rPr>
          <w:rFonts w:ascii="Times New Roman" w:eastAsia="Times New Roman" w:hAnsi="Times New Roman" w:cs="Times New Roman"/>
          <w:sz w:val="24"/>
          <w:szCs w:val="24"/>
          <w:lang w:val="bg-BG"/>
        </w:rPr>
        <w:t xml:space="preserve"> е демаркацията между </w:t>
      </w:r>
      <w:r w:rsidR="00C02466" w:rsidRPr="00292755">
        <w:rPr>
          <w:rFonts w:ascii="Times New Roman" w:eastAsia="Times New Roman" w:hAnsi="Times New Roman" w:cs="Times New Roman"/>
          <w:sz w:val="24"/>
          <w:szCs w:val="24"/>
          <w:lang w:val="bg-BG"/>
        </w:rPr>
        <w:t>различните интервенции</w:t>
      </w:r>
      <w:r w:rsidRPr="00292755">
        <w:rPr>
          <w:rFonts w:ascii="Times New Roman" w:eastAsia="Times New Roman" w:hAnsi="Times New Roman" w:cs="Times New Roman"/>
          <w:sz w:val="24"/>
          <w:szCs w:val="24"/>
          <w:lang w:val="bg-BG"/>
        </w:rPr>
        <w:t xml:space="preserve"> по първи и втори стълб</w:t>
      </w:r>
      <w:r w:rsidR="00C02466" w:rsidRPr="00292755">
        <w:rPr>
          <w:rFonts w:ascii="Times New Roman" w:eastAsia="Times New Roman" w:hAnsi="Times New Roman" w:cs="Times New Roman"/>
          <w:sz w:val="24"/>
          <w:szCs w:val="24"/>
          <w:lang w:val="bg-BG"/>
        </w:rPr>
        <w:t xml:space="preserve"> – еко схемите и агроекологията;</w:t>
      </w:r>
    </w:p>
    <w:p w:rsidR="00C02466" w:rsidRPr="00292755" w:rsidRDefault="00C02466"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3. Интервенции РСР </w:t>
      </w:r>
      <w:r w:rsidR="00451964" w:rsidRPr="00292755">
        <w:rPr>
          <w:rFonts w:ascii="Times New Roman" w:eastAsia="Times New Roman" w:hAnsi="Times New Roman" w:cs="Times New Roman"/>
          <w:sz w:val="24"/>
          <w:szCs w:val="24"/>
          <w:lang w:val="bg-BG"/>
        </w:rPr>
        <w:t xml:space="preserve">без </w:t>
      </w:r>
      <w:r w:rsidRPr="00292755">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Зелената архитекту</w:t>
      </w:r>
      <w:r w:rsidRPr="00292755">
        <w:rPr>
          <w:rFonts w:ascii="Times New Roman" w:eastAsia="Times New Roman" w:hAnsi="Times New Roman" w:cs="Times New Roman"/>
          <w:sz w:val="24"/>
          <w:szCs w:val="24"/>
          <w:lang w:val="bg-BG"/>
        </w:rPr>
        <w:t>ра“; 4. Интервенции</w:t>
      </w:r>
      <w:r w:rsidR="00451964" w:rsidRPr="00292755">
        <w:rPr>
          <w:rFonts w:ascii="Times New Roman" w:eastAsia="Times New Roman" w:hAnsi="Times New Roman" w:cs="Times New Roman"/>
          <w:sz w:val="24"/>
          <w:szCs w:val="24"/>
          <w:lang w:val="bg-BG"/>
        </w:rPr>
        <w:t xml:space="preserve"> по директни плащания</w:t>
      </w:r>
      <w:r w:rsidRPr="00292755">
        <w:rPr>
          <w:rFonts w:ascii="Times New Roman" w:eastAsia="Times New Roman" w:hAnsi="Times New Roman" w:cs="Times New Roman"/>
          <w:sz w:val="24"/>
          <w:szCs w:val="24"/>
          <w:lang w:val="bg-BG"/>
        </w:rPr>
        <w:t xml:space="preserve"> без „Зелена архитектура“; 5. С</w:t>
      </w:r>
      <w:r w:rsidR="00451964" w:rsidRPr="00292755">
        <w:rPr>
          <w:rFonts w:ascii="Times New Roman" w:eastAsia="Times New Roman" w:hAnsi="Times New Roman" w:cs="Times New Roman"/>
          <w:sz w:val="24"/>
          <w:szCs w:val="24"/>
          <w:lang w:val="bg-BG"/>
        </w:rPr>
        <w:t>екторните инт</w:t>
      </w:r>
      <w:r w:rsidRPr="00292755">
        <w:rPr>
          <w:rFonts w:ascii="Times New Roman" w:eastAsia="Times New Roman" w:hAnsi="Times New Roman" w:cs="Times New Roman"/>
          <w:sz w:val="24"/>
          <w:szCs w:val="24"/>
          <w:lang w:val="bg-BG"/>
        </w:rPr>
        <w:t>ервенции.</w:t>
      </w:r>
      <w:r w:rsidR="00451964"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 xml:space="preserve"> </w:t>
      </w:r>
    </w:p>
    <w:p w:rsidR="00C02466" w:rsidRPr="00292755" w:rsidRDefault="00C02466" w:rsidP="00292755">
      <w:pPr>
        <w:spacing w:after="0" w:line="240" w:lineRule="auto"/>
        <w:jc w:val="both"/>
        <w:rPr>
          <w:rFonts w:ascii="Times New Roman" w:eastAsia="Times New Roman" w:hAnsi="Times New Roman" w:cs="Times New Roman"/>
          <w:sz w:val="24"/>
          <w:szCs w:val="24"/>
          <w:lang w:val="bg-BG"/>
        </w:rPr>
      </w:pPr>
    </w:p>
    <w:p w:rsidR="00451964" w:rsidRDefault="00C02466"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От</w:t>
      </w:r>
      <w:r w:rsidR="00451964" w:rsidRPr="00292755">
        <w:rPr>
          <w:rFonts w:ascii="Times New Roman" w:eastAsia="Times New Roman" w:hAnsi="Times New Roman" w:cs="Times New Roman"/>
          <w:sz w:val="24"/>
          <w:szCs w:val="24"/>
          <w:lang w:val="bg-BG"/>
        </w:rPr>
        <w:t xml:space="preserve"> 4</w:t>
      </w:r>
      <w:r w:rsidR="00E550CA">
        <w:rPr>
          <w:rFonts w:ascii="Times New Roman" w:eastAsia="Times New Roman" w:hAnsi="Times New Roman" w:cs="Times New Roman"/>
          <w:sz w:val="24"/>
          <w:szCs w:val="24"/>
          <w:lang w:val="bg-BG"/>
        </w:rPr>
        <w:t>05</w:t>
      </w:r>
      <w:r w:rsidR="007572B9">
        <w:rPr>
          <w:rFonts w:ascii="Times New Roman" w:eastAsia="Times New Roman" w:hAnsi="Times New Roman" w:cs="Times New Roman"/>
          <w:sz w:val="24"/>
          <w:szCs w:val="24"/>
          <w:lang w:val="bg-BG"/>
        </w:rPr>
        <w:t>-</w:t>
      </w:r>
      <w:r w:rsidR="00E550CA">
        <w:rPr>
          <w:rFonts w:ascii="Times New Roman" w:eastAsia="Times New Roman" w:hAnsi="Times New Roman" w:cs="Times New Roman"/>
          <w:sz w:val="24"/>
          <w:szCs w:val="24"/>
          <w:lang w:val="bg-BG"/>
        </w:rPr>
        <w:t xml:space="preserve">те </w:t>
      </w:r>
      <w:r w:rsidRPr="00292755">
        <w:rPr>
          <w:rFonts w:ascii="Times New Roman" w:eastAsia="Times New Roman" w:hAnsi="Times New Roman" w:cs="Times New Roman"/>
          <w:sz w:val="24"/>
          <w:szCs w:val="24"/>
          <w:lang w:val="bg-BG"/>
        </w:rPr>
        <w:t>коментара и бележки,</w:t>
      </w:r>
      <w:r w:rsidR="00451964" w:rsidRPr="00292755">
        <w:rPr>
          <w:rFonts w:ascii="Times New Roman" w:eastAsia="Times New Roman" w:hAnsi="Times New Roman" w:cs="Times New Roman"/>
          <w:sz w:val="24"/>
          <w:szCs w:val="24"/>
          <w:lang w:val="bg-BG"/>
        </w:rPr>
        <w:t xml:space="preserve"> направени от</w:t>
      </w:r>
      <w:r w:rsidR="007572B9">
        <w:rPr>
          <w:rFonts w:ascii="Times New Roman" w:eastAsia="Times New Roman" w:hAnsi="Times New Roman" w:cs="Times New Roman"/>
          <w:sz w:val="24"/>
          <w:szCs w:val="24"/>
          <w:lang w:val="bg-BG"/>
        </w:rPr>
        <w:t xml:space="preserve"> страна на Комисията към</w:t>
      </w:r>
      <w:r w:rsidR="00451964" w:rsidRPr="00292755">
        <w:rPr>
          <w:rFonts w:ascii="Times New Roman" w:eastAsia="Times New Roman" w:hAnsi="Times New Roman" w:cs="Times New Roman"/>
          <w:sz w:val="24"/>
          <w:szCs w:val="24"/>
          <w:lang w:val="bg-BG"/>
        </w:rPr>
        <w:t xml:space="preserve"> 8 юли 2</w:t>
      </w:r>
      <w:r w:rsidRPr="00292755">
        <w:rPr>
          <w:rFonts w:ascii="Times New Roman" w:eastAsia="Times New Roman" w:hAnsi="Times New Roman" w:cs="Times New Roman"/>
          <w:sz w:val="24"/>
          <w:szCs w:val="24"/>
          <w:lang w:val="bg-BG"/>
        </w:rPr>
        <w:t xml:space="preserve">022: </w:t>
      </w:r>
      <w:r w:rsidR="007572B9">
        <w:rPr>
          <w:rFonts w:ascii="Times New Roman" w:eastAsia="Times New Roman" w:hAnsi="Times New Roman" w:cs="Times New Roman"/>
          <w:sz w:val="24"/>
          <w:szCs w:val="24"/>
          <w:lang w:val="bg-BG"/>
        </w:rPr>
        <w:t xml:space="preserve">са  обсъдени </w:t>
      </w:r>
      <w:r w:rsidRPr="00292755">
        <w:rPr>
          <w:rFonts w:ascii="Times New Roman" w:eastAsia="Times New Roman" w:hAnsi="Times New Roman" w:cs="Times New Roman"/>
          <w:sz w:val="24"/>
          <w:szCs w:val="24"/>
          <w:lang w:val="bg-BG"/>
        </w:rPr>
        <w:t xml:space="preserve"> 150 коментара, което е 37 % и 255 коментара предстои да бъдат обсъдени – 63%.</w:t>
      </w:r>
    </w:p>
    <w:p w:rsidR="00687926" w:rsidRPr="00292755" w:rsidRDefault="00687926" w:rsidP="00292755">
      <w:pPr>
        <w:spacing w:after="0" w:line="240" w:lineRule="auto"/>
        <w:jc w:val="both"/>
        <w:rPr>
          <w:rFonts w:ascii="Times New Roman" w:eastAsia="Times New Roman" w:hAnsi="Times New Roman" w:cs="Times New Roman"/>
          <w:sz w:val="24"/>
          <w:szCs w:val="24"/>
          <w:lang w:val="bg-BG"/>
        </w:rPr>
      </w:pPr>
    </w:p>
    <w:p w:rsidR="00687926" w:rsidRDefault="00687926" w:rsidP="00687926">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Идентифицирани са следните основни</w:t>
      </w:r>
      <w:r w:rsidRPr="00687926">
        <w:rPr>
          <w:rFonts w:ascii="Times New Roman" w:eastAsia="Times New Roman" w:hAnsi="Times New Roman" w:cs="Times New Roman"/>
          <w:sz w:val="24"/>
          <w:szCs w:val="24"/>
          <w:lang w:val="bg-BG"/>
        </w:rPr>
        <w:t xml:space="preserve"> предизвикателс</w:t>
      </w:r>
      <w:r>
        <w:rPr>
          <w:rFonts w:ascii="Times New Roman" w:eastAsia="Times New Roman" w:hAnsi="Times New Roman" w:cs="Times New Roman"/>
          <w:sz w:val="24"/>
          <w:szCs w:val="24"/>
          <w:lang w:val="bg-BG"/>
        </w:rPr>
        <w:t>тва: с</w:t>
      </w:r>
      <w:r w:rsidRPr="00687926">
        <w:rPr>
          <w:rFonts w:ascii="Times New Roman" w:eastAsia="Times New Roman" w:hAnsi="Times New Roman" w:cs="Times New Roman"/>
          <w:sz w:val="24"/>
          <w:szCs w:val="24"/>
          <w:lang w:val="bg-BG"/>
        </w:rPr>
        <w:t>ъздаване и възстановява</w:t>
      </w:r>
      <w:r>
        <w:rPr>
          <w:rFonts w:ascii="Times New Roman" w:eastAsia="Times New Roman" w:hAnsi="Times New Roman" w:cs="Times New Roman"/>
          <w:sz w:val="24"/>
          <w:szCs w:val="24"/>
          <w:lang w:val="bg-BG"/>
        </w:rPr>
        <w:t>не на екологична инфраструктура; н</w:t>
      </w:r>
      <w:r w:rsidRPr="00687926">
        <w:rPr>
          <w:rFonts w:ascii="Times New Roman" w:eastAsia="Times New Roman" w:hAnsi="Times New Roman" w:cs="Times New Roman"/>
          <w:sz w:val="24"/>
          <w:szCs w:val="24"/>
          <w:lang w:val="bg-BG"/>
        </w:rPr>
        <w:t>асърчаване на естественото о</w:t>
      </w:r>
      <w:r>
        <w:rPr>
          <w:rFonts w:ascii="Times New Roman" w:eastAsia="Times New Roman" w:hAnsi="Times New Roman" w:cs="Times New Roman"/>
          <w:sz w:val="24"/>
          <w:szCs w:val="24"/>
          <w:lang w:val="bg-BG"/>
        </w:rPr>
        <w:t>прашване; д</w:t>
      </w:r>
      <w:r w:rsidRPr="00687926">
        <w:rPr>
          <w:rFonts w:ascii="Times New Roman" w:eastAsia="Times New Roman" w:hAnsi="Times New Roman" w:cs="Times New Roman"/>
          <w:sz w:val="24"/>
          <w:szCs w:val="24"/>
          <w:lang w:val="bg-BG"/>
        </w:rPr>
        <w:t>опълняемост и връзка между еко схемите и ангажиментите в областта на агроекологията и управлението на климата</w:t>
      </w:r>
      <w:r>
        <w:rPr>
          <w:rFonts w:ascii="Times New Roman" w:eastAsia="Times New Roman" w:hAnsi="Times New Roman" w:cs="Times New Roman"/>
          <w:sz w:val="24"/>
          <w:szCs w:val="24"/>
          <w:lang w:val="bg-BG"/>
        </w:rPr>
        <w:t>; п</w:t>
      </w:r>
      <w:r w:rsidRPr="00687926">
        <w:rPr>
          <w:rFonts w:ascii="Times New Roman" w:eastAsia="Times New Roman" w:hAnsi="Times New Roman" w:cs="Times New Roman"/>
          <w:sz w:val="24"/>
          <w:szCs w:val="24"/>
          <w:lang w:val="bg-BG"/>
        </w:rPr>
        <w:t>одпо</w:t>
      </w:r>
      <w:r>
        <w:rPr>
          <w:rFonts w:ascii="Times New Roman" w:eastAsia="Times New Roman" w:hAnsi="Times New Roman" w:cs="Times New Roman"/>
          <w:sz w:val="24"/>
          <w:szCs w:val="24"/>
          <w:lang w:val="bg-BG"/>
        </w:rPr>
        <w:t>магане на биологично земеделие; у</w:t>
      </w:r>
      <w:r w:rsidRPr="00687926">
        <w:rPr>
          <w:rFonts w:ascii="Times New Roman" w:eastAsia="Times New Roman" w:hAnsi="Times New Roman" w:cs="Times New Roman"/>
          <w:sz w:val="24"/>
          <w:szCs w:val="24"/>
          <w:lang w:val="bg-BG"/>
        </w:rPr>
        <w:t>правление на риска.</w:t>
      </w:r>
    </w:p>
    <w:p w:rsidR="00687926" w:rsidRPr="00687926" w:rsidRDefault="00687926" w:rsidP="00687926">
      <w:pPr>
        <w:spacing w:after="0" w:line="240" w:lineRule="auto"/>
        <w:jc w:val="both"/>
        <w:rPr>
          <w:rFonts w:ascii="Times New Roman" w:eastAsia="Times New Roman" w:hAnsi="Times New Roman" w:cs="Times New Roman"/>
          <w:sz w:val="24"/>
          <w:szCs w:val="24"/>
          <w:lang w:val="bg-BG"/>
        </w:rPr>
      </w:pPr>
    </w:p>
    <w:p w:rsidR="00451964" w:rsidRPr="00292755" w:rsidRDefault="00C02466"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По някои от важните коментари вече е взето политическо решение, по други все още трябва да се намери решение. </w:t>
      </w:r>
    </w:p>
    <w:p w:rsidR="00C02466" w:rsidRPr="00292755" w:rsidRDefault="00C02466"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Взето е полит</w:t>
      </w:r>
      <w:r w:rsidR="008F71B3" w:rsidRPr="00292755">
        <w:rPr>
          <w:rFonts w:ascii="Times New Roman" w:eastAsia="Times New Roman" w:hAnsi="Times New Roman" w:cs="Times New Roman"/>
          <w:sz w:val="24"/>
          <w:szCs w:val="24"/>
          <w:lang w:val="bg-BG"/>
        </w:rPr>
        <w:t>ическо решение за защита  насърчаването на естественото опрашване</w:t>
      </w:r>
      <w:r w:rsidRPr="00292755">
        <w:rPr>
          <w:rFonts w:ascii="Times New Roman" w:eastAsia="Times New Roman" w:hAnsi="Times New Roman" w:cs="Times New Roman"/>
          <w:sz w:val="24"/>
          <w:szCs w:val="24"/>
          <w:lang w:val="bg-BG"/>
        </w:rPr>
        <w:t>, която е жизнено важна за селското стопанство, но тук трябва да</w:t>
      </w:r>
      <w:r w:rsidR="008F71B3" w:rsidRPr="00292755">
        <w:rPr>
          <w:rFonts w:ascii="Times New Roman" w:eastAsia="Times New Roman" w:hAnsi="Times New Roman" w:cs="Times New Roman"/>
          <w:sz w:val="24"/>
          <w:szCs w:val="24"/>
          <w:lang w:val="bg-BG"/>
        </w:rPr>
        <w:t xml:space="preserve"> се намери</w:t>
      </w:r>
      <w:r w:rsidRPr="00292755">
        <w:rPr>
          <w:rFonts w:ascii="Times New Roman" w:eastAsia="Times New Roman" w:hAnsi="Times New Roman" w:cs="Times New Roman"/>
          <w:sz w:val="24"/>
          <w:szCs w:val="24"/>
          <w:lang w:val="bg-BG"/>
        </w:rPr>
        <w:t xml:space="preserve"> подходяща форма на решение с представителите на Европейската комисия.</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8F71B3"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w:t>
      </w:r>
      <w:r w:rsidR="00451964" w:rsidRPr="00292755">
        <w:rPr>
          <w:rFonts w:ascii="Times New Roman" w:eastAsia="Times New Roman" w:hAnsi="Times New Roman" w:cs="Times New Roman"/>
          <w:sz w:val="24"/>
          <w:szCs w:val="24"/>
          <w:lang w:val="bg-BG"/>
        </w:rPr>
        <w:t>редстои да бъде вз</w:t>
      </w:r>
      <w:r w:rsidRPr="00292755">
        <w:rPr>
          <w:rFonts w:ascii="Times New Roman" w:eastAsia="Times New Roman" w:hAnsi="Times New Roman" w:cs="Times New Roman"/>
          <w:sz w:val="24"/>
          <w:szCs w:val="24"/>
          <w:lang w:val="bg-BG"/>
        </w:rPr>
        <w:t>ето политическо решение относно</w:t>
      </w:r>
      <w:r w:rsidR="00451964"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 xml:space="preserve">това как </w:t>
      </w:r>
      <w:r w:rsidR="00451964" w:rsidRPr="00292755">
        <w:rPr>
          <w:rFonts w:ascii="Times New Roman" w:eastAsia="Times New Roman" w:hAnsi="Times New Roman" w:cs="Times New Roman"/>
          <w:sz w:val="24"/>
          <w:szCs w:val="24"/>
          <w:lang w:val="bg-BG"/>
        </w:rPr>
        <w:t xml:space="preserve">ще бъде структурирано </w:t>
      </w:r>
      <w:r w:rsidRPr="00292755">
        <w:rPr>
          <w:rFonts w:ascii="Times New Roman" w:eastAsia="Times New Roman" w:hAnsi="Times New Roman" w:cs="Times New Roman"/>
          <w:sz w:val="24"/>
          <w:szCs w:val="24"/>
          <w:lang w:val="bg-BG"/>
        </w:rPr>
        <w:t>подпомагането на биологичното земеделие по първи и по</w:t>
      </w:r>
      <w:r w:rsidR="00451964" w:rsidRPr="00292755">
        <w:rPr>
          <w:rFonts w:ascii="Times New Roman" w:eastAsia="Times New Roman" w:hAnsi="Times New Roman" w:cs="Times New Roman"/>
          <w:sz w:val="24"/>
          <w:szCs w:val="24"/>
          <w:lang w:val="bg-BG"/>
        </w:rPr>
        <w:t xml:space="preserve"> втори стълб</w:t>
      </w:r>
      <w:r w:rsidRPr="00292755">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w:t>
      </w:r>
    </w:p>
    <w:p w:rsidR="008F71B3" w:rsidRPr="00292755" w:rsidRDefault="008F71B3" w:rsidP="00292755">
      <w:pPr>
        <w:spacing w:after="0" w:line="240" w:lineRule="auto"/>
        <w:jc w:val="both"/>
        <w:rPr>
          <w:rFonts w:ascii="Times New Roman" w:eastAsia="Times New Roman" w:hAnsi="Times New Roman" w:cs="Times New Roman"/>
          <w:sz w:val="24"/>
          <w:szCs w:val="24"/>
          <w:lang w:val="bg-BG"/>
        </w:rPr>
      </w:pPr>
    </w:p>
    <w:p w:rsidR="00451964" w:rsidRPr="00292755" w:rsidRDefault="008F71B3"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w:t>
      </w:r>
      <w:r w:rsidR="00451964" w:rsidRPr="00292755">
        <w:rPr>
          <w:rFonts w:ascii="Times New Roman" w:eastAsia="Times New Roman" w:hAnsi="Times New Roman" w:cs="Times New Roman"/>
          <w:sz w:val="24"/>
          <w:szCs w:val="24"/>
          <w:lang w:val="bg-BG"/>
        </w:rPr>
        <w:t xml:space="preserve"> рамките</w:t>
      </w:r>
      <w:r w:rsidRPr="00292755">
        <w:rPr>
          <w:rFonts w:ascii="Times New Roman" w:eastAsia="Times New Roman" w:hAnsi="Times New Roman" w:cs="Times New Roman"/>
          <w:sz w:val="24"/>
          <w:szCs w:val="24"/>
          <w:lang w:val="bg-BG"/>
        </w:rPr>
        <w:t xml:space="preserve"> на осем седмици, след като  се обсъдят  и отразят</w:t>
      </w:r>
      <w:r w:rsidR="00451964" w:rsidRPr="00292755">
        <w:rPr>
          <w:rFonts w:ascii="Times New Roman" w:eastAsia="Times New Roman" w:hAnsi="Times New Roman" w:cs="Times New Roman"/>
          <w:sz w:val="24"/>
          <w:szCs w:val="24"/>
          <w:lang w:val="bg-BG"/>
        </w:rPr>
        <w:t xml:space="preserve"> всички бележки по Стратегическия план, Европейската комисия ще има готовно</w:t>
      </w:r>
      <w:r w:rsidRPr="00292755">
        <w:rPr>
          <w:rFonts w:ascii="Times New Roman" w:eastAsia="Times New Roman" w:hAnsi="Times New Roman" w:cs="Times New Roman"/>
          <w:sz w:val="24"/>
          <w:szCs w:val="24"/>
          <w:lang w:val="bg-BG"/>
        </w:rPr>
        <w:t>ст да го одобри</w:t>
      </w:r>
      <w:r w:rsidR="00451964" w:rsidRPr="00292755">
        <w:rPr>
          <w:rFonts w:ascii="Times New Roman" w:eastAsia="Times New Roman" w:hAnsi="Times New Roman" w:cs="Times New Roman"/>
          <w:sz w:val="24"/>
          <w:szCs w:val="24"/>
          <w:lang w:val="bg-BG"/>
        </w:rPr>
        <w:t xml:space="preserve">. Това </w:t>
      </w:r>
      <w:r w:rsidRPr="00292755">
        <w:rPr>
          <w:rFonts w:ascii="Times New Roman" w:eastAsia="Times New Roman" w:hAnsi="Times New Roman" w:cs="Times New Roman"/>
          <w:sz w:val="24"/>
          <w:szCs w:val="24"/>
          <w:lang w:val="bg-BG"/>
        </w:rPr>
        <w:t xml:space="preserve">значи, че ако приключим преговорния процес до края на октомври и Стрратегическия план бъде одобрен към края на декември, то към 1 януари 2023 интервенциите </w:t>
      </w:r>
      <w:r w:rsidR="00E550CA">
        <w:rPr>
          <w:rFonts w:ascii="Times New Roman" w:eastAsia="Times New Roman" w:hAnsi="Times New Roman" w:cs="Times New Roman"/>
          <w:sz w:val="24"/>
          <w:szCs w:val="24"/>
          <w:lang w:val="bg-BG"/>
        </w:rPr>
        <w:t>по него биха могли да стартират</w:t>
      </w:r>
      <w:r w:rsidRPr="00292755">
        <w:rPr>
          <w:rFonts w:ascii="Times New Roman" w:eastAsia="Times New Roman" w:hAnsi="Times New Roman" w:cs="Times New Roman"/>
          <w:sz w:val="24"/>
          <w:szCs w:val="24"/>
          <w:lang w:val="bg-BG"/>
        </w:rPr>
        <w:t>. Ж</w:t>
      </w:r>
      <w:r w:rsidR="00451964" w:rsidRPr="00292755">
        <w:rPr>
          <w:rFonts w:ascii="Times New Roman" w:eastAsia="Times New Roman" w:hAnsi="Times New Roman" w:cs="Times New Roman"/>
          <w:sz w:val="24"/>
          <w:szCs w:val="24"/>
          <w:lang w:val="bg-BG"/>
        </w:rPr>
        <w:t xml:space="preserve">еланието на политическия кабинет на министерството </w:t>
      </w:r>
      <w:r w:rsidR="006C41EA" w:rsidRPr="00292755">
        <w:rPr>
          <w:rFonts w:ascii="Times New Roman" w:eastAsia="Times New Roman" w:hAnsi="Times New Roman" w:cs="Times New Roman"/>
          <w:sz w:val="24"/>
          <w:szCs w:val="24"/>
        </w:rPr>
        <w:t xml:space="preserve">e </w:t>
      </w:r>
      <w:r w:rsidR="00E550CA">
        <w:rPr>
          <w:rFonts w:ascii="Times New Roman" w:eastAsia="Times New Roman" w:hAnsi="Times New Roman" w:cs="Times New Roman"/>
          <w:sz w:val="24"/>
          <w:szCs w:val="24"/>
          <w:lang w:val="bg-BG"/>
        </w:rPr>
        <w:t>пр</w:t>
      </w:r>
      <w:r w:rsidR="006C41EA" w:rsidRPr="00292755">
        <w:rPr>
          <w:rFonts w:ascii="Times New Roman" w:eastAsia="Times New Roman" w:hAnsi="Times New Roman" w:cs="Times New Roman"/>
          <w:sz w:val="24"/>
          <w:szCs w:val="24"/>
          <w:lang w:val="bg-BG"/>
        </w:rPr>
        <w:t>еговорният процес да приключи по</w:t>
      </w:r>
      <w:r w:rsidR="00E550CA">
        <w:rPr>
          <w:rFonts w:ascii="Times New Roman" w:eastAsia="Times New Roman" w:hAnsi="Times New Roman" w:cs="Times New Roman"/>
          <w:sz w:val="24"/>
          <w:szCs w:val="24"/>
          <w:lang w:val="bg-BG"/>
        </w:rPr>
        <w:t>-</w:t>
      </w:r>
      <w:r w:rsidR="006C41EA" w:rsidRPr="00292755">
        <w:rPr>
          <w:rFonts w:ascii="Times New Roman" w:eastAsia="Times New Roman" w:hAnsi="Times New Roman" w:cs="Times New Roman"/>
          <w:sz w:val="24"/>
          <w:szCs w:val="24"/>
          <w:lang w:val="bg-BG"/>
        </w:rPr>
        <w:t>рано</w:t>
      </w:r>
      <w:r w:rsidR="00E550CA">
        <w:rPr>
          <w:rFonts w:ascii="Times New Roman" w:eastAsia="Times New Roman" w:hAnsi="Times New Roman" w:cs="Times New Roman"/>
          <w:sz w:val="24"/>
          <w:szCs w:val="24"/>
          <w:lang w:val="bg-BG"/>
        </w:rPr>
        <w:t>,</w:t>
      </w:r>
      <w:r w:rsidR="006C41EA" w:rsidRPr="00292755">
        <w:rPr>
          <w:rFonts w:ascii="Times New Roman" w:eastAsia="Times New Roman" w:hAnsi="Times New Roman" w:cs="Times New Roman"/>
          <w:sz w:val="24"/>
          <w:szCs w:val="24"/>
          <w:lang w:val="bg-BG"/>
        </w:rPr>
        <w:t xml:space="preserve"> и когато бъде</w:t>
      </w:r>
      <w:r w:rsidR="00451964" w:rsidRPr="00292755">
        <w:rPr>
          <w:rFonts w:ascii="Times New Roman" w:eastAsia="Times New Roman" w:hAnsi="Times New Roman" w:cs="Times New Roman"/>
          <w:sz w:val="24"/>
          <w:szCs w:val="24"/>
          <w:lang w:val="bg-BG"/>
        </w:rPr>
        <w:t xml:space="preserve"> готова ек</w:t>
      </w:r>
      <w:r w:rsidR="006C41EA" w:rsidRPr="00292755">
        <w:rPr>
          <w:rFonts w:ascii="Times New Roman" w:eastAsia="Times New Roman" w:hAnsi="Times New Roman" w:cs="Times New Roman"/>
          <w:sz w:val="24"/>
          <w:szCs w:val="24"/>
          <w:lang w:val="bg-BG"/>
        </w:rPr>
        <w:t xml:space="preserve">ологичната оценка, </w:t>
      </w:r>
      <w:r w:rsidR="00451964" w:rsidRPr="00292755">
        <w:rPr>
          <w:rFonts w:ascii="Times New Roman" w:eastAsia="Times New Roman" w:hAnsi="Times New Roman" w:cs="Times New Roman"/>
          <w:sz w:val="24"/>
          <w:szCs w:val="24"/>
          <w:lang w:val="bg-BG"/>
        </w:rPr>
        <w:t xml:space="preserve"> одобрена от страна на Министерството на околната среда и водите</w:t>
      </w:r>
      <w:r w:rsidR="00E550CA">
        <w:rPr>
          <w:rFonts w:ascii="Times New Roman" w:eastAsia="Times New Roman" w:hAnsi="Times New Roman" w:cs="Times New Roman"/>
          <w:sz w:val="24"/>
          <w:szCs w:val="24"/>
          <w:lang w:val="bg-BG"/>
        </w:rPr>
        <w:t xml:space="preserve"> в края на септември</w:t>
      </w:r>
      <w:r w:rsidR="006C41EA" w:rsidRPr="00292755">
        <w:rPr>
          <w:rFonts w:ascii="Times New Roman" w:eastAsia="Times New Roman" w:hAnsi="Times New Roman" w:cs="Times New Roman"/>
          <w:sz w:val="24"/>
          <w:szCs w:val="24"/>
          <w:lang w:val="bg-BG"/>
        </w:rPr>
        <w:t xml:space="preserve">, </w:t>
      </w:r>
      <w:r w:rsidR="00451964" w:rsidRPr="00292755">
        <w:rPr>
          <w:rFonts w:ascii="Times New Roman" w:eastAsia="Times New Roman" w:hAnsi="Times New Roman" w:cs="Times New Roman"/>
          <w:sz w:val="24"/>
          <w:szCs w:val="24"/>
          <w:lang w:val="bg-BG"/>
        </w:rPr>
        <w:t xml:space="preserve">да </w:t>
      </w:r>
      <w:r w:rsidR="006C41EA" w:rsidRPr="00292755">
        <w:rPr>
          <w:rFonts w:ascii="Times New Roman" w:eastAsia="Times New Roman" w:hAnsi="Times New Roman" w:cs="Times New Roman"/>
          <w:sz w:val="24"/>
          <w:szCs w:val="24"/>
          <w:lang w:val="bg-BG"/>
        </w:rPr>
        <w:t>се пристъпи</w:t>
      </w:r>
      <w:r w:rsidR="00451964" w:rsidRPr="00292755">
        <w:rPr>
          <w:rFonts w:ascii="Times New Roman" w:eastAsia="Times New Roman" w:hAnsi="Times New Roman" w:cs="Times New Roman"/>
          <w:sz w:val="24"/>
          <w:szCs w:val="24"/>
          <w:lang w:val="bg-BG"/>
        </w:rPr>
        <w:t xml:space="preserve"> към подаване на проекта на</w:t>
      </w:r>
      <w:r w:rsidR="006C41EA" w:rsidRPr="00292755">
        <w:rPr>
          <w:rFonts w:ascii="Times New Roman" w:eastAsia="Times New Roman" w:hAnsi="Times New Roman" w:cs="Times New Roman"/>
          <w:sz w:val="24"/>
          <w:szCs w:val="24"/>
          <w:lang w:val="bg-BG"/>
        </w:rPr>
        <w:t xml:space="preserve"> Стратегическия план отново в</w:t>
      </w:r>
      <w:r w:rsidR="006C41EA" w:rsidRPr="00292755">
        <w:rPr>
          <w:rFonts w:ascii="Times New Roman" w:eastAsia="Times New Roman" w:hAnsi="Times New Roman" w:cs="Times New Roman"/>
          <w:sz w:val="24"/>
          <w:szCs w:val="24"/>
        </w:rPr>
        <w:t xml:space="preserve"> SFC</w:t>
      </w:r>
      <w:r w:rsidR="006C41EA" w:rsidRPr="00292755">
        <w:rPr>
          <w:rFonts w:ascii="Times New Roman" w:eastAsia="Times New Roman" w:hAnsi="Times New Roman" w:cs="Times New Roman"/>
          <w:sz w:val="24"/>
          <w:szCs w:val="24"/>
          <w:lang w:val="bg-BG"/>
        </w:rPr>
        <w:t xml:space="preserve"> и</w:t>
      </w:r>
      <w:r w:rsidR="00451964" w:rsidRPr="00292755">
        <w:rPr>
          <w:rFonts w:ascii="Times New Roman" w:eastAsia="Times New Roman" w:hAnsi="Times New Roman" w:cs="Times New Roman"/>
          <w:sz w:val="24"/>
          <w:szCs w:val="24"/>
          <w:lang w:val="bg-BG"/>
        </w:rPr>
        <w:t xml:space="preserve"> </w:t>
      </w:r>
      <w:r w:rsidR="006C41EA" w:rsidRPr="00292755">
        <w:rPr>
          <w:rFonts w:ascii="Times New Roman" w:eastAsia="Times New Roman" w:hAnsi="Times New Roman" w:cs="Times New Roman"/>
          <w:sz w:val="24"/>
          <w:szCs w:val="24"/>
        </w:rPr>
        <w:t xml:space="preserve"> </w:t>
      </w:r>
      <w:r w:rsidR="00451964" w:rsidRPr="00292755">
        <w:rPr>
          <w:rFonts w:ascii="Times New Roman" w:eastAsia="Times New Roman" w:hAnsi="Times New Roman" w:cs="Times New Roman"/>
          <w:sz w:val="24"/>
          <w:szCs w:val="24"/>
          <w:lang w:val="bg-BG"/>
        </w:rPr>
        <w:t>по този начин да</w:t>
      </w:r>
      <w:r w:rsidR="006C41EA" w:rsidRPr="00292755">
        <w:rPr>
          <w:rFonts w:ascii="Times New Roman" w:eastAsia="Times New Roman" w:hAnsi="Times New Roman" w:cs="Times New Roman"/>
          <w:sz w:val="24"/>
          <w:szCs w:val="24"/>
          <w:lang w:val="bg-BG"/>
        </w:rPr>
        <w:t xml:space="preserve"> се навакса изоставането, </w:t>
      </w:r>
      <w:r w:rsidR="00E550CA">
        <w:rPr>
          <w:rFonts w:ascii="Times New Roman" w:eastAsia="Times New Roman" w:hAnsi="Times New Roman" w:cs="Times New Roman"/>
          <w:sz w:val="24"/>
          <w:szCs w:val="24"/>
          <w:lang w:val="bg-BG"/>
        </w:rPr>
        <w:t xml:space="preserve"> породено от</w:t>
      </w:r>
      <w:r w:rsidR="00451964" w:rsidRPr="00292755">
        <w:rPr>
          <w:rFonts w:ascii="Times New Roman" w:eastAsia="Times New Roman" w:hAnsi="Times New Roman" w:cs="Times New Roman"/>
          <w:sz w:val="24"/>
          <w:szCs w:val="24"/>
          <w:lang w:val="bg-BG"/>
        </w:rPr>
        <w:t xml:space="preserve"> смяна</w:t>
      </w:r>
      <w:r w:rsidR="006C41EA" w:rsidRPr="00292755">
        <w:rPr>
          <w:rFonts w:ascii="Times New Roman" w:eastAsia="Times New Roman" w:hAnsi="Times New Roman" w:cs="Times New Roman"/>
          <w:sz w:val="24"/>
          <w:szCs w:val="24"/>
          <w:lang w:val="bg-BG"/>
        </w:rPr>
        <w:t>та</w:t>
      </w:r>
      <w:r w:rsidR="00451964" w:rsidRPr="00292755">
        <w:rPr>
          <w:rFonts w:ascii="Times New Roman" w:eastAsia="Times New Roman" w:hAnsi="Times New Roman" w:cs="Times New Roman"/>
          <w:sz w:val="24"/>
          <w:szCs w:val="24"/>
          <w:lang w:val="bg-BG"/>
        </w:rPr>
        <w:t xml:space="preserve"> на политическите кабинети</w:t>
      </w:r>
      <w:r w:rsidR="006C41EA" w:rsidRPr="00292755">
        <w:rPr>
          <w:rFonts w:ascii="Times New Roman" w:eastAsia="Times New Roman" w:hAnsi="Times New Roman" w:cs="Times New Roman"/>
          <w:sz w:val="24"/>
          <w:szCs w:val="24"/>
          <w:lang w:val="bg-BG"/>
        </w:rPr>
        <w:t>.</w:t>
      </w:r>
      <w:r w:rsidR="00451964" w:rsidRPr="00292755">
        <w:rPr>
          <w:rFonts w:ascii="Times New Roman" w:eastAsia="Times New Roman" w:hAnsi="Times New Roman" w:cs="Times New Roman"/>
          <w:sz w:val="24"/>
          <w:szCs w:val="24"/>
          <w:lang w:val="bg-BG"/>
        </w:rPr>
        <w:t xml:space="preserve"> </w:t>
      </w:r>
      <w:r w:rsidR="006C41EA" w:rsidRPr="00292755">
        <w:rPr>
          <w:rFonts w:ascii="Times New Roman" w:eastAsia="Times New Roman" w:hAnsi="Times New Roman" w:cs="Times New Roman"/>
          <w:sz w:val="24"/>
          <w:szCs w:val="24"/>
          <w:lang w:val="bg-BG"/>
        </w:rPr>
        <w:t>О</w:t>
      </w:r>
      <w:r w:rsidR="00451964" w:rsidRPr="00292755">
        <w:rPr>
          <w:rFonts w:ascii="Times New Roman" w:eastAsia="Times New Roman" w:hAnsi="Times New Roman" w:cs="Times New Roman"/>
          <w:sz w:val="24"/>
          <w:szCs w:val="24"/>
          <w:lang w:val="bg-BG"/>
        </w:rPr>
        <w:t>сновните предизвикателс</w:t>
      </w:r>
      <w:r w:rsidR="006C41EA" w:rsidRPr="00292755">
        <w:rPr>
          <w:rFonts w:ascii="Times New Roman" w:eastAsia="Times New Roman" w:hAnsi="Times New Roman" w:cs="Times New Roman"/>
          <w:sz w:val="24"/>
          <w:szCs w:val="24"/>
          <w:lang w:val="bg-BG"/>
        </w:rPr>
        <w:t xml:space="preserve">тва, които може да възникнат са </w:t>
      </w:r>
      <w:r w:rsidR="00451964" w:rsidRPr="00292755">
        <w:rPr>
          <w:rFonts w:ascii="Times New Roman" w:eastAsia="Times New Roman" w:hAnsi="Times New Roman" w:cs="Times New Roman"/>
          <w:sz w:val="24"/>
          <w:szCs w:val="24"/>
          <w:lang w:val="bg-BG"/>
        </w:rPr>
        <w:t>например</w:t>
      </w:r>
      <w:r w:rsidR="006C41EA" w:rsidRPr="00292755">
        <w:rPr>
          <w:rFonts w:ascii="Times New Roman" w:eastAsia="Times New Roman" w:hAnsi="Times New Roman" w:cs="Times New Roman"/>
          <w:sz w:val="24"/>
          <w:szCs w:val="24"/>
          <w:lang w:val="bg-BG"/>
        </w:rPr>
        <w:t xml:space="preserve"> евентуалната липса на Народно събрание</w:t>
      </w:r>
      <w:r w:rsidR="00451964" w:rsidRPr="00292755">
        <w:rPr>
          <w:rFonts w:ascii="Times New Roman" w:eastAsia="Times New Roman" w:hAnsi="Times New Roman" w:cs="Times New Roman"/>
          <w:sz w:val="24"/>
          <w:szCs w:val="24"/>
          <w:lang w:val="bg-BG"/>
        </w:rPr>
        <w:t>, което ще затрудни приемането</w:t>
      </w:r>
      <w:r w:rsidR="006C41EA" w:rsidRPr="00292755">
        <w:rPr>
          <w:rFonts w:ascii="Times New Roman" w:eastAsia="Times New Roman" w:hAnsi="Times New Roman" w:cs="Times New Roman"/>
          <w:sz w:val="24"/>
          <w:szCs w:val="24"/>
          <w:lang w:val="bg-BG"/>
        </w:rPr>
        <w:t xml:space="preserve"> на един нов закон за браншовите организации и изменението на 4</w:t>
      </w:r>
      <w:r w:rsidR="00451964" w:rsidRPr="00292755">
        <w:rPr>
          <w:rFonts w:ascii="Times New Roman" w:eastAsia="Times New Roman" w:hAnsi="Times New Roman" w:cs="Times New Roman"/>
          <w:sz w:val="24"/>
          <w:szCs w:val="24"/>
          <w:lang w:val="bg-BG"/>
        </w:rPr>
        <w:t xml:space="preserve"> закона, които са важни от гледна точка на стартирането на Стратегическ</w:t>
      </w:r>
      <w:r w:rsidR="006C41EA" w:rsidRPr="00292755">
        <w:rPr>
          <w:rFonts w:ascii="Times New Roman" w:eastAsia="Times New Roman" w:hAnsi="Times New Roman" w:cs="Times New Roman"/>
          <w:sz w:val="24"/>
          <w:szCs w:val="24"/>
          <w:lang w:val="bg-BG"/>
        </w:rPr>
        <w:t xml:space="preserve">ия план от 1 януари 2023 година. </w:t>
      </w:r>
    </w:p>
    <w:p w:rsidR="00706603" w:rsidRPr="00292755" w:rsidRDefault="00706603"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БЕНДЖАМИН ФЕЪРБРАДЪР</w:t>
      </w:r>
      <w:r w:rsidRPr="00292755">
        <w:rPr>
          <w:rFonts w:ascii="Times New Roman" w:eastAsia="Times New Roman" w:hAnsi="Times New Roman" w:cs="Times New Roman"/>
          <w:sz w:val="24"/>
          <w:szCs w:val="24"/>
          <w:lang w:val="bg-BG"/>
        </w:rPr>
        <w:t xml:space="preserve"> </w:t>
      </w:r>
      <w:r w:rsidR="00706603" w:rsidRPr="00292755">
        <w:rPr>
          <w:rFonts w:ascii="Times New Roman" w:eastAsia="Times New Roman" w:hAnsi="Times New Roman" w:cs="Times New Roman"/>
          <w:sz w:val="24"/>
          <w:szCs w:val="24"/>
          <w:lang w:val="bg-BG"/>
        </w:rPr>
        <w:t>благодари за</w:t>
      </w:r>
      <w:r w:rsidRPr="00292755">
        <w:rPr>
          <w:rFonts w:ascii="Times New Roman" w:eastAsia="Times New Roman" w:hAnsi="Times New Roman" w:cs="Times New Roman"/>
          <w:sz w:val="24"/>
          <w:szCs w:val="24"/>
          <w:lang w:val="bg-BG"/>
        </w:rPr>
        <w:t xml:space="preserve"> анализ</w:t>
      </w:r>
      <w:r w:rsidR="00706603" w:rsidRPr="00292755">
        <w:rPr>
          <w:rFonts w:ascii="Times New Roman" w:eastAsia="Times New Roman" w:hAnsi="Times New Roman" w:cs="Times New Roman"/>
          <w:sz w:val="24"/>
          <w:szCs w:val="24"/>
          <w:lang w:val="bg-BG"/>
        </w:rPr>
        <w:t>а на писмото от страна на Комисията,  и това  до какво е довел той. Б</w:t>
      </w:r>
      <w:r w:rsidRPr="00292755">
        <w:rPr>
          <w:rFonts w:ascii="Times New Roman" w:eastAsia="Times New Roman" w:hAnsi="Times New Roman" w:cs="Times New Roman"/>
          <w:sz w:val="24"/>
          <w:szCs w:val="24"/>
          <w:lang w:val="bg-BG"/>
        </w:rPr>
        <w:t>ързото приключване на обсъждането на Стратегическия план,</w:t>
      </w:r>
      <w:r w:rsidR="00706603" w:rsidRPr="00292755">
        <w:rPr>
          <w:rFonts w:ascii="Times New Roman" w:eastAsia="Times New Roman" w:hAnsi="Times New Roman" w:cs="Times New Roman"/>
          <w:sz w:val="24"/>
          <w:szCs w:val="24"/>
          <w:lang w:val="bg-BG"/>
        </w:rPr>
        <w:t xml:space="preserve"> е приоритет както за министерството, така и за ЕК.</w:t>
      </w:r>
      <w:r w:rsidRPr="00292755">
        <w:rPr>
          <w:rFonts w:ascii="Times New Roman" w:eastAsia="Times New Roman" w:hAnsi="Times New Roman" w:cs="Times New Roman"/>
          <w:sz w:val="24"/>
          <w:szCs w:val="24"/>
          <w:lang w:val="bg-BG"/>
        </w:rPr>
        <w:t xml:space="preserve">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706603"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След като приключат преговорите на ЕК са необходими до 8 седмици </w:t>
      </w:r>
      <w:r w:rsidR="00451964" w:rsidRPr="00292755">
        <w:rPr>
          <w:rFonts w:ascii="Times New Roman" w:eastAsia="Times New Roman" w:hAnsi="Times New Roman" w:cs="Times New Roman"/>
          <w:sz w:val="24"/>
          <w:szCs w:val="24"/>
          <w:lang w:val="bg-BG"/>
        </w:rPr>
        <w:t>за одобрението на план</w:t>
      </w:r>
      <w:r w:rsidRPr="00292755">
        <w:rPr>
          <w:rFonts w:ascii="Times New Roman" w:eastAsia="Times New Roman" w:hAnsi="Times New Roman" w:cs="Times New Roman"/>
          <w:sz w:val="24"/>
          <w:szCs w:val="24"/>
          <w:lang w:val="bg-BG"/>
        </w:rPr>
        <w:t xml:space="preserve">а, тъй като трябва да се обсъди </w:t>
      </w:r>
      <w:r w:rsidR="00451964" w:rsidRPr="00292755">
        <w:rPr>
          <w:rFonts w:ascii="Times New Roman" w:eastAsia="Times New Roman" w:hAnsi="Times New Roman" w:cs="Times New Roman"/>
          <w:sz w:val="24"/>
          <w:szCs w:val="24"/>
          <w:lang w:val="bg-BG"/>
        </w:rPr>
        <w:t xml:space="preserve"> и с о</w:t>
      </w:r>
      <w:r w:rsidRPr="00292755">
        <w:rPr>
          <w:rFonts w:ascii="Times New Roman" w:eastAsia="Times New Roman" w:hAnsi="Times New Roman" w:cs="Times New Roman"/>
          <w:sz w:val="24"/>
          <w:szCs w:val="24"/>
          <w:lang w:val="bg-BG"/>
        </w:rPr>
        <w:t>станалите генерални дирекции</w:t>
      </w:r>
      <w:r w:rsidR="00451964" w:rsidRPr="00292755">
        <w:rPr>
          <w:rFonts w:ascii="Times New Roman" w:eastAsia="Times New Roman" w:hAnsi="Times New Roman" w:cs="Times New Roman"/>
          <w:sz w:val="24"/>
          <w:szCs w:val="24"/>
          <w:lang w:val="bg-BG"/>
        </w:rPr>
        <w:t>.</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706603"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Очертаната </w:t>
      </w:r>
      <w:r w:rsidR="00451964" w:rsidRPr="00292755">
        <w:rPr>
          <w:rFonts w:ascii="Times New Roman" w:eastAsia="Times New Roman" w:hAnsi="Times New Roman" w:cs="Times New Roman"/>
          <w:sz w:val="24"/>
          <w:szCs w:val="24"/>
          <w:lang w:val="bg-BG"/>
        </w:rPr>
        <w:t>времева рамка,</w:t>
      </w:r>
      <w:r w:rsidRPr="00292755">
        <w:rPr>
          <w:rFonts w:ascii="Times New Roman" w:eastAsia="Times New Roman" w:hAnsi="Times New Roman" w:cs="Times New Roman"/>
          <w:sz w:val="24"/>
          <w:szCs w:val="24"/>
          <w:lang w:val="bg-BG"/>
        </w:rPr>
        <w:t xml:space="preserve"> е постижима.</w:t>
      </w:r>
      <w:r w:rsidR="00451964" w:rsidRPr="00292755">
        <w:rPr>
          <w:rFonts w:ascii="Times New Roman" w:eastAsia="Times New Roman" w:hAnsi="Times New Roman" w:cs="Times New Roman"/>
          <w:sz w:val="24"/>
          <w:szCs w:val="24"/>
          <w:lang w:val="bg-BG"/>
        </w:rPr>
        <w:t xml:space="preserve"> България не е ср</w:t>
      </w:r>
      <w:r w:rsidRPr="00292755">
        <w:rPr>
          <w:rFonts w:ascii="Times New Roman" w:eastAsia="Times New Roman" w:hAnsi="Times New Roman" w:cs="Times New Roman"/>
          <w:sz w:val="24"/>
          <w:szCs w:val="24"/>
          <w:lang w:val="bg-BG"/>
        </w:rPr>
        <w:t xml:space="preserve">ед първите държави членки,  предали </w:t>
      </w:r>
      <w:r w:rsidR="00451964" w:rsidRPr="00292755">
        <w:rPr>
          <w:rFonts w:ascii="Times New Roman" w:eastAsia="Times New Roman" w:hAnsi="Times New Roman" w:cs="Times New Roman"/>
          <w:sz w:val="24"/>
          <w:szCs w:val="24"/>
          <w:lang w:val="bg-BG"/>
        </w:rPr>
        <w:t>своя Стратегич</w:t>
      </w:r>
      <w:r w:rsidR="00E550CA">
        <w:rPr>
          <w:rFonts w:ascii="Times New Roman" w:eastAsia="Times New Roman" w:hAnsi="Times New Roman" w:cs="Times New Roman"/>
          <w:sz w:val="24"/>
          <w:szCs w:val="24"/>
          <w:lang w:val="bg-BG"/>
        </w:rPr>
        <w:t>ески план, съответно няма да бъде</w:t>
      </w:r>
      <w:r w:rsidR="00451964" w:rsidRPr="00292755">
        <w:rPr>
          <w:rFonts w:ascii="Times New Roman" w:eastAsia="Times New Roman" w:hAnsi="Times New Roman" w:cs="Times New Roman"/>
          <w:sz w:val="24"/>
          <w:szCs w:val="24"/>
          <w:lang w:val="bg-BG"/>
        </w:rPr>
        <w:t xml:space="preserve"> и сред първите, които ще бъдат одобрени, </w:t>
      </w:r>
      <w:r w:rsidRPr="00292755">
        <w:rPr>
          <w:rFonts w:ascii="Times New Roman" w:eastAsia="Times New Roman" w:hAnsi="Times New Roman" w:cs="Times New Roman"/>
          <w:sz w:val="24"/>
          <w:szCs w:val="24"/>
          <w:lang w:val="bg-BG"/>
        </w:rPr>
        <w:t>може</w:t>
      </w:r>
      <w:r w:rsidR="00451964" w:rsidRPr="00292755">
        <w:rPr>
          <w:rFonts w:ascii="Times New Roman" w:eastAsia="Times New Roman" w:hAnsi="Times New Roman" w:cs="Times New Roman"/>
          <w:sz w:val="24"/>
          <w:szCs w:val="24"/>
          <w:lang w:val="bg-BG"/>
        </w:rPr>
        <w:t xml:space="preserve"> да се възползваме от натрупания опит с другит</w:t>
      </w:r>
      <w:r w:rsidRPr="00292755">
        <w:rPr>
          <w:rFonts w:ascii="Times New Roman" w:eastAsia="Times New Roman" w:hAnsi="Times New Roman" w:cs="Times New Roman"/>
          <w:sz w:val="24"/>
          <w:szCs w:val="24"/>
          <w:lang w:val="bg-BG"/>
        </w:rPr>
        <w:t>е държави членки, които са подали своя план преди България.</w:t>
      </w:r>
    </w:p>
    <w:p w:rsidR="00706603" w:rsidRPr="00292755" w:rsidRDefault="00706603"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00706603" w:rsidRPr="00292755">
        <w:rPr>
          <w:rFonts w:ascii="Times New Roman" w:eastAsia="Times New Roman" w:hAnsi="Times New Roman" w:cs="Times New Roman"/>
          <w:sz w:val="24"/>
          <w:szCs w:val="24"/>
          <w:lang w:val="bg-BG"/>
        </w:rPr>
        <w:t xml:space="preserve"> благодари </w:t>
      </w:r>
      <w:r w:rsidR="009D6846" w:rsidRPr="00292755">
        <w:rPr>
          <w:rFonts w:ascii="Times New Roman" w:eastAsia="Times New Roman" w:hAnsi="Times New Roman" w:cs="Times New Roman"/>
          <w:sz w:val="24"/>
          <w:szCs w:val="24"/>
          <w:lang w:val="bg-BG"/>
        </w:rPr>
        <w:t xml:space="preserve">за потвърждението на  сроковете </w:t>
      </w:r>
      <w:r w:rsidR="00706603" w:rsidRPr="00292755">
        <w:rPr>
          <w:rFonts w:ascii="Times New Roman" w:eastAsia="Times New Roman" w:hAnsi="Times New Roman" w:cs="Times New Roman"/>
          <w:sz w:val="24"/>
          <w:szCs w:val="24"/>
          <w:lang w:val="bg-BG"/>
        </w:rPr>
        <w:t xml:space="preserve">и изрази надежда обсъждането на плана да продължи по същия сгъстен амбициозен </w:t>
      </w:r>
      <w:r w:rsidR="009D6846" w:rsidRPr="00292755">
        <w:rPr>
          <w:rFonts w:ascii="Times New Roman" w:eastAsia="Times New Roman" w:hAnsi="Times New Roman" w:cs="Times New Roman"/>
          <w:sz w:val="24"/>
          <w:szCs w:val="24"/>
          <w:lang w:val="bg-BG"/>
        </w:rPr>
        <w:t xml:space="preserve">график. </w:t>
      </w:r>
      <w:r w:rsidR="00706603" w:rsidRPr="00292755">
        <w:rPr>
          <w:rFonts w:ascii="Times New Roman" w:eastAsia="Times New Roman" w:hAnsi="Times New Roman" w:cs="Times New Roman"/>
          <w:sz w:val="24"/>
          <w:szCs w:val="24"/>
          <w:lang w:val="bg-BG"/>
        </w:rPr>
        <w:t xml:space="preserve"> </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p>
    <w:p w:rsidR="009D6846"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КОСТАДИН КОСТАДИНОВ</w:t>
      </w:r>
      <w:r w:rsidRPr="00292755">
        <w:rPr>
          <w:rFonts w:ascii="Times New Roman" w:eastAsia="Times New Roman" w:hAnsi="Times New Roman" w:cs="Times New Roman"/>
          <w:sz w:val="24"/>
          <w:szCs w:val="24"/>
          <w:lang w:val="bg-BG"/>
        </w:rPr>
        <w:t xml:space="preserve"> </w:t>
      </w:r>
      <w:r w:rsidR="009D6846" w:rsidRPr="00292755">
        <w:rPr>
          <w:rFonts w:ascii="Times New Roman" w:eastAsia="Times New Roman" w:hAnsi="Times New Roman" w:cs="Times New Roman"/>
          <w:sz w:val="24"/>
          <w:szCs w:val="24"/>
          <w:lang w:val="bg-BG"/>
        </w:rPr>
        <w:t>израз</w:t>
      </w:r>
      <w:r w:rsidR="00E550CA">
        <w:rPr>
          <w:rFonts w:ascii="Times New Roman" w:eastAsia="Times New Roman" w:hAnsi="Times New Roman" w:cs="Times New Roman"/>
          <w:sz w:val="24"/>
          <w:szCs w:val="24"/>
          <w:lang w:val="bg-BG"/>
        </w:rPr>
        <w:t>и желание да получи информация до къде са стигна</w:t>
      </w:r>
      <w:r w:rsidR="009D6846" w:rsidRPr="00292755">
        <w:rPr>
          <w:rFonts w:ascii="Times New Roman" w:eastAsia="Times New Roman" w:hAnsi="Times New Roman" w:cs="Times New Roman"/>
          <w:sz w:val="24"/>
          <w:szCs w:val="24"/>
          <w:lang w:val="bg-BG"/>
        </w:rPr>
        <w:t xml:space="preserve">ли преговорите по </w:t>
      </w:r>
      <w:r w:rsidRPr="00292755">
        <w:rPr>
          <w:rFonts w:ascii="Times New Roman" w:eastAsia="Times New Roman" w:hAnsi="Times New Roman" w:cs="Times New Roman"/>
          <w:sz w:val="24"/>
          <w:szCs w:val="24"/>
          <w:lang w:val="bg-BG"/>
        </w:rPr>
        <w:t>агроекологичните теми</w:t>
      </w:r>
      <w:r w:rsidR="009D6846"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 xml:space="preserve"> </w:t>
      </w:r>
    </w:p>
    <w:p w:rsidR="00451964" w:rsidRPr="00292755" w:rsidRDefault="009D6846"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Г-н Костадинов </w:t>
      </w:r>
      <w:r w:rsidR="00451964" w:rsidRPr="00292755">
        <w:rPr>
          <w:rFonts w:ascii="Times New Roman" w:eastAsia="Times New Roman" w:hAnsi="Times New Roman" w:cs="Times New Roman"/>
          <w:sz w:val="24"/>
          <w:szCs w:val="24"/>
          <w:lang w:val="bg-BG"/>
        </w:rPr>
        <w:t xml:space="preserve"> и</w:t>
      </w:r>
      <w:r w:rsidR="00E550CA">
        <w:rPr>
          <w:rFonts w:ascii="Times New Roman" w:eastAsia="Times New Roman" w:hAnsi="Times New Roman" w:cs="Times New Roman"/>
          <w:sz w:val="24"/>
          <w:szCs w:val="24"/>
          <w:lang w:val="bg-BG"/>
        </w:rPr>
        <w:t>нформира</w:t>
      </w:r>
      <w:r w:rsidRPr="00292755">
        <w:rPr>
          <w:rFonts w:ascii="Times New Roman" w:eastAsia="Times New Roman" w:hAnsi="Times New Roman" w:cs="Times New Roman"/>
          <w:sz w:val="24"/>
          <w:szCs w:val="24"/>
          <w:lang w:val="bg-BG"/>
        </w:rPr>
        <w:t xml:space="preserve"> </w:t>
      </w:r>
      <w:r w:rsidR="00451964" w:rsidRPr="00292755">
        <w:rPr>
          <w:rFonts w:ascii="Times New Roman" w:eastAsia="Times New Roman" w:hAnsi="Times New Roman" w:cs="Times New Roman"/>
          <w:sz w:val="24"/>
          <w:szCs w:val="24"/>
          <w:lang w:val="bg-BG"/>
        </w:rPr>
        <w:t xml:space="preserve"> К</w:t>
      </w:r>
      <w:r w:rsidR="00E550CA">
        <w:rPr>
          <w:rFonts w:ascii="Times New Roman" w:eastAsia="Times New Roman" w:hAnsi="Times New Roman" w:cs="Times New Roman"/>
          <w:sz w:val="24"/>
          <w:szCs w:val="24"/>
          <w:lang w:val="bg-BG"/>
        </w:rPr>
        <w:t>омитет по наблюдение и представителите на</w:t>
      </w:r>
      <w:r w:rsidR="00451964" w:rsidRPr="00292755">
        <w:rPr>
          <w:rFonts w:ascii="Times New Roman" w:eastAsia="Times New Roman" w:hAnsi="Times New Roman" w:cs="Times New Roman"/>
          <w:sz w:val="24"/>
          <w:szCs w:val="24"/>
          <w:lang w:val="bg-BG"/>
        </w:rPr>
        <w:t xml:space="preserve"> Европейската комисия</w:t>
      </w:r>
      <w:r w:rsidR="00E550CA">
        <w:rPr>
          <w:rFonts w:ascii="Times New Roman" w:eastAsia="Times New Roman" w:hAnsi="Times New Roman" w:cs="Times New Roman"/>
          <w:sz w:val="24"/>
          <w:szCs w:val="24"/>
          <w:lang w:val="bg-BG"/>
        </w:rPr>
        <w:t>, че</w:t>
      </w:r>
      <w:r w:rsidRPr="00292755">
        <w:rPr>
          <w:rFonts w:ascii="Times New Roman" w:eastAsia="Times New Roman" w:hAnsi="Times New Roman" w:cs="Times New Roman"/>
          <w:sz w:val="24"/>
          <w:szCs w:val="24"/>
          <w:lang w:val="bg-BG"/>
        </w:rPr>
        <w:t xml:space="preserve">  в </w:t>
      </w:r>
      <w:r w:rsidR="00451964" w:rsidRPr="00292755">
        <w:rPr>
          <w:rFonts w:ascii="Times New Roman" w:eastAsia="Times New Roman" w:hAnsi="Times New Roman" w:cs="Times New Roman"/>
          <w:sz w:val="24"/>
          <w:szCs w:val="24"/>
          <w:lang w:val="bg-BG"/>
        </w:rPr>
        <w:t>страна</w:t>
      </w:r>
      <w:r w:rsidRPr="00292755">
        <w:rPr>
          <w:rFonts w:ascii="Times New Roman" w:eastAsia="Times New Roman" w:hAnsi="Times New Roman" w:cs="Times New Roman"/>
          <w:sz w:val="24"/>
          <w:szCs w:val="24"/>
          <w:lang w:val="bg-BG"/>
        </w:rPr>
        <w:t>та</w:t>
      </w:r>
      <w:r w:rsidR="00451964" w:rsidRPr="00292755">
        <w:rPr>
          <w:rFonts w:ascii="Times New Roman" w:eastAsia="Times New Roman" w:hAnsi="Times New Roman" w:cs="Times New Roman"/>
          <w:sz w:val="24"/>
          <w:szCs w:val="24"/>
          <w:lang w:val="bg-BG"/>
        </w:rPr>
        <w:t xml:space="preserve"> влиза неконтролирано зъ</w:t>
      </w:r>
      <w:r w:rsidR="00E550CA">
        <w:rPr>
          <w:rFonts w:ascii="Times New Roman" w:eastAsia="Times New Roman" w:hAnsi="Times New Roman" w:cs="Times New Roman"/>
          <w:sz w:val="24"/>
          <w:szCs w:val="24"/>
          <w:lang w:val="bg-BG"/>
        </w:rPr>
        <w:t xml:space="preserve">рно от Украйна. </w:t>
      </w:r>
      <w:r w:rsidRPr="00292755">
        <w:rPr>
          <w:rFonts w:ascii="Times New Roman" w:eastAsia="Times New Roman" w:hAnsi="Times New Roman" w:cs="Times New Roman"/>
          <w:sz w:val="24"/>
          <w:szCs w:val="24"/>
          <w:lang w:val="bg-BG"/>
        </w:rPr>
        <w:t xml:space="preserve">Това </w:t>
      </w:r>
      <w:r w:rsidR="00451964" w:rsidRPr="00292755">
        <w:rPr>
          <w:rFonts w:ascii="Times New Roman" w:eastAsia="Times New Roman" w:hAnsi="Times New Roman" w:cs="Times New Roman"/>
          <w:sz w:val="24"/>
          <w:szCs w:val="24"/>
          <w:lang w:val="bg-BG"/>
        </w:rPr>
        <w:t>зърно не е произведено в Европейския с</w:t>
      </w:r>
      <w:r w:rsidRPr="00292755">
        <w:rPr>
          <w:rFonts w:ascii="Times New Roman" w:eastAsia="Times New Roman" w:hAnsi="Times New Roman" w:cs="Times New Roman"/>
          <w:sz w:val="24"/>
          <w:szCs w:val="24"/>
          <w:lang w:val="bg-BG"/>
        </w:rPr>
        <w:t xml:space="preserve">ъюз по </w:t>
      </w:r>
      <w:r w:rsidR="00451964" w:rsidRPr="00292755">
        <w:rPr>
          <w:rFonts w:ascii="Times New Roman" w:eastAsia="Times New Roman" w:hAnsi="Times New Roman" w:cs="Times New Roman"/>
          <w:sz w:val="24"/>
          <w:szCs w:val="24"/>
          <w:lang w:val="bg-BG"/>
        </w:rPr>
        <w:t>изисквания</w:t>
      </w:r>
      <w:r w:rsidRPr="00292755">
        <w:rPr>
          <w:rFonts w:ascii="Times New Roman" w:eastAsia="Times New Roman" w:hAnsi="Times New Roman" w:cs="Times New Roman"/>
          <w:sz w:val="24"/>
          <w:szCs w:val="24"/>
          <w:lang w:val="bg-BG"/>
        </w:rPr>
        <w:t xml:space="preserve"> на ЕС. Ц</w:t>
      </w:r>
      <w:r w:rsidR="00451964" w:rsidRPr="00292755">
        <w:rPr>
          <w:rFonts w:ascii="Times New Roman" w:eastAsia="Times New Roman" w:hAnsi="Times New Roman" w:cs="Times New Roman"/>
          <w:sz w:val="24"/>
          <w:szCs w:val="24"/>
          <w:lang w:val="bg-BG"/>
        </w:rPr>
        <w:t>ялата страна е обсипана с ками</w:t>
      </w:r>
      <w:r w:rsidRPr="00292755">
        <w:rPr>
          <w:rFonts w:ascii="Times New Roman" w:eastAsia="Times New Roman" w:hAnsi="Times New Roman" w:cs="Times New Roman"/>
          <w:sz w:val="24"/>
          <w:szCs w:val="24"/>
          <w:lang w:val="bg-BG"/>
        </w:rPr>
        <w:t>они със слънчоглед. Зърното</w:t>
      </w:r>
      <w:r w:rsidR="00451964" w:rsidRPr="00292755">
        <w:rPr>
          <w:rFonts w:ascii="Times New Roman" w:eastAsia="Times New Roman" w:hAnsi="Times New Roman" w:cs="Times New Roman"/>
          <w:sz w:val="24"/>
          <w:szCs w:val="24"/>
          <w:lang w:val="bg-BG"/>
        </w:rPr>
        <w:t xml:space="preserve"> в последствие ще в</w:t>
      </w:r>
      <w:r w:rsidR="00E550CA">
        <w:rPr>
          <w:rFonts w:ascii="Times New Roman" w:eastAsia="Times New Roman" w:hAnsi="Times New Roman" w:cs="Times New Roman"/>
          <w:sz w:val="24"/>
          <w:szCs w:val="24"/>
          <w:lang w:val="bg-BG"/>
        </w:rPr>
        <w:t>лезе в производството и ще се влее в прехраната на населението на страната</w:t>
      </w:r>
      <w:r w:rsidR="00451964"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Този неконтролиран внос</w:t>
      </w:r>
      <w:r w:rsidR="00451964" w:rsidRPr="00292755">
        <w:rPr>
          <w:rFonts w:ascii="Times New Roman" w:eastAsia="Times New Roman" w:hAnsi="Times New Roman" w:cs="Times New Roman"/>
          <w:sz w:val="24"/>
          <w:szCs w:val="24"/>
          <w:lang w:val="bg-BG"/>
        </w:rPr>
        <w:t xml:space="preserve"> убива българските производители и в последствие може да има проблем с</w:t>
      </w:r>
      <w:r w:rsidR="00E550CA">
        <w:rPr>
          <w:rFonts w:ascii="Times New Roman" w:eastAsia="Times New Roman" w:hAnsi="Times New Roman" w:cs="Times New Roman"/>
          <w:sz w:val="24"/>
          <w:szCs w:val="24"/>
          <w:lang w:val="bg-BG"/>
        </w:rPr>
        <w:t>ъс здравето на хората в България</w:t>
      </w:r>
      <w:r w:rsidR="00451964" w:rsidRPr="00292755">
        <w:rPr>
          <w:rFonts w:ascii="Times New Roman" w:eastAsia="Times New Roman" w:hAnsi="Times New Roman" w:cs="Times New Roman"/>
          <w:sz w:val="24"/>
          <w:szCs w:val="24"/>
          <w:lang w:val="bg-BG"/>
        </w:rPr>
        <w:t>.</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МОМЧИЛ НЕКОВ</w:t>
      </w:r>
      <w:r w:rsidR="009009A3" w:rsidRPr="00292755">
        <w:rPr>
          <w:rFonts w:ascii="Times New Roman" w:eastAsia="Times New Roman" w:hAnsi="Times New Roman" w:cs="Times New Roman"/>
          <w:sz w:val="24"/>
          <w:szCs w:val="24"/>
          <w:lang w:val="bg-BG"/>
        </w:rPr>
        <w:t xml:space="preserve"> б</w:t>
      </w:r>
      <w:r w:rsidRPr="00292755">
        <w:rPr>
          <w:rFonts w:ascii="Times New Roman" w:eastAsia="Times New Roman" w:hAnsi="Times New Roman" w:cs="Times New Roman"/>
          <w:sz w:val="24"/>
          <w:szCs w:val="24"/>
          <w:lang w:val="bg-BG"/>
        </w:rPr>
        <w:t>лаго</w:t>
      </w:r>
      <w:r w:rsidR="009009A3" w:rsidRPr="00292755">
        <w:rPr>
          <w:rFonts w:ascii="Times New Roman" w:eastAsia="Times New Roman" w:hAnsi="Times New Roman" w:cs="Times New Roman"/>
          <w:sz w:val="24"/>
          <w:szCs w:val="24"/>
          <w:lang w:val="bg-BG"/>
        </w:rPr>
        <w:t xml:space="preserve">дари на </w:t>
      </w:r>
      <w:r w:rsidR="009D6846" w:rsidRPr="00292755">
        <w:rPr>
          <w:rFonts w:ascii="Times New Roman" w:eastAsia="Times New Roman" w:hAnsi="Times New Roman" w:cs="Times New Roman"/>
          <w:sz w:val="24"/>
          <w:szCs w:val="24"/>
          <w:lang w:val="bg-BG"/>
        </w:rPr>
        <w:t xml:space="preserve"> г-н Костадинов за направеното уточнение</w:t>
      </w:r>
      <w:r w:rsidRPr="00292755">
        <w:rPr>
          <w:rFonts w:ascii="Times New Roman" w:eastAsia="Times New Roman" w:hAnsi="Times New Roman" w:cs="Times New Roman"/>
          <w:sz w:val="24"/>
          <w:szCs w:val="24"/>
          <w:lang w:val="bg-BG"/>
        </w:rPr>
        <w:t xml:space="preserve"> </w:t>
      </w:r>
      <w:r w:rsidR="009D6846" w:rsidRPr="00292755">
        <w:rPr>
          <w:rFonts w:ascii="Times New Roman" w:eastAsia="Times New Roman" w:hAnsi="Times New Roman" w:cs="Times New Roman"/>
          <w:sz w:val="24"/>
          <w:szCs w:val="24"/>
          <w:lang w:val="bg-BG"/>
        </w:rPr>
        <w:t xml:space="preserve">Има реални претеснения не само по отношение на </w:t>
      </w:r>
      <w:r w:rsidR="009009A3" w:rsidRPr="00292755">
        <w:rPr>
          <w:rFonts w:ascii="Times New Roman" w:eastAsia="Times New Roman" w:hAnsi="Times New Roman" w:cs="Times New Roman"/>
          <w:sz w:val="24"/>
          <w:szCs w:val="24"/>
          <w:lang w:val="bg-BG"/>
        </w:rPr>
        <w:t xml:space="preserve"> зърното, но и  по отношение на други сектори, като  вноса на сливи и десертно грозде с двойно предназначение. Този внос подбива цените на българските производители, вносната продукция ще бъде преработена в България за сметка на българската продукция и след това изнесена в ЕС. Това заедно с високите цени на енергоносителите и торовете ще доведе до фалити при </w:t>
      </w:r>
      <w:r w:rsidR="00E550CA">
        <w:rPr>
          <w:rFonts w:ascii="Times New Roman" w:eastAsia="Times New Roman" w:hAnsi="Times New Roman" w:cs="Times New Roman"/>
          <w:sz w:val="24"/>
          <w:szCs w:val="24"/>
          <w:lang w:val="bg-BG"/>
        </w:rPr>
        <w:t>българските производители, които</w:t>
      </w:r>
      <w:r w:rsidR="009009A3" w:rsidRPr="00292755">
        <w:rPr>
          <w:rFonts w:ascii="Times New Roman" w:eastAsia="Times New Roman" w:hAnsi="Times New Roman" w:cs="Times New Roman"/>
          <w:sz w:val="24"/>
          <w:szCs w:val="24"/>
          <w:lang w:val="bg-BG"/>
        </w:rPr>
        <w:t xml:space="preserve"> ще изпитат огромно затруднение да си продадат  продукцията.</w:t>
      </w:r>
      <w:r w:rsidR="00022196" w:rsidRPr="00292755">
        <w:rPr>
          <w:rFonts w:ascii="Times New Roman" w:eastAsia="Times New Roman" w:hAnsi="Times New Roman" w:cs="Times New Roman"/>
          <w:sz w:val="24"/>
          <w:szCs w:val="24"/>
          <w:lang w:val="bg-BG"/>
        </w:rPr>
        <w:t xml:space="preserve"> Това трябва да се обсъди с ЕК.</w:t>
      </w:r>
    </w:p>
    <w:p w:rsidR="00022196" w:rsidRPr="00292755" w:rsidRDefault="00022196" w:rsidP="00292755">
      <w:pPr>
        <w:spacing w:after="0" w:line="240" w:lineRule="auto"/>
        <w:jc w:val="both"/>
        <w:rPr>
          <w:rFonts w:ascii="Times New Roman" w:eastAsia="Times New Roman" w:hAnsi="Times New Roman" w:cs="Times New Roman"/>
          <w:sz w:val="24"/>
          <w:szCs w:val="24"/>
          <w:lang w:val="bg-BG"/>
        </w:rPr>
      </w:pPr>
    </w:p>
    <w:p w:rsidR="00022196" w:rsidRPr="00292755" w:rsidRDefault="00022196"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Следващата тематична работна група ще</w:t>
      </w:r>
      <w:r w:rsidR="00451964" w:rsidRPr="00292755">
        <w:rPr>
          <w:rFonts w:ascii="Times New Roman" w:eastAsia="Times New Roman" w:hAnsi="Times New Roman" w:cs="Times New Roman"/>
          <w:sz w:val="24"/>
          <w:szCs w:val="24"/>
          <w:lang w:val="bg-BG"/>
        </w:rPr>
        <w:t xml:space="preserve"> бъде </w:t>
      </w:r>
      <w:r w:rsidRPr="00292755">
        <w:rPr>
          <w:rFonts w:ascii="Times New Roman" w:eastAsia="Times New Roman" w:hAnsi="Times New Roman" w:cs="Times New Roman"/>
          <w:sz w:val="24"/>
          <w:szCs w:val="24"/>
          <w:lang w:val="bg-BG"/>
        </w:rPr>
        <w:t>по</w:t>
      </w:r>
      <w:r w:rsidR="00451964" w:rsidRPr="00292755">
        <w:rPr>
          <w:rFonts w:ascii="Times New Roman" w:eastAsia="Times New Roman" w:hAnsi="Times New Roman" w:cs="Times New Roman"/>
          <w:sz w:val="24"/>
          <w:szCs w:val="24"/>
          <w:lang w:val="bg-BG"/>
        </w:rPr>
        <w:t xml:space="preserve"> теми</w:t>
      </w:r>
      <w:r w:rsidRPr="00292755">
        <w:rPr>
          <w:rFonts w:ascii="Times New Roman" w:eastAsia="Times New Roman" w:hAnsi="Times New Roman" w:cs="Times New Roman"/>
          <w:sz w:val="24"/>
          <w:szCs w:val="24"/>
          <w:lang w:val="bg-BG"/>
        </w:rPr>
        <w:t xml:space="preserve">те за агроекология, </w:t>
      </w:r>
      <w:r w:rsidR="00451964" w:rsidRPr="00292755">
        <w:rPr>
          <w:rFonts w:ascii="Times New Roman" w:eastAsia="Times New Roman" w:hAnsi="Times New Roman" w:cs="Times New Roman"/>
          <w:sz w:val="24"/>
          <w:szCs w:val="24"/>
          <w:lang w:val="bg-BG"/>
        </w:rPr>
        <w:t>тогава ще</w:t>
      </w:r>
      <w:r w:rsidRPr="00292755">
        <w:rPr>
          <w:rFonts w:ascii="Times New Roman" w:eastAsia="Times New Roman" w:hAnsi="Times New Roman" w:cs="Times New Roman"/>
          <w:sz w:val="24"/>
          <w:szCs w:val="24"/>
          <w:lang w:val="bg-BG"/>
        </w:rPr>
        <w:t xml:space="preserve"> се обсъдят</w:t>
      </w:r>
      <w:r w:rsidR="00451964" w:rsidRPr="00292755">
        <w:rPr>
          <w:rFonts w:ascii="Times New Roman" w:eastAsia="Times New Roman" w:hAnsi="Times New Roman" w:cs="Times New Roman"/>
          <w:sz w:val="24"/>
          <w:szCs w:val="24"/>
          <w:lang w:val="bg-BG"/>
        </w:rPr>
        <w:t xml:space="preserve"> коментарите, които са направени от българск</w:t>
      </w:r>
      <w:r w:rsidRPr="00292755">
        <w:rPr>
          <w:rFonts w:ascii="Times New Roman" w:eastAsia="Times New Roman" w:hAnsi="Times New Roman" w:cs="Times New Roman"/>
          <w:sz w:val="24"/>
          <w:szCs w:val="24"/>
          <w:lang w:val="bg-BG"/>
        </w:rPr>
        <w:t>а страна по Стратегическия план по тези теми.</w:t>
      </w:r>
      <w:r w:rsidR="00451964" w:rsidRPr="00292755">
        <w:rPr>
          <w:rFonts w:ascii="Times New Roman" w:eastAsia="Times New Roman" w:hAnsi="Times New Roman" w:cs="Times New Roman"/>
          <w:sz w:val="24"/>
          <w:szCs w:val="24"/>
          <w:lang w:val="bg-BG"/>
        </w:rPr>
        <w:t xml:space="preserve"> </w:t>
      </w:r>
    </w:p>
    <w:p w:rsidR="00022196" w:rsidRPr="00292755" w:rsidRDefault="00022196" w:rsidP="00292755">
      <w:pPr>
        <w:spacing w:after="0" w:line="240" w:lineRule="auto"/>
        <w:jc w:val="both"/>
        <w:rPr>
          <w:rFonts w:ascii="Times New Roman" w:eastAsia="Times New Roman" w:hAnsi="Times New Roman" w:cs="Times New Roman"/>
          <w:b/>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ЕМИЛ ДЪРЕВ</w:t>
      </w:r>
      <w:r w:rsidR="00022196" w:rsidRPr="00292755">
        <w:rPr>
          <w:rFonts w:ascii="Times New Roman" w:eastAsia="Times New Roman" w:hAnsi="Times New Roman" w:cs="Times New Roman"/>
          <w:sz w:val="24"/>
          <w:szCs w:val="24"/>
          <w:lang w:val="bg-BG"/>
        </w:rPr>
        <w:t xml:space="preserve"> предложи да има  предварителен контрол</w:t>
      </w:r>
      <w:r w:rsidRPr="00292755">
        <w:rPr>
          <w:rFonts w:ascii="Times New Roman" w:eastAsia="Times New Roman" w:hAnsi="Times New Roman" w:cs="Times New Roman"/>
          <w:sz w:val="24"/>
          <w:szCs w:val="24"/>
          <w:lang w:val="bg-BG"/>
        </w:rPr>
        <w:t xml:space="preserve"> по ПМС № 160</w:t>
      </w:r>
      <w:r w:rsidR="00022196" w:rsidRPr="00292755">
        <w:rPr>
          <w:rFonts w:ascii="Times New Roman" w:eastAsia="Times New Roman" w:hAnsi="Times New Roman" w:cs="Times New Roman"/>
          <w:sz w:val="24"/>
          <w:szCs w:val="24"/>
          <w:lang w:val="bg-BG"/>
        </w:rPr>
        <w:t>,  заложен</w:t>
      </w:r>
      <w:r w:rsidRPr="00292755">
        <w:rPr>
          <w:rFonts w:ascii="Times New Roman" w:eastAsia="Times New Roman" w:hAnsi="Times New Roman" w:cs="Times New Roman"/>
          <w:sz w:val="24"/>
          <w:szCs w:val="24"/>
          <w:lang w:val="bg-BG"/>
        </w:rPr>
        <w:t xml:space="preserve"> в Условията</w:t>
      </w:r>
      <w:r w:rsidR="00022196" w:rsidRPr="00292755">
        <w:rPr>
          <w:rFonts w:ascii="Times New Roman" w:eastAsia="Times New Roman" w:hAnsi="Times New Roman" w:cs="Times New Roman"/>
          <w:sz w:val="24"/>
          <w:szCs w:val="24"/>
          <w:lang w:val="bg-BG"/>
        </w:rPr>
        <w:t xml:space="preserve"> за кандидатстване,</w:t>
      </w:r>
      <w:r w:rsidRPr="00292755">
        <w:rPr>
          <w:rFonts w:ascii="Times New Roman" w:eastAsia="Times New Roman" w:hAnsi="Times New Roman" w:cs="Times New Roman"/>
          <w:sz w:val="24"/>
          <w:szCs w:val="24"/>
          <w:lang w:val="bg-BG"/>
        </w:rPr>
        <w:t xml:space="preserve"> тъй като повечето бенефициенти по ПРСР нямат опит с прилагането на ПМС № 160, както и Управляващия</w:t>
      </w:r>
      <w:r w:rsidR="00E550CA">
        <w:rPr>
          <w:rFonts w:ascii="Times New Roman" w:eastAsia="Times New Roman" w:hAnsi="Times New Roman" w:cs="Times New Roman"/>
          <w:sz w:val="24"/>
          <w:szCs w:val="24"/>
          <w:lang w:val="bg-BG"/>
        </w:rPr>
        <w:t>т</w:t>
      </w:r>
      <w:r w:rsidRPr="00292755">
        <w:rPr>
          <w:rFonts w:ascii="Times New Roman" w:eastAsia="Times New Roman" w:hAnsi="Times New Roman" w:cs="Times New Roman"/>
          <w:sz w:val="24"/>
          <w:szCs w:val="24"/>
          <w:lang w:val="bg-BG"/>
        </w:rPr>
        <w:t xml:space="preserve"> орган и Фонд „Земеделие</w:t>
      </w:r>
      <w:r w:rsidR="00022196" w:rsidRPr="00292755">
        <w:rPr>
          <w:rFonts w:ascii="Times New Roman" w:eastAsia="Times New Roman" w:hAnsi="Times New Roman" w:cs="Times New Roman"/>
          <w:sz w:val="24"/>
          <w:szCs w:val="24"/>
          <w:lang w:val="bg-BG"/>
        </w:rPr>
        <w:t xml:space="preserve">“, </w:t>
      </w:r>
      <w:r w:rsidR="00336C09">
        <w:rPr>
          <w:rFonts w:ascii="Times New Roman" w:eastAsia="Times New Roman" w:hAnsi="Times New Roman" w:cs="Times New Roman"/>
          <w:sz w:val="24"/>
          <w:szCs w:val="24"/>
          <w:lang w:val="bg-BG"/>
        </w:rPr>
        <w:t xml:space="preserve">което </w:t>
      </w:r>
      <w:r w:rsidRPr="00292755">
        <w:rPr>
          <w:rFonts w:ascii="Times New Roman" w:eastAsia="Times New Roman" w:hAnsi="Times New Roman" w:cs="Times New Roman"/>
          <w:sz w:val="24"/>
          <w:szCs w:val="24"/>
          <w:lang w:val="bg-BG"/>
        </w:rPr>
        <w:t xml:space="preserve">по-скоро </w:t>
      </w:r>
      <w:r w:rsidR="00336C09">
        <w:rPr>
          <w:rFonts w:ascii="Times New Roman" w:eastAsia="Times New Roman" w:hAnsi="Times New Roman" w:cs="Times New Roman"/>
          <w:sz w:val="24"/>
          <w:szCs w:val="24"/>
          <w:lang w:val="bg-BG"/>
        </w:rPr>
        <w:t xml:space="preserve">ще бъде </w:t>
      </w:r>
      <w:r w:rsidRPr="00292755">
        <w:rPr>
          <w:rFonts w:ascii="Times New Roman" w:eastAsia="Times New Roman" w:hAnsi="Times New Roman" w:cs="Times New Roman"/>
          <w:sz w:val="24"/>
          <w:szCs w:val="24"/>
          <w:lang w:val="bg-BG"/>
        </w:rPr>
        <w:t>в защита на бенефициентите</w:t>
      </w:r>
      <w:r w:rsidR="00022196" w:rsidRPr="00292755">
        <w:rPr>
          <w:rFonts w:ascii="Times New Roman" w:eastAsia="Times New Roman" w:hAnsi="Times New Roman" w:cs="Times New Roman"/>
          <w:sz w:val="24"/>
          <w:szCs w:val="24"/>
          <w:lang w:val="bg-BG"/>
        </w:rPr>
        <w:t xml:space="preserve"> за</w:t>
      </w:r>
      <w:r w:rsidR="00336C09">
        <w:rPr>
          <w:rFonts w:ascii="Times New Roman" w:eastAsia="Times New Roman" w:hAnsi="Times New Roman" w:cs="Times New Roman"/>
          <w:sz w:val="24"/>
          <w:szCs w:val="24"/>
          <w:lang w:val="bg-BG"/>
        </w:rPr>
        <w:t xml:space="preserve"> да</w:t>
      </w:r>
      <w:r w:rsidR="00022196"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 xml:space="preserve"> не получават финансови корекции</w:t>
      </w:r>
      <w:r w:rsidR="00022196" w:rsidRPr="00292755">
        <w:rPr>
          <w:rFonts w:ascii="Times New Roman" w:eastAsia="Times New Roman" w:hAnsi="Times New Roman" w:cs="Times New Roman"/>
          <w:sz w:val="24"/>
          <w:szCs w:val="24"/>
          <w:lang w:val="bg-BG"/>
        </w:rPr>
        <w:t xml:space="preserve"> след това.</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r w:rsidRPr="00292755">
        <w:rPr>
          <w:rFonts w:ascii="Times New Roman" w:eastAsia="Times New Roman" w:hAnsi="Times New Roman" w:cs="Times New Roman"/>
          <w:sz w:val="24"/>
          <w:szCs w:val="24"/>
          <w:lang w:val="bg-BG"/>
        </w:rPr>
        <w:t xml:space="preserve"> </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Г-ЖА ЕЛЕНА ИВАНОВА</w:t>
      </w:r>
      <w:r w:rsidRPr="00292755">
        <w:rPr>
          <w:rFonts w:ascii="Times New Roman" w:eastAsia="Times New Roman" w:hAnsi="Times New Roman" w:cs="Times New Roman"/>
          <w:sz w:val="24"/>
          <w:szCs w:val="24"/>
          <w:lang w:val="bg-BG"/>
        </w:rPr>
        <w:t xml:space="preserve">  </w:t>
      </w:r>
      <w:r w:rsidR="00022196" w:rsidRPr="00292755">
        <w:rPr>
          <w:rFonts w:ascii="Times New Roman" w:eastAsia="Times New Roman" w:hAnsi="Times New Roman" w:cs="Times New Roman"/>
          <w:sz w:val="24"/>
          <w:szCs w:val="24"/>
          <w:lang w:val="bg-BG"/>
        </w:rPr>
        <w:t xml:space="preserve">информира, че </w:t>
      </w:r>
      <w:r w:rsidRPr="00292755">
        <w:rPr>
          <w:rFonts w:ascii="Times New Roman" w:eastAsia="Times New Roman" w:hAnsi="Times New Roman" w:cs="Times New Roman"/>
          <w:sz w:val="24"/>
          <w:szCs w:val="24"/>
          <w:lang w:val="bg-BG"/>
        </w:rPr>
        <w:t>част от кандидатите, биха искали да стартират на собствен риск процедурата за избор на изпълнител по Постановление № 160 на Министерския съвет преди сключване на административен договор с Държавен фонд „Земеделие“.</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Към настоящия момент в Насоките за кандидатстване е посочено, че такава процедура може да бъде стартирана, след сключване на договор с ДФ „Земеделие“.</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F956A3"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 случай</w:t>
      </w:r>
      <w:r w:rsidR="00451964" w:rsidRPr="00292755">
        <w:rPr>
          <w:rFonts w:ascii="Times New Roman" w:eastAsia="Times New Roman" w:hAnsi="Times New Roman" w:cs="Times New Roman"/>
          <w:sz w:val="24"/>
          <w:szCs w:val="24"/>
          <w:lang w:val="bg-BG"/>
        </w:rPr>
        <w:t xml:space="preserve"> че</w:t>
      </w:r>
      <w:r w:rsidRPr="00292755">
        <w:rPr>
          <w:rFonts w:ascii="Times New Roman" w:eastAsia="Times New Roman" w:hAnsi="Times New Roman" w:cs="Times New Roman"/>
          <w:sz w:val="24"/>
          <w:szCs w:val="24"/>
          <w:lang w:val="bg-BG"/>
        </w:rPr>
        <w:t xml:space="preserve"> това искане</w:t>
      </w:r>
      <w:r w:rsidR="00336C09">
        <w:rPr>
          <w:rFonts w:ascii="Times New Roman" w:eastAsia="Times New Roman" w:hAnsi="Times New Roman" w:cs="Times New Roman"/>
          <w:sz w:val="24"/>
          <w:szCs w:val="24"/>
          <w:lang w:val="bg-BG"/>
        </w:rPr>
        <w:t xml:space="preserve"> бъде удовлетворено е необходимо</w:t>
      </w:r>
      <w:r w:rsidR="00451964" w:rsidRPr="00292755">
        <w:rPr>
          <w:rFonts w:ascii="Times New Roman" w:eastAsia="Times New Roman" w:hAnsi="Times New Roman" w:cs="Times New Roman"/>
          <w:sz w:val="24"/>
          <w:szCs w:val="24"/>
          <w:lang w:val="bg-BG"/>
        </w:rPr>
        <w:t xml:space="preserve"> да </w:t>
      </w:r>
      <w:r w:rsidRPr="00292755">
        <w:rPr>
          <w:rFonts w:ascii="Times New Roman" w:eastAsia="Times New Roman" w:hAnsi="Times New Roman" w:cs="Times New Roman"/>
          <w:sz w:val="24"/>
          <w:szCs w:val="24"/>
          <w:lang w:val="bg-BG"/>
        </w:rPr>
        <w:t xml:space="preserve">се направят </w:t>
      </w:r>
      <w:r w:rsidR="00451964" w:rsidRPr="00292755">
        <w:rPr>
          <w:rFonts w:ascii="Times New Roman" w:eastAsia="Times New Roman" w:hAnsi="Times New Roman" w:cs="Times New Roman"/>
          <w:sz w:val="24"/>
          <w:szCs w:val="24"/>
          <w:lang w:val="bg-BG"/>
        </w:rPr>
        <w:t xml:space="preserve"> изменения в Условията за кандидатстване. Изменение в Условията за кандидатстване по приключили вече процедури могат да бъдат направени при промяна в европейското или национално законодателство или съответно в Програмата за развитие на селските райони и тези промени да намерят отражение в Насоките за</w:t>
      </w:r>
      <w:r w:rsidRPr="00292755">
        <w:rPr>
          <w:rFonts w:ascii="Times New Roman" w:eastAsia="Times New Roman" w:hAnsi="Times New Roman" w:cs="Times New Roman"/>
          <w:sz w:val="24"/>
          <w:szCs w:val="24"/>
          <w:lang w:val="bg-BG"/>
        </w:rPr>
        <w:t xml:space="preserve"> кандидатстване. Т</w:t>
      </w:r>
      <w:r w:rsidR="00451964" w:rsidRPr="00292755">
        <w:rPr>
          <w:rFonts w:ascii="Times New Roman" w:eastAsia="Times New Roman" w:hAnsi="Times New Roman" w:cs="Times New Roman"/>
          <w:sz w:val="24"/>
          <w:szCs w:val="24"/>
          <w:lang w:val="bg-BG"/>
        </w:rPr>
        <w:t xml:space="preserve">ази тема </w:t>
      </w:r>
      <w:r w:rsidRPr="00292755">
        <w:rPr>
          <w:rFonts w:ascii="Times New Roman" w:eastAsia="Times New Roman" w:hAnsi="Times New Roman" w:cs="Times New Roman"/>
          <w:sz w:val="24"/>
          <w:szCs w:val="24"/>
          <w:lang w:val="bg-BG"/>
        </w:rPr>
        <w:t xml:space="preserve">беше обсъдена  </w:t>
      </w:r>
      <w:r w:rsidR="00451964" w:rsidRPr="00292755">
        <w:rPr>
          <w:rFonts w:ascii="Times New Roman" w:eastAsia="Times New Roman" w:hAnsi="Times New Roman" w:cs="Times New Roman"/>
          <w:sz w:val="24"/>
          <w:szCs w:val="24"/>
          <w:lang w:val="bg-BG"/>
        </w:rPr>
        <w:t>и</w:t>
      </w:r>
      <w:r w:rsidR="00336C09">
        <w:rPr>
          <w:rFonts w:ascii="Times New Roman" w:eastAsia="Times New Roman" w:hAnsi="Times New Roman" w:cs="Times New Roman"/>
          <w:sz w:val="24"/>
          <w:szCs w:val="24"/>
          <w:lang w:val="bg-BG"/>
        </w:rPr>
        <w:t xml:space="preserve"> е </w:t>
      </w:r>
      <w:r w:rsidRPr="00292755">
        <w:rPr>
          <w:rFonts w:ascii="Times New Roman" w:eastAsia="Times New Roman" w:hAnsi="Times New Roman" w:cs="Times New Roman"/>
          <w:sz w:val="24"/>
          <w:szCs w:val="24"/>
          <w:lang w:val="bg-BG"/>
        </w:rPr>
        <w:t xml:space="preserve">възможно </w:t>
      </w:r>
      <w:r w:rsidR="00451964" w:rsidRPr="00292755">
        <w:rPr>
          <w:rFonts w:ascii="Times New Roman" w:eastAsia="Times New Roman" w:hAnsi="Times New Roman" w:cs="Times New Roman"/>
          <w:sz w:val="24"/>
          <w:szCs w:val="24"/>
          <w:lang w:val="bg-BG"/>
        </w:rPr>
        <w:t xml:space="preserve">да </w:t>
      </w:r>
      <w:r w:rsidRPr="00292755">
        <w:rPr>
          <w:rFonts w:ascii="Times New Roman" w:eastAsia="Times New Roman" w:hAnsi="Times New Roman" w:cs="Times New Roman"/>
          <w:sz w:val="24"/>
          <w:szCs w:val="24"/>
          <w:lang w:val="bg-BG"/>
        </w:rPr>
        <w:t>се направи</w:t>
      </w:r>
      <w:r w:rsidR="00451964" w:rsidRPr="00292755">
        <w:rPr>
          <w:rFonts w:ascii="Times New Roman" w:eastAsia="Times New Roman" w:hAnsi="Times New Roman" w:cs="Times New Roman"/>
          <w:sz w:val="24"/>
          <w:szCs w:val="24"/>
          <w:lang w:val="bg-BG"/>
        </w:rPr>
        <w:t xml:space="preserve"> такова допълнение в текста на Програма за развитие на селските райони, което да позволи на по-късен етап да бъдат изменени Насоките за кандидатстване.</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p>
    <w:p w:rsidR="00451964" w:rsidRPr="00292755" w:rsidRDefault="00F956A3"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Добре би било </w:t>
      </w:r>
      <w:r w:rsidR="00451964" w:rsidRPr="00292755">
        <w:rPr>
          <w:rFonts w:ascii="Times New Roman" w:eastAsia="Times New Roman" w:hAnsi="Times New Roman" w:cs="Times New Roman"/>
          <w:sz w:val="24"/>
          <w:szCs w:val="24"/>
          <w:lang w:val="bg-BG"/>
        </w:rPr>
        <w:t>да се вземе принципн</w:t>
      </w:r>
      <w:r w:rsidRPr="00292755">
        <w:rPr>
          <w:rFonts w:ascii="Times New Roman" w:eastAsia="Times New Roman" w:hAnsi="Times New Roman" w:cs="Times New Roman"/>
          <w:sz w:val="24"/>
          <w:szCs w:val="24"/>
          <w:lang w:val="bg-BG"/>
        </w:rPr>
        <w:t xml:space="preserve">о решение  в рамките на </w:t>
      </w:r>
      <w:r w:rsidR="00451964" w:rsidRPr="00292755">
        <w:rPr>
          <w:rFonts w:ascii="Times New Roman" w:eastAsia="Times New Roman" w:hAnsi="Times New Roman" w:cs="Times New Roman"/>
          <w:sz w:val="24"/>
          <w:szCs w:val="24"/>
          <w:lang w:val="bg-BG"/>
        </w:rPr>
        <w:t xml:space="preserve"> заседание</w:t>
      </w:r>
      <w:r w:rsidRPr="00292755">
        <w:rPr>
          <w:rFonts w:ascii="Times New Roman" w:eastAsia="Times New Roman" w:hAnsi="Times New Roman" w:cs="Times New Roman"/>
          <w:sz w:val="24"/>
          <w:szCs w:val="24"/>
          <w:lang w:val="bg-BG"/>
        </w:rPr>
        <w:t>то</w:t>
      </w:r>
      <w:r w:rsidR="00451964" w:rsidRPr="00292755">
        <w:rPr>
          <w:rFonts w:ascii="Times New Roman" w:eastAsia="Times New Roman" w:hAnsi="Times New Roman" w:cs="Times New Roman"/>
          <w:sz w:val="24"/>
          <w:szCs w:val="24"/>
          <w:lang w:val="bg-BG"/>
        </w:rPr>
        <w:t xml:space="preserve"> на Комитета по наблюдение дали членовете на Комитета по наблюдение са склонни да подкрепят едно такова предложение</w:t>
      </w:r>
      <w:r w:rsidRPr="00292755">
        <w:rPr>
          <w:rFonts w:ascii="Times New Roman" w:eastAsia="Times New Roman" w:hAnsi="Times New Roman" w:cs="Times New Roman"/>
          <w:sz w:val="24"/>
          <w:szCs w:val="24"/>
          <w:lang w:val="bg-BG"/>
        </w:rPr>
        <w:t xml:space="preserve">, а именно </w:t>
      </w:r>
      <w:r w:rsidR="00451964" w:rsidRPr="00292755">
        <w:rPr>
          <w:rFonts w:ascii="Times New Roman" w:eastAsia="Times New Roman" w:hAnsi="Times New Roman" w:cs="Times New Roman"/>
          <w:sz w:val="24"/>
          <w:szCs w:val="24"/>
          <w:lang w:val="bg-BG"/>
        </w:rPr>
        <w:t xml:space="preserve"> да бъде направено допълнение в текста на програмата, чрез което да се предостави възможност кандидати по инвестиционните мерки от ПРСР на собствен риск да стартират процедура по Постановление № 160 на Министерския съвет за избор на изпълнител преди да са сключили административен договор с Държавен фонд „Земеделие“.</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Д-Р МОМЧИЛ НЕКОВ</w:t>
      </w:r>
      <w:r w:rsidRPr="00292755">
        <w:rPr>
          <w:rFonts w:ascii="Times New Roman" w:eastAsia="Times New Roman" w:hAnsi="Times New Roman" w:cs="Times New Roman"/>
          <w:sz w:val="24"/>
          <w:szCs w:val="24"/>
          <w:lang w:val="bg-BG"/>
        </w:rPr>
        <w:t xml:space="preserve"> </w:t>
      </w:r>
      <w:r w:rsidR="00F956A3" w:rsidRPr="00292755">
        <w:rPr>
          <w:rFonts w:ascii="Times New Roman" w:eastAsia="Times New Roman" w:hAnsi="Times New Roman" w:cs="Times New Roman"/>
          <w:sz w:val="24"/>
          <w:szCs w:val="24"/>
          <w:lang w:val="bg-BG"/>
        </w:rPr>
        <w:t xml:space="preserve">предложи </w:t>
      </w:r>
      <w:r w:rsidRPr="00292755">
        <w:rPr>
          <w:rFonts w:ascii="Times New Roman" w:eastAsia="Times New Roman" w:hAnsi="Times New Roman" w:cs="Times New Roman"/>
          <w:sz w:val="24"/>
          <w:szCs w:val="24"/>
          <w:lang w:val="bg-BG"/>
        </w:rPr>
        <w:t>принципно да</w:t>
      </w:r>
      <w:r w:rsidR="00F956A3" w:rsidRPr="00292755">
        <w:rPr>
          <w:rFonts w:ascii="Times New Roman" w:eastAsia="Times New Roman" w:hAnsi="Times New Roman" w:cs="Times New Roman"/>
          <w:sz w:val="24"/>
          <w:szCs w:val="24"/>
          <w:lang w:val="bg-BG"/>
        </w:rPr>
        <w:t xml:space="preserve"> се подложи</w:t>
      </w:r>
      <w:r w:rsidRPr="00292755">
        <w:rPr>
          <w:rFonts w:ascii="Times New Roman" w:eastAsia="Times New Roman" w:hAnsi="Times New Roman" w:cs="Times New Roman"/>
          <w:sz w:val="24"/>
          <w:szCs w:val="24"/>
          <w:lang w:val="bg-BG"/>
        </w:rPr>
        <w:t xml:space="preserve"> тази добавка за обсъждане, ако има някой „против“ нека да го заяви.</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p>
    <w:p w:rsidR="00336C09" w:rsidRPr="00292755" w:rsidRDefault="00451964" w:rsidP="00336C09">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Г-Н ИВАН ГЛАВЧОВСКИ</w:t>
      </w:r>
      <w:r w:rsidR="00F956A3" w:rsidRPr="00292755">
        <w:rPr>
          <w:rFonts w:ascii="Times New Roman" w:eastAsia="Times New Roman" w:hAnsi="Times New Roman" w:cs="Times New Roman"/>
          <w:b/>
          <w:sz w:val="24"/>
          <w:szCs w:val="24"/>
          <w:lang w:val="bg-BG"/>
        </w:rPr>
        <w:t xml:space="preserve"> </w:t>
      </w:r>
      <w:r w:rsidR="00336C09">
        <w:rPr>
          <w:rFonts w:ascii="Times New Roman" w:eastAsia="Times New Roman" w:hAnsi="Times New Roman" w:cs="Times New Roman"/>
          <w:sz w:val="24"/>
          <w:szCs w:val="24"/>
          <w:lang w:val="bg-BG"/>
        </w:rPr>
        <w:t>коментира</w:t>
      </w:r>
      <w:r w:rsidR="00F956A3" w:rsidRPr="00292755">
        <w:rPr>
          <w:rFonts w:ascii="Times New Roman" w:eastAsia="Times New Roman" w:hAnsi="Times New Roman" w:cs="Times New Roman"/>
          <w:sz w:val="24"/>
          <w:szCs w:val="24"/>
          <w:lang w:val="bg-BG"/>
        </w:rPr>
        <w:t>,</w:t>
      </w:r>
      <w:r w:rsidRPr="00292755">
        <w:rPr>
          <w:rFonts w:ascii="Times New Roman" w:eastAsia="Times New Roman" w:hAnsi="Times New Roman" w:cs="Times New Roman"/>
          <w:sz w:val="24"/>
          <w:szCs w:val="24"/>
          <w:lang w:val="bg-BG"/>
        </w:rPr>
        <w:t>че въпросът е технически</w:t>
      </w:r>
      <w:r w:rsidR="00336C09">
        <w:rPr>
          <w:rFonts w:ascii="Times New Roman" w:eastAsia="Times New Roman" w:hAnsi="Times New Roman" w:cs="Times New Roman"/>
          <w:sz w:val="24"/>
          <w:szCs w:val="24"/>
          <w:lang w:val="bg-BG"/>
        </w:rPr>
        <w:t xml:space="preserve"> и подкрепи предложението.</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p>
    <w:p w:rsidR="00451964" w:rsidRPr="00292755" w:rsidRDefault="00451964" w:rsidP="00336C09">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 xml:space="preserve">Г-Н КАЛОЯН КОСТАДИНОВ </w:t>
      </w:r>
      <w:r w:rsidR="00F956A3" w:rsidRPr="00292755">
        <w:rPr>
          <w:rFonts w:ascii="Times New Roman" w:eastAsia="Times New Roman" w:hAnsi="Times New Roman" w:cs="Times New Roman"/>
          <w:sz w:val="24"/>
          <w:szCs w:val="24"/>
          <w:lang w:val="bg-BG"/>
        </w:rPr>
        <w:t>представи</w:t>
      </w:r>
      <w:r w:rsidR="00F956A3" w:rsidRPr="00292755">
        <w:rPr>
          <w:rFonts w:ascii="Times New Roman" w:eastAsia="Times New Roman" w:hAnsi="Times New Roman" w:cs="Times New Roman"/>
          <w:b/>
          <w:sz w:val="24"/>
          <w:szCs w:val="24"/>
          <w:lang w:val="bg-BG"/>
        </w:rPr>
        <w:t xml:space="preserve"> </w:t>
      </w:r>
      <w:r w:rsidRPr="00292755">
        <w:rPr>
          <w:rFonts w:ascii="Times New Roman" w:eastAsia="Times New Roman" w:hAnsi="Times New Roman" w:cs="Times New Roman"/>
          <w:sz w:val="24"/>
          <w:szCs w:val="24"/>
          <w:lang w:val="bg-BG"/>
        </w:rPr>
        <w:t>извадка от проектите по 4.1, които в момента се о</w:t>
      </w:r>
      <w:r w:rsidR="00336C09">
        <w:rPr>
          <w:rFonts w:ascii="Times New Roman" w:eastAsia="Times New Roman" w:hAnsi="Times New Roman" w:cs="Times New Roman"/>
          <w:sz w:val="24"/>
          <w:szCs w:val="24"/>
          <w:lang w:val="bg-BG"/>
        </w:rPr>
        <w:t>бработват, на които са изпратени 15 дневки. От тях от</w:t>
      </w:r>
      <w:r w:rsidRPr="00292755">
        <w:rPr>
          <w:rFonts w:ascii="Times New Roman" w:eastAsia="Times New Roman" w:hAnsi="Times New Roman" w:cs="Times New Roman"/>
          <w:sz w:val="24"/>
          <w:szCs w:val="24"/>
          <w:lang w:val="bg-BG"/>
        </w:rPr>
        <w:t xml:space="preserve"> 1868 проекта </w:t>
      </w:r>
      <w:r w:rsidR="00336C09">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255 проекта подлежат на Постановление № 160 на Министерския съвет</w:t>
      </w:r>
      <w:r w:rsidR="00336C09">
        <w:rPr>
          <w:rFonts w:ascii="Times New Roman" w:eastAsia="Times New Roman" w:hAnsi="Times New Roman" w:cs="Times New Roman"/>
          <w:sz w:val="24"/>
          <w:szCs w:val="24"/>
          <w:lang w:val="bg-BG"/>
        </w:rPr>
        <w:t>.</w:t>
      </w:r>
    </w:p>
    <w:p w:rsidR="00451964" w:rsidRPr="00292755" w:rsidRDefault="00451964" w:rsidP="00292755">
      <w:pPr>
        <w:spacing w:after="0" w:line="240" w:lineRule="auto"/>
        <w:jc w:val="both"/>
        <w:rPr>
          <w:rFonts w:ascii="Times New Roman" w:eastAsia="Times New Roman" w:hAnsi="Times New Roman" w:cs="Times New Roman"/>
          <w:b/>
          <w:sz w:val="24"/>
          <w:szCs w:val="24"/>
          <w:lang w:val="bg-BG"/>
        </w:rPr>
      </w:pPr>
    </w:p>
    <w:p w:rsidR="00413C72"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b/>
          <w:sz w:val="24"/>
          <w:szCs w:val="24"/>
          <w:lang w:val="bg-BG"/>
        </w:rPr>
        <w:t xml:space="preserve">Д-Р МОМЧИЛ НЕКОВ </w:t>
      </w:r>
      <w:r w:rsidR="00413C72" w:rsidRPr="00292755">
        <w:rPr>
          <w:rFonts w:ascii="Times New Roman" w:eastAsia="Times New Roman" w:hAnsi="Times New Roman" w:cs="Times New Roman"/>
          <w:sz w:val="24"/>
          <w:szCs w:val="24"/>
          <w:lang w:val="bg-BG"/>
        </w:rPr>
        <w:t xml:space="preserve">отговори на въпроса на г-жа Матеева относно упражняването на контрол върху вноса на суровини от трети страни. Въпросът не е от неговата компетенция, но ще бъде представен на вниманието на отговорните колеги, относно притесненията, </w:t>
      </w:r>
      <w:r w:rsidR="00336C09">
        <w:rPr>
          <w:rFonts w:ascii="Times New Roman" w:eastAsia="Times New Roman" w:hAnsi="Times New Roman" w:cs="Times New Roman"/>
          <w:sz w:val="24"/>
          <w:szCs w:val="24"/>
          <w:lang w:val="bg-BG"/>
        </w:rPr>
        <w:t xml:space="preserve">които са изложени от членовете на </w:t>
      </w:r>
      <w:r w:rsidR="00413C72" w:rsidRPr="00292755">
        <w:rPr>
          <w:rFonts w:ascii="Times New Roman" w:eastAsia="Times New Roman" w:hAnsi="Times New Roman" w:cs="Times New Roman"/>
          <w:sz w:val="24"/>
          <w:szCs w:val="24"/>
          <w:lang w:val="bg-BG"/>
        </w:rPr>
        <w:t>Комитета по наблюдение.</w:t>
      </w:r>
    </w:p>
    <w:p w:rsidR="00413C72" w:rsidRPr="00292755" w:rsidRDefault="00413C72" w:rsidP="00292755">
      <w:pPr>
        <w:spacing w:after="0" w:line="240" w:lineRule="auto"/>
        <w:jc w:val="both"/>
        <w:rPr>
          <w:rFonts w:ascii="Times New Roman" w:eastAsia="Times New Roman" w:hAnsi="Times New Roman" w:cs="Times New Roman"/>
          <w:sz w:val="24"/>
          <w:szCs w:val="24"/>
          <w:lang w:val="bg-BG"/>
        </w:rPr>
      </w:pPr>
    </w:p>
    <w:p w:rsidR="00413C72" w:rsidRPr="00292755" w:rsidRDefault="00413C72"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Д-р Неков предложи да се гласува допълнителното предложение  в 13-то  изменението на ПРСР 2014-2020 г.</w:t>
      </w:r>
    </w:p>
    <w:p w:rsidR="00926617" w:rsidRPr="00292755" w:rsidRDefault="00926617" w:rsidP="00292755">
      <w:pPr>
        <w:spacing w:after="0" w:line="240" w:lineRule="auto"/>
        <w:jc w:val="both"/>
        <w:rPr>
          <w:rFonts w:ascii="Times New Roman" w:eastAsia="Times New Roman" w:hAnsi="Times New Roman" w:cs="Times New Roman"/>
          <w:sz w:val="24"/>
          <w:szCs w:val="24"/>
          <w:lang w:val="bg-BG"/>
        </w:rPr>
      </w:pPr>
    </w:p>
    <w:p w:rsidR="00926617" w:rsidRPr="00292755" w:rsidRDefault="00926617" w:rsidP="00292755">
      <w:pPr>
        <w:spacing w:after="0" w:line="240" w:lineRule="auto"/>
        <w:jc w:val="both"/>
        <w:rPr>
          <w:rFonts w:ascii="Times New Roman" w:eastAsia="Times New Roman" w:hAnsi="Times New Roman" w:cs="Times New Roman"/>
          <w:b/>
          <w:sz w:val="24"/>
          <w:szCs w:val="24"/>
          <w:lang w:val="bg-BG"/>
        </w:rPr>
      </w:pPr>
      <w:r w:rsidRPr="00292755">
        <w:rPr>
          <w:rFonts w:ascii="Times New Roman" w:eastAsia="Times New Roman" w:hAnsi="Times New Roman" w:cs="Times New Roman"/>
          <w:b/>
          <w:sz w:val="24"/>
          <w:szCs w:val="24"/>
          <w:lang w:val="bg-BG"/>
        </w:rPr>
        <w:t>РЕШЕНИЕ:</w:t>
      </w:r>
    </w:p>
    <w:p w:rsidR="00413C72" w:rsidRPr="00292755" w:rsidRDefault="00413C72" w:rsidP="00292755">
      <w:pPr>
        <w:spacing w:after="0" w:line="240" w:lineRule="auto"/>
        <w:jc w:val="both"/>
        <w:rPr>
          <w:rFonts w:ascii="Times New Roman" w:eastAsia="Times New Roman" w:hAnsi="Times New Roman" w:cs="Times New Roman"/>
          <w:i/>
          <w:sz w:val="24"/>
          <w:szCs w:val="24"/>
          <w:lang w:val="bg-BG"/>
        </w:rPr>
      </w:pPr>
      <w:r w:rsidRPr="00292755">
        <w:rPr>
          <w:rFonts w:ascii="Times New Roman" w:eastAsia="Times New Roman" w:hAnsi="Times New Roman" w:cs="Times New Roman"/>
          <w:i/>
          <w:sz w:val="24"/>
          <w:szCs w:val="24"/>
          <w:lang w:val="bg-BG"/>
        </w:rPr>
        <w:t>Комитетът по наблюдение  одобри предложението на УО за допълнение в текста на програмата а развитие на селските район 2014-2020, свързано с предоставяне на възможност кандидати по инвестиционните мерки от ПРСР на собствен риск да стартират процедури по ПМС 160 за избор на изпълнител преди сключване на административен договор с ДФЗ. Допълнението ще бъде отразено в съответните насоки за кандидатстване.</w:t>
      </w:r>
    </w:p>
    <w:p w:rsidR="00926617" w:rsidRDefault="00926617" w:rsidP="00292755">
      <w:pPr>
        <w:spacing w:after="0" w:line="240" w:lineRule="auto"/>
        <w:jc w:val="both"/>
        <w:rPr>
          <w:rFonts w:ascii="Times New Roman" w:eastAsia="Times New Roman" w:hAnsi="Times New Roman" w:cs="Times New Roman"/>
          <w:sz w:val="24"/>
          <w:szCs w:val="24"/>
          <w:lang w:val="bg-BG"/>
        </w:rPr>
      </w:pPr>
    </w:p>
    <w:p w:rsidR="00336C09" w:rsidRDefault="00336C09" w:rsidP="00292755">
      <w:pPr>
        <w:spacing w:after="0" w:line="240" w:lineRule="auto"/>
        <w:jc w:val="both"/>
        <w:rPr>
          <w:rFonts w:ascii="Times New Roman" w:eastAsia="Times New Roman" w:hAnsi="Times New Roman" w:cs="Times New Roman"/>
          <w:sz w:val="24"/>
          <w:szCs w:val="24"/>
          <w:lang w:val="bg-BG"/>
        </w:rPr>
      </w:pPr>
    </w:p>
    <w:p w:rsidR="00336C09" w:rsidRDefault="00336C09" w:rsidP="0029275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Гласеване:</w:t>
      </w:r>
    </w:p>
    <w:p w:rsidR="00336C09" w:rsidRPr="00292755" w:rsidRDefault="00336C09" w:rsidP="00292755">
      <w:pPr>
        <w:spacing w:after="0" w:line="240" w:lineRule="auto"/>
        <w:jc w:val="both"/>
        <w:rPr>
          <w:rFonts w:ascii="Times New Roman" w:eastAsia="Times New Roman" w:hAnsi="Times New Roman" w:cs="Times New Roman"/>
          <w:sz w:val="24"/>
          <w:szCs w:val="24"/>
          <w:lang w:val="bg-BG"/>
        </w:rPr>
      </w:pPr>
    </w:p>
    <w:p w:rsidR="00451964" w:rsidRPr="00292755" w:rsidRDefault="00926617"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П</w:t>
      </w:r>
      <w:r w:rsidR="00451964" w:rsidRPr="00292755">
        <w:rPr>
          <w:rFonts w:ascii="Times New Roman" w:eastAsia="Times New Roman" w:hAnsi="Times New Roman" w:cs="Times New Roman"/>
          <w:sz w:val="24"/>
          <w:szCs w:val="24"/>
          <w:lang w:val="bg-BG"/>
        </w:rPr>
        <w:t>р</w:t>
      </w:r>
      <w:r w:rsidRPr="00292755">
        <w:rPr>
          <w:rFonts w:ascii="Times New Roman" w:eastAsia="Times New Roman" w:hAnsi="Times New Roman" w:cs="Times New Roman"/>
          <w:sz w:val="24"/>
          <w:szCs w:val="24"/>
          <w:lang w:val="bg-BG"/>
        </w:rPr>
        <w:t>отив“ - няма</w:t>
      </w:r>
    </w:p>
    <w:p w:rsidR="00451964" w:rsidRPr="00292755" w:rsidRDefault="00926617"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„Въздържали се“ – няма</w:t>
      </w:r>
      <w:r w:rsidR="00451964" w:rsidRPr="00292755">
        <w:rPr>
          <w:rFonts w:ascii="Times New Roman" w:eastAsia="Times New Roman" w:hAnsi="Times New Roman" w:cs="Times New Roman"/>
          <w:sz w:val="24"/>
          <w:szCs w:val="24"/>
          <w:lang w:val="bg-BG"/>
        </w:rPr>
        <w:t>.</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„За“ – 42.</w:t>
      </w:r>
    </w:p>
    <w:p w:rsidR="00451964" w:rsidRPr="00292755" w:rsidRDefault="00451964"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Допълнението се приема</w:t>
      </w:r>
      <w:r w:rsidR="00336C09">
        <w:rPr>
          <w:rFonts w:ascii="Times New Roman" w:eastAsia="Times New Roman" w:hAnsi="Times New Roman" w:cs="Times New Roman"/>
          <w:sz w:val="24"/>
          <w:szCs w:val="24"/>
          <w:lang w:val="bg-BG"/>
        </w:rPr>
        <w:t xml:space="preserve"> с  единодушие</w:t>
      </w:r>
      <w:r w:rsidRPr="00292755">
        <w:rPr>
          <w:rFonts w:ascii="Times New Roman" w:eastAsia="Times New Roman" w:hAnsi="Times New Roman" w:cs="Times New Roman"/>
          <w:sz w:val="24"/>
          <w:szCs w:val="24"/>
          <w:lang w:val="bg-BG"/>
        </w:rPr>
        <w:t xml:space="preserve">. </w:t>
      </w:r>
    </w:p>
    <w:p w:rsidR="00926617" w:rsidRPr="00292755" w:rsidRDefault="00926617" w:rsidP="00292755">
      <w:pPr>
        <w:spacing w:after="0" w:line="240" w:lineRule="auto"/>
        <w:jc w:val="both"/>
        <w:rPr>
          <w:rFonts w:ascii="Times New Roman" w:eastAsia="Times New Roman" w:hAnsi="Times New Roman" w:cs="Times New Roman"/>
          <w:sz w:val="24"/>
          <w:szCs w:val="24"/>
          <w:lang w:val="bg-BG"/>
        </w:rPr>
      </w:pPr>
    </w:p>
    <w:p w:rsidR="00451964" w:rsidRPr="00292755" w:rsidRDefault="00926617" w:rsidP="00292755">
      <w:pPr>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Уверявайки участниците в зеседанието на </w:t>
      </w:r>
      <w:r w:rsidR="00336C09">
        <w:rPr>
          <w:rFonts w:ascii="Times New Roman" w:eastAsia="Times New Roman" w:hAnsi="Times New Roman" w:cs="Times New Roman"/>
          <w:sz w:val="24"/>
          <w:szCs w:val="24"/>
          <w:lang w:val="bg-BG"/>
        </w:rPr>
        <w:t xml:space="preserve">Комитета по наблюдение, че </w:t>
      </w:r>
      <w:r w:rsidRPr="00292755">
        <w:rPr>
          <w:rFonts w:ascii="Times New Roman" w:eastAsia="Times New Roman" w:hAnsi="Times New Roman" w:cs="Times New Roman"/>
          <w:sz w:val="24"/>
          <w:szCs w:val="24"/>
          <w:lang w:val="bg-BG"/>
        </w:rPr>
        <w:t>р</w:t>
      </w:r>
      <w:r w:rsidR="00336C09">
        <w:rPr>
          <w:rFonts w:ascii="Times New Roman" w:eastAsia="Times New Roman" w:hAnsi="Times New Roman" w:cs="Times New Roman"/>
          <w:sz w:val="24"/>
          <w:szCs w:val="24"/>
          <w:lang w:val="bg-BG"/>
        </w:rPr>
        <w:t>аботата ще продължи интензивно</w:t>
      </w:r>
      <w:r w:rsidRPr="00292755">
        <w:rPr>
          <w:rFonts w:ascii="Times New Roman" w:eastAsia="Times New Roman" w:hAnsi="Times New Roman" w:cs="Times New Roman"/>
          <w:sz w:val="24"/>
          <w:szCs w:val="24"/>
          <w:lang w:val="bg-BG"/>
        </w:rPr>
        <w:t>, независимо от полическата ситуация,  д-р Неков закри заседанието, пожела</w:t>
      </w:r>
      <w:r w:rsidR="00336C09">
        <w:rPr>
          <w:rFonts w:ascii="Times New Roman" w:eastAsia="Times New Roman" w:hAnsi="Times New Roman" w:cs="Times New Roman"/>
          <w:sz w:val="24"/>
          <w:szCs w:val="24"/>
          <w:lang w:val="bg-BG"/>
        </w:rPr>
        <w:t>вайки  спорна и успешна седмица на участниците в заседанието.</w:t>
      </w:r>
    </w:p>
    <w:p w:rsidR="00926617" w:rsidRPr="00292755" w:rsidRDefault="00451964" w:rsidP="00292755">
      <w:pPr>
        <w:spacing w:after="0" w:line="240" w:lineRule="auto"/>
        <w:ind w:firstLine="1134"/>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rPr>
        <w:tab/>
        <w:t xml:space="preserve">                                                                                                            </w:t>
      </w:r>
    </w:p>
    <w:p w:rsidR="00926617" w:rsidRPr="00292755" w:rsidRDefault="00926617" w:rsidP="00292755">
      <w:pPr>
        <w:spacing w:after="0" w:line="240" w:lineRule="auto"/>
        <w:ind w:firstLine="1134"/>
        <w:jc w:val="both"/>
        <w:rPr>
          <w:rFonts w:ascii="Times New Roman" w:eastAsia="Times New Roman" w:hAnsi="Times New Roman" w:cs="Times New Roman"/>
          <w:sz w:val="24"/>
          <w:szCs w:val="24"/>
          <w:lang w:val="bg-BG"/>
        </w:rPr>
      </w:pPr>
    </w:p>
    <w:p w:rsidR="00926617" w:rsidRPr="00292755" w:rsidRDefault="00926617" w:rsidP="00292755">
      <w:pPr>
        <w:spacing w:after="0" w:line="240" w:lineRule="auto"/>
        <w:ind w:firstLine="1134"/>
        <w:jc w:val="both"/>
        <w:rPr>
          <w:rFonts w:ascii="Times New Roman" w:eastAsia="Times New Roman" w:hAnsi="Times New Roman" w:cs="Times New Roman"/>
          <w:sz w:val="24"/>
          <w:szCs w:val="24"/>
          <w:lang w:val="bg-BG"/>
        </w:rPr>
      </w:pPr>
    </w:p>
    <w:p w:rsidR="00926617" w:rsidRPr="00292755" w:rsidRDefault="00926617" w:rsidP="00292755">
      <w:pPr>
        <w:spacing w:after="0" w:line="240" w:lineRule="auto"/>
        <w:ind w:firstLine="1134"/>
        <w:jc w:val="both"/>
        <w:rPr>
          <w:rFonts w:ascii="Times New Roman" w:eastAsia="Times New Roman" w:hAnsi="Times New Roman" w:cs="Times New Roman"/>
          <w:sz w:val="24"/>
          <w:szCs w:val="24"/>
          <w:lang w:val="bg-BG"/>
        </w:rPr>
      </w:pPr>
    </w:p>
    <w:p w:rsidR="00926617" w:rsidRPr="00292755" w:rsidRDefault="00926617" w:rsidP="00292755">
      <w:pPr>
        <w:spacing w:after="0" w:line="240" w:lineRule="auto"/>
        <w:ind w:firstLine="1134"/>
        <w:jc w:val="both"/>
        <w:rPr>
          <w:rFonts w:ascii="Times New Roman" w:eastAsia="Times New Roman" w:hAnsi="Times New Roman" w:cs="Times New Roman"/>
          <w:sz w:val="24"/>
          <w:szCs w:val="24"/>
          <w:lang w:val="bg-BG"/>
        </w:rPr>
      </w:pPr>
    </w:p>
    <w:p w:rsidR="00926617" w:rsidRPr="00292755" w:rsidRDefault="00926617" w:rsidP="00292755">
      <w:pPr>
        <w:spacing w:after="0" w:line="240" w:lineRule="auto"/>
        <w:ind w:firstLine="1134"/>
        <w:jc w:val="both"/>
        <w:rPr>
          <w:rFonts w:ascii="Times New Roman" w:eastAsia="Times New Roman" w:hAnsi="Times New Roman" w:cs="Times New Roman"/>
          <w:sz w:val="24"/>
          <w:szCs w:val="24"/>
          <w:lang w:val="bg-BG"/>
        </w:rPr>
      </w:pPr>
    </w:p>
    <w:p w:rsidR="00926617" w:rsidRPr="00292755" w:rsidRDefault="00926617" w:rsidP="00292755">
      <w:pPr>
        <w:spacing w:after="0" w:line="240" w:lineRule="auto"/>
        <w:ind w:firstLine="1134"/>
        <w:jc w:val="both"/>
        <w:rPr>
          <w:rFonts w:ascii="Times New Roman" w:eastAsia="Times New Roman" w:hAnsi="Times New Roman" w:cs="Times New Roman"/>
          <w:sz w:val="24"/>
          <w:szCs w:val="24"/>
          <w:lang w:val="bg-BG"/>
        </w:rPr>
      </w:pPr>
    </w:p>
    <w:p w:rsidR="00451964" w:rsidRPr="00292755" w:rsidRDefault="00451964" w:rsidP="00292755">
      <w:pPr>
        <w:spacing w:after="0" w:line="240" w:lineRule="auto"/>
        <w:ind w:firstLine="1134"/>
        <w:jc w:val="right"/>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 xml:space="preserve">  Приложение 1.</w:t>
      </w:r>
    </w:p>
    <w:p w:rsidR="00451964" w:rsidRPr="00292755" w:rsidRDefault="00451964" w:rsidP="00292755">
      <w:pPr>
        <w:spacing w:after="0" w:line="240" w:lineRule="auto"/>
        <w:jc w:val="center"/>
        <w:rPr>
          <w:rFonts w:ascii="Times New Roman" w:eastAsia="Calibri" w:hAnsi="Times New Roman" w:cs="Times New Roman"/>
          <w:b/>
          <w:sz w:val="24"/>
          <w:szCs w:val="24"/>
          <w:lang w:val="bg-BG"/>
        </w:rPr>
      </w:pPr>
      <w:r w:rsidRPr="00292755">
        <w:rPr>
          <w:rFonts w:ascii="Times New Roman" w:eastAsia="Calibri" w:hAnsi="Times New Roman" w:cs="Times New Roman"/>
          <w:b/>
          <w:sz w:val="24"/>
          <w:szCs w:val="24"/>
          <w:lang w:val="bg-BG"/>
        </w:rPr>
        <w:t>СПИСЪК</w:t>
      </w:r>
    </w:p>
    <w:p w:rsidR="00451964" w:rsidRPr="00292755" w:rsidRDefault="00451964" w:rsidP="00292755">
      <w:pPr>
        <w:spacing w:after="0" w:line="240" w:lineRule="auto"/>
        <w:jc w:val="center"/>
        <w:rPr>
          <w:rFonts w:ascii="Times New Roman" w:eastAsia="Calibri" w:hAnsi="Times New Roman" w:cs="Times New Roman"/>
          <w:b/>
          <w:sz w:val="24"/>
          <w:szCs w:val="24"/>
          <w:lang w:val="bg-BG"/>
        </w:rPr>
      </w:pPr>
      <w:r w:rsidRPr="00292755">
        <w:rPr>
          <w:rFonts w:ascii="Times New Roman" w:eastAsia="Calibri" w:hAnsi="Times New Roman" w:cs="Times New Roman"/>
          <w:b/>
          <w:sz w:val="24"/>
          <w:szCs w:val="24"/>
          <w:lang w:val="bg-BG"/>
        </w:rPr>
        <w:t xml:space="preserve">НА УЧАСТНИЦИТЕ В 18-то ЗАСЕДАНИЕ </w:t>
      </w:r>
    </w:p>
    <w:p w:rsidR="00451964" w:rsidRPr="00292755" w:rsidRDefault="00451964" w:rsidP="00292755">
      <w:pPr>
        <w:spacing w:after="0" w:line="240" w:lineRule="auto"/>
        <w:jc w:val="center"/>
        <w:rPr>
          <w:rFonts w:ascii="Times New Roman" w:eastAsia="Calibri" w:hAnsi="Times New Roman" w:cs="Times New Roman"/>
          <w:b/>
          <w:sz w:val="24"/>
          <w:szCs w:val="24"/>
          <w:lang w:val="bg-BG"/>
        </w:rPr>
      </w:pPr>
      <w:r w:rsidRPr="00292755">
        <w:rPr>
          <w:rFonts w:ascii="Times New Roman" w:eastAsia="Calibri" w:hAnsi="Times New Roman" w:cs="Times New Roman"/>
          <w:b/>
          <w:sz w:val="24"/>
          <w:szCs w:val="24"/>
          <w:lang w:val="bg-BG"/>
        </w:rPr>
        <w:t>НА КОМИТЕТА ЗА НАБЛЮДЕНИЕ НА</w:t>
      </w:r>
    </w:p>
    <w:p w:rsidR="00451964" w:rsidRPr="00292755" w:rsidRDefault="00451964" w:rsidP="00292755">
      <w:pPr>
        <w:spacing w:after="0" w:line="240" w:lineRule="auto"/>
        <w:jc w:val="center"/>
        <w:rPr>
          <w:rFonts w:ascii="Times New Roman" w:eastAsia="Calibri" w:hAnsi="Times New Roman" w:cs="Times New Roman"/>
          <w:b/>
          <w:sz w:val="24"/>
          <w:szCs w:val="24"/>
          <w:lang w:val="bg-BG"/>
        </w:rPr>
      </w:pPr>
      <w:r w:rsidRPr="00292755">
        <w:rPr>
          <w:rFonts w:ascii="Times New Roman" w:eastAsia="Calibri" w:hAnsi="Times New Roman" w:cs="Times New Roman"/>
          <w:b/>
          <w:sz w:val="24"/>
          <w:szCs w:val="24"/>
          <w:lang w:val="bg-BG"/>
        </w:rPr>
        <w:t xml:space="preserve">ПРОГРАМАТА ЗА РАЗВИТИЕ НА СЕЛСКИТЕ РАЙОНИ 2014-2020 г. </w:t>
      </w:r>
    </w:p>
    <w:p w:rsidR="00451964" w:rsidRPr="00292755" w:rsidRDefault="00451964" w:rsidP="00292755">
      <w:pPr>
        <w:spacing w:after="0" w:line="240" w:lineRule="auto"/>
        <w:jc w:val="center"/>
        <w:rPr>
          <w:rFonts w:ascii="Times New Roman" w:eastAsia="Calibri" w:hAnsi="Times New Roman" w:cs="Times New Roman"/>
          <w:b/>
          <w:sz w:val="24"/>
          <w:szCs w:val="24"/>
          <w:lang w:val="bg-BG"/>
        </w:rPr>
      </w:pPr>
      <w:r w:rsidRPr="00292755">
        <w:rPr>
          <w:rFonts w:ascii="Times New Roman" w:eastAsia="Calibri" w:hAnsi="Times New Roman" w:cs="Times New Roman"/>
          <w:b/>
          <w:sz w:val="24"/>
          <w:szCs w:val="24"/>
          <w:lang w:val="bg-BG"/>
        </w:rPr>
        <w:t>( 11 юли 2022 г.)</w:t>
      </w:r>
    </w:p>
    <w:p w:rsidR="00451964" w:rsidRPr="00292755" w:rsidRDefault="00451964" w:rsidP="00292755">
      <w:pPr>
        <w:spacing w:after="0" w:line="240" w:lineRule="auto"/>
        <w:rPr>
          <w:rFonts w:ascii="Times New Roman" w:eastAsia="Calibri" w:hAnsi="Times New Roman" w:cs="Times New Roman"/>
          <w:b/>
          <w:sz w:val="24"/>
          <w:szCs w:val="24"/>
          <w:lang w:val="bg-BG"/>
        </w:rPr>
      </w:pPr>
    </w:p>
    <w:p w:rsidR="00451964" w:rsidRPr="00292755" w:rsidRDefault="00451964" w:rsidP="00292755">
      <w:pPr>
        <w:spacing w:after="0" w:line="240" w:lineRule="auto"/>
        <w:jc w:val="both"/>
        <w:rPr>
          <w:rFonts w:ascii="Times New Roman" w:eastAsia="Calibri" w:hAnsi="Times New Roman" w:cs="Times New Roman"/>
          <w:b/>
          <w:sz w:val="24"/>
          <w:szCs w:val="24"/>
          <w:lang w:val="bg-BG"/>
        </w:rPr>
      </w:pPr>
      <w:r w:rsidRPr="00292755">
        <w:rPr>
          <w:rFonts w:ascii="Times New Roman" w:eastAsia="Calibri" w:hAnsi="Times New Roman" w:cs="Times New Roman"/>
          <w:b/>
          <w:sz w:val="24"/>
          <w:szCs w:val="24"/>
          <w:lang w:val="bg-BG"/>
        </w:rPr>
        <w:t>ЧЛЕНОВЕ НА КОМИТЕТА ПО НАБЛЮДЕНИЕ НА ПРСР 2014-2020 Г.</w:t>
      </w:r>
    </w:p>
    <w:p w:rsidR="00451964" w:rsidRPr="00292755" w:rsidRDefault="00451964" w:rsidP="00292755">
      <w:pPr>
        <w:spacing w:after="0" w:line="240" w:lineRule="auto"/>
        <w:jc w:val="both"/>
        <w:rPr>
          <w:rFonts w:ascii="Times New Roman" w:eastAsia="Calibri" w:hAnsi="Times New Roman" w:cs="Times New Roman"/>
          <w:b/>
          <w:sz w:val="24"/>
          <w:szCs w:val="24"/>
          <w:lang w:val="bg-BG"/>
        </w:rPr>
      </w:pPr>
    </w:p>
    <w:p w:rsidR="00451964" w:rsidRPr="00292755" w:rsidRDefault="00451964" w:rsidP="00292755">
      <w:pPr>
        <w:spacing w:after="0" w:line="240" w:lineRule="auto"/>
        <w:jc w:val="both"/>
        <w:rPr>
          <w:rFonts w:ascii="Times New Roman" w:eastAsia="Calibri" w:hAnsi="Times New Roman" w:cs="Times New Roman"/>
          <w:b/>
          <w:sz w:val="24"/>
          <w:szCs w:val="24"/>
          <w:lang w:val="bg-BG"/>
        </w:rPr>
      </w:pPr>
      <w:r w:rsidRPr="00292755">
        <w:rPr>
          <w:rFonts w:ascii="Times New Roman" w:eastAsia="Calibri" w:hAnsi="Times New Roman" w:cs="Times New Roman"/>
          <w:b/>
          <w:sz w:val="24"/>
          <w:szCs w:val="24"/>
          <w:lang w:val="bg-BG"/>
        </w:rPr>
        <w:t>ПРЕДСЕДАТЕЛ: Д-р Момчил Неков – заместник-министър на земедели</w:t>
      </w:r>
      <w:r w:rsidR="00FE731B">
        <w:rPr>
          <w:rFonts w:ascii="Times New Roman" w:eastAsia="Calibri" w:hAnsi="Times New Roman" w:cs="Times New Roman"/>
          <w:b/>
          <w:sz w:val="24"/>
          <w:szCs w:val="24"/>
          <w:lang w:val="bg-BG"/>
        </w:rPr>
        <w:t xml:space="preserve">ето, </w:t>
      </w:r>
      <w:r w:rsidRPr="00292755">
        <w:rPr>
          <w:rFonts w:ascii="Times New Roman" w:eastAsia="Calibri" w:hAnsi="Times New Roman" w:cs="Times New Roman"/>
          <w:b/>
          <w:sz w:val="24"/>
          <w:szCs w:val="24"/>
          <w:lang w:val="bg-BG"/>
        </w:rPr>
        <w:t>ръководител на Управляващия орган на Програмата за развитие на селските райони (2014-2020) и председател на КН на ПРСР.</w:t>
      </w:r>
    </w:p>
    <w:p w:rsidR="00451964" w:rsidRPr="00292755" w:rsidRDefault="00451964" w:rsidP="00292755">
      <w:pPr>
        <w:spacing w:after="0" w:line="240" w:lineRule="auto"/>
        <w:jc w:val="both"/>
        <w:rPr>
          <w:rFonts w:ascii="Times New Roman" w:eastAsia="Calibri" w:hAnsi="Times New Roman" w:cs="Times New Roman"/>
          <w:b/>
          <w:sz w:val="24"/>
          <w:szCs w:val="24"/>
          <w:lang w:val="bg-BG"/>
        </w:rPr>
      </w:pPr>
    </w:p>
    <w:p w:rsidR="00451964" w:rsidRPr="00292755" w:rsidRDefault="00451964" w:rsidP="00292755">
      <w:pPr>
        <w:numPr>
          <w:ilvl w:val="0"/>
          <w:numId w:val="41"/>
        </w:numPr>
        <w:overflowPunct w:val="0"/>
        <w:autoSpaceDE w:val="0"/>
        <w:autoSpaceDN w:val="0"/>
        <w:adjustRightInd w:val="0"/>
        <w:spacing w:after="120" w:line="240" w:lineRule="auto"/>
        <w:ind w:left="357" w:hanging="357"/>
        <w:contextualSpacing/>
        <w:jc w:val="both"/>
        <w:textAlignment w:val="baseline"/>
        <w:rPr>
          <w:rFonts w:ascii="Times New Roman" w:eastAsia="Calibri" w:hAnsi="Times New Roman" w:cs="Times New Roman"/>
          <w:sz w:val="24"/>
          <w:szCs w:val="24"/>
          <w:lang w:val="bg-BG"/>
        </w:rPr>
      </w:pPr>
      <w:r w:rsidRPr="00292755">
        <w:rPr>
          <w:rFonts w:ascii="Times New Roman" w:eastAsia="Calibri" w:hAnsi="Times New Roman" w:cs="Times New Roman"/>
          <w:sz w:val="24"/>
          <w:szCs w:val="24"/>
          <w:lang w:val="bg-BG"/>
        </w:rPr>
        <w:t>Елена Иванова – директор на дирекция „Развитие на селските  райони“, МЗм;</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24"/>
          <w:szCs w:val="24"/>
          <w:lang w:val="bg-BG"/>
        </w:rPr>
      </w:pPr>
      <w:r w:rsidRPr="00292755">
        <w:rPr>
          <w:rFonts w:ascii="Times New Roman" w:eastAsia="Calibri" w:hAnsi="Times New Roman" w:cs="Times New Roman"/>
          <w:sz w:val="24"/>
          <w:szCs w:val="24"/>
          <w:lang w:val="bg-BG"/>
        </w:rPr>
        <w:t>Мирослав Панков – началник на отдел „Програмиране, планиране, наблюдение и техническа помощ“, МЗм;</w:t>
      </w:r>
    </w:p>
    <w:p w:rsidR="00451964" w:rsidRPr="00292755" w:rsidRDefault="00451964" w:rsidP="00292755">
      <w:pPr>
        <w:numPr>
          <w:ilvl w:val="0"/>
          <w:numId w:val="41"/>
        </w:numPr>
        <w:overflowPunct w:val="0"/>
        <w:autoSpaceDE w:val="0"/>
        <w:autoSpaceDN w:val="0"/>
        <w:adjustRightInd w:val="0"/>
        <w:spacing w:after="120" w:line="240" w:lineRule="auto"/>
        <w:ind w:left="357" w:hanging="357"/>
        <w:contextualSpacing/>
        <w:jc w:val="both"/>
        <w:textAlignment w:val="baseline"/>
        <w:rPr>
          <w:rFonts w:ascii="Times New Roman" w:eastAsia="Calibri" w:hAnsi="Times New Roman" w:cs="Times New Roman"/>
          <w:sz w:val="24"/>
          <w:szCs w:val="24"/>
          <w:lang w:val="bg-BG"/>
        </w:rPr>
      </w:pPr>
      <w:r w:rsidRPr="00292755">
        <w:rPr>
          <w:rFonts w:ascii="Times New Roman" w:eastAsia="Calibri" w:hAnsi="Times New Roman" w:cs="Times New Roman"/>
          <w:sz w:val="24"/>
          <w:szCs w:val="24"/>
          <w:lang w:val="bg-BG"/>
        </w:rPr>
        <w:t>Владислав  Цветанов – началник на отдел „Инвестиции и стартова подкрепа за бизнеса“, МЗм;</w:t>
      </w:r>
    </w:p>
    <w:p w:rsidR="00451964" w:rsidRPr="00292755" w:rsidRDefault="00451964" w:rsidP="00292755">
      <w:pPr>
        <w:numPr>
          <w:ilvl w:val="0"/>
          <w:numId w:val="41"/>
        </w:numPr>
        <w:overflowPunct w:val="0"/>
        <w:autoSpaceDE w:val="0"/>
        <w:autoSpaceDN w:val="0"/>
        <w:adjustRightInd w:val="0"/>
        <w:spacing w:after="0" w:line="240" w:lineRule="auto"/>
        <w:ind w:left="357" w:hanging="357"/>
        <w:contextualSpacing/>
        <w:jc w:val="both"/>
        <w:textAlignment w:val="baseline"/>
        <w:rPr>
          <w:rFonts w:ascii="Times New Roman" w:eastAsia="Calibri" w:hAnsi="Times New Roman" w:cs="Times New Roman"/>
          <w:sz w:val="24"/>
          <w:szCs w:val="24"/>
          <w:lang w:val="bg-BG"/>
        </w:rPr>
      </w:pPr>
      <w:r w:rsidRPr="00292755">
        <w:rPr>
          <w:rFonts w:ascii="Times New Roman" w:eastAsia="Calibri" w:hAnsi="Times New Roman" w:cs="Times New Roman"/>
          <w:sz w:val="24"/>
          <w:szCs w:val="24"/>
          <w:lang w:val="bg-BG"/>
        </w:rPr>
        <w:t>Климент Петров – зам.-изпълнителен директор на  ДФЗ-РА;</w:t>
      </w:r>
    </w:p>
    <w:p w:rsidR="00451964" w:rsidRPr="00292755" w:rsidRDefault="00451964" w:rsidP="00292755">
      <w:pPr>
        <w:numPr>
          <w:ilvl w:val="0"/>
          <w:numId w:val="41"/>
        </w:numPr>
        <w:overflowPunct w:val="0"/>
        <w:autoSpaceDE w:val="0"/>
        <w:autoSpaceDN w:val="0"/>
        <w:adjustRightInd w:val="0"/>
        <w:spacing w:after="0" w:line="240" w:lineRule="auto"/>
        <w:contextualSpacing/>
        <w:textAlignment w:val="baseline"/>
        <w:rPr>
          <w:rFonts w:ascii="Times New Roman" w:eastAsia="Calibri" w:hAnsi="Times New Roman" w:cs="Times New Roman"/>
          <w:sz w:val="24"/>
          <w:szCs w:val="24"/>
          <w:lang w:val="bg-BG"/>
        </w:rPr>
      </w:pPr>
      <w:r w:rsidRPr="00292755">
        <w:rPr>
          <w:rFonts w:ascii="Times New Roman" w:eastAsia="Calibri" w:hAnsi="Times New Roman" w:cs="Times New Roman"/>
          <w:sz w:val="24"/>
          <w:szCs w:val="24"/>
          <w:lang w:val="bg-BG"/>
        </w:rPr>
        <w:t>Ива Иванова – зам.-изпълнителен директор на  ДФЗ-РА;</w:t>
      </w:r>
    </w:p>
    <w:p w:rsidR="00451964" w:rsidRPr="00292755" w:rsidRDefault="00451964" w:rsidP="00292755">
      <w:pPr>
        <w:numPr>
          <w:ilvl w:val="0"/>
          <w:numId w:val="41"/>
        </w:numPr>
        <w:overflowPunct w:val="0"/>
        <w:autoSpaceDE w:val="0"/>
        <w:autoSpaceDN w:val="0"/>
        <w:adjustRightInd w:val="0"/>
        <w:spacing w:after="0" w:line="240" w:lineRule="auto"/>
        <w:ind w:left="357" w:hanging="357"/>
        <w:contextualSpacing/>
        <w:jc w:val="both"/>
        <w:textAlignment w:val="baseline"/>
        <w:rPr>
          <w:rFonts w:ascii="Times New Roman" w:eastAsia="Calibri" w:hAnsi="Times New Roman" w:cs="Times New Roman"/>
          <w:sz w:val="24"/>
          <w:szCs w:val="24"/>
          <w:lang w:val="bg-BG"/>
        </w:rPr>
      </w:pPr>
      <w:r w:rsidRPr="00292755">
        <w:rPr>
          <w:rFonts w:ascii="Times New Roman" w:eastAsia="Calibri" w:hAnsi="Times New Roman" w:cs="Times New Roman"/>
          <w:sz w:val="24"/>
          <w:szCs w:val="24"/>
          <w:lang w:val="bg-BG"/>
        </w:rPr>
        <w:t>Стоян Котов– директор на дирекция</w:t>
      </w:r>
      <w:r w:rsidR="00EB743F">
        <w:rPr>
          <w:rFonts w:ascii="Times New Roman" w:eastAsia="Calibri" w:hAnsi="Times New Roman" w:cs="Times New Roman"/>
          <w:sz w:val="24"/>
          <w:szCs w:val="24"/>
          <w:lang w:val="bg-BG"/>
        </w:rPr>
        <w:t xml:space="preserve"> „Морско дело и рибарство“, МЗм</w:t>
      </w:r>
      <w:r w:rsidRPr="00292755">
        <w:rPr>
          <w:rFonts w:ascii="Times New Roman" w:eastAsia="Calibri" w:hAnsi="Times New Roman" w:cs="Times New Roman"/>
          <w:sz w:val="24"/>
          <w:szCs w:val="24"/>
          <w:lang w:val="bg-BG"/>
        </w:rPr>
        <w:t>;</w:t>
      </w:r>
    </w:p>
    <w:p w:rsidR="00451964" w:rsidRPr="00292755" w:rsidRDefault="00451964" w:rsidP="00292755">
      <w:pPr>
        <w:numPr>
          <w:ilvl w:val="0"/>
          <w:numId w:val="41"/>
        </w:numPr>
        <w:overflowPunct w:val="0"/>
        <w:autoSpaceDE w:val="0"/>
        <w:autoSpaceDN w:val="0"/>
        <w:adjustRightInd w:val="0"/>
        <w:spacing w:after="0" w:line="240" w:lineRule="auto"/>
        <w:ind w:left="357" w:hanging="357"/>
        <w:contextualSpacing/>
        <w:jc w:val="both"/>
        <w:textAlignment w:val="baseline"/>
        <w:rPr>
          <w:rFonts w:ascii="Times New Roman" w:eastAsia="Calibri" w:hAnsi="Times New Roman" w:cs="Times New Roman"/>
          <w:sz w:val="24"/>
          <w:szCs w:val="24"/>
          <w:lang w:val="bg-BG"/>
        </w:rPr>
      </w:pPr>
      <w:r w:rsidRPr="00292755">
        <w:rPr>
          <w:rFonts w:ascii="Times New Roman" w:eastAsia="Calibri" w:hAnsi="Times New Roman" w:cs="Times New Roman"/>
          <w:sz w:val="24"/>
          <w:szCs w:val="24"/>
          <w:lang w:val="bg-BG"/>
        </w:rPr>
        <w:t>Десислава Георгиева – началник на отдел „Програмиране и договаряне“ в ГДЕФМП, МТСП;</w:t>
      </w:r>
    </w:p>
    <w:p w:rsidR="00451964" w:rsidRPr="00292755" w:rsidRDefault="00451964" w:rsidP="00292755">
      <w:pPr>
        <w:numPr>
          <w:ilvl w:val="0"/>
          <w:numId w:val="41"/>
        </w:numPr>
        <w:overflowPunct w:val="0"/>
        <w:autoSpaceDE w:val="0"/>
        <w:autoSpaceDN w:val="0"/>
        <w:adjustRightInd w:val="0"/>
        <w:spacing w:after="120" w:line="240" w:lineRule="auto"/>
        <w:ind w:left="357" w:hanging="357"/>
        <w:contextualSpacing/>
        <w:jc w:val="both"/>
        <w:textAlignment w:val="baseline"/>
        <w:rPr>
          <w:rFonts w:ascii="Times New Roman" w:eastAsia="Calibri" w:hAnsi="Times New Roman" w:cs="Times New Roman"/>
          <w:sz w:val="24"/>
          <w:szCs w:val="24"/>
          <w:lang w:val="bg-BG"/>
        </w:rPr>
      </w:pPr>
      <w:r w:rsidRPr="00292755">
        <w:rPr>
          <w:rFonts w:ascii="Times New Roman" w:eastAsia="Calibri" w:hAnsi="Times New Roman" w:cs="Times New Roman"/>
          <w:sz w:val="24"/>
          <w:szCs w:val="24"/>
          <w:lang w:val="bg-BG"/>
        </w:rPr>
        <w:t>Ташка Габровска – държавен експерт в главна дирекция „Европейски фондове, международни програми и проекти“ (ГД ЕФМПП),  МТСП;</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24"/>
          <w:szCs w:val="24"/>
          <w:lang w:val="bg-BG"/>
        </w:rPr>
      </w:pPr>
      <w:r w:rsidRPr="00292755">
        <w:rPr>
          <w:rFonts w:ascii="Times New Roman" w:eastAsia="Calibri" w:hAnsi="Times New Roman" w:cs="Times New Roman"/>
          <w:sz w:val="24"/>
          <w:szCs w:val="24"/>
          <w:lang w:val="bg-BG"/>
        </w:rPr>
        <w:t>Веселина Будинарска-Тюфекчиева – държавен експерт в дирекция „Програмиране, наблюдение и оценка“, ИА „Програма за образование“ ;</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24"/>
          <w:szCs w:val="24"/>
          <w:lang w:val="bg-BG"/>
        </w:rPr>
      </w:pPr>
      <w:r w:rsidRPr="00292755">
        <w:rPr>
          <w:rFonts w:ascii="Times New Roman" w:eastAsia="Calibri" w:hAnsi="Times New Roman" w:cs="Times New Roman"/>
          <w:sz w:val="24"/>
          <w:szCs w:val="24"/>
          <w:lang w:val="bg-BG"/>
        </w:rPr>
        <w:t xml:space="preserve"> Десислава Михалкова - Станимирова – главен експерт в отдел „Програмиране и договаряне“, Главна дирекция „Европейски фонд</w:t>
      </w:r>
      <w:r w:rsidR="00EB743F">
        <w:rPr>
          <w:rFonts w:ascii="Times New Roman" w:eastAsia="Calibri" w:hAnsi="Times New Roman" w:cs="Times New Roman"/>
          <w:sz w:val="24"/>
          <w:szCs w:val="24"/>
          <w:lang w:val="bg-BG"/>
        </w:rPr>
        <w:t>ове за конкурентоспособност“, МИР</w:t>
      </w:r>
      <w:r w:rsidRPr="00292755">
        <w:rPr>
          <w:rFonts w:ascii="Times New Roman" w:eastAsia="Calibri" w:hAnsi="Times New Roman" w:cs="Times New Roman"/>
          <w:sz w:val="24"/>
          <w:szCs w:val="24"/>
          <w:lang w:val="bg-BG"/>
        </w:rPr>
        <w:t>;</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24"/>
          <w:szCs w:val="24"/>
          <w:lang w:val="bg-BG"/>
        </w:rPr>
      </w:pPr>
      <w:r w:rsidRPr="00292755">
        <w:rPr>
          <w:rFonts w:ascii="Times New Roman" w:eastAsia="Calibri" w:hAnsi="Times New Roman" w:cs="Times New Roman"/>
          <w:sz w:val="24"/>
          <w:szCs w:val="24"/>
          <w:lang w:val="bg-BG"/>
        </w:rPr>
        <w:t xml:space="preserve">Десислава Николова – държавен експерт в отдел „Мониторинг, </w:t>
      </w:r>
      <w:r w:rsidR="00EB743F">
        <w:rPr>
          <w:rFonts w:ascii="Times New Roman" w:eastAsia="Calibri" w:hAnsi="Times New Roman" w:cs="Times New Roman"/>
          <w:sz w:val="24"/>
          <w:szCs w:val="24"/>
          <w:lang w:val="bg-BG"/>
        </w:rPr>
        <w:t>информация и комуникация“, Министерство на транспорта</w:t>
      </w:r>
      <w:r w:rsidR="00C9204F">
        <w:rPr>
          <w:rFonts w:ascii="Times New Roman" w:eastAsia="Calibri" w:hAnsi="Times New Roman" w:cs="Times New Roman"/>
          <w:sz w:val="24"/>
          <w:szCs w:val="24"/>
          <w:lang w:val="bg-BG"/>
        </w:rPr>
        <w:t xml:space="preserve"> и съобщенията</w:t>
      </w:r>
      <w:r w:rsidRPr="00292755">
        <w:rPr>
          <w:rFonts w:ascii="Times New Roman" w:eastAsia="Calibri" w:hAnsi="Times New Roman" w:cs="Times New Roman"/>
          <w:sz w:val="24"/>
          <w:szCs w:val="24"/>
          <w:lang w:val="bg-BG"/>
        </w:rPr>
        <w:t>;</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24"/>
          <w:szCs w:val="24"/>
          <w:lang w:val="bg-BG"/>
        </w:rPr>
      </w:pPr>
      <w:r w:rsidRPr="00292755">
        <w:rPr>
          <w:rFonts w:ascii="Times New Roman" w:eastAsia="Calibri" w:hAnsi="Times New Roman" w:cs="Times New Roman"/>
          <w:sz w:val="24"/>
          <w:szCs w:val="24"/>
          <w:lang w:val="bg-BG"/>
        </w:rPr>
        <w:t>Станислав Ефтимов – старши експерт в отдел „Мониторинг и верификация“ дирекция „Добро управление“, МС;</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Далила Факирова – главен сътрудник по УЕПП  в отдел „Програмиране и планиране“, ГД Оперативна програма „Околна среда“, МОСВ;</w:t>
      </w:r>
    </w:p>
    <w:p w:rsidR="00451964" w:rsidRPr="00292755" w:rsidRDefault="00451964" w:rsidP="00292755">
      <w:pPr>
        <w:numPr>
          <w:ilvl w:val="0"/>
          <w:numId w:val="41"/>
        </w:numPr>
        <w:spacing w:after="0" w:line="240" w:lineRule="auto"/>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Теодора Влаевска -  държавен експерт в дирекция „Икономическа и социална политика”, МС;</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Нели Цекова – старши експерт в дирекция „Координация по въпросите на ЕС“, МС;</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 xml:space="preserve">Соня Микова – държавен експерт в отдел „Наблюдение и анализ” в дирекция „Централно координационно звено“, МС;  </w:t>
      </w:r>
    </w:p>
    <w:p w:rsidR="00451964" w:rsidRPr="00292755" w:rsidRDefault="00451964" w:rsidP="00292755">
      <w:pPr>
        <w:numPr>
          <w:ilvl w:val="0"/>
          <w:numId w:val="41"/>
        </w:numPr>
        <w:overflowPunct w:val="0"/>
        <w:autoSpaceDE w:val="0"/>
        <w:autoSpaceDN w:val="0"/>
        <w:adjustRightInd w:val="0"/>
        <w:spacing w:after="120" w:line="240" w:lineRule="auto"/>
        <w:ind w:left="357" w:hanging="357"/>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Яна Маринова-Петрова – държавен експерт в отдел „Национални стратегии и програми за развитие“, МФ;</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Паолина Киркова – главен експерт в дирекция „Държавни помощи и реален сектор“, МФ;</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Гиргина Николова – началник на отдел отдел „Сметки и цени в селското и горското стопанство”</w:t>
      </w:r>
      <w:r w:rsidRPr="00292755">
        <w:rPr>
          <w:rFonts w:ascii="Times New Roman" w:eastAsia="Times New Roman" w:hAnsi="Times New Roman" w:cs="Times New Roman"/>
          <w:sz w:val="24"/>
          <w:szCs w:val="24"/>
          <w:lang w:val="bg-BG"/>
        </w:rPr>
        <w:t xml:space="preserve"> </w:t>
      </w:r>
      <w:r w:rsidRPr="00292755">
        <w:rPr>
          <w:rFonts w:ascii="Times New Roman" w:eastAsia="Times New Roman" w:hAnsi="Times New Roman" w:cs="Times New Roman"/>
          <w:sz w:val="24"/>
          <w:szCs w:val="24"/>
          <w:lang w:val="bg-BG" w:eastAsia="bg-BG"/>
        </w:rPr>
        <w:t>в дирекция  „Макроикономическа статистика“, НСИ;</w:t>
      </w:r>
      <w:r w:rsidRPr="00292755">
        <w:rPr>
          <w:rFonts w:ascii="Times New Roman" w:eastAsia="Times New Roman" w:hAnsi="Times New Roman" w:cs="Times New Roman"/>
          <w:sz w:val="24"/>
          <w:szCs w:val="24"/>
          <w:lang w:val="bg-BG"/>
        </w:rPr>
        <w:t xml:space="preserve"> </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rPr>
        <w:t>Марияна Колева – главен експерт в дирекция Международни проекти и програми“, МЗ;</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rPr>
        <w:t>Юрий Вълковски – зам.-министър на културата, МК;</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Инж. Николай Василев – главен експерт, дирекция „Наука и международна дейност“, ИАГ;</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Д-р Виктория Тодорова –  старши експерт в отдел „Идентификация на животните и ветеринарномедицинските дейности“, дирекция ЗХОЖКФ, БАБХ;</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 xml:space="preserve">Виктор Стойчев  – областен управител на област Ловеч, Регионален съвет за развитие на Северозападен район; </w:t>
      </w:r>
    </w:p>
    <w:p w:rsidR="00451964" w:rsidRPr="00292755" w:rsidRDefault="00451964" w:rsidP="00292755">
      <w:pPr>
        <w:numPr>
          <w:ilvl w:val="0"/>
          <w:numId w:val="41"/>
        </w:numPr>
        <w:spacing w:after="0" w:line="240" w:lineRule="auto"/>
        <w:jc w:val="both"/>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Милена Недева – кмет на община Каспичан, Регионален съвет за развитие на Североизточен  район;</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Красимир Джонев – кмет на община Летница, НСОРБ;</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Симеон Петков – експерт в НСОРБ;</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 xml:space="preserve">Николай Момчилов </w:t>
      </w:r>
      <w:r w:rsidR="005758AB" w:rsidRPr="00292755">
        <w:rPr>
          <w:rFonts w:ascii="Times New Roman" w:eastAsia="Times New Roman" w:hAnsi="Times New Roman" w:cs="Times New Roman"/>
          <w:sz w:val="24"/>
          <w:szCs w:val="24"/>
          <w:lang w:val="bg-BG" w:eastAsia="bg-BG"/>
        </w:rPr>
        <w:t>– експерт АИКБ;</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Силвия Тодорова – директор „Индустриално развитие“, Българска стопанска камара (БСК);</w:t>
      </w:r>
    </w:p>
    <w:p w:rsidR="00451964" w:rsidRPr="00292755" w:rsidRDefault="00974940"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Анелия Иванова</w:t>
      </w:r>
      <w:r w:rsidR="00451964" w:rsidRPr="00292755">
        <w:rPr>
          <w:rFonts w:ascii="Times New Roman" w:eastAsia="Times New Roman" w:hAnsi="Times New Roman" w:cs="Times New Roman"/>
          <w:sz w:val="24"/>
          <w:szCs w:val="24"/>
          <w:lang w:val="bg-BG" w:eastAsia="bg-BG"/>
        </w:rPr>
        <w:t xml:space="preserve"> – </w:t>
      </w:r>
      <w:r w:rsidRPr="00292755">
        <w:rPr>
          <w:rFonts w:ascii="Times New Roman" w:eastAsia="Times New Roman" w:hAnsi="Times New Roman" w:cs="Times New Roman"/>
          <w:sz w:val="24"/>
          <w:szCs w:val="24"/>
          <w:lang w:val="bg-BG" w:eastAsia="bg-BG"/>
        </w:rPr>
        <w:t xml:space="preserve"> НФЗГ</w:t>
      </w:r>
      <w:r w:rsidR="00C9204F">
        <w:rPr>
          <w:rFonts w:ascii="Times New Roman" w:eastAsia="Times New Roman" w:hAnsi="Times New Roman" w:cs="Times New Roman"/>
          <w:sz w:val="24"/>
          <w:szCs w:val="24"/>
          <w:lang w:val="bg-BG" w:eastAsia="bg-BG"/>
        </w:rPr>
        <w:t>,</w:t>
      </w:r>
      <w:r w:rsidRPr="00292755">
        <w:rPr>
          <w:rFonts w:ascii="Times New Roman" w:eastAsia="Times New Roman" w:hAnsi="Times New Roman" w:cs="Times New Roman"/>
          <w:sz w:val="24"/>
          <w:szCs w:val="24"/>
          <w:lang w:val="bg-BG" w:eastAsia="bg-BG"/>
        </w:rPr>
        <w:t xml:space="preserve"> </w:t>
      </w:r>
      <w:r w:rsidR="00451964" w:rsidRPr="00292755">
        <w:rPr>
          <w:rFonts w:ascii="Times New Roman" w:eastAsia="Times New Roman" w:hAnsi="Times New Roman" w:cs="Times New Roman"/>
          <w:sz w:val="24"/>
          <w:szCs w:val="24"/>
          <w:lang w:val="bg-BG" w:eastAsia="bg-BG"/>
        </w:rPr>
        <w:t>КТ „Подкрепа“;</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 xml:space="preserve">Акад. Атанас Атанасов –  БАН; </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 xml:space="preserve">Лора Жебрил – Сдружение </w:t>
      </w:r>
      <w:r w:rsidRPr="00292755">
        <w:rPr>
          <w:rFonts w:ascii="Times New Roman" w:eastAsia="Times New Roman" w:hAnsi="Times New Roman" w:cs="Times New Roman"/>
          <w:sz w:val="24"/>
          <w:szCs w:val="24"/>
          <w:lang w:eastAsia="bg-BG"/>
        </w:rPr>
        <w:t>WWF</w:t>
      </w:r>
      <w:r w:rsidRPr="00292755">
        <w:rPr>
          <w:rFonts w:ascii="Times New Roman" w:eastAsia="Times New Roman" w:hAnsi="Times New Roman" w:cs="Times New Roman"/>
          <w:sz w:val="24"/>
          <w:szCs w:val="24"/>
          <w:lang w:val="bg-BG" w:eastAsia="bg-BG"/>
        </w:rPr>
        <w:t xml:space="preserve"> България;</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 xml:space="preserve">Иван Главчовски – Сдружение „Коалиция за устойчиво развитие“; </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Ирина Матеева -  Български дружество за защита на птиците;</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Илиас Сарнук – Национална асоциация на младите фермери в България;</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 xml:space="preserve">Румен Андреев – Асоциация на индустриалното свиневъдство в България; </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 xml:space="preserve">Диана Атанасова – началник на отдел „Агростатистика” в </w:t>
      </w:r>
      <w:hyperlink r:id="rId11" w:history="1">
        <w:r w:rsidRPr="00292755">
          <w:rPr>
            <w:rFonts w:ascii="Times New Roman" w:eastAsia="Times New Roman" w:hAnsi="Times New Roman" w:cs="Times New Roman"/>
            <w:bCs/>
            <w:sz w:val="24"/>
            <w:szCs w:val="24"/>
            <w:lang w:val="bg-BG" w:eastAsia="bg-BG"/>
          </w:rPr>
          <w:t>Главна дирекция „Земеделие и регионална политика”</w:t>
        </w:r>
      </w:hyperlink>
      <w:r w:rsidR="00EB743F">
        <w:rPr>
          <w:rFonts w:ascii="Times New Roman" w:eastAsia="Times New Roman" w:hAnsi="Times New Roman" w:cs="Times New Roman"/>
          <w:sz w:val="24"/>
          <w:szCs w:val="24"/>
          <w:lang w:val="bg-BG" w:eastAsia="bg-BG"/>
        </w:rPr>
        <w:t xml:space="preserve"> (ГДЗРП), МЗм</w:t>
      </w:r>
      <w:r w:rsidRPr="00292755">
        <w:rPr>
          <w:rFonts w:ascii="Times New Roman" w:eastAsia="Times New Roman" w:hAnsi="Times New Roman" w:cs="Times New Roman"/>
          <w:sz w:val="24"/>
          <w:szCs w:val="24"/>
          <w:lang w:val="bg-BG" w:eastAsia="bg-BG"/>
        </w:rPr>
        <w:t>;</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Деница Динчева – директор на дирекция „Животновъдство“, МЗм;</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Полина Марина – дирекция „Животновъдство“, МЗм;</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Мариета Нейкова -</w:t>
      </w:r>
      <w:r w:rsidRPr="00292755">
        <w:rPr>
          <w:rFonts w:ascii="Times New Roman" w:eastAsia="Times New Roman" w:hAnsi="Times New Roman" w:cs="Times New Roman"/>
          <w:sz w:val="24"/>
          <w:szCs w:val="24"/>
        </w:rPr>
        <w:t xml:space="preserve"> </w:t>
      </w:r>
      <w:r w:rsidRPr="00292755">
        <w:rPr>
          <w:rFonts w:ascii="Times New Roman" w:eastAsia="Times New Roman" w:hAnsi="Times New Roman" w:cs="Times New Roman"/>
          <w:sz w:val="24"/>
          <w:szCs w:val="24"/>
          <w:lang w:val="bg-BG" w:eastAsia="bg-BG"/>
        </w:rPr>
        <w:t>дирекция „Животновъдство“, МЗм;</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Антоан Чаракчиев – директор на дирекция „Биологично производство“, МЗм;</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Надежда Богданова – главен експерт в дирекция „Стопански дейности, инв</w:t>
      </w:r>
      <w:r w:rsidR="00EB743F">
        <w:rPr>
          <w:rFonts w:ascii="Times New Roman" w:eastAsia="Times New Roman" w:hAnsi="Times New Roman" w:cs="Times New Roman"/>
          <w:sz w:val="24"/>
          <w:szCs w:val="24"/>
          <w:lang w:val="bg-BG" w:eastAsia="bg-BG"/>
        </w:rPr>
        <w:t>естиции и хидромелиорации“, МЗм</w:t>
      </w:r>
      <w:r w:rsidRPr="00292755">
        <w:rPr>
          <w:rFonts w:ascii="Times New Roman" w:eastAsia="Times New Roman" w:hAnsi="Times New Roman" w:cs="Times New Roman"/>
          <w:sz w:val="24"/>
          <w:szCs w:val="24"/>
          <w:lang w:val="bg-BG" w:eastAsia="bg-BG"/>
        </w:rPr>
        <w:t>;</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Дора Ненова – директор на дирекция „Държавни помощи и регулации”, МЗм;</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 xml:space="preserve">Десислава Василева – началник на отдел в дирекция „Анализ </w:t>
      </w:r>
      <w:r w:rsidR="00C9204F">
        <w:rPr>
          <w:rFonts w:ascii="Times New Roman" w:eastAsia="Times New Roman" w:hAnsi="Times New Roman" w:cs="Times New Roman"/>
          <w:sz w:val="24"/>
          <w:szCs w:val="24"/>
          <w:lang w:val="bg-BG" w:eastAsia="bg-BG"/>
        </w:rPr>
        <w:t>и стратегическо планиране”, МЗм</w:t>
      </w:r>
      <w:r w:rsidRPr="00292755">
        <w:rPr>
          <w:rFonts w:ascii="Times New Roman" w:eastAsia="Times New Roman" w:hAnsi="Times New Roman" w:cs="Times New Roman"/>
          <w:sz w:val="24"/>
          <w:szCs w:val="24"/>
          <w:lang w:val="bg-BG" w:eastAsia="bg-BG"/>
        </w:rPr>
        <w:t>;</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Аделина Стоянова – директор на дирекция „Директни плащания“, МЗм;</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Елена Александрова – Георгиева – началник на отдел в</w:t>
      </w:r>
      <w:r w:rsidRPr="00292755">
        <w:rPr>
          <w:rFonts w:ascii="Times New Roman" w:eastAsia="Times New Roman" w:hAnsi="Times New Roman" w:cs="Times New Roman"/>
          <w:sz w:val="24"/>
          <w:szCs w:val="24"/>
        </w:rPr>
        <w:t xml:space="preserve"> </w:t>
      </w:r>
      <w:r w:rsidRPr="00292755">
        <w:rPr>
          <w:rFonts w:ascii="Times New Roman" w:eastAsia="Times New Roman" w:hAnsi="Times New Roman" w:cs="Times New Roman"/>
          <w:sz w:val="24"/>
          <w:szCs w:val="24"/>
          <w:lang w:val="bg-BG" w:eastAsia="bg-BG"/>
        </w:rPr>
        <w:t>дирекция  „Пазарни мерки и организации на производители“, МЗм;</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Димитър Ванев – главен директор на Главна дирекция „Съвети в земеделието и аналитична лаборатория”, НССЗ;</w:t>
      </w:r>
    </w:p>
    <w:p w:rsidR="00451964" w:rsidRPr="00292755" w:rsidRDefault="00451964" w:rsidP="00292755">
      <w:pPr>
        <w:numPr>
          <w:ilvl w:val="0"/>
          <w:numId w:val="41"/>
        </w:numPr>
        <w:spacing w:after="0" w:line="240" w:lineRule="auto"/>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Делян Георгиев  –  началник отдел, НССЗ;</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Тодор Варгов – директор на дирекция дирекция „Програми и проекти в туризма“, Министерство на туризма;</w:t>
      </w:r>
    </w:p>
    <w:p w:rsidR="00451964" w:rsidRPr="00292755" w:rsidRDefault="00451964" w:rsidP="00292755">
      <w:pPr>
        <w:numPr>
          <w:ilvl w:val="0"/>
          <w:numId w:val="41"/>
        </w:numPr>
        <w:spacing w:after="0" w:line="240" w:lineRule="auto"/>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Никола Маневски – главен експерт в дирекция „Програми и проекти в туризма“, Министерство на туризма;</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Юлия Григорова – Иванова, държавен експерт в дирекция „Национална служба за защита на природата“, МОСВ;</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Емил Дърев – член на УС на Българска асоциация на консултантите по европейски програми (БАКЕП).</w:t>
      </w:r>
      <w:r w:rsidR="00374595">
        <w:rPr>
          <w:rFonts w:ascii="Times New Roman" w:eastAsia="Times New Roman" w:hAnsi="Times New Roman" w:cs="Times New Roman"/>
          <w:sz w:val="24"/>
          <w:szCs w:val="24"/>
          <w:lang w:val="ru-RU"/>
        </w:rPr>
        <w:t>;</w:t>
      </w:r>
    </w:p>
    <w:p w:rsidR="00DC258C" w:rsidRPr="00292755" w:rsidRDefault="00DC258C" w:rsidP="0037459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ru-RU"/>
        </w:rPr>
        <w:t>Петко Симеонов</w:t>
      </w:r>
      <w:r w:rsidR="00374595">
        <w:rPr>
          <w:rFonts w:ascii="Times New Roman" w:eastAsia="Times New Roman" w:hAnsi="Times New Roman" w:cs="Times New Roman"/>
          <w:sz w:val="24"/>
          <w:szCs w:val="24"/>
          <w:lang w:val="ru-RU"/>
        </w:rPr>
        <w:t xml:space="preserve"> </w:t>
      </w:r>
      <w:r w:rsidR="00374595" w:rsidRPr="00374595">
        <w:rPr>
          <w:rFonts w:ascii="Times New Roman" w:eastAsia="Times New Roman" w:hAnsi="Times New Roman" w:cs="Times New Roman"/>
          <w:sz w:val="24"/>
          <w:szCs w:val="24"/>
          <w:lang w:val="ru-RU"/>
        </w:rPr>
        <w:t>–</w:t>
      </w:r>
      <w:r w:rsidR="00374595">
        <w:rPr>
          <w:rFonts w:ascii="Times New Roman" w:eastAsia="Times New Roman" w:hAnsi="Times New Roman" w:cs="Times New Roman"/>
          <w:sz w:val="24"/>
          <w:szCs w:val="24"/>
          <w:lang w:val="ru-RU"/>
        </w:rPr>
        <w:t xml:space="preserve"> </w:t>
      </w:r>
      <w:r w:rsidR="00374595" w:rsidRPr="00374595">
        <w:rPr>
          <w:rFonts w:ascii="Times New Roman" w:eastAsia="Times New Roman" w:hAnsi="Times New Roman" w:cs="Times New Roman"/>
          <w:sz w:val="24"/>
          <w:szCs w:val="24"/>
          <w:lang w:val="ru-RU"/>
        </w:rPr>
        <w:t>Национална браншова организация „Български пчеларски съюз“</w:t>
      </w:r>
      <w:r w:rsidR="00374595">
        <w:rPr>
          <w:rFonts w:ascii="Times New Roman" w:eastAsia="Times New Roman" w:hAnsi="Times New Roman" w:cs="Times New Roman"/>
          <w:sz w:val="24"/>
          <w:szCs w:val="24"/>
          <w:lang w:val="ru-RU"/>
        </w:rPr>
        <w:t>;</w:t>
      </w:r>
    </w:p>
    <w:p w:rsidR="00451964" w:rsidRPr="00292755" w:rsidRDefault="00451964" w:rsidP="00292755">
      <w:pPr>
        <w:spacing w:after="120" w:line="240" w:lineRule="auto"/>
        <w:ind w:left="360"/>
        <w:contextualSpacing/>
        <w:jc w:val="both"/>
        <w:rPr>
          <w:rFonts w:ascii="Times New Roman" w:eastAsia="Times New Roman" w:hAnsi="Times New Roman" w:cs="Times New Roman"/>
          <w:sz w:val="24"/>
          <w:szCs w:val="24"/>
          <w:lang w:val="ru-RU"/>
        </w:rPr>
      </w:pPr>
    </w:p>
    <w:p w:rsidR="00451964" w:rsidRPr="00292755" w:rsidRDefault="00451964" w:rsidP="00292755">
      <w:pPr>
        <w:spacing w:after="120" w:line="240" w:lineRule="auto"/>
        <w:ind w:left="360"/>
        <w:contextualSpacing/>
        <w:jc w:val="both"/>
        <w:rPr>
          <w:rFonts w:ascii="Times New Roman" w:eastAsia="Times New Roman" w:hAnsi="Times New Roman" w:cs="Times New Roman"/>
          <w:b/>
          <w:sz w:val="24"/>
          <w:szCs w:val="24"/>
          <w:lang w:val="bg-BG" w:eastAsia="bg-BG"/>
        </w:rPr>
      </w:pPr>
      <w:r w:rsidRPr="00292755">
        <w:rPr>
          <w:rFonts w:ascii="Times New Roman" w:eastAsia="Times New Roman" w:hAnsi="Times New Roman" w:cs="Times New Roman"/>
          <w:b/>
          <w:sz w:val="24"/>
          <w:szCs w:val="24"/>
          <w:lang w:val="bg-BG" w:eastAsia="bg-BG"/>
        </w:rPr>
        <w:t>ПРЕДСТАВИТЕЛИ НА ЕК:</w:t>
      </w:r>
    </w:p>
    <w:p w:rsidR="00C9204F" w:rsidRPr="00C9204F" w:rsidRDefault="00C9204F" w:rsidP="00C9204F">
      <w:pPr>
        <w:pStyle w:val="ListParagraph"/>
        <w:numPr>
          <w:ilvl w:val="0"/>
          <w:numId w:val="41"/>
        </w:numPr>
        <w:spacing w:after="100" w:afterAutospacing="1"/>
        <w:ind w:left="357" w:hanging="357"/>
        <w:rPr>
          <w:rFonts w:ascii="Times New Roman" w:eastAsia="Times New Roman" w:hAnsi="Times New Roman" w:cs="Times New Roman"/>
          <w:sz w:val="24"/>
          <w:szCs w:val="24"/>
          <w:lang w:val="bg-BG" w:eastAsia="bg-BG"/>
        </w:rPr>
      </w:pPr>
      <w:r w:rsidRPr="00C9204F">
        <w:rPr>
          <w:rFonts w:ascii="Times New Roman" w:eastAsia="Times New Roman" w:hAnsi="Times New Roman" w:cs="Times New Roman"/>
          <w:sz w:val="24"/>
          <w:szCs w:val="24"/>
          <w:lang w:val="bg-BG" w:eastAsia="bg-BG"/>
        </w:rPr>
        <w:t>Бенжамин Фейрбрадър – ЕК, Главна дирекция „Земеделие и развитие на селските райони“</w:t>
      </w:r>
    </w:p>
    <w:p w:rsidR="00451964" w:rsidRDefault="00451964" w:rsidP="00C9204F">
      <w:pPr>
        <w:numPr>
          <w:ilvl w:val="0"/>
          <w:numId w:val="41"/>
        </w:numPr>
        <w:overflowPunct w:val="0"/>
        <w:autoSpaceDE w:val="0"/>
        <w:autoSpaceDN w:val="0"/>
        <w:adjustRightInd w:val="0"/>
        <w:spacing w:after="0" w:line="240" w:lineRule="auto"/>
        <w:ind w:left="357" w:hanging="357"/>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Елица Живкова – ЕК, Главна дирекция „Земеделие и развитие на селските райони“;</w:t>
      </w:r>
    </w:p>
    <w:p w:rsidR="00C9204F" w:rsidRPr="00C9204F" w:rsidRDefault="00C9204F" w:rsidP="00C9204F">
      <w:pPr>
        <w:pStyle w:val="ListParagraph"/>
        <w:numPr>
          <w:ilvl w:val="0"/>
          <w:numId w:val="41"/>
        </w:numPr>
        <w:spacing w:after="0"/>
        <w:ind w:left="357" w:hanging="357"/>
        <w:rPr>
          <w:rFonts w:ascii="Times New Roman" w:eastAsia="Times New Roman" w:hAnsi="Times New Roman" w:cs="Times New Roman"/>
          <w:sz w:val="24"/>
          <w:szCs w:val="24"/>
          <w:lang w:val="bg-BG" w:eastAsia="bg-BG"/>
        </w:rPr>
      </w:pPr>
      <w:r w:rsidRPr="00C9204F">
        <w:rPr>
          <w:rFonts w:ascii="Times New Roman" w:eastAsia="Times New Roman" w:hAnsi="Times New Roman" w:cs="Times New Roman"/>
          <w:sz w:val="24"/>
          <w:szCs w:val="24"/>
          <w:lang w:val="bg-BG" w:eastAsia="bg-BG"/>
        </w:rPr>
        <w:t>Здравка Димитрова – ЕК, Главна дирекция „Земеделие и развитие на селските райони“</w:t>
      </w:r>
    </w:p>
    <w:p w:rsidR="00C9204F" w:rsidRPr="00292755" w:rsidRDefault="00C9204F" w:rsidP="00C9204F">
      <w:pPr>
        <w:overflowPunct w:val="0"/>
        <w:autoSpaceDE w:val="0"/>
        <w:autoSpaceDN w:val="0"/>
        <w:adjustRightInd w:val="0"/>
        <w:spacing w:after="120" w:line="240" w:lineRule="auto"/>
        <w:ind w:left="360"/>
        <w:contextualSpacing/>
        <w:jc w:val="both"/>
        <w:textAlignment w:val="baseline"/>
        <w:rPr>
          <w:rFonts w:ascii="Times New Roman" w:eastAsia="Times New Roman" w:hAnsi="Times New Roman" w:cs="Times New Roman"/>
          <w:sz w:val="24"/>
          <w:szCs w:val="24"/>
          <w:lang w:val="bg-BG" w:eastAsia="bg-BG"/>
        </w:rPr>
      </w:pPr>
    </w:p>
    <w:p w:rsidR="00451964" w:rsidRPr="00292755" w:rsidRDefault="00451964" w:rsidP="00292755">
      <w:pPr>
        <w:spacing w:after="120" w:line="240" w:lineRule="auto"/>
        <w:ind w:left="360"/>
        <w:contextualSpacing/>
        <w:jc w:val="both"/>
        <w:rPr>
          <w:rFonts w:ascii="Times New Roman" w:eastAsia="Times New Roman" w:hAnsi="Times New Roman" w:cs="Times New Roman"/>
          <w:b/>
          <w:sz w:val="24"/>
          <w:szCs w:val="24"/>
          <w:lang w:val="bg-BG" w:eastAsia="bg-BG"/>
        </w:rPr>
      </w:pPr>
    </w:p>
    <w:p w:rsidR="00451964" w:rsidRPr="00292755" w:rsidRDefault="00451964" w:rsidP="00292755">
      <w:pPr>
        <w:spacing w:after="120" w:line="240" w:lineRule="auto"/>
        <w:ind w:left="360"/>
        <w:contextualSpacing/>
        <w:jc w:val="both"/>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b/>
          <w:sz w:val="24"/>
          <w:szCs w:val="24"/>
          <w:lang w:val="bg-BG" w:eastAsia="bg-BG"/>
        </w:rPr>
        <w:t>НАБЛЮДАТЕЛИ С ПРАВО НА СЪВЕЩАТЕЛЕН ГЛАС:</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Орлин Василев – АОП;</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Силвия Георгиева – директор на дирекция „Наблюдение, координация и контрол на дейността на Разплащателната агенция, МЗм</w:t>
      </w:r>
      <w:r w:rsidR="00504BF1" w:rsidRPr="00292755">
        <w:rPr>
          <w:rFonts w:ascii="Times New Roman" w:eastAsia="Times New Roman" w:hAnsi="Times New Roman" w:cs="Times New Roman"/>
          <w:sz w:val="24"/>
          <w:szCs w:val="24"/>
          <w:lang w:val="bg-BG" w:eastAsia="bg-BG"/>
        </w:rPr>
        <w:t>;</w:t>
      </w:r>
    </w:p>
    <w:p w:rsidR="00451964" w:rsidRPr="00292755" w:rsidRDefault="00451964" w:rsidP="00292755">
      <w:pPr>
        <w:numPr>
          <w:ilvl w:val="0"/>
          <w:numId w:val="41"/>
        </w:numPr>
        <w:spacing w:after="0" w:line="240" w:lineRule="auto"/>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Нели Москова – старши експерт в дирекция „Наблюдение, координация и контрол на дейността на Разплащателната агенция, МЗм;</w:t>
      </w:r>
    </w:p>
    <w:p w:rsidR="00451964" w:rsidRPr="00292755" w:rsidRDefault="00451964" w:rsidP="00292755">
      <w:pPr>
        <w:numPr>
          <w:ilvl w:val="0"/>
          <w:numId w:val="41"/>
        </w:numPr>
        <w:overflowPunct w:val="0"/>
        <w:autoSpaceDE w:val="0"/>
        <w:autoSpaceDN w:val="0"/>
        <w:adjustRightInd w:val="0"/>
        <w:spacing w:after="120" w:line="240" w:lineRule="auto"/>
        <w:ind w:left="357"/>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Владислав Михайлов – сдружение „Национална асоциация на млекопреработвателите”;</w:t>
      </w:r>
    </w:p>
    <w:p w:rsidR="00451964" w:rsidRPr="00292755" w:rsidRDefault="00451964" w:rsidP="00292755">
      <w:pPr>
        <w:numPr>
          <w:ilvl w:val="0"/>
          <w:numId w:val="41"/>
        </w:numPr>
        <w:spacing w:after="0" w:line="240" w:lineRule="auto"/>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Георги Грънчаров – Съюз на птицевъдите в България;</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Благовеста Василева – БАБ;</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Стоилко Апостолов – фондация за биологично земеделие „Биоселена“;</w:t>
      </w:r>
    </w:p>
    <w:p w:rsidR="006D5EA2" w:rsidRPr="00292755" w:rsidRDefault="006D5EA2"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Диляна Попова – Асоциация на месопреработвателите в България</w:t>
      </w:r>
      <w:r w:rsidR="00504BF1" w:rsidRPr="00292755">
        <w:rPr>
          <w:rFonts w:ascii="Times New Roman" w:eastAsia="Times New Roman" w:hAnsi="Times New Roman" w:cs="Times New Roman"/>
          <w:sz w:val="24"/>
          <w:szCs w:val="24"/>
          <w:lang w:val="bg-BG" w:eastAsia="bg-BG"/>
        </w:rPr>
        <w:t>;</w:t>
      </w:r>
    </w:p>
    <w:p w:rsidR="005B5D64" w:rsidRPr="00292755" w:rsidRDefault="00504BF1"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Антоанета Божин</w:t>
      </w:r>
      <w:r w:rsidR="005B5D64" w:rsidRPr="00292755">
        <w:rPr>
          <w:rFonts w:ascii="Times New Roman" w:eastAsia="Times New Roman" w:hAnsi="Times New Roman" w:cs="Times New Roman"/>
          <w:sz w:val="24"/>
          <w:szCs w:val="24"/>
          <w:lang w:val="bg-BG" w:eastAsia="bg-BG"/>
        </w:rPr>
        <w:t>ова</w:t>
      </w:r>
      <w:r w:rsidRPr="00292755">
        <w:rPr>
          <w:rFonts w:ascii="Times New Roman" w:eastAsia="Times New Roman" w:hAnsi="Times New Roman" w:cs="Times New Roman"/>
          <w:sz w:val="24"/>
          <w:szCs w:val="24"/>
          <w:lang w:val="bg-BG" w:eastAsia="bg-BG"/>
        </w:rPr>
        <w:t xml:space="preserve"> -Съюз на преработвателите на плодове и зеленчуци;</w:t>
      </w:r>
    </w:p>
    <w:p w:rsidR="00451964" w:rsidRPr="00292755" w:rsidRDefault="00451964" w:rsidP="00292755">
      <w:pPr>
        <w:spacing w:after="120" w:line="240" w:lineRule="auto"/>
        <w:ind w:left="360"/>
        <w:contextualSpacing/>
        <w:jc w:val="both"/>
        <w:rPr>
          <w:rFonts w:ascii="Times New Roman" w:eastAsia="Times New Roman" w:hAnsi="Times New Roman" w:cs="Times New Roman"/>
          <w:b/>
          <w:sz w:val="24"/>
          <w:szCs w:val="24"/>
          <w:lang w:val="bg-BG" w:eastAsia="bg-BG"/>
        </w:rPr>
      </w:pPr>
    </w:p>
    <w:p w:rsidR="000214ED" w:rsidRPr="00292755" w:rsidRDefault="00451964" w:rsidP="00292755">
      <w:pPr>
        <w:spacing w:after="120" w:line="240" w:lineRule="auto"/>
        <w:ind w:left="360"/>
        <w:contextualSpacing/>
        <w:jc w:val="both"/>
        <w:rPr>
          <w:rFonts w:ascii="Times New Roman" w:eastAsia="Times New Roman" w:hAnsi="Times New Roman" w:cs="Times New Roman"/>
          <w:b/>
          <w:sz w:val="24"/>
          <w:szCs w:val="24"/>
          <w:lang w:val="bg-BG" w:eastAsia="bg-BG"/>
        </w:rPr>
      </w:pPr>
      <w:r w:rsidRPr="00292755">
        <w:rPr>
          <w:rFonts w:ascii="Times New Roman" w:eastAsia="Times New Roman" w:hAnsi="Times New Roman" w:cs="Times New Roman"/>
          <w:b/>
          <w:sz w:val="24"/>
          <w:szCs w:val="24"/>
          <w:lang w:val="bg-BG" w:eastAsia="bg-BG"/>
        </w:rPr>
        <w:t>ДРУГИ УЧАСТНИЦИ:</w:t>
      </w:r>
    </w:p>
    <w:p w:rsidR="000214ED" w:rsidRPr="00292755" w:rsidRDefault="000214ED" w:rsidP="00292755">
      <w:pPr>
        <w:spacing w:after="120" w:line="240" w:lineRule="auto"/>
        <w:ind w:left="360"/>
        <w:contextualSpacing/>
        <w:jc w:val="both"/>
        <w:rPr>
          <w:rFonts w:ascii="Times New Roman" w:eastAsia="Times New Roman" w:hAnsi="Times New Roman" w:cs="Times New Roman"/>
          <w:b/>
          <w:sz w:val="24"/>
          <w:szCs w:val="24"/>
          <w:lang w:val="bg-BG" w:eastAsia="bg-BG"/>
        </w:rPr>
      </w:pPr>
    </w:p>
    <w:p w:rsidR="00451964" w:rsidRPr="00292755" w:rsidRDefault="00451964" w:rsidP="00292755">
      <w:pPr>
        <w:numPr>
          <w:ilvl w:val="0"/>
          <w:numId w:val="41"/>
        </w:numPr>
        <w:overflowPunct w:val="0"/>
        <w:autoSpaceDE w:val="0"/>
        <w:autoSpaceDN w:val="0"/>
        <w:adjustRightInd w:val="0"/>
        <w:spacing w:after="0" w:line="240" w:lineRule="auto"/>
        <w:ind w:left="357" w:hanging="357"/>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Калоян Костадинов  – ДФЗ-РА;</w:t>
      </w:r>
    </w:p>
    <w:p w:rsidR="000214ED" w:rsidRPr="00292755" w:rsidRDefault="000214ED" w:rsidP="00292755">
      <w:pPr>
        <w:pStyle w:val="ListParagraph"/>
        <w:numPr>
          <w:ilvl w:val="0"/>
          <w:numId w:val="41"/>
        </w:numPr>
        <w:spacing w:line="240" w:lineRule="auto"/>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Ивайло Стефанов – МЕУ</w:t>
      </w:r>
      <w:r w:rsidR="00504BF1" w:rsidRPr="00292755">
        <w:rPr>
          <w:rFonts w:ascii="Times New Roman" w:eastAsia="Times New Roman" w:hAnsi="Times New Roman" w:cs="Times New Roman"/>
          <w:sz w:val="24"/>
          <w:szCs w:val="24"/>
          <w:lang w:val="bg-BG" w:eastAsia="bg-BG"/>
        </w:rPr>
        <w:t>;</w:t>
      </w:r>
    </w:p>
    <w:p w:rsidR="000214ED" w:rsidRPr="00292755" w:rsidRDefault="00451964" w:rsidP="00292755">
      <w:pPr>
        <w:pStyle w:val="ListParagraph"/>
        <w:numPr>
          <w:ilvl w:val="0"/>
          <w:numId w:val="41"/>
        </w:numPr>
        <w:spacing w:line="240" w:lineRule="auto"/>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Костадин Костадинов – НАЗ;</w:t>
      </w:r>
    </w:p>
    <w:p w:rsidR="000214ED" w:rsidRPr="00292755" w:rsidRDefault="00451964" w:rsidP="00292755">
      <w:pPr>
        <w:pStyle w:val="ListParagraph"/>
        <w:numPr>
          <w:ilvl w:val="0"/>
          <w:numId w:val="41"/>
        </w:numPr>
        <w:spacing w:line="240" w:lineRule="auto"/>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Боряна Таскова</w:t>
      </w:r>
      <w:r w:rsidR="000214ED" w:rsidRPr="00292755">
        <w:rPr>
          <w:rFonts w:ascii="Times New Roman" w:eastAsia="Times New Roman" w:hAnsi="Times New Roman" w:cs="Times New Roman"/>
          <w:sz w:val="24"/>
          <w:szCs w:val="24"/>
          <w:lang w:val="bg-BG" w:eastAsia="bg-BG"/>
        </w:rPr>
        <w:t>;</w:t>
      </w:r>
    </w:p>
    <w:p w:rsidR="00451964" w:rsidRPr="00292755" w:rsidRDefault="00451964" w:rsidP="00292755">
      <w:pPr>
        <w:pStyle w:val="ListParagraph"/>
        <w:numPr>
          <w:ilvl w:val="0"/>
          <w:numId w:val="41"/>
        </w:numPr>
        <w:spacing w:after="0" w:line="240" w:lineRule="auto"/>
        <w:ind w:left="357" w:hanging="357"/>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Магардич Хулиян</w:t>
      </w:r>
      <w:r w:rsidR="000214ED" w:rsidRPr="00292755">
        <w:rPr>
          <w:rFonts w:ascii="Times New Roman" w:eastAsia="Times New Roman" w:hAnsi="Times New Roman" w:cs="Times New Roman"/>
          <w:sz w:val="24"/>
          <w:szCs w:val="24"/>
          <w:lang w:val="bg-BG" w:eastAsia="bg-BG"/>
        </w:rPr>
        <w:t>;</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Ирена Кир</w:t>
      </w:r>
      <w:r w:rsidR="00902462" w:rsidRPr="00292755">
        <w:rPr>
          <w:rFonts w:ascii="Times New Roman" w:eastAsia="Times New Roman" w:hAnsi="Times New Roman" w:cs="Times New Roman"/>
          <w:sz w:val="24"/>
          <w:szCs w:val="24"/>
          <w:lang w:val="bg-BG" w:eastAsia="bg-BG"/>
        </w:rPr>
        <w:t>илова</w:t>
      </w:r>
      <w:r w:rsidR="006D5EA2" w:rsidRPr="00292755">
        <w:rPr>
          <w:rFonts w:ascii="Times New Roman" w:eastAsia="Times New Roman" w:hAnsi="Times New Roman" w:cs="Times New Roman"/>
          <w:sz w:val="24"/>
          <w:szCs w:val="24"/>
          <w:lang w:val="bg-BG" w:eastAsia="bg-BG"/>
        </w:rPr>
        <w:t>-Попова</w:t>
      </w:r>
      <w:r w:rsidR="00902462" w:rsidRPr="00292755">
        <w:rPr>
          <w:rFonts w:ascii="Times New Roman" w:eastAsia="Times New Roman" w:hAnsi="Times New Roman" w:cs="Times New Roman"/>
          <w:sz w:val="24"/>
          <w:szCs w:val="24"/>
          <w:lang w:val="bg-BG" w:eastAsia="bg-BG"/>
        </w:rPr>
        <w:t xml:space="preserve"> – община Козлодуй</w:t>
      </w:r>
      <w:r w:rsidR="000214ED" w:rsidRPr="00292755">
        <w:rPr>
          <w:rFonts w:ascii="Times New Roman" w:eastAsia="Times New Roman" w:hAnsi="Times New Roman" w:cs="Times New Roman"/>
          <w:sz w:val="24"/>
          <w:szCs w:val="24"/>
          <w:lang w:val="bg-BG" w:eastAsia="bg-BG"/>
        </w:rPr>
        <w:t>;</w:t>
      </w:r>
    </w:p>
    <w:p w:rsidR="00FB6C50" w:rsidRPr="00292755" w:rsidRDefault="00FB6C50"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Нели Петрова</w:t>
      </w:r>
      <w:r w:rsidR="000214ED" w:rsidRPr="00292755">
        <w:rPr>
          <w:rFonts w:ascii="Times New Roman" w:eastAsia="Times New Roman" w:hAnsi="Times New Roman" w:cs="Times New Roman"/>
          <w:sz w:val="24"/>
          <w:szCs w:val="24"/>
          <w:lang w:val="bg-BG" w:eastAsia="bg-BG"/>
        </w:rPr>
        <w:t>;</w:t>
      </w:r>
    </w:p>
    <w:p w:rsidR="00C54D7B" w:rsidRPr="00292755" w:rsidRDefault="00C54D7B"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НСЗКБ</w:t>
      </w:r>
      <w:r w:rsidR="000214ED" w:rsidRPr="00292755">
        <w:rPr>
          <w:rFonts w:ascii="Times New Roman" w:eastAsia="Times New Roman" w:hAnsi="Times New Roman" w:cs="Times New Roman"/>
          <w:sz w:val="24"/>
          <w:szCs w:val="24"/>
          <w:lang w:val="bg-BG" w:eastAsia="bg-BG"/>
        </w:rPr>
        <w:t>;</w:t>
      </w:r>
    </w:p>
    <w:p w:rsidR="00451964" w:rsidRPr="00292755" w:rsidRDefault="00451964" w:rsidP="00292755">
      <w:pPr>
        <w:numPr>
          <w:ilvl w:val="0"/>
          <w:numId w:val="41"/>
        </w:numPr>
        <w:spacing w:after="0" w:line="240" w:lineRule="auto"/>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Георги Симеонов</w:t>
      </w:r>
      <w:r w:rsidR="000214ED" w:rsidRPr="00292755">
        <w:rPr>
          <w:rFonts w:ascii="Times New Roman" w:eastAsia="Times New Roman" w:hAnsi="Times New Roman" w:cs="Times New Roman"/>
          <w:sz w:val="24"/>
          <w:szCs w:val="24"/>
          <w:lang w:val="bg-BG" w:eastAsia="bg-BG"/>
        </w:rPr>
        <w:t>;</w:t>
      </w:r>
      <w:r w:rsidRPr="00292755">
        <w:rPr>
          <w:rFonts w:ascii="Times New Roman" w:eastAsia="Times New Roman" w:hAnsi="Times New Roman" w:cs="Times New Roman"/>
          <w:sz w:val="24"/>
          <w:szCs w:val="24"/>
          <w:lang w:val="bg-BG" w:eastAsia="bg-BG"/>
        </w:rPr>
        <w:t xml:space="preserve"> </w:t>
      </w:r>
    </w:p>
    <w:p w:rsidR="00451964" w:rsidRPr="00292755" w:rsidRDefault="00451964" w:rsidP="00292755">
      <w:pPr>
        <w:numPr>
          <w:ilvl w:val="0"/>
          <w:numId w:val="41"/>
        </w:numPr>
        <w:overflowPunct w:val="0"/>
        <w:autoSpaceDE w:val="0"/>
        <w:autoSpaceDN w:val="0"/>
        <w:adjustRightInd w:val="0"/>
        <w:spacing w:after="120" w:line="240" w:lineRule="auto"/>
        <w:ind w:left="357" w:hanging="357"/>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Алексей Щефан – НАМ;</w:t>
      </w:r>
    </w:p>
    <w:p w:rsidR="00DA764F" w:rsidRPr="00292755" w:rsidRDefault="00DA764F" w:rsidP="00292755">
      <w:pPr>
        <w:numPr>
          <w:ilvl w:val="0"/>
          <w:numId w:val="41"/>
        </w:numPr>
        <w:overflowPunct w:val="0"/>
        <w:autoSpaceDE w:val="0"/>
        <w:autoSpaceDN w:val="0"/>
        <w:adjustRightInd w:val="0"/>
        <w:spacing w:after="120" w:line="240" w:lineRule="auto"/>
        <w:ind w:left="357" w:hanging="357"/>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Силвия Русинова</w:t>
      </w:r>
      <w:r w:rsidR="000214ED" w:rsidRPr="00292755">
        <w:rPr>
          <w:rFonts w:ascii="Times New Roman" w:eastAsia="Times New Roman" w:hAnsi="Times New Roman" w:cs="Times New Roman"/>
          <w:sz w:val="24"/>
          <w:szCs w:val="24"/>
          <w:lang w:val="bg-BG" w:eastAsia="bg-BG"/>
        </w:rPr>
        <w:t>;</w:t>
      </w:r>
    </w:p>
    <w:p w:rsidR="00451964" w:rsidRPr="00292755" w:rsidRDefault="00451964" w:rsidP="00292755">
      <w:pPr>
        <w:numPr>
          <w:ilvl w:val="0"/>
          <w:numId w:val="41"/>
        </w:numPr>
        <w:overflowPunct w:val="0"/>
        <w:autoSpaceDE w:val="0"/>
        <w:autoSpaceDN w:val="0"/>
        <w:adjustRightInd w:val="0"/>
        <w:spacing w:after="120" w:line="240" w:lineRule="auto"/>
        <w:contextualSpacing/>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 xml:space="preserve">Милен Кръстев – началник на отдел </w:t>
      </w:r>
      <w:r w:rsidR="00C9204F">
        <w:rPr>
          <w:rFonts w:ascii="Times New Roman" w:eastAsia="Times New Roman" w:hAnsi="Times New Roman" w:cs="Times New Roman"/>
          <w:sz w:val="24"/>
          <w:szCs w:val="24"/>
          <w:lang w:val="bg-BG" w:eastAsia="bg-BG"/>
        </w:rPr>
        <w:t xml:space="preserve">, дирекция РСР, </w:t>
      </w:r>
      <w:r w:rsidRPr="00292755">
        <w:rPr>
          <w:rFonts w:ascii="Times New Roman" w:eastAsia="Times New Roman" w:hAnsi="Times New Roman" w:cs="Times New Roman"/>
          <w:sz w:val="24"/>
          <w:szCs w:val="24"/>
          <w:lang w:val="bg-BG" w:eastAsia="bg-BG"/>
        </w:rPr>
        <w:t>МЗм;</w:t>
      </w:r>
    </w:p>
    <w:p w:rsidR="00451964" w:rsidRPr="00292755" w:rsidRDefault="00451964" w:rsidP="00292755">
      <w:pPr>
        <w:numPr>
          <w:ilvl w:val="0"/>
          <w:numId w:val="41"/>
        </w:numPr>
        <w:overflowPunct w:val="0"/>
        <w:autoSpaceDE w:val="0"/>
        <w:autoSpaceDN w:val="0"/>
        <w:adjustRightInd w:val="0"/>
        <w:spacing w:after="120" w:line="240" w:lineRule="auto"/>
        <w:contextualSpacing/>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Снежана Григорова – дирекция РСР, МЗм;</w:t>
      </w:r>
    </w:p>
    <w:p w:rsidR="00451964" w:rsidRPr="00292755" w:rsidRDefault="00451964" w:rsidP="00292755">
      <w:pPr>
        <w:numPr>
          <w:ilvl w:val="0"/>
          <w:numId w:val="41"/>
        </w:numPr>
        <w:overflowPunct w:val="0"/>
        <w:autoSpaceDE w:val="0"/>
        <w:autoSpaceDN w:val="0"/>
        <w:adjustRightInd w:val="0"/>
        <w:spacing w:after="120" w:line="240" w:lineRule="auto"/>
        <w:contextualSpacing/>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Мария Христова – дирекция РСР, МЗм;</w:t>
      </w:r>
    </w:p>
    <w:p w:rsidR="00451964" w:rsidRPr="00292755" w:rsidRDefault="00451964" w:rsidP="00292755">
      <w:pPr>
        <w:numPr>
          <w:ilvl w:val="0"/>
          <w:numId w:val="41"/>
        </w:numPr>
        <w:overflowPunct w:val="0"/>
        <w:autoSpaceDE w:val="0"/>
        <w:autoSpaceDN w:val="0"/>
        <w:adjustRightInd w:val="0"/>
        <w:spacing w:after="120" w:line="240" w:lineRule="auto"/>
        <w:contextualSpacing/>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Ралица Василева – дирекция РСР, МЗм;</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Габриела Цекова – преводач;</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Христина Шопова– преводач;</w:t>
      </w:r>
    </w:p>
    <w:p w:rsidR="00451964" w:rsidRPr="00292755" w:rsidRDefault="00451964" w:rsidP="00292755">
      <w:pPr>
        <w:numPr>
          <w:ilvl w:val="0"/>
          <w:numId w:val="41"/>
        </w:numPr>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bg-BG" w:eastAsia="bg-BG"/>
        </w:rPr>
      </w:pPr>
      <w:r w:rsidRPr="00292755">
        <w:rPr>
          <w:rFonts w:ascii="Times New Roman" w:eastAsia="Times New Roman" w:hAnsi="Times New Roman" w:cs="Times New Roman"/>
          <w:sz w:val="24"/>
          <w:szCs w:val="24"/>
          <w:lang w:val="bg-BG" w:eastAsia="bg-BG"/>
        </w:rPr>
        <w:t>Петя Георгиева – стенограф.</w:t>
      </w:r>
    </w:p>
    <w:p w:rsidR="0048154C" w:rsidRPr="00292755" w:rsidRDefault="0048154C" w:rsidP="00292755">
      <w:pPr>
        <w:spacing w:after="0" w:line="240" w:lineRule="auto"/>
        <w:rPr>
          <w:rFonts w:ascii="Times New Roman" w:eastAsia="Calibri" w:hAnsi="Times New Roman" w:cs="Times New Roman"/>
          <w:b/>
          <w:sz w:val="24"/>
          <w:szCs w:val="24"/>
          <w:lang w:val="bg-BG"/>
        </w:rPr>
      </w:pPr>
    </w:p>
    <w:p w:rsidR="00AB7D90" w:rsidRPr="00292755" w:rsidRDefault="00AB7D90" w:rsidP="00292755">
      <w:pPr>
        <w:spacing w:line="240" w:lineRule="auto"/>
        <w:rPr>
          <w:rFonts w:ascii="Times New Roman" w:hAnsi="Times New Roman" w:cs="Times New Roman"/>
          <w:sz w:val="24"/>
          <w:szCs w:val="24"/>
          <w:lang w:val="bg-BG"/>
        </w:rPr>
      </w:pPr>
    </w:p>
    <w:p w:rsidR="00975599" w:rsidRPr="00292755" w:rsidRDefault="00975599" w:rsidP="00292755">
      <w:pPr>
        <w:spacing w:line="240" w:lineRule="auto"/>
        <w:jc w:val="right"/>
        <w:rPr>
          <w:rFonts w:ascii="Times New Roman" w:hAnsi="Times New Roman" w:cs="Times New Roman"/>
          <w:sz w:val="24"/>
          <w:szCs w:val="24"/>
          <w:lang w:val="bg-BG"/>
        </w:rPr>
      </w:pPr>
      <w:r w:rsidRPr="00292755">
        <w:rPr>
          <w:rFonts w:ascii="Times New Roman" w:hAnsi="Times New Roman" w:cs="Times New Roman"/>
          <w:sz w:val="24"/>
          <w:szCs w:val="24"/>
          <w:lang w:val="bg-BG"/>
        </w:rPr>
        <w:tab/>
      </w:r>
      <w:r w:rsidRPr="00292755">
        <w:rPr>
          <w:rFonts w:ascii="Times New Roman" w:hAnsi="Times New Roman" w:cs="Times New Roman"/>
          <w:sz w:val="24"/>
          <w:szCs w:val="24"/>
          <w:lang w:val="bg-BG"/>
        </w:rPr>
        <w:tab/>
      </w:r>
      <w:r w:rsidRPr="00292755">
        <w:rPr>
          <w:rFonts w:ascii="Times New Roman" w:hAnsi="Times New Roman" w:cs="Times New Roman"/>
          <w:sz w:val="24"/>
          <w:szCs w:val="24"/>
          <w:lang w:val="bg-BG"/>
        </w:rPr>
        <w:tab/>
      </w:r>
      <w:r w:rsidRPr="00292755">
        <w:rPr>
          <w:rFonts w:ascii="Times New Roman" w:hAnsi="Times New Roman" w:cs="Times New Roman"/>
          <w:sz w:val="24"/>
          <w:szCs w:val="24"/>
          <w:lang w:val="bg-BG"/>
        </w:rPr>
        <w:tab/>
      </w:r>
      <w:r w:rsidRPr="00292755">
        <w:rPr>
          <w:rFonts w:ascii="Times New Roman" w:hAnsi="Times New Roman" w:cs="Times New Roman"/>
          <w:sz w:val="24"/>
          <w:szCs w:val="24"/>
          <w:lang w:val="bg-BG"/>
        </w:rPr>
        <w:tab/>
      </w:r>
      <w:r w:rsidRPr="00292755">
        <w:rPr>
          <w:rFonts w:ascii="Times New Roman" w:hAnsi="Times New Roman" w:cs="Times New Roman"/>
          <w:sz w:val="24"/>
          <w:szCs w:val="24"/>
          <w:lang w:val="bg-BG"/>
        </w:rPr>
        <w:tab/>
      </w:r>
      <w:r w:rsidRPr="00292755">
        <w:rPr>
          <w:rFonts w:ascii="Times New Roman" w:hAnsi="Times New Roman" w:cs="Times New Roman"/>
          <w:sz w:val="24"/>
          <w:szCs w:val="24"/>
          <w:lang w:val="bg-BG"/>
        </w:rPr>
        <w:tab/>
      </w:r>
      <w:r w:rsidRPr="00292755">
        <w:rPr>
          <w:rFonts w:ascii="Times New Roman" w:hAnsi="Times New Roman" w:cs="Times New Roman"/>
          <w:sz w:val="24"/>
          <w:szCs w:val="24"/>
          <w:lang w:val="bg-BG"/>
        </w:rPr>
        <w:tab/>
      </w:r>
      <w:r w:rsidRPr="00292755">
        <w:rPr>
          <w:rFonts w:ascii="Times New Roman" w:hAnsi="Times New Roman" w:cs="Times New Roman"/>
          <w:sz w:val="24"/>
          <w:szCs w:val="24"/>
          <w:lang w:val="bg-BG"/>
        </w:rPr>
        <w:tab/>
      </w:r>
      <w:r w:rsidRPr="00292755">
        <w:rPr>
          <w:rFonts w:ascii="Times New Roman" w:hAnsi="Times New Roman" w:cs="Times New Roman"/>
          <w:sz w:val="24"/>
          <w:szCs w:val="24"/>
          <w:lang w:val="bg-BG"/>
        </w:rPr>
        <w:tab/>
        <w:t>Приложение 1</w:t>
      </w:r>
      <w:r w:rsidR="00E62E7C" w:rsidRPr="00292755">
        <w:rPr>
          <w:rFonts w:ascii="Times New Roman" w:hAnsi="Times New Roman" w:cs="Times New Roman"/>
          <w:sz w:val="24"/>
          <w:szCs w:val="24"/>
          <w:lang w:val="bg-BG"/>
        </w:rPr>
        <w:t>.</w:t>
      </w:r>
    </w:p>
    <w:p w:rsidR="001E5635" w:rsidRPr="00292755" w:rsidRDefault="001E5635" w:rsidP="00292755">
      <w:pPr>
        <w:spacing w:line="240" w:lineRule="auto"/>
        <w:jc w:val="center"/>
        <w:rPr>
          <w:rFonts w:ascii="Times New Roman" w:hAnsi="Times New Roman" w:cs="Times New Roman"/>
          <w:b/>
          <w:sz w:val="24"/>
          <w:szCs w:val="24"/>
          <w:lang w:val="bg-BG"/>
        </w:rPr>
      </w:pPr>
      <w:r w:rsidRPr="00292755">
        <w:rPr>
          <w:rFonts w:ascii="Times New Roman" w:hAnsi="Times New Roman" w:cs="Times New Roman"/>
          <w:b/>
          <w:sz w:val="24"/>
          <w:szCs w:val="24"/>
          <w:lang w:val="bg-BG"/>
        </w:rPr>
        <w:t xml:space="preserve">Предложение за промяна на текста на </w:t>
      </w:r>
    </w:p>
    <w:p w:rsidR="001E5635" w:rsidRPr="00292755" w:rsidRDefault="001E5635" w:rsidP="00292755">
      <w:pPr>
        <w:spacing w:line="240" w:lineRule="auto"/>
        <w:jc w:val="center"/>
        <w:rPr>
          <w:rFonts w:ascii="Times New Roman" w:hAnsi="Times New Roman" w:cs="Times New Roman"/>
          <w:b/>
          <w:sz w:val="24"/>
          <w:szCs w:val="24"/>
          <w:lang w:val="bg-BG"/>
        </w:rPr>
      </w:pPr>
      <w:r w:rsidRPr="00292755">
        <w:rPr>
          <w:rFonts w:ascii="Times New Roman" w:hAnsi="Times New Roman" w:cs="Times New Roman"/>
          <w:b/>
          <w:sz w:val="24"/>
          <w:szCs w:val="24"/>
          <w:lang w:val="bg-BG"/>
        </w:rPr>
        <w:t>Подмярка 7.2 „Подкрепа за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 от Мярка 7 „Основни услуги и обновяване на селата в селските райони“ от ПРСР 2014-2020 г.</w:t>
      </w:r>
    </w:p>
    <w:p w:rsidR="001E5635" w:rsidRPr="00292755" w:rsidRDefault="001E5635" w:rsidP="00292755">
      <w:pPr>
        <w:spacing w:line="240" w:lineRule="auto"/>
        <w:contextualSpacing/>
        <w:jc w:val="both"/>
        <w:rPr>
          <w:rFonts w:ascii="Times New Roman" w:hAnsi="Times New Roman" w:cs="Times New Roman"/>
          <w:sz w:val="24"/>
          <w:szCs w:val="24"/>
          <w:lang w:val="bg-BG"/>
        </w:rPr>
      </w:pPr>
    </w:p>
    <w:p w:rsidR="001E5635" w:rsidRPr="00292755" w:rsidRDefault="001E5635" w:rsidP="00292755">
      <w:pPr>
        <w:spacing w:line="240" w:lineRule="auto"/>
        <w:ind w:firstLine="567"/>
        <w:contextualSpacing/>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Във връзка с приемането на Регламент (ЕС) 2020/2220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през 2021 г. и 2022 г., се дава възможност на държавите членки да удължат срока на продължителност на програмите, подпомагани от ЕЗФРСР, а именно: срокът от 1 януари 2014 г. до 31 декември 2020 г., определен в член 26, параграф 1 от Регламент (ЕС) № 1303/2013, се удължава до 31 декември 2022 г. Прилагането на ПРСР 2014-2020 се удължава с 2 календарни години, които важат включително и за прилагане на правилото N+3, с което крайният срок за извършване на плащания по ПРСР 2014-2020 се удължава до 31.12.2025 г.</w:t>
      </w:r>
    </w:p>
    <w:p w:rsidR="001E5635" w:rsidRPr="00292755" w:rsidRDefault="001E5635" w:rsidP="00292755">
      <w:pPr>
        <w:spacing w:line="240" w:lineRule="auto"/>
        <w:ind w:firstLine="567"/>
        <w:contextualSpacing/>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В тази връзка УО на ПРСР 2014-2020 г. предвижда обявяване на четири процедури чрез подбор на проектни предложения по подмярка 7.2 „Подкрепа за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 през 2022 г. С цел по-доброто и ефективно прилагане на подмярката в рамките на предстоящите процедури Управляващият орган на ПРСР 2014-2020 г. предлага да бъдат извършени изменения и допълнения в текста на подмярката в одобрената ПРСР 2014-2020 г., свързани с прецизиране на условията за допустимост и критериите за подбор.</w:t>
      </w:r>
    </w:p>
    <w:p w:rsidR="001E5635" w:rsidRPr="00292755" w:rsidRDefault="001E5635" w:rsidP="00292755">
      <w:pPr>
        <w:spacing w:line="240" w:lineRule="auto"/>
        <w:ind w:firstLine="567"/>
        <w:contextualSpacing/>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Предлага се изискването в програмата „Кандидати общини с одобрен проект по конкретна дейност от проведен прием на заявления за подпомагане да нямат възможност да кандидатстват с проект за същата дейност в рамките на следващ прием на заявления по подмярката“ да не се прилага за периода на удължаване на срока на програмата, съгласно разпоредбите на Регламент (ЕС) 2020/2220 на Европейския парламент и на Съвета от 23 декември 2020 година. Това решение ще позволи на кандидатите общини да подготвят и подадат проектни предложения, които най-пълно ще допринесат за постигане на нуждите на местно ниво.</w:t>
      </w:r>
    </w:p>
    <w:p w:rsidR="001E5635" w:rsidRPr="00292755" w:rsidRDefault="001E5635" w:rsidP="00292755">
      <w:pPr>
        <w:spacing w:line="240" w:lineRule="auto"/>
        <w:ind w:firstLine="567"/>
        <w:contextualSpacing/>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Предстоящите процедури за подбор на проектни предложения ще се провеждат на конкурентен принцип и в тази връзка се предлага отпадане на текста, който ограничава финансовата помощ за един кандидат община за периода на удължаване на срока на програмата, да не надхвърля левовата равностойност на определените бюджети за съответната община.</w:t>
      </w:r>
    </w:p>
    <w:p w:rsidR="001E5635" w:rsidRPr="00292755" w:rsidRDefault="001E5635" w:rsidP="00292755">
      <w:pPr>
        <w:spacing w:line="240" w:lineRule="auto"/>
        <w:ind w:firstLine="567"/>
        <w:contextualSpacing/>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Във връзка с промяна в националната дефиниция за „селските райони“ с цел прилагане на мерките по ПРСР 2014-2020 г. в унисон с Програмата за развитие на регионите и поставяне на ясна демаркационна линия между двете програми, УО предлага да се създаде изричен текст, който да пояснява, че всички дейности за малка по мащаби инфраструктура през периода на удължаване на срока на програмата ще са допустими единствено на територията на селските райони, определени по новата национална дефиниция.</w:t>
      </w:r>
    </w:p>
    <w:p w:rsidR="001E5635" w:rsidRPr="00292755" w:rsidRDefault="001E5635" w:rsidP="00292755">
      <w:pPr>
        <w:spacing w:line="240" w:lineRule="auto"/>
        <w:ind w:firstLine="567"/>
        <w:contextualSpacing/>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Във връзка със създалата се икономическа ситуация, довела до значително увеличение на цените за енергия, УО предлага въвеждане на нов принцип при определяне на критериите за подбор, чрез който ще се поощри производството на енергия за собствени нужди и респективно ще се намали енергийната зависимост на селските общини в страната.</w:t>
      </w:r>
    </w:p>
    <w:p w:rsidR="001E5635" w:rsidRPr="00292755" w:rsidRDefault="001E5635" w:rsidP="00292755">
      <w:pPr>
        <w:spacing w:line="240" w:lineRule="auto"/>
        <w:ind w:firstLine="567"/>
        <w:contextualSpacing/>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УО предлага следните изменения и допълнения в частта „Принципи при определяне на критерия за подбор“:</w:t>
      </w:r>
    </w:p>
    <w:p w:rsidR="00503886" w:rsidRPr="00292755" w:rsidRDefault="00503886" w:rsidP="00292755">
      <w:pPr>
        <w:spacing w:line="240" w:lineRule="auto"/>
        <w:ind w:firstLine="567"/>
        <w:contextualSpacing/>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1.</w:t>
      </w:r>
      <w:r w:rsidRPr="00292755">
        <w:rPr>
          <w:rFonts w:ascii="Times New Roman" w:hAnsi="Times New Roman" w:cs="Times New Roman"/>
          <w:sz w:val="24"/>
          <w:szCs w:val="24"/>
          <w:lang w:val="bg-BG"/>
        </w:rPr>
        <w:tab/>
        <w:t xml:space="preserve">За инвестиции в строителство, реконструкция и/или рехабилитация на нови и съществуващи общински пътища, улици, тротоари, и съоръженията и принадлежностите към тях, в принципа „Изграждане и/или реконструкция на инфраструктура, която осигурява директна свързаност на населено място с по-висок клас републикански пътища“, се предлага да не се ограничава свързаността само с републикански пътища, а като условие да бъде заложено осигуряване на свързаност с път от по-висок клас. </w:t>
      </w:r>
    </w:p>
    <w:p w:rsidR="00503886" w:rsidRPr="00292755" w:rsidRDefault="00503886" w:rsidP="00292755">
      <w:pPr>
        <w:spacing w:line="240" w:lineRule="auto"/>
        <w:ind w:firstLine="567"/>
        <w:contextualSpacing/>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2.</w:t>
      </w:r>
      <w:r w:rsidRPr="00292755">
        <w:rPr>
          <w:rFonts w:ascii="Times New Roman" w:hAnsi="Times New Roman" w:cs="Times New Roman"/>
          <w:sz w:val="24"/>
          <w:szCs w:val="24"/>
          <w:lang w:val="bg-BG"/>
        </w:rPr>
        <w:tab/>
        <w:t>За инвестиции в реконструкция и/или ремонт на общински сгради, в които се предоставят обществени услуги, с цел подобряване на тяхната енергийна ефективност се предлага да се добави нов принцип при определяне на критериите за подбор: „Проекти, насочени към производство на енергия за собствено потребление от възобновяеми енергийни източници“. По този начин инвестициите ще бъдат насочени в унисон с приоритетите на Съюза за осигуряване на чиста и зелена енергия.</w:t>
      </w:r>
    </w:p>
    <w:p w:rsidR="00503886" w:rsidRPr="00292755" w:rsidRDefault="00503886" w:rsidP="00292755">
      <w:pPr>
        <w:spacing w:line="240" w:lineRule="auto"/>
        <w:ind w:firstLine="567"/>
        <w:contextualSpacing/>
        <w:jc w:val="both"/>
        <w:rPr>
          <w:rFonts w:ascii="Times New Roman" w:hAnsi="Times New Roman" w:cs="Times New Roman"/>
          <w:sz w:val="24"/>
          <w:szCs w:val="24"/>
          <w:lang w:val="bg-BG"/>
        </w:rPr>
      </w:pPr>
    </w:p>
    <w:p w:rsidR="00503886" w:rsidRPr="00292755" w:rsidRDefault="00503886" w:rsidP="00292755">
      <w:pPr>
        <w:spacing w:line="240" w:lineRule="auto"/>
        <w:ind w:firstLine="567"/>
        <w:contextualSpacing/>
        <w:jc w:val="both"/>
        <w:rPr>
          <w:rFonts w:ascii="Times New Roman" w:hAnsi="Times New Roman" w:cs="Times New Roman"/>
          <w:sz w:val="24"/>
          <w:szCs w:val="24"/>
          <w:lang w:val="bg-BG"/>
        </w:rPr>
      </w:pPr>
    </w:p>
    <w:p w:rsidR="00495925" w:rsidRPr="00292755" w:rsidRDefault="00495925" w:rsidP="00292755">
      <w:pPr>
        <w:spacing w:line="240" w:lineRule="auto"/>
        <w:ind w:firstLine="567"/>
        <w:contextualSpacing/>
        <w:jc w:val="both"/>
        <w:rPr>
          <w:rFonts w:ascii="Times New Roman" w:hAnsi="Times New Roman" w:cs="Times New Roman"/>
          <w:sz w:val="24"/>
          <w:szCs w:val="24"/>
          <w:lang w:val="bg-BG"/>
        </w:rPr>
      </w:pPr>
    </w:p>
    <w:tbl>
      <w:tblPr>
        <w:tblpPr w:leftFromText="180" w:rightFromText="180" w:vertAnchor="text" w:horzAnchor="margin" w:tblpY="1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978"/>
        <w:gridCol w:w="3857"/>
        <w:gridCol w:w="4190"/>
      </w:tblGrid>
      <w:tr w:rsidR="001E5635" w:rsidRPr="00292755" w:rsidTr="001E5635">
        <w:tc>
          <w:tcPr>
            <w:tcW w:w="431" w:type="dxa"/>
            <w:shd w:val="clear" w:color="auto" w:fill="D9D9D9"/>
          </w:tcPr>
          <w:p w:rsidR="001E5635" w:rsidRPr="00292755" w:rsidRDefault="001E5635" w:rsidP="00292755">
            <w:pPr>
              <w:spacing w:after="0" w:line="240" w:lineRule="auto"/>
              <w:jc w:val="center"/>
              <w:rPr>
                <w:rFonts w:ascii="Times New Roman" w:hAnsi="Times New Roman" w:cs="Times New Roman"/>
                <w:b/>
                <w:bCs/>
                <w:sz w:val="24"/>
                <w:szCs w:val="24"/>
                <w:lang w:val="bg-BG"/>
              </w:rPr>
            </w:pPr>
            <w:r w:rsidRPr="00292755">
              <w:rPr>
                <w:rFonts w:ascii="Times New Roman" w:hAnsi="Times New Roman" w:cs="Times New Roman"/>
                <w:b/>
                <w:bCs/>
                <w:sz w:val="24"/>
                <w:szCs w:val="24"/>
                <w:lang w:val="bg-BG"/>
              </w:rPr>
              <w:t>№</w:t>
            </w:r>
          </w:p>
        </w:tc>
        <w:tc>
          <w:tcPr>
            <w:tcW w:w="1978" w:type="dxa"/>
            <w:shd w:val="clear" w:color="auto" w:fill="D9D9D9"/>
            <w:vAlign w:val="center"/>
          </w:tcPr>
          <w:p w:rsidR="001E5635" w:rsidRPr="00292755" w:rsidRDefault="001E5635" w:rsidP="00292755">
            <w:pPr>
              <w:spacing w:after="0" w:line="240" w:lineRule="auto"/>
              <w:jc w:val="center"/>
              <w:rPr>
                <w:rFonts w:ascii="Times New Roman" w:hAnsi="Times New Roman" w:cs="Times New Roman"/>
                <w:b/>
                <w:bCs/>
                <w:sz w:val="24"/>
                <w:szCs w:val="24"/>
                <w:lang w:val="bg-BG"/>
              </w:rPr>
            </w:pPr>
            <w:r w:rsidRPr="00292755">
              <w:rPr>
                <w:rFonts w:ascii="Times New Roman" w:hAnsi="Times New Roman" w:cs="Times New Roman"/>
                <w:b/>
                <w:bCs/>
                <w:sz w:val="24"/>
                <w:szCs w:val="24"/>
                <w:lang w:val="bg-BG"/>
              </w:rPr>
              <w:t>Част от ПРСР, в която се прави предложение за промяна</w:t>
            </w:r>
          </w:p>
        </w:tc>
        <w:tc>
          <w:tcPr>
            <w:tcW w:w="3857" w:type="dxa"/>
            <w:shd w:val="clear" w:color="auto" w:fill="D9D9D9"/>
            <w:vAlign w:val="center"/>
          </w:tcPr>
          <w:p w:rsidR="001E5635" w:rsidRPr="00292755" w:rsidRDefault="001E5635" w:rsidP="00292755">
            <w:pPr>
              <w:spacing w:after="0" w:line="240" w:lineRule="auto"/>
              <w:jc w:val="center"/>
              <w:rPr>
                <w:rFonts w:ascii="Times New Roman" w:hAnsi="Times New Roman" w:cs="Times New Roman"/>
                <w:b/>
                <w:bCs/>
                <w:sz w:val="24"/>
                <w:szCs w:val="24"/>
                <w:lang w:val="bg-BG"/>
              </w:rPr>
            </w:pPr>
            <w:r w:rsidRPr="00292755">
              <w:rPr>
                <w:rFonts w:ascii="Times New Roman" w:hAnsi="Times New Roman" w:cs="Times New Roman"/>
                <w:b/>
                <w:bCs/>
                <w:sz w:val="24"/>
                <w:szCs w:val="24"/>
                <w:lang w:val="bg-BG"/>
              </w:rPr>
              <w:t>Настоящ текст на мярка 7.2 ПРСР</w:t>
            </w:r>
          </w:p>
        </w:tc>
        <w:tc>
          <w:tcPr>
            <w:tcW w:w="4190" w:type="dxa"/>
            <w:shd w:val="clear" w:color="auto" w:fill="D9D9D9"/>
            <w:vAlign w:val="center"/>
          </w:tcPr>
          <w:p w:rsidR="001E5635" w:rsidRPr="00292755" w:rsidRDefault="001E5635" w:rsidP="00292755">
            <w:pPr>
              <w:spacing w:after="0" w:line="240" w:lineRule="auto"/>
              <w:jc w:val="center"/>
              <w:rPr>
                <w:rFonts w:ascii="Times New Roman" w:hAnsi="Times New Roman" w:cs="Times New Roman"/>
                <w:b/>
                <w:bCs/>
                <w:sz w:val="24"/>
                <w:szCs w:val="24"/>
                <w:lang w:val="bg-BG"/>
              </w:rPr>
            </w:pPr>
            <w:r w:rsidRPr="00292755">
              <w:rPr>
                <w:rFonts w:ascii="Times New Roman" w:hAnsi="Times New Roman" w:cs="Times New Roman"/>
                <w:b/>
                <w:bCs/>
                <w:sz w:val="24"/>
                <w:szCs w:val="24"/>
                <w:lang w:val="bg-BG"/>
              </w:rPr>
              <w:t>Предложение за нов текст в мярка 7.2 от ПРСР</w:t>
            </w:r>
          </w:p>
        </w:tc>
      </w:tr>
      <w:tr w:rsidR="001E5635" w:rsidRPr="00292755" w:rsidTr="001E5635">
        <w:trPr>
          <w:trHeight w:val="589"/>
        </w:trPr>
        <w:tc>
          <w:tcPr>
            <w:tcW w:w="431" w:type="dxa"/>
            <w:tcBorders>
              <w:bottom w:val="single" w:sz="4" w:space="0" w:color="auto"/>
            </w:tcBorders>
            <w:shd w:val="clear" w:color="auto" w:fill="D9D9D9"/>
            <w:vAlign w:val="center"/>
          </w:tcPr>
          <w:p w:rsidR="001E5635" w:rsidRPr="00292755" w:rsidRDefault="001E5635" w:rsidP="00292755">
            <w:pPr>
              <w:spacing w:after="0" w:line="240" w:lineRule="auto"/>
              <w:jc w:val="center"/>
              <w:rPr>
                <w:rFonts w:ascii="Times New Roman" w:hAnsi="Times New Roman" w:cs="Times New Roman"/>
                <w:bCs/>
                <w:sz w:val="24"/>
                <w:szCs w:val="24"/>
                <w:lang w:val="bg-BG"/>
              </w:rPr>
            </w:pPr>
          </w:p>
        </w:tc>
        <w:tc>
          <w:tcPr>
            <w:tcW w:w="1978" w:type="dxa"/>
            <w:tcBorders>
              <w:bottom w:val="single" w:sz="4" w:space="0" w:color="auto"/>
            </w:tcBorders>
            <w:shd w:val="clear" w:color="auto" w:fill="D9D9D9"/>
            <w:vAlign w:val="center"/>
          </w:tcPr>
          <w:p w:rsidR="001E5635" w:rsidRPr="00292755" w:rsidRDefault="001E5635" w:rsidP="00292755">
            <w:pPr>
              <w:spacing w:after="0" w:line="240" w:lineRule="auto"/>
              <w:jc w:val="center"/>
              <w:rPr>
                <w:rFonts w:ascii="Times New Roman" w:hAnsi="Times New Roman" w:cs="Times New Roman"/>
                <w:b/>
                <w:sz w:val="24"/>
                <w:szCs w:val="24"/>
                <w:lang w:val="bg-BG"/>
              </w:rPr>
            </w:pPr>
            <w:r w:rsidRPr="00292755">
              <w:rPr>
                <w:rFonts w:ascii="Times New Roman" w:hAnsi="Times New Roman" w:cs="Times New Roman"/>
                <w:b/>
                <w:sz w:val="24"/>
                <w:szCs w:val="24"/>
                <w:lang w:val="bg-BG"/>
              </w:rPr>
              <w:t xml:space="preserve">Подмярка 7.2 </w:t>
            </w:r>
          </w:p>
          <w:p w:rsidR="001E5635" w:rsidRPr="00292755" w:rsidRDefault="001E5635" w:rsidP="00292755">
            <w:pPr>
              <w:spacing w:after="0" w:line="240" w:lineRule="auto"/>
              <w:jc w:val="center"/>
              <w:rPr>
                <w:rFonts w:ascii="Times New Roman" w:hAnsi="Times New Roman" w:cs="Times New Roman"/>
                <w:b/>
                <w:sz w:val="24"/>
                <w:szCs w:val="24"/>
                <w:lang w:val="bg-BG"/>
              </w:rPr>
            </w:pPr>
            <w:r w:rsidRPr="00292755">
              <w:rPr>
                <w:rFonts w:ascii="Times New Roman" w:hAnsi="Times New Roman" w:cs="Times New Roman"/>
                <w:b/>
                <w:sz w:val="24"/>
                <w:szCs w:val="24"/>
                <w:lang w:val="bg-BG"/>
              </w:rPr>
              <w:t>„Подкрепа за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p>
        </w:tc>
        <w:tc>
          <w:tcPr>
            <w:tcW w:w="3857" w:type="dxa"/>
            <w:tcBorders>
              <w:bottom w:val="single" w:sz="4" w:space="0" w:color="auto"/>
            </w:tcBorders>
            <w:shd w:val="clear" w:color="auto" w:fill="D9D9D9"/>
          </w:tcPr>
          <w:p w:rsidR="001E5635" w:rsidRPr="00292755" w:rsidRDefault="001E5635" w:rsidP="00292755">
            <w:pPr>
              <w:spacing w:after="0" w:line="240" w:lineRule="auto"/>
              <w:jc w:val="both"/>
              <w:rPr>
                <w:rFonts w:ascii="Times New Roman" w:hAnsi="Times New Roman" w:cs="Times New Roman"/>
                <w:b/>
                <w:bCs/>
                <w:sz w:val="24"/>
                <w:szCs w:val="24"/>
                <w:lang w:val="bg-BG"/>
              </w:rPr>
            </w:pPr>
          </w:p>
        </w:tc>
        <w:tc>
          <w:tcPr>
            <w:tcW w:w="4190" w:type="dxa"/>
            <w:tcBorders>
              <w:bottom w:val="single" w:sz="4" w:space="0" w:color="auto"/>
            </w:tcBorders>
            <w:shd w:val="clear" w:color="auto" w:fill="D9D9D9"/>
          </w:tcPr>
          <w:p w:rsidR="001E5635" w:rsidRPr="00292755" w:rsidRDefault="001E5635" w:rsidP="00292755">
            <w:pPr>
              <w:tabs>
                <w:tab w:val="left" w:pos="12"/>
              </w:tabs>
              <w:spacing w:after="0" w:line="240" w:lineRule="auto"/>
              <w:jc w:val="both"/>
              <w:rPr>
                <w:rFonts w:ascii="Times New Roman" w:hAnsi="Times New Roman" w:cs="Times New Roman"/>
                <w:b/>
                <w:bCs/>
                <w:sz w:val="24"/>
                <w:szCs w:val="24"/>
                <w:lang w:val="bg-BG"/>
              </w:rPr>
            </w:pPr>
          </w:p>
        </w:tc>
      </w:tr>
      <w:tr w:rsidR="001E5635" w:rsidRPr="00292755" w:rsidTr="001E5635">
        <w:trPr>
          <w:trHeight w:val="589"/>
        </w:trPr>
        <w:tc>
          <w:tcPr>
            <w:tcW w:w="431" w:type="dxa"/>
            <w:tcBorders>
              <w:bottom w:val="single" w:sz="4" w:space="0" w:color="auto"/>
            </w:tcBorders>
            <w:shd w:val="clear" w:color="auto" w:fill="auto"/>
            <w:vAlign w:val="center"/>
          </w:tcPr>
          <w:p w:rsidR="001E5635" w:rsidRPr="00292755" w:rsidRDefault="001E5635" w:rsidP="00292755">
            <w:pPr>
              <w:spacing w:after="0" w:line="240" w:lineRule="auto"/>
              <w:jc w:val="center"/>
              <w:rPr>
                <w:rFonts w:ascii="Times New Roman" w:hAnsi="Times New Roman" w:cs="Times New Roman"/>
                <w:bCs/>
                <w:sz w:val="24"/>
                <w:szCs w:val="24"/>
                <w:lang w:val="bg-BG"/>
              </w:rPr>
            </w:pPr>
            <w:r w:rsidRPr="00292755">
              <w:rPr>
                <w:rFonts w:ascii="Times New Roman" w:hAnsi="Times New Roman" w:cs="Times New Roman"/>
                <w:bCs/>
                <w:sz w:val="24"/>
                <w:szCs w:val="24"/>
                <w:lang w:val="bg-BG"/>
              </w:rPr>
              <w:t>1</w:t>
            </w:r>
          </w:p>
        </w:tc>
        <w:tc>
          <w:tcPr>
            <w:tcW w:w="1978" w:type="dxa"/>
            <w:tcBorders>
              <w:bottom w:val="single" w:sz="4" w:space="0" w:color="auto"/>
            </w:tcBorders>
            <w:shd w:val="clear" w:color="auto" w:fill="auto"/>
            <w:vAlign w:val="center"/>
          </w:tcPr>
          <w:p w:rsidR="001E5635" w:rsidRPr="00292755" w:rsidRDefault="001E5635" w:rsidP="00292755">
            <w:pPr>
              <w:spacing w:after="0" w:line="240" w:lineRule="auto"/>
              <w:jc w:val="center"/>
              <w:rPr>
                <w:rFonts w:ascii="Times New Roman" w:hAnsi="Times New Roman" w:cs="Times New Roman"/>
                <w:b/>
                <w:sz w:val="24"/>
                <w:szCs w:val="24"/>
                <w:lang w:val="bg-BG"/>
              </w:rPr>
            </w:pPr>
            <w:r w:rsidRPr="00292755">
              <w:rPr>
                <w:rFonts w:ascii="Times New Roman" w:hAnsi="Times New Roman" w:cs="Times New Roman"/>
                <w:b/>
                <w:sz w:val="24"/>
                <w:szCs w:val="24"/>
                <w:lang w:val="bg-BG"/>
              </w:rPr>
              <w:t>8.2.6.3.1.6. Условия за допустимост</w:t>
            </w:r>
          </w:p>
        </w:tc>
        <w:tc>
          <w:tcPr>
            <w:tcW w:w="3857" w:type="dxa"/>
            <w:tcBorders>
              <w:bottom w:val="single" w:sz="4" w:space="0" w:color="auto"/>
            </w:tcBorders>
            <w:shd w:val="clear" w:color="auto" w:fill="auto"/>
          </w:tcPr>
          <w:p w:rsidR="001E5635" w:rsidRPr="00292755" w:rsidRDefault="001E5635" w:rsidP="00292755">
            <w:pPr>
              <w:numPr>
                <w:ilvl w:val="0"/>
                <w:numId w:val="29"/>
              </w:numPr>
              <w:spacing w:after="0" w:line="240" w:lineRule="auto"/>
              <w:ind w:left="34" w:firstLine="326"/>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Кандидати общини с одобрен проект по конкретна дейност от проведен прием на заявления за подпомагане нямат възможност да кандидатства с проект за същата дейност в рамките на следващ прием на заявления по подмярката. Изискването не се прилага за проекти представляващи част от концепция за ИТИ.</w:t>
            </w:r>
          </w:p>
        </w:tc>
        <w:tc>
          <w:tcPr>
            <w:tcW w:w="4190" w:type="dxa"/>
            <w:tcBorders>
              <w:bottom w:val="single" w:sz="4" w:space="0" w:color="auto"/>
            </w:tcBorders>
            <w:shd w:val="clear" w:color="auto" w:fill="auto"/>
          </w:tcPr>
          <w:p w:rsidR="001E5635" w:rsidRPr="00292755" w:rsidRDefault="001E5635" w:rsidP="00292755">
            <w:pPr>
              <w:numPr>
                <w:ilvl w:val="0"/>
                <w:numId w:val="29"/>
              </w:numPr>
              <w:tabs>
                <w:tab w:val="left" w:pos="12"/>
              </w:tabs>
              <w:spacing w:after="0" w:line="240" w:lineRule="auto"/>
              <w:ind w:left="0" w:firstLine="360"/>
              <w:jc w:val="both"/>
              <w:rPr>
                <w:rFonts w:ascii="Times New Roman" w:eastAsia="Times New Roman" w:hAnsi="Times New Roman" w:cs="Times New Roman"/>
                <w:color w:val="FF0000"/>
                <w:sz w:val="24"/>
                <w:szCs w:val="24"/>
                <w:lang w:val="bg-BG"/>
              </w:rPr>
            </w:pPr>
            <w:r w:rsidRPr="00292755">
              <w:rPr>
                <w:rFonts w:ascii="Times New Roman" w:hAnsi="Times New Roman" w:cs="Times New Roman"/>
                <w:sz w:val="24"/>
                <w:szCs w:val="24"/>
                <w:lang w:val="bg-BG"/>
              </w:rPr>
              <w:t xml:space="preserve">Кандидати общини с одобрен проект по конкретна дейност от проведен прием на заявления за подпомагане нямат възможност да кандидатства с проект за същата дейност в рамките на следващ прием на заявления по подмярката. Изискването не се прилага за проекти представляващи част от концепция за ИТИ. </w:t>
            </w:r>
          </w:p>
          <w:p w:rsidR="001E5635" w:rsidRPr="00292755" w:rsidRDefault="001E5635" w:rsidP="00292755">
            <w:pPr>
              <w:tabs>
                <w:tab w:val="left" w:pos="12"/>
              </w:tabs>
              <w:spacing w:after="0" w:line="240" w:lineRule="auto"/>
              <w:jc w:val="both"/>
              <w:rPr>
                <w:rFonts w:ascii="Times New Roman" w:eastAsia="Times New Roman" w:hAnsi="Times New Roman" w:cs="Times New Roman"/>
                <w:color w:val="FF0000"/>
                <w:sz w:val="24"/>
                <w:szCs w:val="24"/>
                <w:lang w:val="bg-BG"/>
              </w:rPr>
            </w:pPr>
            <w:r w:rsidRPr="00292755">
              <w:rPr>
                <w:rFonts w:ascii="Times New Roman" w:hAnsi="Times New Roman" w:cs="Times New Roman"/>
                <w:color w:val="FF0000"/>
                <w:sz w:val="24"/>
                <w:szCs w:val="24"/>
                <w:lang w:val="bg-BG"/>
              </w:rPr>
              <w:t>Изискването не се прилага и за периода на удължаване на срока на Програмата, съгласно разпоредбите на Регламент (ЕС) 2020/2220 на Европейския парламент и на Съвета от 23 декември 2020 година.</w:t>
            </w:r>
          </w:p>
        </w:tc>
      </w:tr>
      <w:tr w:rsidR="001E5635" w:rsidRPr="00292755" w:rsidTr="001E5635">
        <w:trPr>
          <w:trHeight w:val="589"/>
        </w:trPr>
        <w:tc>
          <w:tcPr>
            <w:tcW w:w="431" w:type="dxa"/>
            <w:shd w:val="clear" w:color="auto" w:fill="auto"/>
            <w:vAlign w:val="center"/>
          </w:tcPr>
          <w:p w:rsidR="001E5635" w:rsidRPr="00292755" w:rsidRDefault="001E5635" w:rsidP="00292755">
            <w:pPr>
              <w:spacing w:after="0" w:line="240" w:lineRule="auto"/>
              <w:jc w:val="center"/>
              <w:rPr>
                <w:rFonts w:ascii="Times New Roman" w:hAnsi="Times New Roman" w:cs="Times New Roman"/>
                <w:bCs/>
                <w:sz w:val="24"/>
                <w:szCs w:val="24"/>
                <w:lang w:val="bg-BG"/>
              </w:rPr>
            </w:pPr>
            <w:r w:rsidRPr="00292755">
              <w:rPr>
                <w:rFonts w:ascii="Times New Roman" w:hAnsi="Times New Roman" w:cs="Times New Roman"/>
                <w:bCs/>
                <w:sz w:val="24"/>
                <w:szCs w:val="24"/>
                <w:lang w:val="bg-BG"/>
              </w:rPr>
              <w:t>2</w:t>
            </w:r>
          </w:p>
        </w:tc>
        <w:tc>
          <w:tcPr>
            <w:tcW w:w="1978" w:type="dxa"/>
            <w:shd w:val="clear" w:color="auto" w:fill="auto"/>
            <w:vAlign w:val="center"/>
          </w:tcPr>
          <w:p w:rsidR="001E5635" w:rsidRPr="00292755" w:rsidRDefault="001E5635" w:rsidP="00292755">
            <w:pPr>
              <w:spacing w:after="0" w:line="240" w:lineRule="auto"/>
              <w:jc w:val="center"/>
              <w:rPr>
                <w:rFonts w:ascii="Times New Roman" w:hAnsi="Times New Roman" w:cs="Times New Roman"/>
                <w:b/>
                <w:sz w:val="24"/>
                <w:szCs w:val="24"/>
                <w:lang w:val="bg-BG"/>
              </w:rPr>
            </w:pPr>
            <w:r w:rsidRPr="00292755">
              <w:rPr>
                <w:rFonts w:ascii="Times New Roman" w:hAnsi="Times New Roman" w:cs="Times New Roman"/>
                <w:b/>
                <w:sz w:val="24"/>
                <w:szCs w:val="24"/>
                <w:lang w:val="bg-BG"/>
              </w:rPr>
              <w:t>8.2.6.3.1.8. (Приложими) суми и проценти на предоставяната подкрепа</w:t>
            </w:r>
          </w:p>
        </w:tc>
        <w:tc>
          <w:tcPr>
            <w:tcW w:w="3857" w:type="dxa"/>
            <w:shd w:val="clear" w:color="auto" w:fill="auto"/>
          </w:tcPr>
          <w:p w:rsidR="001E5635" w:rsidRPr="00292755" w:rsidRDefault="001E5635" w:rsidP="00292755">
            <w:pPr>
              <w:numPr>
                <w:ilvl w:val="0"/>
                <w:numId w:val="29"/>
              </w:numPr>
              <w:spacing w:after="0" w:line="240" w:lineRule="auto"/>
              <w:ind w:left="34" w:firstLine="326"/>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Финансовата помощ за един кандидат община за периода на удължаване на срока на програмата, не може да надхвърля левовата равностойност на определените бюджети за съответната община, определени в утвърдена от ръководителя на Управляващия орган на ПРСР „Методика за определяне на гарантирани бюджети за общините в обхвата на дефиницията за селски райони“ приета в съответствие с националното законодателство по прилагане на подмярката.</w:t>
            </w:r>
          </w:p>
          <w:p w:rsidR="001E5635" w:rsidRPr="00292755" w:rsidRDefault="001E5635" w:rsidP="00292755">
            <w:pPr>
              <w:spacing w:after="0" w:line="240" w:lineRule="auto"/>
              <w:jc w:val="both"/>
              <w:rPr>
                <w:rFonts w:ascii="Times New Roman" w:hAnsi="Times New Roman" w:cs="Times New Roman"/>
                <w:sz w:val="24"/>
                <w:szCs w:val="24"/>
                <w:lang w:val="bg-BG"/>
              </w:rPr>
            </w:pPr>
          </w:p>
        </w:tc>
        <w:tc>
          <w:tcPr>
            <w:tcW w:w="4190" w:type="dxa"/>
            <w:shd w:val="clear" w:color="auto" w:fill="auto"/>
          </w:tcPr>
          <w:p w:rsidR="001E5635" w:rsidRPr="00292755" w:rsidRDefault="001E5635" w:rsidP="00292755">
            <w:pPr>
              <w:numPr>
                <w:ilvl w:val="0"/>
                <w:numId w:val="29"/>
              </w:numPr>
              <w:tabs>
                <w:tab w:val="left" w:pos="12"/>
              </w:tabs>
              <w:spacing w:after="0" w:line="240" w:lineRule="auto"/>
              <w:ind w:left="0" w:firstLine="360"/>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sz w:val="24"/>
                <w:szCs w:val="24"/>
                <w:lang w:val="bg-BG"/>
              </w:rPr>
              <w:t>Текстът се заличава.</w:t>
            </w:r>
          </w:p>
          <w:p w:rsidR="001E5635" w:rsidRPr="00292755" w:rsidRDefault="001E5635" w:rsidP="00292755">
            <w:pPr>
              <w:tabs>
                <w:tab w:val="left" w:pos="12"/>
              </w:tabs>
              <w:spacing w:line="240" w:lineRule="auto"/>
              <w:ind w:left="360"/>
              <w:jc w:val="both"/>
              <w:rPr>
                <w:rFonts w:ascii="Times New Roman" w:eastAsia="Times New Roman" w:hAnsi="Times New Roman" w:cs="Times New Roman"/>
                <w:color w:val="FF0000"/>
                <w:sz w:val="24"/>
                <w:szCs w:val="24"/>
                <w:lang w:val="bg-BG"/>
              </w:rPr>
            </w:pPr>
          </w:p>
        </w:tc>
      </w:tr>
      <w:tr w:rsidR="001E5635" w:rsidRPr="00292755" w:rsidTr="001E5635">
        <w:trPr>
          <w:trHeight w:val="589"/>
        </w:trPr>
        <w:tc>
          <w:tcPr>
            <w:tcW w:w="431" w:type="dxa"/>
            <w:shd w:val="clear" w:color="auto" w:fill="auto"/>
            <w:vAlign w:val="center"/>
          </w:tcPr>
          <w:p w:rsidR="001E5635" w:rsidRPr="00292755" w:rsidRDefault="001E5635" w:rsidP="00292755">
            <w:pPr>
              <w:spacing w:after="0" w:line="240" w:lineRule="auto"/>
              <w:jc w:val="center"/>
              <w:rPr>
                <w:rFonts w:ascii="Times New Roman" w:hAnsi="Times New Roman" w:cs="Times New Roman"/>
                <w:bCs/>
                <w:sz w:val="24"/>
                <w:szCs w:val="24"/>
                <w:lang w:val="bg-BG"/>
              </w:rPr>
            </w:pPr>
            <w:r w:rsidRPr="00292755">
              <w:rPr>
                <w:rFonts w:ascii="Times New Roman" w:hAnsi="Times New Roman" w:cs="Times New Roman"/>
                <w:bCs/>
                <w:sz w:val="24"/>
                <w:szCs w:val="24"/>
                <w:lang w:val="bg-BG"/>
              </w:rPr>
              <w:t>3</w:t>
            </w:r>
          </w:p>
        </w:tc>
        <w:tc>
          <w:tcPr>
            <w:tcW w:w="1978" w:type="dxa"/>
            <w:shd w:val="clear" w:color="auto" w:fill="auto"/>
            <w:vAlign w:val="center"/>
          </w:tcPr>
          <w:p w:rsidR="001E5635" w:rsidRPr="00292755" w:rsidRDefault="001E5635" w:rsidP="00292755">
            <w:pPr>
              <w:spacing w:after="0" w:line="240" w:lineRule="auto"/>
              <w:jc w:val="center"/>
              <w:rPr>
                <w:rFonts w:ascii="Times New Roman" w:hAnsi="Times New Roman" w:cs="Times New Roman"/>
                <w:b/>
                <w:sz w:val="24"/>
                <w:szCs w:val="24"/>
                <w:lang w:val="bg-BG"/>
              </w:rPr>
            </w:pPr>
            <w:r w:rsidRPr="00292755">
              <w:rPr>
                <w:rFonts w:ascii="Times New Roman" w:hAnsi="Times New Roman" w:cs="Times New Roman"/>
                <w:b/>
                <w:sz w:val="24"/>
                <w:szCs w:val="24"/>
                <w:lang w:val="bg-BG"/>
              </w:rPr>
              <w:t>8.2.6.2. Общо описание на мярката, включително нейната интервенционна логика и нейният принос за областите с поставен акцент и междусекторните цели</w:t>
            </w:r>
          </w:p>
        </w:tc>
        <w:tc>
          <w:tcPr>
            <w:tcW w:w="3857" w:type="dxa"/>
            <w:shd w:val="clear" w:color="auto" w:fill="auto"/>
          </w:tcPr>
          <w:p w:rsidR="001E5635" w:rsidRPr="00292755" w:rsidRDefault="001E5635" w:rsidP="00292755">
            <w:pPr>
              <w:spacing w:after="0" w:line="240" w:lineRule="auto"/>
              <w:ind w:left="360"/>
              <w:jc w:val="both"/>
              <w:rPr>
                <w:rFonts w:ascii="Times New Roman" w:hAnsi="Times New Roman" w:cs="Times New Roman"/>
                <w:sz w:val="24"/>
                <w:szCs w:val="24"/>
                <w:lang w:val="bg-BG"/>
              </w:rPr>
            </w:pPr>
          </w:p>
        </w:tc>
        <w:tc>
          <w:tcPr>
            <w:tcW w:w="4190" w:type="dxa"/>
            <w:shd w:val="clear" w:color="auto" w:fill="auto"/>
          </w:tcPr>
          <w:p w:rsidR="001E5635" w:rsidRPr="00292755" w:rsidRDefault="001E5635" w:rsidP="00292755">
            <w:pPr>
              <w:tabs>
                <w:tab w:val="left" w:pos="12"/>
              </w:tabs>
              <w:spacing w:after="0" w:line="240" w:lineRule="auto"/>
              <w:jc w:val="both"/>
              <w:rPr>
                <w:rFonts w:ascii="Times New Roman" w:eastAsia="Times New Roman" w:hAnsi="Times New Roman" w:cs="Times New Roman"/>
                <w:sz w:val="24"/>
                <w:szCs w:val="24"/>
                <w:lang w:val="bg-BG"/>
              </w:rPr>
            </w:pPr>
            <w:r w:rsidRPr="00292755">
              <w:rPr>
                <w:rFonts w:ascii="Times New Roman" w:eastAsia="Times New Roman" w:hAnsi="Times New Roman" w:cs="Times New Roman"/>
                <w:color w:val="FF0000"/>
                <w:sz w:val="24"/>
                <w:szCs w:val="24"/>
                <w:lang w:val="bg-BG"/>
              </w:rPr>
              <w:t>Новата национална дефиниция определя като „селски райони” общините, в които няма населено място с население над 15 000 души, в която попадат 215 от всички 265 общини на територията на страната. Всички дейности за малка по мащаби инфраструктура през периода на удължаване на срока на програмата ще са допустими единствено на територията на селските райони, определени по новата национална дефиниция.</w:t>
            </w:r>
          </w:p>
        </w:tc>
      </w:tr>
      <w:tr w:rsidR="001E5635" w:rsidRPr="00292755" w:rsidTr="001E5635">
        <w:trPr>
          <w:trHeight w:val="589"/>
        </w:trPr>
        <w:tc>
          <w:tcPr>
            <w:tcW w:w="431" w:type="dxa"/>
            <w:tcBorders>
              <w:bottom w:val="single" w:sz="4" w:space="0" w:color="auto"/>
            </w:tcBorders>
            <w:shd w:val="clear" w:color="auto" w:fill="auto"/>
            <w:vAlign w:val="center"/>
          </w:tcPr>
          <w:p w:rsidR="001E5635" w:rsidRPr="00292755" w:rsidRDefault="001E5635" w:rsidP="00292755">
            <w:pPr>
              <w:spacing w:after="0" w:line="240" w:lineRule="auto"/>
              <w:jc w:val="center"/>
              <w:rPr>
                <w:rFonts w:ascii="Times New Roman" w:hAnsi="Times New Roman" w:cs="Times New Roman"/>
                <w:bCs/>
                <w:sz w:val="24"/>
                <w:szCs w:val="24"/>
                <w:lang w:val="bg-BG"/>
              </w:rPr>
            </w:pPr>
          </w:p>
        </w:tc>
        <w:tc>
          <w:tcPr>
            <w:tcW w:w="1978" w:type="dxa"/>
            <w:tcBorders>
              <w:bottom w:val="single" w:sz="4" w:space="0" w:color="auto"/>
            </w:tcBorders>
            <w:shd w:val="clear" w:color="auto" w:fill="auto"/>
            <w:vAlign w:val="center"/>
          </w:tcPr>
          <w:p w:rsidR="001E5635" w:rsidRPr="00292755" w:rsidRDefault="001E5635" w:rsidP="00292755">
            <w:pPr>
              <w:spacing w:after="0" w:line="240" w:lineRule="auto"/>
              <w:jc w:val="center"/>
              <w:rPr>
                <w:rFonts w:ascii="Times New Roman" w:hAnsi="Times New Roman" w:cs="Times New Roman"/>
                <w:b/>
                <w:sz w:val="24"/>
                <w:szCs w:val="24"/>
                <w:lang w:val="bg-BG"/>
              </w:rPr>
            </w:pPr>
            <w:r w:rsidRPr="00292755">
              <w:rPr>
                <w:rFonts w:ascii="Times New Roman" w:hAnsi="Times New Roman" w:cs="Times New Roman"/>
                <w:b/>
                <w:sz w:val="24"/>
                <w:szCs w:val="24"/>
                <w:lang w:val="bg-BG"/>
              </w:rPr>
              <w:t>8.2.6.3.1.7. Принципи при определяне на критериите за подбор</w:t>
            </w:r>
          </w:p>
        </w:tc>
        <w:tc>
          <w:tcPr>
            <w:tcW w:w="3857" w:type="dxa"/>
            <w:tcBorders>
              <w:bottom w:val="single" w:sz="4" w:space="0" w:color="auto"/>
            </w:tcBorders>
            <w:shd w:val="clear" w:color="auto" w:fill="auto"/>
          </w:tcPr>
          <w:p w:rsidR="001E5635" w:rsidRPr="00292755" w:rsidRDefault="001E5635" w:rsidP="00292755">
            <w:pPr>
              <w:spacing w:before="240" w:after="240" w:line="240" w:lineRule="auto"/>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1. За инвестиции в строителство, реконструкция и/или рехабилитация на нови и съществуващи общински пътища, улици, тротоари, и съоръженията и принадлежностите към тях приоритет ще бъде даван на:</w:t>
            </w:r>
          </w:p>
          <w:p w:rsidR="001E5635" w:rsidRPr="00292755" w:rsidRDefault="001E5635" w:rsidP="00292755">
            <w:pPr>
              <w:numPr>
                <w:ilvl w:val="0"/>
                <w:numId w:val="29"/>
              </w:numPr>
              <w:spacing w:before="240" w:after="0" w:line="240" w:lineRule="auto"/>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Изграждане и/или реконструкция на инфраструктура в Северозападен район;</w:t>
            </w:r>
          </w:p>
          <w:p w:rsidR="001E5635" w:rsidRPr="00292755" w:rsidRDefault="001E5635" w:rsidP="00292755">
            <w:pPr>
              <w:numPr>
                <w:ilvl w:val="0"/>
                <w:numId w:val="29"/>
              </w:numPr>
              <w:spacing w:after="0" w:line="240" w:lineRule="auto"/>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Изграждане и/или реконструкция на инфраструктура, обслужваща общини с високо ниво на безработица;</w:t>
            </w:r>
          </w:p>
          <w:p w:rsidR="001E5635" w:rsidRPr="00292755" w:rsidRDefault="001E5635" w:rsidP="00292755">
            <w:pPr>
              <w:numPr>
                <w:ilvl w:val="0"/>
                <w:numId w:val="29"/>
              </w:numPr>
              <w:spacing w:after="0" w:line="240" w:lineRule="auto"/>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Изграждане и/или реконструкция на инфраструктура, която осигурява транспортна свързаност на населени места от селските райони до малките градове от 4-то йерархично ниво съгласно НКПР (съгласно приложен списък);</w:t>
            </w:r>
          </w:p>
          <w:p w:rsidR="001E5635" w:rsidRPr="00292755" w:rsidRDefault="001E5635" w:rsidP="00292755">
            <w:pPr>
              <w:numPr>
                <w:ilvl w:val="0"/>
                <w:numId w:val="29"/>
              </w:numPr>
              <w:spacing w:after="0" w:line="240" w:lineRule="auto"/>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Изграждане и/или реконструкция на инфраструктура, която осигурява директна свързаност на населено място с по-висок клас републикански пътища;</w:t>
            </w:r>
          </w:p>
          <w:p w:rsidR="001E5635" w:rsidRPr="00292755" w:rsidRDefault="001E5635" w:rsidP="00292755">
            <w:pPr>
              <w:numPr>
                <w:ilvl w:val="0"/>
                <w:numId w:val="29"/>
              </w:numPr>
              <w:spacing w:after="240" w:line="240" w:lineRule="auto"/>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Брой население, което ще се възползва от подобрените основни услуги и обхвата на териториално въздействие.</w:t>
            </w:r>
          </w:p>
          <w:p w:rsidR="001E5635" w:rsidRPr="00292755" w:rsidRDefault="001E5635" w:rsidP="00292755">
            <w:pPr>
              <w:spacing w:before="240" w:after="240" w:line="240" w:lineRule="auto"/>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5. За инвестиции в реконструкция и/или ремонт на общински сгради, в които се предоставят обществени услуги, с цел подобряване на тяхната енергийна ефективност приоритет ще бъде даван на:</w:t>
            </w:r>
          </w:p>
          <w:p w:rsidR="001E5635" w:rsidRPr="00292755" w:rsidRDefault="001E5635" w:rsidP="00292755">
            <w:pPr>
              <w:numPr>
                <w:ilvl w:val="0"/>
                <w:numId w:val="19"/>
              </w:numPr>
              <w:spacing w:before="240" w:after="0" w:line="240" w:lineRule="auto"/>
              <w:ind w:hanging="210"/>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Инфраструктура в Северозападен район;</w:t>
            </w:r>
          </w:p>
          <w:p w:rsidR="001E5635" w:rsidRPr="00292755" w:rsidRDefault="001E5635" w:rsidP="00292755">
            <w:pPr>
              <w:numPr>
                <w:ilvl w:val="0"/>
                <w:numId w:val="19"/>
              </w:numPr>
              <w:spacing w:after="240" w:line="240" w:lineRule="auto"/>
              <w:ind w:hanging="210"/>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Брой население, което ще се възползва от подобрените основни услуги и обхвата на териториално въздействие.</w:t>
            </w:r>
          </w:p>
          <w:p w:rsidR="001E5635" w:rsidRPr="00292755" w:rsidRDefault="001E5635" w:rsidP="00292755">
            <w:pPr>
              <w:spacing w:after="0" w:line="240" w:lineRule="auto"/>
              <w:ind w:left="720"/>
              <w:jc w:val="both"/>
              <w:rPr>
                <w:rFonts w:ascii="Times New Roman" w:hAnsi="Times New Roman" w:cs="Times New Roman"/>
                <w:sz w:val="24"/>
                <w:szCs w:val="24"/>
                <w:lang w:val="bg-BG"/>
              </w:rPr>
            </w:pPr>
          </w:p>
        </w:tc>
        <w:tc>
          <w:tcPr>
            <w:tcW w:w="4190" w:type="dxa"/>
            <w:tcBorders>
              <w:bottom w:val="single" w:sz="4" w:space="0" w:color="auto"/>
            </w:tcBorders>
            <w:shd w:val="clear" w:color="auto" w:fill="auto"/>
          </w:tcPr>
          <w:p w:rsidR="001E5635" w:rsidRPr="00292755" w:rsidRDefault="001E5635" w:rsidP="00292755">
            <w:pPr>
              <w:spacing w:before="240" w:after="240" w:line="240" w:lineRule="auto"/>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1. За инвестиции в строителство, реконструкция и/или рехабилитация на нови и съществуващи общински пътища, улици, тротоари, и съоръженията и принадлежностите към тях приоритет ще бъде даван на:</w:t>
            </w:r>
          </w:p>
          <w:p w:rsidR="001E5635" w:rsidRPr="00292755" w:rsidRDefault="001E5635" w:rsidP="00292755">
            <w:pPr>
              <w:numPr>
                <w:ilvl w:val="0"/>
                <w:numId w:val="29"/>
              </w:numPr>
              <w:spacing w:before="240" w:after="0" w:line="240" w:lineRule="auto"/>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Изграждане и/или реконструкция на инфраструктура в Северозападен район;</w:t>
            </w:r>
          </w:p>
          <w:p w:rsidR="001E5635" w:rsidRPr="00292755" w:rsidRDefault="001E5635" w:rsidP="00292755">
            <w:pPr>
              <w:numPr>
                <w:ilvl w:val="0"/>
                <w:numId w:val="29"/>
              </w:numPr>
              <w:spacing w:after="0" w:line="240" w:lineRule="auto"/>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Изграждане и/или реконструкция на инфраструктура, обслужваща общини с високо ниво на безработица;</w:t>
            </w:r>
          </w:p>
          <w:p w:rsidR="001E5635" w:rsidRPr="00292755" w:rsidRDefault="001E5635" w:rsidP="00292755">
            <w:pPr>
              <w:numPr>
                <w:ilvl w:val="0"/>
                <w:numId w:val="29"/>
              </w:numPr>
              <w:spacing w:after="0" w:line="240" w:lineRule="auto"/>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Изграждане и/или реконструкция на инфраструктура, която осигурява транспортна свързаност на населени места от селските райони до малките градове от 4-то йерархично ниво съгласно НКПР (съгласно приложен списък);</w:t>
            </w:r>
          </w:p>
          <w:p w:rsidR="001E5635" w:rsidRPr="00292755" w:rsidRDefault="001E5635" w:rsidP="00292755">
            <w:pPr>
              <w:numPr>
                <w:ilvl w:val="0"/>
                <w:numId w:val="29"/>
              </w:numPr>
              <w:spacing w:after="0" w:line="240" w:lineRule="auto"/>
              <w:jc w:val="both"/>
              <w:rPr>
                <w:rFonts w:ascii="Times New Roman" w:hAnsi="Times New Roman" w:cs="Times New Roman"/>
                <w:sz w:val="24"/>
                <w:szCs w:val="24"/>
                <w:lang w:val="bg-BG"/>
              </w:rPr>
            </w:pPr>
            <w:r w:rsidRPr="00292755">
              <w:rPr>
                <w:rFonts w:ascii="Times New Roman" w:hAnsi="Times New Roman" w:cs="Times New Roman"/>
                <w:color w:val="FF0000"/>
                <w:sz w:val="24"/>
                <w:szCs w:val="24"/>
                <w:lang w:val="bg-BG"/>
              </w:rPr>
              <w:t>Изграждане и/или реконструкция на инфраструктура, която осигурява директна свързаност на населено място с по-висок клас пътища;</w:t>
            </w:r>
          </w:p>
          <w:p w:rsidR="001E5635" w:rsidRPr="00292755" w:rsidRDefault="001E5635" w:rsidP="00292755">
            <w:pPr>
              <w:numPr>
                <w:ilvl w:val="0"/>
                <w:numId w:val="29"/>
              </w:numPr>
              <w:spacing w:after="240" w:line="240" w:lineRule="auto"/>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Брой население, което ще се възползва от подобрените основни услуги и обхвата на териториално въздействие.</w:t>
            </w:r>
          </w:p>
          <w:p w:rsidR="001E5635" w:rsidRPr="00292755" w:rsidRDefault="001E5635" w:rsidP="00292755">
            <w:pPr>
              <w:spacing w:before="240" w:after="240" w:line="240" w:lineRule="auto"/>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5. За инвестиции в реконструкция и/или ремонт на общински сгради, в които се предоставят обществени услуги, с цел подобряване на тяхната енергийна ефективност приоритет ще бъде даван на:</w:t>
            </w:r>
          </w:p>
          <w:p w:rsidR="001E5635" w:rsidRPr="00292755" w:rsidRDefault="001E5635" w:rsidP="00292755">
            <w:pPr>
              <w:numPr>
                <w:ilvl w:val="0"/>
                <w:numId w:val="19"/>
              </w:numPr>
              <w:spacing w:before="240" w:after="0" w:line="240" w:lineRule="auto"/>
              <w:ind w:hanging="210"/>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Инфраструктура в Северозападен район;</w:t>
            </w:r>
          </w:p>
          <w:p w:rsidR="001E5635" w:rsidRPr="00292755" w:rsidRDefault="001E5635" w:rsidP="00292755">
            <w:pPr>
              <w:numPr>
                <w:ilvl w:val="0"/>
                <w:numId w:val="19"/>
              </w:numPr>
              <w:spacing w:after="0" w:line="240" w:lineRule="auto"/>
              <w:ind w:hanging="216"/>
              <w:jc w:val="both"/>
              <w:rPr>
                <w:rFonts w:ascii="Times New Roman" w:hAnsi="Times New Roman" w:cs="Times New Roman"/>
                <w:sz w:val="24"/>
                <w:szCs w:val="24"/>
                <w:lang w:val="bg-BG"/>
              </w:rPr>
            </w:pPr>
            <w:r w:rsidRPr="00292755">
              <w:rPr>
                <w:rFonts w:ascii="Times New Roman" w:hAnsi="Times New Roman" w:cs="Times New Roman"/>
                <w:sz w:val="24"/>
                <w:szCs w:val="24"/>
                <w:lang w:val="bg-BG"/>
              </w:rPr>
              <w:t>Брой население, което ще се възползва от подобрените основни услуги и обхвата на териториално въздействие;</w:t>
            </w:r>
          </w:p>
          <w:p w:rsidR="001E5635" w:rsidRPr="00292755" w:rsidRDefault="001E5635" w:rsidP="00292755">
            <w:pPr>
              <w:numPr>
                <w:ilvl w:val="0"/>
                <w:numId w:val="19"/>
              </w:numPr>
              <w:spacing w:after="240" w:line="240" w:lineRule="auto"/>
              <w:jc w:val="both"/>
              <w:rPr>
                <w:rFonts w:ascii="Times New Roman" w:eastAsia="Times New Roman" w:hAnsi="Times New Roman" w:cs="Times New Roman"/>
                <w:sz w:val="24"/>
                <w:szCs w:val="24"/>
                <w:lang w:val="bg-BG"/>
              </w:rPr>
            </w:pPr>
            <w:r w:rsidRPr="00292755">
              <w:rPr>
                <w:rFonts w:ascii="Times New Roman" w:hAnsi="Times New Roman" w:cs="Times New Roman"/>
                <w:color w:val="FF0000"/>
                <w:sz w:val="24"/>
                <w:szCs w:val="24"/>
                <w:lang w:val="bg-BG"/>
              </w:rPr>
              <w:t>Проекти, насочени към производство на енергия за собствено потребление от възобновяеми енергийни източници.</w:t>
            </w:r>
          </w:p>
        </w:tc>
      </w:tr>
    </w:tbl>
    <w:p w:rsidR="001E5635" w:rsidRPr="00292755" w:rsidRDefault="001E5635" w:rsidP="00292755">
      <w:pPr>
        <w:spacing w:line="240" w:lineRule="auto"/>
        <w:rPr>
          <w:rFonts w:ascii="Times New Roman" w:hAnsi="Times New Roman" w:cs="Times New Roman"/>
          <w:sz w:val="24"/>
          <w:szCs w:val="24"/>
          <w:lang w:val="bg-BG"/>
        </w:rPr>
      </w:pPr>
    </w:p>
    <w:p w:rsidR="001E5635" w:rsidRPr="00292755" w:rsidRDefault="001E5635" w:rsidP="00292755">
      <w:pPr>
        <w:spacing w:line="240" w:lineRule="auto"/>
        <w:rPr>
          <w:rFonts w:ascii="Times New Roman" w:hAnsi="Times New Roman" w:cs="Times New Roman"/>
          <w:sz w:val="24"/>
          <w:szCs w:val="24"/>
          <w:lang w:val="bg-BG"/>
        </w:rPr>
      </w:pPr>
    </w:p>
    <w:p w:rsidR="0096041D" w:rsidRPr="00292755" w:rsidRDefault="0096041D" w:rsidP="00292755">
      <w:pPr>
        <w:spacing w:line="240" w:lineRule="auto"/>
        <w:jc w:val="center"/>
        <w:rPr>
          <w:rFonts w:ascii="Times New Roman" w:hAnsi="Times New Roman" w:cs="Times New Roman"/>
          <w:sz w:val="24"/>
          <w:szCs w:val="24"/>
          <w:lang w:val="bg-BG"/>
        </w:rPr>
      </w:pPr>
      <w:r w:rsidRPr="00292755">
        <w:rPr>
          <w:rFonts w:ascii="Times New Roman" w:hAnsi="Times New Roman" w:cs="Times New Roman"/>
          <w:sz w:val="24"/>
          <w:szCs w:val="24"/>
          <w:lang w:val="bg-BG"/>
        </w:rPr>
        <w:t xml:space="preserve">                                                                                                Приложение 2.</w:t>
      </w:r>
    </w:p>
    <w:p w:rsidR="0096041D" w:rsidRPr="00292755" w:rsidRDefault="0096041D" w:rsidP="00292755">
      <w:pPr>
        <w:spacing w:line="240" w:lineRule="auto"/>
        <w:jc w:val="center"/>
        <w:rPr>
          <w:rFonts w:ascii="Times New Roman" w:hAnsi="Times New Roman" w:cs="Times New Roman"/>
          <w:sz w:val="24"/>
          <w:szCs w:val="24"/>
          <w:lang w:val="bg-BG"/>
        </w:rPr>
      </w:pPr>
      <w:r w:rsidRPr="00292755">
        <w:rPr>
          <w:rFonts w:ascii="Times New Roman" w:hAnsi="Times New Roman" w:cs="Times New Roman"/>
          <w:sz w:val="24"/>
          <w:szCs w:val="24"/>
          <w:lang w:val="bg-BG"/>
        </w:rPr>
        <w:t>Предложение на УО на ПРСР 2014-2020 г. за промяна в критериите за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от ПРСР (2014-2020).</w:t>
      </w:r>
    </w:p>
    <w:p w:rsidR="000B0F93" w:rsidRPr="00292755" w:rsidRDefault="000B0F93" w:rsidP="00292755">
      <w:pPr>
        <w:spacing w:line="240" w:lineRule="auto"/>
        <w:jc w:val="center"/>
        <w:rPr>
          <w:rFonts w:ascii="Times New Roman" w:hAnsi="Times New Roman" w:cs="Times New Roman"/>
          <w:sz w:val="24"/>
          <w:szCs w:val="24"/>
          <w:lang w:val="bg-BG"/>
        </w:rPr>
      </w:pPr>
    </w:p>
    <w:p w:rsidR="000B0F93" w:rsidRPr="00292755" w:rsidRDefault="000B0F93" w:rsidP="00292755">
      <w:pPr>
        <w:spacing w:line="240" w:lineRule="auto"/>
        <w:rPr>
          <w:rFonts w:ascii="Times New Roman" w:hAnsi="Times New Roman" w:cs="Times New Roman"/>
          <w:sz w:val="24"/>
          <w:szCs w:val="24"/>
          <w:lang w:val="bg-BG"/>
        </w:rPr>
      </w:pPr>
    </w:p>
    <w:p w:rsidR="000B0F93" w:rsidRPr="00292755" w:rsidRDefault="000B0F93" w:rsidP="00292755">
      <w:pPr>
        <w:spacing w:line="240" w:lineRule="auto"/>
        <w:jc w:val="center"/>
        <w:rPr>
          <w:rFonts w:ascii="Times New Roman" w:hAnsi="Times New Roman" w:cs="Times New Roman"/>
          <w:sz w:val="24"/>
          <w:szCs w:val="24"/>
          <w:lang w:val="bg-BG"/>
        </w:rPr>
      </w:pPr>
    </w:p>
    <w:tbl>
      <w:tblPr>
        <w:tblW w:w="5000" w:type="pct"/>
        <w:tblCellMar>
          <w:left w:w="70" w:type="dxa"/>
          <w:right w:w="70" w:type="dxa"/>
        </w:tblCellMar>
        <w:tblLook w:val="04A0" w:firstRow="1" w:lastRow="0" w:firstColumn="1" w:lastColumn="0" w:noHBand="0" w:noVBand="1"/>
      </w:tblPr>
      <w:tblGrid>
        <w:gridCol w:w="440"/>
        <w:gridCol w:w="9204"/>
        <w:gridCol w:w="962"/>
      </w:tblGrid>
      <w:tr w:rsidR="000B0F93" w:rsidRPr="00292755" w:rsidTr="000B0F93">
        <w:trPr>
          <w:trHeight w:val="960"/>
        </w:trPr>
        <w:tc>
          <w:tcPr>
            <w:tcW w:w="4537"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bookmarkStart w:id="1" w:name="RANGE!C3:E14"/>
            <w:r w:rsidRPr="00292755">
              <w:rPr>
                <w:rFonts w:ascii="Times New Roman" w:eastAsia="Times New Roman" w:hAnsi="Times New Roman" w:cs="Times New Roman"/>
                <w:b/>
                <w:bCs/>
                <w:color w:val="000000"/>
                <w:sz w:val="24"/>
                <w:szCs w:val="24"/>
                <w:lang w:eastAsia="bg-BG"/>
              </w:rPr>
              <w:t xml:space="preserve">Критерии за подбор на проектни предложения с включени инвестиции за изграждане, реконструкция и/или рехабилитация на водоснабдителни системи и съоръжения в агломерации с под 2000 е.ж. в селските райони </w:t>
            </w:r>
            <w:bookmarkEnd w:id="1"/>
          </w:p>
        </w:tc>
        <w:tc>
          <w:tcPr>
            <w:tcW w:w="46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Точки</w:t>
            </w:r>
          </w:p>
        </w:tc>
      </w:tr>
      <w:tr w:rsidR="000B0F93" w:rsidRPr="00292755" w:rsidTr="000B0F93">
        <w:trPr>
          <w:trHeight w:val="1245"/>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1</w:t>
            </w:r>
          </w:p>
        </w:tc>
        <w:tc>
          <w:tcPr>
            <w:tcW w:w="4348" w:type="pct"/>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 xml:space="preserve">Райони с установен или прогнозиран воден стрес (засушаване или недостиг на вода) и с лошо качество на питейната вода </w:t>
            </w:r>
          </w:p>
        </w:tc>
        <w:tc>
          <w:tcPr>
            <w:tcW w:w="463" w:type="pct"/>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45</w:t>
            </w:r>
          </w:p>
        </w:tc>
      </w:tr>
      <w:tr w:rsidR="000B0F93" w:rsidRPr="00292755" w:rsidTr="000B0F93">
        <w:trPr>
          <w:trHeight w:val="30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1.1</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се изпълнява на територията на населено място/населени места с установен или прогнозиран воден стрес.</w:t>
            </w:r>
            <w:r w:rsidRPr="00292755">
              <w:rPr>
                <w:rFonts w:ascii="Times New Roman" w:eastAsia="Times New Roman" w:hAnsi="Times New Roman" w:cs="Times New Roman"/>
                <w:color w:val="000000"/>
                <w:sz w:val="24"/>
                <w:szCs w:val="24"/>
                <w:lang w:eastAsia="bg-BG"/>
              </w:rPr>
              <w:br/>
            </w:r>
            <w:r w:rsidRPr="00292755">
              <w:rPr>
                <w:rFonts w:ascii="Times New Roman" w:eastAsia="Times New Roman" w:hAnsi="Times New Roman" w:cs="Times New Roman"/>
                <w:b/>
                <w:bCs/>
                <w:color w:val="000000"/>
                <w:sz w:val="24"/>
                <w:szCs w:val="24"/>
                <w:lang w:eastAsia="bg-BG"/>
              </w:rPr>
              <w:t>За целите на прилагане на подкритерий 1.1:</w:t>
            </w:r>
            <w:r w:rsidRPr="00292755">
              <w:rPr>
                <w:rFonts w:ascii="Times New Roman" w:eastAsia="Times New Roman" w:hAnsi="Times New Roman" w:cs="Times New Roman"/>
                <w:color w:val="000000"/>
                <w:sz w:val="24"/>
                <w:szCs w:val="24"/>
                <w:lang w:eastAsia="bg-BG"/>
              </w:rPr>
              <w:br/>
              <w:t>"воден стрес" - установени от съответния консолидиран ВиК оператор чести аварии на водопроводната система (над 5 аварии на година) за последните 3 години, предхождати датата на приема.</w:t>
            </w:r>
            <w:r w:rsidRPr="00292755">
              <w:rPr>
                <w:rFonts w:ascii="Times New Roman" w:eastAsia="Times New Roman" w:hAnsi="Times New Roman" w:cs="Times New Roman"/>
                <w:color w:val="000000"/>
                <w:sz w:val="24"/>
                <w:szCs w:val="24"/>
                <w:lang w:eastAsia="bg-BG"/>
              </w:rPr>
              <w:br/>
              <w:t>Съответствието с критерия се доказва с документ, представен от кандидата и издаден от съответния консолидиран ВиК оператор в годината на обявяване на приема, но не по-късно от датата на подаване на проектното предложение. Документът следва да удостоверява наличието на "воден стрес" във всички населени места, на територията на които се изпълнява проекта.</w:t>
            </w:r>
            <w:r w:rsidRPr="00292755">
              <w:rPr>
                <w:rFonts w:ascii="Times New Roman" w:eastAsia="Times New Roman" w:hAnsi="Times New Roman" w:cs="Times New Roman"/>
                <w:color w:val="000000"/>
                <w:sz w:val="24"/>
                <w:szCs w:val="24"/>
                <w:lang w:eastAsia="bg-BG"/>
              </w:rPr>
              <w:br/>
              <w:t>Точки по подкритерия се предоставят, ако е удостоверено наличието на "воден стрес" във всички населени места, на територията на които се изпълнява проекта.</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20</w:t>
            </w:r>
          </w:p>
        </w:tc>
      </w:tr>
      <w:tr w:rsidR="000B0F93" w:rsidRPr="00292755" w:rsidTr="000B0F93">
        <w:trPr>
          <w:trHeight w:val="315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1.2</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се изпълнява на територията на населено място/населени места с установено лошо качество на питейната вода.</w:t>
            </w:r>
            <w:r w:rsidRPr="00292755">
              <w:rPr>
                <w:rFonts w:ascii="Times New Roman" w:eastAsia="Times New Roman" w:hAnsi="Times New Roman" w:cs="Times New Roman"/>
                <w:color w:val="000000"/>
                <w:sz w:val="24"/>
                <w:szCs w:val="24"/>
                <w:lang w:eastAsia="bg-BG"/>
              </w:rPr>
              <w:br/>
            </w:r>
            <w:r w:rsidRPr="00292755">
              <w:rPr>
                <w:rFonts w:ascii="Times New Roman" w:eastAsia="Times New Roman" w:hAnsi="Times New Roman" w:cs="Times New Roman"/>
                <w:b/>
                <w:bCs/>
                <w:color w:val="000000"/>
                <w:sz w:val="24"/>
                <w:szCs w:val="24"/>
                <w:lang w:eastAsia="bg-BG"/>
              </w:rPr>
              <w:t>За целите на прилагане на подкритерий 1.2:</w:t>
            </w:r>
            <w:r w:rsidRPr="00292755">
              <w:rPr>
                <w:rFonts w:ascii="Times New Roman" w:eastAsia="Times New Roman" w:hAnsi="Times New Roman" w:cs="Times New Roman"/>
                <w:color w:val="000000"/>
                <w:sz w:val="24"/>
                <w:szCs w:val="24"/>
                <w:lang w:eastAsia="bg-BG"/>
              </w:rPr>
              <w:br/>
              <w:t>"лошо качество на питейната вода" - регистрирано отклонение в качеството на питейната вода (най-малко 5 регистрирани отклонения), съгласно Наредба № 9 от 16.03.2001 г. за качеството на водата, предназначена за питейно-битови цели, за последните 3 години, предхождащи датата на приема.</w:t>
            </w:r>
            <w:r w:rsidRPr="00292755">
              <w:rPr>
                <w:rFonts w:ascii="Times New Roman" w:eastAsia="Times New Roman" w:hAnsi="Times New Roman" w:cs="Times New Roman"/>
                <w:color w:val="000000"/>
                <w:sz w:val="24"/>
                <w:szCs w:val="24"/>
                <w:lang w:eastAsia="bg-BG"/>
              </w:rPr>
              <w:br/>
              <w:t>Съответствието с критерия се доказва с документ, представен от кандидата и издаден от съответната Регионална здравна инспекция (РЗИ) в годината на обявяване на приема, но не по-късно от датата на подаване на проектното предложение. Документът следва да удостоверява/установява "лошо качество на питейната вода" във всички населени места, на територията на които се изпълнява проекта.</w:t>
            </w:r>
            <w:r w:rsidRPr="00292755">
              <w:rPr>
                <w:rFonts w:ascii="Times New Roman" w:eastAsia="Times New Roman" w:hAnsi="Times New Roman" w:cs="Times New Roman"/>
                <w:color w:val="000000"/>
                <w:sz w:val="24"/>
                <w:szCs w:val="24"/>
                <w:lang w:eastAsia="bg-BG"/>
              </w:rPr>
              <w:br/>
              <w:t>Точки по подкритерия се предоставят, ако е удостоверено "лошо качество на питейната вода" във всички населени места, на територията на които се изпълнява проекта.</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25</w:t>
            </w:r>
          </w:p>
        </w:tc>
      </w:tr>
      <w:tr w:rsidR="000B0F93" w:rsidRPr="00292755" w:rsidTr="000B0F93">
        <w:trPr>
          <w:trHeight w:val="617"/>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2</w:t>
            </w:r>
          </w:p>
        </w:tc>
        <w:tc>
          <w:tcPr>
            <w:tcW w:w="4348" w:type="pct"/>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Брой население, което ще се възползва от подобрените основни услуги, и обхвата на териториално въздействие</w:t>
            </w:r>
            <w:r w:rsidRPr="00292755">
              <w:rPr>
                <w:rFonts w:ascii="Times New Roman" w:eastAsia="Times New Roman" w:hAnsi="Times New Roman" w:cs="Times New Roman"/>
                <w:b/>
                <w:bCs/>
                <w:color w:val="000000"/>
                <w:sz w:val="24"/>
                <w:szCs w:val="24"/>
                <w:lang w:eastAsia="bg-BG"/>
              </w:rPr>
              <w:br/>
            </w:r>
            <w:r w:rsidRPr="00292755">
              <w:rPr>
                <w:rFonts w:ascii="Times New Roman" w:eastAsia="Times New Roman" w:hAnsi="Times New Roman" w:cs="Times New Roman"/>
                <w:color w:val="000000"/>
                <w:sz w:val="24"/>
                <w:szCs w:val="24"/>
                <w:lang w:eastAsia="bg-BG"/>
              </w:rPr>
              <w:t>Когато проектът включва изграждане/реконструкция/рехабилитация на обща непрекъсната водоснабдителна система и/или главни водопроводни клонове (довеждащи водопроводи), точки по критерия се предоставят като се отчете броя на населението на населените места, които се обслужват от нея.</w:t>
            </w:r>
          </w:p>
        </w:tc>
        <w:tc>
          <w:tcPr>
            <w:tcW w:w="463" w:type="pct"/>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40</w:t>
            </w:r>
          </w:p>
        </w:tc>
      </w:tr>
      <w:tr w:rsidR="000B0F93" w:rsidRPr="00292755" w:rsidTr="000B0F93">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2.1</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до 500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 xml:space="preserve">Отчита се сбора от населението само на населеното място/населените места, в които ще се изпълнява проекта. </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10</w:t>
            </w:r>
          </w:p>
        </w:tc>
      </w:tr>
      <w:tr w:rsidR="000B0F93" w:rsidRPr="00292755" w:rsidTr="000B0F93">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2.2</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от 501 до 1000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 xml:space="preserve">Отчита се сбора от населението само на населеното място/населените места, в които ще се изпълнява проекта. </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20</w:t>
            </w:r>
          </w:p>
        </w:tc>
      </w:tr>
      <w:tr w:rsidR="000B0F93" w:rsidRPr="00292755" w:rsidTr="000B0F93">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2.3</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от 1001 до 1500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 xml:space="preserve">Отчита се сбора от населението само на населеното място/населените места, в които ще се изпълнява проекта. </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30</w:t>
            </w:r>
          </w:p>
        </w:tc>
      </w:tr>
      <w:tr w:rsidR="000B0F93" w:rsidRPr="00292755" w:rsidTr="000B0F93">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2.4</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над 1501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 xml:space="preserve">Отчита се сбора от населението само на населеното място/населените места, в които ще се изпълнява проекта. </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40</w:t>
            </w:r>
          </w:p>
        </w:tc>
      </w:tr>
      <w:tr w:rsidR="000B0F93" w:rsidRPr="00292755" w:rsidTr="000B0F93">
        <w:trPr>
          <w:trHeight w:val="3570"/>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3</w:t>
            </w:r>
          </w:p>
        </w:tc>
        <w:tc>
          <w:tcPr>
            <w:tcW w:w="4348" w:type="pct"/>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Проекти, въвеждащи иновативни технологии или инвестиции с екологичен ефект</w:t>
            </w:r>
            <w:r w:rsidRPr="00292755">
              <w:rPr>
                <w:rFonts w:ascii="Times New Roman" w:eastAsia="Times New Roman" w:hAnsi="Times New Roman" w:cs="Times New Roman"/>
                <w:b/>
                <w:bCs/>
                <w:color w:val="000000"/>
                <w:sz w:val="24"/>
                <w:szCs w:val="24"/>
                <w:lang w:eastAsia="bg-BG"/>
              </w:rPr>
              <w:br w:type="page"/>
            </w:r>
            <w:r w:rsidRPr="00292755">
              <w:rPr>
                <w:rFonts w:ascii="Times New Roman" w:eastAsia="Times New Roman" w:hAnsi="Times New Roman" w:cs="Times New Roman"/>
                <w:color w:val="000000"/>
                <w:sz w:val="24"/>
                <w:szCs w:val="24"/>
                <w:lang w:eastAsia="bg-BG"/>
              </w:rPr>
              <w:t xml:space="preserve">За доказване на съответствие с изискванията на критерия не е необходимо кандидатът да представя специфични документи. </w:t>
            </w:r>
            <w:r w:rsidRPr="00292755">
              <w:rPr>
                <w:rFonts w:ascii="Times New Roman" w:eastAsia="Times New Roman" w:hAnsi="Times New Roman" w:cs="Times New Roman"/>
                <w:color w:val="000000"/>
                <w:sz w:val="24"/>
                <w:szCs w:val="24"/>
                <w:lang w:eastAsia="bg-BG"/>
              </w:rPr>
              <w:br w:type="page"/>
              <w:t>Точки по критерия се определят, ако в проектната документация са описани прилагането на иновативни практики и очакван екологичен ефект след изпълнение на инвестицията, като например:</w:t>
            </w:r>
            <w:r w:rsidRPr="00292755">
              <w:rPr>
                <w:rFonts w:ascii="Times New Roman" w:eastAsia="Times New Roman" w:hAnsi="Times New Roman" w:cs="Times New Roman"/>
                <w:color w:val="000000"/>
                <w:sz w:val="24"/>
                <w:szCs w:val="24"/>
                <w:lang w:eastAsia="bg-BG"/>
              </w:rPr>
              <w:br w:type="page"/>
              <w:t>-  предотвратяване загубите на вода по водопроводните мрежи вследствие на съществуващите остарели и амортизирани водопроводи;</w:t>
            </w:r>
            <w:r w:rsidRPr="00292755">
              <w:rPr>
                <w:rFonts w:ascii="Times New Roman" w:eastAsia="Times New Roman" w:hAnsi="Times New Roman" w:cs="Times New Roman"/>
                <w:color w:val="000000"/>
                <w:sz w:val="24"/>
                <w:szCs w:val="24"/>
                <w:lang w:eastAsia="bg-BG"/>
              </w:rPr>
              <w:br w:type="page"/>
              <w:t>- принос към намаляване концентрацията на вредни вещества във водата;</w:t>
            </w:r>
            <w:r w:rsidRPr="00292755">
              <w:rPr>
                <w:rFonts w:ascii="Times New Roman" w:eastAsia="Times New Roman" w:hAnsi="Times New Roman" w:cs="Times New Roman"/>
                <w:color w:val="000000"/>
                <w:sz w:val="24"/>
                <w:szCs w:val="24"/>
                <w:lang w:eastAsia="bg-BG"/>
              </w:rPr>
              <w:br w:type="page"/>
              <w:t>- ограничаване замърсяването на водата от селскостопански източници или органични замърсители;</w:t>
            </w:r>
            <w:r w:rsidRPr="00292755">
              <w:rPr>
                <w:rFonts w:ascii="Times New Roman" w:eastAsia="Times New Roman" w:hAnsi="Times New Roman" w:cs="Times New Roman"/>
                <w:color w:val="000000"/>
                <w:sz w:val="24"/>
                <w:szCs w:val="24"/>
                <w:lang w:eastAsia="bg-BG"/>
              </w:rPr>
              <w:br w:type="page"/>
              <w:t>- предотвратяване използването на питейната вода за напояване;</w:t>
            </w:r>
            <w:r w:rsidRPr="00292755">
              <w:rPr>
                <w:rFonts w:ascii="Times New Roman" w:eastAsia="Times New Roman" w:hAnsi="Times New Roman" w:cs="Times New Roman"/>
                <w:color w:val="000000"/>
                <w:sz w:val="24"/>
                <w:szCs w:val="24"/>
                <w:lang w:eastAsia="bg-BG"/>
              </w:rPr>
              <w:br w:type="page"/>
              <w:t>- намаление в ползването на природни ресурси и енергия;</w:t>
            </w:r>
            <w:r w:rsidRPr="00292755">
              <w:rPr>
                <w:rFonts w:ascii="Times New Roman" w:eastAsia="Times New Roman" w:hAnsi="Times New Roman" w:cs="Times New Roman"/>
                <w:color w:val="000000"/>
                <w:sz w:val="24"/>
                <w:szCs w:val="24"/>
                <w:lang w:eastAsia="bg-BG"/>
              </w:rPr>
              <w:br w:type="page"/>
              <w:t>- ограничаване влошаването на биоразнообразието и ландшафта;</w:t>
            </w:r>
            <w:r w:rsidRPr="00292755">
              <w:rPr>
                <w:rFonts w:ascii="Times New Roman" w:eastAsia="Times New Roman" w:hAnsi="Times New Roman" w:cs="Times New Roman"/>
                <w:color w:val="000000"/>
                <w:sz w:val="24"/>
                <w:szCs w:val="24"/>
                <w:lang w:eastAsia="bg-BG"/>
              </w:rPr>
              <w:br w:type="page"/>
              <w:t>- цялостно подобрение качествата на водата, въздуха и почвите.</w:t>
            </w:r>
          </w:p>
        </w:tc>
        <w:tc>
          <w:tcPr>
            <w:tcW w:w="463" w:type="pct"/>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5</w:t>
            </w:r>
          </w:p>
        </w:tc>
      </w:tr>
      <w:tr w:rsidR="000B0F93" w:rsidRPr="00292755" w:rsidTr="000B0F93">
        <w:trPr>
          <w:trHeight w:val="870"/>
        </w:trPr>
        <w:tc>
          <w:tcPr>
            <w:tcW w:w="4537"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B0F93" w:rsidRPr="00292755" w:rsidRDefault="000B0F93" w:rsidP="00292755">
            <w:pPr>
              <w:spacing w:after="0" w:line="240" w:lineRule="auto"/>
              <w:jc w:val="right"/>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Максимален брой точки по критериите:</w:t>
            </w:r>
          </w:p>
        </w:tc>
        <w:tc>
          <w:tcPr>
            <w:tcW w:w="463" w:type="pct"/>
            <w:tcBorders>
              <w:top w:val="nil"/>
              <w:left w:val="single" w:sz="4" w:space="0" w:color="auto"/>
              <w:bottom w:val="single" w:sz="4" w:space="0" w:color="auto"/>
              <w:right w:val="single" w:sz="4" w:space="0" w:color="auto"/>
            </w:tcBorders>
            <w:shd w:val="clear" w:color="000000" w:fill="D9D9D9"/>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90</w:t>
            </w:r>
          </w:p>
        </w:tc>
      </w:tr>
      <w:tr w:rsidR="000B0F93" w:rsidRPr="00292755" w:rsidTr="000B0F93">
        <w:trPr>
          <w:trHeight w:val="43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Подпомагат се проектни предложения, които са получили минимален брой от 15 точки по критериите за подбор.</w:t>
            </w:r>
          </w:p>
        </w:tc>
      </w:tr>
    </w:tbl>
    <w:p w:rsidR="000B0F93" w:rsidRPr="00292755" w:rsidRDefault="000B0F93" w:rsidP="00292755">
      <w:pPr>
        <w:spacing w:line="240" w:lineRule="auto"/>
        <w:jc w:val="center"/>
        <w:rPr>
          <w:rFonts w:ascii="Times New Roman" w:hAnsi="Times New Roman" w:cs="Times New Roman"/>
          <w:sz w:val="24"/>
          <w:szCs w:val="24"/>
          <w:lang w:val="bg-BG"/>
        </w:rPr>
      </w:pPr>
    </w:p>
    <w:p w:rsidR="000B0F93" w:rsidRPr="00292755" w:rsidRDefault="000B0F93" w:rsidP="00292755">
      <w:pPr>
        <w:spacing w:line="240" w:lineRule="auto"/>
        <w:jc w:val="center"/>
        <w:rPr>
          <w:rFonts w:ascii="Times New Roman" w:hAnsi="Times New Roman" w:cs="Times New Roman"/>
          <w:sz w:val="24"/>
          <w:szCs w:val="24"/>
          <w:lang w:val="bg-BG"/>
        </w:rPr>
      </w:pPr>
    </w:p>
    <w:p w:rsidR="000B0F93" w:rsidRPr="00292755" w:rsidRDefault="000B0F93" w:rsidP="00292755">
      <w:pPr>
        <w:spacing w:line="240" w:lineRule="auto"/>
        <w:jc w:val="center"/>
        <w:rPr>
          <w:rFonts w:ascii="Times New Roman" w:hAnsi="Times New Roman" w:cs="Times New Roman"/>
          <w:sz w:val="24"/>
          <w:szCs w:val="24"/>
          <w:lang w:val="bg-BG"/>
        </w:rPr>
      </w:pPr>
    </w:p>
    <w:p w:rsidR="000B0F93" w:rsidRPr="00292755" w:rsidRDefault="000B0F93" w:rsidP="00292755">
      <w:pPr>
        <w:spacing w:line="240" w:lineRule="auto"/>
        <w:jc w:val="center"/>
        <w:rPr>
          <w:rFonts w:ascii="Times New Roman" w:hAnsi="Times New Roman" w:cs="Times New Roman"/>
          <w:sz w:val="24"/>
          <w:szCs w:val="24"/>
          <w:lang w:val="bg-BG"/>
        </w:rPr>
      </w:pPr>
    </w:p>
    <w:p w:rsidR="000B0F93" w:rsidRPr="00292755" w:rsidRDefault="000B0F93" w:rsidP="00292755">
      <w:pPr>
        <w:spacing w:line="240" w:lineRule="auto"/>
        <w:jc w:val="center"/>
        <w:rPr>
          <w:rFonts w:ascii="Times New Roman" w:hAnsi="Times New Roman" w:cs="Times New Roman"/>
          <w:sz w:val="24"/>
          <w:szCs w:val="24"/>
          <w:lang w:val="bg-BG"/>
        </w:rPr>
      </w:pPr>
    </w:p>
    <w:tbl>
      <w:tblPr>
        <w:tblW w:w="5000" w:type="pct"/>
        <w:tblCellMar>
          <w:left w:w="70" w:type="dxa"/>
          <w:right w:w="70" w:type="dxa"/>
        </w:tblCellMar>
        <w:tblLook w:val="04A0" w:firstRow="1" w:lastRow="0" w:firstColumn="1" w:lastColumn="0" w:noHBand="0" w:noVBand="1"/>
      </w:tblPr>
      <w:tblGrid>
        <w:gridCol w:w="680"/>
        <w:gridCol w:w="9084"/>
        <w:gridCol w:w="842"/>
      </w:tblGrid>
      <w:tr w:rsidR="000B0F93" w:rsidRPr="00292755" w:rsidTr="000B0F93">
        <w:trPr>
          <w:trHeight w:val="960"/>
        </w:trPr>
        <w:tc>
          <w:tcPr>
            <w:tcW w:w="4537"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bookmarkStart w:id="2" w:name="RANGE!C3:E23"/>
            <w:r w:rsidRPr="00292755">
              <w:rPr>
                <w:rFonts w:ascii="Times New Roman" w:eastAsia="Times New Roman" w:hAnsi="Times New Roman" w:cs="Times New Roman"/>
                <w:b/>
                <w:bCs/>
                <w:color w:val="000000"/>
                <w:sz w:val="24"/>
                <w:szCs w:val="24"/>
                <w:lang w:eastAsia="bg-BG"/>
              </w:rPr>
              <w:t xml:space="preserve">Критерии за подбор на проектни предложения с включени инвестиции за строителство, реконструкция и/или рехабилитация на нови и съществуващи общински пътища и съоръженията и принадлежностите към тях </w:t>
            </w:r>
            <w:bookmarkEnd w:id="2"/>
          </w:p>
        </w:tc>
        <w:tc>
          <w:tcPr>
            <w:tcW w:w="463" w:type="pct"/>
            <w:tcBorders>
              <w:top w:val="single" w:sz="4" w:space="0" w:color="auto"/>
              <w:left w:val="nil"/>
              <w:bottom w:val="single" w:sz="4" w:space="0" w:color="auto"/>
              <w:right w:val="single" w:sz="4" w:space="0" w:color="auto"/>
            </w:tcBorders>
            <w:shd w:val="clear" w:color="000000" w:fill="D9D9D9"/>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Точки</w:t>
            </w:r>
          </w:p>
        </w:tc>
      </w:tr>
      <w:tr w:rsidR="000B0F93" w:rsidRPr="00292755" w:rsidTr="000B0F93">
        <w:trPr>
          <w:trHeight w:val="1245"/>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1</w:t>
            </w:r>
          </w:p>
        </w:tc>
        <w:tc>
          <w:tcPr>
            <w:tcW w:w="4348" w:type="pct"/>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b/>
                <w:bCs/>
                <w:color w:val="000000"/>
                <w:sz w:val="24"/>
                <w:szCs w:val="24"/>
                <w:lang w:eastAsia="bg-BG"/>
              </w:rPr>
              <w:t>Изграждане и/или реконструкция на инфраструктура в Северозападен район.</w:t>
            </w:r>
            <w:r w:rsidRPr="00292755">
              <w:rPr>
                <w:rFonts w:ascii="Times New Roman" w:eastAsia="Times New Roman" w:hAnsi="Times New Roman" w:cs="Times New Roman"/>
                <w:color w:val="000000"/>
                <w:sz w:val="24"/>
                <w:szCs w:val="24"/>
                <w:lang w:eastAsia="bg-BG"/>
              </w:rPr>
              <w:br/>
              <w:t>Проектът се реализира на територията на община, разположена в границите на Северозападен район на Р. България.</w:t>
            </w:r>
          </w:p>
        </w:tc>
        <w:tc>
          <w:tcPr>
            <w:tcW w:w="463" w:type="pct"/>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3</w:t>
            </w:r>
          </w:p>
        </w:tc>
      </w:tr>
      <w:tr w:rsidR="000B0F93" w:rsidRPr="00292755" w:rsidTr="000B0F93">
        <w:trPr>
          <w:trHeight w:val="7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1.1</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се реализира на територията на община от областите Плевен или Ловеч.</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w:t>
            </w:r>
          </w:p>
        </w:tc>
      </w:tr>
      <w:tr w:rsidR="000B0F93" w:rsidRPr="00292755" w:rsidTr="000B0F93">
        <w:trPr>
          <w:trHeight w:val="7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1.2</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се реализира на територията на община от областите Видин, Враца или Монтана.</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3</w:t>
            </w:r>
          </w:p>
        </w:tc>
      </w:tr>
      <w:tr w:rsidR="000B0F93" w:rsidRPr="00292755" w:rsidTr="000B0F93">
        <w:trPr>
          <w:trHeight w:val="1275"/>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2</w:t>
            </w:r>
          </w:p>
        </w:tc>
        <w:tc>
          <w:tcPr>
            <w:tcW w:w="4348" w:type="pct"/>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b/>
                <w:bCs/>
                <w:color w:val="000000"/>
                <w:sz w:val="24"/>
                <w:szCs w:val="24"/>
                <w:lang w:eastAsia="bg-BG"/>
              </w:rPr>
              <w:t>Изграждане и/или реконструкция на инфраструктура, обслужваща общини с високо ниво на безработица.</w:t>
            </w:r>
            <w:r w:rsidRPr="00292755">
              <w:rPr>
                <w:rFonts w:ascii="Times New Roman" w:eastAsia="Times New Roman" w:hAnsi="Times New Roman" w:cs="Times New Roman"/>
                <w:color w:val="000000"/>
                <w:sz w:val="24"/>
                <w:szCs w:val="24"/>
                <w:lang w:eastAsia="bg-BG"/>
              </w:rPr>
              <w:br/>
              <w:t>Проектът се реализира на територията на община с високо ниво на безработица (по данни на Агенция по заетостта за средногодишното равнище на регистрираната безработица към края на годината, предхождаща датата на кандидатстване).</w:t>
            </w:r>
          </w:p>
        </w:tc>
        <w:tc>
          <w:tcPr>
            <w:tcW w:w="463" w:type="pct"/>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15</w:t>
            </w:r>
          </w:p>
        </w:tc>
      </w:tr>
      <w:tr w:rsidR="000B0F93" w:rsidRPr="00292755" w:rsidTr="000B0F93">
        <w:trPr>
          <w:trHeight w:val="6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2.1</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до 10%.</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6</w:t>
            </w:r>
          </w:p>
        </w:tc>
      </w:tr>
      <w:tr w:rsidR="000B0F93" w:rsidRPr="00292755" w:rsidTr="000B0F93">
        <w:trPr>
          <w:trHeight w:val="6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2.2</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от 10.01% до 20%.</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9</w:t>
            </w:r>
          </w:p>
        </w:tc>
      </w:tr>
      <w:tr w:rsidR="000B0F93" w:rsidRPr="00292755" w:rsidTr="000B0F93">
        <w:trPr>
          <w:trHeight w:val="6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2.3</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от 20.01% до 30%.</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12</w:t>
            </w:r>
          </w:p>
        </w:tc>
      </w:tr>
      <w:tr w:rsidR="000B0F93" w:rsidRPr="00292755" w:rsidTr="000B0F93">
        <w:trPr>
          <w:trHeight w:val="6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2.4</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над 30.01%.</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15</w:t>
            </w:r>
          </w:p>
        </w:tc>
      </w:tr>
      <w:tr w:rsidR="000B0F93" w:rsidRPr="00292755" w:rsidTr="000B0F93">
        <w:trPr>
          <w:trHeight w:val="7395"/>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3*</w:t>
            </w:r>
          </w:p>
        </w:tc>
        <w:tc>
          <w:tcPr>
            <w:tcW w:w="4348" w:type="pct"/>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Изграждане и/или реконструкция на инфраструктура, която осигурява транспортна свързаност на населени места от селските райони до малките градове от 4-то йерархично ниво съгласно НКПР.</w:t>
            </w:r>
            <w:r w:rsidRPr="00292755">
              <w:rPr>
                <w:rFonts w:ascii="Times New Roman" w:eastAsia="Times New Roman" w:hAnsi="Times New Roman" w:cs="Times New Roman"/>
                <w:b/>
                <w:bCs/>
                <w:color w:val="000000"/>
                <w:sz w:val="24"/>
                <w:szCs w:val="24"/>
                <w:lang w:eastAsia="bg-BG"/>
              </w:rPr>
              <w:br/>
              <w:t>За целите на прилагане на критерий 3:</w:t>
            </w:r>
            <w:r w:rsidRPr="00292755">
              <w:rPr>
                <w:rFonts w:ascii="Times New Roman" w:eastAsia="Times New Roman" w:hAnsi="Times New Roman" w:cs="Times New Roman"/>
                <w:b/>
                <w:bCs/>
                <w:color w:val="000000"/>
                <w:sz w:val="24"/>
                <w:szCs w:val="24"/>
                <w:lang w:eastAsia="bg-BG"/>
              </w:rPr>
              <w:br/>
            </w:r>
            <w:r w:rsidRPr="00292755">
              <w:rPr>
                <w:rFonts w:ascii="Times New Roman" w:eastAsia="Times New Roman" w:hAnsi="Times New Roman" w:cs="Times New Roman"/>
                <w:color w:val="000000"/>
                <w:sz w:val="24"/>
                <w:szCs w:val="24"/>
                <w:lang w:eastAsia="bg-BG"/>
              </w:rPr>
              <w:t>- „град от 4-то йерархично ниво</w:t>
            </w:r>
            <w:proofErr w:type="gramStart"/>
            <w:r w:rsidRPr="00292755">
              <w:rPr>
                <w:rFonts w:ascii="Times New Roman" w:eastAsia="Times New Roman" w:hAnsi="Times New Roman" w:cs="Times New Roman"/>
                <w:color w:val="000000"/>
                <w:sz w:val="24"/>
                <w:szCs w:val="24"/>
                <w:lang w:eastAsia="bg-BG"/>
              </w:rPr>
              <w:t>“ е</w:t>
            </w:r>
            <w:proofErr w:type="gramEnd"/>
            <w:r w:rsidRPr="00292755">
              <w:rPr>
                <w:rFonts w:ascii="Times New Roman" w:eastAsia="Times New Roman" w:hAnsi="Times New Roman" w:cs="Times New Roman"/>
                <w:color w:val="000000"/>
                <w:sz w:val="24"/>
                <w:szCs w:val="24"/>
                <w:lang w:eastAsia="bg-BG"/>
              </w:rPr>
              <w:t xml:space="preserve"> град, включен в Списъка на градовете от 4-то йерархично ниво съгласно Националната концепция за пространствено развитие 2013-2025 г., приложение към Условията за кандидатстване;</w:t>
            </w:r>
            <w:r w:rsidRPr="00292755">
              <w:rPr>
                <w:rFonts w:ascii="Times New Roman" w:eastAsia="Times New Roman" w:hAnsi="Times New Roman" w:cs="Times New Roman"/>
                <w:color w:val="000000"/>
                <w:sz w:val="24"/>
                <w:szCs w:val="24"/>
                <w:lang w:eastAsia="bg-BG"/>
              </w:rPr>
              <w:br/>
              <w:t>- „населено място“ е населено място съгласно чл. 18, ал. 1 от Закона за административно-териториалното устройство на Република България;</w:t>
            </w:r>
            <w:r w:rsidRPr="00292755">
              <w:rPr>
                <w:rFonts w:ascii="Times New Roman" w:eastAsia="Times New Roman" w:hAnsi="Times New Roman" w:cs="Times New Roman"/>
                <w:color w:val="000000"/>
                <w:sz w:val="24"/>
                <w:szCs w:val="24"/>
                <w:lang w:eastAsia="bg-BG"/>
              </w:rPr>
              <w:br/>
              <w:t>- счита се, че е осъществена „директна транспортна свързаност“, когато пътят осигурява директна връзка със строителните граници на град от 4-то йерархично ниво, без оглед на това в коя част от пътя е ситуирана реконструираната/рехабилитирана пътна отсечка;</w:t>
            </w:r>
            <w:r w:rsidRPr="00292755">
              <w:rPr>
                <w:rFonts w:ascii="Times New Roman" w:eastAsia="Times New Roman" w:hAnsi="Times New Roman" w:cs="Times New Roman"/>
                <w:color w:val="000000"/>
                <w:sz w:val="24"/>
                <w:szCs w:val="24"/>
                <w:lang w:eastAsia="bg-BG"/>
              </w:rPr>
              <w:br/>
              <w:t>- „пътна отсечка“ е част от общински път, включен в Решение № 236 от 13 април 2007 г. на Министерския съвет за утвърждаване списък на общинските пътища;</w:t>
            </w:r>
            <w:r w:rsidRPr="00292755">
              <w:rPr>
                <w:rFonts w:ascii="Times New Roman" w:eastAsia="Times New Roman" w:hAnsi="Times New Roman" w:cs="Times New Roman"/>
                <w:color w:val="000000"/>
                <w:sz w:val="24"/>
                <w:szCs w:val="24"/>
                <w:lang w:eastAsia="bg-BG"/>
              </w:rPr>
              <w:br/>
              <w:t>- строителните граници на град от 4-то йерархично ниво са определени в съответните планове на общината;</w:t>
            </w:r>
            <w:r w:rsidRPr="00292755">
              <w:rPr>
                <w:rFonts w:ascii="Times New Roman" w:eastAsia="Times New Roman" w:hAnsi="Times New Roman" w:cs="Times New Roman"/>
                <w:color w:val="000000"/>
                <w:sz w:val="24"/>
                <w:szCs w:val="24"/>
                <w:lang w:eastAsia="bg-BG"/>
              </w:rPr>
              <w:br/>
              <w:t>- за „транспортна свързаност в рамките на не повече от 30 км.“ следва да се счита връзката на реконструираната/рехабилитирана пътна отсечка със строителните граници на град от 4-то йерархично ниво съгласно съответните планове на общината, която връзка може да минава през няколко населени места в рамките на общината, но общото разстояние от началната точка на реконструкция на пътната отсечка до строителните граници на града от 4-то йерархично ниво е не повече от 30 км.</w:t>
            </w:r>
            <w:r w:rsidRPr="00292755">
              <w:rPr>
                <w:rFonts w:ascii="Times New Roman" w:eastAsia="Times New Roman" w:hAnsi="Times New Roman" w:cs="Times New Roman"/>
                <w:b/>
                <w:bCs/>
                <w:color w:val="000000"/>
                <w:sz w:val="24"/>
                <w:szCs w:val="24"/>
                <w:lang w:eastAsia="bg-BG"/>
              </w:rPr>
              <w:br/>
            </w:r>
            <w:r w:rsidRPr="00292755">
              <w:rPr>
                <w:rFonts w:ascii="Times New Roman" w:eastAsia="Times New Roman" w:hAnsi="Times New Roman" w:cs="Times New Roman"/>
                <w:color w:val="000000"/>
                <w:sz w:val="24"/>
                <w:szCs w:val="24"/>
                <w:lang w:eastAsia="bg-BG"/>
              </w:rPr>
              <w:t>За съответствие с критерия следва да се докаже, че пътят, върху който се реконструира/рехабилитира участъка осигурява директна свързаност на населеното място до малките градове от 4-то йерархично ниво съгласно НКПР.</w:t>
            </w:r>
            <w:r w:rsidRPr="00292755">
              <w:rPr>
                <w:rFonts w:ascii="Times New Roman" w:eastAsia="Times New Roman" w:hAnsi="Times New Roman" w:cs="Times New Roman"/>
                <w:color w:val="000000"/>
                <w:sz w:val="24"/>
                <w:szCs w:val="24"/>
                <w:lang w:eastAsia="bg-BG"/>
              </w:rPr>
              <w:br/>
              <w:t>При проекти, които включват само инвестиции в съоръжения и/или принадлежности, точки по критерия не следва да бъдат присъждани.</w:t>
            </w:r>
            <w:r w:rsidRPr="00292755">
              <w:rPr>
                <w:rFonts w:ascii="Times New Roman" w:eastAsia="Times New Roman" w:hAnsi="Times New Roman" w:cs="Times New Roman"/>
                <w:color w:val="000000"/>
                <w:sz w:val="24"/>
                <w:szCs w:val="24"/>
                <w:lang w:eastAsia="bg-BG"/>
              </w:rPr>
              <w:br/>
            </w:r>
            <w:r w:rsidRPr="00292755">
              <w:rPr>
                <w:rFonts w:ascii="Times New Roman" w:eastAsia="Times New Roman" w:hAnsi="Times New Roman" w:cs="Times New Roman"/>
                <w:sz w:val="24"/>
                <w:szCs w:val="24"/>
                <w:lang w:eastAsia="bg-BG"/>
              </w:rPr>
              <w:t>При проекти, които включват реконструкция/рехабилитация на повече от един път, точки по критерия се присъждат, ако поне един от тях осигурява директна свързаност на населеното място до малките градове от 4-то йерархично ниво съгласно НКПР.</w:t>
            </w:r>
          </w:p>
        </w:tc>
        <w:tc>
          <w:tcPr>
            <w:tcW w:w="463" w:type="pct"/>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22</w:t>
            </w:r>
          </w:p>
        </w:tc>
      </w:tr>
      <w:tr w:rsidR="000B0F93" w:rsidRPr="00292755" w:rsidTr="000B0F93">
        <w:trPr>
          <w:trHeight w:val="130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3.1</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Чрез инвестициите по проекта ще се осигури директна транспортна свързаност на населено място/населени места на територията на общини от селски райони с градовете от 4-то йерархично ниво съгласно НКПР 2013 – 2025 г.</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20</w:t>
            </w:r>
          </w:p>
        </w:tc>
      </w:tr>
      <w:tr w:rsidR="000B0F93" w:rsidRPr="00292755" w:rsidTr="000B0F93">
        <w:trPr>
          <w:trHeight w:val="130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3.2</w:t>
            </w:r>
            <w:r w:rsidRPr="00292755">
              <w:rPr>
                <w:rFonts w:ascii="Times New Roman" w:hAnsi="Times New Roman" w:cs="Times New Roman"/>
                <w:b/>
                <w:sz w:val="24"/>
                <w:szCs w:val="24"/>
              </w:rPr>
              <w:t>**</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включва инвестиции, чрез които ще се осигури транспортна свързаност в рамките на не повече от 30 км на населено място/населени места на територията на общини от селски райони с градовете от 4-то йерархично ниво съгласно НКПР 2013 – 2025 г.</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22</w:t>
            </w:r>
          </w:p>
        </w:tc>
      </w:tr>
      <w:tr w:rsidR="000B0F93" w:rsidRPr="00292755" w:rsidTr="000B0F93">
        <w:trPr>
          <w:trHeight w:val="4590"/>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4*</w:t>
            </w:r>
          </w:p>
        </w:tc>
        <w:tc>
          <w:tcPr>
            <w:tcW w:w="4348" w:type="pct"/>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b/>
                <w:bCs/>
                <w:color w:val="000000"/>
                <w:sz w:val="24"/>
                <w:szCs w:val="24"/>
                <w:lang w:eastAsia="bg-BG"/>
              </w:rPr>
              <w:t>Изграждане и/или реконструкция на инфраструктура, която осигурява директна свързаност на населено място с по-висок клас пътища.</w:t>
            </w:r>
            <w:r w:rsidRPr="00292755">
              <w:rPr>
                <w:rFonts w:ascii="Times New Roman" w:eastAsia="Times New Roman" w:hAnsi="Times New Roman" w:cs="Times New Roman"/>
                <w:color w:val="000000"/>
                <w:sz w:val="24"/>
                <w:szCs w:val="24"/>
                <w:lang w:eastAsia="bg-BG"/>
              </w:rPr>
              <w:br/>
              <w:t>Чрез инвестициите по проекта ще се осигури директна транспортна свързаност на населено място/населени места на територията на община от селски район с по-висок клас път от републиканската пътна мрежа.</w:t>
            </w:r>
            <w:r w:rsidRPr="00292755">
              <w:rPr>
                <w:rFonts w:ascii="Times New Roman" w:eastAsia="Times New Roman" w:hAnsi="Times New Roman" w:cs="Times New Roman"/>
                <w:color w:val="000000"/>
                <w:sz w:val="24"/>
                <w:szCs w:val="24"/>
                <w:lang w:eastAsia="bg-BG"/>
              </w:rPr>
              <w:br/>
              <w:t>По-висок клас път е републикански път съгласно чл. 3, ал. 2 от Закона за пътищата.</w:t>
            </w:r>
            <w:r w:rsidRPr="00292755">
              <w:rPr>
                <w:rFonts w:ascii="Times New Roman" w:eastAsia="Times New Roman" w:hAnsi="Times New Roman" w:cs="Times New Roman"/>
                <w:color w:val="000000"/>
                <w:sz w:val="24"/>
                <w:szCs w:val="24"/>
                <w:lang w:eastAsia="bg-BG"/>
              </w:rPr>
              <w:br/>
              <w:t>Населено място е населено място съгласно чл. 18, ал. 1 от Закона за административно-териториалното устройство на Република България</w:t>
            </w:r>
            <w:proofErr w:type="gramStart"/>
            <w:r w:rsidRPr="00292755">
              <w:rPr>
                <w:rFonts w:ascii="Times New Roman" w:eastAsia="Times New Roman" w:hAnsi="Times New Roman" w:cs="Times New Roman"/>
                <w:color w:val="000000"/>
                <w:sz w:val="24"/>
                <w:szCs w:val="24"/>
                <w:lang w:eastAsia="bg-BG"/>
              </w:rPr>
              <w:t>.</w:t>
            </w:r>
            <w:proofErr w:type="gramEnd"/>
            <w:r w:rsidRPr="00292755">
              <w:rPr>
                <w:rFonts w:ascii="Times New Roman" w:eastAsia="Times New Roman" w:hAnsi="Times New Roman" w:cs="Times New Roman"/>
                <w:color w:val="000000"/>
                <w:sz w:val="24"/>
                <w:szCs w:val="24"/>
                <w:lang w:eastAsia="bg-BG"/>
              </w:rPr>
              <w:br/>
              <w:t>За съответствие с критерия следва да се докаже, че пътят, върху който се реконструира/рехабилитира участъка осигурява директна свързаност на населеното място с път от по-висок клас.</w:t>
            </w:r>
            <w:r w:rsidRPr="00292755">
              <w:rPr>
                <w:rFonts w:ascii="Times New Roman" w:eastAsia="Times New Roman" w:hAnsi="Times New Roman" w:cs="Times New Roman"/>
                <w:color w:val="000000"/>
                <w:sz w:val="24"/>
                <w:szCs w:val="24"/>
                <w:lang w:eastAsia="bg-BG"/>
              </w:rPr>
              <w:br/>
              <w:t>Съответствие се критерия се признава и в случаите, когато реконструираната/рехабилитираната отсечка се намира в участък от пътя, който не е директно свързан с път от по-висок клас.</w:t>
            </w:r>
            <w:r w:rsidRPr="00292755">
              <w:rPr>
                <w:rFonts w:ascii="Times New Roman" w:eastAsia="Times New Roman" w:hAnsi="Times New Roman" w:cs="Times New Roman"/>
                <w:color w:val="000000"/>
                <w:sz w:val="24"/>
                <w:szCs w:val="24"/>
                <w:lang w:eastAsia="bg-BG"/>
              </w:rPr>
              <w:br/>
              <w:t>При проекти, които включват само инвестиции в съоръжения и/или принадлежности, точки по критерия не следва да бъдат присъждани.</w:t>
            </w:r>
            <w:r w:rsidRPr="00292755">
              <w:rPr>
                <w:rFonts w:ascii="Times New Roman" w:eastAsia="Times New Roman" w:hAnsi="Times New Roman" w:cs="Times New Roman"/>
                <w:color w:val="000000"/>
                <w:sz w:val="24"/>
                <w:szCs w:val="24"/>
                <w:lang w:eastAsia="bg-BG"/>
              </w:rPr>
              <w:br/>
            </w:r>
            <w:r w:rsidRPr="00292755">
              <w:rPr>
                <w:rFonts w:ascii="Times New Roman" w:eastAsia="Times New Roman" w:hAnsi="Times New Roman" w:cs="Times New Roman"/>
                <w:sz w:val="24"/>
                <w:szCs w:val="24"/>
                <w:lang w:eastAsia="bg-BG"/>
              </w:rPr>
              <w:t>При проекти, които включват реконструкция/рехабилитация на повече от един път, точки по критерия се присъждат, ако поне един от тях осигурява директна свързаност на населеното място с път от по-висок клас.</w:t>
            </w:r>
          </w:p>
        </w:tc>
        <w:tc>
          <w:tcPr>
            <w:tcW w:w="463" w:type="pct"/>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26</w:t>
            </w:r>
          </w:p>
        </w:tc>
      </w:tr>
      <w:tr w:rsidR="000B0F93" w:rsidRPr="00292755" w:rsidTr="000B0F93">
        <w:trPr>
          <w:trHeight w:val="510"/>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5</w:t>
            </w:r>
          </w:p>
        </w:tc>
        <w:tc>
          <w:tcPr>
            <w:tcW w:w="4348" w:type="pct"/>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Брой население, което ще се възползва от подобрените основни услуги и обхвата на териториално въздействие</w:t>
            </w:r>
          </w:p>
        </w:tc>
        <w:tc>
          <w:tcPr>
            <w:tcW w:w="463" w:type="pct"/>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30</w:t>
            </w:r>
          </w:p>
        </w:tc>
      </w:tr>
      <w:tr w:rsidR="000B0F93" w:rsidRPr="00292755" w:rsidTr="000B0F93">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5.1</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до 1000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реконструираният/рехабилитираният път/пътища.</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10</w:t>
            </w:r>
          </w:p>
        </w:tc>
      </w:tr>
      <w:tr w:rsidR="000B0F93" w:rsidRPr="00292755" w:rsidTr="000B0F93">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5.2</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от 1001 до 2000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реконструираният/рехабилитираният път/пътища.</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15</w:t>
            </w:r>
          </w:p>
        </w:tc>
      </w:tr>
      <w:tr w:rsidR="000B0F93" w:rsidRPr="00292755" w:rsidTr="000B0F93">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5.3</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от 2001 до 5000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реконструираният/рехабилитираният път/пътища.</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20</w:t>
            </w:r>
          </w:p>
        </w:tc>
      </w:tr>
      <w:tr w:rsidR="000B0F93" w:rsidRPr="00292755" w:rsidTr="000B0F93">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5.4</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от 5001 до 8000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реконструираният/рехабилитираният път/пътища.</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25</w:t>
            </w:r>
          </w:p>
        </w:tc>
      </w:tr>
      <w:tr w:rsidR="000B0F93" w:rsidRPr="00292755" w:rsidTr="000B0F93">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5.5</w:t>
            </w:r>
          </w:p>
        </w:tc>
        <w:tc>
          <w:tcPr>
            <w:tcW w:w="4348"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над 8001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реконструираният/рехабилитираният път/пътища.</w:t>
            </w:r>
          </w:p>
        </w:tc>
        <w:tc>
          <w:tcPr>
            <w:tcW w:w="463"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30</w:t>
            </w:r>
          </w:p>
        </w:tc>
      </w:tr>
      <w:tr w:rsidR="000B0F93" w:rsidRPr="00292755" w:rsidTr="000B0F93">
        <w:trPr>
          <w:trHeight w:val="870"/>
        </w:trPr>
        <w:tc>
          <w:tcPr>
            <w:tcW w:w="4537"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0B0F93" w:rsidRPr="00292755" w:rsidRDefault="000B0F93" w:rsidP="00292755">
            <w:pPr>
              <w:spacing w:after="0" w:line="240" w:lineRule="auto"/>
              <w:jc w:val="right"/>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Максимален брой точки по критериите:</w:t>
            </w:r>
          </w:p>
        </w:tc>
        <w:tc>
          <w:tcPr>
            <w:tcW w:w="463" w:type="pct"/>
            <w:tcBorders>
              <w:top w:val="nil"/>
              <w:left w:val="nil"/>
              <w:bottom w:val="single" w:sz="4" w:space="0" w:color="auto"/>
              <w:right w:val="single" w:sz="4" w:space="0" w:color="auto"/>
            </w:tcBorders>
            <w:shd w:val="clear" w:color="000000" w:fill="D9D9D9"/>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74</w:t>
            </w:r>
          </w:p>
        </w:tc>
      </w:tr>
      <w:tr w:rsidR="000B0F93" w:rsidRPr="00292755" w:rsidTr="000B0F93">
        <w:trPr>
          <w:trHeight w:val="79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Подпомагат се проектни предложения, които са получили минимален брой от 20 точки по критериите за подбор.</w:t>
            </w:r>
            <w:r w:rsidRPr="00292755">
              <w:rPr>
                <w:rFonts w:ascii="Times New Roman" w:eastAsia="Times New Roman" w:hAnsi="Times New Roman" w:cs="Times New Roman"/>
                <w:b/>
                <w:bCs/>
                <w:color w:val="000000"/>
                <w:sz w:val="24"/>
                <w:szCs w:val="24"/>
                <w:lang w:eastAsia="bg-BG"/>
              </w:rPr>
              <w:br/>
              <w:t>* Едно проектно предложение не може да получи точки кумулативно по критерии 3 и 4. Присъждат се точки само по критерий 4.</w:t>
            </w:r>
          </w:p>
          <w:p w:rsidR="000B0F93" w:rsidRPr="00292755" w:rsidRDefault="000B0F93" w:rsidP="00292755">
            <w:pPr>
              <w:spacing w:after="0" w:line="240" w:lineRule="auto"/>
              <w:jc w:val="both"/>
              <w:rPr>
                <w:rFonts w:ascii="Times New Roman" w:eastAsia="Times New Roman" w:hAnsi="Times New Roman" w:cs="Times New Roman"/>
                <w:b/>
                <w:bCs/>
                <w:color w:val="000000"/>
                <w:sz w:val="24"/>
                <w:szCs w:val="24"/>
                <w:lang w:eastAsia="bg-BG"/>
              </w:rPr>
            </w:pPr>
            <w:r w:rsidRPr="00292755">
              <w:rPr>
                <w:rFonts w:ascii="Times New Roman" w:hAnsi="Times New Roman" w:cs="Times New Roman"/>
                <w:b/>
                <w:sz w:val="24"/>
                <w:szCs w:val="24"/>
              </w:rPr>
              <w:t>** При проекти, които включват реконструкция/рехабилитация на повече от един път и поне единия от тях включва инвестиции, чрез които ще се осигури транспортна свързаност в рамките на не повече от 30 км на населено място/населени места на територията на общини от селски райони с градовете от 4-то йерархично ниво съгласно НКПР 2013 – 2025 г., точки се присъждат само по критерий 3.2</w:t>
            </w:r>
          </w:p>
        </w:tc>
      </w:tr>
    </w:tbl>
    <w:p w:rsidR="000B0F93" w:rsidRPr="00292755" w:rsidRDefault="000B0F93" w:rsidP="00292755">
      <w:pPr>
        <w:spacing w:line="240" w:lineRule="auto"/>
        <w:jc w:val="center"/>
        <w:rPr>
          <w:rFonts w:ascii="Times New Roman" w:hAnsi="Times New Roman" w:cs="Times New Roman"/>
          <w:sz w:val="24"/>
          <w:szCs w:val="24"/>
          <w:lang w:val="bg-BG"/>
        </w:rPr>
      </w:pPr>
    </w:p>
    <w:p w:rsidR="000B0F93" w:rsidRPr="00292755" w:rsidRDefault="000B0F93" w:rsidP="00292755">
      <w:pPr>
        <w:spacing w:line="240" w:lineRule="auto"/>
        <w:jc w:val="center"/>
        <w:rPr>
          <w:rFonts w:ascii="Times New Roman" w:hAnsi="Times New Roman" w:cs="Times New Roman"/>
          <w:sz w:val="24"/>
          <w:szCs w:val="24"/>
          <w:lang w:val="bg-BG"/>
        </w:rPr>
      </w:pPr>
    </w:p>
    <w:p w:rsidR="000B0F93" w:rsidRPr="00292755" w:rsidRDefault="000B0F93" w:rsidP="00292755">
      <w:pPr>
        <w:spacing w:line="240" w:lineRule="auto"/>
        <w:jc w:val="center"/>
        <w:rPr>
          <w:rFonts w:ascii="Times New Roman" w:hAnsi="Times New Roman" w:cs="Times New Roman"/>
          <w:sz w:val="24"/>
          <w:szCs w:val="24"/>
          <w:lang w:val="bg-BG"/>
        </w:rPr>
      </w:pPr>
    </w:p>
    <w:p w:rsidR="000B0F93" w:rsidRPr="00292755" w:rsidRDefault="000B0F93" w:rsidP="00292755">
      <w:pPr>
        <w:spacing w:line="240" w:lineRule="auto"/>
        <w:jc w:val="center"/>
        <w:rPr>
          <w:rFonts w:ascii="Times New Roman" w:hAnsi="Times New Roman" w:cs="Times New Roman"/>
          <w:sz w:val="24"/>
          <w:szCs w:val="24"/>
          <w:lang w:val="bg-BG"/>
        </w:rPr>
      </w:pPr>
    </w:p>
    <w:tbl>
      <w:tblPr>
        <w:tblW w:w="9895" w:type="dxa"/>
        <w:tblLayout w:type="fixed"/>
        <w:tblLook w:val="04A0" w:firstRow="1" w:lastRow="0" w:firstColumn="1" w:lastColumn="0" w:noHBand="0" w:noVBand="1"/>
      </w:tblPr>
      <w:tblGrid>
        <w:gridCol w:w="535"/>
        <w:gridCol w:w="8370"/>
        <w:gridCol w:w="990"/>
      </w:tblGrid>
      <w:tr w:rsidR="000B0F93" w:rsidRPr="00292755" w:rsidTr="000B0F93">
        <w:trPr>
          <w:trHeight w:val="960"/>
        </w:trPr>
        <w:tc>
          <w:tcPr>
            <w:tcW w:w="890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rPr>
            </w:pPr>
            <w:bookmarkStart w:id="3" w:name="RANGE!C3:E18"/>
            <w:r w:rsidRPr="00292755">
              <w:rPr>
                <w:rFonts w:ascii="Times New Roman" w:eastAsia="Times New Roman" w:hAnsi="Times New Roman" w:cs="Times New Roman"/>
                <w:b/>
                <w:bCs/>
                <w:color w:val="000000"/>
                <w:sz w:val="24"/>
                <w:szCs w:val="24"/>
              </w:rPr>
              <w:t>Критерии за подбор на проектни предложения с включени инвестиции за реконструкция и/или ремонт на общински сгради, в които се предоставят обществени услуги, с цел подобряване на тяхната енергийна ефективност</w:t>
            </w:r>
            <w:bookmarkEnd w:id="3"/>
          </w:p>
        </w:tc>
        <w:tc>
          <w:tcPr>
            <w:tcW w:w="990" w:type="dxa"/>
            <w:tcBorders>
              <w:top w:val="single" w:sz="4" w:space="0" w:color="auto"/>
              <w:left w:val="nil"/>
              <w:bottom w:val="single" w:sz="4" w:space="0" w:color="auto"/>
              <w:right w:val="single" w:sz="4" w:space="0" w:color="auto"/>
            </w:tcBorders>
            <w:shd w:val="clear" w:color="000000" w:fill="D9D9D9"/>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rPr>
            </w:pPr>
            <w:r w:rsidRPr="00292755">
              <w:rPr>
                <w:rFonts w:ascii="Times New Roman" w:eastAsia="Times New Roman" w:hAnsi="Times New Roman" w:cs="Times New Roman"/>
                <w:b/>
                <w:bCs/>
                <w:color w:val="000000"/>
                <w:sz w:val="24"/>
                <w:szCs w:val="24"/>
              </w:rPr>
              <w:t>Точки</w:t>
            </w:r>
          </w:p>
        </w:tc>
      </w:tr>
      <w:tr w:rsidR="000B0F93" w:rsidRPr="00292755" w:rsidTr="000B0F93">
        <w:trPr>
          <w:trHeight w:val="1245"/>
        </w:trPr>
        <w:tc>
          <w:tcPr>
            <w:tcW w:w="535" w:type="dxa"/>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rPr>
            </w:pPr>
            <w:r w:rsidRPr="00292755">
              <w:rPr>
                <w:rFonts w:ascii="Times New Roman" w:eastAsia="Times New Roman" w:hAnsi="Times New Roman" w:cs="Times New Roman"/>
                <w:b/>
                <w:bCs/>
                <w:color w:val="000000"/>
                <w:sz w:val="24"/>
                <w:szCs w:val="24"/>
              </w:rPr>
              <w:t>1</w:t>
            </w:r>
          </w:p>
        </w:tc>
        <w:tc>
          <w:tcPr>
            <w:tcW w:w="8370" w:type="dxa"/>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rPr>
            </w:pPr>
            <w:r w:rsidRPr="00292755">
              <w:rPr>
                <w:rFonts w:ascii="Times New Roman" w:eastAsia="Times New Roman" w:hAnsi="Times New Roman" w:cs="Times New Roman"/>
                <w:b/>
                <w:bCs/>
                <w:color w:val="000000"/>
                <w:sz w:val="24"/>
                <w:szCs w:val="24"/>
              </w:rPr>
              <w:t>Изграждане и/или реконструкция на инфраструктура в Северозападен район.</w:t>
            </w:r>
            <w:r w:rsidRPr="00292755">
              <w:rPr>
                <w:rFonts w:ascii="Times New Roman" w:eastAsia="Times New Roman" w:hAnsi="Times New Roman" w:cs="Times New Roman"/>
                <w:color w:val="000000"/>
                <w:sz w:val="24"/>
                <w:szCs w:val="24"/>
              </w:rPr>
              <w:br/>
              <w:t>Проектът се реализира на територията на община, разположена в границите на Северозападен район на Р. България</w:t>
            </w:r>
          </w:p>
        </w:tc>
        <w:tc>
          <w:tcPr>
            <w:tcW w:w="990" w:type="dxa"/>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rPr>
            </w:pPr>
            <w:r w:rsidRPr="00292755">
              <w:rPr>
                <w:rFonts w:ascii="Times New Roman" w:eastAsia="Times New Roman" w:hAnsi="Times New Roman" w:cs="Times New Roman"/>
                <w:b/>
                <w:bCs/>
                <w:color w:val="000000"/>
                <w:sz w:val="24"/>
                <w:szCs w:val="24"/>
              </w:rPr>
              <w:t>3</w:t>
            </w:r>
          </w:p>
        </w:tc>
      </w:tr>
      <w:tr w:rsidR="000B0F93" w:rsidRPr="00292755" w:rsidTr="000B0F93">
        <w:trPr>
          <w:trHeight w:val="72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1.1</w:t>
            </w:r>
          </w:p>
        </w:tc>
        <w:tc>
          <w:tcPr>
            <w:tcW w:w="8370" w:type="dxa"/>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Проектът се реализира на територията на община от областите Плевен или Ловеч.</w:t>
            </w:r>
          </w:p>
        </w:tc>
        <w:tc>
          <w:tcPr>
            <w:tcW w:w="990" w:type="dxa"/>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2</w:t>
            </w:r>
          </w:p>
        </w:tc>
      </w:tr>
      <w:tr w:rsidR="000B0F93" w:rsidRPr="00292755" w:rsidTr="000B0F93">
        <w:trPr>
          <w:trHeight w:val="72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1.2</w:t>
            </w:r>
          </w:p>
        </w:tc>
        <w:tc>
          <w:tcPr>
            <w:tcW w:w="8370" w:type="dxa"/>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Проектът се реализира на територията на община от областите Видин, Враца или Монтана.</w:t>
            </w:r>
          </w:p>
        </w:tc>
        <w:tc>
          <w:tcPr>
            <w:tcW w:w="990" w:type="dxa"/>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3</w:t>
            </w:r>
          </w:p>
        </w:tc>
      </w:tr>
      <w:tr w:rsidR="000B0F93" w:rsidRPr="00292755" w:rsidTr="000B0F93">
        <w:trPr>
          <w:trHeight w:val="510"/>
        </w:trPr>
        <w:tc>
          <w:tcPr>
            <w:tcW w:w="535" w:type="dxa"/>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rPr>
            </w:pPr>
            <w:r w:rsidRPr="00292755">
              <w:rPr>
                <w:rFonts w:ascii="Times New Roman" w:eastAsia="Times New Roman" w:hAnsi="Times New Roman" w:cs="Times New Roman"/>
                <w:b/>
                <w:bCs/>
                <w:color w:val="000000"/>
                <w:sz w:val="24"/>
                <w:szCs w:val="24"/>
              </w:rPr>
              <w:t>2</w:t>
            </w:r>
          </w:p>
        </w:tc>
        <w:tc>
          <w:tcPr>
            <w:tcW w:w="8370" w:type="dxa"/>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b/>
                <w:bCs/>
                <w:color w:val="000000"/>
                <w:sz w:val="24"/>
                <w:szCs w:val="24"/>
              </w:rPr>
            </w:pPr>
            <w:r w:rsidRPr="00292755">
              <w:rPr>
                <w:rFonts w:ascii="Times New Roman" w:eastAsia="Times New Roman" w:hAnsi="Times New Roman" w:cs="Times New Roman"/>
                <w:b/>
                <w:bCs/>
                <w:color w:val="000000"/>
                <w:sz w:val="24"/>
                <w:szCs w:val="24"/>
              </w:rPr>
              <w:t>Брой население, което ще се възползва от подобрените основни услуги и обхвата на териториално въздействие.</w:t>
            </w:r>
          </w:p>
        </w:tc>
        <w:tc>
          <w:tcPr>
            <w:tcW w:w="990" w:type="dxa"/>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rPr>
            </w:pPr>
            <w:r w:rsidRPr="00292755">
              <w:rPr>
                <w:rFonts w:ascii="Times New Roman" w:eastAsia="Times New Roman" w:hAnsi="Times New Roman" w:cs="Times New Roman"/>
                <w:b/>
                <w:bCs/>
                <w:color w:val="000000"/>
                <w:sz w:val="24"/>
                <w:szCs w:val="24"/>
              </w:rPr>
              <w:t>22</w:t>
            </w:r>
          </w:p>
        </w:tc>
      </w:tr>
      <w:tr w:rsidR="000B0F93" w:rsidRPr="00292755" w:rsidTr="000B0F93">
        <w:trPr>
          <w:trHeight w:val="102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2.1</w:t>
            </w:r>
          </w:p>
        </w:tc>
        <w:tc>
          <w:tcPr>
            <w:tcW w:w="8370" w:type="dxa"/>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Инвестициите по проекта се изпълняват на територията на община с общо население до 2000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rPr>
              <w:br/>
              <w:t>Отчита се броят на населението на цялата община, в която се изпълняват инвестициите.</w:t>
            </w:r>
          </w:p>
        </w:tc>
        <w:tc>
          <w:tcPr>
            <w:tcW w:w="990" w:type="dxa"/>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10</w:t>
            </w:r>
          </w:p>
        </w:tc>
      </w:tr>
      <w:tr w:rsidR="000B0F93" w:rsidRPr="00292755" w:rsidTr="000B0F93">
        <w:trPr>
          <w:trHeight w:val="102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2.2</w:t>
            </w:r>
          </w:p>
        </w:tc>
        <w:tc>
          <w:tcPr>
            <w:tcW w:w="8370" w:type="dxa"/>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Инвестициите по проекта се изпълняват на територията на община с общо население от 2001 до 4000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rPr>
              <w:br/>
              <w:t>Отчита се броят на населението на цялата община, в която се изпълняват инвестициите.</w:t>
            </w:r>
          </w:p>
        </w:tc>
        <w:tc>
          <w:tcPr>
            <w:tcW w:w="990" w:type="dxa"/>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13</w:t>
            </w:r>
          </w:p>
        </w:tc>
      </w:tr>
      <w:tr w:rsidR="000B0F93" w:rsidRPr="00292755" w:rsidTr="000B0F93">
        <w:trPr>
          <w:trHeight w:val="102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2.3</w:t>
            </w:r>
          </w:p>
        </w:tc>
        <w:tc>
          <w:tcPr>
            <w:tcW w:w="8370" w:type="dxa"/>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Инвестициите по проекта се изпълняват на територията на община с общо население от 4001 до 6000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rPr>
              <w:br/>
              <w:t>Отчита се броят на населението на цялата община, в която се изпълняват инвестициите.</w:t>
            </w:r>
          </w:p>
        </w:tc>
        <w:tc>
          <w:tcPr>
            <w:tcW w:w="990" w:type="dxa"/>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16</w:t>
            </w:r>
          </w:p>
        </w:tc>
      </w:tr>
      <w:tr w:rsidR="000B0F93" w:rsidRPr="00292755" w:rsidTr="000B0F93">
        <w:trPr>
          <w:trHeight w:val="102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2.4</w:t>
            </w:r>
          </w:p>
        </w:tc>
        <w:tc>
          <w:tcPr>
            <w:tcW w:w="8370" w:type="dxa"/>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Инвестициите по проекта се изпълняват на територията на община с общо население от 6001 до 8000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rPr>
              <w:br/>
              <w:t>Отчита се броят на населението на цялата община, в която се изпълняват инвестициите.</w:t>
            </w:r>
          </w:p>
        </w:tc>
        <w:tc>
          <w:tcPr>
            <w:tcW w:w="990" w:type="dxa"/>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19</w:t>
            </w:r>
          </w:p>
        </w:tc>
      </w:tr>
      <w:tr w:rsidR="000B0F93" w:rsidRPr="00292755" w:rsidTr="000B0F93">
        <w:trPr>
          <w:trHeight w:val="102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2.5</w:t>
            </w:r>
          </w:p>
        </w:tc>
        <w:tc>
          <w:tcPr>
            <w:tcW w:w="8370" w:type="dxa"/>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Инвестициите по проекта се изпълняват на територията на община с общо население над 8001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rPr>
              <w:br/>
              <w:t>Отчита се броят на населението на цялата община, в която се изпълняват инвестициите.</w:t>
            </w:r>
          </w:p>
        </w:tc>
        <w:tc>
          <w:tcPr>
            <w:tcW w:w="990" w:type="dxa"/>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22</w:t>
            </w:r>
          </w:p>
        </w:tc>
      </w:tr>
      <w:tr w:rsidR="000B0F93" w:rsidRPr="00292755" w:rsidTr="000B0F93">
        <w:trPr>
          <w:trHeight w:val="1275"/>
        </w:trPr>
        <w:tc>
          <w:tcPr>
            <w:tcW w:w="535" w:type="dxa"/>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rPr>
            </w:pPr>
            <w:r w:rsidRPr="00292755">
              <w:rPr>
                <w:rFonts w:ascii="Times New Roman" w:eastAsia="Times New Roman" w:hAnsi="Times New Roman" w:cs="Times New Roman"/>
                <w:b/>
                <w:bCs/>
                <w:color w:val="000000"/>
                <w:sz w:val="24"/>
                <w:szCs w:val="24"/>
              </w:rPr>
              <w:t>3</w:t>
            </w:r>
          </w:p>
        </w:tc>
        <w:tc>
          <w:tcPr>
            <w:tcW w:w="8370" w:type="dxa"/>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b/>
                <w:bCs/>
                <w:color w:val="000000"/>
                <w:sz w:val="24"/>
                <w:szCs w:val="24"/>
              </w:rPr>
            </w:pPr>
            <w:r w:rsidRPr="00292755">
              <w:rPr>
                <w:rFonts w:ascii="Times New Roman" w:eastAsia="Times New Roman" w:hAnsi="Times New Roman" w:cs="Times New Roman"/>
                <w:b/>
                <w:bCs/>
                <w:color w:val="000000"/>
                <w:sz w:val="24"/>
                <w:szCs w:val="24"/>
              </w:rPr>
              <w:t>Проекти, насочени към производство на енергия за собствено потребление от възобновяеми енергийни източници.</w:t>
            </w:r>
            <w:r w:rsidRPr="00292755">
              <w:rPr>
                <w:rFonts w:ascii="Times New Roman" w:eastAsia="Times New Roman" w:hAnsi="Times New Roman" w:cs="Times New Roman"/>
                <w:b/>
                <w:bCs/>
                <w:color w:val="000000"/>
                <w:sz w:val="24"/>
                <w:szCs w:val="24"/>
              </w:rPr>
              <w:br/>
            </w:r>
            <w:r w:rsidRPr="00292755">
              <w:rPr>
                <w:rFonts w:ascii="Times New Roman" w:eastAsia="Times New Roman" w:hAnsi="Times New Roman" w:cs="Times New Roman"/>
                <w:color w:val="000000"/>
                <w:sz w:val="24"/>
                <w:szCs w:val="24"/>
              </w:rPr>
              <w:t>Отчита се стойноста на разходите за закупуване на оборудване за изграждането на съоръжения за производство и съхранение на електроенергия от възобновяеми енергийни източници като процентно изражение от общо одобрените инвестиционни разходи по проектното предложение.</w:t>
            </w:r>
          </w:p>
        </w:tc>
        <w:tc>
          <w:tcPr>
            <w:tcW w:w="990" w:type="dxa"/>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rPr>
            </w:pPr>
            <w:r w:rsidRPr="00292755">
              <w:rPr>
                <w:rFonts w:ascii="Times New Roman" w:eastAsia="Times New Roman" w:hAnsi="Times New Roman" w:cs="Times New Roman"/>
                <w:b/>
                <w:bCs/>
                <w:color w:val="000000"/>
                <w:sz w:val="24"/>
                <w:szCs w:val="24"/>
              </w:rPr>
              <w:t>9</w:t>
            </w:r>
          </w:p>
        </w:tc>
      </w:tr>
      <w:tr w:rsidR="000B0F93" w:rsidRPr="00292755" w:rsidTr="000B0F93">
        <w:trPr>
          <w:trHeight w:val="76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3.1</w:t>
            </w:r>
          </w:p>
        </w:tc>
        <w:tc>
          <w:tcPr>
            <w:tcW w:w="8370" w:type="dxa"/>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Проектното предложение включва разходи за инвестиции в производство на енергия от ВЕИ за собствено потребление на стойност от 10 % до 20 % от общо заявените/одобрените инвестиционни разходи по проектното предложение.</w:t>
            </w:r>
          </w:p>
        </w:tc>
        <w:tc>
          <w:tcPr>
            <w:tcW w:w="990" w:type="dxa"/>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5</w:t>
            </w:r>
          </w:p>
        </w:tc>
      </w:tr>
      <w:tr w:rsidR="000B0F93" w:rsidRPr="00292755" w:rsidTr="000B0F93">
        <w:trPr>
          <w:trHeight w:val="76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3.2</w:t>
            </w:r>
          </w:p>
        </w:tc>
        <w:tc>
          <w:tcPr>
            <w:tcW w:w="8370" w:type="dxa"/>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Проектното предложение включва разходи за инвестиции в производство на енергия от ВЕИ за собствено потребление на стойност от 20,01 % до 30 % от общо заявените/одобрените инвестиционни разходи по проектното предложение.</w:t>
            </w:r>
          </w:p>
        </w:tc>
        <w:tc>
          <w:tcPr>
            <w:tcW w:w="990" w:type="dxa"/>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7</w:t>
            </w:r>
          </w:p>
        </w:tc>
      </w:tr>
      <w:tr w:rsidR="000B0F93" w:rsidRPr="00292755" w:rsidTr="000B0F93">
        <w:trPr>
          <w:trHeight w:val="765"/>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3.3</w:t>
            </w:r>
          </w:p>
        </w:tc>
        <w:tc>
          <w:tcPr>
            <w:tcW w:w="8370" w:type="dxa"/>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Проектното предложение включва разходи за инвестиции в производство на енергия от ВЕИ за собствено потребление на стойност над 30</w:t>
            </w:r>
            <w:proofErr w:type="gramStart"/>
            <w:r w:rsidRPr="00292755">
              <w:rPr>
                <w:rFonts w:ascii="Times New Roman" w:eastAsia="Times New Roman" w:hAnsi="Times New Roman" w:cs="Times New Roman"/>
                <w:color w:val="000000"/>
                <w:sz w:val="24"/>
                <w:szCs w:val="24"/>
              </w:rPr>
              <w:t>,01</w:t>
            </w:r>
            <w:proofErr w:type="gramEnd"/>
            <w:r w:rsidRPr="00292755">
              <w:rPr>
                <w:rFonts w:ascii="Times New Roman" w:eastAsia="Times New Roman" w:hAnsi="Times New Roman" w:cs="Times New Roman"/>
                <w:color w:val="000000"/>
                <w:sz w:val="24"/>
                <w:szCs w:val="24"/>
              </w:rPr>
              <w:t xml:space="preserve"> % от общо заявените/одобрените инвестиционни разходи по проектното предложение.</w:t>
            </w:r>
          </w:p>
        </w:tc>
        <w:tc>
          <w:tcPr>
            <w:tcW w:w="990" w:type="dxa"/>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rPr>
            </w:pPr>
            <w:r w:rsidRPr="00292755">
              <w:rPr>
                <w:rFonts w:ascii="Times New Roman" w:eastAsia="Times New Roman" w:hAnsi="Times New Roman" w:cs="Times New Roman"/>
                <w:color w:val="000000"/>
                <w:sz w:val="24"/>
                <w:szCs w:val="24"/>
              </w:rPr>
              <w:t>9</w:t>
            </w:r>
          </w:p>
        </w:tc>
      </w:tr>
      <w:tr w:rsidR="000B0F93" w:rsidRPr="00292755" w:rsidTr="000B0F93">
        <w:trPr>
          <w:trHeight w:val="870"/>
        </w:trPr>
        <w:tc>
          <w:tcPr>
            <w:tcW w:w="890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0B0F93" w:rsidRPr="00292755" w:rsidRDefault="000B0F93" w:rsidP="00292755">
            <w:pPr>
              <w:spacing w:after="0" w:line="240" w:lineRule="auto"/>
              <w:jc w:val="right"/>
              <w:rPr>
                <w:rFonts w:ascii="Times New Roman" w:eastAsia="Times New Roman" w:hAnsi="Times New Roman" w:cs="Times New Roman"/>
                <w:b/>
                <w:bCs/>
                <w:color w:val="000000"/>
                <w:sz w:val="24"/>
                <w:szCs w:val="24"/>
              </w:rPr>
            </w:pPr>
            <w:r w:rsidRPr="00292755">
              <w:rPr>
                <w:rFonts w:ascii="Times New Roman" w:eastAsia="Times New Roman" w:hAnsi="Times New Roman" w:cs="Times New Roman"/>
                <w:b/>
                <w:bCs/>
                <w:color w:val="000000"/>
                <w:sz w:val="24"/>
                <w:szCs w:val="24"/>
              </w:rPr>
              <w:t>Максимален брой точки по критериите:</w:t>
            </w:r>
          </w:p>
        </w:tc>
        <w:tc>
          <w:tcPr>
            <w:tcW w:w="990" w:type="dxa"/>
            <w:tcBorders>
              <w:top w:val="nil"/>
              <w:left w:val="nil"/>
              <w:bottom w:val="single" w:sz="4" w:space="0" w:color="auto"/>
              <w:right w:val="single" w:sz="4" w:space="0" w:color="auto"/>
            </w:tcBorders>
            <w:shd w:val="clear" w:color="000000" w:fill="D9D9D9"/>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rPr>
            </w:pPr>
            <w:r w:rsidRPr="00292755">
              <w:rPr>
                <w:rFonts w:ascii="Times New Roman" w:eastAsia="Times New Roman" w:hAnsi="Times New Roman" w:cs="Times New Roman"/>
                <w:b/>
                <w:bCs/>
                <w:color w:val="000000"/>
                <w:sz w:val="24"/>
                <w:szCs w:val="24"/>
              </w:rPr>
              <w:t>34</w:t>
            </w:r>
          </w:p>
        </w:tc>
      </w:tr>
    </w:tbl>
    <w:tbl>
      <w:tblPr>
        <w:tblStyle w:val="TableGrid2"/>
        <w:tblW w:w="9895" w:type="dxa"/>
        <w:tblLook w:val="04A0" w:firstRow="1" w:lastRow="0" w:firstColumn="1" w:lastColumn="0" w:noHBand="0" w:noVBand="1"/>
      </w:tblPr>
      <w:tblGrid>
        <w:gridCol w:w="9895"/>
      </w:tblGrid>
      <w:tr w:rsidR="000B0F93" w:rsidRPr="00292755" w:rsidTr="000B0F93">
        <w:tc>
          <w:tcPr>
            <w:tcW w:w="9895" w:type="dxa"/>
          </w:tcPr>
          <w:p w:rsidR="000B0F93" w:rsidRPr="00292755" w:rsidRDefault="000B0F93" w:rsidP="00292755">
            <w:pPr>
              <w:rPr>
                <w:rFonts w:ascii="Times New Roman" w:hAnsi="Times New Roman" w:cs="Times New Roman"/>
                <w:sz w:val="24"/>
                <w:szCs w:val="24"/>
              </w:rPr>
            </w:pPr>
            <w:r w:rsidRPr="00292755">
              <w:rPr>
                <w:rFonts w:ascii="Times New Roman" w:eastAsia="Times New Roman" w:hAnsi="Times New Roman" w:cs="Times New Roman"/>
                <w:b/>
                <w:bCs/>
                <w:color w:val="000000"/>
                <w:sz w:val="24"/>
                <w:szCs w:val="24"/>
                <w:lang w:val="en-US"/>
              </w:rPr>
              <w:t>Подпомагат се проектни предложения, които са получили минимален брой от 13 точки по критериите за подбор.</w:t>
            </w:r>
          </w:p>
        </w:tc>
      </w:tr>
    </w:tbl>
    <w:p w:rsidR="000B0F93" w:rsidRPr="00292755" w:rsidRDefault="000B0F93" w:rsidP="00292755">
      <w:pPr>
        <w:spacing w:line="240" w:lineRule="auto"/>
        <w:jc w:val="center"/>
        <w:rPr>
          <w:rFonts w:ascii="Times New Roman" w:hAnsi="Times New Roman" w:cs="Times New Roman"/>
          <w:sz w:val="24"/>
          <w:szCs w:val="24"/>
          <w:lang w:val="bg-BG"/>
        </w:rPr>
      </w:pPr>
    </w:p>
    <w:p w:rsidR="000B0F93" w:rsidRPr="00292755" w:rsidRDefault="000B0F93" w:rsidP="00292755">
      <w:pPr>
        <w:spacing w:line="240" w:lineRule="auto"/>
        <w:jc w:val="center"/>
        <w:rPr>
          <w:rFonts w:ascii="Times New Roman" w:hAnsi="Times New Roman" w:cs="Times New Roman"/>
          <w:sz w:val="24"/>
          <w:szCs w:val="24"/>
          <w:lang w:val="bg-BG"/>
        </w:rPr>
      </w:pPr>
    </w:p>
    <w:p w:rsidR="000B0F93" w:rsidRPr="00292755" w:rsidRDefault="000B0F93" w:rsidP="00292755">
      <w:pPr>
        <w:spacing w:line="240" w:lineRule="auto"/>
        <w:jc w:val="center"/>
        <w:rPr>
          <w:rFonts w:ascii="Times New Roman" w:hAnsi="Times New Roman" w:cs="Times New Roman"/>
          <w:sz w:val="24"/>
          <w:szCs w:val="24"/>
          <w:lang w:val="bg-BG"/>
        </w:rPr>
      </w:pPr>
    </w:p>
    <w:tbl>
      <w:tblPr>
        <w:tblW w:w="5000" w:type="pct"/>
        <w:tblCellMar>
          <w:left w:w="70" w:type="dxa"/>
          <w:right w:w="70" w:type="dxa"/>
        </w:tblCellMar>
        <w:tblLook w:val="04A0" w:firstRow="1" w:lastRow="0" w:firstColumn="1" w:lastColumn="0" w:noHBand="0" w:noVBand="1"/>
      </w:tblPr>
      <w:tblGrid>
        <w:gridCol w:w="449"/>
        <w:gridCol w:w="9200"/>
        <w:gridCol w:w="957"/>
      </w:tblGrid>
      <w:tr w:rsidR="000B0F93" w:rsidRPr="00292755" w:rsidTr="000B0F93">
        <w:trPr>
          <w:trHeight w:val="960"/>
        </w:trPr>
        <w:tc>
          <w:tcPr>
            <w:tcW w:w="4548"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bookmarkStart w:id="4" w:name="RANGE!C3:E20"/>
            <w:r w:rsidRPr="00292755">
              <w:rPr>
                <w:rFonts w:ascii="Times New Roman" w:eastAsia="Times New Roman" w:hAnsi="Times New Roman" w:cs="Times New Roman"/>
                <w:b/>
                <w:bCs/>
                <w:color w:val="000000"/>
                <w:sz w:val="24"/>
                <w:szCs w:val="24"/>
                <w:lang w:eastAsia="bg-BG"/>
              </w:rPr>
              <w:t>Критерии за подбор на проектни предложения с включени инвестиции за строителство, реконструкция и/или рехабилитация на нови и съществуващи улици, тротоари, и съоръженията и принадлежностите към тях</w:t>
            </w:r>
            <w:bookmarkEnd w:id="4"/>
          </w:p>
        </w:tc>
        <w:tc>
          <w:tcPr>
            <w:tcW w:w="452" w:type="pct"/>
            <w:tcBorders>
              <w:top w:val="single" w:sz="4" w:space="0" w:color="auto"/>
              <w:left w:val="nil"/>
              <w:bottom w:val="single" w:sz="4" w:space="0" w:color="auto"/>
              <w:right w:val="single" w:sz="4" w:space="0" w:color="auto"/>
            </w:tcBorders>
            <w:shd w:val="clear" w:color="000000" w:fill="D9D9D9"/>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Точки</w:t>
            </w:r>
          </w:p>
        </w:tc>
      </w:tr>
      <w:tr w:rsidR="000B0F93" w:rsidRPr="00292755" w:rsidTr="000B0F93">
        <w:trPr>
          <w:trHeight w:val="1245"/>
        </w:trPr>
        <w:tc>
          <w:tcPr>
            <w:tcW w:w="212" w:type="pct"/>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1</w:t>
            </w:r>
          </w:p>
        </w:tc>
        <w:tc>
          <w:tcPr>
            <w:tcW w:w="4337" w:type="pct"/>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b/>
                <w:bCs/>
                <w:color w:val="000000"/>
                <w:sz w:val="24"/>
                <w:szCs w:val="24"/>
                <w:lang w:eastAsia="bg-BG"/>
              </w:rPr>
              <w:t>Изграждане и/или реконструкция на инфраструктура в Северозападен район.</w:t>
            </w:r>
            <w:r w:rsidRPr="00292755">
              <w:rPr>
                <w:rFonts w:ascii="Times New Roman" w:eastAsia="Times New Roman" w:hAnsi="Times New Roman" w:cs="Times New Roman"/>
                <w:color w:val="000000"/>
                <w:sz w:val="24"/>
                <w:szCs w:val="24"/>
                <w:lang w:eastAsia="bg-BG"/>
              </w:rPr>
              <w:br/>
              <w:t>Проектът се реализира на територията на община, разположена в границите на Северозападен район на Р. България.</w:t>
            </w:r>
          </w:p>
        </w:tc>
        <w:tc>
          <w:tcPr>
            <w:tcW w:w="452" w:type="pct"/>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3</w:t>
            </w:r>
          </w:p>
        </w:tc>
      </w:tr>
      <w:tr w:rsidR="000B0F93" w:rsidRPr="00292755" w:rsidTr="000B0F93">
        <w:trPr>
          <w:trHeight w:val="7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1.1</w:t>
            </w:r>
          </w:p>
        </w:tc>
        <w:tc>
          <w:tcPr>
            <w:tcW w:w="4337"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се реализира на територията на община от областите Плевен или Ловеч.</w:t>
            </w:r>
          </w:p>
        </w:tc>
        <w:tc>
          <w:tcPr>
            <w:tcW w:w="452"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w:t>
            </w:r>
          </w:p>
        </w:tc>
      </w:tr>
      <w:tr w:rsidR="000B0F93" w:rsidRPr="00292755" w:rsidTr="000B0F93">
        <w:trPr>
          <w:trHeight w:val="7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1.2</w:t>
            </w:r>
          </w:p>
        </w:tc>
        <w:tc>
          <w:tcPr>
            <w:tcW w:w="4337"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се реализира на територията на община от областите Видин, Враца или Монтана.</w:t>
            </w:r>
          </w:p>
        </w:tc>
        <w:tc>
          <w:tcPr>
            <w:tcW w:w="452"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3</w:t>
            </w:r>
          </w:p>
        </w:tc>
      </w:tr>
      <w:tr w:rsidR="000B0F93" w:rsidRPr="00292755" w:rsidTr="000B0F93">
        <w:trPr>
          <w:trHeight w:val="1275"/>
        </w:trPr>
        <w:tc>
          <w:tcPr>
            <w:tcW w:w="212" w:type="pct"/>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2</w:t>
            </w:r>
          </w:p>
        </w:tc>
        <w:tc>
          <w:tcPr>
            <w:tcW w:w="4337" w:type="pct"/>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b/>
                <w:bCs/>
                <w:color w:val="000000"/>
                <w:sz w:val="24"/>
                <w:szCs w:val="24"/>
                <w:lang w:eastAsia="bg-BG"/>
              </w:rPr>
              <w:t>Изграждане и/или реконструкция на инфраструктура, обслужваща общини с високо ниво на безработица.</w:t>
            </w:r>
            <w:r w:rsidRPr="00292755">
              <w:rPr>
                <w:rFonts w:ascii="Times New Roman" w:eastAsia="Times New Roman" w:hAnsi="Times New Roman" w:cs="Times New Roman"/>
                <w:color w:val="000000"/>
                <w:sz w:val="24"/>
                <w:szCs w:val="24"/>
                <w:lang w:eastAsia="bg-BG"/>
              </w:rPr>
              <w:br/>
              <w:t>Проектът се реализира на територията на община с високо ниво на безработица (по данни на Агенция по заетостта за средногодишното равнище на регистрираната безработица към края на годината, предхождаща датата на кандидатстване.)</w:t>
            </w:r>
          </w:p>
        </w:tc>
        <w:tc>
          <w:tcPr>
            <w:tcW w:w="452" w:type="pct"/>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11</w:t>
            </w:r>
          </w:p>
        </w:tc>
      </w:tr>
      <w:tr w:rsidR="000B0F93" w:rsidRPr="00292755" w:rsidTr="000B0F93">
        <w:trPr>
          <w:trHeight w:val="6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2.1</w:t>
            </w:r>
          </w:p>
        </w:tc>
        <w:tc>
          <w:tcPr>
            <w:tcW w:w="4337"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до 10%.</w:t>
            </w:r>
          </w:p>
        </w:tc>
        <w:tc>
          <w:tcPr>
            <w:tcW w:w="452"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7</w:t>
            </w:r>
          </w:p>
        </w:tc>
      </w:tr>
      <w:tr w:rsidR="000B0F93" w:rsidRPr="00292755" w:rsidTr="000B0F93">
        <w:trPr>
          <w:trHeight w:val="6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2.2</w:t>
            </w:r>
          </w:p>
        </w:tc>
        <w:tc>
          <w:tcPr>
            <w:tcW w:w="4337"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от 10.01% до 20%.</w:t>
            </w:r>
          </w:p>
        </w:tc>
        <w:tc>
          <w:tcPr>
            <w:tcW w:w="452"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9</w:t>
            </w:r>
          </w:p>
        </w:tc>
      </w:tr>
      <w:tr w:rsidR="000B0F93" w:rsidRPr="00292755" w:rsidTr="000B0F93">
        <w:trPr>
          <w:trHeight w:val="6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2.3</w:t>
            </w:r>
          </w:p>
        </w:tc>
        <w:tc>
          <w:tcPr>
            <w:tcW w:w="4337"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над 20.01%.</w:t>
            </w:r>
          </w:p>
        </w:tc>
        <w:tc>
          <w:tcPr>
            <w:tcW w:w="452"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11</w:t>
            </w:r>
          </w:p>
        </w:tc>
      </w:tr>
      <w:tr w:rsidR="000B0F93" w:rsidRPr="00292755" w:rsidTr="000B0F93">
        <w:trPr>
          <w:trHeight w:val="5355"/>
        </w:trPr>
        <w:tc>
          <w:tcPr>
            <w:tcW w:w="212" w:type="pct"/>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3</w:t>
            </w:r>
          </w:p>
        </w:tc>
        <w:tc>
          <w:tcPr>
            <w:tcW w:w="4337" w:type="pct"/>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sz w:val="24"/>
                <w:szCs w:val="24"/>
                <w:lang w:eastAsia="bg-BG"/>
              </w:rPr>
            </w:pPr>
            <w:r w:rsidRPr="00292755">
              <w:rPr>
                <w:rFonts w:ascii="Times New Roman" w:eastAsia="Times New Roman" w:hAnsi="Times New Roman" w:cs="Times New Roman"/>
                <w:b/>
                <w:bCs/>
                <w:color w:val="000000"/>
                <w:sz w:val="24"/>
                <w:szCs w:val="24"/>
                <w:lang w:eastAsia="bg-BG"/>
              </w:rPr>
              <w:t>Изграждане и/или реконструкция на инфраструктура, която осигурява директна свързаност на населено място с по-висок клас пътища.</w:t>
            </w:r>
            <w:r w:rsidRPr="00292755">
              <w:rPr>
                <w:rFonts w:ascii="Times New Roman" w:eastAsia="Times New Roman" w:hAnsi="Times New Roman" w:cs="Times New Roman"/>
                <w:color w:val="000000"/>
                <w:sz w:val="24"/>
                <w:szCs w:val="24"/>
                <w:lang w:eastAsia="bg-BG"/>
              </w:rPr>
              <w:br/>
              <w:t>Чрез инвестициите по проекта ще се осигури директна транспортна свързаност на населено място/населени места на територията на община от селски район с по-висок клас път, като поне една улица във всяко едно от населените места, в които ще се изпълнява инвестицията осигурява свързаност на съответното населено място с по-висок клас път.</w:t>
            </w:r>
            <w:r w:rsidRPr="00292755">
              <w:rPr>
                <w:rFonts w:ascii="Times New Roman" w:eastAsia="Times New Roman" w:hAnsi="Times New Roman" w:cs="Times New Roman"/>
                <w:color w:val="000000"/>
                <w:sz w:val="24"/>
                <w:szCs w:val="24"/>
                <w:lang w:eastAsia="bg-BG"/>
              </w:rPr>
              <w:br/>
              <w:t xml:space="preserve">При проекти, които включват изграждане/реконструкция/рехабилитация на повече от една улица само в едно населено място, точки по критерия се присъждат, ако поне една от улиците в населеното място осигурява неговата свързаност с по-висок клас път.  </w:t>
            </w:r>
            <w:r w:rsidRPr="00292755">
              <w:rPr>
                <w:rFonts w:ascii="Times New Roman" w:eastAsia="Times New Roman" w:hAnsi="Times New Roman" w:cs="Times New Roman"/>
                <w:color w:val="000000"/>
                <w:sz w:val="24"/>
                <w:szCs w:val="24"/>
                <w:lang w:eastAsia="bg-BG"/>
              </w:rPr>
              <w:br/>
            </w:r>
            <w:r w:rsidRPr="00292755">
              <w:rPr>
                <w:rFonts w:ascii="Times New Roman" w:eastAsia="Times New Roman" w:hAnsi="Times New Roman" w:cs="Times New Roman"/>
                <w:sz w:val="24"/>
                <w:szCs w:val="24"/>
                <w:lang w:eastAsia="bg-BG"/>
              </w:rPr>
              <w:t>- "по-висок клас път" е републикански път съгласно чл. 3, ал. 1, 2 от Закона за пътищата.</w:t>
            </w:r>
          </w:p>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sz w:val="24"/>
                <w:szCs w:val="24"/>
                <w:lang w:eastAsia="bg-BG"/>
              </w:rPr>
              <w:t>- „по-висок клас път</w:t>
            </w:r>
            <w:proofErr w:type="gramStart"/>
            <w:r w:rsidRPr="00292755">
              <w:rPr>
                <w:rFonts w:ascii="Times New Roman" w:eastAsia="Times New Roman" w:hAnsi="Times New Roman" w:cs="Times New Roman"/>
                <w:sz w:val="24"/>
                <w:szCs w:val="24"/>
                <w:lang w:eastAsia="bg-BG"/>
              </w:rPr>
              <w:t>“ е</w:t>
            </w:r>
            <w:proofErr w:type="gramEnd"/>
            <w:r w:rsidRPr="00292755">
              <w:rPr>
                <w:rFonts w:ascii="Times New Roman" w:eastAsia="Times New Roman" w:hAnsi="Times New Roman" w:cs="Times New Roman"/>
                <w:sz w:val="24"/>
                <w:szCs w:val="24"/>
                <w:lang w:eastAsia="bg-BG"/>
              </w:rPr>
              <w:t xml:space="preserve"> местен път съгласно чл. 3, ал 3 от Закона за пътищата в съответствие с класификацията по приетия с решение на Експертния съвет на Министерството на регионалното развитие и благоустройството от 30 юни 2005 г. „Модел за категоризиране“, приложен в Решение № 236 от 13 април 2007 г. за утвърждаване списъка на общинските пътища.</w:t>
            </w:r>
            <w:r w:rsidRPr="00292755">
              <w:rPr>
                <w:rFonts w:ascii="Times New Roman" w:eastAsia="Times New Roman" w:hAnsi="Times New Roman" w:cs="Times New Roman"/>
                <w:sz w:val="24"/>
                <w:szCs w:val="24"/>
                <w:lang w:eastAsia="bg-BG"/>
              </w:rPr>
              <w:br/>
            </w:r>
            <w:r w:rsidRPr="00292755">
              <w:rPr>
                <w:rFonts w:ascii="Times New Roman" w:eastAsia="Times New Roman" w:hAnsi="Times New Roman" w:cs="Times New Roman"/>
                <w:color w:val="000000"/>
                <w:sz w:val="24"/>
                <w:szCs w:val="24"/>
                <w:lang w:eastAsia="bg-BG"/>
              </w:rPr>
              <w:t>- "населено място" е населено място съгласно чл. 18, ал. 1 от Закона за административно-териториалното устройство на Република България</w:t>
            </w:r>
            <w:proofErr w:type="gramStart"/>
            <w:r w:rsidRPr="00292755">
              <w:rPr>
                <w:rFonts w:ascii="Times New Roman" w:eastAsia="Times New Roman" w:hAnsi="Times New Roman" w:cs="Times New Roman"/>
                <w:color w:val="000000"/>
                <w:sz w:val="24"/>
                <w:szCs w:val="24"/>
                <w:lang w:eastAsia="bg-BG"/>
              </w:rPr>
              <w:t>.</w:t>
            </w:r>
            <w:proofErr w:type="gramEnd"/>
            <w:r w:rsidRPr="00292755">
              <w:rPr>
                <w:rFonts w:ascii="Times New Roman" w:eastAsia="Times New Roman" w:hAnsi="Times New Roman" w:cs="Times New Roman"/>
                <w:color w:val="000000"/>
                <w:sz w:val="24"/>
                <w:szCs w:val="24"/>
                <w:lang w:eastAsia="bg-BG"/>
              </w:rPr>
              <w:br/>
              <w:t>За съответствие с критерия, следва да се докаже, че улицата, в която се изгражда/реконструира/рехабилитира участъка, осигурява директна свързаност на населеното място с по-висок клас път.</w:t>
            </w:r>
            <w:r w:rsidRPr="00292755">
              <w:rPr>
                <w:rFonts w:ascii="Times New Roman" w:eastAsia="Times New Roman" w:hAnsi="Times New Roman" w:cs="Times New Roman"/>
                <w:color w:val="000000"/>
                <w:sz w:val="24"/>
                <w:szCs w:val="24"/>
                <w:lang w:eastAsia="bg-BG"/>
              </w:rPr>
              <w:br/>
              <w:t>Съответствие се критерия се признава и в случаите, когато изградената/реконструираната/рехабилитираната отсечка се намира в участък на улицата, който не е директно свързан с път от по-висок клас.</w:t>
            </w:r>
            <w:r w:rsidRPr="00292755">
              <w:rPr>
                <w:rFonts w:ascii="Times New Roman" w:eastAsia="Times New Roman" w:hAnsi="Times New Roman" w:cs="Times New Roman"/>
                <w:color w:val="000000"/>
                <w:sz w:val="24"/>
                <w:szCs w:val="24"/>
                <w:lang w:eastAsia="bg-BG"/>
              </w:rPr>
              <w:br/>
              <w:t>При проекти, които включват само инвестиции в съоръжения и/или принадлежности (вкл. тротоари), точки по критерия не следва да бъдат присъждани.</w:t>
            </w:r>
          </w:p>
        </w:tc>
        <w:tc>
          <w:tcPr>
            <w:tcW w:w="452" w:type="pct"/>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18</w:t>
            </w:r>
          </w:p>
        </w:tc>
      </w:tr>
      <w:tr w:rsidR="000B0F93" w:rsidRPr="00292755" w:rsidTr="000B0F93">
        <w:trPr>
          <w:trHeight w:val="510"/>
        </w:trPr>
        <w:tc>
          <w:tcPr>
            <w:tcW w:w="212" w:type="pct"/>
            <w:tcBorders>
              <w:top w:val="nil"/>
              <w:left w:val="single" w:sz="4" w:space="0" w:color="auto"/>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4</w:t>
            </w:r>
          </w:p>
        </w:tc>
        <w:tc>
          <w:tcPr>
            <w:tcW w:w="4337" w:type="pct"/>
            <w:tcBorders>
              <w:top w:val="nil"/>
              <w:left w:val="nil"/>
              <w:bottom w:val="single" w:sz="4" w:space="0" w:color="auto"/>
              <w:right w:val="single" w:sz="4" w:space="0" w:color="auto"/>
            </w:tcBorders>
            <w:shd w:val="clear" w:color="000000" w:fill="F2F2F2"/>
            <w:vAlign w:val="center"/>
            <w:hideMark/>
          </w:tcPr>
          <w:p w:rsidR="000B0F93" w:rsidRPr="00292755" w:rsidRDefault="000B0F93" w:rsidP="00292755">
            <w:pPr>
              <w:spacing w:after="0" w:line="240" w:lineRule="auto"/>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Брой население, което ще се възползва от подобрените основни услуги и обхвата на териториално въздействие.</w:t>
            </w:r>
          </w:p>
        </w:tc>
        <w:tc>
          <w:tcPr>
            <w:tcW w:w="452" w:type="pct"/>
            <w:tcBorders>
              <w:top w:val="nil"/>
              <w:left w:val="nil"/>
              <w:bottom w:val="single" w:sz="4" w:space="0" w:color="auto"/>
              <w:right w:val="single" w:sz="4" w:space="0" w:color="auto"/>
            </w:tcBorders>
            <w:shd w:val="clear" w:color="000000" w:fill="F2F2F2"/>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20</w:t>
            </w:r>
          </w:p>
        </w:tc>
      </w:tr>
      <w:tr w:rsidR="000B0F93" w:rsidRPr="00292755" w:rsidTr="000B0F93">
        <w:trPr>
          <w:trHeight w:val="12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4.1</w:t>
            </w:r>
          </w:p>
        </w:tc>
        <w:tc>
          <w:tcPr>
            <w:tcW w:w="4337"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Инвестициите по проекта се изпълняват в едно или повече населени места, разположени на територията на общината, с общо население до 600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в които ще се изгражда или реконструира уличната мрежа.</w:t>
            </w:r>
          </w:p>
        </w:tc>
        <w:tc>
          <w:tcPr>
            <w:tcW w:w="452"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10</w:t>
            </w:r>
          </w:p>
        </w:tc>
      </w:tr>
      <w:tr w:rsidR="000B0F93" w:rsidRPr="00292755" w:rsidTr="000B0F93">
        <w:trPr>
          <w:trHeight w:val="12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4.2</w:t>
            </w:r>
          </w:p>
        </w:tc>
        <w:tc>
          <w:tcPr>
            <w:tcW w:w="4337"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Инвестициите по проекта се изпълняват в едно или повече населени места, разположени на територията на общината, с общо население от 601 до 1200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в които ще се изгражда или реконструира уличната мрежа.</w:t>
            </w:r>
          </w:p>
        </w:tc>
        <w:tc>
          <w:tcPr>
            <w:tcW w:w="452"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12</w:t>
            </w:r>
          </w:p>
        </w:tc>
      </w:tr>
      <w:tr w:rsidR="000B0F93" w:rsidRPr="00292755" w:rsidTr="000B0F93">
        <w:trPr>
          <w:trHeight w:val="12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4.3</w:t>
            </w:r>
          </w:p>
        </w:tc>
        <w:tc>
          <w:tcPr>
            <w:tcW w:w="4337"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Инвестициите по проекта се изпълняват в едно или повече населени места, разположени на територията на общината, с общо население от 1201 до 1800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в които ще се изгражда или реконструира уличната мрежа.</w:t>
            </w:r>
          </w:p>
        </w:tc>
        <w:tc>
          <w:tcPr>
            <w:tcW w:w="452"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14</w:t>
            </w:r>
          </w:p>
        </w:tc>
      </w:tr>
      <w:tr w:rsidR="000B0F93" w:rsidRPr="00292755" w:rsidTr="000B0F93">
        <w:trPr>
          <w:trHeight w:val="12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4.4</w:t>
            </w:r>
          </w:p>
        </w:tc>
        <w:tc>
          <w:tcPr>
            <w:tcW w:w="4337"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Инвестициите по проекта се изпълняват в едно или повече населени места, разположени на територията на общината, с общо население от 1801 до 2400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ype="page"/>
              <w:t>Отчита се сбора от населението само на населеното място/населените места, в които ще се изгражда или реконструира уличната мрежа.</w:t>
            </w:r>
          </w:p>
        </w:tc>
        <w:tc>
          <w:tcPr>
            <w:tcW w:w="452"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16</w:t>
            </w:r>
          </w:p>
        </w:tc>
      </w:tr>
      <w:tr w:rsidR="000B0F93" w:rsidRPr="00292755" w:rsidTr="000B0F93">
        <w:trPr>
          <w:trHeight w:val="12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4.5</w:t>
            </w:r>
          </w:p>
        </w:tc>
        <w:tc>
          <w:tcPr>
            <w:tcW w:w="4337"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Инвестициите по проекта се изпълняват в едно или повече населени места, разположени на територията на общината, с общо население от 2401 до 3000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в които ще се изгражда или реконструира уличната мрежа.</w:t>
            </w:r>
          </w:p>
        </w:tc>
        <w:tc>
          <w:tcPr>
            <w:tcW w:w="452"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18</w:t>
            </w:r>
          </w:p>
        </w:tc>
      </w:tr>
      <w:tr w:rsidR="000B0F93" w:rsidRPr="00292755" w:rsidTr="000B0F93">
        <w:trPr>
          <w:trHeight w:val="127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4.6</w:t>
            </w:r>
          </w:p>
        </w:tc>
        <w:tc>
          <w:tcPr>
            <w:tcW w:w="4337" w:type="pct"/>
            <w:tcBorders>
              <w:top w:val="nil"/>
              <w:left w:val="nil"/>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Инвестициите по проекта се изпълняват в едно или повече населени места, разположени на територията на общината, с общо население над 3001 души (по данни на Националния статистически институт към края на годината, предхождаща датата на кандидатстване).</w:t>
            </w:r>
            <w:r w:rsidRPr="00292755">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в които ще се изгражда или реконструира уличната мрежа.</w:t>
            </w:r>
          </w:p>
        </w:tc>
        <w:tc>
          <w:tcPr>
            <w:tcW w:w="452" w:type="pct"/>
            <w:tcBorders>
              <w:top w:val="nil"/>
              <w:left w:val="nil"/>
              <w:bottom w:val="single" w:sz="4" w:space="0" w:color="auto"/>
              <w:right w:val="single" w:sz="4" w:space="0" w:color="auto"/>
            </w:tcBorders>
            <w:shd w:val="clear" w:color="auto" w:fill="auto"/>
            <w:noWrap/>
            <w:vAlign w:val="center"/>
            <w:hideMark/>
          </w:tcPr>
          <w:p w:rsidR="000B0F93" w:rsidRPr="00292755" w:rsidRDefault="000B0F93" w:rsidP="00292755">
            <w:pPr>
              <w:spacing w:after="0" w:line="240" w:lineRule="auto"/>
              <w:jc w:val="center"/>
              <w:rPr>
                <w:rFonts w:ascii="Times New Roman" w:eastAsia="Times New Roman" w:hAnsi="Times New Roman" w:cs="Times New Roman"/>
                <w:color w:val="000000"/>
                <w:sz w:val="24"/>
                <w:szCs w:val="24"/>
                <w:lang w:eastAsia="bg-BG"/>
              </w:rPr>
            </w:pPr>
            <w:r w:rsidRPr="00292755">
              <w:rPr>
                <w:rFonts w:ascii="Times New Roman" w:eastAsia="Times New Roman" w:hAnsi="Times New Roman" w:cs="Times New Roman"/>
                <w:color w:val="000000"/>
                <w:sz w:val="24"/>
                <w:szCs w:val="24"/>
                <w:lang w:eastAsia="bg-BG"/>
              </w:rPr>
              <w:t>20</w:t>
            </w:r>
          </w:p>
        </w:tc>
      </w:tr>
      <w:tr w:rsidR="000B0F93" w:rsidRPr="00292755" w:rsidTr="00D3491E">
        <w:trPr>
          <w:trHeight w:val="870"/>
        </w:trPr>
        <w:tc>
          <w:tcPr>
            <w:tcW w:w="4548"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0B0F93" w:rsidRPr="00292755" w:rsidRDefault="000B0F93" w:rsidP="00292755">
            <w:pPr>
              <w:spacing w:after="0" w:line="240" w:lineRule="auto"/>
              <w:jc w:val="right"/>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Максимален брой точки по критериите:</w:t>
            </w:r>
          </w:p>
        </w:tc>
        <w:tc>
          <w:tcPr>
            <w:tcW w:w="452" w:type="pct"/>
            <w:tcBorders>
              <w:top w:val="nil"/>
              <w:left w:val="nil"/>
              <w:bottom w:val="single" w:sz="4" w:space="0" w:color="auto"/>
              <w:right w:val="single" w:sz="4" w:space="0" w:color="auto"/>
            </w:tcBorders>
            <w:shd w:val="clear" w:color="000000" w:fill="D9D9D9"/>
            <w:noWrap/>
            <w:vAlign w:val="center"/>
            <w:hideMark/>
          </w:tcPr>
          <w:p w:rsidR="000B0F93" w:rsidRPr="00292755" w:rsidRDefault="000B0F93" w:rsidP="00292755">
            <w:pPr>
              <w:spacing w:after="0" w:line="240" w:lineRule="auto"/>
              <w:jc w:val="center"/>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52</w:t>
            </w:r>
          </w:p>
        </w:tc>
      </w:tr>
      <w:tr w:rsidR="000B0F93" w:rsidRPr="00292755" w:rsidTr="00D3491E">
        <w:trPr>
          <w:trHeight w:val="4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0F93" w:rsidRPr="00292755" w:rsidRDefault="000B0F93" w:rsidP="00292755">
            <w:pPr>
              <w:spacing w:after="0" w:line="240" w:lineRule="auto"/>
              <w:rPr>
                <w:rFonts w:ascii="Times New Roman" w:eastAsia="Times New Roman" w:hAnsi="Times New Roman" w:cs="Times New Roman"/>
                <w:b/>
                <w:bCs/>
                <w:color w:val="000000"/>
                <w:sz w:val="24"/>
                <w:szCs w:val="24"/>
                <w:lang w:eastAsia="bg-BG"/>
              </w:rPr>
            </w:pPr>
            <w:r w:rsidRPr="00292755">
              <w:rPr>
                <w:rFonts w:ascii="Times New Roman" w:eastAsia="Times New Roman" w:hAnsi="Times New Roman" w:cs="Times New Roman"/>
                <w:b/>
                <w:bCs/>
                <w:color w:val="000000"/>
                <w:sz w:val="24"/>
                <w:szCs w:val="24"/>
                <w:lang w:eastAsia="bg-BG"/>
              </w:rPr>
              <w:t>Подпомагат се проектни предложения, които са получили минимален брой от 20 точки по критериите за подбор.</w:t>
            </w:r>
          </w:p>
        </w:tc>
      </w:tr>
    </w:tbl>
    <w:p w:rsidR="000B0F93" w:rsidRPr="00292755" w:rsidRDefault="000B0F93" w:rsidP="00292755">
      <w:pPr>
        <w:spacing w:line="240" w:lineRule="auto"/>
        <w:jc w:val="center"/>
        <w:rPr>
          <w:rFonts w:ascii="Times New Roman" w:hAnsi="Times New Roman" w:cs="Times New Roman"/>
          <w:sz w:val="24"/>
          <w:szCs w:val="24"/>
          <w:lang w:val="bg-BG"/>
        </w:rPr>
        <w:sectPr w:rsidR="000B0F93" w:rsidRPr="00292755" w:rsidSect="000B0F93">
          <w:footerReference w:type="default" r:id="rId12"/>
          <w:pgSz w:w="11906" w:h="16838"/>
          <w:pgMar w:top="720" w:right="720" w:bottom="567" w:left="720" w:header="142" w:footer="143" w:gutter="0"/>
          <w:cols w:space="708"/>
          <w:docGrid w:linePitch="360"/>
        </w:sectPr>
      </w:pPr>
    </w:p>
    <w:p w:rsidR="002E5378" w:rsidRDefault="00D9772C" w:rsidP="0096041D">
      <w:pPr>
        <w:spacing w:after="240" w:line="240" w:lineRule="auto"/>
        <w:jc w:val="both"/>
        <w:rPr>
          <w:rFonts w:ascii="Times New Roman" w:hAnsi="Times New Roman" w:cs="Times New Roman"/>
          <w:lang w:val="bg-BG"/>
        </w:rPr>
      </w:pPr>
      <w:r>
        <w:rPr>
          <w:rFonts w:ascii="Times New Roman" w:eastAsia="Times New Roman" w:hAnsi="Times New Roman" w:cs="Times New Roman"/>
          <w:sz w:val="20"/>
          <w:szCs w:val="20"/>
          <w:lang w:val="bg-BG"/>
        </w:rPr>
        <w:tab/>
      </w:r>
    </w:p>
    <w:p w:rsidR="002E5378" w:rsidRDefault="002E5378" w:rsidP="002E5378">
      <w:pPr>
        <w:jc w:val="right"/>
        <w:rPr>
          <w:rFonts w:ascii="Times New Roman" w:hAnsi="Times New Roman" w:cs="Times New Roman"/>
          <w:lang w:val="bg-BG"/>
        </w:rPr>
      </w:pPr>
      <w:r>
        <w:rPr>
          <w:rFonts w:ascii="Times New Roman" w:hAnsi="Times New Roman" w:cs="Times New Roman"/>
          <w:lang w:val="bg-BG"/>
        </w:rPr>
        <w:t>Приложение 3.</w:t>
      </w:r>
    </w:p>
    <w:p w:rsidR="002E5378" w:rsidRDefault="002E5378" w:rsidP="002E5378">
      <w:pPr>
        <w:jc w:val="right"/>
        <w:rPr>
          <w:rFonts w:ascii="Times New Roman" w:hAnsi="Times New Roman" w:cs="Times New Roman"/>
          <w:lang w:val="bg-BG"/>
        </w:rPr>
      </w:pPr>
    </w:p>
    <w:p w:rsidR="002E5378" w:rsidRDefault="002E5378" w:rsidP="003C4F9F">
      <w:pPr>
        <w:jc w:val="center"/>
        <w:rPr>
          <w:rFonts w:ascii="Times New Roman" w:hAnsi="Times New Roman" w:cs="Times New Roman"/>
          <w:lang w:val="bg-BG"/>
        </w:rPr>
      </w:pPr>
    </w:p>
    <w:p w:rsidR="002E5378" w:rsidRPr="00DC3D09" w:rsidRDefault="002E5378" w:rsidP="002E5378">
      <w:pPr>
        <w:jc w:val="center"/>
        <w:rPr>
          <w:rFonts w:ascii="Times New Roman" w:eastAsia="Times New Roman" w:hAnsi="Times New Roman" w:cs="Times New Roman"/>
          <w:b/>
          <w:sz w:val="32"/>
          <w:szCs w:val="32"/>
          <w:lang w:val="bg-BG" w:eastAsia="bg-BG"/>
        </w:rPr>
      </w:pPr>
    </w:p>
    <w:p w:rsidR="002E5378" w:rsidRPr="00DC3D09" w:rsidRDefault="002E5378" w:rsidP="002E5378">
      <w:pPr>
        <w:jc w:val="center"/>
        <w:rPr>
          <w:rFonts w:ascii="Times New Roman" w:eastAsia="Times New Roman" w:hAnsi="Times New Roman" w:cs="Times New Roman"/>
          <w:b/>
          <w:sz w:val="32"/>
          <w:szCs w:val="32"/>
          <w:lang w:val="bg-BG" w:eastAsia="bg-BG"/>
        </w:rPr>
      </w:pPr>
      <w:r w:rsidRPr="00DC3D09">
        <w:rPr>
          <w:rFonts w:ascii="Times New Roman" w:eastAsia="Times New Roman" w:hAnsi="Times New Roman" w:cs="Times New Roman"/>
          <w:b/>
          <w:sz w:val="32"/>
          <w:szCs w:val="32"/>
          <w:lang w:val="bg-BG" w:eastAsia="bg-BG"/>
        </w:rPr>
        <w:t>ИНДИКАТИВНА ГОДИШНА РАБОТНА ПРОГРАМА</w:t>
      </w:r>
      <w:r w:rsidRPr="00DC3D09">
        <w:rPr>
          <w:lang w:val="bg-BG"/>
        </w:rPr>
        <w:t xml:space="preserve"> </w:t>
      </w:r>
      <w:r w:rsidRPr="00DC3D09">
        <w:rPr>
          <w:rFonts w:ascii="Times New Roman" w:eastAsia="Times New Roman" w:hAnsi="Times New Roman" w:cs="Times New Roman"/>
          <w:b/>
          <w:sz w:val="32"/>
          <w:szCs w:val="32"/>
          <w:lang w:val="bg-BG" w:eastAsia="bg-BG"/>
        </w:rPr>
        <w:t>ЗА 2022 ГОДИНА</w:t>
      </w:r>
    </w:p>
    <w:p w:rsidR="002E5378" w:rsidRPr="00DC3D09" w:rsidRDefault="002E5378" w:rsidP="002E5378">
      <w:pPr>
        <w:spacing w:after="0" w:line="240" w:lineRule="auto"/>
        <w:jc w:val="center"/>
        <w:rPr>
          <w:rFonts w:ascii="Times New Roman" w:eastAsia="Times New Roman" w:hAnsi="Times New Roman" w:cs="Times New Roman"/>
          <w:b/>
          <w:sz w:val="32"/>
          <w:szCs w:val="32"/>
          <w:lang w:val="bg-BG" w:eastAsia="bg-BG"/>
        </w:rPr>
      </w:pPr>
    </w:p>
    <w:p w:rsidR="002E5378" w:rsidRPr="00DC3D09" w:rsidRDefault="002E5378" w:rsidP="002E5378">
      <w:pPr>
        <w:spacing w:after="0" w:line="240" w:lineRule="auto"/>
        <w:jc w:val="center"/>
        <w:rPr>
          <w:rFonts w:ascii="Times New Roman" w:eastAsia="Times New Roman" w:hAnsi="Times New Roman" w:cs="Times New Roman"/>
          <w:b/>
          <w:sz w:val="32"/>
          <w:szCs w:val="32"/>
          <w:lang w:val="bg-BG" w:eastAsia="bg-BG"/>
        </w:rPr>
      </w:pPr>
    </w:p>
    <w:p w:rsidR="002E5378" w:rsidRPr="00DC3D09" w:rsidRDefault="002E5378" w:rsidP="002E5378">
      <w:pPr>
        <w:spacing w:after="0" w:line="240" w:lineRule="auto"/>
        <w:jc w:val="center"/>
        <w:rPr>
          <w:rFonts w:ascii="Times New Roman" w:eastAsia="Times New Roman" w:hAnsi="Times New Roman" w:cs="Times New Roman"/>
          <w:b/>
          <w:sz w:val="24"/>
          <w:szCs w:val="24"/>
          <w:lang w:val="bg-BG" w:eastAsia="bg-BG"/>
        </w:rPr>
      </w:pPr>
      <w:r w:rsidRPr="00DC3D09">
        <w:rPr>
          <w:rFonts w:ascii="Times New Roman" w:eastAsia="Times New Roman" w:hAnsi="Times New Roman" w:cs="Times New Roman"/>
          <w:b/>
          <w:sz w:val="24"/>
          <w:szCs w:val="24"/>
          <w:lang w:val="bg-BG" w:eastAsia="bg-BG"/>
        </w:rPr>
        <w:t xml:space="preserve">ПРОГРАМА ЗА РАЗВИТИЕ НА СЕЛСКИТЕ РАЙОНИ </w:t>
      </w:r>
    </w:p>
    <w:p w:rsidR="002E5378" w:rsidRPr="00DC3D09" w:rsidRDefault="002E5378" w:rsidP="002E5378">
      <w:pPr>
        <w:spacing w:after="0" w:line="240" w:lineRule="auto"/>
        <w:jc w:val="center"/>
        <w:rPr>
          <w:rFonts w:ascii="Times New Roman" w:eastAsia="Times New Roman" w:hAnsi="Times New Roman" w:cs="Times New Roman"/>
          <w:b/>
          <w:sz w:val="24"/>
          <w:szCs w:val="24"/>
          <w:lang w:val="bg-BG" w:eastAsia="bg-BG"/>
        </w:rPr>
      </w:pPr>
      <w:r w:rsidRPr="00DC3D09">
        <w:rPr>
          <w:rFonts w:ascii="Times New Roman" w:eastAsia="Times New Roman" w:hAnsi="Times New Roman" w:cs="Times New Roman"/>
          <w:b/>
          <w:sz w:val="24"/>
          <w:szCs w:val="24"/>
          <w:lang w:val="bg-BG" w:eastAsia="bg-BG"/>
        </w:rPr>
        <w:t>ЗА ПЕРИОДА 2014-2020 Г.</w:t>
      </w:r>
    </w:p>
    <w:p w:rsidR="002E5378" w:rsidRPr="00DC3D09" w:rsidRDefault="002E5378" w:rsidP="002E5378">
      <w:pPr>
        <w:spacing w:after="0" w:line="240" w:lineRule="auto"/>
        <w:jc w:val="center"/>
        <w:rPr>
          <w:rFonts w:ascii="Times New Roman" w:eastAsia="Times New Roman" w:hAnsi="Times New Roman" w:cs="Times New Roman"/>
          <w:b/>
          <w:sz w:val="24"/>
          <w:szCs w:val="24"/>
          <w:lang w:val="bg-BG" w:eastAsia="bg-BG"/>
        </w:rPr>
      </w:pPr>
    </w:p>
    <w:p w:rsidR="002E5378" w:rsidRPr="00DC3D09" w:rsidRDefault="002E5378" w:rsidP="002E5378">
      <w:pPr>
        <w:autoSpaceDN w:val="0"/>
        <w:spacing w:before="60" w:after="0" w:line="240" w:lineRule="auto"/>
        <w:ind w:left="284" w:right="51" w:firstLine="567"/>
        <w:jc w:val="both"/>
        <w:rPr>
          <w:rFonts w:ascii="Times New Roman" w:eastAsia="Times New Roman" w:hAnsi="Times New Roman" w:cs="Times New Roman"/>
          <w:b/>
          <w:sz w:val="24"/>
          <w:szCs w:val="24"/>
          <w:lang w:val="bg-BG"/>
        </w:rPr>
      </w:pPr>
    </w:p>
    <w:p w:rsidR="002E5378" w:rsidRPr="00DC3D09" w:rsidRDefault="002E5378" w:rsidP="002E5378">
      <w:pPr>
        <w:autoSpaceDN w:val="0"/>
        <w:spacing w:before="60" w:after="0" w:line="240" w:lineRule="auto"/>
        <w:ind w:left="284" w:right="51" w:firstLine="567"/>
        <w:jc w:val="both"/>
        <w:rPr>
          <w:rFonts w:ascii="Times New Roman" w:eastAsia="Times New Roman" w:hAnsi="Times New Roman" w:cs="Times New Roman"/>
          <w:b/>
          <w:sz w:val="24"/>
          <w:szCs w:val="24"/>
          <w:lang w:val="bg-BG"/>
        </w:rPr>
      </w:pPr>
    </w:p>
    <w:p w:rsidR="002E5378" w:rsidRPr="00DC3D09" w:rsidRDefault="002E5378" w:rsidP="002E5378">
      <w:pPr>
        <w:autoSpaceDN w:val="0"/>
        <w:spacing w:before="60" w:after="0" w:line="240" w:lineRule="auto"/>
        <w:ind w:left="284" w:right="51" w:firstLine="567"/>
        <w:jc w:val="both"/>
        <w:rPr>
          <w:rFonts w:ascii="Times New Roman" w:eastAsia="Times New Roman" w:hAnsi="Times New Roman" w:cs="Times New Roman"/>
          <w:b/>
          <w:sz w:val="24"/>
          <w:szCs w:val="24"/>
          <w:lang w:val="bg-BG"/>
        </w:rPr>
      </w:pPr>
    </w:p>
    <w:tbl>
      <w:tblPr>
        <w:tblpPr w:leftFromText="141" w:rightFromText="141" w:vertAnchor="text" w:horzAnchor="margin" w:tblpY="-5"/>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367"/>
        <w:gridCol w:w="888"/>
        <w:gridCol w:w="1305"/>
        <w:gridCol w:w="841"/>
        <w:gridCol w:w="978"/>
        <w:gridCol w:w="838"/>
        <w:gridCol w:w="1426"/>
        <w:gridCol w:w="1776"/>
        <w:gridCol w:w="2879"/>
        <w:gridCol w:w="1004"/>
        <w:gridCol w:w="877"/>
        <w:gridCol w:w="831"/>
        <w:gridCol w:w="556"/>
        <w:gridCol w:w="556"/>
        <w:gridCol w:w="556"/>
        <w:gridCol w:w="680"/>
      </w:tblGrid>
      <w:tr w:rsidR="002E5378" w:rsidRPr="00DC3D09" w:rsidTr="000B0F93">
        <w:trPr>
          <w:trHeight w:val="20"/>
          <w:tblHeader/>
        </w:trPr>
        <w:tc>
          <w:tcPr>
            <w:tcW w:w="112" w:type="pct"/>
            <w:vMerge w:val="restart"/>
            <w:shd w:val="clear" w:color="auto" w:fill="D9D9D9"/>
            <w:vAlign w:val="center"/>
          </w:tcPr>
          <w:p w:rsidR="002E5378" w:rsidRPr="00DC3D09" w:rsidRDefault="002E5378" w:rsidP="000B0F93">
            <w:pPr>
              <w:widowControl w:val="0"/>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 по ред</w:t>
            </w:r>
          </w:p>
        </w:tc>
        <w:tc>
          <w:tcPr>
            <w:tcW w:w="271" w:type="pct"/>
            <w:vMerge w:val="restar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Наименование на процедурата</w:t>
            </w:r>
          </w:p>
        </w:tc>
        <w:tc>
          <w:tcPr>
            <w:tcW w:w="399" w:type="pct"/>
            <w:vMerge w:val="restar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Цели на предоставяната БФП по процедурата</w:t>
            </w:r>
          </w:p>
        </w:tc>
        <w:tc>
          <w:tcPr>
            <w:tcW w:w="257" w:type="pct"/>
            <w:vMerge w:val="restar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Начин на провеждане на процедурата съгласно чл. 2 от ПМС № 162 от 2016 г.</w:t>
            </w:r>
          </w:p>
        </w:tc>
        <w:tc>
          <w:tcPr>
            <w:tcW w:w="299" w:type="pct"/>
            <w:vMerge w:val="restar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Извършване на предварителен подбор на концепции за проектни предложения</w:t>
            </w:r>
          </w:p>
        </w:tc>
        <w:tc>
          <w:tcPr>
            <w:tcW w:w="256" w:type="pct"/>
            <w:vMerge w:val="restar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Общ размер на БФП  по процедурата (в лв.)</w:t>
            </w:r>
          </w:p>
        </w:tc>
        <w:tc>
          <w:tcPr>
            <w:tcW w:w="436" w:type="pct"/>
            <w:vMerge w:val="restar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Допустими кандидати</w:t>
            </w:r>
          </w:p>
        </w:tc>
        <w:tc>
          <w:tcPr>
            <w:tcW w:w="543" w:type="pct"/>
            <w:vMerge w:val="restar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Примерни допустими дейности</w:t>
            </w:r>
          </w:p>
        </w:tc>
        <w:tc>
          <w:tcPr>
            <w:tcW w:w="880" w:type="pct"/>
            <w:vMerge w:val="restar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Категории допустими разходи</w:t>
            </w:r>
          </w:p>
        </w:tc>
        <w:tc>
          <w:tcPr>
            <w:tcW w:w="307" w:type="pct"/>
            <w:vMerge w:val="restar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Максимален % на съ-финансиране</w:t>
            </w:r>
          </w:p>
        </w:tc>
        <w:tc>
          <w:tcPr>
            <w:tcW w:w="268" w:type="pct"/>
            <w:vMerge w:val="restart"/>
            <w:shd w:val="clear" w:color="auto" w:fill="D9D9D9"/>
            <w:vAlign w:val="center"/>
          </w:tcPr>
          <w:p w:rsidR="002E5378" w:rsidRPr="00DC3D09" w:rsidRDefault="002E5378" w:rsidP="000B0F93">
            <w:pPr>
              <w:tabs>
                <w:tab w:val="left" w:pos="601"/>
              </w:tabs>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Дата на обявяване на процедурата</w:t>
            </w:r>
          </w:p>
        </w:tc>
        <w:tc>
          <w:tcPr>
            <w:tcW w:w="254" w:type="pct"/>
            <w:vMerge w:val="restar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Краен срок за подаване на проектни предложения</w:t>
            </w:r>
          </w:p>
        </w:tc>
        <w:tc>
          <w:tcPr>
            <w:tcW w:w="339" w:type="pct"/>
            <w:gridSpan w:val="2"/>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Представлява ли процедурата/част от нея:</w:t>
            </w:r>
          </w:p>
        </w:tc>
        <w:tc>
          <w:tcPr>
            <w:tcW w:w="379" w:type="pct"/>
            <w:gridSpan w:val="2"/>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Размер на допустимите разходи за проект (в лв.)</w:t>
            </w:r>
          </w:p>
        </w:tc>
      </w:tr>
      <w:tr w:rsidR="002E5378" w:rsidRPr="00DC3D09" w:rsidTr="000B0F93">
        <w:trPr>
          <w:trHeight w:val="20"/>
          <w:tblHeader/>
        </w:trPr>
        <w:tc>
          <w:tcPr>
            <w:tcW w:w="112" w:type="pct"/>
            <w:vMerge/>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8"/>
                <w:szCs w:val="18"/>
                <w:lang w:val="bg-BG" w:eastAsia="bg-BG"/>
              </w:rPr>
            </w:pPr>
          </w:p>
        </w:tc>
        <w:tc>
          <w:tcPr>
            <w:tcW w:w="271" w:type="pct"/>
            <w:vMerge/>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8"/>
                <w:szCs w:val="18"/>
                <w:lang w:val="bg-BG" w:eastAsia="bg-BG"/>
              </w:rPr>
            </w:pPr>
          </w:p>
        </w:tc>
        <w:tc>
          <w:tcPr>
            <w:tcW w:w="399" w:type="pct"/>
            <w:vMerge/>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8"/>
                <w:szCs w:val="18"/>
                <w:lang w:val="bg-BG" w:eastAsia="bg-BG"/>
              </w:rPr>
            </w:pPr>
          </w:p>
        </w:tc>
        <w:tc>
          <w:tcPr>
            <w:tcW w:w="257" w:type="pct"/>
            <w:vMerge/>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8"/>
                <w:szCs w:val="18"/>
                <w:lang w:val="bg-BG" w:eastAsia="bg-BG"/>
              </w:rPr>
            </w:pPr>
          </w:p>
        </w:tc>
        <w:tc>
          <w:tcPr>
            <w:tcW w:w="299" w:type="pct"/>
            <w:vMerge/>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8"/>
                <w:szCs w:val="18"/>
                <w:lang w:val="bg-BG" w:eastAsia="bg-BG"/>
              </w:rPr>
            </w:pPr>
          </w:p>
        </w:tc>
        <w:tc>
          <w:tcPr>
            <w:tcW w:w="256" w:type="pct"/>
            <w:vMerge/>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8"/>
                <w:szCs w:val="18"/>
                <w:lang w:val="bg-BG" w:eastAsia="bg-BG"/>
              </w:rPr>
            </w:pPr>
          </w:p>
        </w:tc>
        <w:tc>
          <w:tcPr>
            <w:tcW w:w="436" w:type="pct"/>
            <w:vMerge/>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8"/>
                <w:szCs w:val="18"/>
                <w:lang w:val="bg-BG" w:eastAsia="bg-BG"/>
              </w:rPr>
            </w:pPr>
          </w:p>
        </w:tc>
        <w:tc>
          <w:tcPr>
            <w:tcW w:w="543" w:type="pct"/>
            <w:vMerge/>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8"/>
                <w:szCs w:val="18"/>
                <w:lang w:val="bg-BG" w:eastAsia="bg-BG"/>
              </w:rPr>
            </w:pPr>
          </w:p>
        </w:tc>
        <w:tc>
          <w:tcPr>
            <w:tcW w:w="880" w:type="pct"/>
            <w:vMerge/>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8"/>
                <w:szCs w:val="18"/>
                <w:lang w:val="bg-BG" w:eastAsia="bg-BG"/>
              </w:rPr>
            </w:pPr>
          </w:p>
        </w:tc>
        <w:tc>
          <w:tcPr>
            <w:tcW w:w="307" w:type="pct"/>
            <w:vMerge/>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8"/>
                <w:szCs w:val="18"/>
                <w:lang w:val="bg-BG" w:eastAsia="bg-BG"/>
              </w:rPr>
            </w:pPr>
          </w:p>
        </w:tc>
        <w:tc>
          <w:tcPr>
            <w:tcW w:w="268" w:type="pct"/>
            <w:vMerge/>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8"/>
                <w:szCs w:val="18"/>
                <w:lang w:val="bg-BG" w:eastAsia="bg-BG"/>
              </w:rPr>
            </w:pPr>
          </w:p>
        </w:tc>
        <w:tc>
          <w:tcPr>
            <w:tcW w:w="254" w:type="pct"/>
            <w:vMerge/>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8"/>
                <w:szCs w:val="18"/>
                <w:lang w:val="bg-BG" w:eastAsia="bg-BG"/>
              </w:rPr>
            </w:pPr>
          </w:p>
        </w:tc>
        <w:tc>
          <w:tcPr>
            <w:tcW w:w="170" w:type="pc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държавна помощ</w:t>
            </w:r>
          </w:p>
        </w:tc>
        <w:tc>
          <w:tcPr>
            <w:tcW w:w="170" w:type="pc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минимална помощ</w:t>
            </w:r>
          </w:p>
        </w:tc>
        <w:tc>
          <w:tcPr>
            <w:tcW w:w="170" w:type="pc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минимален</w:t>
            </w:r>
          </w:p>
        </w:tc>
        <w:tc>
          <w:tcPr>
            <w:tcW w:w="210" w:type="pct"/>
            <w:shd w:val="clear" w:color="auto" w:fill="D9D9D9"/>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максимален</w:t>
            </w:r>
          </w:p>
        </w:tc>
      </w:tr>
      <w:tr w:rsidR="002E5378" w:rsidRPr="00DC3D09" w:rsidTr="000B0F93">
        <w:trPr>
          <w:trHeight w:val="274"/>
        </w:trPr>
        <w:tc>
          <w:tcPr>
            <w:tcW w:w="112" w:type="pct"/>
            <w:shd w:val="clear" w:color="auto" w:fill="auto"/>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1.</w:t>
            </w:r>
          </w:p>
        </w:tc>
        <w:tc>
          <w:tcPr>
            <w:tcW w:w="271"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Подмярка 1.2. „Демонстрационни дейности и действия по осведомяване“</w:t>
            </w:r>
          </w:p>
        </w:tc>
        <w:tc>
          <w:tcPr>
            <w:tcW w:w="399"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Подпомагане на дейности по организирането и провеждането на демонстрационни дейности в областта на селското стопанство и горското стопанство</w:t>
            </w:r>
          </w:p>
        </w:tc>
        <w:tc>
          <w:tcPr>
            <w:tcW w:w="257"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Подбор на проектни предложения</w:t>
            </w:r>
          </w:p>
        </w:tc>
        <w:tc>
          <w:tcPr>
            <w:tcW w:w="299"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w:t>
            </w:r>
          </w:p>
        </w:tc>
        <w:tc>
          <w:tcPr>
            <w:tcW w:w="256"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До левовата равностойност на 15 000 000 евро</w:t>
            </w:r>
          </w:p>
        </w:tc>
        <w:tc>
          <w:tcPr>
            <w:tcW w:w="436"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Бенефициенти по подмярката са организациите, които предоставят трансфер на знания чрез демонстрационни дейности. Организациите трябва да провеждат научно-изследователска дейност или образователна дейност в областта на селското или горското стопанство, или в областта на хранителните технологии. Организациите трябва да разполагат със собствени демонстрационни обекти от типа на учебно-опитни полета, изследователски опитни полета, учебни или изследователски лаборатории.</w:t>
            </w:r>
          </w:p>
        </w:tc>
        <w:tc>
          <w:tcPr>
            <w:tcW w:w="543"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Дейности по организиране и провеждане на обучения, за демонстрационни дейности. Подпомагането по подмярката включва и разходи за инвестиции, които могат да включват разходи за закупуване или вземане на лизинг на нови машини и оборудване до пазарната цена на актива.</w:t>
            </w:r>
            <w:r w:rsidRPr="00DC3D09">
              <w:rPr>
                <w:rFonts w:ascii="Times New Roman" w:eastAsia="Times New Roman" w:hAnsi="Times New Roman" w:cs="Times New Roman"/>
                <w:sz w:val="24"/>
                <w:szCs w:val="24"/>
                <w:lang w:val="bg-BG" w:eastAsia="bg-BG"/>
              </w:rPr>
              <w:t xml:space="preserve"> </w:t>
            </w:r>
            <w:r w:rsidRPr="00DC3D09">
              <w:rPr>
                <w:rFonts w:ascii="Times New Roman" w:eastAsia="Times New Roman" w:hAnsi="Times New Roman" w:cs="Times New Roman"/>
                <w:sz w:val="16"/>
                <w:szCs w:val="16"/>
                <w:lang w:val="bg-BG" w:eastAsia="bg-BG"/>
              </w:rPr>
              <w:t>Необходимостта от инвестицията се обосновава съобразно условията на демонстрационния обект и темите на демонстрационните дейности.</w:t>
            </w:r>
          </w:p>
        </w:tc>
        <w:tc>
          <w:tcPr>
            <w:tcW w:w="880"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Бенефициентите по подмярката получават безвъзмездна помощ, която се отпуска под формата на стандартни разходи за извършването на различни демонстрационни дейности и разходи за инвестиции, които трябва да отговарят на изискванията на чл. 45 от Регламент (ЕС) № 1305/2013.</w:t>
            </w:r>
          </w:p>
        </w:tc>
        <w:tc>
          <w:tcPr>
            <w:tcW w:w="307"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100 %</w:t>
            </w:r>
          </w:p>
        </w:tc>
        <w:tc>
          <w:tcPr>
            <w:tcW w:w="268" w:type="pct"/>
            <w:shd w:val="clear" w:color="auto" w:fill="auto"/>
            <w:vAlign w:val="center"/>
          </w:tcPr>
          <w:p w:rsidR="002E5378" w:rsidRPr="00DC3D09" w:rsidRDefault="002E5378" w:rsidP="000B0F93">
            <w:pPr>
              <w:spacing w:after="0" w:line="240" w:lineRule="auto"/>
              <w:ind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Август</w:t>
            </w:r>
          </w:p>
        </w:tc>
        <w:tc>
          <w:tcPr>
            <w:tcW w:w="254"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Октомври</w:t>
            </w:r>
          </w:p>
        </w:tc>
        <w:tc>
          <w:tcPr>
            <w:tcW w:w="170" w:type="pct"/>
            <w:shd w:val="clear" w:color="auto" w:fill="auto"/>
            <w:vAlign w:val="center"/>
          </w:tcPr>
          <w:p w:rsidR="002E5378" w:rsidRPr="00DC3D09" w:rsidRDefault="002E5378" w:rsidP="000B0F93">
            <w:pPr>
              <w:spacing w:after="0" w:line="240" w:lineRule="auto"/>
              <w:ind w:left="-108" w:right="-85"/>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w:t>
            </w:r>
          </w:p>
        </w:tc>
        <w:tc>
          <w:tcPr>
            <w:tcW w:w="170" w:type="pct"/>
            <w:shd w:val="clear" w:color="auto" w:fill="auto"/>
            <w:vAlign w:val="center"/>
          </w:tcPr>
          <w:p w:rsidR="002E5378" w:rsidRPr="00DC3D09" w:rsidRDefault="002E5378" w:rsidP="000B0F93">
            <w:pPr>
              <w:spacing w:after="0" w:line="240" w:lineRule="auto"/>
              <w:ind w:left="-108" w:right="-85"/>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w:t>
            </w:r>
          </w:p>
        </w:tc>
        <w:tc>
          <w:tcPr>
            <w:tcW w:w="170" w:type="pct"/>
            <w:shd w:val="clear" w:color="auto" w:fill="auto"/>
            <w:vAlign w:val="center"/>
          </w:tcPr>
          <w:p w:rsidR="002E5378" w:rsidRPr="00DC3D09" w:rsidRDefault="002E5378" w:rsidP="000B0F93">
            <w:pPr>
              <w:spacing w:after="0" w:line="240" w:lineRule="auto"/>
              <w:ind w:left="-108" w:right="-85"/>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Непр.</w:t>
            </w:r>
          </w:p>
        </w:tc>
        <w:tc>
          <w:tcPr>
            <w:tcW w:w="210" w:type="pct"/>
            <w:shd w:val="clear" w:color="auto" w:fill="auto"/>
            <w:vAlign w:val="center"/>
          </w:tcPr>
          <w:p w:rsidR="002E5378" w:rsidRPr="00DC3D09" w:rsidRDefault="002E5378" w:rsidP="000B0F93">
            <w:pPr>
              <w:spacing w:after="0" w:line="240" w:lineRule="auto"/>
              <w:ind w:left="-108" w:right="-85"/>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БФП се отпуска под формата на стандартни разходи по дейности, в евро, за един обучаем, както и за разходи за инвестиции</w:t>
            </w:r>
          </w:p>
        </w:tc>
      </w:tr>
      <w:tr w:rsidR="002E5378" w:rsidRPr="00DC3D09" w:rsidTr="000B0F93">
        <w:trPr>
          <w:trHeight w:val="1410"/>
        </w:trPr>
        <w:tc>
          <w:tcPr>
            <w:tcW w:w="112" w:type="pct"/>
            <w:shd w:val="clear" w:color="auto" w:fill="auto"/>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2.</w:t>
            </w:r>
          </w:p>
        </w:tc>
        <w:tc>
          <w:tcPr>
            <w:tcW w:w="271"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Подмярка 4.2 „Инвестиции в преработка/маркетинг на селскостопански продукти“ от мярка 4 „Инвестиции в материални активи“ от Програма за развитие на селските райони за периода 2014-2020 г.</w:t>
            </w:r>
          </w:p>
        </w:tc>
        <w:tc>
          <w:tcPr>
            <w:tcW w:w="399"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Модернизиране на физическите активи на предприятията и земеделски производители преработващи земеделски продукти .</w:t>
            </w:r>
          </w:p>
        </w:tc>
        <w:tc>
          <w:tcPr>
            <w:tcW w:w="257"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Подбор на проектни предложения.</w:t>
            </w:r>
          </w:p>
        </w:tc>
        <w:tc>
          <w:tcPr>
            <w:tcW w:w="299"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w:t>
            </w:r>
          </w:p>
        </w:tc>
        <w:tc>
          <w:tcPr>
            <w:tcW w:w="256"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До левовата равностойност на 39 116 000 евро</w:t>
            </w:r>
          </w:p>
        </w:tc>
        <w:tc>
          <w:tcPr>
            <w:tcW w:w="436"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Земеделски стопани; Признати групи или организации на производители; Физически и юридически лица регистрирани по ТЗ</w:t>
            </w:r>
          </w:p>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Кандидатите следва да са извършвали дейност от най-малко 36 месеца .</w:t>
            </w:r>
          </w:p>
        </w:tc>
        <w:tc>
          <w:tcPr>
            <w:tcW w:w="543"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Подпомагането ще бъде насочено към дейности по модернизиране на физическите активи на предприятията и земеделски производители преработващи селскостопански продукти</w:t>
            </w:r>
            <w:r w:rsidRPr="00DC3D09" w:rsidDel="00E84934">
              <w:rPr>
                <w:rFonts w:ascii="Times New Roman" w:eastAsia="Times New Roman" w:hAnsi="Times New Roman" w:cs="Times New Roman"/>
                <w:sz w:val="16"/>
                <w:szCs w:val="16"/>
                <w:lang w:val="bg-BG" w:eastAsia="bg-BG"/>
              </w:rPr>
              <w:t xml:space="preserve"> </w:t>
            </w:r>
            <w:r w:rsidRPr="00DC3D09">
              <w:rPr>
                <w:rFonts w:ascii="Times New Roman" w:eastAsia="Times New Roman" w:hAnsi="Times New Roman" w:cs="Times New Roman"/>
                <w:sz w:val="16"/>
                <w:szCs w:val="16"/>
                <w:lang w:val="bg-BG" w:eastAsia="bg-BG"/>
              </w:rPr>
              <w:t>, свързано с.</w:t>
            </w:r>
          </w:p>
        </w:tc>
        <w:tc>
          <w:tcPr>
            <w:tcW w:w="880"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Материални инвестиции:</w:t>
            </w:r>
          </w:p>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Разходи за изграждане, придобиване и модернизиране на сгради и други недвижими активи необходими за производството и маркетинга;</w:t>
            </w:r>
          </w:p>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Разходи за закупуване и инсталиране на нови машини и оборудване за подобряване на производствения процес и маркетинга в т.ч. за преработка, пакетиране, охлаждане, замразяване, сушене и съхраняване, за производство на нови продукти, въвеждане на нови технологии и процеси, за опазване на околната среда, за производство на енергия от възобновяеми енергийни източници, включително чрез преработка на растителна и животинска първична и вторична биомаса, за подобряване на енергийната ефективност и за подобряване и контрол на качеството и безопасността на суровините и храните;</w:t>
            </w:r>
          </w:p>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Разходи закупуване на специализирани транспортни средства, включително хладилни такива, за превоз на суровините и/или  на готовата продукция използвани и произвеждани от предприятието;</w:t>
            </w:r>
          </w:p>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Разходи за изграждане и/или модернизиране на лаборатории за нуждите на предприятието;</w:t>
            </w:r>
          </w:p>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Разходи за инвестиции за постигане на съответствие с новоприети стандарти;</w:t>
            </w:r>
          </w:p>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Разходи закупуване на земя, необходима за изграждане/модернизиране на сгради, помещения и други недвижими активи предназначени за производствена дейност Нематериални инвестиции:.</w:t>
            </w:r>
          </w:p>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w:t>
            </w:r>
          </w:p>
        </w:tc>
        <w:tc>
          <w:tcPr>
            <w:tcW w:w="307"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До 50%</w:t>
            </w:r>
          </w:p>
        </w:tc>
        <w:tc>
          <w:tcPr>
            <w:tcW w:w="268" w:type="pct"/>
            <w:shd w:val="clear" w:color="auto" w:fill="auto"/>
            <w:vAlign w:val="center"/>
          </w:tcPr>
          <w:p w:rsidR="002E5378" w:rsidRPr="00DC3D09" w:rsidRDefault="002E5378" w:rsidP="000B0F93">
            <w:pPr>
              <w:spacing w:after="0" w:line="240" w:lineRule="auto"/>
              <w:ind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Май</w:t>
            </w:r>
          </w:p>
        </w:tc>
        <w:tc>
          <w:tcPr>
            <w:tcW w:w="254"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Август</w:t>
            </w:r>
          </w:p>
        </w:tc>
        <w:tc>
          <w:tcPr>
            <w:tcW w:w="170" w:type="pct"/>
            <w:shd w:val="clear" w:color="auto" w:fill="auto"/>
            <w:vAlign w:val="center"/>
          </w:tcPr>
          <w:p w:rsidR="002E5378" w:rsidRPr="00DC3D09" w:rsidRDefault="002E5378" w:rsidP="000B0F93">
            <w:pPr>
              <w:spacing w:after="0" w:line="240" w:lineRule="auto"/>
              <w:ind w:left="-108" w:right="-85"/>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Да</w:t>
            </w:r>
          </w:p>
          <w:p w:rsidR="002E5378" w:rsidRPr="00DC3D09" w:rsidRDefault="002E5378" w:rsidP="000B0F93">
            <w:pPr>
              <w:spacing w:after="0" w:line="240" w:lineRule="auto"/>
              <w:ind w:left="-108" w:right="-85"/>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Съгласно Регламент 702/2014 за крайни продукти извън Приложение 1 от ДФЕС</w:t>
            </w:r>
          </w:p>
        </w:tc>
        <w:tc>
          <w:tcPr>
            <w:tcW w:w="170" w:type="pct"/>
            <w:shd w:val="clear" w:color="auto" w:fill="auto"/>
            <w:vAlign w:val="center"/>
          </w:tcPr>
          <w:p w:rsidR="002E5378" w:rsidRPr="00DC3D09" w:rsidRDefault="002E5378" w:rsidP="000B0F93">
            <w:pPr>
              <w:spacing w:after="0" w:line="240" w:lineRule="auto"/>
              <w:ind w:left="-108" w:right="-85"/>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w:t>
            </w:r>
          </w:p>
        </w:tc>
        <w:tc>
          <w:tcPr>
            <w:tcW w:w="170" w:type="pct"/>
            <w:shd w:val="clear" w:color="auto" w:fill="auto"/>
            <w:vAlign w:val="center"/>
          </w:tcPr>
          <w:p w:rsidR="002E5378" w:rsidRPr="00DC3D09" w:rsidRDefault="002E5378" w:rsidP="000B0F93">
            <w:pPr>
              <w:spacing w:after="0" w:line="240" w:lineRule="auto"/>
              <w:ind w:left="-108" w:right="-85"/>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15000 евро</w:t>
            </w:r>
          </w:p>
        </w:tc>
        <w:tc>
          <w:tcPr>
            <w:tcW w:w="210" w:type="pct"/>
            <w:shd w:val="clear" w:color="auto" w:fill="auto"/>
            <w:vAlign w:val="center"/>
          </w:tcPr>
          <w:p w:rsidR="002E5378" w:rsidRPr="00DC3D09" w:rsidRDefault="002E5378" w:rsidP="000B0F93">
            <w:pPr>
              <w:spacing w:after="0" w:line="240" w:lineRule="auto"/>
              <w:ind w:left="-108" w:right="-85"/>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До левовата равностойност на 300000 евро</w:t>
            </w:r>
          </w:p>
        </w:tc>
      </w:tr>
      <w:tr w:rsidR="002E5378" w:rsidRPr="00DC3D09" w:rsidTr="000B0F93">
        <w:trPr>
          <w:trHeight w:val="1410"/>
        </w:trPr>
        <w:tc>
          <w:tcPr>
            <w:tcW w:w="112" w:type="pct"/>
            <w:shd w:val="clear" w:color="auto" w:fill="auto"/>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3.</w:t>
            </w:r>
          </w:p>
        </w:tc>
        <w:tc>
          <w:tcPr>
            <w:tcW w:w="271"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Подмярка 4.3 „Подкрепа за инвестиции в инфраструктура, свързана с развитието, модернизирането или адаптирането на селското и горското стопанство“</w:t>
            </w:r>
          </w:p>
        </w:tc>
        <w:tc>
          <w:tcPr>
            <w:tcW w:w="399"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Възстановяването на инфраструктурата за напояване чрез реконструкция и модернизацията ѝ в съответствие с идентифицираните нужди</w:t>
            </w:r>
          </w:p>
        </w:tc>
        <w:tc>
          <w:tcPr>
            <w:tcW w:w="257"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Подбор на проектни предложения.</w:t>
            </w:r>
          </w:p>
        </w:tc>
        <w:tc>
          <w:tcPr>
            <w:tcW w:w="299"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w:t>
            </w:r>
          </w:p>
        </w:tc>
        <w:tc>
          <w:tcPr>
            <w:tcW w:w="256"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До левовата равностойност на</w:t>
            </w:r>
            <w:r w:rsidRPr="00DC3D09">
              <w:rPr>
                <w:rFonts w:ascii="Times New Roman" w:eastAsia="Times New Roman" w:hAnsi="Times New Roman" w:cs="Times New Roman"/>
                <w:sz w:val="16"/>
                <w:szCs w:val="16"/>
                <w:lang w:eastAsia="bg-BG"/>
              </w:rPr>
              <w:t xml:space="preserve"> </w:t>
            </w:r>
            <w:r w:rsidRPr="00DC3D09">
              <w:rPr>
                <w:rFonts w:ascii="Times New Roman" w:eastAsia="Times New Roman" w:hAnsi="Times New Roman" w:cs="Times New Roman"/>
                <w:sz w:val="16"/>
                <w:szCs w:val="16"/>
                <w:lang w:val="bg-BG" w:eastAsia="bg-BG"/>
              </w:rPr>
              <w:t>54 801 449,28 евро</w:t>
            </w:r>
          </w:p>
        </w:tc>
        <w:tc>
          <w:tcPr>
            <w:tcW w:w="436"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„Напоителни системи“ ЕАД</w:t>
            </w:r>
          </w:p>
        </w:tc>
        <w:tc>
          <w:tcPr>
            <w:tcW w:w="543" w:type="pct"/>
            <w:shd w:val="clear" w:color="auto" w:fill="auto"/>
            <w:vAlign w:val="center"/>
          </w:tcPr>
          <w:p w:rsidR="002E5378" w:rsidRPr="00DC3D09" w:rsidRDefault="002E5378" w:rsidP="000B0F93">
            <w:pPr>
              <w:spacing w:after="0" w:line="240" w:lineRule="auto"/>
              <w:ind w:left="-112" w:righ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Подкрепата ще бъде насочена към инвестиции в напоителни системи използвани само за селскостопански цели извън земеделските стопанства, включващи:</w:t>
            </w:r>
          </w:p>
          <w:p w:rsidR="002E5378" w:rsidRPr="00DC3D09" w:rsidRDefault="002E5378" w:rsidP="000B0F93">
            <w:pPr>
              <w:spacing w:after="0" w:line="240" w:lineRule="auto"/>
              <w:ind w:left="-112" w:righ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•Ремонт/реконструкция/рехабилитация на напоителни инсталации и напоителна инфраструктура;</w:t>
            </w:r>
          </w:p>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hAnsi="Times New Roman" w:cs="Times New Roman"/>
                <w:sz w:val="16"/>
                <w:szCs w:val="16"/>
                <w:lang w:val="bg-BG"/>
              </w:rPr>
              <w:t>•</w:t>
            </w:r>
            <w:r w:rsidRPr="00DC3D09">
              <w:rPr>
                <w:rFonts w:ascii="Times New Roman" w:hAnsi="Times New Roman" w:cs="Times New Roman"/>
                <w:sz w:val="16"/>
                <w:szCs w:val="16"/>
                <w:lang w:val="bg-BG"/>
              </w:rPr>
              <w:tab/>
              <w:t>Закупуване и инсталиране на нови машини, съоръжения и оборудване за напояване, измерване и мониторинг, включително и такива, пряко свързани с подобряване на енергийната ефективност и опазване на околната среда;</w:t>
            </w:r>
          </w:p>
        </w:tc>
        <w:tc>
          <w:tcPr>
            <w:tcW w:w="880" w:type="pct"/>
            <w:shd w:val="clear" w:color="auto" w:fill="auto"/>
            <w:vAlign w:val="center"/>
          </w:tcPr>
          <w:p w:rsidR="002E5378" w:rsidRPr="00DC3D09" w:rsidRDefault="002E5378" w:rsidP="000B0F93">
            <w:pPr>
              <w:spacing w:after="0" w:line="240" w:lineRule="auto"/>
              <w:ind w:left="-112" w:righ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Материални инвестиции:</w:t>
            </w:r>
          </w:p>
          <w:p w:rsidR="002E5378" w:rsidRPr="00DC3D09" w:rsidRDefault="002E5378" w:rsidP="000B0F93">
            <w:pPr>
              <w:spacing w:after="0" w:line="240" w:lineRule="auto"/>
              <w:ind w:left="-112" w:righ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1.Реконструкция/рехабилитация/ремонт на сгради и друга недвижима собственост (обслужващи сгради, помпени станции, изравнители, водохващания, линейна инфраструктура и др.), използвани за дейности, свързани изцяло с напояване, включително такива, използвани за опазване на околната среда (с изключение на естествени и изкуствени водоеми/водохранилища, както и язовири).</w:t>
            </w:r>
          </w:p>
          <w:p w:rsidR="002E5378" w:rsidRPr="00DC3D09" w:rsidRDefault="002E5378" w:rsidP="000B0F93">
            <w:pPr>
              <w:spacing w:after="0" w:line="240" w:lineRule="auto"/>
              <w:ind w:left="-112" w:righ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2.Закупуване и/или инсталиране на нови машини, съоръжения и оборудване, необходими за подобряване на дейностите, свързани с напояване, включително свързани с опазване на околната среда и подобряване на енергийната ефективност и за подобряване на проводимостта на напоителните съоръжения.</w:t>
            </w:r>
          </w:p>
          <w:p w:rsidR="002E5378" w:rsidRPr="00DC3D09" w:rsidRDefault="002E5378" w:rsidP="000B0F93">
            <w:pPr>
              <w:spacing w:after="0" w:line="240" w:lineRule="auto"/>
              <w:ind w:left="-112" w:righ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3.Изграждане и/или инсталиране на системи за отчитане и мониторинг на ползваните количества вода, включително свързани с превенция от вредното въздействие върху околната среда.</w:t>
            </w:r>
          </w:p>
          <w:p w:rsidR="002E5378" w:rsidRPr="00DC3D09" w:rsidRDefault="002E5378" w:rsidP="000B0F93">
            <w:pPr>
              <w:spacing w:after="0" w:line="240" w:lineRule="auto"/>
              <w:ind w:left="-112" w:righ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Нематериални инвестиции:</w:t>
            </w:r>
          </w:p>
          <w:p w:rsidR="002E5378" w:rsidRPr="00DC3D09" w:rsidRDefault="002E5378" w:rsidP="000B0F93">
            <w:pPr>
              <w:spacing w:after="0" w:line="240" w:lineRule="auto"/>
              <w:ind w:left="-112" w:righ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1. 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w:t>
            </w:r>
          </w:p>
          <w:p w:rsidR="002E5378" w:rsidRPr="00DC3D09" w:rsidRDefault="002E5378" w:rsidP="000B0F93">
            <w:pPr>
              <w:spacing w:after="0" w:line="240" w:lineRule="auto"/>
              <w:ind w:left="-112" w:righ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2. Разходи за ноу-хау, придобиване на патентни права и лицензи, и процеси, необходими за изготвяне и изпълнение на проекта;</w:t>
            </w:r>
          </w:p>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hAnsi="Times New Roman" w:cs="Times New Roman"/>
                <w:sz w:val="16"/>
                <w:szCs w:val="16"/>
                <w:lang w:val="bg-BG"/>
              </w:rPr>
              <w:t>3. Закупуване на софтуер, пряко свързан с дейността;</w:t>
            </w:r>
          </w:p>
        </w:tc>
        <w:tc>
          <w:tcPr>
            <w:tcW w:w="307"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До 100 %</w:t>
            </w:r>
          </w:p>
        </w:tc>
        <w:tc>
          <w:tcPr>
            <w:tcW w:w="268" w:type="pct"/>
            <w:shd w:val="clear" w:color="auto" w:fill="auto"/>
            <w:vAlign w:val="center"/>
          </w:tcPr>
          <w:p w:rsidR="002E5378" w:rsidRPr="00DC3D09" w:rsidRDefault="002E5378" w:rsidP="000B0F93">
            <w:pPr>
              <w:spacing w:after="0" w:line="240" w:lineRule="auto"/>
              <w:ind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Май</w:t>
            </w:r>
          </w:p>
        </w:tc>
        <w:tc>
          <w:tcPr>
            <w:tcW w:w="254"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Септември</w:t>
            </w:r>
          </w:p>
        </w:tc>
        <w:tc>
          <w:tcPr>
            <w:tcW w:w="170" w:type="pct"/>
            <w:shd w:val="clear" w:color="auto" w:fill="auto"/>
            <w:vAlign w:val="center"/>
          </w:tcPr>
          <w:p w:rsidR="002E5378" w:rsidRPr="00DC3D09" w:rsidRDefault="002E5378" w:rsidP="000B0F93">
            <w:pPr>
              <w:spacing w:after="0" w:line="240" w:lineRule="auto"/>
              <w:ind w:left="-108" w:right="-85"/>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w:t>
            </w:r>
          </w:p>
        </w:tc>
        <w:tc>
          <w:tcPr>
            <w:tcW w:w="170" w:type="pct"/>
            <w:shd w:val="clear" w:color="auto" w:fill="auto"/>
            <w:vAlign w:val="center"/>
          </w:tcPr>
          <w:p w:rsidR="002E5378" w:rsidRPr="00DC3D09" w:rsidRDefault="002E5378" w:rsidP="000B0F93">
            <w:pPr>
              <w:spacing w:after="0" w:line="240" w:lineRule="auto"/>
              <w:ind w:left="-108" w:right="-85"/>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w:t>
            </w:r>
          </w:p>
        </w:tc>
        <w:tc>
          <w:tcPr>
            <w:tcW w:w="170" w:type="pct"/>
            <w:shd w:val="clear" w:color="auto" w:fill="auto"/>
            <w:vAlign w:val="center"/>
          </w:tcPr>
          <w:p w:rsidR="002E5378" w:rsidRPr="00DC3D09" w:rsidRDefault="002E5378" w:rsidP="000B0F93">
            <w:pPr>
              <w:spacing w:after="0" w:line="240" w:lineRule="auto"/>
              <w:ind w:left="-108" w:right="-85"/>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Левовата равностойност на 15 000 евро.</w:t>
            </w:r>
          </w:p>
        </w:tc>
        <w:tc>
          <w:tcPr>
            <w:tcW w:w="210" w:type="pct"/>
            <w:shd w:val="clear" w:color="auto" w:fill="auto"/>
            <w:vAlign w:val="center"/>
          </w:tcPr>
          <w:p w:rsidR="002E5378" w:rsidRPr="00DC3D09" w:rsidRDefault="002E5378" w:rsidP="000B0F93">
            <w:pPr>
              <w:spacing w:after="0" w:line="240" w:lineRule="auto"/>
              <w:ind w:left="-108" w:right="-85"/>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До левовата равностойност на 6 000 000 евро.</w:t>
            </w:r>
          </w:p>
        </w:tc>
      </w:tr>
      <w:tr w:rsidR="002E5378" w:rsidRPr="00DC3D09" w:rsidTr="000B0F93">
        <w:tc>
          <w:tcPr>
            <w:tcW w:w="112"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4.</w:t>
            </w:r>
          </w:p>
        </w:tc>
        <w:tc>
          <w:tcPr>
            <w:tcW w:w="271"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Подмярка 6.1 „Създаване на стопанства на млади фермери"“</w:t>
            </w:r>
          </w:p>
        </w:tc>
        <w:tc>
          <w:tcPr>
            <w:tcW w:w="399"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Увеличаване на броя и дела на младите земеделски стопани</w:t>
            </w:r>
          </w:p>
        </w:tc>
        <w:tc>
          <w:tcPr>
            <w:tcW w:w="257"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Подбор на проектни предложения</w:t>
            </w:r>
          </w:p>
        </w:tc>
        <w:tc>
          <w:tcPr>
            <w:tcW w:w="299"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w:t>
            </w:r>
          </w:p>
        </w:tc>
        <w:tc>
          <w:tcPr>
            <w:tcW w:w="256" w:type="pct"/>
            <w:shd w:val="clear" w:color="auto" w:fill="FFFFFF" w:themeFill="background1"/>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До левовата равностойност на 12 100 000 евро</w:t>
            </w:r>
          </w:p>
        </w:tc>
        <w:tc>
          <w:tcPr>
            <w:tcW w:w="436"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Земеделски стопани – физически лица, еднолични търговци, ЕООД</w:t>
            </w:r>
          </w:p>
        </w:tc>
        <w:tc>
          <w:tcPr>
            <w:tcW w:w="543"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Дейности за създаване и развитие на стопанства на млади земеделски стопани</w:t>
            </w:r>
          </w:p>
        </w:tc>
        <w:tc>
          <w:tcPr>
            <w:tcW w:w="880"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Разходи за създаване и развитие на стопанства на млади земеделски стопани, посочени в бизнес план</w:t>
            </w:r>
          </w:p>
        </w:tc>
        <w:tc>
          <w:tcPr>
            <w:tcW w:w="307"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Непр.</w:t>
            </w:r>
          </w:p>
        </w:tc>
        <w:tc>
          <w:tcPr>
            <w:tcW w:w="268" w:type="pct"/>
            <w:shd w:val="clear" w:color="auto" w:fill="FFFFFF" w:themeFill="background1"/>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Октомври</w:t>
            </w:r>
          </w:p>
        </w:tc>
        <w:tc>
          <w:tcPr>
            <w:tcW w:w="254" w:type="pct"/>
            <w:shd w:val="clear" w:color="auto" w:fill="FFFFFF" w:themeFill="background1"/>
            <w:vAlign w:val="center"/>
          </w:tcPr>
          <w:p w:rsidR="00486739" w:rsidRDefault="00486739" w:rsidP="000B0F93">
            <w:pPr>
              <w:spacing w:after="0" w:line="240" w:lineRule="auto"/>
              <w:ind w:left="-108" w:right="-108"/>
              <w:jc w:val="center"/>
              <w:rPr>
                <w:rFonts w:ascii="Times New Roman" w:eastAsia="Times New Roman" w:hAnsi="Times New Roman" w:cs="Times New Roman"/>
                <w:sz w:val="16"/>
                <w:szCs w:val="16"/>
                <w:lang w:val="bg-BG" w:eastAsia="bg-BG"/>
              </w:rPr>
            </w:pPr>
          </w:p>
          <w:p w:rsidR="002E5378" w:rsidRPr="0048673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486739">
              <w:rPr>
                <w:rFonts w:ascii="Times New Roman" w:eastAsia="Times New Roman" w:hAnsi="Times New Roman" w:cs="Times New Roman"/>
                <w:sz w:val="16"/>
                <w:szCs w:val="16"/>
                <w:lang w:val="bg-BG" w:eastAsia="bg-BG"/>
              </w:rPr>
              <w:t>Ноември</w:t>
            </w:r>
          </w:p>
          <w:p w:rsidR="00610B51" w:rsidRPr="00DC3D09" w:rsidRDefault="00610B51" w:rsidP="000B0F93">
            <w:pPr>
              <w:spacing w:after="0" w:line="240" w:lineRule="auto"/>
              <w:ind w:left="-108" w:right="-108"/>
              <w:jc w:val="center"/>
              <w:rPr>
                <w:rFonts w:ascii="Times New Roman" w:eastAsia="Times New Roman" w:hAnsi="Times New Roman" w:cs="Times New Roman"/>
                <w:sz w:val="16"/>
                <w:szCs w:val="16"/>
                <w:lang w:val="bg-BG" w:eastAsia="bg-BG"/>
              </w:rPr>
            </w:pPr>
          </w:p>
        </w:tc>
        <w:tc>
          <w:tcPr>
            <w:tcW w:w="170"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w:t>
            </w:r>
          </w:p>
        </w:tc>
        <w:tc>
          <w:tcPr>
            <w:tcW w:w="170"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w:t>
            </w:r>
          </w:p>
        </w:tc>
        <w:tc>
          <w:tcPr>
            <w:tcW w:w="170"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Непр.</w:t>
            </w:r>
          </w:p>
        </w:tc>
        <w:tc>
          <w:tcPr>
            <w:tcW w:w="210"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Левовата равностойност на 25 000 евро</w:t>
            </w:r>
          </w:p>
        </w:tc>
      </w:tr>
      <w:tr w:rsidR="002E5378" w:rsidRPr="00DC3D09" w:rsidTr="000B0F93">
        <w:tc>
          <w:tcPr>
            <w:tcW w:w="112"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5.</w:t>
            </w:r>
          </w:p>
        </w:tc>
        <w:tc>
          <w:tcPr>
            <w:tcW w:w="271"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Подмярка 6.4 „Инвестиции в подкрепа на неземеделски дейности“</w:t>
            </w:r>
          </w:p>
        </w:tc>
        <w:tc>
          <w:tcPr>
            <w:tcW w:w="399" w:type="pct"/>
            <w:shd w:val="clear" w:color="auto" w:fill="auto"/>
            <w:vAlign w:val="center"/>
          </w:tcPr>
          <w:p w:rsidR="002E5378" w:rsidRPr="00DC3D09" w:rsidRDefault="002E5378" w:rsidP="000B0F93">
            <w:pPr>
              <w:spacing w:after="0" w:line="240" w:lineRule="auto"/>
              <w:ind w:left="-112"/>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Развитие на конкурентоспособността на селските райони; създаване на заетост</w:t>
            </w:r>
          </w:p>
        </w:tc>
        <w:tc>
          <w:tcPr>
            <w:tcW w:w="257" w:type="pct"/>
            <w:shd w:val="clear" w:color="auto" w:fill="auto"/>
            <w:vAlign w:val="center"/>
          </w:tcPr>
          <w:p w:rsidR="002E5378" w:rsidRPr="00DC3D09" w:rsidRDefault="002E5378" w:rsidP="000B0F93">
            <w:pPr>
              <w:spacing w:after="0" w:line="240" w:lineRule="auto"/>
              <w:ind w:left="-109"/>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Подбор на проектни предложе-ния</w:t>
            </w:r>
          </w:p>
        </w:tc>
        <w:tc>
          <w:tcPr>
            <w:tcW w:w="299"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256" w:type="pct"/>
            <w:shd w:val="clear" w:color="auto" w:fill="auto"/>
            <w:vAlign w:val="center"/>
          </w:tcPr>
          <w:p w:rsidR="002E5378" w:rsidRPr="00DC3D09" w:rsidRDefault="002E5378" w:rsidP="000B0F93">
            <w:pPr>
              <w:spacing w:after="0" w:line="240" w:lineRule="auto"/>
              <w:ind w:left="-34"/>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левовата равностойност на 29 000 000 евро</w:t>
            </w:r>
          </w:p>
        </w:tc>
        <w:tc>
          <w:tcPr>
            <w:tcW w:w="436" w:type="pct"/>
            <w:shd w:val="clear" w:color="auto" w:fill="auto"/>
            <w:vAlign w:val="center"/>
          </w:tcPr>
          <w:p w:rsidR="002E5378"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Земеделски стопани или микропредприятия, регистрирани като еднолични търговци или юридически лица по Търговския закон, Закона за кооперациите или Закона за вероизповеданията, както и физически лица, регистрирани по Закона за занаятите</w:t>
            </w:r>
            <w:r w:rsidR="00D130A8">
              <w:rPr>
                <w:rFonts w:ascii="Times New Roman" w:hAnsi="Times New Roman" w:cs="Times New Roman"/>
                <w:sz w:val="16"/>
                <w:szCs w:val="16"/>
                <w:lang w:val="bg-BG"/>
              </w:rPr>
              <w:t>.</w:t>
            </w:r>
          </w:p>
          <w:p w:rsidR="00D130A8" w:rsidRPr="00DC3D09" w:rsidRDefault="00D130A8" w:rsidP="000B0F93">
            <w:pPr>
              <w:spacing w:after="0" w:line="240" w:lineRule="auto"/>
              <w:jc w:val="center"/>
              <w:rPr>
                <w:rFonts w:ascii="Times New Roman" w:hAnsi="Times New Roman" w:cs="Times New Roman"/>
                <w:sz w:val="16"/>
                <w:szCs w:val="16"/>
                <w:lang w:val="bg-BG"/>
              </w:rPr>
            </w:pPr>
          </w:p>
        </w:tc>
        <w:tc>
          <w:tcPr>
            <w:tcW w:w="543"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lang w:val="bg-BG"/>
              </w:rPr>
            </w:pPr>
            <w:r w:rsidRPr="00DC3D09">
              <w:rPr>
                <w:rFonts w:ascii="Times New Roman" w:hAnsi="Times New Roman" w:cs="Times New Roman"/>
                <w:sz w:val="16"/>
                <w:szCs w:val="16"/>
                <w:lang w:val="bg-BG"/>
              </w:rPr>
              <w:t>Инвестиции в неземеделски дейности, като например:</w:t>
            </w:r>
          </w:p>
          <w:p w:rsidR="002E5378" w:rsidRPr="00DC3D09" w:rsidRDefault="002E5378" w:rsidP="000B0F93">
            <w:pPr>
              <w:spacing w:after="0" w:line="240" w:lineRule="auto"/>
              <w:jc w:val="center"/>
              <w:rPr>
                <w:rFonts w:ascii="Times New Roman" w:hAnsi="Times New Roman" w:cs="Times New Roman"/>
                <w:lang w:val="bg-BG"/>
              </w:rPr>
            </w:pPr>
            <w:r w:rsidRPr="00DC3D09">
              <w:rPr>
                <w:rFonts w:ascii="Times New Roman" w:hAnsi="Times New Roman" w:cs="Times New Roman"/>
                <w:sz w:val="16"/>
                <w:szCs w:val="16"/>
                <w:lang w:val="bg-BG"/>
              </w:rPr>
              <w:t>1. 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rsidR="002E5378" w:rsidRPr="00DC3D09" w:rsidRDefault="002E5378" w:rsidP="000B0F93">
            <w:pPr>
              <w:tabs>
                <w:tab w:val="left" w:pos="197"/>
              </w:tabs>
              <w:overflowPunct w:val="0"/>
              <w:autoSpaceDE w:val="0"/>
              <w:autoSpaceDN w:val="0"/>
              <w:adjustRightInd w:val="0"/>
              <w:spacing w:after="0" w:line="240" w:lineRule="auto"/>
              <w:jc w:val="center"/>
              <w:textAlignment w:val="baseline"/>
              <w:rPr>
                <w:rFonts w:ascii="Times New Roman" w:hAnsi="Times New Roman" w:cs="Times New Roman"/>
                <w:sz w:val="16"/>
                <w:szCs w:val="16"/>
                <w:lang w:val="bg-BG"/>
              </w:rPr>
            </w:pPr>
            <w:r w:rsidRPr="00DC3D09">
              <w:rPr>
                <w:rFonts w:ascii="Times New Roman" w:hAnsi="Times New Roman" w:cs="Times New Roman"/>
                <w:sz w:val="16"/>
                <w:szCs w:val="16"/>
                <w:lang w:val="bg-BG"/>
              </w:rPr>
              <w:t>2. Развитие на услуги във всички сектори;</w:t>
            </w:r>
          </w:p>
          <w:p w:rsidR="002E5378" w:rsidRPr="00DC3D09" w:rsidRDefault="002E5378" w:rsidP="000B0F93">
            <w:pPr>
              <w:overflowPunct w:val="0"/>
              <w:autoSpaceDE w:val="0"/>
              <w:autoSpaceDN w:val="0"/>
              <w:adjustRightInd w:val="0"/>
              <w:spacing w:after="0" w:line="240" w:lineRule="auto"/>
              <w:jc w:val="center"/>
              <w:textAlignment w:val="baseline"/>
              <w:rPr>
                <w:rFonts w:ascii="Times New Roman" w:hAnsi="Times New Roman" w:cs="Times New Roman"/>
                <w:sz w:val="16"/>
                <w:szCs w:val="16"/>
                <w:lang w:val="bg-BG"/>
              </w:rPr>
            </w:pPr>
            <w:r w:rsidRPr="00DC3D09">
              <w:rPr>
                <w:rFonts w:ascii="Times New Roman" w:hAnsi="Times New Roman" w:cs="Times New Roman"/>
                <w:sz w:val="16"/>
                <w:szCs w:val="16"/>
                <w:lang w:val="bg-BG"/>
              </w:rPr>
              <w:t>3. Производство на енергия от възобновяеми енергийни източници за собствено потребление;</w:t>
            </w:r>
          </w:p>
          <w:p w:rsidR="002E5378" w:rsidRPr="00DC3D09" w:rsidRDefault="002E5378" w:rsidP="000B0F93">
            <w:pPr>
              <w:tabs>
                <w:tab w:val="left" w:pos="152"/>
              </w:tabs>
              <w:overflowPunct w:val="0"/>
              <w:autoSpaceDE w:val="0"/>
              <w:autoSpaceDN w:val="0"/>
              <w:adjustRightInd w:val="0"/>
              <w:spacing w:after="0" w:line="240" w:lineRule="auto"/>
              <w:ind w:left="-25"/>
              <w:jc w:val="center"/>
              <w:textAlignment w:val="baseline"/>
              <w:rPr>
                <w:rFonts w:ascii="Times New Roman" w:hAnsi="Times New Roman" w:cs="Times New Roman"/>
                <w:sz w:val="16"/>
                <w:szCs w:val="16"/>
                <w:lang w:val="bg-BG"/>
              </w:rPr>
            </w:pPr>
            <w:r w:rsidRPr="00DC3D09">
              <w:rPr>
                <w:rFonts w:ascii="Times New Roman" w:hAnsi="Times New Roman" w:cs="Times New Roman"/>
                <w:sz w:val="16"/>
                <w:szCs w:val="16"/>
                <w:lang w:val="bg-BG"/>
              </w:rPr>
              <w:t>4. Развитие на занаяти и други неземеделски дейности.</w:t>
            </w:r>
          </w:p>
        </w:tc>
        <w:tc>
          <w:tcPr>
            <w:tcW w:w="880" w:type="pct"/>
            <w:shd w:val="clear" w:color="auto" w:fill="auto"/>
            <w:vAlign w:val="center"/>
          </w:tcPr>
          <w:p w:rsidR="002E5378" w:rsidRPr="00DC3D09" w:rsidRDefault="002E5378" w:rsidP="00687E6B">
            <w:pPr>
              <w:spacing w:after="0" w:line="240" w:lineRule="auto"/>
              <w:ind w:lef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Материални и нематериални инвестиции за създаване и развитие на неземеделски дейности в селските райони</w:t>
            </w:r>
          </w:p>
        </w:tc>
        <w:tc>
          <w:tcPr>
            <w:tcW w:w="307"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50 %</w:t>
            </w:r>
          </w:p>
        </w:tc>
        <w:tc>
          <w:tcPr>
            <w:tcW w:w="268"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Септември</w:t>
            </w:r>
          </w:p>
        </w:tc>
        <w:tc>
          <w:tcPr>
            <w:tcW w:w="254" w:type="pct"/>
            <w:shd w:val="clear" w:color="auto" w:fill="auto"/>
            <w:vAlign w:val="center"/>
          </w:tcPr>
          <w:p w:rsidR="00486739" w:rsidRDefault="00486739" w:rsidP="000B0F93">
            <w:pPr>
              <w:spacing w:after="0" w:line="240" w:lineRule="auto"/>
              <w:ind w:left="-107"/>
              <w:jc w:val="center"/>
              <w:rPr>
                <w:rFonts w:ascii="Times New Roman" w:hAnsi="Times New Roman" w:cs="Times New Roman"/>
                <w:sz w:val="16"/>
                <w:szCs w:val="16"/>
                <w:lang w:val="bg-BG"/>
              </w:rPr>
            </w:pPr>
          </w:p>
          <w:p w:rsidR="002E5378" w:rsidRPr="00486739" w:rsidRDefault="002E5378" w:rsidP="000B0F93">
            <w:pPr>
              <w:spacing w:after="0" w:line="240" w:lineRule="auto"/>
              <w:ind w:left="-107"/>
              <w:jc w:val="center"/>
              <w:rPr>
                <w:rFonts w:ascii="Times New Roman" w:hAnsi="Times New Roman" w:cs="Times New Roman"/>
                <w:sz w:val="16"/>
                <w:szCs w:val="16"/>
                <w:lang w:val="bg-BG"/>
              </w:rPr>
            </w:pPr>
            <w:r w:rsidRPr="00486739">
              <w:rPr>
                <w:rFonts w:ascii="Times New Roman" w:hAnsi="Times New Roman" w:cs="Times New Roman"/>
                <w:sz w:val="16"/>
                <w:szCs w:val="16"/>
                <w:lang w:val="bg-BG"/>
              </w:rPr>
              <w:t>Октомври</w:t>
            </w:r>
          </w:p>
          <w:p w:rsidR="00610B51" w:rsidRPr="00DC3D09" w:rsidRDefault="00610B51" w:rsidP="000B0F93">
            <w:pPr>
              <w:spacing w:after="0" w:line="240" w:lineRule="auto"/>
              <w:ind w:left="-107"/>
              <w:jc w:val="center"/>
              <w:rPr>
                <w:rFonts w:ascii="Times New Roman" w:hAnsi="Times New Roman" w:cs="Times New Roman"/>
                <w:sz w:val="16"/>
                <w:szCs w:val="16"/>
                <w:lang w:val="bg-BG"/>
              </w:rPr>
            </w:pPr>
          </w:p>
        </w:tc>
        <w:tc>
          <w:tcPr>
            <w:tcW w:w="170" w:type="pct"/>
            <w:shd w:val="clear" w:color="auto" w:fill="auto"/>
            <w:vAlign w:val="center"/>
          </w:tcPr>
          <w:p w:rsidR="002E5378" w:rsidRPr="00DC3D09" w:rsidRDefault="002E5378" w:rsidP="000B0F93">
            <w:pPr>
              <w:spacing w:after="0" w:line="240" w:lineRule="auto"/>
              <w:ind w:left="-102" w:right="-146"/>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ind w:left="-102" w:right="-146"/>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Да</w:t>
            </w:r>
          </w:p>
        </w:tc>
        <w:tc>
          <w:tcPr>
            <w:tcW w:w="170"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Левовата равностойност на 10 000 евро</w:t>
            </w:r>
          </w:p>
        </w:tc>
        <w:tc>
          <w:tcPr>
            <w:tcW w:w="210"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p>
          <w:p w:rsidR="002E5378" w:rsidRPr="00DC3D09" w:rsidRDefault="002E5378" w:rsidP="000B0F93">
            <w:pPr>
              <w:spacing w:after="0" w:line="240" w:lineRule="auto"/>
              <w:jc w:val="center"/>
              <w:rPr>
                <w:rFonts w:ascii="Times New Roman" w:hAnsi="Times New Roman" w:cs="Times New Roman"/>
                <w:sz w:val="16"/>
                <w:szCs w:val="16"/>
                <w:lang w:val="bg-BG"/>
              </w:rPr>
            </w:pPr>
          </w:p>
          <w:p w:rsidR="002E5378" w:rsidRPr="00DC3D09" w:rsidRDefault="002E5378" w:rsidP="000B0F93">
            <w:pPr>
              <w:spacing w:after="0" w:line="240" w:lineRule="auto"/>
              <w:jc w:val="center"/>
              <w:rPr>
                <w:rFonts w:ascii="Times New Roman" w:hAnsi="Times New Roman" w:cs="Times New Roman"/>
                <w:sz w:val="16"/>
                <w:szCs w:val="16"/>
                <w:lang w:val="bg-BG"/>
              </w:rPr>
            </w:pPr>
          </w:p>
          <w:p w:rsidR="002E5378" w:rsidRPr="00DC3D09" w:rsidRDefault="002E5378" w:rsidP="000B0F93">
            <w:pPr>
              <w:spacing w:after="0" w:line="240" w:lineRule="auto"/>
              <w:jc w:val="center"/>
              <w:rPr>
                <w:rFonts w:ascii="Times New Roman" w:hAnsi="Times New Roman" w:cs="Times New Roman"/>
                <w:sz w:val="16"/>
                <w:szCs w:val="16"/>
                <w:lang w:val="bg-BG"/>
              </w:rPr>
            </w:pPr>
          </w:p>
          <w:p w:rsidR="002E5378" w:rsidRPr="00D130A8" w:rsidRDefault="00814B64" w:rsidP="000B0F93">
            <w:pPr>
              <w:spacing w:after="0" w:line="240" w:lineRule="auto"/>
              <w:jc w:val="center"/>
              <w:rPr>
                <w:rFonts w:ascii="Times New Roman" w:hAnsi="Times New Roman" w:cs="Times New Roman"/>
                <w:color w:val="C00000"/>
                <w:sz w:val="16"/>
                <w:szCs w:val="16"/>
                <w:lang w:val="bg-BG"/>
              </w:rPr>
            </w:pPr>
            <w:r>
              <w:rPr>
                <w:rFonts w:ascii="Times New Roman" w:hAnsi="Times New Roman" w:cs="Times New Roman"/>
                <w:sz w:val="16"/>
                <w:szCs w:val="16"/>
                <w:lang w:val="bg-BG"/>
              </w:rPr>
              <w:t xml:space="preserve">Левовата равностойност на </w:t>
            </w:r>
            <w:r w:rsidRPr="00C92CF6">
              <w:rPr>
                <w:rFonts w:ascii="Times New Roman" w:hAnsi="Times New Roman" w:cs="Times New Roman"/>
                <w:sz w:val="16"/>
                <w:szCs w:val="16"/>
                <w:lang w:val="bg-BG"/>
              </w:rPr>
              <w:t>4</w:t>
            </w:r>
            <w:r w:rsidR="002E5378" w:rsidRPr="00C92CF6">
              <w:rPr>
                <w:rFonts w:ascii="Times New Roman" w:hAnsi="Times New Roman" w:cs="Times New Roman"/>
                <w:sz w:val="16"/>
                <w:szCs w:val="16"/>
                <w:lang w:val="bg-BG"/>
              </w:rPr>
              <w:t>00 000 евро</w:t>
            </w:r>
          </w:p>
          <w:p w:rsidR="002E5378" w:rsidRPr="00DC3D09" w:rsidRDefault="002E5378" w:rsidP="000B0F93">
            <w:pPr>
              <w:spacing w:after="0" w:line="240" w:lineRule="auto"/>
              <w:jc w:val="center"/>
              <w:rPr>
                <w:rFonts w:ascii="Times New Roman" w:hAnsi="Times New Roman" w:cs="Times New Roman"/>
                <w:sz w:val="16"/>
                <w:szCs w:val="16"/>
                <w:lang w:val="bg-BG"/>
              </w:rPr>
            </w:pPr>
          </w:p>
          <w:p w:rsidR="002E5378" w:rsidRPr="00DC3D09" w:rsidRDefault="002E5378" w:rsidP="000B0F93">
            <w:pPr>
              <w:spacing w:after="0" w:line="240" w:lineRule="auto"/>
              <w:jc w:val="center"/>
              <w:rPr>
                <w:rFonts w:ascii="Times New Roman" w:hAnsi="Times New Roman" w:cs="Times New Roman"/>
                <w:sz w:val="16"/>
                <w:szCs w:val="16"/>
                <w:lang w:val="bg-BG"/>
              </w:rPr>
            </w:pPr>
          </w:p>
          <w:p w:rsidR="002E5378" w:rsidRPr="00DC3D09" w:rsidRDefault="002E5378" w:rsidP="000B0F93">
            <w:pPr>
              <w:spacing w:after="0" w:line="240" w:lineRule="auto"/>
              <w:jc w:val="center"/>
              <w:rPr>
                <w:rFonts w:ascii="Times New Roman" w:hAnsi="Times New Roman" w:cs="Times New Roman"/>
                <w:sz w:val="16"/>
                <w:szCs w:val="16"/>
                <w:lang w:val="bg-BG"/>
              </w:rPr>
            </w:pPr>
          </w:p>
          <w:p w:rsidR="002E5378" w:rsidRPr="00DC3D09" w:rsidRDefault="002E5378" w:rsidP="000B0F93">
            <w:pPr>
              <w:spacing w:after="0" w:line="240" w:lineRule="auto"/>
              <w:jc w:val="center"/>
              <w:rPr>
                <w:rFonts w:ascii="Times New Roman" w:hAnsi="Times New Roman" w:cs="Times New Roman"/>
                <w:sz w:val="16"/>
                <w:szCs w:val="16"/>
                <w:lang w:val="bg-BG"/>
              </w:rPr>
            </w:pPr>
          </w:p>
        </w:tc>
      </w:tr>
      <w:tr w:rsidR="002E5378" w:rsidRPr="00DC3D09" w:rsidTr="000B0F93">
        <w:tc>
          <w:tcPr>
            <w:tcW w:w="112"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6.</w:t>
            </w:r>
          </w:p>
        </w:tc>
        <w:tc>
          <w:tcPr>
            <w:tcW w:w="271"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Подмярка 7.2. „Инвестиции в създаването, подобряването или разширяването на всички видове малка по мащаби инфраструктура“</w:t>
            </w:r>
          </w:p>
        </w:tc>
        <w:tc>
          <w:tcPr>
            <w:tcW w:w="399"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Финансиране на проекти за пътна инфраструктура ще доведе до подобрение на транспортната свързаност и достъпност на по-отдалечените населени места. Подобрената свързаност би предоставила възможност за развитие на икономиката в селските райони, създаване на по-добра среда за живот и работа и смекчаване на тенденцията за обезлюдяване на тези райони.</w:t>
            </w:r>
          </w:p>
        </w:tc>
        <w:tc>
          <w:tcPr>
            <w:tcW w:w="257" w:type="pct"/>
            <w:shd w:val="clear" w:color="auto" w:fill="auto"/>
            <w:vAlign w:val="center"/>
          </w:tcPr>
          <w:p w:rsidR="002E5378" w:rsidRPr="00DC3D09" w:rsidRDefault="002E5378" w:rsidP="000B0F93">
            <w:pPr>
              <w:spacing w:after="0" w:line="240" w:lineRule="auto"/>
              <w:ind w:left="-109"/>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Подбор на проектни предложения</w:t>
            </w:r>
          </w:p>
        </w:tc>
        <w:tc>
          <w:tcPr>
            <w:tcW w:w="299"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256" w:type="pct"/>
            <w:shd w:val="clear" w:color="auto" w:fill="auto"/>
            <w:vAlign w:val="center"/>
          </w:tcPr>
          <w:p w:rsidR="002E5378" w:rsidRPr="00DC3D09" w:rsidRDefault="002E5378" w:rsidP="000B0F93">
            <w:pPr>
              <w:spacing w:after="0" w:line="240" w:lineRule="auto"/>
              <w:ind w:left="-34"/>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левовата равностойност на 50 000 000 евро</w:t>
            </w:r>
          </w:p>
        </w:tc>
        <w:tc>
          <w:tcPr>
            <w:tcW w:w="436"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Общини за инвестиции на територията на селските райони в Република България.</w:t>
            </w:r>
          </w:p>
        </w:tc>
        <w:tc>
          <w:tcPr>
            <w:tcW w:w="543"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Строителство, реконструкция и/или рехабилитация на съществуващи общински пътища и съоръженията и принадлежностите към тях.</w:t>
            </w:r>
          </w:p>
        </w:tc>
        <w:tc>
          <w:tcPr>
            <w:tcW w:w="880"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Допустими за подпомагане са следните разходи:</w:t>
            </w:r>
          </w:p>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1. За строителство, реконструкция и/или рехабилитация, и съоръжения и принадлежности към тях, които са:</w:t>
            </w:r>
          </w:p>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а) разходи, свързани с прякото изпълнение на СМР;</w:t>
            </w:r>
          </w:p>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б) непредвидени разходи.</w:t>
            </w:r>
          </w:p>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2. Свързани с проекта, в това число разходи за хонорари за архитекти, инженери и консултанти, анализ „разходи – ползи“ (финансов анализ), консултации за икономическа и екологична устойчивост на проекта, извършени както в процеса на подготовка на проекта преди подаване на проектното предложение, така и по време на неговото изпълнение.</w:t>
            </w:r>
          </w:p>
        </w:tc>
        <w:tc>
          <w:tcPr>
            <w:tcW w:w="307"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100%</w:t>
            </w:r>
          </w:p>
        </w:tc>
        <w:tc>
          <w:tcPr>
            <w:tcW w:w="268" w:type="pct"/>
            <w:shd w:val="clear" w:color="auto" w:fill="auto"/>
            <w:vAlign w:val="center"/>
          </w:tcPr>
          <w:p w:rsidR="002E5378" w:rsidRPr="00830888" w:rsidRDefault="002E5378" w:rsidP="000B0F93">
            <w:pPr>
              <w:spacing w:after="0" w:line="240" w:lineRule="auto"/>
              <w:jc w:val="center"/>
              <w:rPr>
                <w:rFonts w:ascii="Times New Roman" w:hAnsi="Times New Roman" w:cs="Times New Roman"/>
                <w:color w:val="C00000"/>
                <w:sz w:val="16"/>
                <w:szCs w:val="16"/>
                <w:lang w:val="bg-BG"/>
              </w:rPr>
            </w:pPr>
            <w:r w:rsidRPr="00610B51">
              <w:rPr>
                <w:rFonts w:ascii="Times New Roman" w:hAnsi="Times New Roman" w:cs="Times New Roman"/>
                <w:sz w:val="16"/>
                <w:szCs w:val="16"/>
                <w:lang w:val="bg-BG"/>
              </w:rPr>
              <w:t>Юли</w:t>
            </w:r>
          </w:p>
        </w:tc>
        <w:tc>
          <w:tcPr>
            <w:tcW w:w="254" w:type="pct"/>
            <w:shd w:val="clear" w:color="auto" w:fill="auto"/>
            <w:vAlign w:val="center"/>
          </w:tcPr>
          <w:p w:rsidR="00830888" w:rsidRPr="00830888" w:rsidRDefault="00C92CF6" w:rsidP="000B0F93">
            <w:pPr>
              <w:spacing w:after="0" w:line="240" w:lineRule="auto"/>
              <w:ind w:left="-107"/>
              <w:jc w:val="center"/>
              <w:rPr>
                <w:rFonts w:ascii="Times New Roman" w:hAnsi="Times New Roman" w:cs="Times New Roman"/>
                <w:color w:val="C00000"/>
                <w:sz w:val="16"/>
                <w:szCs w:val="16"/>
                <w:lang w:val="bg-BG"/>
              </w:rPr>
            </w:pPr>
            <w:r w:rsidRPr="00C92CF6">
              <w:rPr>
                <w:rFonts w:ascii="Times New Roman" w:hAnsi="Times New Roman" w:cs="Times New Roman"/>
                <w:sz w:val="16"/>
                <w:szCs w:val="16"/>
                <w:lang w:val="bg-BG"/>
              </w:rPr>
              <w:t>Ноември</w:t>
            </w:r>
          </w:p>
        </w:tc>
        <w:tc>
          <w:tcPr>
            <w:tcW w:w="170" w:type="pct"/>
            <w:shd w:val="clear" w:color="auto" w:fill="auto"/>
            <w:vAlign w:val="center"/>
          </w:tcPr>
          <w:p w:rsidR="002E5378" w:rsidRPr="00DC3D09" w:rsidRDefault="002E5378" w:rsidP="000B0F93">
            <w:pPr>
              <w:spacing w:after="0" w:line="240" w:lineRule="auto"/>
              <w:ind w:left="-102" w:right="-146"/>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ind w:left="-102" w:right="-146"/>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Непр.</w:t>
            </w:r>
          </w:p>
        </w:tc>
        <w:tc>
          <w:tcPr>
            <w:tcW w:w="210"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левовата равностойност на 1 500 000 евро</w:t>
            </w:r>
          </w:p>
        </w:tc>
      </w:tr>
      <w:tr w:rsidR="002E5378" w:rsidRPr="00DC3D09" w:rsidTr="000B0F93">
        <w:tc>
          <w:tcPr>
            <w:tcW w:w="112"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7.</w:t>
            </w:r>
          </w:p>
        </w:tc>
        <w:tc>
          <w:tcPr>
            <w:tcW w:w="271"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Подмярка 7.2. „Инвестиции в създаването, подобряването или разширяването на всички видове малка по мащаби инфраструктура“</w:t>
            </w:r>
          </w:p>
        </w:tc>
        <w:tc>
          <w:tcPr>
            <w:tcW w:w="399"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Финансирането на проекти за водоснабдителни системи и съоръжения в агломерации с под 2000 е.ж. в селските райони ще подобри достъпа до качествена и чиста питейна вода в малките населени места в селските райони. Подобрената водоснабдителна инфраструктура би предоставила възможност за развитие на икономиката в селските райони, създаване на по-добра среда за живот и работа и смекчаване на тенденцията за обезлюдяване на тези райони.</w:t>
            </w:r>
          </w:p>
        </w:tc>
        <w:tc>
          <w:tcPr>
            <w:tcW w:w="257" w:type="pct"/>
            <w:shd w:val="clear" w:color="auto" w:fill="auto"/>
            <w:vAlign w:val="center"/>
          </w:tcPr>
          <w:p w:rsidR="002E5378" w:rsidRPr="00DC3D09" w:rsidRDefault="002E5378" w:rsidP="000B0F93">
            <w:pPr>
              <w:spacing w:after="0" w:line="240" w:lineRule="auto"/>
              <w:ind w:left="-109"/>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Подбор на проектни предложения</w:t>
            </w:r>
          </w:p>
        </w:tc>
        <w:tc>
          <w:tcPr>
            <w:tcW w:w="299"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256" w:type="pct"/>
            <w:shd w:val="clear" w:color="auto" w:fill="auto"/>
            <w:vAlign w:val="center"/>
          </w:tcPr>
          <w:p w:rsidR="002E5378" w:rsidRPr="00DC3D09" w:rsidRDefault="002E5378" w:rsidP="000B0F93">
            <w:pPr>
              <w:spacing w:after="0" w:line="240" w:lineRule="auto"/>
              <w:ind w:left="-34"/>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левовата равностойност на 50 000 000 евро</w:t>
            </w:r>
          </w:p>
        </w:tc>
        <w:tc>
          <w:tcPr>
            <w:tcW w:w="436"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Общини от селските райони в Република България, за инвестиции, които се осъществяват се на територия на агломерации под 2000 е.ж., и са обслужвани от консолидирани ВиК оператори.</w:t>
            </w:r>
          </w:p>
        </w:tc>
        <w:tc>
          <w:tcPr>
            <w:tcW w:w="543"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Изграждане, реконструкция и/или рехабилитация на водоснабдителни системи и съоръжения в агломерации с под 2000 е.ж. в селските райони.</w:t>
            </w:r>
          </w:p>
        </w:tc>
        <w:tc>
          <w:tcPr>
            <w:tcW w:w="880" w:type="pct"/>
            <w:shd w:val="clear" w:color="auto" w:fill="auto"/>
            <w:vAlign w:val="center"/>
          </w:tcPr>
          <w:p w:rsidR="002E5378" w:rsidRPr="00DC3D09" w:rsidRDefault="002E5378" w:rsidP="000B0F93">
            <w:pPr>
              <w:spacing w:after="0" w:line="240" w:lineRule="auto"/>
              <w:ind w:lef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Допустими за подпомагане са следните разходи:</w:t>
            </w:r>
          </w:p>
          <w:p w:rsidR="002E5378" w:rsidRPr="00DC3D09" w:rsidRDefault="002E5378" w:rsidP="000B0F93">
            <w:pPr>
              <w:spacing w:after="0" w:line="240" w:lineRule="auto"/>
              <w:ind w:lef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1. За изграждане, реконструкция и/или рехабилитация на водоснабдителни системи и съоръжения, които са:</w:t>
            </w:r>
          </w:p>
          <w:p w:rsidR="002E5378" w:rsidRPr="00DC3D09" w:rsidRDefault="002E5378" w:rsidP="000B0F93">
            <w:pPr>
              <w:spacing w:after="0" w:line="240" w:lineRule="auto"/>
              <w:ind w:lef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а) разходи, свързани с прякото изпълнение на СМР;</w:t>
            </w:r>
          </w:p>
          <w:p w:rsidR="002E5378" w:rsidRPr="00DC3D09" w:rsidRDefault="002E5378" w:rsidP="000B0F93">
            <w:pPr>
              <w:spacing w:after="0" w:line="240" w:lineRule="auto"/>
              <w:ind w:lef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б) непредвидени разходи.</w:t>
            </w:r>
          </w:p>
          <w:p w:rsidR="002E5378" w:rsidRPr="00DC3D09" w:rsidRDefault="002E5378" w:rsidP="000B0F93">
            <w:pPr>
              <w:spacing w:after="0" w:line="240" w:lineRule="auto"/>
              <w:ind w:lef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2. Свързани с проекта, в това число разходи за хонорари за архитекти, инженери и консултанти, анализ „разходи – ползи“ (финансов анализ), консултации за икономическа и екологична устойчивост на проекта, извършени както в процеса на подготовка на проекта преди подаване на проектното предложение, така и по време на неговото изпълнение</w:t>
            </w:r>
          </w:p>
        </w:tc>
        <w:tc>
          <w:tcPr>
            <w:tcW w:w="307"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100 %</w:t>
            </w:r>
          </w:p>
        </w:tc>
        <w:tc>
          <w:tcPr>
            <w:tcW w:w="268" w:type="pct"/>
            <w:shd w:val="clear" w:color="auto" w:fill="auto"/>
            <w:vAlign w:val="center"/>
          </w:tcPr>
          <w:p w:rsidR="002E5378" w:rsidRPr="00610B51" w:rsidRDefault="002E5378" w:rsidP="000B0F93">
            <w:pPr>
              <w:spacing w:after="0" w:line="240" w:lineRule="auto"/>
              <w:jc w:val="center"/>
              <w:rPr>
                <w:rFonts w:ascii="Times New Roman" w:hAnsi="Times New Roman" w:cs="Times New Roman"/>
                <w:color w:val="C00000"/>
                <w:sz w:val="16"/>
                <w:szCs w:val="16"/>
                <w:lang w:val="bg-BG"/>
              </w:rPr>
            </w:pPr>
            <w:r w:rsidRPr="00610B51">
              <w:rPr>
                <w:rFonts w:ascii="Times New Roman" w:hAnsi="Times New Roman" w:cs="Times New Roman"/>
                <w:sz w:val="16"/>
                <w:szCs w:val="16"/>
                <w:lang w:val="bg-BG"/>
              </w:rPr>
              <w:t>Юли</w:t>
            </w:r>
          </w:p>
        </w:tc>
        <w:tc>
          <w:tcPr>
            <w:tcW w:w="254" w:type="pct"/>
            <w:shd w:val="clear" w:color="auto" w:fill="auto"/>
            <w:vAlign w:val="center"/>
          </w:tcPr>
          <w:p w:rsidR="00610B51" w:rsidRPr="00610B51" w:rsidRDefault="00C92CF6" w:rsidP="000B0F93">
            <w:pPr>
              <w:spacing w:after="0" w:line="240" w:lineRule="auto"/>
              <w:ind w:left="-107"/>
              <w:jc w:val="center"/>
              <w:rPr>
                <w:rFonts w:ascii="Times New Roman" w:hAnsi="Times New Roman" w:cs="Times New Roman"/>
                <w:color w:val="C00000"/>
                <w:sz w:val="16"/>
                <w:szCs w:val="16"/>
                <w:lang w:val="bg-BG"/>
              </w:rPr>
            </w:pPr>
            <w:r w:rsidRPr="00C92CF6">
              <w:rPr>
                <w:rFonts w:ascii="Times New Roman" w:hAnsi="Times New Roman" w:cs="Times New Roman"/>
                <w:sz w:val="16"/>
                <w:szCs w:val="16"/>
                <w:lang w:val="bg-BG"/>
              </w:rPr>
              <w:t>Ноември</w:t>
            </w:r>
          </w:p>
        </w:tc>
        <w:tc>
          <w:tcPr>
            <w:tcW w:w="170" w:type="pct"/>
            <w:shd w:val="clear" w:color="auto" w:fill="auto"/>
            <w:vAlign w:val="center"/>
          </w:tcPr>
          <w:p w:rsidR="002E5378" w:rsidRPr="00DC3D09" w:rsidRDefault="002E5378" w:rsidP="000B0F93">
            <w:pPr>
              <w:spacing w:after="0" w:line="240" w:lineRule="auto"/>
              <w:ind w:left="-102" w:right="-146"/>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ind w:left="-102" w:right="-146"/>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Непр.</w:t>
            </w:r>
          </w:p>
        </w:tc>
        <w:tc>
          <w:tcPr>
            <w:tcW w:w="210"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левовата равностойност на 1 500 000 евро.</w:t>
            </w:r>
          </w:p>
        </w:tc>
      </w:tr>
      <w:tr w:rsidR="002E5378" w:rsidRPr="00DC3D09" w:rsidTr="000B0F93">
        <w:tc>
          <w:tcPr>
            <w:tcW w:w="112"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8.</w:t>
            </w:r>
          </w:p>
        </w:tc>
        <w:tc>
          <w:tcPr>
            <w:tcW w:w="271"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Подмярка 7.2. „Инвестиции в създаването, подобряването или разширяването на всички видове малка по мащаби инфраструктура“</w:t>
            </w:r>
          </w:p>
        </w:tc>
        <w:tc>
          <w:tcPr>
            <w:tcW w:w="399"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Финансирането на проекти за улична инфраструктура ще подобри транспортната свързаност и достъпност на по-отдалечените населени места. Подобрената свързаност би предоставила възможност за развитие на икономиката в селските райони, създаване на по-добра среда за живот и работа и смекчаване на тенденцията за обезлюдяване на тези райони.</w:t>
            </w:r>
          </w:p>
        </w:tc>
        <w:tc>
          <w:tcPr>
            <w:tcW w:w="257" w:type="pct"/>
            <w:shd w:val="clear" w:color="auto" w:fill="auto"/>
            <w:vAlign w:val="center"/>
          </w:tcPr>
          <w:p w:rsidR="002E5378" w:rsidRPr="00DC3D09" w:rsidRDefault="002E5378" w:rsidP="000B0F93">
            <w:pPr>
              <w:spacing w:after="0" w:line="240" w:lineRule="auto"/>
              <w:ind w:left="-109"/>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Подбор на проектни предложения</w:t>
            </w:r>
          </w:p>
        </w:tc>
        <w:tc>
          <w:tcPr>
            <w:tcW w:w="299"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256" w:type="pct"/>
            <w:shd w:val="clear" w:color="auto" w:fill="auto"/>
            <w:vAlign w:val="center"/>
          </w:tcPr>
          <w:p w:rsidR="002E5378" w:rsidRPr="00DC3D09" w:rsidRDefault="002E5378" w:rsidP="000B0F93">
            <w:pPr>
              <w:spacing w:after="0" w:line="240" w:lineRule="auto"/>
              <w:ind w:left="-34"/>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левовата равностойност на 35 000 000 евро</w:t>
            </w:r>
          </w:p>
        </w:tc>
        <w:tc>
          <w:tcPr>
            <w:tcW w:w="436"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Общини за инвестиции на територията на селските райони в Република България.</w:t>
            </w:r>
          </w:p>
        </w:tc>
        <w:tc>
          <w:tcPr>
            <w:tcW w:w="543"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Строителство, реконструкция и/или рехабилитация на нови и съществуващи улици и тротоари и съоръженията и принадлежностите към тях.</w:t>
            </w:r>
          </w:p>
        </w:tc>
        <w:tc>
          <w:tcPr>
            <w:tcW w:w="880"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Допустими за подпомагане са следните разходи:</w:t>
            </w:r>
          </w:p>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1. За строителство, реконструкция и/или рехабилитация, и съоръжения и принадлежности към тях, които са:</w:t>
            </w:r>
          </w:p>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а) разходи, свързани с прякото изпълнение на СМР;</w:t>
            </w:r>
          </w:p>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б) непредвидени разходи;</w:t>
            </w:r>
          </w:p>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2. Свързани с проекта, в това число разходи за хонорари за архитекти, инженери и консултанти, консултации за икономическа и екологична устойчивост на проекта, извършени както в процеса на подготовка на проекта преди подаване на проектното предложение, така и по време на неговото изпълнение.</w:t>
            </w:r>
          </w:p>
          <w:p w:rsidR="002E5378" w:rsidRPr="00DC3D09" w:rsidRDefault="002E5378" w:rsidP="000B0F93">
            <w:pPr>
              <w:spacing w:after="0" w:line="240" w:lineRule="auto"/>
              <w:ind w:left="-108"/>
              <w:jc w:val="center"/>
              <w:rPr>
                <w:rFonts w:ascii="Times New Roman" w:hAnsi="Times New Roman" w:cs="Times New Roman"/>
                <w:sz w:val="16"/>
                <w:szCs w:val="16"/>
                <w:lang w:val="bg-BG"/>
              </w:rPr>
            </w:pPr>
          </w:p>
        </w:tc>
        <w:tc>
          <w:tcPr>
            <w:tcW w:w="307"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100 %</w:t>
            </w:r>
          </w:p>
        </w:tc>
        <w:tc>
          <w:tcPr>
            <w:tcW w:w="268" w:type="pct"/>
            <w:shd w:val="clear" w:color="auto" w:fill="auto"/>
            <w:vAlign w:val="center"/>
          </w:tcPr>
          <w:p w:rsidR="002E5378" w:rsidRPr="00610B51" w:rsidRDefault="002E5378" w:rsidP="000B0F93">
            <w:pPr>
              <w:spacing w:after="0" w:line="240" w:lineRule="auto"/>
              <w:jc w:val="center"/>
              <w:rPr>
                <w:rFonts w:ascii="Times New Roman" w:hAnsi="Times New Roman" w:cs="Times New Roman"/>
                <w:color w:val="C00000"/>
                <w:sz w:val="16"/>
                <w:szCs w:val="16"/>
                <w:lang w:val="bg-BG"/>
              </w:rPr>
            </w:pPr>
            <w:r w:rsidRPr="00610B51">
              <w:rPr>
                <w:rFonts w:ascii="Times New Roman" w:hAnsi="Times New Roman" w:cs="Times New Roman"/>
                <w:sz w:val="16"/>
                <w:szCs w:val="16"/>
                <w:lang w:val="bg-BG"/>
              </w:rPr>
              <w:t>Юли</w:t>
            </w:r>
          </w:p>
        </w:tc>
        <w:tc>
          <w:tcPr>
            <w:tcW w:w="254" w:type="pct"/>
            <w:shd w:val="clear" w:color="auto" w:fill="auto"/>
            <w:vAlign w:val="center"/>
          </w:tcPr>
          <w:p w:rsidR="002E5378" w:rsidRPr="00610B51" w:rsidRDefault="00C92CF6" w:rsidP="000B0F93">
            <w:pPr>
              <w:spacing w:after="0" w:line="240" w:lineRule="auto"/>
              <w:ind w:left="-107"/>
              <w:jc w:val="center"/>
              <w:rPr>
                <w:rFonts w:ascii="Times New Roman" w:hAnsi="Times New Roman" w:cs="Times New Roman"/>
                <w:color w:val="C00000"/>
                <w:sz w:val="16"/>
                <w:szCs w:val="16"/>
                <w:lang w:val="bg-BG"/>
              </w:rPr>
            </w:pPr>
            <w:r w:rsidRPr="00C92CF6">
              <w:rPr>
                <w:rFonts w:ascii="Times New Roman" w:hAnsi="Times New Roman" w:cs="Times New Roman"/>
                <w:sz w:val="16"/>
                <w:szCs w:val="16"/>
                <w:lang w:val="bg-BG"/>
              </w:rPr>
              <w:t>Ноември</w:t>
            </w:r>
          </w:p>
        </w:tc>
        <w:tc>
          <w:tcPr>
            <w:tcW w:w="170" w:type="pct"/>
            <w:shd w:val="clear" w:color="auto" w:fill="auto"/>
            <w:vAlign w:val="center"/>
          </w:tcPr>
          <w:p w:rsidR="002E5378" w:rsidRPr="00DC3D09" w:rsidRDefault="002E5378" w:rsidP="000B0F93">
            <w:pPr>
              <w:spacing w:after="0" w:line="240" w:lineRule="auto"/>
              <w:ind w:left="-102" w:right="-146"/>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ind w:left="-102" w:right="-146"/>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Непр.</w:t>
            </w:r>
          </w:p>
        </w:tc>
        <w:tc>
          <w:tcPr>
            <w:tcW w:w="210"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левовата равностойност на 1 000000 евро</w:t>
            </w:r>
          </w:p>
        </w:tc>
      </w:tr>
      <w:tr w:rsidR="002E5378" w:rsidRPr="00DC3D09" w:rsidTr="000B0F93">
        <w:tc>
          <w:tcPr>
            <w:tcW w:w="112"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9.</w:t>
            </w:r>
          </w:p>
        </w:tc>
        <w:tc>
          <w:tcPr>
            <w:tcW w:w="271" w:type="pct"/>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Подмярка 7.2. „Инвестиции в създаването, подобряването или разширяването на всички видове малка по мащаби инфраструктура“</w:t>
            </w:r>
          </w:p>
        </w:tc>
        <w:tc>
          <w:tcPr>
            <w:tcW w:w="399"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Много обществени сгради в селските райони не отговарят на минималните изисквания за енергийна ефективност. Подобрената енергийна ефективност на сгради за обществено обслужване би предоставило възможност за развитие на икономиката в селските райони, създаване на по-добра среда за работа и смекчаване на тенденцията за обезлюдяване на тези райони</w:t>
            </w:r>
          </w:p>
        </w:tc>
        <w:tc>
          <w:tcPr>
            <w:tcW w:w="257" w:type="pct"/>
            <w:shd w:val="clear" w:color="auto" w:fill="auto"/>
            <w:vAlign w:val="center"/>
          </w:tcPr>
          <w:p w:rsidR="002E5378" w:rsidRPr="00DC3D09" w:rsidRDefault="002E5378" w:rsidP="000B0F93">
            <w:pPr>
              <w:spacing w:after="0" w:line="240" w:lineRule="auto"/>
              <w:ind w:left="-109"/>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Подбор на проектни предложения</w:t>
            </w:r>
          </w:p>
        </w:tc>
        <w:tc>
          <w:tcPr>
            <w:tcW w:w="299"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256" w:type="pct"/>
            <w:shd w:val="clear" w:color="auto" w:fill="auto"/>
            <w:vAlign w:val="center"/>
          </w:tcPr>
          <w:p w:rsidR="002E5378" w:rsidRPr="00DC3D09" w:rsidRDefault="002E5378" w:rsidP="000B0F93">
            <w:pPr>
              <w:spacing w:after="0" w:line="240" w:lineRule="auto"/>
              <w:ind w:left="-34"/>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левовата равностойност на 15 000 000 евро</w:t>
            </w:r>
          </w:p>
        </w:tc>
        <w:tc>
          <w:tcPr>
            <w:tcW w:w="436"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Общини за инвестиции на територията на селските райони в Република България.</w:t>
            </w:r>
          </w:p>
        </w:tc>
        <w:tc>
          <w:tcPr>
            <w:tcW w:w="543"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tc>
        <w:tc>
          <w:tcPr>
            <w:tcW w:w="880" w:type="pct"/>
            <w:shd w:val="clear" w:color="auto" w:fill="auto"/>
            <w:vAlign w:val="center"/>
          </w:tcPr>
          <w:p w:rsidR="002E5378" w:rsidRPr="00DC3D09" w:rsidRDefault="002E5378" w:rsidP="000B0F93">
            <w:pPr>
              <w:spacing w:after="0" w:line="240" w:lineRule="auto"/>
              <w:ind w:lef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Допустими за подпомагане са следните разходи:</w:t>
            </w:r>
          </w:p>
          <w:p w:rsidR="002E5378" w:rsidRPr="00DC3D09" w:rsidRDefault="002E5378" w:rsidP="000B0F93">
            <w:pPr>
              <w:spacing w:after="0" w:line="240" w:lineRule="auto"/>
              <w:ind w:lef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1. За реконструкция ремонт оборудване и/или обзавеждане на сгради и/или помещения и/или друга недвижима собственост, които са:</w:t>
            </w:r>
          </w:p>
          <w:p w:rsidR="002E5378" w:rsidRPr="00DC3D09" w:rsidRDefault="002E5378" w:rsidP="000B0F93">
            <w:pPr>
              <w:spacing w:after="0" w:line="240" w:lineRule="auto"/>
              <w:ind w:lef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а) разходи, свързани с прякото изпълнение на СМР;</w:t>
            </w:r>
          </w:p>
          <w:p w:rsidR="002E5378" w:rsidRPr="00DC3D09" w:rsidRDefault="002E5378" w:rsidP="000B0F93">
            <w:pPr>
              <w:spacing w:after="0" w:line="240" w:lineRule="auto"/>
              <w:ind w:lef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б) непредвидени разходи.</w:t>
            </w:r>
          </w:p>
          <w:p w:rsidR="002E5378" w:rsidRPr="00DC3D09" w:rsidRDefault="002E5378" w:rsidP="000B0F93">
            <w:pPr>
              <w:spacing w:after="0" w:line="240" w:lineRule="auto"/>
              <w:ind w:lef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2. За закупуване на оборудване и/или обзавеждане до пазарната им стойност, включително чрез финансов лизинг.</w:t>
            </w:r>
          </w:p>
          <w:p w:rsidR="002E5378" w:rsidRPr="00DC3D09" w:rsidRDefault="002E5378" w:rsidP="000B0F93">
            <w:pPr>
              <w:spacing w:after="0" w:line="240" w:lineRule="auto"/>
              <w:ind w:lef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3. За придобиване на компютърен софтуер, патентни и авторски права, регистрация на търговски марки, до пазарната им стойност.</w:t>
            </w:r>
          </w:p>
          <w:p w:rsidR="002E5378" w:rsidRPr="00DC3D09" w:rsidRDefault="002E5378" w:rsidP="000B0F93">
            <w:pPr>
              <w:spacing w:after="0" w:line="240" w:lineRule="auto"/>
              <w:ind w:left="-10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4. Свързани с проекта, в това число разходи за хонорари за архитекти, инженери и консултанти, консултации за икономическа и екологична устойчивост на проекта, енергийно обследване, извършени както в процеса на подготовка на проекта преди подаване на проектното предложение, така и по време на неговото изпълнение.</w:t>
            </w:r>
          </w:p>
        </w:tc>
        <w:tc>
          <w:tcPr>
            <w:tcW w:w="307"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100 %</w:t>
            </w:r>
          </w:p>
        </w:tc>
        <w:tc>
          <w:tcPr>
            <w:tcW w:w="268"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Юли</w:t>
            </w:r>
          </w:p>
        </w:tc>
        <w:tc>
          <w:tcPr>
            <w:tcW w:w="254" w:type="pct"/>
            <w:shd w:val="clear" w:color="auto" w:fill="auto"/>
            <w:vAlign w:val="center"/>
          </w:tcPr>
          <w:p w:rsidR="002E5378" w:rsidRPr="00DC3D09" w:rsidRDefault="00C92CF6" w:rsidP="000B0F93">
            <w:pPr>
              <w:spacing w:after="0" w:line="240" w:lineRule="auto"/>
              <w:ind w:left="-107"/>
              <w:jc w:val="center"/>
              <w:rPr>
                <w:rFonts w:ascii="Times New Roman" w:hAnsi="Times New Roman" w:cs="Times New Roman"/>
                <w:sz w:val="16"/>
                <w:szCs w:val="16"/>
                <w:lang w:val="bg-BG"/>
              </w:rPr>
            </w:pPr>
            <w:r>
              <w:rPr>
                <w:rFonts w:ascii="Times New Roman" w:hAnsi="Times New Roman" w:cs="Times New Roman"/>
                <w:sz w:val="16"/>
                <w:szCs w:val="16"/>
                <w:lang w:val="bg-BG"/>
              </w:rPr>
              <w:t>Ноември</w:t>
            </w:r>
          </w:p>
        </w:tc>
        <w:tc>
          <w:tcPr>
            <w:tcW w:w="170" w:type="pct"/>
            <w:shd w:val="clear" w:color="auto" w:fill="auto"/>
            <w:vAlign w:val="center"/>
          </w:tcPr>
          <w:p w:rsidR="002E5378" w:rsidRPr="00DC3D09" w:rsidRDefault="002E5378" w:rsidP="000B0F93">
            <w:pPr>
              <w:spacing w:after="0" w:line="240" w:lineRule="auto"/>
              <w:ind w:left="-102" w:right="-146"/>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ind w:left="-102" w:right="-146"/>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Непр.</w:t>
            </w:r>
          </w:p>
        </w:tc>
        <w:tc>
          <w:tcPr>
            <w:tcW w:w="210" w:type="pct"/>
            <w:shd w:val="clear" w:color="auto" w:fill="auto"/>
            <w:vAlign w:val="center"/>
          </w:tcPr>
          <w:p w:rsidR="002E5378" w:rsidRPr="00DC3D09" w:rsidRDefault="002E5378" w:rsidP="000B0F93">
            <w:pPr>
              <w:spacing w:after="0" w:line="240" w:lineRule="auto"/>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левовата равностойност на 500 000 евро</w:t>
            </w:r>
          </w:p>
        </w:tc>
      </w:tr>
      <w:tr w:rsidR="002E5378" w:rsidRPr="00DC3D09" w:rsidTr="000B0F93">
        <w:trPr>
          <w:trHeight w:val="1381"/>
        </w:trPr>
        <w:tc>
          <w:tcPr>
            <w:tcW w:w="112" w:type="pct"/>
            <w:shd w:val="clear" w:color="auto" w:fill="auto"/>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10.</w:t>
            </w:r>
          </w:p>
        </w:tc>
        <w:tc>
          <w:tcPr>
            <w:tcW w:w="271"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Подмярка 16.4 „Подкрепа за хоризонтално и вертикално сътрудничество между участниците във веригата на доставки“</w:t>
            </w:r>
          </w:p>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p>
        </w:tc>
        <w:tc>
          <w:tcPr>
            <w:tcW w:w="399"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Подкрепата се предоставя за създаване и развитие на къси вериги на доставки и за създаване и развитие на местни пазари, съгласно определенията в подмярката.</w:t>
            </w:r>
          </w:p>
        </w:tc>
        <w:tc>
          <w:tcPr>
            <w:tcW w:w="257"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Подбор на проектни предложения</w:t>
            </w:r>
          </w:p>
        </w:tc>
        <w:tc>
          <w:tcPr>
            <w:tcW w:w="299"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256"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В зависимост от остатъчния бюджет след приключване обработката на проектните предложения, постъпили в периодите на прием по подмерки 16.1 и 16.4, но не повече от 4 000 000 млн. евро</w:t>
            </w:r>
          </w:p>
        </w:tc>
        <w:tc>
          <w:tcPr>
            <w:tcW w:w="436"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Организации, съставени от земеделски стопани, МСП или търговци на дребно, които извършват своите дейности в обхвата на конкретна къса верига на доставки или в обхвата на конкретен местен пазар.</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Организациите могат да бъдат юридически лица по Търговския закон или обединения по Закона за задълженията и договорите</w:t>
            </w:r>
          </w:p>
        </w:tc>
        <w:tc>
          <w:tcPr>
            <w:tcW w:w="543"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Предоставя се помощ и за дейности за функциониране и популяризиране на къси вериги на доставки и на местни пазари.</w:t>
            </w:r>
          </w:p>
        </w:tc>
        <w:tc>
          <w:tcPr>
            <w:tcW w:w="88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Текущи разходи във връзка със сътрудничеството;</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Разходи за популяризиране на късата верига или местния пазар;</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Преки разходи за изпълнение на проект за сътрудничество, включително разходи за инвестиции</w:t>
            </w:r>
          </w:p>
        </w:tc>
        <w:tc>
          <w:tcPr>
            <w:tcW w:w="307"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50 %</w:t>
            </w:r>
          </w:p>
        </w:tc>
        <w:tc>
          <w:tcPr>
            <w:tcW w:w="268"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Септември</w:t>
            </w:r>
          </w:p>
        </w:tc>
        <w:tc>
          <w:tcPr>
            <w:tcW w:w="254" w:type="pct"/>
            <w:shd w:val="clear" w:color="auto" w:fill="auto"/>
            <w:vAlign w:val="center"/>
          </w:tcPr>
          <w:p w:rsidR="00486739" w:rsidRDefault="00486739" w:rsidP="000B0F93">
            <w:pPr>
              <w:spacing w:after="0" w:line="240" w:lineRule="auto"/>
              <w:ind w:left="-112" w:right="-88"/>
              <w:jc w:val="center"/>
              <w:rPr>
                <w:rFonts w:ascii="Times New Roman" w:hAnsi="Times New Roman" w:cs="Times New Roman"/>
                <w:sz w:val="16"/>
                <w:szCs w:val="16"/>
                <w:lang w:val="bg-BG"/>
              </w:rPr>
            </w:pPr>
          </w:p>
          <w:p w:rsidR="002E5378" w:rsidRPr="00486739" w:rsidRDefault="002E5378" w:rsidP="000B0F93">
            <w:pPr>
              <w:spacing w:after="0" w:line="240" w:lineRule="auto"/>
              <w:ind w:left="-112" w:right="-88"/>
              <w:jc w:val="center"/>
              <w:rPr>
                <w:rFonts w:ascii="Times New Roman" w:hAnsi="Times New Roman" w:cs="Times New Roman"/>
                <w:sz w:val="16"/>
                <w:szCs w:val="16"/>
                <w:lang w:val="bg-BG"/>
              </w:rPr>
            </w:pPr>
            <w:r w:rsidRPr="00486739">
              <w:rPr>
                <w:rFonts w:ascii="Times New Roman" w:hAnsi="Times New Roman" w:cs="Times New Roman"/>
                <w:sz w:val="16"/>
                <w:szCs w:val="16"/>
                <w:lang w:val="bg-BG"/>
              </w:rPr>
              <w:t>Октомври</w:t>
            </w:r>
          </w:p>
          <w:p w:rsidR="00610B51" w:rsidRPr="00DC3D09" w:rsidRDefault="00610B51" w:rsidP="000B0F93">
            <w:pPr>
              <w:spacing w:after="0" w:line="240" w:lineRule="auto"/>
              <w:ind w:left="-112" w:right="-88"/>
              <w:jc w:val="center"/>
              <w:rPr>
                <w:rFonts w:ascii="Times New Roman" w:hAnsi="Times New Roman" w:cs="Times New Roman"/>
                <w:sz w:val="16"/>
                <w:szCs w:val="16"/>
                <w:lang w:val="bg-BG"/>
              </w:rPr>
            </w:pPr>
          </w:p>
        </w:tc>
        <w:tc>
          <w:tcPr>
            <w:tcW w:w="17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Непр.</w:t>
            </w:r>
          </w:p>
        </w:tc>
        <w:tc>
          <w:tcPr>
            <w:tcW w:w="21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Максимално допустимият размер на помощта за периода на прилагане на програмата е  500 000 евро</w:t>
            </w:r>
          </w:p>
        </w:tc>
      </w:tr>
      <w:tr w:rsidR="002E5378" w:rsidRPr="00DC3D09" w:rsidTr="000B0F93">
        <w:trPr>
          <w:trHeight w:val="1381"/>
        </w:trPr>
        <w:tc>
          <w:tcPr>
            <w:tcW w:w="112" w:type="pct"/>
            <w:shd w:val="clear" w:color="auto" w:fill="auto"/>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11.</w:t>
            </w:r>
          </w:p>
        </w:tc>
        <w:tc>
          <w:tcPr>
            <w:tcW w:w="271"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Подмярка 19.1 „Помощ за подготвителни дейности“</w:t>
            </w:r>
          </w:p>
        </w:tc>
        <w:tc>
          <w:tcPr>
            <w:tcW w:w="399"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Подготовка на местните общности за прилагане на подхода ВОМР през програмен период 2021 – 2027 г.</w:t>
            </w:r>
          </w:p>
        </w:tc>
        <w:tc>
          <w:tcPr>
            <w:tcW w:w="257"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Подбор на проектни предложения</w:t>
            </w:r>
          </w:p>
        </w:tc>
        <w:tc>
          <w:tcPr>
            <w:tcW w:w="299"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256"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левовата равностойност на 3 500 000 евро</w:t>
            </w:r>
          </w:p>
        </w:tc>
        <w:tc>
          <w:tcPr>
            <w:tcW w:w="436"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1. Местни общности, които не са прилагали подхода ЛИДЕР/ВОМР в периоди 2007-2013 г. и 2014 – 2020 г. (не са изпълнявали подмерки 431-2, 431-1, 41, 19.1, 19.2 и 19.4 на  територията си).</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2. Местни инициативни групи или местни общности, прилагали подхода ЛИДЕР/ВОМР през програмни периоди 2007-2013 г. и 2014 – 2020 г. на територия или част от територия, за която се кандидатства, (изпълнявали са подмерки 431-2, 431-1, 41, 19.1, 19.2 и 19.4).</w:t>
            </w:r>
          </w:p>
        </w:tc>
        <w:tc>
          <w:tcPr>
            <w:tcW w:w="543"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Безвъзмездната финансова помощ за подпомагане на подготвителни дейности, включващи изграждането на капацитет, обучението и създаването на мрежи с цел изготвяне и изпълнение на стратегия за Водено от общностите местно развитие, включва:</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w:t>
            </w:r>
            <w:r w:rsidRPr="00DC3D09">
              <w:rPr>
                <w:rFonts w:ascii="Times New Roman" w:hAnsi="Times New Roman" w:cs="Times New Roman"/>
                <w:sz w:val="16"/>
                <w:szCs w:val="16"/>
                <w:lang w:val="bg-BG"/>
              </w:rPr>
              <w:tab/>
              <w:t>Обучение на местни заинтересовани страни;</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w:t>
            </w:r>
            <w:r w:rsidRPr="00DC3D09">
              <w:rPr>
                <w:rFonts w:ascii="Times New Roman" w:hAnsi="Times New Roman" w:cs="Times New Roman"/>
                <w:sz w:val="16"/>
                <w:szCs w:val="16"/>
                <w:lang w:val="bg-BG"/>
              </w:rPr>
              <w:tab/>
              <w:t>Проучвания в съответната територия;</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w:t>
            </w:r>
            <w:r w:rsidRPr="00DC3D09">
              <w:rPr>
                <w:rFonts w:ascii="Times New Roman" w:hAnsi="Times New Roman" w:cs="Times New Roman"/>
                <w:sz w:val="16"/>
                <w:szCs w:val="16"/>
                <w:lang w:val="bg-BG"/>
              </w:rPr>
              <w:tab/>
              <w:t>Изготвяне на стратегия за Воденото от общностите местно развитие, включително консултации със заинтересованите страни за целите на подготовката на стратегията;</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w:t>
            </w:r>
            <w:r w:rsidRPr="00DC3D09">
              <w:rPr>
                <w:rFonts w:ascii="Times New Roman" w:hAnsi="Times New Roman" w:cs="Times New Roman"/>
                <w:sz w:val="16"/>
                <w:szCs w:val="16"/>
                <w:lang w:val="bg-BG"/>
              </w:rPr>
              <w:tab/>
              <w:t>Дейности за координация на процеса, извършван от организацията, която кандидатства за подготвителни дейности.</w:t>
            </w:r>
          </w:p>
        </w:tc>
        <w:tc>
          <w:tcPr>
            <w:tcW w:w="88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Разходите са свързани с изготвяне на стратегия за местно развитие:</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w:t>
            </w:r>
            <w:r w:rsidRPr="00DC3D09">
              <w:rPr>
                <w:rFonts w:ascii="Times New Roman" w:hAnsi="Times New Roman" w:cs="Times New Roman"/>
                <w:sz w:val="16"/>
                <w:szCs w:val="16"/>
                <w:lang w:val="bg-BG"/>
              </w:rPr>
              <w:tab/>
              <w:t>Формиране и учредяване на публично-частно партньорство, в т.ч. разходи за правни услуги и консултации, нотариални и държавни такси, партньорски срещи;</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w:t>
            </w:r>
            <w:r w:rsidRPr="00DC3D09">
              <w:rPr>
                <w:rFonts w:ascii="Times New Roman" w:hAnsi="Times New Roman" w:cs="Times New Roman"/>
                <w:sz w:val="16"/>
                <w:szCs w:val="16"/>
                <w:lang w:val="bg-BG"/>
              </w:rPr>
              <w:tab/>
              <w:t>Популяризиране на подхода ВОМР и процеса на разработка на СМР като разходи за подготовка и провеждане на информационни кампании, изготвяне и разпространение на информационни материали, подготовка и провеждане на информационни семинари, конференции и срещи, създаване и поддържане на електронна страница, публикации в местната преса;</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w:t>
            </w:r>
            <w:r w:rsidRPr="00DC3D09">
              <w:rPr>
                <w:rFonts w:ascii="Times New Roman" w:hAnsi="Times New Roman" w:cs="Times New Roman"/>
                <w:sz w:val="16"/>
                <w:szCs w:val="16"/>
                <w:lang w:val="bg-BG"/>
              </w:rPr>
              <w:tab/>
              <w:t>Обучения за местните заинтересовани страни: екип на МИГ, местни лидери;</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w:t>
            </w:r>
            <w:r w:rsidRPr="00DC3D09">
              <w:rPr>
                <w:rFonts w:ascii="Times New Roman" w:hAnsi="Times New Roman" w:cs="Times New Roman"/>
                <w:sz w:val="16"/>
                <w:szCs w:val="16"/>
                <w:lang w:val="bg-BG"/>
              </w:rPr>
              <w:tab/>
              <w:t>Проучвания и анализи на територията;</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w:t>
            </w:r>
            <w:r w:rsidRPr="00DC3D09">
              <w:rPr>
                <w:rFonts w:ascii="Times New Roman" w:hAnsi="Times New Roman" w:cs="Times New Roman"/>
                <w:sz w:val="16"/>
                <w:szCs w:val="16"/>
                <w:lang w:val="bg-BG"/>
              </w:rPr>
              <w:tab/>
              <w:t>Разходи, свързани с подготовката на стратегия за водено от общностите местно развитие, вкл. разходи за консултиране и разходи за консултиране с местната общност във връзка с подготовката на стратегията;</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w:t>
            </w:r>
            <w:r w:rsidRPr="00DC3D09">
              <w:rPr>
                <w:rFonts w:ascii="Times New Roman" w:hAnsi="Times New Roman" w:cs="Times New Roman"/>
                <w:sz w:val="16"/>
                <w:szCs w:val="16"/>
                <w:lang w:val="bg-BG"/>
              </w:rPr>
              <w:tab/>
              <w:t>Административни разходи (оперативни разходи, разходи за възнаграждения и осигуровки и обезщетения за временна неработоспособност, дължими от работодателя, разходи за закупуване на офис техника, обзавеждане и оборудване, командировки, наем зали и др.).</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p>
        </w:tc>
        <w:tc>
          <w:tcPr>
            <w:tcW w:w="307"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100%</w:t>
            </w:r>
          </w:p>
        </w:tc>
        <w:tc>
          <w:tcPr>
            <w:tcW w:w="268"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Май</w:t>
            </w:r>
          </w:p>
        </w:tc>
        <w:tc>
          <w:tcPr>
            <w:tcW w:w="254"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Юли</w:t>
            </w:r>
          </w:p>
        </w:tc>
        <w:tc>
          <w:tcPr>
            <w:tcW w:w="17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Непр.</w:t>
            </w:r>
          </w:p>
        </w:tc>
        <w:tc>
          <w:tcPr>
            <w:tcW w:w="21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1.</w:t>
            </w:r>
            <w:r w:rsidRPr="00DC3D09">
              <w:rPr>
                <w:rFonts w:ascii="Times New Roman" w:hAnsi="Times New Roman" w:cs="Times New Roman"/>
                <w:sz w:val="16"/>
                <w:szCs w:val="16"/>
                <w:lang w:val="bg-BG"/>
              </w:rPr>
              <w:tab/>
              <w:t>До левовата равностойност на 25 000 евро за общности, прилагали подхода ВОМР;</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2.</w:t>
            </w:r>
            <w:r w:rsidRPr="00DC3D09">
              <w:rPr>
                <w:rFonts w:ascii="Times New Roman" w:hAnsi="Times New Roman" w:cs="Times New Roman"/>
                <w:sz w:val="16"/>
                <w:szCs w:val="16"/>
                <w:lang w:val="bg-BG"/>
              </w:rPr>
              <w:tab/>
              <w:t>До левовата равностойност на 30 000 евро за общности, не прилагали подхода ВОМР.</w:t>
            </w:r>
          </w:p>
        </w:tc>
      </w:tr>
      <w:tr w:rsidR="002E5378" w:rsidRPr="00DC3D09" w:rsidTr="000B0F93">
        <w:trPr>
          <w:trHeight w:val="2117"/>
        </w:trPr>
        <w:tc>
          <w:tcPr>
            <w:tcW w:w="112" w:type="pct"/>
            <w:shd w:val="clear" w:color="auto" w:fill="auto"/>
            <w:vAlign w:val="center"/>
          </w:tcPr>
          <w:p w:rsidR="002E5378" w:rsidRPr="00DC3D09" w:rsidRDefault="002E5378" w:rsidP="000B0F93">
            <w:pPr>
              <w:spacing w:after="0" w:line="240" w:lineRule="auto"/>
              <w:ind w:left="-108"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12.</w:t>
            </w:r>
          </w:p>
        </w:tc>
        <w:tc>
          <w:tcPr>
            <w:tcW w:w="271" w:type="pct"/>
            <w:shd w:val="clear" w:color="auto" w:fill="auto"/>
            <w:vAlign w:val="center"/>
          </w:tcPr>
          <w:p w:rsidR="002E5378" w:rsidRPr="00DC3D09" w:rsidRDefault="002E5378" w:rsidP="000B0F93">
            <w:pPr>
              <w:spacing w:after="0" w:line="240" w:lineRule="auto"/>
              <w:ind w:left="-112" w:right="-108"/>
              <w:jc w:val="center"/>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Подмярка 19.3  „Подготовка и изпълнение на дейности за сътрудничество на местни инициативни групи“</w:t>
            </w:r>
          </w:p>
        </w:tc>
        <w:tc>
          <w:tcPr>
            <w:tcW w:w="399"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Подпомагане на проекти за съвместни дейности, насочени към разработване и въвеждане в практиката на продукти, услуги, иновации и др. в селските райони, комбинирайки разнообразните възможности на селските райони и развитие на селски райони с добавена стойност; създаване на европейска идентичност в допълнение към местната, регионалната и националната идентичност</w:t>
            </w:r>
          </w:p>
        </w:tc>
        <w:tc>
          <w:tcPr>
            <w:tcW w:w="257"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Подбор на проектни предложения</w:t>
            </w:r>
          </w:p>
        </w:tc>
        <w:tc>
          <w:tcPr>
            <w:tcW w:w="299"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256"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За 2022 г.</w:t>
            </w:r>
          </w:p>
          <w:p w:rsidR="002E5378" w:rsidRPr="00DC3D09" w:rsidRDefault="002E5378" w:rsidP="000B0F93">
            <w:pPr>
              <w:spacing w:after="0" w:line="240" w:lineRule="auto"/>
              <w:ind w:left="-112" w:right="-88"/>
              <w:jc w:val="center"/>
              <w:rPr>
                <w:rFonts w:ascii="Times New Roman" w:hAnsi="Times New Roman" w:cs="Times New Roman"/>
                <w:sz w:val="16"/>
                <w:szCs w:val="16"/>
                <w:highlight w:val="yellow"/>
                <w:lang w:val="bg-BG"/>
              </w:rPr>
            </w:pPr>
            <w:r w:rsidRPr="00DC3D09">
              <w:rPr>
                <w:rFonts w:ascii="Times New Roman" w:hAnsi="Times New Roman" w:cs="Times New Roman"/>
                <w:sz w:val="16"/>
                <w:szCs w:val="16"/>
                <w:lang w:val="bg-BG"/>
              </w:rPr>
              <w:t>До левовата равностойност на 2 846 777 евро</w:t>
            </w:r>
          </w:p>
        </w:tc>
        <w:tc>
          <w:tcPr>
            <w:tcW w:w="436"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Одобрени местни инициативни групи</w:t>
            </w:r>
          </w:p>
        </w:tc>
        <w:tc>
          <w:tcPr>
            <w:tcW w:w="543"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w:t>
            </w:r>
          </w:p>
        </w:tc>
        <w:tc>
          <w:tcPr>
            <w:tcW w:w="88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Разходи за изследвания и пазарни проучвания, директно свързани със съвместното действие;</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Разходи, свързани с реализирането на промоционални и маркетингови кампании;</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Разходи, свързани с организирането на обучения, семинари, съвместни събития, срещи и т. н.;</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Разходи за публикации в медиите;</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Разходи, свързани със създаването и оперативната поддръжка на общи структури, създадени с цел изпълнение на проекта;</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Координация на дейностите по проекта (разходи за допълнителен персонал, пътни разходи, разходи за нощувки и храна, хонорари за експерти, разходи за превод, разходи за комуникация и др.).</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Разходи, свързани със срещи с потенциални партньори;</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Разходи, свързани с организирането на заседания и мероприятия за планиране на дейностите по проекта;</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p>
        </w:tc>
        <w:tc>
          <w:tcPr>
            <w:tcW w:w="307"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До 100%</w:t>
            </w:r>
          </w:p>
        </w:tc>
        <w:tc>
          <w:tcPr>
            <w:tcW w:w="268"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p>
        </w:tc>
        <w:tc>
          <w:tcPr>
            <w:tcW w:w="254"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Съгласно Регламент (ЕС) 1305/2013, чл. 44, пар. 3 кандидатстването по подмярка 19.3 е текущо</w:t>
            </w:r>
          </w:p>
        </w:tc>
        <w:tc>
          <w:tcPr>
            <w:tcW w:w="17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w:t>
            </w:r>
          </w:p>
        </w:tc>
        <w:tc>
          <w:tcPr>
            <w:tcW w:w="17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Непр.</w:t>
            </w:r>
          </w:p>
        </w:tc>
        <w:tc>
          <w:tcPr>
            <w:tcW w:w="210" w:type="pct"/>
            <w:shd w:val="clear" w:color="auto" w:fill="auto"/>
            <w:vAlign w:val="center"/>
          </w:tcPr>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За изпълнение на проекти за сътрудничество:</w:t>
            </w:r>
          </w:p>
          <w:p w:rsidR="002E5378" w:rsidRPr="00DC3D09" w:rsidRDefault="002E5378" w:rsidP="000B0F93">
            <w:pPr>
              <w:spacing w:after="0" w:line="240" w:lineRule="auto"/>
              <w:ind w:left="-112" w:right="-88"/>
              <w:jc w:val="center"/>
              <w:rPr>
                <w:rFonts w:ascii="Times New Roman" w:hAnsi="Times New Roman" w:cs="Times New Roman"/>
                <w:sz w:val="16"/>
                <w:szCs w:val="16"/>
                <w:lang w:val="bg-BG"/>
              </w:rPr>
            </w:pPr>
            <w:r w:rsidRPr="00DC3D09">
              <w:rPr>
                <w:rFonts w:ascii="Times New Roman" w:hAnsi="Times New Roman" w:cs="Times New Roman"/>
                <w:sz w:val="16"/>
                <w:szCs w:val="16"/>
                <w:lang w:val="bg-BG"/>
              </w:rPr>
              <w:t>левовата равностойност на 100 000 евро за транснационално сътрудничество и на 50 000 евро за вътрешно териториално сътрудничество</w:t>
            </w:r>
          </w:p>
        </w:tc>
      </w:tr>
    </w:tbl>
    <w:p w:rsidR="002E5378" w:rsidRPr="00DC3D09" w:rsidRDefault="002E5378" w:rsidP="002E5378">
      <w:pPr>
        <w:spacing w:after="0" w:line="240" w:lineRule="auto"/>
        <w:jc w:val="center"/>
        <w:rPr>
          <w:rFonts w:ascii="Times New Roman" w:eastAsia="Times New Roman" w:hAnsi="Times New Roman" w:cs="Times New Roman"/>
          <w:b/>
          <w:lang w:val="bg-BG" w:eastAsia="bg-BG"/>
        </w:rPr>
      </w:pPr>
    </w:p>
    <w:p w:rsidR="002E5378" w:rsidRPr="00DC3D09" w:rsidRDefault="002E5378" w:rsidP="002E5378">
      <w:pPr>
        <w:spacing w:after="0" w:line="240" w:lineRule="auto"/>
        <w:jc w:val="both"/>
        <w:rPr>
          <w:rFonts w:ascii="Times New Roman" w:eastAsia="Times New Roman" w:hAnsi="Times New Roman" w:cs="Times New Roman"/>
          <w:sz w:val="16"/>
          <w:szCs w:val="16"/>
          <w:lang w:val="bg-BG" w:eastAsia="bg-BG"/>
        </w:rPr>
      </w:pPr>
    </w:p>
    <w:p w:rsidR="002E5378" w:rsidRPr="00DC3D09" w:rsidRDefault="002E5378" w:rsidP="002E5378">
      <w:pPr>
        <w:spacing w:after="0" w:line="240" w:lineRule="auto"/>
        <w:jc w:val="both"/>
        <w:rPr>
          <w:rFonts w:ascii="Times New Roman" w:eastAsia="Times New Roman" w:hAnsi="Times New Roman" w:cs="Times New Roman"/>
          <w:sz w:val="16"/>
          <w:szCs w:val="16"/>
          <w:lang w:val="bg-BG" w:eastAsia="bg-BG"/>
        </w:rPr>
      </w:pPr>
    </w:p>
    <w:p w:rsidR="002E5378" w:rsidRPr="00DC3D09" w:rsidRDefault="002E5378" w:rsidP="002E5378">
      <w:pPr>
        <w:spacing w:after="0" w:line="240" w:lineRule="auto"/>
        <w:jc w:val="both"/>
        <w:rPr>
          <w:rFonts w:ascii="Times New Roman" w:eastAsia="Times New Roman" w:hAnsi="Times New Roman" w:cs="Times New Roman"/>
          <w:sz w:val="16"/>
          <w:szCs w:val="16"/>
          <w:lang w:val="bg-BG" w:eastAsia="bg-BG"/>
        </w:rPr>
      </w:pPr>
      <w:r w:rsidRPr="00DC3D09">
        <w:rPr>
          <w:rFonts w:ascii="Times New Roman" w:eastAsia="Times New Roman" w:hAnsi="Times New Roman" w:cs="Times New Roman"/>
          <w:sz w:val="16"/>
          <w:szCs w:val="16"/>
          <w:lang w:val="bg-BG" w:eastAsia="bg-BG"/>
        </w:rPr>
        <w:t xml:space="preserve">* Приемите на заявления за подпомагане по мерки 10 „Агроекология и климат“, 11 „Биологично земеделие“, 12 „Плащания по „Натура 2000” и Рамковата директива за водите“, 13 „Плащания за райони, изправени пред природни или други специфични ограничения“ и 14 „Хуманно отношение към животните“ от ПРСР 2014 – 2020 г. не се включват в ИГРП за 2022 г., тъй като редът и изискванията на ПМС № 162 от 2016 г. не са приложими за тях. </w:t>
      </w:r>
    </w:p>
    <w:p w:rsidR="002E5378" w:rsidRPr="00DC3D09" w:rsidRDefault="002E5378" w:rsidP="002E5378">
      <w:pPr>
        <w:spacing w:after="0" w:line="240" w:lineRule="auto"/>
        <w:jc w:val="both"/>
        <w:rPr>
          <w:lang w:val="bg-BG"/>
        </w:rPr>
      </w:pPr>
      <w:r w:rsidRPr="00DC3D09">
        <w:rPr>
          <w:rFonts w:ascii="Times New Roman" w:eastAsia="Times New Roman" w:hAnsi="Times New Roman" w:cs="Times New Roman"/>
          <w:sz w:val="16"/>
          <w:szCs w:val="16"/>
          <w:lang w:val="bg-BG" w:eastAsia="bg-BG"/>
        </w:rPr>
        <w:t xml:space="preserve">Приемът на заявления по мерки 10, 11, 12 и 13 се извършва по реда на Наредба № 5 от 2009 г. за условията и реда за подаване на заявления по схеми и мерки за директни плащания, а приемът на заявления по мярка 14 се осъществява по реда на Наредба № 4 от 8 август 2017 г. за прилагане на Mярка 14 "Хуманно отношение към животните" от Програмата за развитие на селските райони за периода 2014 – 2020 г. </w:t>
      </w:r>
    </w:p>
    <w:p w:rsidR="002E5378" w:rsidRDefault="002E5378" w:rsidP="003C4F9F">
      <w:pPr>
        <w:jc w:val="center"/>
        <w:rPr>
          <w:rFonts w:ascii="Times New Roman" w:hAnsi="Times New Roman" w:cs="Times New Roman"/>
          <w:lang w:val="bg-BG"/>
        </w:rPr>
      </w:pPr>
    </w:p>
    <w:p w:rsidR="002E5378" w:rsidRDefault="002E5378" w:rsidP="003C4F9F">
      <w:pPr>
        <w:jc w:val="center"/>
        <w:rPr>
          <w:rFonts w:ascii="Times New Roman" w:hAnsi="Times New Roman" w:cs="Times New Roman"/>
          <w:lang w:val="bg-BG"/>
        </w:rPr>
      </w:pPr>
    </w:p>
    <w:p w:rsidR="002E5378" w:rsidRDefault="002E5378" w:rsidP="003C4F9F">
      <w:pPr>
        <w:jc w:val="center"/>
        <w:rPr>
          <w:rFonts w:ascii="Times New Roman" w:hAnsi="Times New Roman" w:cs="Times New Roman"/>
          <w:lang w:val="bg-BG"/>
        </w:rPr>
      </w:pPr>
    </w:p>
    <w:p w:rsidR="002E5378" w:rsidRDefault="002E5378" w:rsidP="003C4F9F">
      <w:pPr>
        <w:jc w:val="center"/>
        <w:rPr>
          <w:rFonts w:ascii="Times New Roman" w:hAnsi="Times New Roman" w:cs="Times New Roman"/>
          <w:lang w:val="bg-BG"/>
        </w:rPr>
      </w:pPr>
    </w:p>
    <w:p w:rsidR="005A7F96" w:rsidRPr="005A7F96" w:rsidRDefault="000900B7" w:rsidP="005A7F96">
      <w:pPr>
        <w:spacing w:after="0" w:line="360" w:lineRule="auto"/>
        <w:ind w:firstLine="1134"/>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13" o:title=""/>
            <o:lock v:ext="edit" ungrouping="t" rotation="t" cropping="t" verticies="t" text="t" grouping="t"/>
            <o:signatureline v:ext="edit" id="{7B5120E4-1983-4DA1-AC5F-73536FD9E1C6}" provid="{00000000-0000-0000-0000-000000000000}" o:suggestedsigner="Елена Иванова" o:suggestedsigner2="Директор на дирекция РСР" issignatureline="t"/>
          </v:shape>
        </w:pict>
      </w:r>
    </w:p>
    <w:p w:rsidR="002E5378" w:rsidRPr="008D0A8B" w:rsidRDefault="002E5378" w:rsidP="00224129">
      <w:pPr>
        <w:rPr>
          <w:rFonts w:ascii="Times New Roman" w:hAnsi="Times New Roman" w:cs="Times New Roman"/>
          <w:lang w:val="bg-BG"/>
        </w:rPr>
      </w:pPr>
    </w:p>
    <w:sectPr w:rsidR="002E5378" w:rsidRPr="008D0A8B" w:rsidSect="002E5378">
      <w:footerReference w:type="default" r:id="rId14"/>
      <w:pgSz w:w="16838" w:h="11906" w:orient="landscape"/>
      <w:pgMar w:top="1417" w:right="851" w:bottom="1417" w:left="284" w:header="142"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B7" w:rsidRDefault="000900B7" w:rsidP="00A015F5">
      <w:pPr>
        <w:spacing w:after="0" w:line="240" w:lineRule="auto"/>
      </w:pPr>
      <w:r>
        <w:separator/>
      </w:r>
    </w:p>
  </w:endnote>
  <w:endnote w:type="continuationSeparator" w:id="0">
    <w:p w:rsidR="000900B7" w:rsidRDefault="000900B7" w:rsidP="00A0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414179"/>
      <w:docPartObj>
        <w:docPartGallery w:val="Page Numbers (Bottom of Page)"/>
        <w:docPartUnique/>
      </w:docPartObj>
    </w:sdtPr>
    <w:sdtEndPr>
      <w:rPr>
        <w:noProof/>
      </w:rPr>
    </w:sdtEndPr>
    <w:sdtContent>
      <w:p w:rsidR="00332F89" w:rsidRDefault="00332F89">
        <w:pPr>
          <w:pStyle w:val="Footer"/>
          <w:jc w:val="right"/>
        </w:pPr>
        <w:r>
          <w:fldChar w:fldCharType="begin"/>
        </w:r>
        <w:r>
          <w:instrText xml:space="preserve"> PAGE   \* MERGEFORMAT </w:instrText>
        </w:r>
        <w:r>
          <w:fldChar w:fldCharType="separate"/>
        </w:r>
        <w:r w:rsidR="002A2333">
          <w:rPr>
            <w:noProof/>
          </w:rPr>
          <w:t>1</w:t>
        </w:r>
        <w:r>
          <w:rPr>
            <w:noProof/>
          </w:rPr>
          <w:fldChar w:fldCharType="end"/>
        </w:r>
      </w:p>
    </w:sdtContent>
  </w:sdt>
  <w:p w:rsidR="00332F89" w:rsidRDefault="00332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550605"/>
      <w:docPartObj>
        <w:docPartGallery w:val="Page Numbers (Bottom of Page)"/>
        <w:docPartUnique/>
      </w:docPartObj>
    </w:sdtPr>
    <w:sdtEndPr>
      <w:rPr>
        <w:noProof/>
      </w:rPr>
    </w:sdtEndPr>
    <w:sdtContent>
      <w:p w:rsidR="00332F89" w:rsidRDefault="00332F89">
        <w:pPr>
          <w:pStyle w:val="Footer"/>
          <w:jc w:val="right"/>
        </w:pPr>
        <w:r>
          <w:fldChar w:fldCharType="begin"/>
        </w:r>
        <w:r>
          <w:instrText xml:space="preserve"> PAGE   \* MERGEFORMAT </w:instrText>
        </w:r>
        <w:r>
          <w:fldChar w:fldCharType="separate"/>
        </w:r>
        <w:r w:rsidR="00F54230">
          <w:rPr>
            <w:noProof/>
          </w:rPr>
          <w:t>39</w:t>
        </w:r>
        <w:r>
          <w:rPr>
            <w:noProof/>
          </w:rPr>
          <w:fldChar w:fldCharType="end"/>
        </w:r>
      </w:p>
    </w:sdtContent>
  </w:sdt>
  <w:p w:rsidR="00332F89" w:rsidRDefault="00332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B7" w:rsidRDefault="000900B7" w:rsidP="00A015F5">
      <w:pPr>
        <w:spacing w:after="0" w:line="240" w:lineRule="auto"/>
      </w:pPr>
      <w:r>
        <w:separator/>
      </w:r>
    </w:p>
  </w:footnote>
  <w:footnote w:type="continuationSeparator" w:id="0">
    <w:p w:rsidR="000900B7" w:rsidRDefault="000900B7" w:rsidP="00A01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616"/>
    <w:multiLevelType w:val="hybridMultilevel"/>
    <w:tmpl w:val="B4BC2ECA"/>
    <w:lvl w:ilvl="0" w:tplc="8B12AB92">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
    <w:nsid w:val="02B75967"/>
    <w:multiLevelType w:val="hybridMultilevel"/>
    <w:tmpl w:val="4ECE9BDE"/>
    <w:lvl w:ilvl="0" w:tplc="D26CFDD4">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
    <w:nsid w:val="05DE335A"/>
    <w:multiLevelType w:val="hybridMultilevel"/>
    <w:tmpl w:val="72BCF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3421DA"/>
    <w:multiLevelType w:val="hybridMultilevel"/>
    <w:tmpl w:val="6E9EFD22"/>
    <w:lvl w:ilvl="0" w:tplc="B114FE0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A4B7C"/>
    <w:multiLevelType w:val="hybridMultilevel"/>
    <w:tmpl w:val="FB9E68E4"/>
    <w:lvl w:ilvl="0" w:tplc="D51ACF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07DC2"/>
    <w:multiLevelType w:val="hybridMultilevel"/>
    <w:tmpl w:val="85BCFF4C"/>
    <w:lvl w:ilvl="0" w:tplc="04020001">
      <w:start w:val="1"/>
      <w:numFmt w:val="bullet"/>
      <w:lvlText w:val=""/>
      <w:lvlJc w:val="left"/>
      <w:pPr>
        <w:ind w:left="787" w:hanging="360"/>
      </w:pPr>
      <w:rPr>
        <w:rFonts w:ascii="Symbol" w:hAnsi="Symbol" w:hint="default"/>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6">
    <w:nsid w:val="0F48653B"/>
    <w:multiLevelType w:val="hybridMultilevel"/>
    <w:tmpl w:val="B5A279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6B12C06"/>
    <w:multiLevelType w:val="hybridMultilevel"/>
    <w:tmpl w:val="406A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B04A5"/>
    <w:multiLevelType w:val="multilevel"/>
    <w:tmpl w:val="A8FE9050"/>
    <w:lvl w:ilvl="0">
      <w:start w:val="1"/>
      <w:numFmt w:val="decimal"/>
      <w:lvlText w:val="%1."/>
      <w:lvlJc w:val="left"/>
      <w:pPr>
        <w:ind w:left="36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B62910"/>
    <w:multiLevelType w:val="hybridMultilevel"/>
    <w:tmpl w:val="B4BC2ECA"/>
    <w:lvl w:ilvl="0" w:tplc="8B12AB92">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0">
    <w:nsid w:val="28741455"/>
    <w:multiLevelType w:val="hybridMultilevel"/>
    <w:tmpl w:val="3F62FBBA"/>
    <w:lvl w:ilvl="0" w:tplc="6BD44458">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1">
    <w:nsid w:val="2CA73FEB"/>
    <w:multiLevelType w:val="hybridMultilevel"/>
    <w:tmpl w:val="D328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F4DBF"/>
    <w:multiLevelType w:val="multilevel"/>
    <w:tmpl w:val="0C043F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BB50CC"/>
    <w:multiLevelType w:val="hybridMultilevel"/>
    <w:tmpl w:val="B4BC2ECA"/>
    <w:lvl w:ilvl="0" w:tplc="8B12AB92">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4">
    <w:nsid w:val="3F79454F"/>
    <w:multiLevelType w:val="hybridMultilevel"/>
    <w:tmpl w:val="65A8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832B9"/>
    <w:multiLevelType w:val="hybridMultilevel"/>
    <w:tmpl w:val="B4BC2ECA"/>
    <w:lvl w:ilvl="0" w:tplc="8B12AB92">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6">
    <w:nsid w:val="41260012"/>
    <w:multiLevelType w:val="hybridMultilevel"/>
    <w:tmpl w:val="DB96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01830"/>
    <w:multiLevelType w:val="hybridMultilevel"/>
    <w:tmpl w:val="A314CC9C"/>
    <w:lvl w:ilvl="0" w:tplc="56125B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18">
    <w:nsid w:val="430E3B92"/>
    <w:multiLevelType w:val="hybridMultilevel"/>
    <w:tmpl w:val="9D4E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A679C8"/>
    <w:multiLevelType w:val="hybridMultilevel"/>
    <w:tmpl w:val="0DC243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0475DF8"/>
    <w:multiLevelType w:val="hybridMultilevel"/>
    <w:tmpl w:val="B4BC2ECA"/>
    <w:lvl w:ilvl="0" w:tplc="8B12AB92">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1">
    <w:nsid w:val="60556447"/>
    <w:multiLevelType w:val="hybridMultilevel"/>
    <w:tmpl w:val="B4BC2ECA"/>
    <w:lvl w:ilvl="0" w:tplc="8B12AB92">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2">
    <w:nsid w:val="64D9229D"/>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EE2C5A"/>
    <w:multiLevelType w:val="hybridMultilevel"/>
    <w:tmpl w:val="E5EAC8BC"/>
    <w:lvl w:ilvl="0" w:tplc="77740590">
      <w:start w:val="5"/>
      <w:numFmt w:val="bullet"/>
      <w:lvlText w:val="-"/>
      <w:lvlJc w:val="left"/>
      <w:pPr>
        <w:ind w:left="720" w:hanging="360"/>
      </w:pPr>
      <w:rPr>
        <w:rFonts w:ascii="Verdana" w:eastAsiaTheme="minorHAns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D1E77B6"/>
    <w:multiLevelType w:val="hybridMultilevel"/>
    <w:tmpl w:val="835A9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692EF3"/>
    <w:multiLevelType w:val="hybridMultilevel"/>
    <w:tmpl w:val="8AB0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305AD"/>
    <w:multiLevelType w:val="hybridMultilevel"/>
    <w:tmpl w:val="722305AD"/>
    <w:lvl w:ilvl="0" w:tplc="52BC4FE8">
      <w:start w:val="1"/>
      <w:numFmt w:val="bullet"/>
      <w:lvlText w:val=""/>
      <w:lvlJc w:val="left"/>
      <w:pPr>
        <w:tabs>
          <w:tab w:val="num" w:pos="720"/>
        </w:tabs>
        <w:ind w:left="720" w:hanging="360"/>
      </w:pPr>
      <w:rPr>
        <w:rFonts w:ascii="Symbol" w:hAnsi="Symbol"/>
      </w:rPr>
    </w:lvl>
    <w:lvl w:ilvl="1" w:tplc="E384F16E">
      <w:start w:val="1"/>
      <w:numFmt w:val="bullet"/>
      <w:lvlText w:val="o"/>
      <w:lvlJc w:val="left"/>
      <w:pPr>
        <w:tabs>
          <w:tab w:val="num" w:pos="1440"/>
        </w:tabs>
        <w:ind w:left="1440" w:hanging="360"/>
      </w:pPr>
      <w:rPr>
        <w:rFonts w:ascii="Courier New" w:hAnsi="Courier New"/>
      </w:rPr>
    </w:lvl>
    <w:lvl w:ilvl="2" w:tplc="A9F47790">
      <w:start w:val="1"/>
      <w:numFmt w:val="bullet"/>
      <w:lvlText w:val=""/>
      <w:lvlJc w:val="left"/>
      <w:pPr>
        <w:tabs>
          <w:tab w:val="num" w:pos="2160"/>
        </w:tabs>
        <w:ind w:left="2160" w:hanging="360"/>
      </w:pPr>
      <w:rPr>
        <w:rFonts w:ascii="Wingdings" w:hAnsi="Wingdings"/>
      </w:rPr>
    </w:lvl>
    <w:lvl w:ilvl="3" w:tplc="6C2E7E70">
      <w:start w:val="1"/>
      <w:numFmt w:val="bullet"/>
      <w:lvlText w:val=""/>
      <w:lvlJc w:val="left"/>
      <w:pPr>
        <w:tabs>
          <w:tab w:val="num" w:pos="2880"/>
        </w:tabs>
        <w:ind w:left="2880" w:hanging="360"/>
      </w:pPr>
      <w:rPr>
        <w:rFonts w:ascii="Symbol" w:hAnsi="Symbol"/>
      </w:rPr>
    </w:lvl>
    <w:lvl w:ilvl="4" w:tplc="F3209AFA">
      <w:start w:val="1"/>
      <w:numFmt w:val="bullet"/>
      <w:lvlText w:val="o"/>
      <w:lvlJc w:val="left"/>
      <w:pPr>
        <w:tabs>
          <w:tab w:val="num" w:pos="3600"/>
        </w:tabs>
        <w:ind w:left="3600" w:hanging="360"/>
      </w:pPr>
      <w:rPr>
        <w:rFonts w:ascii="Courier New" w:hAnsi="Courier New"/>
      </w:rPr>
    </w:lvl>
    <w:lvl w:ilvl="5" w:tplc="FF866D3A">
      <w:start w:val="1"/>
      <w:numFmt w:val="bullet"/>
      <w:lvlText w:val=""/>
      <w:lvlJc w:val="left"/>
      <w:pPr>
        <w:tabs>
          <w:tab w:val="num" w:pos="4320"/>
        </w:tabs>
        <w:ind w:left="4320" w:hanging="360"/>
      </w:pPr>
      <w:rPr>
        <w:rFonts w:ascii="Wingdings" w:hAnsi="Wingdings"/>
      </w:rPr>
    </w:lvl>
    <w:lvl w:ilvl="6" w:tplc="BE9883A2">
      <w:start w:val="1"/>
      <w:numFmt w:val="bullet"/>
      <w:lvlText w:val=""/>
      <w:lvlJc w:val="left"/>
      <w:pPr>
        <w:tabs>
          <w:tab w:val="num" w:pos="5040"/>
        </w:tabs>
        <w:ind w:left="5040" w:hanging="360"/>
      </w:pPr>
      <w:rPr>
        <w:rFonts w:ascii="Symbol" w:hAnsi="Symbol"/>
      </w:rPr>
    </w:lvl>
    <w:lvl w:ilvl="7" w:tplc="3C226DD4">
      <w:start w:val="1"/>
      <w:numFmt w:val="bullet"/>
      <w:lvlText w:val="o"/>
      <w:lvlJc w:val="left"/>
      <w:pPr>
        <w:tabs>
          <w:tab w:val="num" w:pos="5760"/>
        </w:tabs>
        <w:ind w:left="5760" w:hanging="360"/>
      </w:pPr>
      <w:rPr>
        <w:rFonts w:ascii="Courier New" w:hAnsi="Courier New"/>
      </w:rPr>
    </w:lvl>
    <w:lvl w:ilvl="8" w:tplc="EFA8B160">
      <w:start w:val="1"/>
      <w:numFmt w:val="bullet"/>
      <w:lvlText w:val=""/>
      <w:lvlJc w:val="left"/>
      <w:pPr>
        <w:tabs>
          <w:tab w:val="num" w:pos="6480"/>
        </w:tabs>
        <w:ind w:left="6480" w:hanging="360"/>
      </w:pPr>
      <w:rPr>
        <w:rFonts w:ascii="Wingdings" w:hAnsi="Wingdings"/>
      </w:rPr>
    </w:lvl>
  </w:abstractNum>
  <w:abstractNum w:abstractNumId="27">
    <w:nsid w:val="722305AE"/>
    <w:multiLevelType w:val="hybridMultilevel"/>
    <w:tmpl w:val="722305AE"/>
    <w:lvl w:ilvl="0" w:tplc="6F68503C">
      <w:start w:val="1"/>
      <w:numFmt w:val="bullet"/>
      <w:lvlText w:val=""/>
      <w:lvlJc w:val="left"/>
      <w:pPr>
        <w:ind w:left="720" w:hanging="360"/>
      </w:pPr>
      <w:rPr>
        <w:rFonts w:ascii="Symbol" w:hAnsi="Symbol"/>
      </w:rPr>
    </w:lvl>
    <w:lvl w:ilvl="1" w:tplc="61A2E68E">
      <w:start w:val="1"/>
      <w:numFmt w:val="bullet"/>
      <w:lvlText w:val="o"/>
      <w:lvlJc w:val="left"/>
      <w:pPr>
        <w:tabs>
          <w:tab w:val="num" w:pos="1440"/>
        </w:tabs>
        <w:ind w:left="1440" w:hanging="360"/>
      </w:pPr>
      <w:rPr>
        <w:rFonts w:ascii="Courier New" w:hAnsi="Courier New"/>
      </w:rPr>
    </w:lvl>
    <w:lvl w:ilvl="2" w:tplc="99527270">
      <w:start w:val="1"/>
      <w:numFmt w:val="bullet"/>
      <w:lvlText w:val=""/>
      <w:lvlJc w:val="left"/>
      <w:pPr>
        <w:tabs>
          <w:tab w:val="num" w:pos="2160"/>
        </w:tabs>
        <w:ind w:left="2160" w:hanging="360"/>
      </w:pPr>
      <w:rPr>
        <w:rFonts w:ascii="Wingdings" w:hAnsi="Wingdings"/>
      </w:rPr>
    </w:lvl>
    <w:lvl w:ilvl="3" w:tplc="BA7A9364">
      <w:start w:val="1"/>
      <w:numFmt w:val="bullet"/>
      <w:lvlText w:val=""/>
      <w:lvlJc w:val="left"/>
      <w:pPr>
        <w:tabs>
          <w:tab w:val="num" w:pos="2880"/>
        </w:tabs>
        <w:ind w:left="2880" w:hanging="360"/>
      </w:pPr>
      <w:rPr>
        <w:rFonts w:ascii="Symbol" w:hAnsi="Symbol"/>
      </w:rPr>
    </w:lvl>
    <w:lvl w:ilvl="4" w:tplc="FBF806EC">
      <w:start w:val="1"/>
      <w:numFmt w:val="bullet"/>
      <w:lvlText w:val="o"/>
      <w:lvlJc w:val="left"/>
      <w:pPr>
        <w:tabs>
          <w:tab w:val="num" w:pos="3600"/>
        </w:tabs>
        <w:ind w:left="3600" w:hanging="360"/>
      </w:pPr>
      <w:rPr>
        <w:rFonts w:ascii="Courier New" w:hAnsi="Courier New"/>
      </w:rPr>
    </w:lvl>
    <w:lvl w:ilvl="5" w:tplc="DA0A696A">
      <w:start w:val="1"/>
      <w:numFmt w:val="bullet"/>
      <w:lvlText w:val=""/>
      <w:lvlJc w:val="left"/>
      <w:pPr>
        <w:tabs>
          <w:tab w:val="num" w:pos="4320"/>
        </w:tabs>
        <w:ind w:left="4320" w:hanging="360"/>
      </w:pPr>
      <w:rPr>
        <w:rFonts w:ascii="Wingdings" w:hAnsi="Wingdings"/>
      </w:rPr>
    </w:lvl>
    <w:lvl w:ilvl="6" w:tplc="68BC4E9C">
      <w:start w:val="1"/>
      <w:numFmt w:val="bullet"/>
      <w:lvlText w:val=""/>
      <w:lvlJc w:val="left"/>
      <w:pPr>
        <w:tabs>
          <w:tab w:val="num" w:pos="5040"/>
        </w:tabs>
        <w:ind w:left="5040" w:hanging="360"/>
      </w:pPr>
      <w:rPr>
        <w:rFonts w:ascii="Symbol" w:hAnsi="Symbol"/>
      </w:rPr>
    </w:lvl>
    <w:lvl w:ilvl="7" w:tplc="2A7642BA">
      <w:start w:val="1"/>
      <w:numFmt w:val="bullet"/>
      <w:lvlText w:val="o"/>
      <w:lvlJc w:val="left"/>
      <w:pPr>
        <w:tabs>
          <w:tab w:val="num" w:pos="5760"/>
        </w:tabs>
        <w:ind w:left="5760" w:hanging="360"/>
      </w:pPr>
      <w:rPr>
        <w:rFonts w:ascii="Courier New" w:hAnsi="Courier New"/>
      </w:rPr>
    </w:lvl>
    <w:lvl w:ilvl="8" w:tplc="4B765840">
      <w:start w:val="1"/>
      <w:numFmt w:val="bullet"/>
      <w:lvlText w:val=""/>
      <w:lvlJc w:val="left"/>
      <w:pPr>
        <w:tabs>
          <w:tab w:val="num" w:pos="6480"/>
        </w:tabs>
        <w:ind w:left="6480" w:hanging="360"/>
      </w:pPr>
      <w:rPr>
        <w:rFonts w:ascii="Wingdings" w:hAnsi="Wingdings"/>
      </w:rPr>
    </w:lvl>
  </w:abstractNum>
  <w:abstractNum w:abstractNumId="28">
    <w:nsid w:val="722305AF"/>
    <w:multiLevelType w:val="hybridMultilevel"/>
    <w:tmpl w:val="722305AF"/>
    <w:lvl w:ilvl="0" w:tplc="0E54FDB4">
      <w:start w:val="1"/>
      <w:numFmt w:val="bullet"/>
      <w:lvlText w:val=""/>
      <w:lvlJc w:val="left"/>
      <w:pPr>
        <w:ind w:left="720" w:hanging="360"/>
      </w:pPr>
      <w:rPr>
        <w:rFonts w:ascii="Symbol" w:hAnsi="Symbol"/>
      </w:rPr>
    </w:lvl>
    <w:lvl w:ilvl="1" w:tplc="A32ECBF4">
      <w:start w:val="1"/>
      <w:numFmt w:val="bullet"/>
      <w:lvlText w:val="o"/>
      <w:lvlJc w:val="left"/>
      <w:pPr>
        <w:tabs>
          <w:tab w:val="num" w:pos="1440"/>
        </w:tabs>
        <w:ind w:left="1440" w:hanging="360"/>
      </w:pPr>
      <w:rPr>
        <w:rFonts w:ascii="Courier New" w:hAnsi="Courier New"/>
      </w:rPr>
    </w:lvl>
    <w:lvl w:ilvl="2" w:tplc="E56016C0">
      <w:start w:val="1"/>
      <w:numFmt w:val="bullet"/>
      <w:lvlText w:val=""/>
      <w:lvlJc w:val="left"/>
      <w:pPr>
        <w:tabs>
          <w:tab w:val="num" w:pos="2160"/>
        </w:tabs>
        <w:ind w:left="2160" w:hanging="360"/>
      </w:pPr>
      <w:rPr>
        <w:rFonts w:ascii="Wingdings" w:hAnsi="Wingdings"/>
      </w:rPr>
    </w:lvl>
    <w:lvl w:ilvl="3" w:tplc="14DECA36">
      <w:start w:val="1"/>
      <w:numFmt w:val="bullet"/>
      <w:lvlText w:val=""/>
      <w:lvlJc w:val="left"/>
      <w:pPr>
        <w:tabs>
          <w:tab w:val="num" w:pos="2880"/>
        </w:tabs>
        <w:ind w:left="2880" w:hanging="360"/>
      </w:pPr>
      <w:rPr>
        <w:rFonts w:ascii="Symbol" w:hAnsi="Symbol"/>
      </w:rPr>
    </w:lvl>
    <w:lvl w:ilvl="4" w:tplc="F1EEF0FC">
      <w:start w:val="1"/>
      <w:numFmt w:val="bullet"/>
      <w:lvlText w:val="o"/>
      <w:lvlJc w:val="left"/>
      <w:pPr>
        <w:tabs>
          <w:tab w:val="num" w:pos="3600"/>
        </w:tabs>
        <w:ind w:left="3600" w:hanging="360"/>
      </w:pPr>
      <w:rPr>
        <w:rFonts w:ascii="Courier New" w:hAnsi="Courier New"/>
      </w:rPr>
    </w:lvl>
    <w:lvl w:ilvl="5" w:tplc="A4168C42">
      <w:start w:val="1"/>
      <w:numFmt w:val="bullet"/>
      <w:lvlText w:val=""/>
      <w:lvlJc w:val="left"/>
      <w:pPr>
        <w:tabs>
          <w:tab w:val="num" w:pos="4320"/>
        </w:tabs>
        <w:ind w:left="4320" w:hanging="360"/>
      </w:pPr>
      <w:rPr>
        <w:rFonts w:ascii="Wingdings" w:hAnsi="Wingdings"/>
      </w:rPr>
    </w:lvl>
    <w:lvl w:ilvl="6" w:tplc="286E7782">
      <w:start w:val="1"/>
      <w:numFmt w:val="bullet"/>
      <w:lvlText w:val=""/>
      <w:lvlJc w:val="left"/>
      <w:pPr>
        <w:tabs>
          <w:tab w:val="num" w:pos="5040"/>
        </w:tabs>
        <w:ind w:left="5040" w:hanging="360"/>
      </w:pPr>
      <w:rPr>
        <w:rFonts w:ascii="Symbol" w:hAnsi="Symbol"/>
      </w:rPr>
    </w:lvl>
    <w:lvl w:ilvl="7" w:tplc="2AE8893E">
      <w:start w:val="1"/>
      <w:numFmt w:val="bullet"/>
      <w:lvlText w:val="o"/>
      <w:lvlJc w:val="left"/>
      <w:pPr>
        <w:tabs>
          <w:tab w:val="num" w:pos="5760"/>
        </w:tabs>
        <w:ind w:left="5760" w:hanging="360"/>
      </w:pPr>
      <w:rPr>
        <w:rFonts w:ascii="Courier New" w:hAnsi="Courier New"/>
      </w:rPr>
    </w:lvl>
    <w:lvl w:ilvl="8" w:tplc="95206E18">
      <w:start w:val="1"/>
      <w:numFmt w:val="bullet"/>
      <w:lvlText w:val=""/>
      <w:lvlJc w:val="left"/>
      <w:pPr>
        <w:tabs>
          <w:tab w:val="num" w:pos="6480"/>
        </w:tabs>
        <w:ind w:left="6480" w:hanging="360"/>
      </w:pPr>
      <w:rPr>
        <w:rFonts w:ascii="Wingdings" w:hAnsi="Wingdings"/>
      </w:rPr>
    </w:lvl>
  </w:abstractNum>
  <w:abstractNum w:abstractNumId="29">
    <w:nsid w:val="722305B0"/>
    <w:multiLevelType w:val="hybridMultilevel"/>
    <w:tmpl w:val="722305B0"/>
    <w:lvl w:ilvl="0" w:tplc="75E08F34">
      <w:start w:val="1"/>
      <w:numFmt w:val="bullet"/>
      <w:lvlText w:val=""/>
      <w:lvlJc w:val="left"/>
      <w:pPr>
        <w:ind w:left="720" w:hanging="360"/>
      </w:pPr>
      <w:rPr>
        <w:rFonts w:ascii="Symbol" w:hAnsi="Symbol"/>
      </w:rPr>
    </w:lvl>
    <w:lvl w:ilvl="1" w:tplc="6590E4B0">
      <w:start w:val="1"/>
      <w:numFmt w:val="bullet"/>
      <w:lvlText w:val="o"/>
      <w:lvlJc w:val="left"/>
      <w:pPr>
        <w:tabs>
          <w:tab w:val="num" w:pos="1440"/>
        </w:tabs>
        <w:ind w:left="1440" w:hanging="360"/>
      </w:pPr>
      <w:rPr>
        <w:rFonts w:ascii="Courier New" w:hAnsi="Courier New"/>
      </w:rPr>
    </w:lvl>
    <w:lvl w:ilvl="2" w:tplc="F61886FC">
      <w:start w:val="1"/>
      <w:numFmt w:val="bullet"/>
      <w:lvlText w:val=""/>
      <w:lvlJc w:val="left"/>
      <w:pPr>
        <w:tabs>
          <w:tab w:val="num" w:pos="2160"/>
        </w:tabs>
        <w:ind w:left="2160" w:hanging="360"/>
      </w:pPr>
      <w:rPr>
        <w:rFonts w:ascii="Wingdings" w:hAnsi="Wingdings"/>
      </w:rPr>
    </w:lvl>
    <w:lvl w:ilvl="3" w:tplc="E4681598">
      <w:start w:val="1"/>
      <w:numFmt w:val="bullet"/>
      <w:lvlText w:val=""/>
      <w:lvlJc w:val="left"/>
      <w:pPr>
        <w:tabs>
          <w:tab w:val="num" w:pos="2880"/>
        </w:tabs>
        <w:ind w:left="2880" w:hanging="360"/>
      </w:pPr>
      <w:rPr>
        <w:rFonts w:ascii="Symbol" w:hAnsi="Symbol"/>
      </w:rPr>
    </w:lvl>
    <w:lvl w:ilvl="4" w:tplc="BCF23766">
      <w:start w:val="1"/>
      <w:numFmt w:val="bullet"/>
      <w:lvlText w:val="o"/>
      <w:lvlJc w:val="left"/>
      <w:pPr>
        <w:tabs>
          <w:tab w:val="num" w:pos="3600"/>
        </w:tabs>
        <w:ind w:left="3600" w:hanging="360"/>
      </w:pPr>
      <w:rPr>
        <w:rFonts w:ascii="Courier New" w:hAnsi="Courier New"/>
      </w:rPr>
    </w:lvl>
    <w:lvl w:ilvl="5" w:tplc="D33050E6">
      <w:start w:val="1"/>
      <w:numFmt w:val="bullet"/>
      <w:lvlText w:val=""/>
      <w:lvlJc w:val="left"/>
      <w:pPr>
        <w:tabs>
          <w:tab w:val="num" w:pos="4320"/>
        </w:tabs>
        <w:ind w:left="4320" w:hanging="360"/>
      </w:pPr>
      <w:rPr>
        <w:rFonts w:ascii="Wingdings" w:hAnsi="Wingdings"/>
      </w:rPr>
    </w:lvl>
    <w:lvl w:ilvl="6" w:tplc="DE702312">
      <w:start w:val="1"/>
      <w:numFmt w:val="bullet"/>
      <w:lvlText w:val=""/>
      <w:lvlJc w:val="left"/>
      <w:pPr>
        <w:tabs>
          <w:tab w:val="num" w:pos="5040"/>
        </w:tabs>
        <w:ind w:left="5040" w:hanging="360"/>
      </w:pPr>
      <w:rPr>
        <w:rFonts w:ascii="Symbol" w:hAnsi="Symbol"/>
      </w:rPr>
    </w:lvl>
    <w:lvl w:ilvl="7" w:tplc="EC062770">
      <w:start w:val="1"/>
      <w:numFmt w:val="bullet"/>
      <w:lvlText w:val="o"/>
      <w:lvlJc w:val="left"/>
      <w:pPr>
        <w:tabs>
          <w:tab w:val="num" w:pos="5760"/>
        </w:tabs>
        <w:ind w:left="5760" w:hanging="360"/>
      </w:pPr>
      <w:rPr>
        <w:rFonts w:ascii="Courier New" w:hAnsi="Courier New"/>
      </w:rPr>
    </w:lvl>
    <w:lvl w:ilvl="8" w:tplc="655039B0">
      <w:start w:val="1"/>
      <w:numFmt w:val="bullet"/>
      <w:lvlText w:val=""/>
      <w:lvlJc w:val="left"/>
      <w:pPr>
        <w:tabs>
          <w:tab w:val="num" w:pos="6480"/>
        </w:tabs>
        <w:ind w:left="6480" w:hanging="360"/>
      </w:pPr>
      <w:rPr>
        <w:rFonts w:ascii="Wingdings" w:hAnsi="Wingdings"/>
      </w:rPr>
    </w:lvl>
  </w:abstractNum>
  <w:abstractNum w:abstractNumId="30">
    <w:nsid w:val="722305B1"/>
    <w:multiLevelType w:val="hybridMultilevel"/>
    <w:tmpl w:val="722305B1"/>
    <w:lvl w:ilvl="0" w:tplc="B60C8C82">
      <w:start w:val="1"/>
      <w:numFmt w:val="bullet"/>
      <w:lvlText w:val=""/>
      <w:lvlJc w:val="left"/>
      <w:pPr>
        <w:ind w:left="720" w:hanging="360"/>
      </w:pPr>
      <w:rPr>
        <w:rFonts w:ascii="Symbol" w:hAnsi="Symbol"/>
      </w:rPr>
    </w:lvl>
    <w:lvl w:ilvl="1" w:tplc="C838ADAC">
      <w:start w:val="1"/>
      <w:numFmt w:val="bullet"/>
      <w:lvlText w:val="o"/>
      <w:lvlJc w:val="left"/>
      <w:pPr>
        <w:tabs>
          <w:tab w:val="num" w:pos="1440"/>
        </w:tabs>
        <w:ind w:left="1440" w:hanging="360"/>
      </w:pPr>
      <w:rPr>
        <w:rFonts w:ascii="Courier New" w:hAnsi="Courier New"/>
      </w:rPr>
    </w:lvl>
    <w:lvl w:ilvl="2" w:tplc="40D69E0C">
      <w:start w:val="1"/>
      <w:numFmt w:val="bullet"/>
      <w:lvlText w:val=""/>
      <w:lvlJc w:val="left"/>
      <w:pPr>
        <w:tabs>
          <w:tab w:val="num" w:pos="2160"/>
        </w:tabs>
        <w:ind w:left="2160" w:hanging="360"/>
      </w:pPr>
      <w:rPr>
        <w:rFonts w:ascii="Wingdings" w:hAnsi="Wingdings"/>
      </w:rPr>
    </w:lvl>
    <w:lvl w:ilvl="3" w:tplc="C0A64796">
      <w:start w:val="1"/>
      <w:numFmt w:val="bullet"/>
      <w:lvlText w:val=""/>
      <w:lvlJc w:val="left"/>
      <w:pPr>
        <w:tabs>
          <w:tab w:val="num" w:pos="2880"/>
        </w:tabs>
        <w:ind w:left="2880" w:hanging="360"/>
      </w:pPr>
      <w:rPr>
        <w:rFonts w:ascii="Symbol" w:hAnsi="Symbol"/>
      </w:rPr>
    </w:lvl>
    <w:lvl w:ilvl="4" w:tplc="9132D4EC">
      <w:start w:val="1"/>
      <w:numFmt w:val="bullet"/>
      <w:lvlText w:val="o"/>
      <w:lvlJc w:val="left"/>
      <w:pPr>
        <w:tabs>
          <w:tab w:val="num" w:pos="3600"/>
        </w:tabs>
        <w:ind w:left="3600" w:hanging="360"/>
      </w:pPr>
      <w:rPr>
        <w:rFonts w:ascii="Courier New" w:hAnsi="Courier New"/>
      </w:rPr>
    </w:lvl>
    <w:lvl w:ilvl="5" w:tplc="153044A2">
      <w:start w:val="1"/>
      <w:numFmt w:val="bullet"/>
      <w:lvlText w:val=""/>
      <w:lvlJc w:val="left"/>
      <w:pPr>
        <w:tabs>
          <w:tab w:val="num" w:pos="4320"/>
        </w:tabs>
        <w:ind w:left="4320" w:hanging="360"/>
      </w:pPr>
      <w:rPr>
        <w:rFonts w:ascii="Wingdings" w:hAnsi="Wingdings"/>
      </w:rPr>
    </w:lvl>
    <w:lvl w:ilvl="6" w:tplc="50E01D94">
      <w:start w:val="1"/>
      <w:numFmt w:val="bullet"/>
      <w:lvlText w:val=""/>
      <w:lvlJc w:val="left"/>
      <w:pPr>
        <w:tabs>
          <w:tab w:val="num" w:pos="5040"/>
        </w:tabs>
        <w:ind w:left="5040" w:hanging="360"/>
      </w:pPr>
      <w:rPr>
        <w:rFonts w:ascii="Symbol" w:hAnsi="Symbol"/>
      </w:rPr>
    </w:lvl>
    <w:lvl w:ilvl="7" w:tplc="F5FEA1A2">
      <w:start w:val="1"/>
      <w:numFmt w:val="bullet"/>
      <w:lvlText w:val="o"/>
      <w:lvlJc w:val="left"/>
      <w:pPr>
        <w:tabs>
          <w:tab w:val="num" w:pos="5760"/>
        </w:tabs>
        <w:ind w:left="5760" w:hanging="360"/>
      </w:pPr>
      <w:rPr>
        <w:rFonts w:ascii="Courier New" w:hAnsi="Courier New"/>
      </w:rPr>
    </w:lvl>
    <w:lvl w:ilvl="8" w:tplc="3CB08D34">
      <w:start w:val="1"/>
      <w:numFmt w:val="bullet"/>
      <w:lvlText w:val=""/>
      <w:lvlJc w:val="left"/>
      <w:pPr>
        <w:tabs>
          <w:tab w:val="num" w:pos="6480"/>
        </w:tabs>
        <w:ind w:left="6480" w:hanging="360"/>
      </w:pPr>
      <w:rPr>
        <w:rFonts w:ascii="Wingdings" w:hAnsi="Wingdings"/>
      </w:rPr>
    </w:lvl>
  </w:abstractNum>
  <w:abstractNum w:abstractNumId="31">
    <w:nsid w:val="722305B2"/>
    <w:multiLevelType w:val="hybridMultilevel"/>
    <w:tmpl w:val="722305B2"/>
    <w:lvl w:ilvl="0" w:tplc="4198E268">
      <w:start w:val="1"/>
      <w:numFmt w:val="bullet"/>
      <w:lvlText w:val=""/>
      <w:lvlJc w:val="left"/>
      <w:pPr>
        <w:ind w:left="720" w:hanging="360"/>
      </w:pPr>
      <w:rPr>
        <w:rFonts w:ascii="Symbol" w:hAnsi="Symbol"/>
      </w:rPr>
    </w:lvl>
    <w:lvl w:ilvl="1" w:tplc="40F2F7CE">
      <w:start w:val="1"/>
      <w:numFmt w:val="bullet"/>
      <w:lvlText w:val="o"/>
      <w:lvlJc w:val="left"/>
      <w:pPr>
        <w:tabs>
          <w:tab w:val="num" w:pos="1440"/>
        </w:tabs>
        <w:ind w:left="1440" w:hanging="360"/>
      </w:pPr>
      <w:rPr>
        <w:rFonts w:ascii="Courier New" w:hAnsi="Courier New"/>
      </w:rPr>
    </w:lvl>
    <w:lvl w:ilvl="2" w:tplc="4E4ABFA2">
      <w:start w:val="1"/>
      <w:numFmt w:val="bullet"/>
      <w:lvlText w:val=""/>
      <w:lvlJc w:val="left"/>
      <w:pPr>
        <w:tabs>
          <w:tab w:val="num" w:pos="2160"/>
        </w:tabs>
        <w:ind w:left="2160" w:hanging="360"/>
      </w:pPr>
      <w:rPr>
        <w:rFonts w:ascii="Wingdings" w:hAnsi="Wingdings"/>
      </w:rPr>
    </w:lvl>
    <w:lvl w:ilvl="3" w:tplc="5886769E">
      <w:start w:val="1"/>
      <w:numFmt w:val="bullet"/>
      <w:lvlText w:val=""/>
      <w:lvlJc w:val="left"/>
      <w:pPr>
        <w:tabs>
          <w:tab w:val="num" w:pos="2880"/>
        </w:tabs>
        <w:ind w:left="2880" w:hanging="360"/>
      </w:pPr>
      <w:rPr>
        <w:rFonts w:ascii="Symbol" w:hAnsi="Symbol"/>
      </w:rPr>
    </w:lvl>
    <w:lvl w:ilvl="4" w:tplc="FDCC0008">
      <w:start w:val="1"/>
      <w:numFmt w:val="bullet"/>
      <w:lvlText w:val="o"/>
      <w:lvlJc w:val="left"/>
      <w:pPr>
        <w:tabs>
          <w:tab w:val="num" w:pos="3600"/>
        </w:tabs>
        <w:ind w:left="3600" w:hanging="360"/>
      </w:pPr>
      <w:rPr>
        <w:rFonts w:ascii="Courier New" w:hAnsi="Courier New"/>
      </w:rPr>
    </w:lvl>
    <w:lvl w:ilvl="5" w:tplc="B468711C">
      <w:start w:val="1"/>
      <w:numFmt w:val="bullet"/>
      <w:lvlText w:val=""/>
      <w:lvlJc w:val="left"/>
      <w:pPr>
        <w:tabs>
          <w:tab w:val="num" w:pos="4320"/>
        </w:tabs>
        <w:ind w:left="4320" w:hanging="360"/>
      </w:pPr>
      <w:rPr>
        <w:rFonts w:ascii="Wingdings" w:hAnsi="Wingdings"/>
      </w:rPr>
    </w:lvl>
    <w:lvl w:ilvl="6" w:tplc="A09868B2">
      <w:start w:val="1"/>
      <w:numFmt w:val="bullet"/>
      <w:lvlText w:val=""/>
      <w:lvlJc w:val="left"/>
      <w:pPr>
        <w:tabs>
          <w:tab w:val="num" w:pos="5040"/>
        </w:tabs>
        <w:ind w:left="5040" w:hanging="360"/>
      </w:pPr>
      <w:rPr>
        <w:rFonts w:ascii="Symbol" w:hAnsi="Symbol"/>
      </w:rPr>
    </w:lvl>
    <w:lvl w:ilvl="7" w:tplc="EFAAEF08">
      <w:start w:val="1"/>
      <w:numFmt w:val="bullet"/>
      <w:lvlText w:val="o"/>
      <w:lvlJc w:val="left"/>
      <w:pPr>
        <w:tabs>
          <w:tab w:val="num" w:pos="5760"/>
        </w:tabs>
        <w:ind w:left="5760" w:hanging="360"/>
      </w:pPr>
      <w:rPr>
        <w:rFonts w:ascii="Courier New" w:hAnsi="Courier New"/>
      </w:rPr>
    </w:lvl>
    <w:lvl w:ilvl="8" w:tplc="88DAA970">
      <w:start w:val="1"/>
      <w:numFmt w:val="bullet"/>
      <w:lvlText w:val=""/>
      <w:lvlJc w:val="left"/>
      <w:pPr>
        <w:tabs>
          <w:tab w:val="num" w:pos="6480"/>
        </w:tabs>
        <w:ind w:left="6480" w:hanging="360"/>
      </w:pPr>
      <w:rPr>
        <w:rFonts w:ascii="Wingdings" w:hAnsi="Wingdings"/>
      </w:rPr>
    </w:lvl>
  </w:abstractNum>
  <w:abstractNum w:abstractNumId="32">
    <w:nsid w:val="722305B3"/>
    <w:multiLevelType w:val="hybridMultilevel"/>
    <w:tmpl w:val="722305B3"/>
    <w:lvl w:ilvl="0" w:tplc="FCDAE746">
      <w:start w:val="1"/>
      <w:numFmt w:val="bullet"/>
      <w:lvlText w:val=""/>
      <w:lvlJc w:val="left"/>
      <w:pPr>
        <w:ind w:left="720" w:hanging="360"/>
      </w:pPr>
      <w:rPr>
        <w:rFonts w:ascii="Symbol" w:hAnsi="Symbol"/>
      </w:rPr>
    </w:lvl>
    <w:lvl w:ilvl="1" w:tplc="0F964866">
      <w:start w:val="1"/>
      <w:numFmt w:val="bullet"/>
      <w:lvlText w:val="o"/>
      <w:lvlJc w:val="left"/>
      <w:pPr>
        <w:tabs>
          <w:tab w:val="num" w:pos="1440"/>
        </w:tabs>
        <w:ind w:left="1440" w:hanging="360"/>
      </w:pPr>
      <w:rPr>
        <w:rFonts w:ascii="Courier New" w:hAnsi="Courier New"/>
      </w:rPr>
    </w:lvl>
    <w:lvl w:ilvl="2" w:tplc="C65EC040">
      <w:start w:val="1"/>
      <w:numFmt w:val="bullet"/>
      <w:lvlText w:val=""/>
      <w:lvlJc w:val="left"/>
      <w:pPr>
        <w:tabs>
          <w:tab w:val="num" w:pos="2160"/>
        </w:tabs>
        <w:ind w:left="2160" w:hanging="360"/>
      </w:pPr>
      <w:rPr>
        <w:rFonts w:ascii="Wingdings" w:hAnsi="Wingdings"/>
      </w:rPr>
    </w:lvl>
    <w:lvl w:ilvl="3" w:tplc="D040D708">
      <w:start w:val="1"/>
      <w:numFmt w:val="bullet"/>
      <w:lvlText w:val=""/>
      <w:lvlJc w:val="left"/>
      <w:pPr>
        <w:tabs>
          <w:tab w:val="num" w:pos="2880"/>
        </w:tabs>
        <w:ind w:left="2880" w:hanging="360"/>
      </w:pPr>
      <w:rPr>
        <w:rFonts w:ascii="Symbol" w:hAnsi="Symbol"/>
      </w:rPr>
    </w:lvl>
    <w:lvl w:ilvl="4" w:tplc="FB1E350A">
      <w:start w:val="1"/>
      <w:numFmt w:val="bullet"/>
      <w:lvlText w:val="o"/>
      <w:lvlJc w:val="left"/>
      <w:pPr>
        <w:tabs>
          <w:tab w:val="num" w:pos="3600"/>
        </w:tabs>
        <w:ind w:left="3600" w:hanging="360"/>
      </w:pPr>
      <w:rPr>
        <w:rFonts w:ascii="Courier New" w:hAnsi="Courier New"/>
      </w:rPr>
    </w:lvl>
    <w:lvl w:ilvl="5" w:tplc="14B81B76">
      <w:start w:val="1"/>
      <w:numFmt w:val="bullet"/>
      <w:lvlText w:val=""/>
      <w:lvlJc w:val="left"/>
      <w:pPr>
        <w:tabs>
          <w:tab w:val="num" w:pos="4320"/>
        </w:tabs>
        <w:ind w:left="4320" w:hanging="360"/>
      </w:pPr>
      <w:rPr>
        <w:rFonts w:ascii="Wingdings" w:hAnsi="Wingdings"/>
      </w:rPr>
    </w:lvl>
    <w:lvl w:ilvl="6" w:tplc="D3E6AA98">
      <w:start w:val="1"/>
      <w:numFmt w:val="bullet"/>
      <w:lvlText w:val=""/>
      <w:lvlJc w:val="left"/>
      <w:pPr>
        <w:tabs>
          <w:tab w:val="num" w:pos="5040"/>
        </w:tabs>
        <w:ind w:left="5040" w:hanging="360"/>
      </w:pPr>
      <w:rPr>
        <w:rFonts w:ascii="Symbol" w:hAnsi="Symbol"/>
      </w:rPr>
    </w:lvl>
    <w:lvl w:ilvl="7" w:tplc="FBAC863C">
      <w:start w:val="1"/>
      <w:numFmt w:val="bullet"/>
      <w:lvlText w:val="o"/>
      <w:lvlJc w:val="left"/>
      <w:pPr>
        <w:tabs>
          <w:tab w:val="num" w:pos="5760"/>
        </w:tabs>
        <w:ind w:left="5760" w:hanging="360"/>
      </w:pPr>
      <w:rPr>
        <w:rFonts w:ascii="Courier New" w:hAnsi="Courier New"/>
      </w:rPr>
    </w:lvl>
    <w:lvl w:ilvl="8" w:tplc="428C4516">
      <w:start w:val="1"/>
      <w:numFmt w:val="bullet"/>
      <w:lvlText w:val=""/>
      <w:lvlJc w:val="left"/>
      <w:pPr>
        <w:tabs>
          <w:tab w:val="num" w:pos="6480"/>
        </w:tabs>
        <w:ind w:left="6480" w:hanging="360"/>
      </w:pPr>
      <w:rPr>
        <w:rFonts w:ascii="Wingdings" w:hAnsi="Wingdings"/>
      </w:rPr>
    </w:lvl>
  </w:abstractNum>
  <w:abstractNum w:abstractNumId="33">
    <w:nsid w:val="722305B4"/>
    <w:multiLevelType w:val="hybridMultilevel"/>
    <w:tmpl w:val="722305B4"/>
    <w:lvl w:ilvl="0" w:tplc="B1381F2A">
      <w:start w:val="1"/>
      <w:numFmt w:val="bullet"/>
      <w:lvlText w:val=""/>
      <w:lvlJc w:val="left"/>
      <w:pPr>
        <w:ind w:left="720" w:hanging="360"/>
      </w:pPr>
      <w:rPr>
        <w:rFonts w:ascii="Symbol" w:hAnsi="Symbol"/>
      </w:rPr>
    </w:lvl>
    <w:lvl w:ilvl="1" w:tplc="1772D240">
      <w:start w:val="1"/>
      <w:numFmt w:val="bullet"/>
      <w:lvlText w:val="o"/>
      <w:lvlJc w:val="left"/>
      <w:pPr>
        <w:tabs>
          <w:tab w:val="num" w:pos="1440"/>
        </w:tabs>
        <w:ind w:left="1440" w:hanging="360"/>
      </w:pPr>
      <w:rPr>
        <w:rFonts w:ascii="Courier New" w:hAnsi="Courier New"/>
      </w:rPr>
    </w:lvl>
    <w:lvl w:ilvl="2" w:tplc="8430C84C">
      <w:start w:val="1"/>
      <w:numFmt w:val="bullet"/>
      <w:lvlText w:val=""/>
      <w:lvlJc w:val="left"/>
      <w:pPr>
        <w:tabs>
          <w:tab w:val="num" w:pos="2160"/>
        </w:tabs>
        <w:ind w:left="2160" w:hanging="360"/>
      </w:pPr>
      <w:rPr>
        <w:rFonts w:ascii="Wingdings" w:hAnsi="Wingdings"/>
      </w:rPr>
    </w:lvl>
    <w:lvl w:ilvl="3" w:tplc="810ACAEA">
      <w:start w:val="1"/>
      <w:numFmt w:val="bullet"/>
      <w:lvlText w:val=""/>
      <w:lvlJc w:val="left"/>
      <w:pPr>
        <w:tabs>
          <w:tab w:val="num" w:pos="2880"/>
        </w:tabs>
        <w:ind w:left="2880" w:hanging="360"/>
      </w:pPr>
      <w:rPr>
        <w:rFonts w:ascii="Symbol" w:hAnsi="Symbol"/>
      </w:rPr>
    </w:lvl>
    <w:lvl w:ilvl="4" w:tplc="2A102726">
      <w:start w:val="1"/>
      <w:numFmt w:val="bullet"/>
      <w:lvlText w:val="o"/>
      <w:lvlJc w:val="left"/>
      <w:pPr>
        <w:tabs>
          <w:tab w:val="num" w:pos="3600"/>
        </w:tabs>
        <w:ind w:left="3600" w:hanging="360"/>
      </w:pPr>
      <w:rPr>
        <w:rFonts w:ascii="Courier New" w:hAnsi="Courier New"/>
      </w:rPr>
    </w:lvl>
    <w:lvl w:ilvl="5" w:tplc="4796A786">
      <w:start w:val="1"/>
      <w:numFmt w:val="bullet"/>
      <w:lvlText w:val=""/>
      <w:lvlJc w:val="left"/>
      <w:pPr>
        <w:tabs>
          <w:tab w:val="num" w:pos="4320"/>
        </w:tabs>
        <w:ind w:left="4320" w:hanging="360"/>
      </w:pPr>
      <w:rPr>
        <w:rFonts w:ascii="Wingdings" w:hAnsi="Wingdings"/>
      </w:rPr>
    </w:lvl>
    <w:lvl w:ilvl="6" w:tplc="41969B24">
      <w:start w:val="1"/>
      <w:numFmt w:val="bullet"/>
      <w:lvlText w:val=""/>
      <w:lvlJc w:val="left"/>
      <w:pPr>
        <w:tabs>
          <w:tab w:val="num" w:pos="5040"/>
        </w:tabs>
        <w:ind w:left="5040" w:hanging="360"/>
      </w:pPr>
      <w:rPr>
        <w:rFonts w:ascii="Symbol" w:hAnsi="Symbol"/>
      </w:rPr>
    </w:lvl>
    <w:lvl w:ilvl="7" w:tplc="39A4B5F8">
      <w:start w:val="1"/>
      <w:numFmt w:val="bullet"/>
      <w:lvlText w:val="o"/>
      <w:lvlJc w:val="left"/>
      <w:pPr>
        <w:tabs>
          <w:tab w:val="num" w:pos="5760"/>
        </w:tabs>
        <w:ind w:left="5760" w:hanging="360"/>
      </w:pPr>
      <w:rPr>
        <w:rFonts w:ascii="Courier New" w:hAnsi="Courier New"/>
      </w:rPr>
    </w:lvl>
    <w:lvl w:ilvl="8" w:tplc="95DA4E9C">
      <w:start w:val="1"/>
      <w:numFmt w:val="bullet"/>
      <w:lvlText w:val=""/>
      <w:lvlJc w:val="left"/>
      <w:pPr>
        <w:tabs>
          <w:tab w:val="num" w:pos="6480"/>
        </w:tabs>
        <w:ind w:left="6480" w:hanging="360"/>
      </w:pPr>
      <w:rPr>
        <w:rFonts w:ascii="Wingdings" w:hAnsi="Wingdings"/>
      </w:rPr>
    </w:lvl>
  </w:abstractNum>
  <w:abstractNum w:abstractNumId="34">
    <w:nsid w:val="722305B5"/>
    <w:multiLevelType w:val="hybridMultilevel"/>
    <w:tmpl w:val="722305B5"/>
    <w:lvl w:ilvl="0" w:tplc="AF1C36CC">
      <w:start w:val="1"/>
      <w:numFmt w:val="bullet"/>
      <w:lvlText w:val=""/>
      <w:lvlJc w:val="left"/>
      <w:pPr>
        <w:ind w:left="720" w:hanging="360"/>
      </w:pPr>
      <w:rPr>
        <w:rFonts w:ascii="Symbol" w:hAnsi="Symbol"/>
      </w:rPr>
    </w:lvl>
    <w:lvl w:ilvl="1" w:tplc="A34073B6">
      <w:start w:val="1"/>
      <w:numFmt w:val="bullet"/>
      <w:lvlText w:val="o"/>
      <w:lvlJc w:val="left"/>
      <w:pPr>
        <w:tabs>
          <w:tab w:val="num" w:pos="1440"/>
        </w:tabs>
        <w:ind w:left="1440" w:hanging="360"/>
      </w:pPr>
      <w:rPr>
        <w:rFonts w:ascii="Courier New" w:hAnsi="Courier New"/>
      </w:rPr>
    </w:lvl>
    <w:lvl w:ilvl="2" w:tplc="92565C8E">
      <w:start w:val="1"/>
      <w:numFmt w:val="bullet"/>
      <w:lvlText w:val=""/>
      <w:lvlJc w:val="left"/>
      <w:pPr>
        <w:tabs>
          <w:tab w:val="num" w:pos="2160"/>
        </w:tabs>
        <w:ind w:left="2160" w:hanging="360"/>
      </w:pPr>
      <w:rPr>
        <w:rFonts w:ascii="Wingdings" w:hAnsi="Wingdings"/>
      </w:rPr>
    </w:lvl>
    <w:lvl w:ilvl="3" w:tplc="39F49618">
      <w:start w:val="1"/>
      <w:numFmt w:val="bullet"/>
      <w:lvlText w:val=""/>
      <w:lvlJc w:val="left"/>
      <w:pPr>
        <w:tabs>
          <w:tab w:val="num" w:pos="2880"/>
        </w:tabs>
        <w:ind w:left="2880" w:hanging="360"/>
      </w:pPr>
      <w:rPr>
        <w:rFonts w:ascii="Symbol" w:hAnsi="Symbol"/>
      </w:rPr>
    </w:lvl>
    <w:lvl w:ilvl="4" w:tplc="87D2198C">
      <w:start w:val="1"/>
      <w:numFmt w:val="bullet"/>
      <w:lvlText w:val="o"/>
      <w:lvlJc w:val="left"/>
      <w:pPr>
        <w:tabs>
          <w:tab w:val="num" w:pos="3600"/>
        </w:tabs>
        <w:ind w:left="3600" w:hanging="360"/>
      </w:pPr>
      <w:rPr>
        <w:rFonts w:ascii="Courier New" w:hAnsi="Courier New"/>
      </w:rPr>
    </w:lvl>
    <w:lvl w:ilvl="5" w:tplc="4E428CE8">
      <w:start w:val="1"/>
      <w:numFmt w:val="bullet"/>
      <w:lvlText w:val=""/>
      <w:lvlJc w:val="left"/>
      <w:pPr>
        <w:tabs>
          <w:tab w:val="num" w:pos="4320"/>
        </w:tabs>
        <w:ind w:left="4320" w:hanging="360"/>
      </w:pPr>
      <w:rPr>
        <w:rFonts w:ascii="Wingdings" w:hAnsi="Wingdings"/>
      </w:rPr>
    </w:lvl>
    <w:lvl w:ilvl="6" w:tplc="29680328">
      <w:start w:val="1"/>
      <w:numFmt w:val="bullet"/>
      <w:lvlText w:val=""/>
      <w:lvlJc w:val="left"/>
      <w:pPr>
        <w:tabs>
          <w:tab w:val="num" w:pos="5040"/>
        </w:tabs>
        <w:ind w:left="5040" w:hanging="360"/>
      </w:pPr>
      <w:rPr>
        <w:rFonts w:ascii="Symbol" w:hAnsi="Symbol"/>
      </w:rPr>
    </w:lvl>
    <w:lvl w:ilvl="7" w:tplc="70D2C39E">
      <w:start w:val="1"/>
      <w:numFmt w:val="bullet"/>
      <w:lvlText w:val="o"/>
      <w:lvlJc w:val="left"/>
      <w:pPr>
        <w:tabs>
          <w:tab w:val="num" w:pos="5760"/>
        </w:tabs>
        <w:ind w:left="5760" w:hanging="360"/>
      </w:pPr>
      <w:rPr>
        <w:rFonts w:ascii="Courier New" w:hAnsi="Courier New"/>
      </w:rPr>
    </w:lvl>
    <w:lvl w:ilvl="8" w:tplc="18526410">
      <w:start w:val="1"/>
      <w:numFmt w:val="bullet"/>
      <w:lvlText w:val=""/>
      <w:lvlJc w:val="left"/>
      <w:pPr>
        <w:tabs>
          <w:tab w:val="num" w:pos="6480"/>
        </w:tabs>
        <w:ind w:left="6480" w:hanging="360"/>
      </w:pPr>
      <w:rPr>
        <w:rFonts w:ascii="Wingdings" w:hAnsi="Wingdings"/>
      </w:rPr>
    </w:lvl>
  </w:abstractNum>
  <w:abstractNum w:abstractNumId="35">
    <w:nsid w:val="722305B6"/>
    <w:multiLevelType w:val="hybridMultilevel"/>
    <w:tmpl w:val="722305B6"/>
    <w:lvl w:ilvl="0" w:tplc="C9BE13C0">
      <w:start w:val="1"/>
      <w:numFmt w:val="bullet"/>
      <w:lvlText w:val=""/>
      <w:lvlJc w:val="left"/>
      <w:pPr>
        <w:ind w:left="720" w:hanging="360"/>
      </w:pPr>
      <w:rPr>
        <w:rFonts w:ascii="Symbol" w:hAnsi="Symbol"/>
      </w:rPr>
    </w:lvl>
    <w:lvl w:ilvl="1" w:tplc="248091CA">
      <w:start w:val="1"/>
      <w:numFmt w:val="bullet"/>
      <w:lvlText w:val="o"/>
      <w:lvlJc w:val="left"/>
      <w:pPr>
        <w:tabs>
          <w:tab w:val="num" w:pos="1440"/>
        </w:tabs>
        <w:ind w:left="1440" w:hanging="360"/>
      </w:pPr>
      <w:rPr>
        <w:rFonts w:ascii="Courier New" w:hAnsi="Courier New"/>
      </w:rPr>
    </w:lvl>
    <w:lvl w:ilvl="2" w:tplc="75C6CDAE">
      <w:start w:val="1"/>
      <w:numFmt w:val="bullet"/>
      <w:lvlText w:val=""/>
      <w:lvlJc w:val="left"/>
      <w:pPr>
        <w:tabs>
          <w:tab w:val="num" w:pos="2160"/>
        </w:tabs>
        <w:ind w:left="2160" w:hanging="360"/>
      </w:pPr>
      <w:rPr>
        <w:rFonts w:ascii="Wingdings" w:hAnsi="Wingdings"/>
      </w:rPr>
    </w:lvl>
    <w:lvl w:ilvl="3" w:tplc="1DC21438">
      <w:start w:val="1"/>
      <w:numFmt w:val="bullet"/>
      <w:lvlText w:val=""/>
      <w:lvlJc w:val="left"/>
      <w:pPr>
        <w:tabs>
          <w:tab w:val="num" w:pos="2880"/>
        </w:tabs>
        <w:ind w:left="2880" w:hanging="360"/>
      </w:pPr>
      <w:rPr>
        <w:rFonts w:ascii="Symbol" w:hAnsi="Symbol"/>
      </w:rPr>
    </w:lvl>
    <w:lvl w:ilvl="4" w:tplc="F86876B2">
      <w:start w:val="1"/>
      <w:numFmt w:val="bullet"/>
      <w:lvlText w:val="o"/>
      <w:lvlJc w:val="left"/>
      <w:pPr>
        <w:tabs>
          <w:tab w:val="num" w:pos="3600"/>
        </w:tabs>
        <w:ind w:left="3600" w:hanging="360"/>
      </w:pPr>
      <w:rPr>
        <w:rFonts w:ascii="Courier New" w:hAnsi="Courier New"/>
      </w:rPr>
    </w:lvl>
    <w:lvl w:ilvl="5" w:tplc="ED16EE76">
      <w:start w:val="1"/>
      <w:numFmt w:val="bullet"/>
      <w:lvlText w:val=""/>
      <w:lvlJc w:val="left"/>
      <w:pPr>
        <w:tabs>
          <w:tab w:val="num" w:pos="4320"/>
        </w:tabs>
        <w:ind w:left="4320" w:hanging="360"/>
      </w:pPr>
      <w:rPr>
        <w:rFonts w:ascii="Wingdings" w:hAnsi="Wingdings"/>
      </w:rPr>
    </w:lvl>
    <w:lvl w:ilvl="6" w:tplc="DAC44EE6">
      <w:start w:val="1"/>
      <w:numFmt w:val="bullet"/>
      <w:lvlText w:val=""/>
      <w:lvlJc w:val="left"/>
      <w:pPr>
        <w:tabs>
          <w:tab w:val="num" w:pos="5040"/>
        </w:tabs>
        <w:ind w:left="5040" w:hanging="360"/>
      </w:pPr>
      <w:rPr>
        <w:rFonts w:ascii="Symbol" w:hAnsi="Symbol"/>
      </w:rPr>
    </w:lvl>
    <w:lvl w:ilvl="7" w:tplc="3BC6758C">
      <w:start w:val="1"/>
      <w:numFmt w:val="bullet"/>
      <w:lvlText w:val="o"/>
      <w:lvlJc w:val="left"/>
      <w:pPr>
        <w:tabs>
          <w:tab w:val="num" w:pos="5760"/>
        </w:tabs>
        <w:ind w:left="5760" w:hanging="360"/>
      </w:pPr>
      <w:rPr>
        <w:rFonts w:ascii="Courier New" w:hAnsi="Courier New"/>
      </w:rPr>
    </w:lvl>
    <w:lvl w:ilvl="8" w:tplc="FC248860">
      <w:start w:val="1"/>
      <w:numFmt w:val="bullet"/>
      <w:lvlText w:val=""/>
      <w:lvlJc w:val="left"/>
      <w:pPr>
        <w:tabs>
          <w:tab w:val="num" w:pos="6480"/>
        </w:tabs>
        <w:ind w:left="6480" w:hanging="360"/>
      </w:pPr>
      <w:rPr>
        <w:rFonts w:ascii="Wingdings" w:hAnsi="Wingdings"/>
      </w:rPr>
    </w:lvl>
  </w:abstractNum>
  <w:abstractNum w:abstractNumId="36">
    <w:nsid w:val="722305B7"/>
    <w:multiLevelType w:val="hybridMultilevel"/>
    <w:tmpl w:val="722305B7"/>
    <w:lvl w:ilvl="0" w:tplc="F1DC1F9C">
      <w:start w:val="1"/>
      <w:numFmt w:val="bullet"/>
      <w:lvlText w:val=""/>
      <w:lvlJc w:val="left"/>
      <w:pPr>
        <w:ind w:left="720" w:hanging="360"/>
      </w:pPr>
      <w:rPr>
        <w:rFonts w:ascii="Symbol" w:hAnsi="Symbol"/>
      </w:rPr>
    </w:lvl>
    <w:lvl w:ilvl="1" w:tplc="01E86C24">
      <w:start w:val="1"/>
      <w:numFmt w:val="bullet"/>
      <w:lvlText w:val="o"/>
      <w:lvlJc w:val="left"/>
      <w:pPr>
        <w:tabs>
          <w:tab w:val="num" w:pos="1440"/>
        </w:tabs>
        <w:ind w:left="1440" w:hanging="360"/>
      </w:pPr>
      <w:rPr>
        <w:rFonts w:ascii="Courier New" w:hAnsi="Courier New"/>
      </w:rPr>
    </w:lvl>
    <w:lvl w:ilvl="2" w:tplc="20AA923A">
      <w:start w:val="1"/>
      <w:numFmt w:val="bullet"/>
      <w:lvlText w:val=""/>
      <w:lvlJc w:val="left"/>
      <w:pPr>
        <w:tabs>
          <w:tab w:val="num" w:pos="2160"/>
        </w:tabs>
        <w:ind w:left="2160" w:hanging="360"/>
      </w:pPr>
      <w:rPr>
        <w:rFonts w:ascii="Wingdings" w:hAnsi="Wingdings"/>
      </w:rPr>
    </w:lvl>
    <w:lvl w:ilvl="3" w:tplc="609CD8A4">
      <w:start w:val="1"/>
      <w:numFmt w:val="bullet"/>
      <w:lvlText w:val=""/>
      <w:lvlJc w:val="left"/>
      <w:pPr>
        <w:tabs>
          <w:tab w:val="num" w:pos="2880"/>
        </w:tabs>
        <w:ind w:left="2880" w:hanging="360"/>
      </w:pPr>
      <w:rPr>
        <w:rFonts w:ascii="Symbol" w:hAnsi="Symbol"/>
      </w:rPr>
    </w:lvl>
    <w:lvl w:ilvl="4" w:tplc="89B8C390">
      <w:start w:val="1"/>
      <w:numFmt w:val="bullet"/>
      <w:lvlText w:val="o"/>
      <w:lvlJc w:val="left"/>
      <w:pPr>
        <w:tabs>
          <w:tab w:val="num" w:pos="3600"/>
        </w:tabs>
        <w:ind w:left="3600" w:hanging="360"/>
      </w:pPr>
      <w:rPr>
        <w:rFonts w:ascii="Courier New" w:hAnsi="Courier New"/>
      </w:rPr>
    </w:lvl>
    <w:lvl w:ilvl="5" w:tplc="E4D44920">
      <w:start w:val="1"/>
      <w:numFmt w:val="bullet"/>
      <w:lvlText w:val=""/>
      <w:lvlJc w:val="left"/>
      <w:pPr>
        <w:tabs>
          <w:tab w:val="num" w:pos="4320"/>
        </w:tabs>
        <w:ind w:left="4320" w:hanging="360"/>
      </w:pPr>
      <w:rPr>
        <w:rFonts w:ascii="Wingdings" w:hAnsi="Wingdings"/>
      </w:rPr>
    </w:lvl>
    <w:lvl w:ilvl="6" w:tplc="CA34ADE4">
      <w:start w:val="1"/>
      <w:numFmt w:val="bullet"/>
      <w:lvlText w:val=""/>
      <w:lvlJc w:val="left"/>
      <w:pPr>
        <w:tabs>
          <w:tab w:val="num" w:pos="5040"/>
        </w:tabs>
        <w:ind w:left="5040" w:hanging="360"/>
      </w:pPr>
      <w:rPr>
        <w:rFonts w:ascii="Symbol" w:hAnsi="Symbol"/>
      </w:rPr>
    </w:lvl>
    <w:lvl w:ilvl="7" w:tplc="73F4DF78">
      <w:start w:val="1"/>
      <w:numFmt w:val="bullet"/>
      <w:lvlText w:val="o"/>
      <w:lvlJc w:val="left"/>
      <w:pPr>
        <w:tabs>
          <w:tab w:val="num" w:pos="5760"/>
        </w:tabs>
        <w:ind w:left="5760" w:hanging="360"/>
      </w:pPr>
      <w:rPr>
        <w:rFonts w:ascii="Courier New" w:hAnsi="Courier New"/>
      </w:rPr>
    </w:lvl>
    <w:lvl w:ilvl="8" w:tplc="BF52549C">
      <w:start w:val="1"/>
      <w:numFmt w:val="bullet"/>
      <w:lvlText w:val=""/>
      <w:lvlJc w:val="left"/>
      <w:pPr>
        <w:tabs>
          <w:tab w:val="num" w:pos="6480"/>
        </w:tabs>
        <w:ind w:left="6480" w:hanging="360"/>
      </w:pPr>
      <w:rPr>
        <w:rFonts w:ascii="Wingdings" w:hAnsi="Wingdings"/>
      </w:rPr>
    </w:lvl>
  </w:abstractNum>
  <w:abstractNum w:abstractNumId="37">
    <w:nsid w:val="722305B8"/>
    <w:multiLevelType w:val="hybridMultilevel"/>
    <w:tmpl w:val="722305B8"/>
    <w:lvl w:ilvl="0" w:tplc="3634DDF0">
      <w:start w:val="1"/>
      <w:numFmt w:val="bullet"/>
      <w:lvlText w:val=""/>
      <w:lvlJc w:val="left"/>
      <w:pPr>
        <w:ind w:left="720" w:hanging="360"/>
      </w:pPr>
      <w:rPr>
        <w:rFonts w:ascii="Symbol" w:hAnsi="Symbol"/>
      </w:rPr>
    </w:lvl>
    <w:lvl w:ilvl="1" w:tplc="E29ADD68">
      <w:start w:val="1"/>
      <w:numFmt w:val="bullet"/>
      <w:lvlText w:val="o"/>
      <w:lvlJc w:val="left"/>
      <w:pPr>
        <w:tabs>
          <w:tab w:val="num" w:pos="1440"/>
        </w:tabs>
        <w:ind w:left="1440" w:hanging="360"/>
      </w:pPr>
      <w:rPr>
        <w:rFonts w:ascii="Courier New" w:hAnsi="Courier New"/>
      </w:rPr>
    </w:lvl>
    <w:lvl w:ilvl="2" w:tplc="661A5D50">
      <w:start w:val="1"/>
      <w:numFmt w:val="bullet"/>
      <w:lvlText w:val=""/>
      <w:lvlJc w:val="left"/>
      <w:pPr>
        <w:tabs>
          <w:tab w:val="num" w:pos="2160"/>
        </w:tabs>
        <w:ind w:left="2160" w:hanging="360"/>
      </w:pPr>
      <w:rPr>
        <w:rFonts w:ascii="Wingdings" w:hAnsi="Wingdings"/>
      </w:rPr>
    </w:lvl>
    <w:lvl w:ilvl="3" w:tplc="48FA1D08">
      <w:start w:val="1"/>
      <w:numFmt w:val="bullet"/>
      <w:lvlText w:val=""/>
      <w:lvlJc w:val="left"/>
      <w:pPr>
        <w:tabs>
          <w:tab w:val="num" w:pos="2880"/>
        </w:tabs>
        <w:ind w:left="2880" w:hanging="360"/>
      </w:pPr>
      <w:rPr>
        <w:rFonts w:ascii="Symbol" w:hAnsi="Symbol"/>
      </w:rPr>
    </w:lvl>
    <w:lvl w:ilvl="4" w:tplc="FBF47854">
      <w:start w:val="1"/>
      <w:numFmt w:val="bullet"/>
      <w:lvlText w:val="o"/>
      <w:lvlJc w:val="left"/>
      <w:pPr>
        <w:tabs>
          <w:tab w:val="num" w:pos="3600"/>
        </w:tabs>
        <w:ind w:left="3600" w:hanging="360"/>
      </w:pPr>
      <w:rPr>
        <w:rFonts w:ascii="Courier New" w:hAnsi="Courier New"/>
      </w:rPr>
    </w:lvl>
    <w:lvl w:ilvl="5" w:tplc="CCCE916A">
      <w:start w:val="1"/>
      <w:numFmt w:val="bullet"/>
      <w:lvlText w:val=""/>
      <w:lvlJc w:val="left"/>
      <w:pPr>
        <w:tabs>
          <w:tab w:val="num" w:pos="4320"/>
        </w:tabs>
        <w:ind w:left="4320" w:hanging="360"/>
      </w:pPr>
      <w:rPr>
        <w:rFonts w:ascii="Wingdings" w:hAnsi="Wingdings"/>
      </w:rPr>
    </w:lvl>
    <w:lvl w:ilvl="6" w:tplc="179E6AC0">
      <w:start w:val="1"/>
      <w:numFmt w:val="bullet"/>
      <w:lvlText w:val=""/>
      <w:lvlJc w:val="left"/>
      <w:pPr>
        <w:tabs>
          <w:tab w:val="num" w:pos="5040"/>
        </w:tabs>
        <w:ind w:left="5040" w:hanging="360"/>
      </w:pPr>
      <w:rPr>
        <w:rFonts w:ascii="Symbol" w:hAnsi="Symbol"/>
      </w:rPr>
    </w:lvl>
    <w:lvl w:ilvl="7" w:tplc="D1D0C674">
      <w:start w:val="1"/>
      <w:numFmt w:val="bullet"/>
      <w:lvlText w:val="o"/>
      <w:lvlJc w:val="left"/>
      <w:pPr>
        <w:tabs>
          <w:tab w:val="num" w:pos="5760"/>
        </w:tabs>
        <w:ind w:left="5760" w:hanging="360"/>
      </w:pPr>
      <w:rPr>
        <w:rFonts w:ascii="Courier New" w:hAnsi="Courier New"/>
      </w:rPr>
    </w:lvl>
    <w:lvl w:ilvl="8" w:tplc="048CDB74">
      <w:start w:val="1"/>
      <w:numFmt w:val="bullet"/>
      <w:lvlText w:val=""/>
      <w:lvlJc w:val="left"/>
      <w:pPr>
        <w:tabs>
          <w:tab w:val="num" w:pos="6480"/>
        </w:tabs>
        <w:ind w:left="6480" w:hanging="360"/>
      </w:pPr>
      <w:rPr>
        <w:rFonts w:ascii="Wingdings" w:hAnsi="Wingdings"/>
      </w:rPr>
    </w:lvl>
  </w:abstractNum>
  <w:abstractNum w:abstractNumId="38">
    <w:nsid w:val="722305B9"/>
    <w:multiLevelType w:val="hybridMultilevel"/>
    <w:tmpl w:val="722305B9"/>
    <w:lvl w:ilvl="0" w:tplc="39C23E60">
      <w:start w:val="1"/>
      <w:numFmt w:val="bullet"/>
      <w:lvlText w:val=""/>
      <w:lvlJc w:val="left"/>
      <w:pPr>
        <w:ind w:left="720" w:hanging="360"/>
      </w:pPr>
      <w:rPr>
        <w:rFonts w:ascii="Symbol" w:hAnsi="Symbol"/>
      </w:rPr>
    </w:lvl>
    <w:lvl w:ilvl="1" w:tplc="3AB6E15A">
      <w:start w:val="1"/>
      <w:numFmt w:val="bullet"/>
      <w:lvlText w:val="o"/>
      <w:lvlJc w:val="left"/>
      <w:pPr>
        <w:tabs>
          <w:tab w:val="num" w:pos="1440"/>
        </w:tabs>
        <w:ind w:left="1440" w:hanging="360"/>
      </w:pPr>
      <w:rPr>
        <w:rFonts w:ascii="Courier New" w:hAnsi="Courier New"/>
      </w:rPr>
    </w:lvl>
    <w:lvl w:ilvl="2" w:tplc="E954FCAC">
      <w:start w:val="1"/>
      <w:numFmt w:val="bullet"/>
      <w:lvlText w:val=""/>
      <w:lvlJc w:val="left"/>
      <w:pPr>
        <w:tabs>
          <w:tab w:val="num" w:pos="2160"/>
        </w:tabs>
        <w:ind w:left="2160" w:hanging="360"/>
      </w:pPr>
      <w:rPr>
        <w:rFonts w:ascii="Wingdings" w:hAnsi="Wingdings"/>
      </w:rPr>
    </w:lvl>
    <w:lvl w:ilvl="3" w:tplc="10E0C22C">
      <w:start w:val="1"/>
      <w:numFmt w:val="bullet"/>
      <w:lvlText w:val=""/>
      <w:lvlJc w:val="left"/>
      <w:pPr>
        <w:tabs>
          <w:tab w:val="num" w:pos="2880"/>
        </w:tabs>
        <w:ind w:left="2880" w:hanging="360"/>
      </w:pPr>
      <w:rPr>
        <w:rFonts w:ascii="Symbol" w:hAnsi="Symbol"/>
      </w:rPr>
    </w:lvl>
    <w:lvl w:ilvl="4" w:tplc="A1689898">
      <w:start w:val="1"/>
      <w:numFmt w:val="bullet"/>
      <w:lvlText w:val="o"/>
      <w:lvlJc w:val="left"/>
      <w:pPr>
        <w:tabs>
          <w:tab w:val="num" w:pos="3600"/>
        </w:tabs>
        <w:ind w:left="3600" w:hanging="360"/>
      </w:pPr>
      <w:rPr>
        <w:rFonts w:ascii="Courier New" w:hAnsi="Courier New"/>
      </w:rPr>
    </w:lvl>
    <w:lvl w:ilvl="5" w:tplc="8CCAA92E">
      <w:start w:val="1"/>
      <w:numFmt w:val="bullet"/>
      <w:lvlText w:val=""/>
      <w:lvlJc w:val="left"/>
      <w:pPr>
        <w:tabs>
          <w:tab w:val="num" w:pos="4320"/>
        </w:tabs>
        <w:ind w:left="4320" w:hanging="360"/>
      </w:pPr>
      <w:rPr>
        <w:rFonts w:ascii="Wingdings" w:hAnsi="Wingdings"/>
      </w:rPr>
    </w:lvl>
    <w:lvl w:ilvl="6" w:tplc="C55A825A">
      <w:start w:val="1"/>
      <w:numFmt w:val="bullet"/>
      <w:lvlText w:val=""/>
      <w:lvlJc w:val="left"/>
      <w:pPr>
        <w:tabs>
          <w:tab w:val="num" w:pos="5040"/>
        </w:tabs>
        <w:ind w:left="5040" w:hanging="360"/>
      </w:pPr>
      <w:rPr>
        <w:rFonts w:ascii="Symbol" w:hAnsi="Symbol"/>
      </w:rPr>
    </w:lvl>
    <w:lvl w:ilvl="7" w:tplc="4C689B16">
      <w:start w:val="1"/>
      <w:numFmt w:val="bullet"/>
      <w:lvlText w:val="o"/>
      <w:lvlJc w:val="left"/>
      <w:pPr>
        <w:tabs>
          <w:tab w:val="num" w:pos="5760"/>
        </w:tabs>
        <w:ind w:left="5760" w:hanging="360"/>
      </w:pPr>
      <w:rPr>
        <w:rFonts w:ascii="Courier New" w:hAnsi="Courier New"/>
      </w:rPr>
    </w:lvl>
    <w:lvl w:ilvl="8" w:tplc="4C3E4FF6">
      <w:start w:val="1"/>
      <w:numFmt w:val="bullet"/>
      <w:lvlText w:val=""/>
      <w:lvlJc w:val="left"/>
      <w:pPr>
        <w:tabs>
          <w:tab w:val="num" w:pos="6480"/>
        </w:tabs>
        <w:ind w:left="6480" w:hanging="360"/>
      </w:pPr>
      <w:rPr>
        <w:rFonts w:ascii="Wingdings" w:hAnsi="Wingdings"/>
      </w:rPr>
    </w:lvl>
  </w:abstractNum>
  <w:abstractNum w:abstractNumId="39">
    <w:nsid w:val="722305BA"/>
    <w:multiLevelType w:val="hybridMultilevel"/>
    <w:tmpl w:val="722305BA"/>
    <w:lvl w:ilvl="0" w:tplc="A90CA6FA">
      <w:start w:val="1"/>
      <w:numFmt w:val="bullet"/>
      <w:lvlText w:val=""/>
      <w:lvlJc w:val="left"/>
      <w:pPr>
        <w:ind w:left="720" w:hanging="360"/>
      </w:pPr>
      <w:rPr>
        <w:rFonts w:ascii="Symbol" w:hAnsi="Symbol"/>
      </w:rPr>
    </w:lvl>
    <w:lvl w:ilvl="1" w:tplc="49105B74">
      <w:start w:val="1"/>
      <w:numFmt w:val="bullet"/>
      <w:lvlText w:val="o"/>
      <w:lvlJc w:val="left"/>
      <w:pPr>
        <w:tabs>
          <w:tab w:val="num" w:pos="1440"/>
        </w:tabs>
        <w:ind w:left="1440" w:hanging="360"/>
      </w:pPr>
      <w:rPr>
        <w:rFonts w:ascii="Courier New" w:hAnsi="Courier New"/>
      </w:rPr>
    </w:lvl>
    <w:lvl w:ilvl="2" w:tplc="E1FC22B2">
      <w:start w:val="1"/>
      <w:numFmt w:val="bullet"/>
      <w:lvlText w:val=""/>
      <w:lvlJc w:val="left"/>
      <w:pPr>
        <w:tabs>
          <w:tab w:val="num" w:pos="2160"/>
        </w:tabs>
        <w:ind w:left="2160" w:hanging="360"/>
      </w:pPr>
      <w:rPr>
        <w:rFonts w:ascii="Wingdings" w:hAnsi="Wingdings"/>
      </w:rPr>
    </w:lvl>
    <w:lvl w:ilvl="3" w:tplc="8D323CF0">
      <w:start w:val="1"/>
      <w:numFmt w:val="bullet"/>
      <w:lvlText w:val=""/>
      <w:lvlJc w:val="left"/>
      <w:pPr>
        <w:tabs>
          <w:tab w:val="num" w:pos="2880"/>
        </w:tabs>
        <w:ind w:left="2880" w:hanging="360"/>
      </w:pPr>
      <w:rPr>
        <w:rFonts w:ascii="Symbol" w:hAnsi="Symbol"/>
      </w:rPr>
    </w:lvl>
    <w:lvl w:ilvl="4" w:tplc="42123AE4">
      <w:start w:val="1"/>
      <w:numFmt w:val="bullet"/>
      <w:lvlText w:val="o"/>
      <w:lvlJc w:val="left"/>
      <w:pPr>
        <w:tabs>
          <w:tab w:val="num" w:pos="3600"/>
        </w:tabs>
        <w:ind w:left="3600" w:hanging="360"/>
      </w:pPr>
      <w:rPr>
        <w:rFonts w:ascii="Courier New" w:hAnsi="Courier New"/>
      </w:rPr>
    </w:lvl>
    <w:lvl w:ilvl="5" w:tplc="8682A888">
      <w:start w:val="1"/>
      <w:numFmt w:val="bullet"/>
      <w:lvlText w:val=""/>
      <w:lvlJc w:val="left"/>
      <w:pPr>
        <w:tabs>
          <w:tab w:val="num" w:pos="4320"/>
        </w:tabs>
        <w:ind w:left="4320" w:hanging="360"/>
      </w:pPr>
      <w:rPr>
        <w:rFonts w:ascii="Wingdings" w:hAnsi="Wingdings"/>
      </w:rPr>
    </w:lvl>
    <w:lvl w:ilvl="6" w:tplc="08C0E73E">
      <w:start w:val="1"/>
      <w:numFmt w:val="bullet"/>
      <w:lvlText w:val=""/>
      <w:lvlJc w:val="left"/>
      <w:pPr>
        <w:tabs>
          <w:tab w:val="num" w:pos="5040"/>
        </w:tabs>
        <w:ind w:left="5040" w:hanging="360"/>
      </w:pPr>
      <w:rPr>
        <w:rFonts w:ascii="Symbol" w:hAnsi="Symbol"/>
      </w:rPr>
    </w:lvl>
    <w:lvl w:ilvl="7" w:tplc="C41E68BE">
      <w:start w:val="1"/>
      <w:numFmt w:val="bullet"/>
      <w:lvlText w:val="o"/>
      <w:lvlJc w:val="left"/>
      <w:pPr>
        <w:tabs>
          <w:tab w:val="num" w:pos="5760"/>
        </w:tabs>
        <w:ind w:left="5760" w:hanging="360"/>
      </w:pPr>
      <w:rPr>
        <w:rFonts w:ascii="Courier New" w:hAnsi="Courier New"/>
      </w:rPr>
    </w:lvl>
    <w:lvl w:ilvl="8" w:tplc="A84295C6">
      <w:start w:val="1"/>
      <w:numFmt w:val="bullet"/>
      <w:lvlText w:val=""/>
      <w:lvlJc w:val="left"/>
      <w:pPr>
        <w:tabs>
          <w:tab w:val="num" w:pos="6480"/>
        </w:tabs>
        <w:ind w:left="6480" w:hanging="360"/>
      </w:pPr>
      <w:rPr>
        <w:rFonts w:ascii="Wingdings" w:hAnsi="Wingdings"/>
      </w:rPr>
    </w:lvl>
  </w:abstractNum>
  <w:abstractNum w:abstractNumId="40">
    <w:nsid w:val="75906139"/>
    <w:multiLevelType w:val="hybridMultilevel"/>
    <w:tmpl w:val="653A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6515B"/>
    <w:multiLevelType w:val="hybridMultilevel"/>
    <w:tmpl w:val="F5C66FD2"/>
    <w:lvl w:ilvl="0" w:tplc="BE0C4AE0">
      <w:start w:val="5"/>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num w:numId="1">
    <w:abstractNumId w:val="16"/>
  </w:num>
  <w:num w:numId="2">
    <w:abstractNumId w:val="19"/>
  </w:num>
  <w:num w:numId="3">
    <w:abstractNumId w:val="12"/>
  </w:num>
  <w:num w:numId="4">
    <w:abstractNumId w:val="25"/>
  </w:num>
  <w:num w:numId="5">
    <w:abstractNumId w:val="40"/>
  </w:num>
  <w:num w:numId="6">
    <w:abstractNumId w:val="18"/>
  </w:num>
  <w:num w:numId="7">
    <w:abstractNumId w:val="26"/>
  </w:num>
  <w:num w:numId="8">
    <w:abstractNumId w:val="27"/>
  </w:num>
  <w:num w:numId="9">
    <w:abstractNumId w:val="28"/>
  </w:num>
  <w:num w:numId="10">
    <w:abstractNumId w:val="29"/>
  </w:num>
  <w:num w:numId="11">
    <w:abstractNumId w:val="30"/>
  </w:num>
  <w:num w:numId="12">
    <w:abstractNumId w:val="31"/>
  </w:num>
  <w:num w:numId="13">
    <w:abstractNumId w:val="32"/>
  </w:num>
  <w:num w:numId="14">
    <w:abstractNumId w:val="33"/>
  </w:num>
  <w:num w:numId="15">
    <w:abstractNumId w:val="34"/>
  </w:num>
  <w:num w:numId="16">
    <w:abstractNumId w:val="35"/>
  </w:num>
  <w:num w:numId="17">
    <w:abstractNumId w:val="36"/>
  </w:num>
  <w:num w:numId="18">
    <w:abstractNumId w:val="37"/>
  </w:num>
  <w:num w:numId="19">
    <w:abstractNumId w:val="38"/>
  </w:num>
  <w:num w:numId="20">
    <w:abstractNumId w:val="3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num>
  <w:num w:numId="24">
    <w:abstractNumId w:val="3"/>
  </w:num>
  <w:num w:numId="25">
    <w:abstractNumId w:val="14"/>
  </w:num>
  <w:num w:numId="26">
    <w:abstractNumId w:val="23"/>
  </w:num>
  <w:num w:numId="27">
    <w:abstractNumId w:val="6"/>
  </w:num>
  <w:num w:numId="28">
    <w:abstractNumId w:val="2"/>
  </w:num>
  <w:num w:numId="29">
    <w:abstractNumId w:val="4"/>
  </w:num>
  <w:num w:numId="30">
    <w:abstractNumId w:val="24"/>
  </w:num>
  <w:num w:numId="31">
    <w:abstractNumId w:val="17"/>
  </w:num>
  <w:num w:numId="32">
    <w:abstractNumId w:val="13"/>
  </w:num>
  <w:num w:numId="33">
    <w:abstractNumId w:val="15"/>
  </w:num>
  <w:num w:numId="34">
    <w:abstractNumId w:val="9"/>
  </w:num>
  <w:num w:numId="35">
    <w:abstractNumId w:val="20"/>
  </w:num>
  <w:num w:numId="36">
    <w:abstractNumId w:val="21"/>
  </w:num>
  <w:num w:numId="37">
    <w:abstractNumId w:val="0"/>
  </w:num>
  <w:num w:numId="38">
    <w:abstractNumId w:val="1"/>
  </w:num>
  <w:num w:numId="39">
    <w:abstractNumId w:val="41"/>
  </w:num>
  <w:num w:numId="40">
    <w:abstractNumId w:val="10"/>
  </w:num>
  <w:num w:numId="41">
    <w:abstractNumId w:val="8"/>
  </w:num>
  <w:num w:numId="42">
    <w:abstractNumId w:val="7"/>
  </w:num>
  <w:num w:numId="4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en M. Krastev">
    <w15:presenceInfo w15:providerId="AD" w15:userId="S-1-5-21-3673932534-3318588094-701912851-3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88"/>
    <w:rsid w:val="00002191"/>
    <w:rsid w:val="00003189"/>
    <w:rsid w:val="000045D0"/>
    <w:rsid w:val="00014658"/>
    <w:rsid w:val="000207DD"/>
    <w:rsid w:val="000214ED"/>
    <w:rsid w:val="00022196"/>
    <w:rsid w:val="000330F0"/>
    <w:rsid w:val="00033C6A"/>
    <w:rsid w:val="00044E9F"/>
    <w:rsid w:val="0004715C"/>
    <w:rsid w:val="0005064B"/>
    <w:rsid w:val="00063CAB"/>
    <w:rsid w:val="000727D9"/>
    <w:rsid w:val="000735EA"/>
    <w:rsid w:val="00084468"/>
    <w:rsid w:val="000900B7"/>
    <w:rsid w:val="00090B0D"/>
    <w:rsid w:val="000A0CBB"/>
    <w:rsid w:val="000B0310"/>
    <w:rsid w:val="000B0F93"/>
    <w:rsid w:val="000C0F03"/>
    <w:rsid w:val="000E0305"/>
    <w:rsid w:val="000E5806"/>
    <w:rsid w:val="0011327B"/>
    <w:rsid w:val="001247D2"/>
    <w:rsid w:val="00130329"/>
    <w:rsid w:val="0014452D"/>
    <w:rsid w:val="00150503"/>
    <w:rsid w:val="00173C10"/>
    <w:rsid w:val="00187452"/>
    <w:rsid w:val="00187B4B"/>
    <w:rsid w:val="001A0EA8"/>
    <w:rsid w:val="001B0623"/>
    <w:rsid w:val="001C1818"/>
    <w:rsid w:val="001C1888"/>
    <w:rsid w:val="001D5863"/>
    <w:rsid w:val="001E5635"/>
    <w:rsid w:val="001E61C2"/>
    <w:rsid w:val="001F3411"/>
    <w:rsid w:val="00202023"/>
    <w:rsid w:val="0020521E"/>
    <w:rsid w:val="0021021F"/>
    <w:rsid w:val="00210908"/>
    <w:rsid w:val="00221082"/>
    <w:rsid w:val="00221B71"/>
    <w:rsid w:val="0022366A"/>
    <w:rsid w:val="00224129"/>
    <w:rsid w:val="0022767E"/>
    <w:rsid w:val="002430E7"/>
    <w:rsid w:val="002839E5"/>
    <w:rsid w:val="002858B4"/>
    <w:rsid w:val="00286A8A"/>
    <w:rsid w:val="00292755"/>
    <w:rsid w:val="00293338"/>
    <w:rsid w:val="0029598F"/>
    <w:rsid w:val="002A2333"/>
    <w:rsid w:val="002B1F4C"/>
    <w:rsid w:val="002C5DFB"/>
    <w:rsid w:val="002D4686"/>
    <w:rsid w:val="002E434A"/>
    <w:rsid w:val="002E5054"/>
    <w:rsid w:val="002E5378"/>
    <w:rsid w:val="00301F94"/>
    <w:rsid w:val="0031329E"/>
    <w:rsid w:val="00317B5A"/>
    <w:rsid w:val="00332F89"/>
    <w:rsid w:val="00336C09"/>
    <w:rsid w:val="003411F8"/>
    <w:rsid w:val="003423C3"/>
    <w:rsid w:val="0035332D"/>
    <w:rsid w:val="003541AC"/>
    <w:rsid w:val="00374595"/>
    <w:rsid w:val="00377C8C"/>
    <w:rsid w:val="00380585"/>
    <w:rsid w:val="00391962"/>
    <w:rsid w:val="0039243A"/>
    <w:rsid w:val="00395738"/>
    <w:rsid w:val="003A0188"/>
    <w:rsid w:val="003A4263"/>
    <w:rsid w:val="003A4AC6"/>
    <w:rsid w:val="003B5209"/>
    <w:rsid w:val="003B7162"/>
    <w:rsid w:val="003C0EEA"/>
    <w:rsid w:val="003C4F9F"/>
    <w:rsid w:val="003D0ABC"/>
    <w:rsid w:val="003D37C2"/>
    <w:rsid w:val="003E37BB"/>
    <w:rsid w:val="003E5CA0"/>
    <w:rsid w:val="003F579D"/>
    <w:rsid w:val="00404621"/>
    <w:rsid w:val="004054AB"/>
    <w:rsid w:val="00405E6B"/>
    <w:rsid w:val="004122C8"/>
    <w:rsid w:val="00413C72"/>
    <w:rsid w:val="0042674D"/>
    <w:rsid w:val="00433348"/>
    <w:rsid w:val="00440B39"/>
    <w:rsid w:val="004423B5"/>
    <w:rsid w:val="00442FF8"/>
    <w:rsid w:val="00443BFC"/>
    <w:rsid w:val="00445BFA"/>
    <w:rsid w:val="00451964"/>
    <w:rsid w:val="00453FE6"/>
    <w:rsid w:val="00456CC2"/>
    <w:rsid w:val="004638AF"/>
    <w:rsid w:val="0046494C"/>
    <w:rsid w:val="00465C72"/>
    <w:rsid w:val="00466F77"/>
    <w:rsid w:val="00470DD8"/>
    <w:rsid w:val="004714FE"/>
    <w:rsid w:val="0048154C"/>
    <w:rsid w:val="00486739"/>
    <w:rsid w:val="00492403"/>
    <w:rsid w:val="00495925"/>
    <w:rsid w:val="004B6143"/>
    <w:rsid w:val="004E292B"/>
    <w:rsid w:val="00503886"/>
    <w:rsid w:val="00504BF1"/>
    <w:rsid w:val="00512866"/>
    <w:rsid w:val="00514012"/>
    <w:rsid w:val="00523556"/>
    <w:rsid w:val="0053245E"/>
    <w:rsid w:val="00535CB9"/>
    <w:rsid w:val="00536F7D"/>
    <w:rsid w:val="00542C5E"/>
    <w:rsid w:val="00567D59"/>
    <w:rsid w:val="00571DC2"/>
    <w:rsid w:val="00574775"/>
    <w:rsid w:val="005758AB"/>
    <w:rsid w:val="00580EE0"/>
    <w:rsid w:val="00591FCA"/>
    <w:rsid w:val="005945D8"/>
    <w:rsid w:val="005A7AF6"/>
    <w:rsid w:val="005A7F96"/>
    <w:rsid w:val="005B23B0"/>
    <w:rsid w:val="005B5D64"/>
    <w:rsid w:val="005C1778"/>
    <w:rsid w:val="005C3335"/>
    <w:rsid w:val="005C6301"/>
    <w:rsid w:val="005D45D8"/>
    <w:rsid w:val="005D696C"/>
    <w:rsid w:val="005D6EDA"/>
    <w:rsid w:val="005E18B6"/>
    <w:rsid w:val="00604AFE"/>
    <w:rsid w:val="00610B51"/>
    <w:rsid w:val="00630EE1"/>
    <w:rsid w:val="00635313"/>
    <w:rsid w:val="00647E98"/>
    <w:rsid w:val="00654E6A"/>
    <w:rsid w:val="0065748E"/>
    <w:rsid w:val="006628E6"/>
    <w:rsid w:val="0067237E"/>
    <w:rsid w:val="006727BD"/>
    <w:rsid w:val="00687926"/>
    <w:rsid w:val="00687E6B"/>
    <w:rsid w:val="006A083C"/>
    <w:rsid w:val="006A5ABF"/>
    <w:rsid w:val="006B0D56"/>
    <w:rsid w:val="006B4EEC"/>
    <w:rsid w:val="006C0F85"/>
    <w:rsid w:val="006C41EA"/>
    <w:rsid w:val="006D5D7D"/>
    <w:rsid w:val="006D5EA2"/>
    <w:rsid w:val="006E3844"/>
    <w:rsid w:val="006E52C9"/>
    <w:rsid w:val="006E6C16"/>
    <w:rsid w:val="006E76FD"/>
    <w:rsid w:val="006F0C9C"/>
    <w:rsid w:val="006F74D4"/>
    <w:rsid w:val="00706603"/>
    <w:rsid w:val="0071503F"/>
    <w:rsid w:val="00716092"/>
    <w:rsid w:val="00716508"/>
    <w:rsid w:val="0072048D"/>
    <w:rsid w:val="00721DF2"/>
    <w:rsid w:val="00723C43"/>
    <w:rsid w:val="00744677"/>
    <w:rsid w:val="007572B9"/>
    <w:rsid w:val="00762005"/>
    <w:rsid w:val="00777B32"/>
    <w:rsid w:val="007837AE"/>
    <w:rsid w:val="0079765B"/>
    <w:rsid w:val="007A21E4"/>
    <w:rsid w:val="007B3F0B"/>
    <w:rsid w:val="007C6ADA"/>
    <w:rsid w:val="007C6D57"/>
    <w:rsid w:val="007D0A74"/>
    <w:rsid w:val="007F0E09"/>
    <w:rsid w:val="0081360B"/>
    <w:rsid w:val="00814B64"/>
    <w:rsid w:val="00814FDF"/>
    <w:rsid w:val="00830888"/>
    <w:rsid w:val="008437BE"/>
    <w:rsid w:val="00853960"/>
    <w:rsid w:val="008726B6"/>
    <w:rsid w:val="00890042"/>
    <w:rsid w:val="008A30B8"/>
    <w:rsid w:val="008A3D07"/>
    <w:rsid w:val="008A7AF7"/>
    <w:rsid w:val="008D0A8B"/>
    <w:rsid w:val="008E15FD"/>
    <w:rsid w:val="008E191C"/>
    <w:rsid w:val="008E79F5"/>
    <w:rsid w:val="008F5202"/>
    <w:rsid w:val="008F71B3"/>
    <w:rsid w:val="009009A3"/>
    <w:rsid w:val="00902462"/>
    <w:rsid w:val="00903AE1"/>
    <w:rsid w:val="00907CCA"/>
    <w:rsid w:val="0091145E"/>
    <w:rsid w:val="00913E59"/>
    <w:rsid w:val="0092189E"/>
    <w:rsid w:val="00922368"/>
    <w:rsid w:val="00926617"/>
    <w:rsid w:val="009305EE"/>
    <w:rsid w:val="009475ED"/>
    <w:rsid w:val="0096041D"/>
    <w:rsid w:val="009711EE"/>
    <w:rsid w:val="00974940"/>
    <w:rsid w:val="00975599"/>
    <w:rsid w:val="00977E95"/>
    <w:rsid w:val="00980D44"/>
    <w:rsid w:val="009A057E"/>
    <w:rsid w:val="009A2B23"/>
    <w:rsid w:val="009A467E"/>
    <w:rsid w:val="009A6F17"/>
    <w:rsid w:val="009C1B9E"/>
    <w:rsid w:val="009C4567"/>
    <w:rsid w:val="009C4DFC"/>
    <w:rsid w:val="009D228B"/>
    <w:rsid w:val="009D6846"/>
    <w:rsid w:val="009F60F0"/>
    <w:rsid w:val="009F7693"/>
    <w:rsid w:val="00A015F5"/>
    <w:rsid w:val="00A03831"/>
    <w:rsid w:val="00A16D6A"/>
    <w:rsid w:val="00A310A8"/>
    <w:rsid w:val="00A36BEA"/>
    <w:rsid w:val="00A5080A"/>
    <w:rsid w:val="00A52706"/>
    <w:rsid w:val="00A543A3"/>
    <w:rsid w:val="00A752B3"/>
    <w:rsid w:val="00A75A24"/>
    <w:rsid w:val="00A81A9E"/>
    <w:rsid w:val="00A8336A"/>
    <w:rsid w:val="00A951DD"/>
    <w:rsid w:val="00AA1F3C"/>
    <w:rsid w:val="00AB68BC"/>
    <w:rsid w:val="00AB7D90"/>
    <w:rsid w:val="00AE52AE"/>
    <w:rsid w:val="00AE6688"/>
    <w:rsid w:val="00AF04B0"/>
    <w:rsid w:val="00B106CC"/>
    <w:rsid w:val="00B33AE8"/>
    <w:rsid w:val="00B34684"/>
    <w:rsid w:val="00B366F9"/>
    <w:rsid w:val="00B3712C"/>
    <w:rsid w:val="00B379B7"/>
    <w:rsid w:val="00B40474"/>
    <w:rsid w:val="00B40973"/>
    <w:rsid w:val="00B418E2"/>
    <w:rsid w:val="00B550BA"/>
    <w:rsid w:val="00B74870"/>
    <w:rsid w:val="00B7608E"/>
    <w:rsid w:val="00B8376C"/>
    <w:rsid w:val="00B84FCA"/>
    <w:rsid w:val="00BA7382"/>
    <w:rsid w:val="00BB4224"/>
    <w:rsid w:val="00BB59F4"/>
    <w:rsid w:val="00BB74A6"/>
    <w:rsid w:val="00BC36D1"/>
    <w:rsid w:val="00BC6BA5"/>
    <w:rsid w:val="00BD19C4"/>
    <w:rsid w:val="00BD27EC"/>
    <w:rsid w:val="00BD790F"/>
    <w:rsid w:val="00BE3C80"/>
    <w:rsid w:val="00BE541C"/>
    <w:rsid w:val="00BF7C66"/>
    <w:rsid w:val="00C02466"/>
    <w:rsid w:val="00C10A8B"/>
    <w:rsid w:val="00C23B35"/>
    <w:rsid w:val="00C35CC5"/>
    <w:rsid w:val="00C376AF"/>
    <w:rsid w:val="00C447BF"/>
    <w:rsid w:val="00C50B6F"/>
    <w:rsid w:val="00C54D7B"/>
    <w:rsid w:val="00C648B5"/>
    <w:rsid w:val="00C9204F"/>
    <w:rsid w:val="00C92CF6"/>
    <w:rsid w:val="00C92F4B"/>
    <w:rsid w:val="00CC176E"/>
    <w:rsid w:val="00CD1EE0"/>
    <w:rsid w:val="00CD6CFB"/>
    <w:rsid w:val="00CE751B"/>
    <w:rsid w:val="00CE7878"/>
    <w:rsid w:val="00CF451F"/>
    <w:rsid w:val="00D004E0"/>
    <w:rsid w:val="00D10E40"/>
    <w:rsid w:val="00D130A8"/>
    <w:rsid w:val="00D1736E"/>
    <w:rsid w:val="00D22960"/>
    <w:rsid w:val="00D3491E"/>
    <w:rsid w:val="00D41ABC"/>
    <w:rsid w:val="00D55931"/>
    <w:rsid w:val="00D55B9D"/>
    <w:rsid w:val="00D64FCE"/>
    <w:rsid w:val="00D8203D"/>
    <w:rsid w:val="00D8736E"/>
    <w:rsid w:val="00D92B51"/>
    <w:rsid w:val="00D9772C"/>
    <w:rsid w:val="00DA4C60"/>
    <w:rsid w:val="00DA764F"/>
    <w:rsid w:val="00DB6F0C"/>
    <w:rsid w:val="00DC258C"/>
    <w:rsid w:val="00DD5805"/>
    <w:rsid w:val="00DF4607"/>
    <w:rsid w:val="00DF79BC"/>
    <w:rsid w:val="00E053EB"/>
    <w:rsid w:val="00E23FC2"/>
    <w:rsid w:val="00E47476"/>
    <w:rsid w:val="00E5374C"/>
    <w:rsid w:val="00E550CA"/>
    <w:rsid w:val="00E62E7C"/>
    <w:rsid w:val="00E80E24"/>
    <w:rsid w:val="00E823F4"/>
    <w:rsid w:val="00E92525"/>
    <w:rsid w:val="00EA028C"/>
    <w:rsid w:val="00EA22C9"/>
    <w:rsid w:val="00EA3A62"/>
    <w:rsid w:val="00EB743F"/>
    <w:rsid w:val="00EC7FF1"/>
    <w:rsid w:val="00ED22D5"/>
    <w:rsid w:val="00ED3251"/>
    <w:rsid w:val="00ED50DE"/>
    <w:rsid w:val="00EE62AB"/>
    <w:rsid w:val="00EF153A"/>
    <w:rsid w:val="00EF260B"/>
    <w:rsid w:val="00EF675E"/>
    <w:rsid w:val="00F00ABB"/>
    <w:rsid w:val="00F05433"/>
    <w:rsid w:val="00F145D9"/>
    <w:rsid w:val="00F250F8"/>
    <w:rsid w:val="00F25141"/>
    <w:rsid w:val="00F32B87"/>
    <w:rsid w:val="00F3625F"/>
    <w:rsid w:val="00F42E35"/>
    <w:rsid w:val="00F532B4"/>
    <w:rsid w:val="00F54230"/>
    <w:rsid w:val="00F716F9"/>
    <w:rsid w:val="00F80C4D"/>
    <w:rsid w:val="00F81CA3"/>
    <w:rsid w:val="00F956A3"/>
    <w:rsid w:val="00F95EDD"/>
    <w:rsid w:val="00FB06E0"/>
    <w:rsid w:val="00FB6C50"/>
    <w:rsid w:val="00FE05B6"/>
    <w:rsid w:val="00FE15E0"/>
    <w:rsid w:val="00FE165A"/>
    <w:rsid w:val="00FE1910"/>
    <w:rsid w:val="00FE4BCA"/>
    <w:rsid w:val="00FE731B"/>
    <w:rsid w:val="00FF095C"/>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1964"/>
    <w:pPr>
      <w:keepNext/>
      <w:spacing w:after="0" w:line="240" w:lineRule="auto"/>
      <w:ind w:right="3685"/>
      <w:jc w:val="both"/>
      <w:outlineLvl w:val="0"/>
    </w:pPr>
    <w:rPr>
      <w:rFonts w:ascii="HebarU" w:eastAsia="Times New Roman" w:hAnsi="HebarU" w:cs="Times New Roman"/>
      <w:b/>
      <w:szCs w:val="20"/>
      <w:lang w:val="bg-BG"/>
    </w:rPr>
  </w:style>
  <w:style w:type="paragraph" w:styleId="Heading2">
    <w:name w:val="heading 2"/>
    <w:basedOn w:val="Normal"/>
    <w:next w:val="Normal"/>
    <w:link w:val="Heading2Char"/>
    <w:qFormat/>
    <w:rsid w:val="00451964"/>
    <w:pPr>
      <w:keepNext/>
      <w:spacing w:after="0" w:line="360" w:lineRule="auto"/>
      <w:jc w:val="both"/>
      <w:outlineLvl w:val="1"/>
    </w:pPr>
    <w:rPr>
      <w:rFonts w:ascii="HebarU" w:eastAsia="Times New Roman" w:hAnsi="HebarU" w:cs="Times New Roman"/>
      <w:b/>
      <w:szCs w:val="20"/>
      <w:lang w:val="bg-BG"/>
    </w:rPr>
  </w:style>
  <w:style w:type="paragraph" w:styleId="Heading3">
    <w:name w:val="heading 3"/>
    <w:basedOn w:val="Normal"/>
    <w:next w:val="Normal"/>
    <w:link w:val="Heading3Char"/>
    <w:qFormat/>
    <w:rsid w:val="00451964"/>
    <w:pPr>
      <w:keepNext/>
      <w:spacing w:after="0" w:line="240" w:lineRule="auto"/>
      <w:outlineLvl w:val="2"/>
    </w:pPr>
    <w:rPr>
      <w:rFonts w:ascii="HebarU" w:eastAsia="Times New Roman" w:hAnsi="HebarU" w:cs="Times New Roman"/>
      <w:b/>
      <w:szCs w:val="20"/>
      <w:u w:val="single"/>
    </w:rPr>
  </w:style>
  <w:style w:type="paragraph" w:styleId="Heading4">
    <w:name w:val="heading 4"/>
    <w:basedOn w:val="Normal"/>
    <w:next w:val="Normal"/>
    <w:link w:val="Heading4Char"/>
    <w:qFormat/>
    <w:rsid w:val="00451964"/>
    <w:pPr>
      <w:keepNext/>
      <w:spacing w:after="0" w:line="360" w:lineRule="auto"/>
      <w:ind w:left="2880" w:firstLine="720"/>
      <w:jc w:val="both"/>
      <w:outlineLvl w:val="3"/>
    </w:pPr>
    <w:rPr>
      <w:rFonts w:ascii="HebarU" w:eastAsia="Times New Roman" w:hAnsi="HebarU" w:cs="Times New Roman"/>
      <w:b/>
      <w:bCs/>
      <w:sz w:val="28"/>
      <w:szCs w:val="20"/>
      <w:lang w:val="bg-BG"/>
    </w:rPr>
  </w:style>
  <w:style w:type="paragraph" w:styleId="Heading5">
    <w:name w:val="heading 5"/>
    <w:basedOn w:val="Normal"/>
    <w:next w:val="Normal"/>
    <w:link w:val="Heading5Char"/>
    <w:qFormat/>
    <w:rsid w:val="00451964"/>
    <w:pPr>
      <w:keepNext/>
      <w:spacing w:after="0" w:line="360" w:lineRule="auto"/>
      <w:ind w:firstLine="1134"/>
      <w:jc w:val="both"/>
      <w:outlineLvl w:val="4"/>
    </w:pPr>
    <w:rPr>
      <w:rFonts w:ascii="HebarU" w:eastAsia="Times New Roman" w:hAnsi="HebarU" w:cs="Times New Roman"/>
      <w:b/>
      <w:bCs/>
      <w:sz w:val="40"/>
      <w:szCs w:val="20"/>
      <w:lang w:val="bg-BG"/>
    </w:rPr>
  </w:style>
  <w:style w:type="paragraph" w:styleId="Heading7">
    <w:name w:val="heading 7"/>
    <w:basedOn w:val="Normal"/>
    <w:next w:val="Normal"/>
    <w:link w:val="Heading7Char"/>
    <w:qFormat/>
    <w:rsid w:val="0045196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95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DD"/>
    <w:rPr>
      <w:rFonts w:ascii="Tahoma" w:hAnsi="Tahoma" w:cs="Tahoma"/>
      <w:sz w:val="16"/>
      <w:szCs w:val="16"/>
    </w:rPr>
  </w:style>
  <w:style w:type="paragraph" w:styleId="ListParagraph">
    <w:name w:val="List Paragraph"/>
    <w:basedOn w:val="Normal"/>
    <w:uiPriority w:val="34"/>
    <w:qFormat/>
    <w:rsid w:val="0022366A"/>
    <w:pPr>
      <w:ind w:left="720"/>
      <w:contextualSpacing/>
    </w:pPr>
  </w:style>
  <w:style w:type="paragraph" w:styleId="Footer">
    <w:name w:val="footer"/>
    <w:basedOn w:val="Normal"/>
    <w:link w:val="FooterChar"/>
    <w:uiPriority w:val="99"/>
    <w:unhideWhenUsed/>
    <w:rsid w:val="008E191C"/>
    <w:pPr>
      <w:tabs>
        <w:tab w:val="center" w:pos="4536"/>
        <w:tab w:val="right" w:pos="9072"/>
      </w:tabs>
      <w:spacing w:after="0" w:line="240" w:lineRule="auto"/>
    </w:pPr>
    <w:rPr>
      <w:lang w:val="bg-BG"/>
    </w:rPr>
  </w:style>
  <w:style w:type="character" w:customStyle="1" w:styleId="FooterChar">
    <w:name w:val="Footer Char"/>
    <w:basedOn w:val="DefaultParagraphFont"/>
    <w:link w:val="Footer"/>
    <w:uiPriority w:val="99"/>
    <w:rsid w:val="008E191C"/>
    <w:rPr>
      <w:lang w:val="bg-BG"/>
    </w:rPr>
  </w:style>
  <w:style w:type="paragraph" w:styleId="Header">
    <w:name w:val="header"/>
    <w:basedOn w:val="Normal"/>
    <w:link w:val="HeaderChar"/>
    <w:uiPriority w:val="99"/>
    <w:unhideWhenUsed/>
    <w:rsid w:val="00A015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15F5"/>
  </w:style>
  <w:style w:type="table" w:customStyle="1" w:styleId="TableGrid2">
    <w:name w:val="Table Grid2"/>
    <w:basedOn w:val="TableNormal"/>
    <w:next w:val="TableGrid"/>
    <w:uiPriority w:val="59"/>
    <w:rsid w:val="000B0F93"/>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1964"/>
    <w:rPr>
      <w:rFonts w:ascii="HebarU" w:eastAsia="Times New Roman" w:hAnsi="HebarU" w:cs="Times New Roman"/>
      <w:b/>
      <w:szCs w:val="20"/>
      <w:lang w:val="bg-BG"/>
    </w:rPr>
  </w:style>
  <w:style w:type="character" w:customStyle="1" w:styleId="Heading2Char">
    <w:name w:val="Heading 2 Char"/>
    <w:basedOn w:val="DefaultParagraphFont"/>
    <w:link w:val="Heading2"/>
    <w:rsid w:val="00451964"/>
    <w:rPr>
      <w:rFonts w:ascii="HebarU" w:eastAsia="Times New Roman" w:hAnsi="HebarU" w:cs="Times New Roman"/>
      <w:b/>
      <w:szCs w:val="20"/>
      <w:lang w:val="bg-BG"/>
    </w:rPr>
  </w:style>
  <w:style w:type="character" w:customStyle="1" w:styleId="Heading3Char">
    <w:name w:val="Heading 3 Char"/>
    <w:basedOn w:val="DefaultParagraphFont"/>
    <w:link w:val="Heading3"/>
    <w:rsid w:val="00451964"/>
    <w:rPr>
      <w:rFonts w:ascii="HebarU" w:eastAsia="Times New Roman" w:hAnsi="HebarU" w:cs="Times New Roman"/>
      <w:b/>
      <w:szCs w:val="20"/>
      <w:u w:val="single"/>
    </w:rPr>
  </w:style>
  <w:style w:type="character" w:customStyle="1" w:styleId="Heading4Char">
    <w:name w:val="Heading 4 Char"/>
    <w:basedOn w:val="DefaultParagraphFont"/>
    <w:link w:val="Heading4"/>
    <w:rsid w:val="00451964"/>
    <w:rPr>
      <w:rFonts w:ascii="HebarU" w:eastAsia="Times New Roman" w:hAnsi="HebarU" w:cs="Times New Roman"/>
      <w:b/>
      <w:bCs/>
      <w:sz w:val="28"/>
      <w:szCs w:val="20"/>
      <w:lang w:val="bg-BG"/>
    </w:rPr>
  </w:style>
  <w:style w:type="character" w:customStyle="1" w:styleId="Heading5Char">
    <w:name w:val="Heading 5 Char"/>
    <w:basedOn w:val="DefaultParagraphFont"/>
    <w:link w:val="Heading5"/>
    <w:rsid w:val="00451964"/>
    <w:rPr>
      <w:rFonts w:ascii="HebarU" w:eastAsia="Times New Roman" w:hAnsi="HebarU" w:cs="Times New Roman"/>
      <w:b/>
      <w:bCs/>
      <w:sz w:val="40"/>
      <w:szCs w:val="20"/>
      <w:lang w:val="bg-BG"/>
    </w:rPr>
  </w:style>
  <w:style w:type="character" w:customStyle="1" w:styleId="Heading7Char">
    <w:name w:val="Heading 7 Char"/>
    <w:basedOn w:val="DefaultParagraphFont"/>
    <w:link w:val="Heading7"/>
    <w:rsid w:val="00451964"/>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51964"/>
  </w:style>
  <w:style w:type="character" w:styleId="PageNumber">
    <w:name w:val="page number"/>
    <w:basedOn w:val="DefaultParagraphFont"/>
    <w:rsid w:val="00451964"/>
  </w:style>
  <w:style w:type="paragraph" w:styleId="BodyText">
    <w:name w:val="Body Text"/>
    <w:basedOn w:val="Normal"/>
    <w:link w:val="BodyTextChar"/>
    <w:rsid w:val="00451964"/>
    <w:pPr>
      <w:spacing w:after="0" w:line="240" w:lineRule="auto"/>
      <w:ind w:right="3118"/>
      <w:jc w:val="both"/>
    </w:pPr>
    <w:rPr>
      <w:rFonts w:ascii="HebarU" w:eastAsia="Times New Roman" w:hAnsi="HebarU" w:cs="Times New Roman"/>
      <w:b/>
      <w:szCs w:val="20"/>
      <w:lang w:val="bg-BG"/>
    </w:rPr>
  </w:style>
  <w:style w:type="character" w:customStyle="1" w:styleId="BodyTextChar">
    <w:name w:val="Body Text Char"/>
    <w:basedOn w:val="DefaultParagraphFont"/>
    <w:link w:val="BodyText"/>
    <w:rsid w:val="00451964"/>
    <w:rPr>
      <w:rFonts w:ascii="HebarU" w:eastAsia="Times New Roman" w:hAnsi="HebarU" w:cs="Times New Roman"/>
      <w:b/>
      <w:szCs w:val="20"/>
      <w:lang w:val="bg-BG"/>
    </w:rPr>
  </w:style>
  <w:style w:type="paragraph" w:styleId="BodyText2">
    <w:name w:val="Body Text 2"/>
    <w:basedOn w:val="Normal"/>
    <w:link w:val="BodyText2Char"/>
    <w:rsid w:val="00451964"/>
    <w:pPr>
      <w:spacing w:after="0" w:line="240" w:lineRule="auto"/>
      <w:ind w:right="4535"/>
      <w:jc w:val="both"/>
    </w:pPr>
    <w:rPr>
      <w:rFonts w:ascii="HebarU" w:eastAsia="Times New Roman" w:hAnsi="HebarU" w:cs="Times New Roman"/>
      <w:b/>
      <w:szCs w:val="20"/>
      <w:lang w:val="bg-BG"/>
    </w:rPr>
  </w:style>
  <w:style w:type="character" w:customStyle="1" w:styleId="BodyText2Char">
    <w:name w:val="Body Text 2 Char"/>
    <w:basedOn w:val="DefaultParagraphFont"/>
    <w:link w:val="BodyText2"/>
    <w:rsid w:val="00451964"/>
    <w:rPr>
      <w:rFonts w:ascii="HebarU" w:eastAsia="Times New Roman" w:hAnsi="HebarU" w:cs="Times New Roman"/>
      <w:b/>
      <w:szCs w:val="20"/>
      <w:lang w:val="bg-BG"/>
    </w:rPr>
  </w:style>
  <w:style w:type="paragraph" w:styleId="BodyText3">
    <w:name w:val="Body Text 3"/>
    <w:basedOn w:val="Normal"/>
    <w:link w:val="BodyText3Char"/>
    <w:rsid w:val="00451964"/>
    <w:pPr>
      <w:spacing w:after="0" w:line="240" w:lineRule="auto"/>
      <w:ind w:right="4252"/>
      <w:jc w:val="both"/>
    </w:pPr>
    <w:rPr>
      <w:rFonts w:ascii="HebarU" w:eastAsia="Times New Roman" w:hAnsi="HebarU" w:cs="Times New Roman"/>
      <w:b/>
      <w:szCs w:val="20"/>
      <w:lang w:val="bg-BG"/>
    </w:rPr>
  </w:style>
  <w:style w:type="character" w:customStyle="1" w:styleId="BodyText3Char">
    <w:name w:val="Body Text 3 Char"/>
    <w:basedOn w:val="DefaultParagraphFont"/>
    <w:link w:val="BodyText3"/>
    <w:rsid w:val="00451964"/>
    <w:rPr>
      <w:rFonts w:ascii="HebarU" w:eastAsia="Times New Roman" w:hAnsi="HebarU" w:cs="Times New Roman"/>
      <w:b/>
      <w:szCs w:val="20"/>
      <w:lang w:val="bg-BG"/>
    </w:rPr>
  </w:style>
  <w:style w:type="paragraph" w:styleId="Caption">
    <w:name w:val="caption"/>
    <w:basedOn w:val="Normal"/>
    <w:next w:val="Normal"/>
    <w:qFormat/>
    <w:rsid w:val="00451964"/>
    <w:pPr>
      <w:spacing w:after="20" w:line="240" w:lineRule="auto"/>
      <w:jc w:val="center"/>
    </w:pPr>
    <w:rPr>
      <w:rFonts w:ascii="Times New Roman" w:eastAsia="Times New Roman" w:hAnsi="Times New Roman" w:cs="Times New Roman"/>
      <w:b/>
      <w:caps/>
      <w:szCs w:val="20"/>
      <w:lang w:val="bg-BG"/>
    </w:rPr>
  </w:style>
  <w:style w:type="table" w:customStyle="1" w:styleId="TableGrid1">
    <w:name w:val="Table Grid1"/>
    <w:basedOn w:val="TableNormal"/>
    <w:next w:val="TableGrid"/>
    <w:rsid w:val="004519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51964"/>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1964"/>
    <w:pPr>
      <w:keepNext/>
      <w:spacing w:after="0" w:line="240" w:lineRule="auto"/>
      <w:ind w:right="3685"/>
      <w:jc w:val="both"/>
      <w:outlineLvl w:val="0"/>
    </w:pPr>
    <w:rPr>
      <w:rFonts w:ascii="HebarU" w:eastAsia="Times New Roman" w:hAnsi="HebarU" w:cs="Times New Roman"/>
      <w:b/>
      <w:szCs w:val="20"/>
      <w:lang w:val="bg-BG"/>
    </w:rPr>
  </w:style>
  <w:style w:type="paragraph" w:styleId="Heading2">
    <w:name w:val="heading 2"/>
    <w:basedOn w:val="Normal"/>
    <w:next w:val="Normal"/>
    <w:link w:val="Heading2Char"/>
    <w:qFormat/>
    <w:rsid w:val="00451964"/>
    <w:pPr>
      <w:keepNext/>
      <w:spacing w:after="0" w:line="360" w:lineRule="auto"/>
      <w:jc w:val="both"/>
      <w:outlineLvl w:val="1"/>
    </w:pPr>
    <w:rPr>
      <w:rFonts w:ascii="HebarU" w:eastAsia="Times New Roman" w:hAnsi="HebarU" w:cs="Times New Roman"/>
      <w:b/>
      <w:szCs w:val="20"/>
      <w:lang w:val="bg-BG"/>
    </w:rPr>
  </w:style>
  <w:style w:type="paragraph" w:styleId="Heading3">
    <w:name w:val="heading 3"/>
    <w:basedOn w:val="Normal"/>
    <w:next w:val="Normal"/>
    <w:link w:val="Heading3Char"/>
    <w:qFormat/>
    <w:rsid w:val="00451964"/>
    <w:pPr>
      <w:keepNext/>
      <w:spacing w:after="0" w:line="240" w:lineRule="auto"/>
      <w:outlineLvl w:val="2"/>
    </w:pPr>
    <w:rPr>
      <w:rFonts w:ascii="HebarU" w:eastAsia="Times New Roman" w:hAnsi="HebarU" w:cs="Times New Roman"/>
      <w:b/>
      <w:szCs w:val="20"/>
      <w:u w:val="single"/>
    </w:rPr>
  </w:style>
  <w:style w:type="paragraph" w:styleId="Heading4">
    <w:name w:val="heading 4"/>
    <w:basedOn w:val="Normal"/>
    <w:next w:val="Normal"/>
    <w:link w:val="Heading4Char"/>
    <w:qFormat/>
    <w:rsid w:val="00451964"/>
    <w:pPr>
      <w:keepNext/>
      <w:spacing w:after="0" w:line="360" w:lineRule="auto"/>
      <w:ind w:left="2880" w:firstLine="720"/>
      <w:jc w:val="both"/>
      <w:outlineLvl w:val="3"/>
    </w:pPr>
    <w:rPr>
      <w:rFonts w:ascii="HebarU" w:eastAsia="Times New Roman" w:hAnsi="HebarU" w:cs="Times New Roman"/>
      <w:b/>
      <w:bCs/>
      <w:sz w:val="28"/>
      <w:szCs w:val="20"/>
      <w:lang w:val="bg-BG"/>
    </w:rPr>
  </w:style>
  <w:style w:type="paragraph" w:styleId="Heading5">
    <w:name w:val="heading 5"/>
    <w:basedOn w:val="Normal"/>
    <w:next w:val="Normal"/>
    <w:link w:val="Heading5Char"/>
    <w:qFormat/>
    <w:rsid w:val="00451964"/>
    <w:pPr>
      <w:keepNext/>
      <w:spacing w:after="0" w:line="360" w:lineRule="auto"/>
      <w:ind w:firstLine="1134"/>
      <w:jc w:val="both"/>
      <w:outlineLvl w:val="4"/>
    </w:pPr>
    <w:rPr>
      <w:rFonts w:ascii="HebarU" w:eastAsia="Times New Roman" w:hAnsi="HebarU" w:cs="Times New Roman"/>
      <w:b/>
      <w:bCs/>
      <w:sz w:val="40"/>
      <w:szCs w:val="20"/>
      <w:lang w:val="bg-BG"/>
    </w:rPr>
  </w:style>
  <w:style w:type="paragraph" w:styleId="Heading7">
    <w:name w:val="heading 7"/>
    <w:basedOn w:val="Normal"/>
    <w:next w:val="Normal"/>
    <w:link w:val="Heading7Char"/>
    <w:qFormat/>
    <w:rsid w:val="0045196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95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DD"/>
    <w:rPr>
      <w:rFonts w:ascii="Tahoma" w:hAnsi="Tahoma" w:cs="Tahoma"/>
      <w:sz w:val="16"/>
      <w:szCs w:val="16"/>
    </w:rPr>
  </w:style>
  <w:style w:type="paragraph" w:styleId="ListParagraph">
    <w:name w:val="List Paragraph"/>
    <w:basedOn w:val="Normal"/>
    <w:uiPriority w:val="34"/>
    <w:qFormat/>
    <w:rsid w:val="0022366A"/>
    <w:pPr>
      <w:ind w:left="720"/>
      <w:contextualSpacing/>
    </w:pPr>
  </w:style>
  <w:style w:type="paragraph" w:styleId="Footer">
    <w:name w:val="footer"/>
    <w:basedOn w:val="Normal"/>
    <w:link w:val="FooterChar"/>
    <w:uiPriority w:val="99"/>
    <w:unhideWhenUsed/>
    <w:rsid w:val="008E191C"/>
    <w:pPr>
      <w:tabs>
        <w:tab w:val="center" w:pos="4536"/>
        <w:tab w:val="right" w:pos="9072"/>
      </w:tabs>
      <w:spacing w:after="0" w:line="240" w:lineRule="auto"/>
    </w:pPr>
    <w:rPr>
      <w:lang w:val="bg-BG"/>
    </w:rPr>
  </w:style>
  <w:style w:type="character" w:customStyle="1" w:styleId="FooterChar">
    <w:name w:val="Footer Char"/>
    <w:basedOn w:val="DefaultParagraphFont"/>
    <w:link w:val="Footer"/>
    <w:uiPriority w:val="99"/>
    <w:rsid w:val="008E191C"/>
    <w:rPr>
      <w:lang w:val="bg-BG"/>
    </w:rPr>
  </w:style>
  <w:style w:type="paragraph" w:styleId="Header">
    <w:name w:val="header"/>
    <w:basedOn w:val="Normal"/>
    <w:link w:val="HeaderChar"/>
    <w:uiPriority w:val="99"/>
    <w:unhideWhenUsed/>
    <w:rsid w:val="00A015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15F5"/>
  </w:style>
  <w:style w:type="table" w:customStyle="1" w:styleId="TableGrid2">
    <w:name w:val="Table Grid2"/>
    <w:basedOn w:val="TableNormal"/>
    <w:next w:val="TableGrid"/>
    <w:uiPriority w:val="59"/>
    <w:rsid w:val="000B0F93"/>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1964"/>
    <w:rPr>
      <w:rFonts w:ascii="HebarU" w:eastAsia="Times New Roman" w:hAnsi="HebarU" w:cs="Times New Roman"/>
      <w:b/>
      <w:szCs w:val="20"/>
      <w:lang w:val="bg-BG"/>
    </w:rPr>
  </w:style>
  <w:style w:type="character" w:customStyle="1" w:styleId="Heading2Char">
    <w:name w:val="Heading 2 Char"/>
    <w:basedOn w:val="DefaultParagraphFont"/>
    <w:link w:val="Heading2"/>
    <w:rsid w:val="00451964"/>
    <w:rPr>
      <w:rFonts w:ascii="HebarU" w:eastAsia="Times New Roman" w:hAnsi="HebarU" w:cs="Times New Roman"/>
      <w:b/>
      <w:szCs w:val="20"/>
      <w:lang w:val="bg-BG"/>
    </w:rPr>
  </w:style>
  <w:style w:type="character" w:customStyle="1" w:styleId="Heading3Char">
    <w:name w:val="Heading 3 Char"/>
    <w:basedOn w:val="DefaultParagraphFont"/>
    <w:link w:val="Heading3"/>
    <w:rsid w:val="00451964"/>
    <w:rPr>
      <w:rFonts w:ascii="HebarU" w:eastAsia="Times New Roman" w:hAnsi="HebarU" w:cs="Times New Roman"/>
      <w:b/>
      <w:szCs w:val="20"/>
      <w:u w:val="single"/>
    </w:rPr>
  </w:style>
  <w:style w:type="character" w:customStyle="1" w:styleId="Heading4Char">
    <w:name w:val="Heading 4 Char"/>
    <w:basedOn w:val="DefaultParagraphFont"/>
    <w:link w:val="Heading4"/>
    <w:rsid w:val="00451964"/>
    <w:rPr>
      <w:rFonts w:ascii="HebarU" w:eastAsia="Times New Roman" w:hAnsi="HebarU" w:cs="Times New Roman"/>
      <w:b/>
      <w:bCs/>
      <w:sz w:val="28"/>
      <w:szCs w:val="20"/>
      <w:lang w:val="bg-BG"/>
    </w:rPr>
  </w:style>
  <w:style w:type="character" w:customStyle="1" w:styleId="Heading5Char">
    <w:name w:val="Heading 5 Char"/>
    <w:basedOn w:val="DefaultParagraphFont"/>
    <w:link w:val="Heading5"/>
    <w:rsid w:val="00451964"/>
    <w:rPr>
      <w:rFonts w:ascii="HebarU" w:eastAsia="Times New Roman" w:hAnsi="HebarU" w:cs="Times New Roman"/>
      <w:b/>
      <w:bCs/>
      <w:sz w:val="40"/>
      <w:szCs w:val="20"/>
      <w:lang w:val="bg-BG"/>
    </w:rPr>
  </w:style>
  <w:style w:type="character" w:customStyle="1" w:styleId="Heading7Char">
    <w:name w:val="Heading 7 Char"/>
    <w:basedOn w:val="DefaultParagraphFont"/>
    <w:link w:val="Heading7"/>
    <w:rsid w:val="00451964"/>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51964"/>
  </w:style>
  <w:style w:type="character" w:styleId="PageNumber">
    <w:name w:val="page number"/>
    <w:basedOn w:val="DefaultParagraphFont"/>
    <w:rsid w:val="00451964"/>
  </w:style>
  <w:style w:type="paragraph" w:styleId="BodyText">
    <w:name w:val="Body Text"/>
    <w:basedOn w:val="Normal"/>
    <w:link w:val="BodyTextChar"/>
    <w:rsid w:val="00451964"/>
    <w:pPr>
      <w:spacing w:after="0" w:line="240" w:lineRule="auto"/>
      <w:ind w:right="3118"/>
      <w:jc w:val="both"/>
    </w:pPr>
    <w:rPr>
      <w:rFonts w:ascii="HebarU" w:eastAsia="Times New Roman" w:hAnsi="HebarU" w:cs="Times New Roman"/>
      <w:b/>
      <w:szCs w:val="20"/>
      <w:lang w:val="bg-BG"/>
    </w:rPr>
  </w:style>
  <w:style w:type="character" w:customStyle="1" w:styleId="BodyTextChar">
    <w:name w:val="Body Text Char"/>
    <w:basedOn w:val="DefaultParagraphFont"/>
    <w:link w:val="BodyText"/>
    <w:rsid w:val="00451964"/>
    <w:rPr>
      <w:rFonts w:ascii="HebarU" w:eastAsia="Times New Roman" w:hAnsi="HebarU" w:cs="Times New Roman"/>
      <w:b/>
      <w:szCs w:val="20"/>
      <w:lang w:val="bg-BG"/>
    </w:rPr>
  </w:style>
  <w:style w:type="paragraph" w:styleId="BodyText2">
    <w:name w:val="Body Text 2"/>
    <w:basedOn w:val="Normal"/>
    <w:link w:val="BodyText2Char"/>
    <w:rsid w:val="00451964"/>
    <w:pPr>
      <w:spacing w:after="0" w:line="240" w:lineRule="auto"/>
      <w:ind w:right="4535"/>
      <w:jc w:val="both"/>
    </w:pPr>
    <w:rPr>
      <w:rFonts w:ascii="HebarU" w:eastAsia="Times New Roman" w:hAnsi="HebarU" w:cs="Times New Roman"/>
      <w:b/>
      <w:szCs w:val="20"/>
      <w:lang w:val="bg-BG"/>
    </w:rPr>
  </w:style>
  <w:style w:type="character" w:customStyle="1" w:styleId="BodyText2Char">
    <w:name w:val="Body Text 2 Char"/>
    <w:basedOn w:val="DefaultParagraphFont"/>
    <w:link w:val="BodyText2"/>
    <w:rsid w:val="00451964"/>
    <w:rPr>
      <w:rFonts w:ascii="HebarU" w:eastAsia="Times New Roman" w:hAnsi="HebarU" w:cs="Times New Roman"/>
      <w:b/>
      <w:szCs w:val="20"/>
      <w:lang w:val="bg-BG"/>
    </w:rPr>
  </w:style>
  <w:style w:type="paragraph" w:styleId="BodyText3">
    <w:name w:val="Body Text 3"/>
    <w:basedOn w:val="Normal"/>
    <w:link w:val="BodyText3Char"/>
    <w:rsid w:val="00451964"/>
    <w:pPr>
      <w:spacing w:after="0" w:line="240" w:lineRule="auto"/>
      <w:ind w:right="4252"/>
      <w:jc w:val="both"/>
    </w:pPr>
    <w:rPr>
      <w:rFonts w:ascii="HebarU" w:eastAsia="Times New Roman" w:hAnsi="HebarU" w:cs="Times New Roman"/>
      <w:b/>
      <w:szCs w:val="20"/>
      <w:lang w:val="bg-BG"/>
    </w:rPr>
  </w:style>
  <w:style w:type="character" w:customStyle="1" w:styleId="BodyText3Char">
    <w:name w:val="Body Text 3 Char"/>
    <w:basedOn w:val="DefaultParagraphFont"/>
    <w:link w:val="BodyText3"/>
    <w:rsid w:val="00451964"/>
    <w:rPr>
      <w:rFonts w:ascii="HebarU" w:eastAsia="Times New Roman" w:hAnsi="HebarU" w:cs="Times New Roman"/>
      <w:b/>
      <w:szCs w:val="20"/>
      <w:lang w:val="bg-BG"/>
    </w:rPr>
  </w:style>
  <w:style w:type="paragraph" w:styleId="Caption">
    <w:name w:val="caption"/>
    <w:basedOn w:val="Normal"/>
    <w:next w:val="Normal"/>
    <w:qFormat/>
    <w:rsid w:val="00451964"/>
    <w:pPr>
      <w:spacing w:after="20" w:line="240" w:lineRule="auto"/>
      <w:jc w:val="center"/>
    </w:pPr>
    <w:rPr>
      <w:rFonts w:ascii="Times New Roman" w:eastAsia="Times New Roman" w:hAnsi="Times New Roman" w:cs="Times New Roman"/>
      <w:b/>
      <w:caps/>
      <w:szCs w:val="20"/>
      <w:lang w:val="bg-BG"/>
    </w:rPr>
  </w:style>
  <w:style w:type="table" w:customStyle="1" w:styleId="TableGrid1">
    <w:name w:val="Table Grid1"/>
    <w:basedOn w:val="TableNormal"/>
    <w:next w:val="TableGrid"/>
    <w:rsid w:val="004519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51964"/>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Structure/GDZGPO.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CBA850-7E6A-4C07-897B-04C9E93B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20239</Words>
  <Characters>115366</Characters>
  <Application>Microsoft Office Word</Application>
  <DocSecurity>0</DocSecurity>
  <Lines>961</Lines>
  <Paragraphs>270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135335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Snezhana Grigorova</dc:creator>
  <cp:lastModifiedBy>Snezhana Grigorova</cp:lastModifiedBy>
  <cp:revision>2</cp:revision>
  <dcterms:created xsi:type="dcterms:W3CDTF">2022-08-23T09:39:00Z</dcterms:created>
  <dcterms:modified xsi:type="dcterms:W3CDTF">2022-08-23T09:39:00Z</dcterms:modified>
</cp:coreProperties>
</file>