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F32" w:rsidRDefault="003C7F32" w:rsidP="003C7F32">
      <w:pPr>
        <w:ind w:left="8647" w:hanging="850"/>
        <w:rPr>
          <w:rFonts w:ascii="Times New Roman" w:hAnsi="Times New Roman" w:cs="Times New Roman"/>
          <w:b/>
          <w:sz w:val="24"/>
          <w:szCs w:val="24"/>
          <w:lang w:val="en-US"/>
        </w:rPr>
      </w:pPr>
      <w:bookmarkStart w:id="0" w:name="_GoBack"/>
      <w:bookmarkEnd w:id="0"/>
      <w:r w:rsidRPr="00D7411B">
        <w:rPr>
          <w:rFonts w:ascii="Times New Roman" w:hAnsi="Times New Roman" w:cs="Times New Roman"/>
          <w:b/>
          <w:sz w:val="24"/>
          <w:szCs w:val="24"/>
        </w:rPr>
        <w:t>Утвърдил:</w:t>
      </w:r>
    </w:p>
    <w:p w:rsidR="00A27736" w:rsidRDefault="006C55C8" w:rsidP="003C7F32">
      <w:pPr>
        <w:ind w:left="7797"/>
        <w:rPr>
          <w:rFonts w:ascii="Times New Roman" w:hAnsi="Times New Roman" w:cs="Times New Roman"/>
          <w:b/>
          <w:sz w:val="24"/>
          <w:szCs w:val="24"/>
        </w:rPr>
      </w:pPr>
      <w:r>
        <w:rPr>
          <w:rFonts w:ascii="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75pt">
            <v:imagedata r:id="rId8" o:title=""/>
            <o:lock v:ext="edit" ungrouping="t" rotation="t" cropping="t" verticies="t" text="t" grouping="t"/>
            <o:signatureline v:ext="edit" id="{E4D7D2BE-BDA1-4CFA-915A-D23285837E12}" provid="{00000000-0000-0000-0000-000000000000}" issignatureline="t"/>
          </v:shape>
        </w:pict>
      </w:r>
    </w:p>
    <w:p w:rsidR="003C7F32" w:rsidRPr="00D7411B" w:rsidRDefault="003C7F32" w:rsidP="00A27736">
      <w:pPr>
        <w:spacing w:after="0" w:line="240" w:lineRule="auto"/>
        <w:ind w:left="7796"/>
        <w:contextualSpacing/>
        <w:rPr>
          <w:rFonts w:ascii="Times New Roman" w:hAnsi="Times New Roman" w:cs="Times New Roman"/>
          <w:b/>
          <w:sz w:val="24"/>
          <w:szCs w:val="24"/>
        </w:rPr>
      </w:pPr>
      <w:r w:rsidRPr="00D7411B">
        <w:rPr>
          <w:rFonts w:ascii="Times New Roman" w:hAnsi="Times New Roman" w:cs="Times New Roman"/>
          <w:b/>
          <w:sz w:val="24"/>
          <w:szCs w:val="24"/>
        </w:rPr>
        <w:t>Ръководител на УО на ПРСР</w:t>
      </w:r>
      <w:r w:rsidR="00753272">
        <w:rPr>
          <w:rFonts w:ascii="Times New Roman" w:hAnsi="Times New Roman" w:cs="Times New Roman"/>
          <w:b/>
          <w:sz w:val="24"/>
          <w:szCs w:val="24"/>
        </w:rPr>
        <w:t xml:space="preserve"> 2014-2020 година</w:t>
      </w:r>
      <w:r w:rsidRPr="00D7411B">
        <w:rPr>
          <w:rFonts w:ascii="Times New Roman" w:hAnsi="Times New Roman" w:cs="Times New Roman"/>
          <w:b/>
          <w:sz w:val="24"/>
          <w:szCs w:val="24"/>
        </w:rPr>
        <w:t>:</w:t>
      </w:r>
    </w:p>
    <w:p w:rsidR="003C7F32" w:rsidRPr="00D8335D" w:rsidRDefault="00D8335D" w:rsidP="00A27736">
      <w:pPr>
        <w:spacing w:after="0" w:line="240" w:lineRule="auto"/>
        <w:ind w:left="7796"/>
        <w:contextualSpacing/>
        <w:rPr>
          <w:rFonts w:ascii="Times New Roman" w:hAnsi="Times New Roman" w:cs="Times New Roman"/>
          <w:b/>
          <w:sz w:val="24"/>
          <w:szCs w:val="24"/>
        </w:rPr>
      </w:pPr>
      <w:r w:rsidRPr="00D8335D">
        <w:rPr>
          <w:rFonts w:ascii="Times New Roman" w:hAnsi="Times New Roman" w:cs="Times New Roman"/>
          <w:b/>
          <w:sz w:val="24"/>
          <w:szCs w:val="24"/>
        </w:rPr>
        <w:t>Д-Р МОМЧИЛ НЕК</w:t>
      </w:r>
      <w:r w:rsidRPr="00D8335D">
        <w:rPr>
          <w:rFonts w:ascii="Times New Roman" w:hAnsi="Times New Roman" w:cs="Times New Roman"/>
          <w:b/>
          <w:sz w:val="24"/>
          <w:szCs w:val="24"/>
        </w:rPr>
        <w:lastRenderedPageBreak/>
        <w:t>ОВ</w:t>
      </w:r>
    </w:p>
    <w:p w:rsidR="003C7F32" w:rsidRDefault="003C7F32" w:rsidP="00A27736">
      <w:pPr>
        <w:spacing w:after="0" w:line="240" w:lineRule="auto"/>
        <w:ind w:left="7796"/>
        <w:contextualSpacing/>
        <w:rPr>
          <w:rFonts w:ascii="Times New Roman" w:hAnsi="Times New Roman" w:cs="Times New Roman"/>
          <w:b/>
          <w:i/>
          <w:sz w:val="24"/>
          <w:szCs w:val="24"/>
        </w:rPr>
      </w:pPr>
      <w:r w:rsidRPr="00D7411B">
        <w:rPr>
          <w:rFonts w:ascii="Times New Roman" w:hAnsi="Times New Roman" w:cs="Times New Roman"/>
          <w:b/>
          <w:i/>
          <w:sz w:val="24"/>
          <w:szCs w:val="24"/>
        </w:rPr>
        <w:t>З</w:t>
      </w:r>
      <w:r w:rsidR="00DC10E4">
        <w:rPr>
          <w:rFonts w:ascii="Times New Roman" w:hAnsi="Times New Roman" w:cs="Times New Roman"/>
          <w:b/>
          <w:i/>
          <w:sz w:val="24"/>
          <w:szCs w:val="24"/>
        </w:rPr>
        <w:t>аместник-министър на земеделието</w:t>
      </w:r>
    </w:p>
    <w:p w:rsidR="00A27736" w:rsidRPr="004D14EC" w:rsidRDefault="00A27736" w:rsidP="00A27736">
      <w:pPr>
        <w:spacing w:after="0" w:line="240" w:lineRule="auto"/>
        <w:ind w:left="7796"/>
        <w:contextualSpacing/>
        <w:rPr>
          <w:rFonts w:ascii="Times New Roman" w:hAnsi="Times New Roman" w:cs="Times New Roman"/>
          <w:b/>
          <w:i/>
          <w:sz w:val="24"/>
          <w:szCs w:val="24"/>
        </w:rPr>
      </w:pPr>
    </w:p>
    <w:tbl>
      <w:tblPr>
        <w:tblStyle w:val="TableGrid"/>
        <w:tblW w:w="14283" w:type="dxa"/>
        <w:shd w:val="clear" w:color="auto" w:fill="DAEEF3" w:themeFill="accent5" w:themeFillTint="33"/>
        <w:tblLook w:val="04A0" w:firstRow="1" w:lastRow="0" w:firstColumn="1" w:lastColumn="0" w:noHBand="0" w:noVBand="1"/>
      </w:tblPr>
      <w:tblGrid>
        <w:gridCol w:w="14283"/>
      </w:tblGrid>
      <w:tr w:rsidR="003C7F32" w:rsidRPr="00D7411B" w:rsidTr="00DC10E4">
        <w:trPr>
          <w:trHeight w:val="1310"/>
        </w:trPr>
        <w:tc>
          <w:tcPr>
            <w:tcW w:w="14283" w:type="dxa"/>
            <w:shd w:val="clear" w:color="auto" w:fill="DAEEF3" w:themeFill="accent5" w:themeFillTint="33"/>
            <w:vAlign w:val="center"/>
          </w:tcPr>
          <w:p w:rsidR="00DC10E4" w:rsidRPr="004D14EC" w:rsidRDefault="003C7F32" w:rsidP="00DC10E4">
            <w:pPr>
              <w:jc w:val="center"/>
              <w:rPr>
                <w:rFonts w:ascii="Times New Roman" w:hAnsi="Times New Roman" w:cs="Times New Roman"/>
                <w:b/>
                <w:sz w:val="24"/>
                <w:szCs w:val="24"/>
              </w:rPr>
            </w:pPr>
            <w:r w:rsidRPr="00D7411B">
              <w:rPr>
                <w:rFonts w:ascii="Times New Roman" w:hAnsi="Times New Roman" w:cs="Times New Roman"/>
                <w:b/>
                <w:sz w:val="24"/>
                <w:szCs w:val="24"/>
              </w:rPr>
              <w:t xml:space="preserve">Таблица за направените предложения и </w:t>
            </w:r>
            <w:r>
              <w:rPr>
                <w:rFonts w:ascii="Times New Roman" w:hAnsi="Times New Roman" w:cs="Times New Roman"/>
                <w:b/>
                <w:sz w:val="24"/>
                <w:szCs w:val="24"/>
              </w:rPr>
              <w:t>възражения</w:t>
            </w:r>
            <w:r w:rsidRPr="00D7411B">
              <w:rPr>
                <w:rFonts w:ascii="Times New Roman" w:hAnsi="Times New Roman" w:cs="Times New Roman"/>
                <w:b/>
                <w:sz w:val="24"/>
                <w:szCs w:val="24"/>
              </w:rPr>
              <w:t xml:space="preserve"> в процеса на обществено обсъждане на </w:t>
            </w:r>
            <w:r w:rsidR="00DC10E4">
              <w:rPr>
                <w:rFonts w:ascii="Times New Roman" w:hAnsi="Times New Roman" w:cs="Times New Roman"/>
                <w:b/>
                <w:sz w:val="24"/>
                <w:szCs w:val="24"/>
              </w:rPr>
              <w:t>п</w:t>
            </w:r>
            <w:r w:rsidR="00DC10E4" w:rsidRPr="00DC10E4">
              <w:rPr>
                <w:rFonts w:ascii="Times New Roman" w:hAnsi="Times New Roman" w:cs="Times New Roman"/>
                <w:b/>
                <w:sz w:val="24"/>
                <w:szCs w:val="24"/>
              </w:rPr>
              <w:t>роцедура чрез подбор №BG06RDNP001-1.004 по подмярка 1.2. „Демонстрационни дейности и действия по осведомяване“ от мярка 1 „Трансфер на знания и действия за осведомяване“</w:t>
            </w:r>
            <w:r w:rsidR="006C6863" w:rsidRPr="006C6863">
              <w:rPr>
                <w:rFonts w:ascii="Times New Roman" w:hAnsi="Times New Roman" w:cs="Times New Roman"/>
                <w:b/>
                <w:bCs/>
                <w:sz w:val="24"/>
                <w:szCs w:val="24"/>
              </w:rPr>
              <w:t>от Програма за развитие на селските райони 2014-2020 г.</w:t>
            </w:r>
          </w:p>
          <w:p w:rsidR="00DC10E4" w:rsidRPr="004D14EC" w:rsidRDefault="00DC10E4" w:rsidP="006C6863">
            <w:pPr>
              <w:spacing w:line="276" w:lineRule="auto"/>
              <w:jc w:val="center"/>
              <w:rPr>
                <w:rFonts w:ascii="Times New Roman" w:hAnsi="Times New Roman" w:cs="Times New Roman"/>
                <w:b/>
                <w:sz w:val="24"/>
                <w:szCs w:val="24"/>
              </w:rPr>
            </w:pPr>
          </w:p>
        </w:tc>
      </w:tr>
    </w:tbl>
    <w:p w:rsidR="00DE7826" w:rsidRDefault="00DE7826">
      <w:pPr>
        <w:rPr>
          <w:lang w:val="en-US"/>
        </w:rPr>
      </w:pPr>
    </w:p>
    <w:tbl>
      <w:tblPr>
        <w:tblStyle w:val="TableGrid"/>
        <w:tblW w:w="14283" w:type="dxa"/>
        <w:tblLayout w:type="fixed"/>
        <w:tblLook w:val="04A0" w:firstRow="1" w:lastRow="0" w:firstColumn="1" w:lastColumn="0" w:noHBand="0" w:noVBand="1"/>
      </w:tblPr>
      <w:tblGrid>
        <w:gridCol w:w="534"/>
        <w:gridCol w:w="1701"/>
        <w:gridCol w:w="1559"/>
        <w:gridCol w:w="6520"/>
        <w:gridCol w:w="3969"/>
      </w:tblGrid>
      <w:tr w:rsidR="00DE7826" w:rsidRPr="001E64C1" w:rsidTr="000D1382">
        <w:tc>
          <w:tcPr>
            <w:tcW w:w="534" w:type="dxa"/>
            <w:shd w:val="clear" w:color="auto" w:fill="auto"/>
            <w:vAlign w:val="center"/>
          </w:tcPr>
          <w:p w:rsidR="00DE7826" w:rsidRPr="001E64C1" w:rsidRDefault="00DE7826" w:rsidP="00C01447">
            <w:pPr>
              <w:jc w:val="center"/>
              <w:rPr>
                <w:rFonts w:ascii="Times New Roman" w:hAnsi="Times New Roman" w:cs="Times New Roman"/>
                <w:b/>
                <w:sz w:val="24"/>
                <w:szCs w:val="24"/>
              </w:rPr>
            </w:pPr>
            <w:r w:rsidRPr="001E64C1">
              <w:rPr>
                <w:rFonts w:ascii="Times New Roman" w:hAnsi="Times New Roman" w:cs="Times New Roman"/>
                <w:b/>
                <w:sz w:val="24"/>
                <w:szCs w:val="24"/>
              </w:rPr>
              <w:t>№</w:t>
            </w:r>
          </w:p>
        </w:tc>
        <w:tc>
          <w:tcPr>
            <w:tcW w:w="1701" w:type="dxa"/>
            <w:shd w:val="clear" w:color="auto" w:fill="auto"/>
            <w:vAlign w:val="center"/>
          </w:tcPr>
          <w:p w:rsidR="00DE7826" w:rsidRPr="001E64C1" w:rsidRDefault="00DE7826" w:rsidP="00C01447">
            <w:pPr>
              <w:jc w:val="center"/>
              <w:rPr>
                <w:rFonts w:ascii="Times New Roman" w:hAnsi="Times New Roman" w:cs="Times New Roman"/>
                <w:b/>
                <w:sz w:val="24"/>
                <w:szCs w:val="24"/>
              </w:rPr>
            </w:pPr>
            <w:r w:rsidRPr="001E64C1">
              <w:rPr>
                <w:rFonts w:ascii="Times New Roman" w:hAnsi="Times New Roman" w:cs="Times New Roman"/>
                <w:b/>
                <w:sz w:val="24"/>
                <w:szCs w:val="24"/>
              </w:rPr>
              <w:t>Данни на подателя</w:t>
            </w:r>
          </w:p>
        </w:tc>
        <w:tc>
          <w:tcPr>
            <w:tcW w:w="1559" w:type="dxa"/>
            <w:shd w:val="clear" w:color="auto" w:fill="auto"/>
            <w:vAlign w:val="center"/>
          </w:tcPr>
          <w:p w:rsidR="00DE7826" w:rsidRPr="001E64C1" w:rsidRDefault="00DE7826" w:rsidP="00C01447">
            <w:pPr>
              <w:jc w:val="center"/>
              <w:rPr>
                <w:rFonts w:ascii="Times New Roman" w:hAnsi="Times New Roman" w:cs="Times New Roman"/>
                <w:b/>
                <w:sz w:val="24"/>
                <w:szCs w:val="24"/>
              </w:rPr>
            </w:pPr>
            <w:r w:rsidRPr="001E64C1">
              <w:rPr>
                <w:rFonts w:ascii="Times New Roman" w:hAnsi="Times New Roman" w:cs="Times New Roman"/>
                <w:b/>
                <w:sz w:val="24"/>
                <w:szCs w:val="24"/>
              </w:rPr>
              <w:t>Дата на получаване</w:t>
            </w:r>
          </w:p>
        </w:tc>
        <w:tc>
          <w:tcPr>
            <w:tcW w:w="6520" w:type="dxa"/>
            <w:shd w:val="clear" w:color="auto" w:fill="auto"/>
            <w:vAlign w:val="center"/>
          </w:tcPr>
          <w:p w:rsidR="00DE7826" w:rsidRPr="001E64C1" w:rsidRDefault="00DE7826" w:rsidP="00C01447">
            <w:pPr>
              <w:jc w:val="center"/>
              <w:rPr>
                <w:rFonts w:ascii="Times New Roman" w:hAnsi="Times New Roman" w:cs="Times New Roman"/>
                <w:b/>
                <w:sz w:val="24"/>
                <w:szCs w:val="24"/>
              </w:rPr>
            </w:pPr>
            <w:r w:rsidRPr="001E64C1">
              <w:rPr>
                <w:rFonts w:ascii="Times New Roman" w:hAnsi="Times New Roman" w:cs="Times New Roman"/>
                <w:b/>
                <w:sz w:val="24"/>
                <w:szCs w:val="24"/>
              </w:rPr>
              <w:t>Коментар/Предложение</w:t>
            </w:r>
          </w:p>
        </w:tc>
        <w:tc>
          <w:tcPr>
            <w:tcW w:w="3969" w:type="dxa"/>
            <w:shd w:val="clear" w:color="auto" w:fill="auto"/>
            <w:vAlign w:val="center"/>
          </w:tcPr>
          <w:p w:rsidR="00DE7826" w:rsidRPr="001E64C1" w:rsidRDefault="00DE7826" w:rsidP="00C01447">
            <w:pPr>
              <w:jc w:val="center"/>
              <w:rPr>
                <w:rFonts w:ascii="Times New Roman" w:hAnsi="Times New Roman" w:cs="Times New Roman"/>
                <w:b/>
                <w:sz w:val="24"/>
                <w:szCs w:val="24"/>
              </w:rPr>
            </w:pPr>
            <w:r w:rsidRPr="001E64C1">
              <w:rPr>
                <w:rFonts w:ascii="Times New Roman" w:hAnsi="Times New Roman" w:cs="Times New Roman"/>
                <w:b/>
                <w:sz w:val="24"/>
                <w:szCs w:val="24"/>
              </w:rPr>
              <w:t>Становище на УО на ПРСР</w:t>
            </w:r>
          </w:p>
        </w:tc>
      </w:tr>
      <w:tr w:rsidR="00DE7826" w:rsidRPr="001E64C1" w:rsidTr="000D1382">
        <w:tc>
          <w:tcPr>
            <w:tcW w:w="534" w:type="dxa"/>
            <w:shd w:val="clear" w:color="auto" w:fill="auto"/>
            <w:vAlign w:val="center"/>
          </w:tcPr>
          <w:p w:rsidR="00DE7826" w:rsidRPr="001E64C1" w:rsidRDefault="006C6863" w:rsidP="00C01447">
            <w:pPr>
              <w:jc w:val="center"/>
              <w:rPr>
                <w:rFonts w:ascii="Times New Roman" w:hAnsi="Times New Roman" w:cs="Times New Roman"/>
                <w:sz w:val="24"/>
                <w:szCs w:val="24"/>
              </w:rPr>
            </w:pPr>
            <w:r w:rsidRPr="001E64C1">
              <w:rPr>
                <w:rFonts w:ascii="Times New Roman" w:hAnsi="Times New Roman" w:cs="Times New Roman"/>
                <w:sz w:val="24"/>
                <w:szCs w:val="24"/>
              </w:rPr>
              <w:t>1</w:t>
            </w:r>
            <w:r w:rsidR="00200F16" w:rsidRPr="001E64C1">
              <w:rPr>
                <w:rFonts w:ascii="Times New Roman" w:hAnsi="Times New Roman" w:cs="Times New Roman"/>
                <w:sz w:val="24"/>
                <w:szCs w:val="24"/>
              </w:rPr>
              <w:t>.</w:t>
            </w:r>
          </w:p>
        </w:tc>
        <w:tc>
          <w:tcPr>
            <w:tcW w:w="1701" w:type="dxa"/>
            <w:shd w:val="clear" w:color="auto" w:fill="auto"/>
            <w:vAlign w:val="center"/>
          </w:tcPr>
          <w:p w:rsidR="00C21C1D" w:rsidRPr="001E64C1" w:rsidRDefault="00F218D4" w:rsidP="00F218D4">
            <w:pPr>
              <w:jc w:val="center"/>
              <w:rPr>
                <w:rFonts w:ascii="Times New Roman" w:hAnsi="Times New Roman" w:cs="Times New Roman"/>
                <w:sz w:val="24"/>
                <w:szCs w:val="24"/>
              </w:rPr>
            </w:pPr>
            <w:r w:rsidRPr="001E64C1">
              <w:rPr>
                <w:rFonts w:ascii="Times New Roman" w:hAnsi="Times New Roman" w:cs="Times New Roman"/>
                <w:sz w:val="24"/>
                <w:szCs w:val="24"/>
              </w:rPr>
              <w:t>Селскостопанска академия</w:t>
            </w:r>
          </w:p>
        </w:tc>
        <w:tc>
          <w:tcPr>
            <w:tcW w:w="1559" w:type="dxa"/>
            <w:shd w:val="clear" w:color="auto" w:fill="auto"/>
            <w:vAlign w:val="center"/>
          </w:tcPr>
          <w:p w:rsidR="00DE7826" w:rsidRPr="001E64C1" w:rsidRDefault="00F218D4" w:rsidP="00C01447">
            <w:pPr>
              <w:jc w:val="center"/>
              <w:rPr>
                <w:rFonts w:ascii="Times New Roman" w:hAnsi="Times New Roman" w:cs="Times New Roman"/>
                <w:sz w:val="24"/>
                <w:szCs w:val="24"/>
              </w:rPr>
            </w:pPr>
            <w:r w:rsidRPr="001E64C1">
              <w:rPr>
                <w:rFonts w:ascii="Times New Roman" w:hAnsi="Times New Roman" w:cs="Times New Roman"/>
                <w:sz w:val="24"/>
                <w:szCs w:val="24"/>
              </w:rPr>
              <w:t>06.07.2022 г.</w:t>
            </w:r>
          </w:p>
        </w:tc>
        <w:tc>
          <w:tcPr>
            <w:tcW w:w="6520" w:type="dxa"/>
            <w:shd w:val="clear" w:color="auto" w:fill="auto"/>
          </w:tcPr>
          <w:p w:rsidR="003346BC" w:rsidRPr="004C4168" w:rsidRDefault="003346BC" w:rsidP="009A3844">
            <w:pPr>
              <w:spacing w:before="120"/>
              <w:jc w:val="both"/>
              <w:rPr>
                <w:rFonts w:ascii="Times New Roman" w:hAnsi="Times New Roman" w:cs="Times New Roman"/>
                <w:b/>
                <w:i/>
                <w:sz w:val="24"/>
                <w:szCs w:val="24"/>
              </w:rPr>
            </w:pPr>
            <w:r w:rsidRPr="004C4168">
              <w:rPr>
                <w:rFonts w:ascii="Times New Roman" w:hAnsi="Times New Roman" w:cs="Times New Roman"/>
                <w:b/>
                <w:i/>
                <w:sz w:val="24"/>
                <w:szCs w:val="24"/>
              </w:rPr>
              <w:t>По отношение на документ „Условия за кандидатстване“</w:t>
            </w:r>
            <w:r>
              <w:rPr>
                <w:rFonts w:ascii="Times New Roman" w:hAnsi="Times New Roman" w:cs="Times New Roman"/>
                <w:b/>
                <w:i/>
                <w:sz w:val="24"/>
                <w:szCs w:val="24"/>
              </w:rPr>
              <w:t>:</w:t>
            </w:r>
          </w:p>
          <w:p w:rsidR="003346BC" w:rsidRPr="009F2C88" w:rsidRDefault="003346BC" w:rsidP="003346BC">
            <w:pPr>
              <w:pStyle w:val="ListParagraph"/>
              <w:numPr>
                <w:ilvl w:val="0"/>
                <w:numId w:val="30"/>
              </w:numPr>
              <w:tabs>
                <w:tab w:val="left" w:pos="317"/>
              </w:tabs>
              <w:ind w:left="0" w:firstLine="0"/>
              <w:jc w:val="both"/>
              <w:rPr>
                <w:rFonts w:ascii="Times New Roman" w:hAnsi="Times New Roman" w:cs="Times New Roman"/>
                <w:sz w:val="24"/>
                <w:szCs w:val="24"/>
              </w:rPr>
            </w:pPr>
            <w:r w:rsidRPr="009F2C88">
              <w:rPr>
                <w:rFonts w:ascii="Times New Roman" w:hAnsi="Times New Roman" w:cs="Times New Roman"/>
                <w:sz w:val="24"/>
                <w:szCs w:val="24"/>
              </w:rPr>
              <w:t xml:space="preserve">Раздел </w:t>
            </w:r>
            <w:r w:rsidRPr="009F2C88">
              <w:rPr>
                <w:rFonts w:ascii="Times New Roman" w:hAnsi="Times New Roman" w:cs="Times New Roman"/>
                <w:b/>
                <w:i/>
                <w:sz w:val="24"/>
                <w:szCs w:val="24"/>
              </w:rPr>
              <w:t>11.1. Допустими кандидати</w:t>
            </w:r>
            <w:r w:rsidRPr="009F2C88">
              <w:rPr>
                <w:rFonts w:ascii="Times New Roman" w:hAnsi="Times New Roman" w:cs="Times New Roman"/>
                <w:sz w:val="24"/>
                <w:szCs w:val="24"/>
              </w:rPr>
              <w:t xml:space="preserve"> (стр. 9), т. 1, буква „в“ „научни институти“ да бъде допълнена и с „ и научни центрове“</w:t>
            </w:r>
            <w:r>
              <w:rPr>
                <w:rFonts w:ascii="Times New Roman" w:hAnsi="Times New Roman" w:cs="Times New Roman"/>
                <w:sz w:val="24"/>
                <w:szCs w:val="24"/>
              </w:rPr>
              <w:t>.</w:t>
            </w:r>
          </w:p>
          <w:p w:rsidR="003346BC" w:rsidRPr="009A3844" w:rsidRDefault="003346BC" w:rsidP="003346BC">
            <w:pPr>
              <w:jc w:val="both"/>
              <w:rPr>
                <w:rFonts w:ascii="Times New Roman" w:hAnsi="Times New Roman" w:cs="Times New Roman"/>
                <w:sz w:val="24"/>
                <w:szCs w:val="24"/>
                <w:lang w:val="en-US"/>
              </w:rPr>
            </w:pPr>
            <w:r w:rsidRPr="009F2C88">
              <w:rPr>
                <w:rFonts w:ascii="Times New Roman" w:hAnsi="Times New Roman" w:cs="Times New Roman"/>
                <w:sz w:val="24"/>
                <w:szCs w:val="24"/>
              </w:rPr>
              <w:t>Мотиви: Съгласно чл. 6, ал. 1 от Закона за Селскостопанска дейност „Научната, научно-приложната дейност и обучението на докторанти се извършват от научни институти и научни центрове към Селскостопанската академия, които са юридически лица.“ По този начин ще се прецизира текста за допустимост и ще се избегне искането на разяснения по време на приема по подмярката.</w:t>
            </w:r>
          </w:p>
          <w:p w:rsidR="003346BC" w:rsidRDefault="00D8335D" w:rsidP="003346BC">
            <w:pPr>
              <w:spacing w:after="120"/>
              <w:jc w:val="both"/>
              <w:rPr>
                <w:rFonts w:ascii="Times New Roman" w:hAnsi="Times New Roman" w:cs="Times New Roman"/>
                <w:sz w:val="24"/>
                <w:szCs w:val="24"/>
              </w:rPr>
            </w:pPr>
            <w:r>
              <w:rPr>
                <w:rFonts w:ascii="Times New Roman" w:hAnsi="Times New Roman" w:cs="Times New Roman"/>
                <w:sz w:val="24"/>
                <w:szCs w:val="24"/>
              </w:rPr>
              <w:t xml:space="preserve">1.1. </w:t>
            </w:r>
            <w:r w:rsidR="003346BC">
              <w:rPr>
                <w:rFonts w:ascii="Times New Roman" w:hAnsi="Times New Roman" w:cs="Times New Roman"/>
                <w:sz w:val="24"/>
                <w:szCs w:val="24"/>
              </w:rPr>
              <w:t xml:space="preserve">Също така предлагаме </w:t>
            </w:r>
            <w:r w:rsidR="003346BC" w:rsidRPr="004C4168">
              <w:rPr>
                <w:rFonts w:ascii="Times New Roman" w:hAnsi="Times New Roman" w:cs="Times New Roman"/>
                <w:sz w:val="24"/>
                <w:szCs w:val="24"/>
              </w:rPr>
              <w:t xml:space="preserve">в </w:t>
            </w:r>
            <w:r w:rsidR="003346BC" w:rsidRPr="00212415">
              <w:rPr>
                <w:rFonts w:ascii="Times New Roman" w:hAnsi="Times New Roman" w:cs="Times New Roman"/>
                <w:b/>
                <w:i/>
                <w:sz w:val="24"/>
                <w:szCs w:val="24"/>
              </w:rPr>
              <w:t>Раздел 24. Списък на документите</w:t>
            </w:r>
            <w:r w:rsidR="003346BC" w:rsidRPr="004C4168">
              <w:rPr>
                <w:rFonts w:ascii="Times New Roman" w:hAnsi="Times New Roman" w:cs="Times New Roman"/>
                <w:sz w:val="24"/>
                <w:szCs w:val="24"/>
              </w:rPr>
              <w:t xml:space="preserve">, които се подават на етап кандидатстване, </w:t>
            </w:r>
            <w:r w:rsidR="003346BC">
              <w:rPr>
                <w:rFonts w:ascii="Times New Roman" w:hAnsi="Times New Roman" w:cs="Times New Roman"/>
                <w:sz w:val="24"/>
                <w:szCs w:val="24"/>
              </w:rPr>
              <w:t xml:space="preserve">т. </w:t>
            </w:r>
            <w:r w:rsidR="003346BC" w:rsidRPr="004C4168">
              <w:rPr>
                <w:rFonts w:ascii="Times New Roman" w:hAnsi="Times New Roman" w:cs="Times New Roman"/>
                <w:sz w:val="24"/>
                <w:szCs w:val="24"/>
              </w:rPr>
              <w:t>24.1. Списък с общи документи, да се прецизират кои документи се изискват за доказване на допустимост</w:t>
            </w:r>
            <w:r w:rsidR="003346BC">
              <w:rPr>
                <w:rFonts w:ascii="Times New Roman" w:hAnsi="Times New Roman" w:cs="Times New Roman"/>
                <w:sz w:val="24"/>
                <w:szCs w:val="24"/>
              </w:rPr>
              <w:t xml:space="preserve"> конкретно, напр. за кандидати </w:t>
            </w:r>
            <w:r w:rsidR="003346BC" w:rsidRPr="00BE65C7">
              <w:rPr>
                <w:rFonts w:ascii="Times New Roman" w:hAnsi="Times New Roman" w:cs="Times New Roman"/>
                <w:sz w:val="24"/>
                <w:szCs w:val="24"/>
              </w:rPr>
              <w:t>по т. 1, буква „</w:t>
            </w:r>
            <w:r w:rsidR="003346BC">
              <w:rPr>
                <w:rFonts w:ascii="Times New Roman" w:hAnsi="Times New Roman" w:cs="Times New Roman"/>
                <w:sz w:val="24"/>
                <w:szCs w:val="24"/>
              </w:rPr>
              <w:t>а</w:t>
            </w:r>
            <w:r w:rsidR="003346BC" w:rsidRPr="00BE65C7">
              <w:rPr>
                <w:rFonts w:ascii="Times New Roman" w:hAnsi="Times New Roman" w:cs="Times New Roman"/>
                <w:sz w:val="24"/>
                <w:szCs w:val="24"/>
              </w:rPr>
              <w:t>“</w:t>
            </w:r>
            <w:r w:rsidR="003346BC">
              <w:rPr>
                <w:rFonts w:ascii="Times New Roman" w:hAnsi="Times New Roman" w:cs="Times New Roman"/>
                <w:sz w:val="24"/>
                <w:szCs w:val="24"/>
              </w:rPr>
              <w:t xml:space="preserve"> от раздел 11.1 се представят следните документи (изреждат се), з</w:t>
            </w:r>
            <w:r w:rsidR="003346BC" w:rsidRPr="00BE65C7">
              <w:rPr>
                <w:rFonts w:ascii="Times New Roman" w:hAnsi="Times New Roman" w:cs="Times New Roman"/>
                <w:sz w:val="24"/>
                <w:szCs w:val="24"/>
              </w:rPr>
              <w:t>а кандидати по т. 1, буква „</w:t>
            </w:r>
            <w:r w:rsidR="003346BC">
              <w:rPr>
                <w:rFonts w:ascii="Times New Roman" w:hAnsi="Times New Roman" w:cs="Times New Roman"/>
                <w:sz w:val="24"/>
                <w:szCs w:val="24"/>
              </w:rPr>
              <w:t>б</w:t>
            </w:r>
            <w:r w:rsidR="003346BC" w:rsidRPr="00BE65C7">
              <w:rPr>
                <w:rFonts w:ascii="Times New Roman" w:hAnsi="Times New Roman" w:cs="Times New Roman"/>
                <w:sz w:val="24"/>
                <w:szCs w:val="24"/>
              </w:rPr>
              <w:t>“ от раздел 11.1 се представят</w:t>
            </w:r>
            <w:r w:rsidR="003346BC">
              <w:rPr>
                <w:rFonts w:ascii="Times New Roman" w:hAnsi="Times New Roman" w:cs="Times New Roman"/>
                <w:sz w:val="24"/>
                <w:szCs w:val="24"/>
              </w:rPr>
              <w:t xml:space="preserve"> … (изреждат се) и т.н. </w:t>
            </w:r>
          </w:p>
          <w:p w:rsidR="00832A88" w:rsidRDefault="00832A88" w:rsidP="003346BC">
            <w:pPr>
              <w:spacing w:after="120"/>
              <w:jc w:val="both"/>
              <w:rPr>
                <w:rFonts w:ascii="Times New Roman" w:hAnsi="Times New Roman" w:cs="Times New Roman"/>
                <w:sz w:val="24"/>
                <w:szCs w:val="24"/>
              </w:rPr>
            </w:pPr>
          </w:p>
          <w:p w:rsidR="00832A88" w:rsidRDefault="00832A88" w:rsidP="003346BC">
            <w:pPr>
              <w:spacing w:after="120"/>
              <w:jc w:val="both"/>
              <w:rPr>
                <w:rFonts w:ascii="Times New Roman" w:hAnsi="Times New Roman" w:cs="Times New Roman"/>
                <w:sz w:val="24"/>
                <w:szCs w:val="24"/>
              </w:rPr>
            </w:pPr>
          </w:p>
          <w:p w:rsidR="00832A88" w:rsidRDefault="00832A88" w:rsidP="003346BC">
            <w:pPr>
              <w:spacing w:after="120"/>
              <w:jc w:val="both"/>
              <w:rPr>
                <w:rFonts w:ascii="Times New Roman" w:hAnsi="Times New Roman" w:cs="Times New Roman"/>
                <w:sz w:val="24"/>
                <w:szCs w:val="24"/>
              </w:rPr>
            </w:pPr>
          </w:p>
          <w:p w:rsidR="00832A88" w:rsidRDefault="00832A88" w:rsidP="003346BC">
            <w:pPr>
              <w:spacing w:after="120"/>
              <w:jc w:val="both"/>
              <w:rPr>
                <w:rFonts w:ascii="Times New Roman" w:hAnsi="Times New Roman" w:cs="Times New Roman"/>
                <w:sz w:val="24"/>
                <w:szCs w:val="24"/>
              </w:rPr>
            </w:pPr>
          </w:p>
          <w:p w:rsidR="00832A88" w:rsidRDefault="00832A88" w:rsidP="003346BC">
            <w:pPr>
              <w:spacing w:after="120"/>
              <w:jc w:val="both"/>
              <w:rPr>
                <w:rFonts w:ascii="Times New Roman" w:hAnsi="Times New Roman" w:cs="Times New Roman"/>
                <w:sz w:val="24"/>
                <w:szCs w:val="24"/>
              </w:rPr>
            </w:pPr>
          </w:p>
          <w:p w:rsidR="00D8335D" w:rsidRDefault="00D8335D" w:rsidP="003346BC">
            <w:pPr>
              <w:spacing w:after="120"/>
              <w:jc w:val="both"/>
              <w:rPr>
                <w:rFonts w:ascii="Times New Roman" w:hAnsi="Times New Roman" w:cs="Times New Roman"/>
                <w:sz w:val="24"/>
                <w:szCs w:val="24"/>
              </w:rPr>
            </w:pPr>
          </w:p>
          <w:p w:rsidR="00D8335D" w:rsidRPr="004C4168" w:rsidRDefault="00D8335D" w:rsidP="003346BC">
            <w:pPr>
              <w:spacing w:after="120"/>
              <w:jc w:val="both"/>
              <w:rPr>
                <w:rFonts w:ascii="Times New Roman" w:hAnsi="Times New Roman" w:cs="Times New Roman"/>
                <w:sz w:val="24"/>
                <w:szCs w:val="24"/>
              </w:rPr>
            </w:pPr>
          </w:p>
          <w:p w:rsidR="003346BC" w:rsidRPr="009F2C88" w:rsidRDefault="003346BC" w:rsidP="00CB3EDC">
            <w:pPr>
              <w:pStyle w:val="ListParagraph"/>
              <w:numPr>
                <w:ilvl w:val="0"/>
                <w:numId w:val="30"/>
              </w:numPr>
              <w:tabs>
                <w:tab w:val="left" w:pos="317"/>
              </w:tabs>
              <w:ind w:left="0" w:firstLine="0"/>
              <w:jc w:val="both"/>
              <w:rPr>
                <w:rFonts w:ascii="Times New Roman" w:hAnsi="Times New Roman" w:cs="Times New Roman"/>
                <w:sz w:val="24"/>
                <w:szCs w:val="24"/>
              </w:rPr>
            </w:pPr>
            <w:r w:rsidRPr="009F2C88">
              <w:rPr>
                <w:rFonts w:ascii="Times New Roman" w:hAnsi="Times New Roman" w:cs="Times New Roman"/>
                <w:b/>
                <w:i/>
                <w:sz w:val="24"/>
                <w:szCs w:val="24"/>
              </w:rPr>
              <w:t>Раздел 13.1. Допустими дейности</w:t>
            </w:r>
            <w:r w:rsidRPr="009F2C88">
              <w:rPr>
                <w:rFonts w:ascii="Times New Roman" w:hAnsi="Times New Roman" w:cs="Times New Roman"/>
                <w:sz w:val="24"/>
                <w:szCs w:val="24"/>
              </w:rPr>
              <w:t>, точки 3-5 (стр. 12)</w:t>
            </w:r>
          </w:p>
          <w:p w:rsidR="003346BC" w:rsidRDefault="003346BC" w:rsidP="00CB3EDC">
            <w:pPr>
              <w:spacing w:after="120"/>
              <w:jc w:val="both"/>
              <w:rPr>
                <w:rFonts w:ascii="Times New Roman" w:hAnsi="Times New Roman" w:cs="Times New Roman"/>
                <w:sz w:val="24"/>
                <w:szCs w:val="24"/>
              </w:rPr>
            </w:pPr>
            <w:r>
              <w:rPr>
                <w:rFonts w:ascii="Times New Roman" w:hAnsi="Times New Roman" w:cs="Times New Roman"/>
                <w:sz w:val="24"/>
                <w:szCs w:val="24"/>
              </w:rPr>
              <w:t>Предлагаме да се въведе нова точка, в която да се посочи, че „</w:t>
            </w:r>
            <w:r w:rsidRPr="006B41B2">
              <w:rPr>
                <w:rFonts w:ascii="Times New Roman" w:hAnsi="Times New Roman" w:cs="Times New Roman"/>
                <w:sz w:val="24"/>
                <w:szCs w:val="24"/>
              </w:rPr>
              <w:t xml:space="preserve">Разходи за инвестиции, необходими за изпълнението на демонстрационни дейности </w:t>
            </w:r>
            <w:r w:rsidRPr="006B41B2">
              <w:rPr>
                <w:rFonts w:ascii="Times New Roman" w:hAnsi="Times New Roman" w:cs="Times New Roman"/>
                <w:b/>
                <w:sz w:val="24"/>
                <w:szCs w:val="24"/>
              </w:rPr>
              <w:t>в областта на селското стопанство</w:t>
            </w:r>
            <w:r>
              <w:rPr>
                <w:rFonts w:ascii="Times New Roman" w:hAnsi="Times New Roman" w:cs="Times New Roman"/>
                <w:b/>
                <w:sz w:val="24"/>
                <w:szCs w:val="24"/>
              </w:rPr>
              <w:t>,</w:t>
            </w:r>
            <w:r>
              <w:rPr>
                <w:rFonts w:ascii="Times New Roman" w:hAnsi="Times New Roman" w:cs="Times New Roman"/>
                <w:sz w:val="24"/>
                <w:szCs w:val="24"/>
              </w:rPr>
              <w:t xml:space="preserve"> се финансират 100% след проведена обществена поръчка и могат да бъдат включени в искане за възстановяване още на първо междинно плащане без да се отчита данъчната амортизационна норма. </w:t>
            </w:r>
            <w:r w:rsidRPr="00126493">
              <w:rPr>
                <w:rFonts w:ascii="Times New Roman" w:hAnsi="Times New Roman" w:cs="Times New Roman"/>
                <w:sz w:val="24"/>
                <w:szCs w:val="24"/>
              </w:rPr>
              <w:t>Закупените материални активи могат да се използват при научно- експерименталните дейности в рамките на конкретния научен институт/ център</w:t>
            </w:r>
            <w:r>
              <w:rPr>
                <w:rFonts w:ascii="Times New Roman" w:hAnsi="Times New Roman" w:cs="Times New Roman"/>
                <w:sz w:val="24"/>
                <w:szCs w:val="24"/>
              </w:rPr>
              <w:t>, бенефициент по сключения административен договор“.</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i/>
                <w:sz w:val="20"/>
                <w:szCs w:val="20"/>
              </w:rPr>
              <w:t>„3. Разходи за инвестиции, необходими за изпълнението на демонстрационни дейности в областта на горското стопанство се финансират под формата на амортизационни разходи.</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i/>
                <w:sz w:val="20"/>
                <w:szCs w:val="20"/>
              </w:rPr>
              <w:t>4. За допустими се считат само амортизационните разходи, съответстващи на продължителността на демонстрационния проект, изчислени в съответствие със Закона за корпоративното подоходно облагане и не могат да надвишават годишните данъчни амортизационни норми, определени за съответните категории активи (Приложение № 5).</w:t>
            </w:r>
          </w:p>
          <w:p w:rsidR="003346BC" w:rsidRPr="009F2C88" w:rsidRDefault="003346BC" w:rsidP="003346BC">
            <w:pPr>
              <w:spacing w:after="120"/>
              <w:ind w:firstLine="709"/>
              <w:jc w:val="both"/>
              <w:rPr>
                <w:rFonts w:ascii="Times New Roman" w:hAnsi="Times New Roman" w:cs="Times New Roman"/>
                <w:sz w:val="20"/>
                <w:szCs w:val="20"/>
              </w:rPr>
            </w:pPr>
            <w:r w:rsidRPr="009F2C88">
              <w:rPr>
                <w:rFonts w:ascii="Times New Roman" w:hAnsi="Times New Roman" w:cs="Times New Roman"/>
                <w:i/>
                <w:sz w:val="20"/>
                <w:szCs w:val="20"/>
              </w:rPr>
              <w:lastRenderedPageBreak/>
              <w:t>5. Подпомаганите активи под формата на амортизационни разходи по т. 3 трябва да се използват само и единствено за демонстрационни дейности, предвидени по проекта и да са придобити след сключване на административния договор</w:t>
            </w:r>
            <w:r w:rsidRPr="009F2C88">
              <w:rPr>
                <w:rFonts w:ascii="Times New Roman" w:hAnsi="Times New Roman" w:cs="Times New Roman"/>
                <w:sz w:val="20"/>
                <w:szCs w:val="20"/>
              </w:rPr>
              <w:t>.“</w:t>
            </w:r>
          </w:p>
          <w:p w:rsidR="003346BC" w:rsidRDefault="003346BC" w:rsidP="00DA19B7">
            <w:pPr>
              <w:spacing w:after="120"/>
              <w:jc w:val="both"/>
              <w:rPr>
                <w:rFonts w:ascii="Times New Roman" w:hAnsi="Times New Roman" w:cs="Times New Roman"/>
                <w:sz w:val="24"/>
                <w:szCs w:val="24"/>
              </w:rPr>
            </w:pPr>
            <w:r>
              <w:rPr>
                <w:rFonts w:ascii="Times New Roman" w:hAnsi="Times New Roman" w:cs="Times New Roman"/>
                <w:sz w:val="24"/>
                <w:szCs w:val="24"/>
              </w:rPr>
              <w:t xml:space="preserve">На това основание предлагаме да се прецизира и текста в раздел </w:t>
            </w:r>
            <w:r w:rsidRPr="00DA0521">
              <w:rPr>
                <w:rFonts w:ascii="Times New Roman" w:hAnsi="Times New Roman" w:cs="Times New Roman"/>
                <w:sz w:val="24"/>
                <w:szCs w:val="24"/>
              </w:rPr>
              <w:t>14. Категории раз</w:t>
            </w:r>
            <w:r>
              <w:rPr>
                <w:rFonts w:ascii="Times New Roman" w:hAnsi="Times New Roman" w:cs="Times New Roman"/>
                <w:sz w:val="24"/>
                <w:szCs w:val="24"/>
              </w:rPr>
              <w:t>ходи, допустими за финансиране, 14.1. Допустими разходи, т. 6-8, като се отбележи, че се отнася САМО за инвестиции в горски стопанства.</w:t>
            </w:r>
          </w:p>
          <w:p w:rsidR="003346BC" w:rsidRPr="00DA0521" w:rsidRDefault="003346BC" w:rsidP="00DA19B7">
            <w:pPr>
              <w:spacing w:after="120"/>
              <w:jc w:val="both"/>
              <w:rPr>
                <w:rFonts w:ascii="Times New Roman" w:hAnsi="Times New Roman" w:cs="Times New Roman"/>
                <w:i/>
                <w:sz w:val="24"/>
                <w:szCs w:val="24"/>
              </w:rPr>
            </w:pPr>
            <w:r>
              <w:rPr>
                <w:rFonts w:ascii="Times New Roman" w:hAnsi="Times New Roman" w:cs="Times New Roman"/>
                <w:i/>
                <w:sz w:val="24"/>
                <w:szCs w:val="24"/>
              </w:rPr>
              <w:t>„</w:t>
            </w:r>
            <w:r w:rsidRPr="00DA0521">
              <w:rPr>
                <w:rFonts w:ascii="Times New Roman" w:hAnsi="Times New Roman" w:cs="Times New Roman"/>
                <w:i/>
                <w:sz w:val="24"/>
                <w:szCs w:val="24"/>
              </w:rPr>
              <w:t xml:space="preserve">6. Разходите по т. 4, включени в проекти, насочени към демонстрации за горски стопани и заетите лица в техните стопанства, се подпомагат под формата на амортизационни разходи. </w:t>
            </w:r>
          </w:p>
          <w:p w:rsidR="003346BC" w:rsidRPr="00DA0521" w:rsidRDefault="003346BC" w:rsidP="00DA19B7">
            <w:pPr>
              <w:spacing w:after="120"/>
              <w:jc w:val="both"/>
              <w:rPr>
                <w:rFonts w:ascii="Times New Roman" w:hAnsi="Times New Roman" w:cs="Times New Roman"/>
                <w:i/>
                <w:sz w:val="24"/>
                <w:szCs w:val="24"/>
              </w:rPr>
            </w:pPr>
            <w:r w:rsidRPr="00DA0521">
              <w:rPr>
                <w:rFonts w:ascii="Times New Roman" w:hAnsi="Times New Roman" w:cs="Times New Roman"/>
                <w:i/>
                <w:sz w:val="24"/>
                <w:szCs w:val="24"/>
              </w:rPr>
              <w:t>7. Допустимите разходи по т. 6, финансирани под формата на амортизационни разходи, се изчисляват в съответствие със Закона за корпоративното подоходно облагане и не могат да надвишават годишните данъчни амортизационни норми, определени за съответните категории активи (Приложение № 5).</w:t>
            </w:r>
          </w:p>
          <w:p w:rsidR="003346BC" w:rsidRDefault="003346BC" w:rsidP="00DA19B7">
            <w:pPr>
              <w:spacing w:after="120"/>
              <w:jc w:val="both"/>
              <w:rPr>
                <w:rFonts w:ascii="Times New Roman" w:hAnsi="Times New Roman" w:cs="Times New Roman"/>
                <w:sz w:val="24"/>
                <w:szCs w:val="24"/>
              </w:rPr>
            </w:pPr>
            <w:r w:rsidRPr="00DA0521">
              <w:rPr>
                <w:rFonts w:ascii="Times New Roman" w:hAnsi="Times New Roman" w:cs="Times New Roman"/>
                <w:i/>
                <w:sz w:val="24"/>
                <w:szCs w:val="24"/>
              </w:rPr>
              <w:t xml:space="preserve">8. Активите по т. 4 трябва да се </w:t>
            </w:r>
            <w:r w:rsidRPr="00DA0521">
              <w:rPr>
                <w:rFonts w:ascii="Times New Roman" w:hAnsi="Times New Roman" w:cs="Times New Roman"/>
                <w:i/>
                <w:sz w:val="24"/>
                <w:szCs w:val="24"/>
                <w:u w:val="single"/>
              </w:rPr>
              <w:t>използват само и единствено за дейностите</w:t>
            </w:r>
            <w:r w:rsidRPr="00DA0521">
              <w:rPr>
                <w:rFonts w:ascii="Times New Roman" w:hAnsi="Times New Roman" w:cs="Times New Roman"/>
                <w:i/>
                <w:sz w:val="24"/>
                <w:szCs w:val="24"/>
              </w:rPr>
              <w:t>, предвидени по проекта и да са придобити след сключване на административния договор</w:t>
            </w:r>
            <w:r w:rsidRPr="00DA0521">
              <w:rPr>
                <w:rFonts w:ascii="Times New Roman" w:hAnsi="Times New Roman" w:cs="Times New Roman"/>
                <w:sz w:val="24"/>
                <w:szCs w:val="24"/>
              </w:rPr>
              <w:t>.</w:t>
            </w:r>
            <w:r>
              <w:rPr>
                <w:rFonts w:ascii="Times New Roman" w:hAnsi="Times New Roman" w:cs="Times New Roman"/>
                <w:sz w:val="24"/>
                <w:szCs w:val="24"/>
              </w:rPr>
              <w:t>“</w:t>
            </w:r>
          </w:p>
          <w:p w:rsidR="003346BC" w:rsidRPr="004C4168" w:rsidRDefault="003346BC" w:rsidP="00DA19B7">
            <w:pPr>
              <w:spacing w:after="120"/>
              <w:jc w:val="both"/>
              <w:rPr>
                <w:rFonts w:ascii="Times New Roman" w:hAnsi="Times New Roman" w:cs="Times New Roman"/>
                <w:sz w:val="24"/>
                <w:szCs w:val="24"/>
              </w:rPr>
            </w:pPr>
            <w:r>
              <w:rPr>
                <w:rFonts w:ascii="Times New Roman" w:hAnsi="Times New Roman" w:cs="Times New Roman"/>
                <w:sz w:val="24"/>
                <w:szCs w:val="24"/>
              </w:rPr>
              <w:t>Мотиви:</w:t>
            </w:r>
            <w:r w:rsidR="00DA19B7">
              <w:rPr>
                <w:rFonts w:ascii="Times New Roman" w:hAnsi="Times New Roman" w:cs="Times New Roman"/>
                <w:sz w:val="24"/>
                <w:szCs w:val="24"/>
              </w:rPr>
              <w:t xml:space="preserve"> </w:t>
            </w:r>
            <w:r w:rsidRPr="004C4168">
              <w:rPr>
                <w:rFonts w:ascii="Times New Roman" w:hAnsi="Times New Roman" w:cs="Times New Roman"/>
                <w:sz w:val="24"/>
                <w:szCs w:val="24"/>
              </w:rPr>
              <w:t>Предложението е свързано с прецизиране на тези текстове</w:t>
            </w:r>
            <w:r>
              <w:rPr>
                <w:rFonts w:ascii="Times New Roman" w:hAnsi="Times New Roman" w:cs="Times New Roman"/>
                <w:sz w:val="24"/>
                <w:szCs w:val="24"/>
              </w:rPr>
              <w:t xml:space="preserve"> с цел ясно да се отбележи, че са различни условията, при които се възстановяват инвестиционните разходи, в зависимост дали са инвестиции в селското или горското стопанство. Това допълнение/ прецизиране е важно за да</w:t>
            </w:r>
            <w:r w:rsidRPr="004C4168">
              <w:rPr>
                <w:rFonts w:ascii="Times New Roman" w:hAnsi="Times New Roman" w:cs="Times New Roman"/>
                <w:sz w:val="24"/>
                <w:szCs w:val="24"/>
              </w:rPr>
              <w:t xml:space="preserve"> не се въвеждат допълнителни изисквания на етап верификация на разходи по вече сключен административен </w:t>
            </w:r>
            <w:r>
              <w:rPr>
                <w:rFonts w:ascii="Times New Roman" w:hAnsi="Times New Roman" w:cs="Times New Roman"/>
                <w:sz w:val="24"/>
                <w:szCs w:val="24"/>
              </w:rPr>
              <w:t>договор</w:t>
            </w:r>
            <w:r w:rsidRPr="004C4168">
              <w:rPr>
                <w:rFonts w:ascii="Times New Roman" w:hAnsi="Times New Roman" w:cs="Times New Roman"/>
                <w:sz w:val="24"/>
                <w:szCs w:val="24"/>
              </w:rPr>
              <w:t>, базирайки се на т</w:t>
            </w:r>
            <w:r>
              <w:rPr>
                <w:rFonts w:ascii="Times New Roman" w:hAnsi="Times New Roman" w:cs="Times New Roman"/>
                <w:sz w:val="24"/>
                <w:szCs w:val="24"/>
              </w:rPr>
              <w:t>екуща практика по подмярка 16.1 „…“.</w:t>
            </w:r>
            <w:r w:rsidRPr="004C4168">
              <w:rPr>
                <w:rFonts w:ascii="Times New Roman" w:hAnsi="Times New Roman" w:cs="Times New Roman"/>
                <w:sz w:val="24"/>
                <w:szCs w:val="24"/>
              </w:rPr>
              <w:t xml:space="preserve"> Какво произтича от </w:t>
            </w:r>
            <w:r>
              <w:rPr>
                <w:rFonts w:ascii="Times New Roman" w:hAnsi="Times New Roman" w:cs="Times New Roman"/>
                <w:sz w:val="24"/>
                <w:szCs w:val="24"/>
              </w:rPr>
              <w:t>условието „възстановяване под формата на амортизационни разходи“</w:t>
            </w:r>
            <w:r w:rsidRPr="004C4168">
              <w:rPr>
                <w:rFonts w:ascii="Times New Roman" w:hAnsi="Times New Roman" w:cs="Times New Roman"/>
                <w:sz w:val="24"/>
                <w:szCs w:val="24"/>
              </w:rPr>
              <w:t xml:space="preserve">- Дори и при най-благоприятния вариант- продължителност на административния договор 30 месеца и отчитайки факта, че за закупуване на „материалния актив“ се провежда обществена поръчка по реда на ЗОП, която отнема около 6 месеца и още до 6 месеца за доставка, то </w:t>
            </w:r>
            <w:r>
              <w:rPr>
                <w:rFonts w:ascii="Times New Roman" w:hAnsi="Times New Roman" w:cs="Times New Roman"/>
                <w:sz w:val="24"/>
                <w:szCs w:val="24"/>
              </w:rPr>
              <w:t xml:space="preserve">технически </w:t>
            </w:r>
            <w:r w:rsidRPr="004C4168">
              <w:rPr>
                <w:rFonts w:ascii="Times New Roman" w:hAnsi="Times New Roman" w:cs="Times New Roman"/>
                <w:sz w:val="24"/>
                <w:szCs w:val="24"/>
              </w:rPr>
              <w:t>е възможно да се възстановят</w:t>
            </w:r>
            <w:r>
              <w:rPr>
                <w:rFonts w:ascii="Times New Roman" w:hAnsi="Times New Roman" w:cs="Times New Roman"/>
                <w:sz w:val="24"/>
                <w:szCs w:val="24"/>
              </w:rPr>
              <w:t xml:space="preserve"> не по-вече от 50%</w:t>
            </w:r>
            <w:r w:rsidRPr="004C4168">
              <w:rPr>
                <w:rFonts w:ascii="Times New Roman" w:hAnsi="Times New Roman" w:cs="Times New Roman"/>
                <w:sz w:val="24"/>
                <w:szCs w:val="24"/>
              </w:rPr>
              <w:t xml:space="preserve">. Също така, такъв вид възстановяване се извършва само на етап окончателно искане за плащане за да може точно да се изчисли какъв размер е допустим. </w:t>
            </w:r>
          </w:p>
          <w:p w:rsidR="003346BC" w:rsidRPr="004C4168" w:rsidRDefault="003346BC" w:rsidP="00D8335D">
            <w:pPr>
              <w:spacing w:after="120"/>
              <w:jc w:val="both"/>
              <w:rPr>
                <w:rFonts w:ascii="Times New Roman" w:hAnsi="Times New Roman" w:cs="Times New Roman"/>
                <w:sz w:val="24"/>
                <w:szCs w:val="24"/>
              </w:rPr>
            </w:pPr>
            <w:r w:rsidRPr="004C4168">
              <w:rPr>
                <w:rFonts w:ascii="Times New Roman" w:hAnsi="Times New Roman" w:cs="Times New Roman"/>
                <w:sz w:val="24"/>
                <w:szCs w:val="24"/>
              </w:rPr>
              <w:t xml:space="preserve">Точка 5 също води до разнопосочни възможности при контрол за прилагането й- какво означава „единствено и само за демонстрационни дейности“, машината ще стои на склад и ще се извежда на полето само когато се провежда демонстрационна дейност. </w:t>
            </w:r>
          </w:p>
          <w:p w:rsidR="003346BC" w:rsidRPr="00DA19B7" w:rsidRDefault="003346BC" w:rsidP="004B11D0">
            <w:pPr>
              <w:pStyle w:val="ListParagraph"/>
              <w:numPr>
                <w:ilvl w:val="0"/>
                <w:numId w:val="30"/>
              </w:numPr>
              <w:tabs>
                <w:tab w:val="left" w:pos="317"/>
              </w:tabs>
              <w:ind w:left="0" w:firstLine="0"/>
              <w:jc w:val="both"/>
              <w:rPr>
                <w:rFonts w:ascii="Times New Roman" w:hAnsi="Times New Roman" w:cs="Times New Roman"/>
                <w:sz w:val="24"/>
                <w:szCs w:val="24"/>
              </w:rPr>
            </w:pPr>
            <w:r w:rsidRPr="00DA19B7">
              <w:rPr>
                <w:rFonts w:ascii="Times New Roman" w:hAnsi="Times New Roman" w:cs="Times New Roman"/>
                <w:b/>
                <w:i/>
                <w:sz w:val="24"/>
                <w:szCs w:val="24"/>
              </w:rPr>
              <w:t>Раздел 13.2. Условия за допустимост на дейностите</w:t>
            </w:r>
            <w:r w:rsidRPr="00DA19B7">
              <w:rPr>
                <w:rFonts w:ascii="Times New Roman" w:hAnsi="Times New Roman" w:cs="Times New Roman"/>
                <w:sz w:val="24"/>
                <w:szCs w:val="24"/>
              </w:rPr>
              <w:t xml:space="preserve"> (стр. 12)</w:t>
            </w:r>
            <w:r w:rsidR="00DA19B7" w:rsidRPr="00DA19B7">
              <w:rPr>
                <w:rFonts w:ascii="Times New Roman" w:hAnsi="Times New Roman" w:cs="Times New Roman"/>
                <w:sz w:val="24"/>
                <w:szCs w:val="24"/>
              </w:rPr>
              <w:t xml:space="preserve">. </w:t>
            </w:r>
            <w:r w:rsidRPr="00DA19B7">
              <w:rPr>
                <w:rFonts w:ascii="Times New Roman" w:hAnsi="Times New Roman" w:cs="Times New Roman"/>
                <w:sz w:val="24"/>
                <w:szCs w:val="24"/>
              </w:rPr>
              <w:t>Предлагаме допълване на текстовете по т. 7  и т. 10 с изброяване на изискуемите документи, което е възможно да бъде направено към тези точки или на подходящо място в документ „Условия за изпълнение“.</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sz w:val="20"/>
                <w:szCs w:val="20"/>
              </w:rPr>
              <w:t>„7</w:t>
            </w:r>
            <w:r w:rsidRPr="009F2C88">
              <w:rPr>
                <w:rFonts w:ascii="Times New Roman" w:hAnsi="Times New Roman" w:cs="Times New Roman"/>
                <w:i/>
                <w:sz w:val="20"/>
                <w:szCs w:val="20"/>
              </w:rPr>
              <w:t>. Допустимите разходи по отношение на инвестициите трябва да отговарят на изискванията на чл. 45 от Регламент (ЕС)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p w:rsidR="003346BC" w:rsidRPr="009F2C88" w:rsidRDefault="003346BC" w:rsidP="003346BC">
            <w:pPr>
              <w:spacing w:after="120"/>
              <w:ind w:firstLine="709"/>
              <w:jc w:val="both"/>
              <w:rPr>
                <w:rFonts w:ascii="Times New Roman" w:hAnsi="Times New Roman" w:cs="Times New Roman"/>
                <w:sz w:val="20"/>
                <w:szCs w:val="20"/>
              </w:rPr>
            </w:pPr>
            <w:r w:rsidRPr="009F2C88">
              <w:rPr>
                <w:rFonts w:ascii="Times New Roman" w:hAnsi="Times New Roman" w:cs="Times New Roman"/>
                <w:i/>
                <w:sz w:val="20"/>
                <w:szCs w:val="20"/>
              </w:rPr>
              <w:t>10. Дейностите и инвестициите по проектни предложения,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Pr="009F2C88">
              <w:rPr>
                <w:rFonts w:ascii="Times New Roman" w:hAnsi="Times New Roman" w:cs="Times New Roman"/>
                <w:sz w:val="20"/>
                <w:szCs w:val="20"/>
              </w:rPr>
              <w:t>.“</w:t>
            </w:r>
          </w:p>
          <w:p w:rsidR="003346BC" w:rsidRPr="004C4168" w:rsidRDefault="003346BC" w:rsidP="00DA19B7">
            <w:pPr>
              <w:spacing w:after="120"/>
              <w:jc w:val="both"/>
              <w:rPr>
                <w:rFonts w:ascii="Times New Roman" w:hAnsi="Times New Roman" w:cs="Times New Roman"/>
                <w:sz w:val="24"/>
                <w:szCs w:val="24"/>
              </w:rPr>
            </w:pPr>
            <w:r>
              <w:rPr>
                <w:rFonts w:ascii="Times New Roman" w:hAnsi="Times New Roman" w:cs="Times New Roman"/>
                <w:sz w:val="24"/>
                <w:szCs w:val="24"/>
              </w:rPr>
              <w:t>Мотиви:</w:t>
            </w:r>
            <w:r w:rsidR="00DA19B7">
              <w:rPr>
                <w:rFonts w:ascii="Times New Roman" w:hAnsi="Times New Roman" w:cs="Times New Roman"/>
                <w:sz w:val="24"/>
                <w:szCs w:val="24"/>
              </w:rPr>
              <w:t xml:space="preserve"> </w:t>
            </w:r>
            <w:r w:rsidRPr="004C4168">
              <w:rPr>
                <w:rFonts w:ascii="Times New Roman" w:hAnsi="Times New Roman" w:cs="Times New Roman"/>
                <w:sz w:val="24"/>
                <w:szCs w:val="24"/>
              </w:rPr>
              <w:t>Прецизиране</w:t>
            </w:r>
            <w:r>
              <w:rPr>
                <w:rFonts w:ascii="Times New Roman" w:hAnsi="Times New Roman" w:cs="Times New Roman"/>
                <w:sz w:val="24"/>
                <w:szCs w:val="24"/>
              </w:rPr>
              <w:t>то</w:t>
            </w:r>
            <w:r w:rsidRPr="004C4168">
              <w:rPr>
                <w:rFonts w:ascii="Times New Roman" w:hAnsi="Times New Roman" w:cs="Times New Roman"/>
                <w:sz w:val="24"/>
                <w:szCs w:val="24"/>
              </w:rPr>
              <w:t xml:space="preserve"> на </w:t>
            </w:r>
            <w:r>
              <w:rPr>
                <w:rFonts w:ascii="Times New Roman" w:hAnsi="Times New Roman" w:cs="Times New Roman"/>
                <w:sz w:val="24"/>
                <w:szCs w:val="24"/>
              </w:rPr>
              <w:t xml:space="preserve">посочените </w:t>
            </w:r>
            <w:r w:rsidRPr="004C4168">
              <w:rPr>
                <w:rFonts w:ascii="Times New Roman" w:hAnsi="Times New Roman" w:cs="Times New Roman"/>
                <w:sz w:val="24"/>
                <w:szCs w:val="24"/>
              </w:rPr>
              <w:t>текст</w:t>
            </w:r>
            <w:r>
              <w:rPr>
                <w:rFonts w:ascii="Times New Roman" w:hAnsi="Times New Roman" w:cs="Times New Roman"/>
                <w:sz w:val="24"/>
                <w:szCs w:val="24"/>
              </w:rPr>
              <w:t>ове ще ограничи въвеждането по-късно, на етап изпълнение и подаване на искания за плащане, условия и документи, п</w:t>
            </w:r>
            <w:r w:rsidRPr="004C4168">
              <w:rPr>
                <w:rFonts w:ascii="Times New Roman" w:hAnsi="Times New Roman" w:cs="Times New Roman"/>
                <w:sz w:val="24"/>
                <w:szCs w:val="24"/>
              </w:rPr>
              <w:t>о</w:t>
            </w:r>
            <w:r>
              <w:rPr>
                <w:rFonts w:ascii="Times New Roman" w:hAnsi="Times New Roman" w:cs="Times New Roman"/>
                <w:sz w:val="24"/>
                <w:szCs w:val="24"/>
              </w:rPr>
              <w:t>зо</w:t>
            </w:r>
            <w:r w:rsidRPr="004C4168">
              <w:rPr>
                <w:rFonts w:ascii="Times New Roman" w:hAnsi="Times New Roman" w:cs="Times New Roman"/>
                <w:sz w:val="24"/>
                <w:szCs w:val="24"/>
              </w:rPr>
              <w:t xml:space="preserve">ваващи се на </w:t>
            </w:r>
            <w:r>
              <w:rPr>
                <w:rFonts w:ascii="Times New Roman" w:hAnsi="Times New Roman" w:cs="Times New Roman"/>
                <w:sz w:val="24"/>
                <w:szCs w:val="24"/>
              </w:rPr>
              <w:t>тези две точки.</w:t>
            </w:r>
          </w:p>
          <w:p w:rsidR="003346BC" w:rsidRPr="001D79A9" w:rsidRDefault="00D8335D" w:rsidP="00D8335D">
            <w:pPr>
              <w:spacing w:after="120"/>
              <w:jc w:val="both"/>
              <w:rPr>
                <w:rFonts w:ascii="Times New Roman" w:hAnsi="Times New Roman" w:cs="Times New Roman"/>
                <w:i/>
                <w:sz w:val="20"/>
                <w:szCs w:val="20"/>
              </w:rPr>
            </w:pPr>
            <w:r>
              <w:rPr>
                <w:rFonts w:ascii="Times New Roman" w:hAnsi="Times New Roman" w:cs="Times New Roman"/>
                <w:sz w:val="24"/>
                <w:szCs w:val="24"/>
              </w:rPr>
              <w:t xml:space="preserve">3.1. </w:t>
            </w:r>
            <w:r w:rsidR="003346BC">
              <w:rPr>
                <w:rFonts w:ascii="Times New Roman" w:hAnsi="Times New Roman" w:cs="Times New Roman"/>
                <w:sz w:val="24"/>
                <w:szCs w:val="24"/>
              </w:rPr>
              <w:t>Също така предлагаме да се разпише дефиниция/ прецизиране на „</w:t>
            </w:r>
            <w:r w:rsidR="003346BC" w:rsidRPr="004C4168">
              <w:rPr>
                <w:rFonts w:ascii="Times New Roman" w:hAnsi="Times New Roman" w:cs="Times New Roman"/>
                <w:sz w:val="24"/>
                <w:szCs w:val="24"/>
              </w:rPr>
              <w:t>лица, провеждащи демонстрацията“ и „</w:t>
            </w:r>
            <w:r w:rsidR="003346BC">
              <w:rPr>
                <w:rFonts w:ascii="Times New Roman" w:hAnsi="Times New Roman" w:cs="Times New Roman"/>
                <w:sz w:val="24"/>
                <w:szCs w:val="24"/>
              </w:rPr>
              <w:t>преподавател</w:t>
            </w:r>
            <w:r w:rsidR="003346BC" w:rsidRPr="004C4168">
              <w:rPr>
                <w:rFonts w:ascii="Times New Roman" w:hAnsi="Times New Roman" w:cs="Times New Roman"/>
                <w:sz w:val="24"/>
                <w:szCs w:val="24"/>
              </w:rPr>
              <w:t>“</w:t>
            </w:r>
            <w:r w:rsidR="003346BC">
              <w:rPr>
                <w:rFonts w:ascii="Times New Roman" w:hAnsi="Times New Roman" w:cs="Times New Roman"/>
                <w:sz w:val="24"/>
                <w:szCs w:val="24"/>
              </w:rPr>
              <w:t>.</w:t>
            </w:r>
            <w:r w:rsidR="003346BC" w:rsidRPr="0001655A">
              <w:t xml:space="preserve"> </w:t>
            </w:r>
            <w:r w:rsidR="003346BC">
              <w:rPr>
                <w:rFonts w:ascii="Times New Roman" w:hAnsi="Times New Roman" w:cs="Times New Roman"/>
                <w:sz w:val="24"/>
                <w:szCs w:val="24"/>
              </w:rPr>
              <w:t>В т.</w:t>
            </w:r>
            <w:r w:rsidR="003346BC" w:rsidRPr="004C4168">
              <w:rPr>
                <w:rFonts w:ascii="Times New Roman" w:hAnsi="Times New Roman" w:cs="Times New Roman"/>
                <w:sz w:val="24"/>
                <w:szCs w:val="24"/>
              </w:rPr>
              <w:t xml:space="preserve"> 9 и т. 11</w:t>
            </w:r>
            <w:r w:rsidR="003346BC">
              <w:rPr>
                <w:rFonts w:ascii="Times New Roman" w:hAnsi="Times New Roman" w:cs="Times New Roman"/>
                <w:sz w:val="24"/>
                <w:szCs w:val="24"/>
              </w:rPr>
              <w:t xml:space="preserve"> се въвеждат изисквания към „лица, провеждащи демонстрация“, които съгласно т. 17 се описват в </w:t>
            </w:r>
            <w:r w:rsidR="003346BC" w:rsidRPr="00E00F20">
              <w:rPr>
                <w:rFonts w:ascii="Times New Roman" w:hAnsi="Times New Roman" w:cs="Times New Roman"/>
                <w:sz w:val="24"/>
                <w:szCs w:val="24"/>
              </w:rPr>
              <w:t>т. „ЕКИП“ от формуляра за кандидатстване в ИСУН 2020</w:t>
            </w:r>
            <w:r w:rsidR="003346BC">
              <w:rPr>
                <w:rFonts w:ascii="Times New Roman" w:hAnsi="Times New Roman" w:cs="Times New Roman"/>
                <w:sz w:val="24"/>
                <w:szCs w:val="24"/>
              </w:rPr>
              <w:t>, докато в „</w:t>
            </w:r>
            <w:r w:rsidR="003346BC" w:rsidRPr="0001655A">
              <w:rPr>
                <w:rFonts w:ascii="Times New Roman" w:hAnsi="Times New Roman" w:cs="Times New Roman"/>
                <w:sz w:val="24"/>
                <w:szCs w:val="24"/>
              </w:rPr>
              <w:t>Приложение № 4 Декларация за участие като преподавател</w:t>
            </w:r>
            <w:r w:rsidR="003346BC">
              <w:rPr>
                <w:rFonts w:ascii="Times New Roman" w:hAnsi="Times New Roman" w:cs="Times New Roman"/>
                <w:sz w:val="24"/>
                <w:szCs w:val="24"/>
              </w:rPr>
              <w:t xml:space="preserve">“ се използва „преподавател“. Това предполага, че </w:t>
            </w:r>
            <w:r w:rsidR="003346BC" w:rsidRPr="0001655A">
              <w:rPr>
                <w:rFonts w:ascii="Times New Roman" w:hAnsi="Times New Roman" w:cs="Times New Roman"/>
                <w:sz w:val="24"/>
                <w:szCs w:val="24"/>
              </w:rPr>
              <w:t>„лица, провеждащи д</w:t>
            </w:r>
            <w:r w:rsidR="003346BC">
              <w:rPr>
                <w:rFonts w:ascii="Times New Roman" w:hAnsi="Times New Roman" w:cs="Times New Roman"/>
                <w:sz w:val="24"/>
                <w:szCs w:val="24"/>
              </w:rPr>
              <w:t xml:space="preserve">емонстрацията“ и „преподавател“ са идентични и в т. </w:t>
            </w:r>
            <w:r w:rsidR="003346BC" w:rsidRPr="0001655A">
              <w:rPr>
                <w:rFonts w:ascii="Times New Roman" w:hAnsi="Times New Roman" w:cs="Times New Roman"/>
                <w:sz w:val="24"/>
                <w:szCs w:val="24"/>
              </w:rPr>
              <w:t>„ЕКИП“ от формуляра за кандидатстване в ИСУН 2020</w:t>
            </w:r>
            <w:r w:rsidR="003346BC">
              <w:rPr>
                <w:rFonts w:ascii="Times New Roman" w:hAnsi="Times New Roman" w:cs="Times New Roman"/>
                <w:sz w:val="24"/>
                <w:szCs w:val="24"/>
              </w:rPr>
              <w:t xml:space="preserve"> се посочват само преподавателите/ лекторите. В документ „Условия за изпълнение“ се използва „преподавател/ лектор“ и се изискват следните документи в „</w:t>
            </w:r>
            <w:r w:rsidR="003346BC" w:rsidRPr="001D79A9">
              <w:rPr>
                <w:rFonts w:ascii="Times New Roman" w:hAnsi="Times New Roman" w:cs="Times New Roman"/>
                <w:i/>
                <w:sz w:val="20"/>
                <w:szCs w:val="20"/>
              </w:rPr>
              <w:t>Раздел 2.28. Опис на документите при подаване на искане за плащане, Условия за изпълнение:</w:t>
            </w:r>
          </w:p>
          <w:p w:rsidR="003346BC" w:rsidRPr="001D79A9" w:rsidRDefault="003346BC" w:rsidP="003346BC">
            <w:pPr>
              <w:spacing w:after="120"/>
              <w:ind w:firstLine="709"/>
              <w:jc w:val="both"/>
              <w:rPr>
                <w:rFonts w:ascii="Times New Roman" w:hAnsi="Times New Roman" w:cs="Times New Roman"/>
                <w:i/>
                <w:sz w:val="20"/>
                <w:szCs w:val="20"/>
              </w:rPr>
            </w:pPr>
            <w:r w:rsidRPr="001D79A9">
              <w:rPr>
                <w:rFonts w:ascii="Times New Roman" w:hAnsi="Times New Roman" w:cs="Times New Roman"/>
                <w:i/>
                <w:sz w:val="20"/>
                <w:szCs w:val="20"/>
              </w:rPr>
              <w:t>11.</w:t>
            </w:r>
            <w:r w:rsidRPr="001D79A9">
              <w:rPr>
                <w:rFonts w:ascii="Times New Roman" w:hAnsi="Times New Roman" w:cs="Times New Roman"/>
                <w:i/>
                <w:sz w:val="20"/>
                <w:szCs w:val="20"/>
              </w:rPr>
              <w:tab/>
              <w:t>Трудови и/или граждански договори и/или заповеди за възлагане на лекторски часове за дейностите по проекта във формат .pdf или .jpg;</w:t>
            </w:r>
          </w:p>
          <w:p w:rsidR="003346BC" w:rsidRPr="001D79A9" w:rsidRDefault="003346BC" w:rsidP="003346BC">
            <w:pPr>
              <w:spacing w:after="120"/>
              <w:ind w:firstLine="709"/>
              <w:jc w:val="both"/>
              <w:rPr>
                <w:rFonts w:ascii="Times New Roman" w:hAnsi="Times New Roman" w:cs="Times New Roman"/>
                <w:i/>
                <w:sz w:val="20"/>
                <w:szCs w:val="20"/>
              </w:rPr>
            </w:pPr>
            <w:r w:rsidRPr="001D79A9">
              <w:rPr>
                <w:rFonts w:ascii="Times New Roman" w:hAnsi="Times New Roman" w:cs="Times New Roman"/>
                <w:i/>
                <w:sz w:val="20"/>
                <w:szCs w:val="20"/>
              </w:rPr>
              <w:t>12.</w:t>
            </w:r>
            <w:r w:rsidRPr="001D79A9">
              <w:rPr>
                <w:rFonts w:ascii="Times New Roman" w:hAnsi="Times New Roman" w:cs="Times New Roman"/>
                <w:i/>
                <w:sz w:val="20"/>
                <w:szCs w:val="20"/>
              </w:rPr>
              <w:tab/>
              <w:t>Отчети за извършена работа от преподавателите във формат .pdf или .jpg;</w:t>
            </w:r>
          </w:p>
          <w:p w:rsidR="003346BC" w:rsidRPr="001D79A9" w:rsidRDefault="003346BC" w:rsidP="003346BC">
            <w:pPr>
              <w:spacing w:after="120"/>
              <w:ind w:firstLine="709"/>
              <w:jc w:val="both"/>
              <w:rPr>
                <w:rFonts w:ascii="Times New Roman" w:hAnsi="Times New Roman" w:cs="Times New Roman"/>
                <w:i/>
                <w:sz w:val="20"/>
                <w:szCs w:val="20"/>
              </w:rPr>
            </w:pPr>
            <w:r w:rsidRPr="001D79A9">
              <w:rPr>
                <w:rFonts w:ascii="Times New Roman" w:hAnsi="Times New Roman" w:cs="Times New Roman"/>
                <w:i/>
                <w:sz w:val="20"/>
                <w:szCs w:val="20"/>
              </w:rPr>
              <w:t>13.</w:t>
            </w:r>
            <w:r w:rsidRPr="001D79A9">
              <w:rPr>
                <w:rFonts w:ascii="Times New Roman" w:hAnsi="Times New Roman" w:cs="Times New Roman"/>
                <w:i/>
                <w:sz w:val="20"/>
                <w:szCs w:val="20"/>
              </w:rPr>
              <w:tab/>
              <w:t>Трудови и/или граждански договори с членовете на екипа по проекта във формат .pdf или .jpg;</w:t>
            </w:r>
          </w:p>
          <w:p w:rsidR="003346BC" w:rsidRDefault="003346BC" w:rsidP="003346BC">
            <w:pPr>
              <w:spacing w:after="120"/>
              <w:ind w:firstLine="709"/>
              <w:jc w:val="both"/>
              <w:rPr>
                <w:rFonts w:ascii="Times New Roman" w:hAnsi="Times New Roman" w:cs="Times New Roman"/>
                <w:sz w:val="24"/>
                <w:szCs w:val="24"/>
              </w:rPr>
            </w:pPr>
            <w:r w:rsidRPr="001D79A9">
              <w:rPr>
                <w:rFonts w:ascii="Times New Roman" w:hAnsi="Times New Roman" w:cs="Times New Roman"/>
                <w:i/>
                <w:sz w:val="20"/>
                <w:szCs w:val="20"/>
              </w:rPr>
              <w:t>14.</w:t>
            </w:r>
            <w:r w:rsidRPr="001D79A9">
              <w:rPr>
                <w:rFonts w:ascii="Times New Roman" w:hAnsi="Times New Roman" w:cs="Times New Roman"/>
                <w:i/>
                <w:sz w:val="20"/>
                <w:szCs w:val="20"/>
              </w:rPr>
              <w:tab/>
              <w:t>Отчети за извършена работа от всеки член на екипа на организация във формат .pdf или .jpg</w:t>
            </w:r>
            <w:r w:rsidRPr="001D79A9">
              <w:rPr>
                <w:rFonts w:ascii="Times New Roman" w:hAnsi="Times New Roman" w:cs="Times New Roman"/>
                <w:sz w:val="24"/>
                <w:szCs w:val="24"/>
              </w:rPr>
              <w:t>;</w:t>
            </w:r>
            <w:r>
              <w:rPr>
                <w:rFonts w:ascii="Times New Roman" w:hAnsi="Times New Roman" w:cs="Times New Roman"/>
                <w:sz w:val="24"/>
                <w:szCs w:val="24"/>
              </w:rPr>
              <w:t>“</w:t>
            </w:r>
          </w:p>
          <w:p w:rsidR="003346BC" w:rsidRPr="00016BC2" w:rsidRDefault="003346BC" w:rsidP="00016BC2">
            <w:pPr>
              <w:pStyle w:val="ListParagraph"/>
              <w:numPr>
                <w:ilvl w:val="0"/>
                <w:numId w:val="30"/>
              </w:numPr>
              <w:tabs>
                <w:tab w:val="left" w:pos="317"/>
              </w:tabs>
              <w:ind w:left="0" w:firstLine="0"/>
              <w:jc w:val="both"/>
              <w:rPr>
                <w:rFonts w:ascii="Times New Roman" w:hAnsi="Times New Roman" w:cs="Times New Roman"/>
                <w:sz w:val="24"/>
                <w:szCs w:val="24"/>
              </w:rPr>
            </w:pPr>
            <w:r w:rsidRPr="00016BC2">
              <w:rPr>
                <w:rFonts w:ascii="Times New Roman" w:hAnsi="Times New Roman" w:cs="Times New Roman"/>
                <w:b/>
                <w:i/>
                <w:sz w:val="24"/>
                <w:szCs w:val="24"/>
              </w:rPr>
              <w:t>Раздел 13.2. Условия за допустимост на дейностите, т. 14</w:t>
            </w:r>
            <w:r w:rsidR="00016BC2" w:rsidRPr="00016BC2">
              <w:rPr>
                <w:rFonts w:ascii="Times New Roman" w:hAnsi="Times New Roman" w:cs="Times New Roman"/>
                <w:b/>
                <w:i/>
                <w:sz w:val="24"/>
                <w:szCs w:val="24"/>
              </w:rPr>
              <w:t xml:space="preserve">. </w:t>
            </w:r>
            <w:r w:rsidRPr="00016BC2">
              <w:rPr>
                <w:rFonts w:ascii="Times New Roman" w:hAnsi="Times New Roman" w:cs="Times New Roman"/>
                <w:sz w:val="24"/>
                <w:szCs w:val="24"/>
              </w:rPr>
              <w:t>Предлагаме значително да се редуцират бройките в т. 14, като се въведе и нова буква за проектни предложения със стойност на инвестициите до 30 000 лв., за които не се поставя изискване за минимален брой участници.</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sz w:val="20"/>
                <w:szCs w:val="20"/>
              </w:rPr>
              <w:t>„</w:t>
            </w:r>
            <w:r w:rsidRPr="009F2C88">
              <w:rPr>
                <w:rFonts w:ascii="Times New Roman" w:hAnsi="Times New Roman" w:cs="Times New Roman"/>
                <w:i/>
                <w:sz w:val="20"/>
                <w:szCs w:val="20"/>
              </w:rPr>
              <w:t>14. Проектни предложения, включващи разходи за инвестиции са допустими за подпомагане в случай, че предвиждат следния брой участници:</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i/>
                <w:sz w:val="20"/>
                <w:szCs w:val="20"/>
              </w:rPr>
              <w:t>а) за проектни предложения със стойност на заявените инвестиции над 58 674 лв., проектното предложение трябва да предвижда не по-малко от 500 участници за периода на изпълнение на проекта;</w:t>
            </w:r>
          </w:p>
          <w:p w:rsidR="003346BC" w:rsidRPr="009F2C88" w:rsidRDefault="003346BC" w:rsidP="003346BC">
            <w:pPr>
              <w:spacing w:after="120"/>
              <w:ind w:firstLine="709"/>
              <w:jc w:val="both"/>
              <w:rPr>
                <w:rFonts w:ascii="Times New Roman" w:hAnsi="Times New Roman" w:cs="Times New Roman"/>
                <w:i/>
                <w:sz w:val="20"/>
                <w:szCs w:val="20"/>
              </w:rPr>
            </w:pPr>
            <w:r w:rsidRPr="009F2C88">
              <w:rPr>
                <w:rFonts w:ascii="Times New Roman" w:hAnsi="Times New Roman" w:cs="Times New Roman"/>
                <w:i/>
                <w:sz w:val="20"/>
                <w:szCs w:val="20"/>
              </w:rPr>
              <w:t>б) за проектни предложения със стойност на заявените инвестиции между 58 674.01 лв. и 117 348 лв.,  проектното предложение трябва да предвижда не по-малко от 750 участници лица за периода на изпълнение на проекта;</w:t>
            </w:r>
          </w:p>
          <w:p w:rsidR="003346BC" w:rsidRPr="009F2C88" w:rsidRDefault="003346BC" w:rsidP="003346BC">
            <w:pPr>
              <w:spacing w:after="120"/>
              <w:ind w:firstLine="709"/>
              <w:jc w:val="both"/>
              <w:rPr>
                <w:rFonts w:ascii="Times New Roman" w:hAnsi="Times New Roman" w:cs="Times New Roman"/>
                <w:sz w:val="20"/>
                <w:szCs w:val="20"/>
              </w:rPr>
            </w:pPr>
            <w:r w:rsidRPr="009F2C88">
              <w:rPr>
                <w:rFonts w:ascii="Times New Roman" w:hAnsi="Times New Roman" w:cs="Times New Roman"/>
                <w:i/>
                <w:sz w:val="20"/>
                <w:szCs w:val="20"/>
              </w:rPr>
              <w:lastRenderedPageBreak/>
              <w:t>в) за проектни предложения със стойност на заявените инвестиции над 117 348.01 лв., проектното предложение трябва да предвижда не по-малко от 1 000 участници за периода на изпълнение на проекта</w:t>
            </w:r>
            <w:r w:rsidRPr="009F2C88">
              <w:rPr>
                <w:rFonts w:ascii="Times New Roman" w:hAnsi="Times New Roman" w:cs="Times New Roman"/>
                <w:sz w:val="20"/>
                <w:szCs w:val="20"/>
              </w:rPr>
              <w:t>.“</w:t>
            </w:r>
          </w:p>
          <w:p w:rsidR="003346BC" w:rsidRDefault="003346BC" w:rsidP="00016BC2">
            <w:pPr>
              <w:spacing w:after="120"/>
              <w:jc w:val="both"/>
              <w:rPr>
                <w:rFonts w:ascii="Times New Roman" w:hAnsi="Times New Roman" w:cs="Times New Roman"/>
                <w:sz w:val="24"/>
                <w:szCs w:val="24"/>
              </w:rPr>
            </w:pPr>
            <w:r w:rsidRPr="004C4168">
              <w:rPr>
                <w:rFonts w:ascii="Times New Roman" w:hAnsi="Times New Roman" w:cs="Times New Roman"/>
                <w:sz w:val="24"/>
                <w:szCs w:val="24"/>
              </w:rPr>
              <w:t>Мотиви: Изискването за обучение на не по- малко от 1000 участници за допустимост на инвестиция над 117 348,01 лв е несъразмерно. Общовалидно е, че обученията са най-ефективни, ко</w:t>
            </w:r>
            <w:r>
              <w:rPr>
                <w:rFonts w:ascii="Times New Roman" w:hAnsi="Times New Roman" w:cs="Times New Roman"/>
                <w:sz w:val="24"/>
                <w:szCs w:val="24"/>
              </w:rPr>
              <w:t>гато се провеждат в малки групи. Д</w:t>
            </w:r>
            <w:r w:rsidRPr="004C4168">
              <w:rPr>
                <w:rFonts w:ascii="Times New Roman" w:hAnsi="Times New Roman" w:cs="Times New Roman"/>
                <w:sz w:val="24"/>
                <w:szCs w:val="24"/>
              </w:rPr>
              <w:t>ори 60 броя максимален брой участници</w:t>
            </w:r>
            <w:r>
              <w:rPr>
                <w:rFonts w:ascii="Times New Roman" w:hAnsi="Times New Roman" w:cs="Times New Roman"/>
                <w:sz w:val="24"/>
                <w:szCs w:val="24"/>
              </w:rPr>
              <w:t xml:space="preserve"> в група, </w:t>
            </w:r>
            <w:r w:rsidRPr="004C4168">
              <w:rPr>
                <w:rFonts w:ascii="Times New Roman" w:hAnsi="Times New Roman" w:cs="Times New Roman"/>
                <w:sz w:val="24"/>
                <w:szCs w:val="24"/>
              </w:rPr>
              <w:t>заложен в подмярка 1.1 за информационна дейност</w:t>
            </w:r>
            <w:r>
              <w:rPr>
                <w:rFonts w:ascii="Times New Roman" w:hAnsi="Times New Roman" w:cs="Times New Roman"/>
                <w:sz w:val="24"/>
                <w:szCs w:val="24"/>
              </w:rPr>
              <w:t>, е неефективно предимно за обучаемите</w:t>
            </w:r>
            <w:r w:rsidRPr="004C4168">
              <w:rPr>
                <w:rFonts w:ascii="Times New Roman" w:hAnsi="Times New Roman" w:cs="Times New Roman"/>
                <w:sz w:val="24"/>
                <w:szCs w:val="24"/>
              </w:rPr>
              <w:t xml:space="preserve">, не </w:t>
            </w:r>
            <w:r>
              <w:rPr>
                <w:rFonts w:ascii="Times New Roman" w:hAnsi="Times New Roman" w:cs="Times New Roman"/>
                <w:sz w:val="24"/>
                <w:szCs w:val="24"/>
              </w:rPr>
              <w:t>толкова за обучаващите</w:t>
            </w:r>
            <w:r w:rsidRPr="004C4168">
              <w:rPr>
                <w:rFonts w:ascii="Times New Roman" w:hAnsi="Times New Roman" w:cs="Times New Roman"/>
                <w:sz w:val="24"/>
                <w:szCs w:val="24"/>
              </w:rPr>
              <w:t xml:space="preserve">. </w:t>
            </w:r>
            <w:r>
              <w:rPr>
                <w:rFonts w:ascii="Times New Roman" w:hAnsi="Times New Roman" w:cs="Times New Roman"/>
                <w:sz w:val="24"/>
                <w:szCs w:val="24"/>
              </w:rPr>
              <w:t xml:space="preserve">Изискване за не по-малко от </w:t>
            </w:r>
            <w:r w:rsidRPr="004C4168">
              <w:rPr>
                <w:rFonts w:ascii="Times New Roman" w:hAnsi="Times New Roman" w:cs="Times New Roman"/>
                <w:sz w:val="24"/>
                <w:szCs w:val="24"/>
              </w:rPr>
              <w:t xml:space="preserve">1000 участница ще изисква провеждане на минимум 10-15 обучения </w:t>
            </w:r>
            <w:r>
              <w:rPr>
                <w:rFonts w:ascii="Times New Roman" w:hAnsi="Times New Roman" w:cs="Times New Roman"/>
                <w:sz w:val="24"/>
                <w:szCs w:val="24"/>
              </w:rPr>
              <w:t xml:space="preserve">за да се признае </w:t>
            </w:r>
            <w:r w:rsidRPr="004C4168">
              <w:rPr>
                <w:rFonts w:ascii="Times New Roman" w:hAnsi="Times New Roman" w:cs="Times New Roman"/>
                <w:sz w:val="24"/>
                <w:szCs w:val="24"/>
              </w:rPr>
              <w:t>закупения актив като инвестиционен разход</w:t>
            </w:r>
            <w:r>
              <w:rPr>
                <w:rFonts w:ascii="Times New Roman" w:hAnsi="Times New Roman" w:cs="Times New Roman"/>
                <w:sz w:val="24"/>
                <w:szCs w:val="24"/>
              </w:rPr>
              <w:t xml:space="preserve"> в размер над 117348,01 лв</w:t>
            </w:r>
            <w:r w:rsidRPr="004C4168">
              <w:rPr>
                <w:rFonts w:ascii="Times New Roman" w:hAnsi="Times New Roman" w:cs="Times New Roman"/>
                <w:sz w:val="24"/>
                <w:szCs w:val="24"/>
              </w:rPr>
              <w:t xml:space="preserve">. При така заложения показател, с планираният бюджет по подмярка 1.2 </w:t>
            </w:r>
            <w:r>
              <w:rPr>
                <w:rFonts w:ascii="Times New Roman" w:hAnsi="Times New Roman" w:cs="Times New Roman"/>
                <w:sz w:val="24"/>
                <w:szCs w:val="24"/>
              </w:rPr>
              <w:t>Управляващия орган на ПРСР</w:t>
            </w:r>
            <w:r w:rsidRPr="004C4168">
              <w:rPr>
                <w:rFonts w:ascii="Times New Roman" w:hAnsi="Times New Roman" w:cs="Times New Roman"/>
                <w:sz w:val="24"/>
                <w:szCs w:val="24"/>
              </w:rPr>
              <w:t xml:space="preserve"> очаква да бъдат обучени </w:t>
            </w:r>
            <w:r>
              <w:rPr>
                <w:rFonts w:ascii="Times New Roman" w:hAnsi="Times New Roman" w:cs="Times New Roman"/>
                <w:sz w:val="24"/>
                <w:szCs w:val="24"/>
              </w:rPr>
              <w:t xml:space="preserve">почти </w:t>
            </w:r>
            <w:r w:rsidRPr="004C4168">
              <w:rPr>
                <w:rFonts w:ascii="Times New Roman" w:hAnsi="Times New Roman" w:cs="Times New Roman"/>
                <w:sz w:val="24"/>
                <w:szCs w:val="24"/>
              </w:rPr>
              <w:t xml:space="preserve">всички малки и млади фермери, което е абсурдно. Предложението </w:t>
            </w:r>
            <w:r>
              <w:rPr>
                <w:rFonts w:ascii="Times New Roman" w:hAnsi="Times New Roman" w:cs="Times New Roman"/>
                <w:sz w:val="24"/>
                <w:szCs w:val="24"/>
              </w:rPr>
              <w:t>се отнася за силно редуциране на изискванията, обвързващи размера на инвестицията с броя участници в демонстрационните обучения, като допълнително се въведе и възможност при разход за инвестиция до 30 000 лв. без ДДС да няма такова изискване и обвързаност.</w:t>
            </w:r>
          </w:p>
          <w:p w:rsidR="003346BC" w:rsidRPr="004C4168" w:rsidRDefault="003346BC" w:rsidP="00016BC2">
            <w:pPr>
              <w:spacing w:after="120"/>
              <w:jc w:val="both"/>
              <w:rPr>
                <w:rFonts w:ascii="Times New Roman" w:hAnsi="Times New Roman" w:cs="Times New Roman"/>
                <w:sz w:val="24"/>
                <w:szCs w:val="24"/>
              </w:rPr>
            </w:pPr>
            <w:r>
              <w:rPr>
                <w:rFonts w:ascii="Times New Roman" w:hAnsi="Times New Roman" w:cs="Times New Roman"/>
                <w:sz w:val="24"/>
                <w:szCs w:val="24"/>
              </w:rPr>
              <w:t>Мотиви:</w:t>
            </w:r>
            <w:r w:rsidR="00016BC2">
              <w:rPr>
                <w:rFonts w:ascii="Times New Roman" w:hAnsi="Times New Roman" w:cs="Times New Roman"/>
                <w:sz w:val="24"/>
                <w:szCs w:val="24"/>
              </w:rPr>
              <w:t xml:space="preserve"> </w:t>
            </w:r>
            <w:r>
              <w:rPr>
                <w:rFonts w:ascii="Times New Roman" w:hAnsi="Times New Roman" w:cs="Times New Roman"/>
                <w:sz w:val="24"/>
                <w:szCs w:val="24"/>
              </w:rPr>
              <w:t>Основание за предложението е на база заложените показатели/ индикатори в одобрената ПРСР 2014-2020 г. по мярка 1 „Трансфер на знания“, както следва: Целеви показател Т3 Общ брой на участниците в обучение 4 800 броя и Планиран показател за изпълнение М01- Брой участници в обучение- 4 800 броя.</w:t>
            </w:r>
          </w:p>
          <w:p w:rsidR="003346BC" w:rsidRPr="004C4168" w:rsidRDefault="003346BC" w:rsidP="00016BC2">
            <w:pPr>
              <w:spacing w:after="120"/>
              <w:jc w:val="both"/>
              <w:rPr>
                <w:rFonts w:ascii="Times New Roman" w:hAnsi="Times New Roman" w:cs="Times New Roman"/>
                <w:sz w:val="24"/>
                <w:szCs w:val="24"/>
              </w:rPr>
            </w:pPr>
            <w:r w:rsidRPr="004C4168">
              <w:rPr>
                <w:rFonts w:ascii="Times New Roman" w:hAnsi="Times New Roman" w:cs="Times New Roman"/>
                <w:sz w:val="24"/>
                <w:szCs w:val="24"/>
              </w:rPr>
              <w:t>Заложените в ПРСР, т. 8.2.1.3.2.2. 8.2.1.3.2.2. Вид подкрепа, Вид подкрепа: Безвъзмездни средства из</w:t>
            </w:r>
            <w:r>
              <w:rPr>
                <w:rFonts w:ascii="Times New Roman" w:hAnsi="Times New Roman" w:cs="Times New Roman"/>
                <w:sz w:val="24"/>
                <w:szCs w:val="24"/>
              </w:rPr>
              <w:t>и</w:t>
            </w:r>
            <w:r w:rsidRPr="004C4168">
              <w:rPr>
                <w:rFonts w:ascii="Times New Roman" w:hAnsi="Times New Roman" w:cs="Times New Roman"/>
                <w:sz w:val="24"/>
                <w:szCs w:val="24"/>
              </w:rPr>
              <w:t>сквания</w:t>
            </w:r>
            <w:r>
              <w:rPr>
                <w:rFonts w:ascii="Times New Roman" w:hAnsi="Times New Roman" w:cs="Times New Roman"/>
                <w:sz w:val="24"/>
                <w:szCs w:val="24"/>
              </w:rPr>
              <w:t xml:space="preserve"> са значително надвишени в публикуваните Условия за кандидатстване.</w:t>
            </w:r>
          </w:p>
          <w:p w:rsidR="003346BC" w:rsidRPr="009E013D" w:rsidRDefault="003346BC" w:rsidP="003346BC">
            <w:pPr>
              <w:spacing w:after="120"/>
              <w:ind w:firstLine="709"/>
              <w:jc w:val="both"/>
              <w:rPr>
                <w:rFonts w:ascii="Times New Roman" w:hAnsi="Times New Roman" w:cs="Times New Roman"/>
                <w:i/>
                <w:sz w:val="20"/>
                <w:szCs w:val="20"/>
              </w:rPr>
            </w:pPr>
            <w:r w:rsidRPr="009E013D">
              <w:rPr>
                <w:rFonts w:ascii="Times New Roman" w:hAnsi="Times New Roman" w:cs="Times New Roman"/>
                <w:i/>
                <w:sz w:val="20"/>
                <w:szCs w:val="20"/>
              </w:rPr>
              <w:t>„В проекта се предвиждат оптимален брой теми за демонстрационни дейности с цел по-пълно използване на новите машини или оборудване за обучение на достатъчен брой земеделски или горски стопани;</w:t>
            </w:r>
          </w:p>
          <w:p w:rsidR="003346BC" w:rsidRPr="009E013D" w:rsidRDefault="003346BC" w:rsidP="003346BC">
            <w:pPr>
              <w:spacing w:after="120"/>
              <w:ind w:firstLine="709"/>
              <w:jc w:val="both"/>
              <w:rPr>
                <w:rFonts w:ascii="Times New Roman" w:hAnsi="Times New Roman" w:cs="Times New Roman"/>
                <w:i/>
                <w:sz w:val="20"/>
                <w:szCs w:val="20"/>
              </w:rPr>
            </w:pPr>
            <w:r w:rsidRPr="009E013D">
              <w:rPr>
                <w:rFonts w:ascii="Times New Roman" w:hAnsi="Times New Roman" w:cs="Times New Roman"/>
                <w:i/>
                <w:sz w:val="20"/>
                <w:szCs w:val="20"/>
              </w:rPr>
              <w:t>В националното законодателство за прилагане на мярката се предвижда оптимално съотношение на броя на включените в проекта обучаеми към размера на разходите за инвестиции;</w:t>
            </w:r>
          </w:p>
          <w:p w:rsidR="003346BC" w:rsidRPr="009E013D" w:rsidRDefault="003346BC" w:rsidP="003346BC">
            <w:pPr>
              <w:spacing w:after="120"/>
              <w:ind w:firstLine="709"/>
              <w:jc w:val="both"/>
              <w:rPr>
                <w:rFonts w:ascii="Times New Roman" w:hAnsi="Times New Roman" w:cs="Times New Roman"/>
                <w:sz w:val="20"/>
                <w:szCs w:val="20"/>
              </w:rPr>
            </w:pPr>
            <w:r w:rsidRPr="009E013D">
              <w:rPr>
                <w:rFonts w:ascii="Times New Roman" w:hAnsi="Times New Roman" w:cs="Times New Roman"/>
                <w:i/>
                <w:sz w:val="20"/>
                <w:szCs w:val="20"/>
              </w:rPr>
              <w:t>Необходимостта от инвестицията се обосновава съобразно условията на демонстрационния обект и темите на демонстрационните дейности</w:t>
            </w:r>
            <w:r w:rsidRPr="009E013D">
              <w:rPr>
                <w:rFonts w:ascii="Times New Roman" w:hAnsi="Times New Roman" w:cs="Times New Roman"/>
                <w:sz w:val="20"/>
                <w:szCs w:val="20"/>
              </w:rPr>
              <w:t>.“</w:t>
            </w:r>
          </w:p>
          <w:p w:rsidR="003346BC" w:rsidRDefault="003346BC" w:rsidP="00016BC2">
            <w:pPr>
              <w:spacing w:after="120"/>
              <w:jc w:val="both"/>
              <w:rPr>
                <w:rFonts w:ascii="Times New Roman" w:hAnsi="Times New Roman" w:cs="Times New Roman"/>
                <w:sz w:val="24"/>
                <w:szCs w:val="24"/>
              </w:rPr>
            </w:pPr>
            <w:r>
              <w:rPr>
                <w:rFonts w:ascii="Times New Roman" w:hAnsi="Times New Roman" w:cs="Times New Roman"/>
                <w:sz w:val="24"/>
                <w:szCs w:val="24"/>
              </w:rPr>
              <w:t>Изискването</w:t>
            </w:r>
            <w:r w:rsidRPr="004C4168">
              <w:rPr>
                <w:rFonts w:ascii="Times New Roman" w:hAnsi="Times New Roman" w:cs="Times New Roman"/>
                <w:sz w:val="24"/>
                <w:szCs w:val="24"/>
              </w:rPr>
              <w:t xml:space="preserve"> „</w:t>
            </w:r>
            <w:r w:rsidRPr="009E013D">
              <w:rPr>
                <w:rFonts w:ascii="Times New Roman" w:hAnsi="Times New Roman" w:cs="Times New Roman"/>
                <w:i/>
                <w:sz w:val="24"/>
                <w:szCs w:val="24"/>
              </w:rPr>
              <w:t>оптимално съотношение</w:t>
            </w:r>
            <w:r w:rsidRPr="009E013D">
              <w:rPr>
                <w:i/>
              </w:rPr>
              <w:t xml:space="preserve"> </w:t>
            </w:r>
            <w:r w:rsidRPr="009E013D">
              <w:rPr>
                <w:rFonts w:ascii="Times New Roman" w:hAnsi="Times New Roman" w:cs="Times New Roman"/>
                <w:i/>
                <w:sz w:val="24"/>
                <w:szCs w:val="24"/>
              </w:rPr>
              <w:t>на броя на включените в проекта обучаеми към размера на разходите за инвестиции</w:t>
            </w:r>
            <w:r w:rsidRPr="004C4168">
              <w:rPr>
                <w:rFonts w:ascii="Times New Roman" w:hAnsi="Times New Roman" w:cs="Times New Roman"/>
                <w:sz w:val="24"/>
                <w:szCs w:val="24"/>
              </w:rPr>
              <w:t xml:space="preserve">“ все пак не трябва да </w:t>
            </w:r>
            <w:r>
              <w:rPr>
                <w:rFonts w:ascii="Times New Roman" w:hAnsi="Times New Roman" w:cs="Times New Roman"/>
                <w:sz w:val="24"/>
                <w:szCs w:val="24"/>
              </w:rPr>
              <w:t xml:space="preserve">води до </w:t>
            </w:r>
            <w:r w:rsidRPr="004C4168">
              <w:rPr>
                <w:rFonts w:ascii="Times New Roman" w:hAnsi="Times New Roman" w:cs="Times New Roman"/>
                <w:sz w:val="24"/>
                <w:szCs w:val="24"/>
              </w:rPr>
              <w:t xml:space="preserve">ограничително условие за участие!!!!!, </w:t>
            </w:r>
            <w:r>
              <w:rPr>
                <w:rFonts w:ascii="Times New Roman" w:hAnsi="Times New Roman" w:cs="Times New Roman"/>
                <w:sz w:val="24"/>
                <w:szCs w:val="24"/>
              </w:rPr>
              <w:t>принципът „ефикасност“ е приложен и при доста по-нисък брой участници в демонстрационните обучения, обвързано с оптимален брой теми.</w:t>
            </w:r>
          </w:p>
          <w:p w:rsidR="003346BC" w:rsidRDefault="00254BA5" w:rsidP="00016BC2">
            <w:pPr>
              <w:spacing w:after="120"/>
              <w:jc w:val="both"/>
              <w:rPr>
                <w:rFonts w:ascii="Times New Roman" w:hAnsi="Times New Roman" w:cs="Times New Roman"/>
                <w:sz w:val="24"/>
                <w:szCs w:val="24"/>
              </w:rPr>
            </w:pPr>
            <w:r>
              <w:rPr>
                <w:rFonts w:ascii="Times New Roman" w:hAnsi="Times New Roman" w:cs="Times New Roman"/>
                <w:sz w:val="24"/>
                <w:szCs w:val="24"/>
              </w:rPr>
              <w:t xml:space="preserve">4.1. </w:t>
            </w:r>
            <w:r w:rsidR="003346BC">
              <w:rPr>
                <w:rFonts w:ascii="Times New Roman" w:hAnsi="Times New Roman" w:cs="Times New Roman"/>
                <w:sz w:val="24"/>
                <w:szCs w:val="24"/>
              </w:rPr>
              <w:t xml:space="preserve">Също така предлагаме да се разпише, може би в документ „Условия за изпълнение“, каква процедура ще се прилага </w:t>
            </w:r>
            <w:r w:rsidR="003346BC" w:rsidRPr="004C4168">
              <w:rPr>
                <w:rFonts w:ascii="Times New Roman" w:hAnsi="Times New Roman" w:cs="Times New Roman"/>
                <w:sz w:val="24"/>
                <w:szCs w:val="24"/>
              </w:rPr>
              <w:t>в случай</w:t>
            </w:r>
            <w:r w:rsidR="003346BC">
              <w:rPr>
                <w:rFonts w:ascii="Times New Roman" w:hAnsi="Times New Roman" w:cs="Times New Roman"/>
                <w:sz w:val="24"/>
                <w:szCs w:val="24"/>
              </w:rPr>
              <w:t>,</w:t>
            </w:r>
            <w:r w:rsidR="003346BC" w:rsidRPr="004C4168">
              <w:rPr>
                <w:rFonts w:ascii="Times New Roman" w:hAnsi="Times New Roman" w:cs="Times New Roman"/>
                <w:sz w:val="24"/>
                <w:szCs w:val="24"/>
              </w:rPr>
              <w:t xml:space="preserve"> че в проектното пре</w:t>
            </w:r>
            <w:r w:rsidR="003346BC">
              <w:rPr>
                <w:rFonts w:ascii="Times New Roman" w:hAnsi="Times New Roman" w:cs="Times New Roman"/>
                <w:sz w:val="24"/>
                <w:szCs w:val="24"/>
              </w:rPr>
              <w:t xml:space="preserve">дложение е планирана инвестиция, която изисква </w:t>
            </w:r>
            <w:r w:rsidR="003346BC" w:rsidRPr="004C4168">
              <w:rPr>
                <w:rFonts w:ascii="Times New Roman" w:hAnsi="Times New Roman" w:cs="Times New Roman"/>
                <w:sz w:val="24"/>
                <w:szCs w:val="24"/>
              </w:rPr>
              <w:t xml:space="preserve">обучение на </w:t>
            </w:r>
            <w:r w:rsidR="003346BC">
              <w:rPr>
                <w:rFonts w:ascii="Times New Roman" w:hAnsi="Times New Roman" w:cs="Times New Roman"/>
                <w:sz w:val="24"/>
                <w:szCs w:val="24"/>
              </w:rPr>
              <w:t>определен брой участници</w:t>
            </w:r>
            <w:r w:rsidR="003346BC" w:rsidRPr="004C4168">
              <w:rPr>
                <w:rFonts w:ascii="Times New Roman" w:hAnsi="Times New Roman" w:cs="Times New Roman"/>
                <w:sz w:val="24"/>
                <w:szCs w:val="24"/>
              </w:rPr>
              <w:t xml:space="preserve">, </w:t>
            </w:r>
            <w:r w:rsidR="003346BC">
              <w:rPr>
                <w:rFonts w:ascii="Times New Roman" w:hAnsi="Times New Roman" w:cs="Times New Roman"/>
                <w:sz w:val="24"/>
                <w:szCs w:val="24"/>
              </w:rPr>
              <w:t>но</w:t>
            </w:r>
            <w:r w:rsidR="003346BC" w:rsidRPr="004C4168">
              <w:rPr>
                <w:rFonts w:ascii="Times New Roman" w:hAnsi="Times New Roman" w:cs="Times New Roman"/>
                <w:sz w:val="24"/>
                <w:szCs w:val="24"/>
              </w:rPr>
              <w:t xml:space="preserve"> при </w:t>
            </w:r>
            <w:r w:rsidR="003346BC">
              <w:rPr>
                <w:rFonts w:ascii="Times New Roman" w:hAnsi="Times New Roman" w:cs="Times New Roman"/>
                <w:sz w:val="24"/>
                <w:szCs w:val="24"/>
              </w:rPr>
              <w:t>при</w:t>
            </w:r>
            <w:r w:rsidR="003346BC" w:rsidRPr="004C4168">
              <w:rPr>
                <w:rFonts w:ascii="Times New Roman" w:hAnsi="Times New Roman" w:cs="Times New Roman"/>
                <w:sz w:val="24"/>
                <w:szCs w:val="24"/>
              </w:rPr>
              <w:t>ключване на проекта се окаже</w:t>
            </w:r>
            <w:r w:rsidR="003346BC">
              <w:rPr>
                <w:rFonts w:ascii="Times New Roman" w:hAnsi="Times New Roman" w:cs="Times New Roman"/>
                <w:sz w:val="24"/>
                <w:szCs w:val="24"/>
              </w:rPr>
              <w:t>,</w:t>
            </w:r>
            <w:r w:rsidR="003346BC" w:rsidRPr="004C4168">
              <w:rPr>
                <w:rFonts w:ascii="Times New Roman" w:hAnsi="Times New Roman" w:cs="Times New Roman"/>
                <w:sz w:val="24"/>
                <w:szCs w:val="24"/>
              </w:rPr>
              <w:t xml:space="preserve"> че </w:t>
            </w:r>
            <w:r w:rsidR="003346BC">
              <w:rPr>
                <w:rFonts w:ascii="Times New Roman" w:hAnsi="Times New Roman" w:cs="Times New Roman"/>
                <w:sz w:val="24"/>
                <w:szCs w:val="24"/>
              </w:rPr>
              <w:t xml:space="preserve">по- малък брой </w:t>
            </w:r>
            <w:r w:rsidR="003346BC" w:rsidRPr="004C4168">
              <w:rPr>
                <w:rFonts w:ascii="Times New Roman" w:hAnsi="Times New Roman" w:cs="Times New Roman"/>
                <w:sz w:val="24"/>
                <w:szCs w:val="24"/>
              </w:rPr>
              <w:t>са обучени</w:t>
            </w:r>
            <w:r w:rsidR="003346BC">
              <w:rPr>
                <w:rFonts w:ascii="Times New Roman" w:hAnsi="Times New Roman" w:cs="Times New Roman"/>
                <w:sz w:val="24"/>
                <w:szCs w:val="24"/>
              </w:rPr>
              <w:t>.</w:t>
            </w:r>
            <w:r w:rsidR="003346BC" w:rsidRPr="004C4168">
              <w:rPr>
                <w:rFonts w:ascii="Times New Roman" w:hAnsi="Times New Roman" w:cs="Times New Roman"/>
                <w:sz w:val="24"/>
                <w:szCs w:val="24"/>
              </w:rPr>
              <w:t xml:space="preserve"> </w:t>
            </w:r>
            <w:r w:rsidR="003346BC">
              <w:rPr>
                <w:rFonts w:ascii="Times New Roman" w:hAnsi="Times New Roman" w:cs="Times New Roman"/>
                <w:sz w:val="24"/>
                <w:szCs w:val="24"/>
              </w:rPr>
              <w:t>Подобна обвързаност на размера на инвестиционният разход с броя обучаеми не трябва да води до взети по-късно решения, че същият ще се възстановява само в рамките на окончателното искане за плащане, което финансово е ограничително с оглед вида на допустимите кандидати- институти с ограничени финансови възможности.</w:t>
            </w:r>
          </w:p>
          <w:p w:rsidR="00254BA5" w:rsidRDefault="00254BA5" w:rsidP="00016BC2">
            <w:pPr>
              <w:spacing w:after="120"/>
              <w:jc w:val="both"/>
              <w:rPr>
                <w:rFonts w:ascii="Times New Roman" w:hAnsi="Times New Roman" w:cs="Times New Roman"/>
                <w:sz w:val="24"/>
                <w:szCs w:val="24"/>
              </w:rPr>
            </w:pPr>
          </w:p>
          <w:p w:rsidR="00254BA5" w:rsidRDefault="00254BA5" w:rsidP="00016BC2">
            <w:pPr>
              <w:spacing w:after="120"/>
              <w:jc w:val="both"/>
              <w:rPr>
                <w:rFonts w:ascii="Times New Roman" w:hAnsi="Times New Roman" w:cs="Times New Roman"/>
                <w:sz w:val="24"/>
                <w:szCs w:val="24"/>
              </w:rPr>
            </w:pPr>
          </w:p>
          <w:p w:rsidR="00254BA5" w:rsidRDefault="00254BA5" w:rsidP="00016BC2">
            <w:pPr>
              <w:spacing w:after="120"/>
              <w:jc w:val="both"/>
              <w:rPr>
                <w:rFonts w:ascii="Times New Roman" w:hAnsi="Times New Roman" w:cs="Times New Roman"/>
                <w:sz w:val="24"/>
                <w:szCs w:val="24"/>
              </w:rPr>
            </w:pPr>
          </w:p>
          <w:p w:rsidR="00254BA5" w:rsidRDefault="00254BA5" w:rsidP="00016BC2">
            <w:pPr>
              <w:spacing w:after="120"/>
              <w:jc w:val="both"/>
              <w:rPr>
                <w:rFonts w:ascii="Times New Roman" w:hAnsi="Times New Roman" w:cs="Times New Roman"/>
                <w:sz w:val="24"/>
                <w:szCs w:val="24"/>
              </w:rPr>
            </w:pPr>
          </w:p>
          <w:p w:rsidR="00254BA5" w:rsidRPr="004C4168" w:rsidRDefault="00254BA5" w:rsidP="00016BC2">
            <w:pPr>
              <w:spacing w:after="120"/>
              <w:jc w:val="both"/>
              <w:rPr>
                <w:rFonts w:ascii="Times New Roman" w:hAnsi="Times New Roman" w:cs="Times New Roman"/>
                <w:sz w:val="24"/>
                <w:szCs w:val="24"/>
              </w:rPr>
            </w:pPr>
          </w:p>
          <w:p w:rsidR="003346BC" w:rsidRDefault="003346BC" w:rsidP="00016BC2">
            <w:pPr>
              <w:pStyle w:val="ListParagraph"/>
              <w:numPr>
                <w:ilvl w:val="0"/>
                <w:numId w:val="30"/>
              </w:numPr>
              <w:tabs>
                <w:tab w:val="left" w:pos="317"/>
              </w:tabs>
              <w:ind w:left="0" w:firstLine="0"/>
              <w:jc w:val="both"/>
              <w:rPr>
                <w:rFonts w:ascii="Times New Roman" w:hAnsi="Times New Roman" w:cs="Times New Roman"/>
                <w:sz w:val="24"/>
                <w:szCs w:val="24"/>
              </w:rPr>
            </w:pPr>
            <w:r w:rsidRPr="00061188">
              <w:rPr>
                <w:rFonts w:ascii="Times New Roman" w:hAnsi="Times New Roman" w:cs="Times New Roman"/>
                <w:b/>
                <w:i/>
                <w:sz w:val="24"/>
                <w:szCs w:val="24"/>
              </w:rPr>
              <w:t>Раздел 14. Категории разходи, допустими за финансиране: 14.1. Допустими разходи</w:t>
            </w:r>
            <w:r>
              <w:rPr>
                <w:rFonts w:ascii="Times New Roman" w:hAnsi="Times New Roman" w:cs="Times New Roman"/>
                <w:sz w:val="24"/>
                <w:szCs w:val="24"/>
              </w:rPr>
              <w:t xml:space="preserve"> (</w:t>
            </w:r>
            <w:r w:rsidRPr="004C4168">
              <w:rPr>
                <w:rFonts w:ascii="Times New Roman" w:hAnsi="Times New Roman" w:cs="Times New Roman"/>
                <w:sz w:val="24"/>
                <w:szCs w:val="24"/>
              </w:rPr>
              <w:t>стр. 14</w:t>
            </w:r>
            <w:r>
              <w:rPr>
                <w:rFonts w:ascii="Times New Roman" w:hAnsi="Times New Roman" w:cs="Times New Roman"/>
                <w:sz w:val="24"/>
                <w:szCs w:val="24"/>
              </w:rPr>
              <w:t>):</w:t>
            </w:r>
          </w:p>
          <w:p w:rsidR="003346BC" w:rsidRDefault="003346BC" w:rsidP="003346BC">
            <w:pPr>
              <w:spacing w:after="120"/>
              <w:ind w:firstLine="709"/>
              <w:jc w:val="both"/>
              <w:rPr>
                <w:rFonts w:ascii="Times New Roman" w:hAnsi="Times New Roman" w:cs="Times New Roman"/>
                <w:sz w:val="24"/>
                <w:szCs w:val="24"/>
              </w:rPr>
            </w:pPr>
            <w:r>
              <w:rPr>
                <w:rFonts w:ascii="Times New Roman" w:hAnsi="Times New Roman" w:cs="Times New Roman"/>
                <w:sz w:val="24"/>
                <w:szCs w:val="24"/>
              </w:rPr>
              <w:t>-буква „</w:t>
            </w:r>
            <w:r w:rsidRPr="00061188">
              <w:rPr>
                <w:rFonts w:ascii="Times New Roman" w:hAnsi="Times New Roman" w:cs="Times New Roman"/>
                <w:sz w:val="24"/>
                <w:szCs w:val="24"/>
              </w:rPr>
              <w:t>а) Разходи за закупуване на нови машини, съоръжения, оборудване и апаратура, необходими за подобряване на производствения процес в стопанството, както и за подготовка на продукцията за продажба</w:t>
            </w:r>
            <w:r>
              <w:rPr>
                <w:rFonts w:ascii="Times New Roman" w:hAnsi="Times New Roman" w:cs="Times New Roman"/>
                <w:sz w:val="24"/>
                <w:szCs w:val="24"/>
              </w:rPr>
              <w:t xml:space="preserve">“ да се допълни с „включително и на съоръжения за напояване“. Предлагаме да се допълни, че към тази буква са допустими и разходи за инвестиции, </w:t>
            </w:r>
            <w:r w:rsidRPr="00061188">
              <w:rPr>
                <w:rFonts w:ascii="Times New Roman" w:hAnsi="Times New Roman" w:cs="Times New Roman"/>
                <w:sz w:val="24"/>
                <w:szCs w:val="24"/>
              </w:rPr>
              <w:t>свързани с водоспестяващи и енергоспестяващи поливни техники и технологии, намаляване на загубите на вода</w:t>
            </w:r>
            <w:r>
              <w:rPr>
                <w:rFonts w:ascii="Times New Roman" w:hAnsi="Times New Roman" w:cs="Times New Roman"/>
                <w:sz w:val="24"/>
                <w:szCs w:val="24"/>
              </w:rPr>
              <w:t xml:space="preserve">, </w:t>
            </w:r>
            <w:r w:rsidRPr="00061188">
              <w:rPr>
                <w:rFonts w:ascii="Times New Roman" w:hAnsi="Times New Roman" w:cs="Times New Roman"/>
                <w:sz w:val="24"/>
                <w:szCs w:val="24"/>
              </w:rPr>
              <w:t>енергоефективни техники и технологии на производство и за намаляване на разходите на енергия в селското стопанство</w:t>
            </w:r>
            <w:r>
              <w:rPr>
                <w:rFonts w:ascii="Times New Roman" w:hAnsi="Times New Roman" w:cs="Times New Roman"/>
                <w:sz w:val="24"/>
                <w:szCs w:val="24"/>
              </w:rPr>
              <w:t>.</w:t>
            </w:r>
          </w:p>
          <w:p w:rsidR="003346BC" w:rsidRPr="004C4168" w:rsidRDefault="00254BA5" w:rsidP="00254BA5">
            <w:pPr>
              <w:spacing w:after="120"/>
              <w:jc w:val="both"/>
              <w:rPr>
                <w:rFonts w:ascii="Times New Roman" w:hAnsi="Times New Roman" w:cs="Times New Roman"/>
                <w:sz w:val="24"/>
                <w:szCs w:val="24"/>
              </w:rPr>
            </w:pPr>
            <w:r>
              <w:rPr>
                <w:rFonts w:ascii="Times New Roman" w:hAnsi="Times New Roman" w:cs="Times New Roman"/>
                <w:sz w:val="24"/>
                <w:szCs w:val="24"/>
              </w:rPr>
              <w:t xml:space="preserve">5.1. </w:t>
            </w:r>
            <w:r w:rsidR="003346BC">
              <w:rPr>
                <w:rFonts w:ascii="Times New Roman" w:hAnsi="Times New Roman" w:cs="Times New Roman"/>
                <w:sz w:val="24"/>
                <w:szCs w:val="24"/>
              </w:rPr>
              <w:t>- буква</w:t>
            </w:r>
            <w:r w:rsidR="003346BC" w:rsidRPr="004C4168">
              <w:rPr>
                <w:rFonts w:ascii="Times New Roman" w:hAnsi="Times New Roman" w:cs="Times New Roman"/>
                <w:sz w:val="24"/>
                <w:szCs w:val="24"/>
              </w:rPr>
              <w:t xml:space="preserve"> „г) Разходи за закупуване на софтуер и право на ползване на софтуер“ да се допълни с „вкл. и разработка на специализиран софтуерен продукт, необходим за съответното стопанство“</w:t>
            </w:r>
          </w:p>
          <w:p w:rsidR="003346BC" w:rsidRPr="004C4168" w:rsidRDefault="003346BC" w:rsidP="00F657C5">
            <w:pPr>
              <w:spacing w:after="120"/>
              <w:jc w:val="both"/>
              <w:rPr>
                <w:rFonts w:ascii="Times New Roman" w:hAnsi="Times New Roman" w:cs="Times New Roman"/>
                <w:sz w:val="24"/>
                <w:szCs w:val="24"/>
              </w:rPr>
            </w:pPr>
            <w:r>
              <w:rPr>
                <w:rFonts w:ascii="Times New Roman" w:hAnsi="Times New Roman" w:cs="Times New Roman"/>
                <w:sz w:val="24"/>
                <w:szCs w:val="24"/>
              </w:rPr>
              <w:t>Мотиви:</w:t>
            </w:r>
            <w:r w:rsidR="00F657C5">
              <w:rPr>
                <w:rFonts w:ascii="Times New Roman" w:hAnsi="Times New Roman" w:cs="Times New Roman"/>
                <w:sz w:val="24"/>
                <w:szCs w:val="24"/>
              </w:rPr>
              <w:t xml:space="preserve"> </w:t>
            </w:r>
            <w:r>
              <w:rPr>
                <w:rFonts w:ascii="Times New Roman" w:hAnsi="Times New Roman" w:cs="Times New Roman"/>
                <w:sz w:val="24"/>
                <w:szCs w:val="24"/>
              </w:rPr>
              <w:t>Предложенията прецизират и дават по- подробен списък на допустимост на разходи, което кореспондира и с приоритетните фокус области.</w:t>
            </w:r>
          </w:p>
          <w:p w:rsidR="003346BC" w:rsidRDefault="00923802" w:rsidP="00F657C5">
            <w:pPr>
              <w:spacing w:after="120"/>
              <w:jc w:val="both"/>
              <w:rPr>
                <w:rFonts w:ascii="Times New Roman" w:hAnsi="Times New Roman" w:cs="Times New Roman"/>
                <w:sz w:val="24"/>
                <w:szCs w:val="24"/>
              </w:rPr>
            </w:pPr>
            <w:r>
              <w:rPr>
                <w:rFonts w:ascii="Times New Roman" w:hAnsi="Times New Roman" w:cs="Times New Roman"/>
                <w:sz w:val="24"/>
                <w:szCs w:val="24"/>
              </w:rPr>
              <w:t xml:space="preserve">5.2. </w:t>
            </w:r>
            <w:r w:rsidR="003346BC">
              <w:rPr>
                <w:rFonts w:ascii="Times New Roman" w:hAnsi="Times New Roman" w:cs="Times New Roman"/>
                <w:sz w:val="24"/>
                <w:szCs w:val="24"/>
              </w:rPr>
              <w:t>Към същия раздел, в т. 12-15 се описва процедурата за оценка на размера на инвестиционния разход въз основа на приложените сходни оферти. В т.</w:t>
            </w:r>
            <w:r w:rsidR="003346BC" w:rsidRPr="004C4168">
              <w:rPr>
                <w:rFonts w:ascii="Times New Roman" w:hAnsi="Times New Roman" w:cs="Times New Roman"/>
                <w:sz w:val="24"/>
                <w:szCs w:val="24"/>
              </w:rPr>
              <w:t xml:space="preserve"> 1</w:t>
            </w:r>
            <w:r w:rsidR="003346BC">
              <w:rPr>
                <w:rFonts w:ascii="Times New Roman" w:hAnsi="Times New Roman" w:cs="Times New Roman"/>
                <w:sz w:val="24"/>
                <w:szCs w:val="24"/>
              </w:rPr>
              <w:t>5</w:t>
            </w:r>
            <w:r w:rsidR="003346BC" w:rsidRPr="004C4168">
              <w:rPr>
                <w:rFonts w:ascii="Times New Roman" w:hAnsi="Times New Roman" w:cs="Times New Roman"/>
                <w:sz w:val="24"/>
                <w:szCs w:val="24"/>
              </w:rPr>
              <w:t>, последно изречение „</w:t>
            </w:r>
            <w:r w:rsidR="003346BC" w:rsidRPr="00714518">
              <w:rPr>
                <w:rFonts w:ascii="Times New Roman" w:hAnsi="Times New Roman" w:cs="Times New Roman"/>
                <w:i/>
                <w:sz w:val="24"/>
                <w:szCs w:val="24"/>
              </w:rPr>
              <w:t>Оценителната комисия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r w:rsidR="003346BC" w:rsidRPr="004C4168">
              <w:rPr>
                <w:rFonts w:ascii="Times New Roman" w:hAnsi="Times New Roman" w:cs="Times New Roman"/>
                <w:sz w:val="24"/>
                <w:szCs w:val="24"/>
              </w:rPr>
              <w:t>“ противоречи на т. „</w:t>
            </w:r>
            <w:r w:rsidR="003346BC" w:rsidRPr="00714518">
              <w:rPr>
                <w:rFonts w:ascii="Times New Roman" w:hAnsi="Times New Roman" w:cs="Times New Roman"/>
                <w:i/>
                <w:sz w:val="24"/>
                <w:szCs w:val="24"/>
              </w:rPr>
              <w:t>17. В случаите по т. 13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r w:rsidR="003346BC" w:rsidRPr="004C4168">
              <w:rPr>
                <w:rFonts w:ascii="Times New Roman" w:hAnsi="Times New Roman" w:cs="Times New Roman"/>
                <w:sz w:val="24"/>
                <w:szCs w:val="24"/>
              </w:rPr>
              <w:t xml:space="preserve">“. Защо кандидатът </w:t>
            </w:r>
            <w:r w:rsidR="003346BC">
              <w:rPr>
                <w:rFonts w:ascii="Times New Roman" w:hAnsi="Times New Roman" w:cs="Times New Roman"/>
                <w:sz w:val="24"/>
                <w:szCs w:val="24"/>
              </w:rPr>
              <w:t xml:space="preserve">трябва да </w:t>
            </w:r>
            <w:r w:rsidR="003346BC" w:rsidRPr="004C4168">
              <w:rPr>
                <w:rFonts w:ascii="Times New Roman" w:hAnsi="Times New Roman" w:cs="Times New Roman"/>
                <w:sz w:val="24"/>
                <w:szCs w:val="24"/>
              </w:rPr>
              <w:t xml:space="preserve">мотива избор след като оценителната комисия одобрява най-ниската цена. Предлагаме да се промени т. 15, като </w:t>
            </w:r>
            <w:r w:rsidR="003346BC">
              <w:rPr>
                <w:rFonts w:ascii="Times New Roman" w:hAnsi="Times New Roman" w:cs="Times New Roman"/>
                <w:sz w:val="24"/>
                <w:szCs w:val="24"/>
              </w:rPr>
              <w:t>„</w:t>
            </w:r>
            <w:r w:rsidR="003346BC" w:rsidRPr="00714518">
              <w:rPr>
                <w:rFonts w:ascii="Times New Roman" w:hAnsi="Times New Roman" w:cs="Times New Roman"/>
                <w:i/>
                <w:sz w:val="24"/>
                <w:szCs w:val="24"/>
              </w:rPr>
              <w:t xml:space="preserve">оценителната комисия одобрява </w:t>
            </w:r>
            <w:r w:rsidR="003346BC" w:rsidRPr="00714518">
              <w:rPr>
                <w:rFonts w:ascii="Times New Roman" w:hAnsi="Times New Roman" w:cs="Times New Roman"/>
                <w:i/>
                <w:sz w:val="24"/>
                <w:szCs w:val="24"/>
              </w:rPr>
              <w:lastRenderedPageBreak/>
              <w:t>за финансиране разхода въз основа на изложените мотивите на кандидата и потребностите при провеждане на демонстрацията</w:t>
            </w:r>
            <w:r w:rsidR="003346BC" w:rsidRPr="004C4168">
              <w:rPr>
                <w:rFonts w:ascii="Times New Roman" w:hAnsi="Times New Roman" w:cs="Times New Roman"/>
                <w:sz w:val="24"/>
                <w:szCs w:val="24"/>
              </w:rPr>
              <w:t>.</w:t>
            </w:r>
            <w:r w:rsidR="003346BC">
              <w:rPr>
                <w:rFonts w:ascii="Times New Roman" w:hAnsi="Times New Roman" w:cs="Times New Roman"/>
                <w:sz w:val="24"/>
                <w:szCs w:val="24"/>
              </w:rPr>
              <w:t>“</w:t>
            </w:r>
          </w:p>
          <w:p w:rsidR="00923802" w:rsidRDefault="00923802" w:rsidP="00F657C5">
            <w:pPr>
              <w:spacing w:after="120"/>
              <w:jc w:val="both"/>
              <w:rPr>
                <w:rFonts w:ascii="Times New Roman" w:hAnsi="Times New Roman" w:cs="Times New Roman"/>
                <w:sz w:val="24"/>
                <w:szCs w:val="24"/>
              </w:rPr>
            </w:pPr>
          </w:p>
          <w:p w:rsidR="00923802" w:rsidRDefault="00923802" w:rsidP="00F657C5">
            <w:pPr>
              <w:spacing w:after="120"/>
              <w:jc w:val="both"/>
              <w:rPr>
                <w:rFonts w:ascii="Times New Roman" w:hAnsi="Times New Roman" w:cs="Times New Roman"/>
                <w:sz w:val="24"/>
                <w:szCs w:val="24"/>
              </w:rPr>
            </w:pPr>
          </w:p>
          <w:p w:rsidR="00923802" w:rsidRDefault="00923802" w:rsidP="00F657C5">
            <w:pPr>
              <w:spacing w:after="120"/>
              <w:jc w:val="both"/>
              <w:rPr>
                <w:rFonts w:ascii="Times New Roman" w:hAnsi="Times New Roman" w:cs="Times New Roman"/>
                <w:sz w:val="24"/>
                <w:szCs w:val="24"/>
              </w:rPr>
            </w:pPr>
          </w:p>
          <w:p w:rsidR="00923802" w:rsidRDefault="00923802" w:rsidP="00F657C5">
            <w:pPr>
              <w:spacing w:after="120"/>
              <w:jc w:val="both"/>
              <w:rPr>
                <w:rFonts w:ascii="Times New Roman" w:hAnsi="Times New Roman" w:cs="Times New Roman"/>
                <w:sz w:val="24"/>
                <w:szCs w:val="24"/>
              </w:rPr>
            </w:pPr>
          </w:p>
          <w:p w:rsidR="00923802" w:rsidRPr="004C4168" w:rsidRDefault="00923802" w:rsidP="00F657C5">
            <w:pPr>
              <w:spacing w:after="120"/>
              <w:jc w:val="both"/>
              <w:rPr>
                <w:rFonts w:ascii="Times New Roman" w:hAnsi="Times New Roman" w:cs="Times New Roman"/>
                <w:sz w:val="24"/>
                <w:szCs w:val="24"/>
              </w:rPr>
            </w:pPr>
          </w:p>
          <w:p w:rsidR="003346BC" w:rsidRDefault="003346BC" w:rsidP="00F657C5">
            <w:pPr>
              <w:pStyle w:val="ListParagraph"/>
              <w:tabs>
                <w:tab w:val="left" w:pos="317"/>
              </w:tabs>
              <w:ind w:left="0"/>
              <w:jc w:val="both"/>
              <w:rPr>
                <w:rFonts w:ascii="Times New Roman" w:hAnsi="Times New Roman" w:cs="Times New Roman"/>
                <w:sz w:val="24"/>
                <w:szCs w:val="24"/>
              </w:rPr>
            </w:pPr>
            <w:r w:rsidRPr="00714518">
              <w:rPr>
                <w:rFonts w:ascii="Times New Roman" w:hAnsi="Times New Roman" w:cs="Times New Roman"/>
                <w:b/>
                <w:i/>
                <w:sz w:val="24"/>
                <w:szCs w:val="24"/>
              </w:rPr>
              <w:t>5.</w:t>
            </w:r>
            <w:r w:rsidR="00923802">
              <w:rPr>
                <w:rFonts w:ascii="Times New Roman" w:hAnsi="Times New Roman" w:cs="Times New Roman"/>
                <w:b/>
                <w:i/>
                <w:sz w:val="24"/>
                <w:szCs w:val="24"/>
              </w:rPr>
              <w:t>3.</w:t>
            </w:r>
            <w:r w:rsidRPr="00714518">
              <w:rPr>
                <w:rFonts w:ascii="Times New Roman" w:hAnsi="Times New Roman" w:cs="Times New Roman"/>
                <w:b/>
                <w:i/>
                <w:sz w:val="24"/>
                <w:szCs w:val="24"/>
              </w:rPr>
              <w:t xml:space="preserve"> Раздел 22. Критерии и методика за оценка на проектните предложения</w:t>
            </w:r>
            <w:r w:rsidRPr="00714518">
              <w:rPr>
                <w:rFonts w:ascii="Times New Roman" w:hAnsi="Times New Roman" w:cs="Times New Roman"/>
                <w:sz w:val="24"/>
                <w:szCs w:val="24"/>
              </w:rPr>
              <w:t xml:space="preserve"> (стр. 24), Приоритет 1 „Оценка на програмата на демонстрационната дейност в съответствие с приоритетите, посочени в раздел 8.2.1.2. на ПРСР 2014-2020“, критерии 1 - В програмата на демонстрационната дейност са включен</w:t>
            </w:r>
            <w:r>
              <w:rPr>
                <w:rFonts w:ascii="Times New Roman" w:hAnsi="Times New Roman" w:cs="Times New Roman"/>
                <w:sz w:val="24"/>
                <w:szCs w:val="24"/>
              </w:rPr>
              <w:t>и дейности и теми, насочени към:“</w:t>
            </w:r>
          </w:p>
          <w:p w:rsidR="003346BC" w:rsidRDefault="003346BC" w:rsidP="003346BC">
            <w:pPr>
              <w:spacing w:after="120"/>
              <w:ind w:firstLine="708"/>
              <w:jc w:val="both"/>
              <w:rPr>
                <w:rFonts w:ascii="Times New Roman" w:hAnsi="Times New Roman" w:cs="Times New Roman"/>
                <w:sz w:val="24"/>
                <w:szCs w:val="24"/>
              </w:rPr>
            </w:pPr>
            <w:r>
              <w:rPr>
                <w:rFonts w:ascii="Times New Roman" w:hAnsi="Times New Roman" w:cs="Times New Roman"/>
                <w:sz w:val="24"/>
                <w:szCs w:val="24"/>
              </w:rPr>
              <w:t>В критерии 1 са</w:t>
            </w:r>
            <w:r w:rsidRPr="00714518">
              <w:rPr>
                <w:rFonts w:ascii="Times New Roman" w:hAnsi="Times New Roman" w:cs="Times New Roman"/>
                <w:sz w:val="24"/>
                <w:szCs w:val="24"/>
              </w:rPr>
              <w:t xml:space="preserve"> изброени 7 фокус области, </w:t>
            </w:r>
            <w:r>
              <w:rPr>
                <w:rFonts w:ascii="Times New Roman" w:hAnsi="Times New Roman" w:cs="Times New Roman"/>
                <w:sz w:val="24"/>
                <w:szCs w:val="24"/>
              </w:rPr>
              <w:t xml:space="preserve">като </w:t>
            </w:r>
            <w:r w:rsidRPr="00714518">
              <w:rPr>
                <w:rFonts w:ascii="Times New Roman" w:hAnsi="Times New Roman" w:cs="Times New Roman"/>
                <w:sz w:val="24"/>
                <w:szCs w:val="24"/>
              </w:rPr>
              <w:t xml:space="preserve">всяка една </w:t>
            </w:r>
            <w:r>
              <w:rPr>
                <w:rFonts w:ascii="Times New Roman" w:hAnsi="Times New Roman" w:cs="Times New Roman"/>
                <w:sz w:val="24"/>
                <w:szCs w:val="24"/>
              </w:rPr>
              <w:t>се оценява с</w:t>
            </w:r>
            <w:r w:rsidRPr="00714518">
              <w:rPr>
                <w:rFonts w:ascii="Times New Roman" w:hAnsi="Times New Roman" w:cs="Times New Roman"/>
                <w:sz w:val="24"/>
                <w:szCs w:val="24"/>
              </w:rPr>
              <w:t xml:space="preserve"> 5 точки, при което максималният брой точки трябва да е 35, а не 30. </w:t>
            </w:r>
          </w:p>
          <w:p w:rsidR="00923802" w:rsidRPr="00714518" w:rsidRDefault="00923802" w:rsidP="003346BC">
            <w:pPr>
              <w:spacing w:after="120"/>
              <w:ind w:firstLine="708"/>
              <w:jc w:val="both"/>
              <w:rPr>
                <w:rFonts w:ascii="Times New Roman" w:hAnsi="Times New Roman" w:cs="Times New Roman"/>
                <w:sz w:val="24"/>
                <w:szCs w:val="24"/>
              </w:rPr>
            </w:pPr>
          </w:p>
          <w:p w:rsidR="003346BC" w:rsidRDefault="003346BC" w:rsidP="00F657C5">
            <w:pPr>
              <w:pStyle w:val="ListParagraph"/>
              <w:tabs>
                <w:tab w:val="left" w:pos="317"/>
              </w:tabs>
              <w:ind w:left="0"/>
              <w:jc w:val="both"/>
              <w:rPr>
                <w:rFonts w:ascii="Times New Roman" w:hAnsi="Times New Roman" w:cs="Times New Roman"/>
                <w:sz w:val="24"/>
                <w:szCs w:val="24"/>
              </w:rPr>
            </w:pPr>
            <w:r w:rsidRPr="00714518">
              <w:rPr>
                <w:rFonts w:ascii="Times New Roman" w:hAnsi="Times New Roman" w:cs="Times New Roman"/>
                <w:b/>
                <w:i/>
                <w:sz w:val="24"/>
                <w:szCs w:val="24"/>
              </w:rPr>
              <w:t>6. Раздел 24.2- . 24.2. Списък със специфични документи</w:t>
            </w:r>
            <w:r>
              <w:rPr>
                <w:rFonts w:ascii="Times New Roman" w:hAnsi="Times New Roman" w:cs="Times New Roman"/>
                <w:sz w:val="24"/>
                <w:szCs w:val="24"/>
              </w:rPr>
              <w:t xml:space="preserve">, т. </w:t>
            </w:r>
            <w:r w:rsidRPr="004C4168">
              <w:rPr>
                <w:rFonts w:ascii="Times New Roman" w:hAnsi="Times New Roman" w:cs="Times New Roman"/>
                <w:sz w:val="24"/>
                <w:szCs w:val="24"/>
              </w:rPr>
              <w:t xml:space="preserve">5. Инвентарна книга на кандидата-към датата на подаване на проектното предложение, с разбивка по вид на актив, дата и цена на придобиване. Представя се във формат „pdf“ или „jpg“. </w:t>
            </w:r>
          </w:p>
          <w:p w:rsidR="003346BC" w:rsidRDefault="003346BC" w:rsidP="00F657C5">
            <w:pPr>
              <w:spacing w:after="120"/>
              <w:jc w:val="both"/>
              <w:rPr>
                <w:rFonts w:ascii="Times New Roman" w:hAnsi="Times New Roman" w:cs="Times New Roman"/>
                <w:sz w:val="24"/>
                <w:szCs w:val="24"/>
              </w:rPr>
            </w:pPr>
            <w:r>
              <w:rPr>
                <w:rFonts w:ascii="Times New Roman" w:hAnsi="Times New Roman" w:cs="Times New Roman"/>
                <w:sz w:val="24"/>
                <w:szCs w:val="24"/>
              </w:rPr>
              <w:t>Предлагаме да отпадне изискването при кандидатстване да се изисква копие на инвентарната книга, а да се изисква само на етап изпълнение, т.е да бъде включен само в „Условията за изпълнение“.</w:t>
            </w:r>
          </w:p>
          <w:p w:rsidR="00B83157" w:rsidRDefault="00B83157" w:rsidP="00F657C5">
            <w:pPr>
              <w:spacing w:after="120"/>
              <w:jc w:val="both"/>
              <w:rPr>
                <w:rFonts w:ascii="Times New Roman" w:hAnsi="Times New Roman" w:cs="Times New Roman"/>
                <w:sz w:val="24"/>
                <w:szCs w:val="24"/>
              </w:rPr>
            </w:pPr>
          </w:p>
          <w:p w:rsidR="00B83157" w:rsidRDefault="00B83157" w:rsidP="00F657C5">
            <w:pPr>
              <w:spacing w:after="120"/>
              <w:jc w:val="both"/>
              <w:rPr>
                <w:rFonts w:ascii="Times New Roman" w:hAnsi="Times New Roman" w:cs="Times New Roman"/>
                <w:sz w:val="24"/>
                <w:szCs w:val="24"/>
              </w:rPr>
            </w:pPr>
          </w:p>
          <w:p w:rsidR="00B83157" w:rsidRDefault="00B83157" w:rsidP="00045A67">
            <w:pPr>
              <w:jc w:val="both"/>
              <w:rPr>
                <w:rFonts w:ascii="Times New Roman" w:hAnsi="Times New Roman" w:cs="Times New Roman"/>
                <w:sz w:val="24"/>
                <w:szCs w:val="24"/>
              </w:rPr>
            </w:pPr>
          </w:p>
          <w:p w:rsidR="003346BC" w:rsidRPr="001D79A9" w:rsidRDefault="003346BC" w:rsidP="00F657C5">
            <w:pPr>
              <w:pStyle w:val="ListParagraph"/>
              <w:tabs>
                <w:tab w:val="left" w:pos="317"/>
              </w:tabs>
              <w:ind w:left="0"/>
              <w:jc w:val="both"/>
              <w:rPr>
                <w:rFonts w:ascii="Times New Roman" w:hAnsi="Times New Roman" w:cs="Times New Roman"/>
                <w:b/>
                <w:i/>
                <w:sz w:val="24"/>
                <w:szCs w:val="24"/>
              </w:rPr>
            </w:pPr>
            <w:r w:rsidRPr="001D79A9">
              <w:rPr>
                <w:rFonts w:ascii="Times New Roman" w:hAnsi="Times New Roman" w:cs="Times New Roman"/>
                <w:b/>
                <w:i/>
                <w:sz w:val="24"/>
                <w:szCs w:val="24"/>
              </w:rPr>
              <w:t>6.</w:t>
            </w:r>
            <w:r w:rsidR="00923802">
              <w:rPr>
                <w:rFonts w:ascii="Times New Roman" w:hAnsi="Times New Roman" w:cs="Times New Roman"/>
                <w:b/>
                <w:i/>
                <w:sz w:val="24"/>
                <w:szCs w:val="24"/>
              </w:rPr>
              <w:t>1</w:t>
            </w:r>
            <w:r w:rsidRPr="001D79A9">
              <w:rPr>
                <w:rFonts w:ascii="Times New Roman" w:hAnsi="Times New Roman" w:cs="Times New Roman"/>
                <w:b/>
                <w:i/>
                <w:sz w:val="24"/>
                <w:szCs w:val="24"/>
              </w:rPr>
              <w:t xml:space="preserve"> Приложение 3, Финансов план, лист- т.3- Амортизации </w:t>
            </w:r>
          </w:p>
          <w:p w:rsidR="003346BC" w:rsidRPr="004C4168" w:rsidRDefault="003346BC" w:rsidP="003346BC">
            <w:pPr>
              <w:spacing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Предлагаме за </w:t>
            </w:r>
            <w:r w:rsidRPr="004C4168">
              <w:rPr>
                <w:rFonts w:ascii="Times New Roman" w:hAnsi="Times New Roman" w:cs="Times New Roman"/>
                <w:sz w:val="24"/>
                <w:szCs w:val="24"/>
              </w:rPr>
              <w:t xml:space="preserve">колона 9 </w:t>
            </w:r>
            <w:r>
              <w:rPr>
                <w:rFonts w:ascii="Times New Roman" w:hAnsi="Times New Roman" w:cs="Times New Roman"/>
                <w:sz w:val="24"/>
                <w:szCs w:val="24"/>
              </w:rPr>
              <w:t xml:space="preserve">да се заложи формула, която автоматично да изчислява </w:t>
            </w:r>
            <w:r w:rsidRPr="004C4168">
              <w:rPr>
                <w:rFonts w:ascii="Times New Roman" w:hAnsi="Times New Roman" w:cs="Times New Roman"/>
                <w:sz w:val="24"/>
                <w:szCs w:val="24"/>
              </w:rPr>
              <w:t>или да се</w:t>
            </w:r>
            <w:r>
              <w:rPr>
                <w:rFonts w:ascii="Times New Roman" w:hAnsi="Times New Roman" w:cs="Times New Roman"/>
                <w:sz w:val="24"/>
                <w:szCs w:val="24"/>
              </w:rPr>
              <w:t xml:space="preserve"> дадат подробни указания.</w:t>
            </w:r>
          </w:p>
          <w:p w:rsidR="003346BC" w:rsidRDefault="003346BC" w:rsidP="003346BC">
            <w:pPr>
              <w:spacing w:after="120"/>
              <w:ind w:firstLine="709"/>
              <w:jc w:val="both"/>
              <w:rPr>
                <w:rFonts w:ascii="Times New Roman" w:hAnsi="Times New Roman" w:cs="Times New Roman"/>
                <w:sz w:val="24"/>
                <w:szCs w:val="24"/>
              </w:rPr>
            </w:pPr>
          </w:p>
          <w:p w:rsidR="003346BC" w:rsidRPr="009F2C88" w:rsidRDefault="003346BC" w:rsidP="00923802">
            <w:pPr>
              <w:jc w:val="both"/>
              <w:rPr>
                <w:rFonts w:ascii="Times New Roman" w:hAnsi="Times New Roman" w:cs="Times New Roman"/>
                <w:b/>
                <w:i/>
                <w:sz w:val="24"/>
                <w:szCs w:val="24"/>
              </w:rPr>
            </w:pPr>
            <w:r w:rsidRPr="009F2C88">
              <w:rPr>
                <w:rFonts w:ascii="Times New Roman" w:hAnsi="Times New Roman" w:cs="Times New Roman"/>
                <w:b/>
                <w:i/>
                <w:sz w:val="24"/>
                <w:szCs w:val="24"/>
              </w:rPr>
              <w:t>По отношение на документ „Условия за изпълнение“:</w:t>
            </w:r>
          </w:p>
          <w:p w:rsidR="003346BC" w:rsidRPr="003A535A" w:rsidRDefault="003346BC" w:rsidP="00F657C5">
            <w:pPr>
              <w:pStyle w:val="ListParagraph"/>
              <w:tabs>
                <w:tab w:val="left" w:pos="317"/>
              </w:tabs>
              <w:ind w:left="0"/>
              <w:jc w:val="both"/>
              <w:rPr>
                <w:rFonts w:ascii="Times New Roman" w:hAnsi="Times New Roman" w:cs="Times New Roman"/>
                <w:sz w:val="24"/>
                <w:szCs w:val="24"/>
              </w:rPr>
            </w:pPr>
            <w:r w:rsidRPr="009F2C88">
              <w:rPr>
                <w:rFonts w:ascii="Times New Roman" w:hAnsi="Times New Roman" w:cs="Times New Roman"/>
                <w:b/>
                <w:i/>
                <w:sz w:val="24"/>
                <w:szCs w:val="24"/>
              </w:rPr>
              <w:t xml:space="preserve">1. </w:t>
            </w:r>
            <w:r w:rsidRPr="003A535A">
              <w:rPr>
                <w:rFonts w:ascii="Times New Roman" w:hAnsi="Times New Roman" w:cs="Times New Roman"/>
                <w:b/>
                <w:i/>
                <w:sz w:val="24"/>
                <w:szCs w:val="24"/>
              </w:rPr>
              <w:t>Раздел 2. Финансово изпълнение на проектите и плащане</w:t>
            </w:r>
            <w:r>
              <w:rPr>
                <w:rFonts w:ascii="Times New Roman" w:hAnsi="Times New Roman" w:cs="Times New Roman"/>
                <w:b/>
                <w:i/>
                <w:sz w:val="24"/>
                <w:szCs w:val="24"/>
              </w:rPr>
              <w:t xml:space="preserve">, т. 2.4 </w:t>
            </w:r>
            <w:r w:rsidRPr="003A535A">
              <w:rPr>
                <w:rFonts w:ascii="Times New Roman" w:hAnsi="Times New Roman" w:cs="Times New Roman"/>
                <w:sz w:val="24"/>
                <w:szCs w:val="24"/>
              </w:rPr>
              <w:t xml:space="preserve">да бъде дадена възможност авансовото плащане да се извършва </w:t>
            </w:r>
            <w:r>
              <w:rPr>
                <w:rFonts w:ascii="Times New Roman" w:hAnsi="Times New Roman" w:cs="Times New Roman"/>
                <w:sz w:val="24"/>
                <w:szCs w:val="24"/>
              </w:rPr>
              <w:t xml:space="preserve">и след представяне на застраховка, </w:t>
            </w:r>
            <w:r w:rsidRPr="00691335">
              <w:rPr>
                <w:rFonts w:ascii="Times New Roman" w:hAnsi="Times New Roman" w:cs="Times New Roman"/>
                <w:sz w:val="24"/>
                <w:szCs w:val="24"/>
              </w:rPr>
              <w:t>която обезпечава покритие на отговорността на</w:t>
            </w:r>
            <w:r>
              <w:rPr>
                <w:rFonts w:ascii="Times New Roman" w:hAnsi="Times New Roman" w:cs="Times New Roman"/>
                <w:sz w:val="24"/>
                <w:szCs w:val="24"/>
              </w:rPr>
              <w:t xml:space="preserve"> </w:t>
            </w:r>
            <w:r w:rsidRPr="00691335">
              <w:rPr>
                <w:rFonts w:ascii="Times New Roman" w:hAnsi="Times New Roman" w:cs="Times New Roman"/>
                <w:sz w:val="24"/>
                <w:szCs w:val="24"/>
              </w:rPr>
              <w:t>изпълнителя</w:t>
            </w:r>
            <w:r>
              <w:rPr>
                <w:rFonts w:ascii="Times New Roman" w:hAnsi="Times New Roman" w:cs="Times New Roman"/>
                <w:sz w:val="24"/>
                <w:szCs w:val="24"/>
              </w:rPr>
              <w:t>.</w:t>
            </w:r>
          </w:p>
          <w:p w:rsidR="003346BC" w:rsidRPr="003A535A" w:rsidRDefault="003346BC" w:rsidP="003346BC">
            <w:pPr>
              <w:spacing w:after="120"/>
              <w:ind w:firstLine="709"/>
              <w:jc w:val="both"/>
              <w:rPr>
                <w:rFonts w:ascii="Times New Roman" w:hAnsi="Times New Roman" w:cs="Times New Roman"/>
                <w:i/>
                <w:sz w:val="20"/>
                <w:szCs w:val="20"/>
              </w:rPr>
            </w:pPr>
            <w:r w:rsidRPr="003A535A">
              <w:rPr>
                <w:rFonts w:ascii="Times New Roman" w:hAnsi="Times New Roman" w:cs="Times New Roman"/>
                <w:i/>
                <w:sz w:val="20"/>
                <w:szCs w:val="20"/>
              </w:rPr>
              <w:t>„2.4. Авансово плащане се извършва след представяне от ползвателя на безусловна и неотменима банкова гаранция в полза на ДФЗ - РА в размер 100 % от стойността на авансовото плащане.“</w:t>
            </w:r>
          </w:p>
          <w:p w:rsidR="003346BC" w:rsidRDefault="003346BC" w:rsidP="00A47C9F">
            <w:pPr>
              <w:jc w:val="both"/>
              <w:rPr>
                <w:rFonts w:ascii="Times New Roman" w:hAnsi="Times New Roman" w:cs="Times New Roman"/>
                <w:sz w:val="24"/>
                <w:szCs w:val="24"/>
              </w:rPr>
            </w:pPr>
            <w:r w:rsidRPr="003A535A">
              <w:rPr>
                <w:rFonts w:ascii="Times New Roman" w:hAnsi="Times New Roman" w:cs="Times New Roman"/>
                <w:sz w:val="24"/>
                <w:szCs w:val="24"/>
              </w:rPr>
              <w:t>Мотиви</w:t>
            </w:r>
            <w:r w:rsidR="00F657C5">
              <w:rPr>
                <w:rFonts w:ascii="Times New Roman" w:hAnsi="Times New Roman" w:cs="Times New Roman"/>
                <w:sz w:val="24"/>
                <w:szCs w:val="24"/>
              </w:rPr>
              <w:t xml:space="preserve">: </w:t>
            </w:r>
            <w:r>
              <w:rPr>
                <w:rFonts w:ascii="Times New Roman" w:hAnsi="Times New Roman" w:cs="Times New Roman"/>
                <w:sz w:val="24"/>
                <w:szCs w:val="24"/>
              </w:rPr>
              <w:t>Застраховката като форма на гаранция, обезпечаваща покритие на отговорността на изпълнителя, през последните години широко се използва за гарантиране изпълнение на дейности от страна на изпълнител, избран по реда на закона за обществените поръчки.</w:t>
            </w:r>
          </w:p>
          <w:p w:rsidR="00045A67" w:rsidRDefault="00045A67" w:rsidP="00F657C5">
            <w:pPr>
              <w:spacing w:after="120"/>
              <w:jc w:val="both"/>
              <w:rPr>
                <w:rFonts w:ascii="Times New Roman" w:hAnsi="Times New Roman" w:cs="Times New Roman"/>
                <w:sz w:val="24"/>
                <w:szCs w:val="24"/>
              </w:rPr>
            </w:pPr>
          </w:p>
          <w:p w:rsidR="00045A67" w:rsidRDefault="00045A67" w:rsidP="00F657C5">
            <w:pPr>
              <w:spacing w:after="120"/>
              <w:jc w:val="both"/>
              <w:rPr>
                <w:rFonts w:ascii="Times New Roman" w:hAnsi="Times New Roman" w:cs="Times New Roman"/>
                <w:sz w:val="24"/>
                <w:szCs w:val="24"/>
              </w:rPr>
            </w:pPr>
          </w:p>
          <w:p w:rsidR="00045A67" w:rsidRDefault="00045A67" w:rsidP="00F657C5">
            <w:pPr>
              <w:spacing w:after="120"/>
              <w:jc w:val="both"/>
              <w:rPr>
                <w:rFonts w:ascii="Times New Roman" w:hAnsi="Times New Roman" w:cs="Times New Roman"/>
                <w:sz w:val="24"/>
                <w:szCs w:val="24"/>
              </w:rPr>
            </w:pPr>
          </w:p>
          <w:p w:rsidR="00045A67" w:rsidRDefault="00045A67" w:rsidP="00F657C5">
            <w:pPr>
              <w:spacing w:after="120"/>
              <w:jc w:val="both"/>
              <w:rPr>
                <w:rFonts w:ascii="Times New Roman" w:hAnsi="Times New Roman" w:cs="Times New Roman"/>
                <w:sz w:val="24"/>
                <w:szCs w:val="24"/>
              </w:rPr>
            </w:pPr>
          </w:p>
          <w:p w:rsidR="00A47C9F" w:rsidRDefault="00A47C9F" w:rsidP="00F657C5">
            <w:pPr>
              <w:spacing w:after="120"/>
              <w:jc w:val="both"/>
              <w:rPr>
                <w:rFonts w:ascii="Times New Roman" w:hAnsi="Times New Roman" w:cs="Times New Roman"/>
                <w:sz w:val="24"/>
                <w:szCs w:val="24"/>
              </w:rPr>
            </w:pPr>
          </w:p>
          <w:p w:rsidR="003346BC" w:rsidRDefault="003346BC" w:rsidP="00F657C5">
            <w:pPr>
              <w:pStyle w:val="ListParagraph"/>
              <w:tabs>
                <w:tab w:val="left" w:pos="317"/>
              </w:tabs>
              <w:ind w:left="0"/>
              <w:jc w:val="both"/>
              <w:rPr>
                <w:rFonts w:ascii="Times New Roman" w:hAnsi="Times New Roman" w:cs="Times New Roman"/>
                <w:sz w:val="24"/>
                <w:szCs w:val="24"/>
              </w:rPr>
            </w:pPr>
            <w:r>
              <w:rPr>
                <w:rFonts w:ascii="Times New Roman" w:hAnsi="Times New Roman" w:cs="Times New Roman"/>
                <w:b/>
                <w:i/>
                <w:sz w:val="24"/>
                <w:szCs w:val="24"/>
              </w:rPr>
              <w:t xml:space="preserve">2. </w:t>
            </w:r>
            <w:r w:rsidRPr="009F2C88">
              <w:rPr>
                <w:rFonts w:ascii="Times New Roman" w:hAnsi="Times New Roman" w:cs="Times New Roman"/>
                <w:b/>
                <w:i/>
                <w:sz w:val="24"/>
                <w:szCs w:val="24"/>
              </w:rPr>
              <w:t>Раздел 2. Финансово изпълнение на проектите и плащане, т. 2.9. Разходи за</w:t>
            </w:r>
            <w:r w:rsidRPr="004C4168">
              <w:rPr>
                <w:rFonts w:ascii="Times New Roman" w:hAnsi="Times New Roman" w:cs="Times New Roman"/>
                <w:sz w:val="24"/>
                <w:szCs w:val="24"/>
              </w:rPr>
              <w:t xml:space="preserve"> инвестиции и разходи за амортизация могат да бъдат заявени само в окончателното искане за плащане, като разходите ще бъдат изплатени в пълния им размер само при условие, че участие в демонстрациите са взели минимално заложения брой участници по т. 14 от Раздел 13.2 Условия за допустимост на дейностите от Условията за кандидатстване.</w:t>
            </w:r>
          </w:p>
          <w:p w:rsidR="003346BC" w:rsidRDefault="003346BC" w:rsidP="00F657C5">
            <w:pPr>
              <w:spacing w:after="120"/>
              <w:jc w:val="both"/>
              <w:rPr>
                <w:rFonts w:ascii="Times New Roman" w:hAnsi="Times New Roman" w:cs="Times New Roman"/>
                <w:sz w:val="24"/>
                <w:szCs w:val="24"/>
              </w:rPr>
            </w:pPr>
            <w:r>
              <w:rPr>
                <w:rFonts w:ascii="Times New Roman" w:hAnsi="Times New Roman" w:cs="Times New Roman"/>
                <w:sz w:val="24"/>
                <w:szCs w:val="24"/>
              </w:rPr>
              <w:t>Предложението ни е да се прецизира този запис, като се посочи, че ще се прилага само за инвестиции в горско стопанство. За инвестициите в селско стопанство не се прилага възстановяване на инвестиционните разходи под формата на амортизационни начисления.</w:t>
            </w:r>
          </w:p>
          <w:p w:rsidR="003346BC" w:rsidRPr="009F2C88" w:rsidRDefault="003346BC" w:rsidP="00F657C5">
            <w:pPr>
              <w:pStyle w:val="ListParagraph"/>
              <w:tabs>
                <w:tab w:val="left" w:pos="317"/>
              </w:tabs>
              <w:ind w:left="0"/>
              <w:jc w:val="both"/>
              <w:rPr>
                <w:rFonts w:ascii="Times New Roman" w:hAnsi="Times New Roman" w:cs="Times New Roman"/>
                <w:b/>
                <w:i/>
                <w:sz w:val="24"/>
                <w:szCs w:val="24"/>
              </w:rPr>
            </w:pPr>
            <w:r>
              <w:rPr>
                <w:rFonts w:ascii="Times New Roman" w:hAnsi="Times New Roman" w:cs="Times New Roman"/>
                <w:b/>
                <w:i/>
                <w:sz w:val="24"/>
                <w:szCs w:val="24"/>
              </w:rPr>
              <w:t>3</w:t>
            </w:r>
            <w:r w:rsidRPr="009F2C88">
              <w:rPr>
                <w:rFonts w:ascii="Times New Roman" w:hAnsi="Times New Roman" w:cs="Times New Roman"/>
                <w:b/>
                <w:i/>
                <w:sz w:val="24"/>
                <w:szCs w:val="24"/>
              </w:rPr>
              <w:t xml:space="preserve">. В </w:t>
            </w:r>
            <w:r w:rsidRPr="003A535A">
              <w:rPr>
                <w:rFonts w:ascii="Times New Roman" w:hAnsi="Times New Roman" w:cs="Times New Roman"/>
                <w:b/>
                <w:i/>
                <w:sz w:val="24"/>
                <w:szCs w:val="24"/>
              </w:rPr>
              <w:t>Раздел 2. Финансово изпълнение на проектите и плащане</w:t>
            </w:r>
            <w:r w:rsidRPr="009F2C88">
              <w:rPr>
                <w:rFonts w:ascii="Times New Roman" w:hAnsi="Times New Roman" w:cs="Times New Roman"/>
                <w:b/>
                <w:i/>
                <w:sz w:val="24"/>
                <w:szCs w:val="24"/>
              </w:rPr>
              <w:t>, т. 2.28. Опис на документите при подаване на искане за плащане</w:t>
            </w:r>
          </w:p>
          <w:p w:rsidR="003346BC" w:rsidRPr="004C4168" w:rsidRDefault="003346BC" w:rsidP="00F657C5">
            <w:pPr>
              <w:spacing w:after="120"/>
              <w:jc w:val="both"/>
              <w:rPr>
                <w:rFonts w:ascii="Times New Roman" w:hAnsi="Times New Roman" w:cs="Times New Roman"/>
                <w:sz w:val="24"/>
                <w:szCs w:val="24"/>
              </w:rPr>
            </w:pPr>
            <w:r>
              <w:rPr>
                <w:rFonts w:ascii="Times New Roman" w:hAnsi="Times New Roman" w:cs="Times New Roman"/>
                <w:sz w:val="24"/>
                <w:szCs w:val="24"/>
              </w:rPr>
              <w:t>Предлагаме да отпадне искането за подпис и печат на прилаганите документи, тъй като се използва ИСУН за електронно подаване на отчетни документи. Необходимо е да се намали административната тежест чрез въвеждане на възможностите за електронно подписани документи и подаването им чрез платформата ИСУН, която се достъпва от бенефициента само чрез създаден електронен профил.</w:t>
            </w:r>
          </w:p>
          <w:p w:rsidR="003346BC" w:rsidRPr="004C4168" w:rsidRDefault="00184C15" w:rsidP="00F657C5">
            <w:pPr>
              <w:spacing w:after="120"/>
              <w:jc w:val="both"/>
              <w:rPr>
                <w:rFonts w:ascii="Times New Roman" w:hAnsi="Times New Roman" w:cs="Times New Roman"/>
                <w:sz w:val="24"/>
                <w:szCs w:val="24"/>
              </w:rPr>
            </w:pPr>
            <w:r>
              <w:rPr>
                <w:rFonts w:ascii="Times New Roman" w:hAnsi="Times New Roman" w:cs="Times New Roman"/>
                <w:sz w:val="24"/>
                <w:szCs w:val="24"/>
              </w:rPr>
              <w:t xml:space="preserve">3.1. </w:t>
            </w:r>
            <w:r w:rsidR="003346BC">
              <w:rPr>
                <w:rFonts w:ascii="Times New Roman" w:hAnsi="Times New Roman" w:cs="Times New Roman"/>
                <w:sz w:val="24"/>
                <w:szCs w:val="24"/>
              </w:rPr>
              <w:t>Също така предлагаме да отпадне изискването за представяне на документи по т. 11-14, тъй като „</w:t>
            </w:r>
            <w:r w:rsidR="003346BC" w:rsidRPr="007964EE">
              <w:rPr>
                <w:rFonts w:ascii="Times New Roman" w:hAnsi="Times New Roman" w:cs="Times New Roman"/>
                <w:sz w:val="24"/>
                <w:szCs w:val="24"/>
              </w:rPr>
              <w:t xml:space="preserve">Безвъзмездна финансова помощ по настоящата процедура за разходи, свързани с дейности по т. 1, буква „а“ от Раздел 13.1 „Допустими дейности“, </w:t>
            </w:r>
            <w:r w:rsidR="003346BC" w:rsidRPr="006B5198">
              <w:rPr>
                <w:rFonts w:ascii="Times New Roman" w:hAnsi="Times New Roman" w:cs="Times New Roman"/>
                <w:sz w:val="24"/>
                <w:szCs w:val="24"/>
                <w:u w:val="single"/>
              </w:rPr>
              <w:t>се предоставя под формата на стандартна таблица за единица продукт</w:t>
            </w:r>
            <w:r w:rsidR="003346BC" w:rsidRPr="007964EE">
              <w:rPr>
                <w:rFonts w:ascii="Times New Roman" w:hAnsi="Times New Roman" w:cs="Times New Roman"/>
                <w:sz w:val="24"/>
                <w:szCs w:val="24"/>
              </w:rPr>
              <w:t xml:space="preserve"> за разходите за организиране и провеждане на демонстрационна дейност с размер, съответстващ на 606.00 лв. за един участник.</w:t>
            </w:r>
            <w:r w:rsidR="003346BC">
              <w:rPr>
                <w:rFonts w:ascii="Times New Roman" w:hAnsi="Times New Roman" w:cs="Times New Roman"/>
                <w:sz w:val="24"/>
                <w:szCs w:val="24"/>
              </w:rPr>
              <w:t xml:space="preserve">“ </w:t>
            </w:r>
          </w:p>
          <w:p w:rsidR="003346BC" w:rsidRPr="007964EE" w:rsidRDefault="003346BC" w:rsidP="003346BC">
            <w:pPr>
              <w:spacing w:after="120"/>
              <w:ind w:firstLine="709"/>
              <w:jc w:val="both"/>
              <w:rPr>
                <w:rFonts w:ascii="Times New Roman" w:hAnsi="Times New Roman" w:cs="Times New Roman"/>
                <w:i/>
                <w:sz w:val="20"/>
                <w:szCs w:val="20"/>
              </w:rPr>
            </w:pPr>
            <w:r>
              <w:rPr>
                <w:rFonts w:ascii="Times New Roman" w:hAnsi="Times New Roman" w:cs="Times New Roman"/>
                <w:sz w:val="24"/>
                <w:szCs w:val="24"/>
              </w:rPr>
              <w:t>„</w:t>
            </w:r>
            <w:r w:rsidRPr="007964EE">
              <w:rPr>
                <w:rFonts w:ascii="Times New Roman" w:hAnsi="Times New Roman" w:cs="Times New Roman"/>
                <w:i/>
                <w:sz w:val="20"/>
                <w:szCs w:val="20"/>
              </w:rPr>
              <w:t>11.</w:t>
            </w:r>
            <w:r w:rsidRPr="007964EE">
              <w:rPr>
                <w:rFonts w:ascii="Times New Roman" w:hAnsi="Times New Roman" w:cs="Times New Roman"/>
                <w:i/>
                <w:sz w:val="20"/>
                <w:szCs w:val="20"/>
              </w:rPr>
              <w:tab/>
              <w:t>Трудови и/или граждански договори и/или заповеди за възлагане на лекторски часове за дейностите по проекта във формат .pdf или .jpg;</w:t>
            </w:r>
          </w:p>
          <w:p w:rsidR="003346BC" w:rsidRPr="007964EE" w:rsidRDefault="003346BC" w:rsidP="003346BC">
            <w:pPr>
              <w:spacing w:after="120"/>
              <w:ind w:firstLine="709"/>
              <w:jc w:val="both"/>
              <w:rPr>
                <w:rFonts w:ascii="Times New Roman" w:hAnsi="Times New Roman" w:cs="Times New Roman"/>
                <w:i/>
                <w:sz w:val="20"/>
                <w:szCs w:val="20"/>
              </w:rPr>
            </w:pPr>
            <w:r w:rsidRPr="007964EE">
              <w:rPr>
                <w:rFonts w:ascii="Times New Roman" w:hAnsi="Times New Roman" w:cs="Times New Roman"/>
                <w:i/>
                <w:sz w:val="20"/>
                <w:szCs w:val="20"/>
              </w:rPr>
              <w:t>12.</w:t>
            </w:r>
            <w:r w:rsidRPr="007964EE">
              <w:rPr>
                <w:rFonts w:ascii="Times New Roman" w:hAnsi="Times New Roman" w:cs="Times New Roman"/>
                <w:i/>
                <w:sz w:val="20"/>
                <w:szCs w:val="20"/>
              </w:rPr>
              <w:tab/>
              <w:t>Отчети за извършена работа от преподавателите във формат .pdf или .jpg;</w:t>
            </w:r>
          </w:p>
          <w:p w:rsidR="003346BC" w:rsidRPr="007964EE" w:rsidRDefault="003346BC" w:rsidP="003346BC">
            <w:pPr>
              <w:spacing w:after="120"/>
              <w:ind w:firstLine="709"/>
              <w:jc w:val="both"/>
              <w:rPr>
                <w:rFonts w:ascii="Times New Roman" w:hAnsi="Times New Roman" w:cs="Times New Roman"/>
                <w:i/>
                <w:sz w:val="20"/>
                <w:szCs w:val="20"/>
              </w:rPr>
            </w:pPr>
            <w:r w:rsidRPr="007964EE">
              <w:rPr>
                <w:rFonts w:ascii="Times New Roman" w:hAnsi="Times New Roman" w:cs="Times New Roman"/>
                <w:i/>
                <w:sz w:val="20"/>
                <w:szCs w:val="20"/>
              </w:rPr>
              <w:t>13.</w:t>
            </w:r>
            <w:r w:rsidRPr="007964EE">
              <w:rPr>
                <w:rFonts w:ascii="Times New Roman" w:hAnsi="Times New Roman" w:cs="Times New Roman"/>
                <w:i/>
                <w:sz w:val="20"/>
                <w:szCs w:val="20"/>
              </w:rPr>
              <w:tab/>
              <w:t>Трудови и/или граждански договори с членовете на екипа по проекта във формат .pdf или .jpg;</w:t>
            </w:r>
          </w:p>
          <w:p w:rsidR="003346BC" w:rsidRPr="004C4168" w:rsidRDefault="003346BC" w:rsidP="003346BC">
            <w:pPr>
              <w:spacing w:after="120"/>
              <w:ind w:firstLine="709"/>
              <w:jc w:val="both"/>
              <w:rPr>
                <w:rFonts w:ascii="Times New Roman" w:hAnsi="Times New Roman" w:cs="Times New Roman"/>
                <w:sz w:val="24"/>
                <w:szCs w:val="24"/>
              </w:rPr>
            </w:pPr>
            <w:r w:rsidRPr="007964EE">
              <w:rPr>
                <w:rFonts w:ascii="Times New Roman" w:hAnsi="Times New Roman" w:cs="Times New Roman"/>
                <w:i/>
                <w:sz w:val="20"/>
                <w:szCs w:val="20"/>
              </w:rPr>
              <w:t>14.</w:t>
            </w:r>
            <w:r w:rsidRPr="007964EE">
              <w:rPr>
                <w:rFonts w:ascii="Times New Roman" w:hAnsi="Times New Roman" w:cs="Times New Roman"/>
                <w:i/>
                <w:sz w:val="20"/>
                <w:szCs w:val="20"/>
              </w:rPr>
              <w:tab/>
              <w:t>Отчети за извършена работа от всеки член на екипа на организация във формат .pdf или .jpg</w:t>
            </w:r>
            <w:r w:rsidRPr="004C4168">
              <w:rPr>
                <w:rFonts w:ascii="Times New Roman" w:hAnsi="Times New Roman" w:cs="Times New Roman"/>
                <w:sz w:val="24"/>
                <w:szCs w:val="24"/>
              </w:rPr>
              <w:t>;</w:t>
            </w:r>
            <w:r>
              <w:rPr>
                <w:rFonts w:ascii="Times New Roman" w:hAnsi="Times New Roman" w:cs="Times New Roman"/>
                <w:sz w:val="24"/>
                <w:szCs w:val="24"/>
              </w:rPr>
              <w:t>“</w:t>
            </w:r>
          </w:p>
          <w:p w:rsidR="003346BC" w:rsidRPr="004C4168" w:rsidRDefault="003346BC" w:rsidP="00F657C5">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Мотиви:</w:t>
            </w:r>
            <w:r w:rsidR="00F657C5">
              <w:rPr>
                <w:rFonts w:ascii="Times New Roman" w:hAnsi="Times New Roman" w:cs="Times New Roman"/>
                <w:sz w:val="24"/>
                <w:szCs w:val="24"/>
              </w:rPr>
              <w:t xml:space="preserve"> </w:t>
            </w:r>
            <w:r>
              <w:rPr>
                <w:rFonts w:ascii="Times New Roman" w:hAnsi="Times New Roman" w:cs="Times New Roman"/>
                <w:sz w:val="24"/>
                <w:szCs w:val="24"/>
              </w:rPr>
              <w:t>В случая „единица продукт“ е обучаемият, а не лекторите. Участието в демонстрационните дейности се документира с подпис на участника в други два документа- „Приложение 2- Присъствена форма“ и „Приложение 6- Регистрационна книга на участниците“.</w:t>
            </w:r>
          </w:p>
          <w:p w:rsidR="003346BC" w:rsidRPr="004C4168" w:rsidRDefault="003346BC" w:rsidP="00F657C5">
            <w:pPr>
              <w:pStyle w:val="ListParagraph"/>
              <w:tabs>
                <w:tab w:val="left" w:pos="317"/>
              </w:tabs>
              <w:ind w:left="0"/>
              <w:jc w:val="both"/>
              <w:rPr>
                <w:rFonts w:ascii="Times New Roman" w:hAnsi="Times New Roman" w:cs="Times New Roman"/>
                <w:sz w:val="24"/>
                <w:szCs w:val="24"/>
              </w:rPr>
            </w:pPr>
            <w:r>
              <w:rPr>
                <w:rFonts w:ascii="Times New Roman" w:hAnsi="Times New Roman" w:cs="Times New Roman"/>
                <w:b/>
                <w:i/>
                <w:sz w:val="24"/>
                <w:szCs w:val="24"/>
              </w:rPr>
              <w:t>4</w:t>
            </w:r>
            <w:r w:rsidRPr="006B5198">
              <w:rPr>
                <w:rFonts w:ascii="Times New Roman" w:hAnsi="Times New Roman" w:cs="Times New Roman"/>
                <w:b/>
                <w:i/>
                <w:sz w:val="24"/>
                <w:szCs w:val="24"/>
              </w:rPr>
              <w:t>. Техническа корекция:</w:t>
            </w:r>
            <w:r>
              <w:rPr>
                <w:rFonts w:ascii="Times New Roman" w:hAnsi="Times New Roman" w:cs="Times New Roman"/>
                <w:sz w:val="24"/>
                <w:szCs w:val="24"/>
              </w:rPr>
              <w:t xml:space="preserve"> Коректно да се цитират точките, свързан и с изискванията за описание на дейностите в </w:t>
            </w:r>
            <w:r w:rsidRPr="009F2C88">
              <w:rPr>
                <w:rFonts w:ascii="Times New Roman" w:hAnsi="Times New Roman" w:cs="Times New Roman"/>
                <w:sz w:val="24"/>
                <w:szCs w:val="24"/>
              </w:rPr>
              <w:t xml:space="preserve">страница, </w:t>
            </w:r>
            <w:r>
              <w:rPr>
                <w:rFonts w:ascii="Times New Roman" w:hAnsi="Times New Roman" w:cs="Times New Roman"/>
                <w:sz w:val="24"/>
                <w:szCs w:val="24"/>
              </w:rPr>
              <w:t>плакатът, табелата или билборда.</w:t>
            </w:r>
          </w:p>
          <w:p w:rsidR="003346BC" w:rsidRPr="009F2C88" w:rsidRDefault="003346BC" w:rsidP="003346BC">
            <w:pPr>
              <w:spacing w:after="120"/>
              <w:ind w:firstLine="709"/>
              <w:jc w:val="both"/>
              <w:rPr>
                <w:rFonts w:ascii="Times New Roman" w:hAnsi="Times New Roman" w:cs="Times New Roman"/>
                <w:i/>
                <w:sz w:val="20"/>
                <w:szCs w:val="20"/>
                <w:lang w:eastAsia="bg-BG"/>
              </w:rPr>
            </w:pPr>
            <w:r>
              <w:rPr>
                <w:rFonts w:ascii="Times New Roman" w:hAnsi="Times New Roman" w:cs="Times New Roman"/>
                <w:sz w:val="24"/>
                <w:szCs w:val="24"/>
              </w:rPr>
              <w:t>„</w:t>
            </w:r>
            <w:r w:rsidRPr="009F2C88">
              <w:rPr>
                <w:rFonts w:ascii="Times New Roman" w:hAnsi="Times New Roman" w:cs="Times New Roman"/>
                <w:i/>
                <w:sz w:val="20"/>
                <w:szCs w:val="20"/>
              </w:rPr>
              <w:t xml:space="preserve">3.4.3. Електронната страница, плакатът, табелата или билбордът </w:t>
            </w:r>
            <w:r w:rsidRPr="000B04AA">
              <w:rPr>
                <w:rFonts w:ascii="Times New Roman" w:hAnsi="Times New Roman" w:cs="Times New Roman"/>
                <w:i/>
                <w:sz w:val="20"/>
                <w:szCs w:val="20"/>
              </w:rPr>
              <w:t>по т. 4 и 5 съдържат</w:t>
            </w:r>
            <w:r w:rsidRPr="009F2C88">
              <w:rPr>
                <w:rFonts w:ascii="Times New Roman" w:hAnsi="Times New Roman" w:cs="Times New Roman"/>
                <w:i/>
                <w:sz w:val="20"/>
                <w:szCs w:val="20"/>
              </w:rPr>
              <w:t xml:space="preserve">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F218D4" w:rsidRPr="001E64C1" w:rsidRDefault="003346BC" w:rsidP="00CB50A5">
            <w:pPr>
              <w:spacing w:after="120"/>
              <w:ind w:firstLine="709"/>
              <w:jc w:val="both"/>
              <w:rPr>
                <w:rFonts w:ascii="Times New Roman" w:hAnsi="Times New Roman" w:cs="Times New Roman"/>
                <w:sz w:val="24"/>
                <w:szCs w:val="24"/>
                <w:highlight w:val="red"/>
              </w:rPr>
            </w:pPr>
            <w:r w:rsidRPr="009F2C88">
              <w:rPr>
                <w:rFonts w:ascii="Times New Roman" w:hAnsi="Times New Roman" w:cs="Times New Roman"/>
                <w:i/>
                <w:sz w:val="20"/>
                <w:szCs w:val="20"/>
              </w:rPr>
              <w:t>3.4.4. Информацията</w:t>
            </w:r>
            <w:r w:rsidRPr="004C4168">
              <w:rPr>
                <w:rFonts w:ascii="Times New Roman" w:hAnsi="Times New Roman" w:cs="Times New Roman"/>
                <w:sz w:val="24"/>
                <w:szCs w:val="24"/>
              </w:rPr>
              <w:t xml:space="preserve"> </w:t>
            </w:r>
            <w:r w:rsidRPr="000B04AA">
              <w:rPr>
                <w:rFonts w:ascii="Times New Roman" w:hAnsi="Times New Roman" w:cs="Times New Roman"/>
                <w:sz w:val="24"/>
                <w:szCs w:val="24"/>
              </w:rPr>
              <w:t>по т. 6 заема не</w:t>
            </w:r>
            <w:r w:rsidRPr="004C4168">
              <w:rPr>
                <w:rFonts w:ascii="Times New Roman" w:hAnsi="Times New Roman" w:cs="Times New Roman"/>
                <w:sz w:val="24"/>
                <w:szCs w:val="24"/>
              </w:rPr>
              <w:t xml:space="preserve"> по-малко от 25 на сто от плаката, табелата или електронната страница.</w:t>
            </w:r>
            <w:r>
              <w:rPr>
                <w:rFonts w:ascii="Times New Roman" w:hAnsi="Times New Roman" w:cs="Times New Roman"/>
                <w:sz w:val="24"/>
                <w:szCs w:val="24"/>
              </w:rPr>
              <w:t>“</w:t>
            </w:r>
          </w:p>
        </w:tc>
        <w:tc>
          <w:tcPr>
            <w:tcW w:w="3969" w:type="dxa"/>
            <w:shd w:val="clear" w:color="auto" w:fill="auto"/>
          </w:tcPr>
          <w:p w:rsidR="000D1382" w:rsidRPr="00923802" w:rsidRDefault="00890D37" w:rsidP="009A3844">
            <w:pPr>
              <w:spacing w:before="120"/>
              <w:jc w:val="both"/>
              <w:rPr>
                <w:rFonts w:ascii="Times New Roman" w:hAnsi="Times New Roman" w:cs="Times New Roman"/>
                <w:sz w:val="24"/>
                <w:szCs w:val="24"/>
              </w:rPr>
            </w:pPr>
            <w:r w:rsidRPr="00923802">
              <w:rPr>
                <w:rFonts w:ascii="Times New Roman" w:hAnsi="Times New Roman" w:cs="Times New Roman"/>
                <w:sz w:val="24"/>
                <w:szCs w:val="24"/>
              </w:rPr>
              <w:lastRenderedPageBreak/>
              <w:t xml:space="preserve"> </w:t>
            </w:r>
          </w:p>
          <w:p w:rsidR="002F236C" w:rsidRPr="00923802" w:rsidRDefault="00CB3EDC" w:rsidP="000D1382">
            <w:pPr>
              <w:spacing w:before="240"/>
              <w:jc w:val="both"/>
              <w:rPr>
                <w:rFonts w:ascii="Times New Roman" w:hAnsi="Times New Roman" w:cs="Times New Roman"/>
                <w:sz w:val="24"/>
                <w:szCs w:val="24"/>
                <w:lang w:val="en-US"/>
              </w:rPr>
            </w:pPr>
            <w:r w:rsidRPr="00923802">
              <w:rPr>
                <w:rFonts w:ascii="Times New Roman" w:hAnsi="Times New Roman" w:cs="Times New Roman"/>
                <w:sz w:val="24"/>
                <w:szCs w:val="24"/>
              </w:rPr>
              <w:t xml:space="preserve">Приема се. </w:t>
            </w:r>
            <w:r w:rsidR="00D8335D" w:rsidRPr="00923802">
              <w:rPr>
                <w:rFonts w:ascii="Times New Roman" w:hAnsi="Times New Roman" w:cs="Times New Roman"/>
                <w:sz w:val="24"/>
                <w:szCs w:val="24"/>
              </w:rPr>
              <w:t>Добавен е текст, отразяващ коментара.</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lang w:val="en-US"/>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D8335D" w:rsidRPr="00923802" w:rsidRDefault="00D8335D" w:rsidP="00832A88">
            <w:pPr>
              <w:jc w:val="both"/>
              <w:rPr>
                <w:rFonts w:ascii="Times New Roman" w:hAnsi="Times New Roman" w:cs="Times New Roman"/>
                <w:sz w:val="24"/>
                <w:szCs w:val="24"/>
              </w:rPr>
            </w:pPr>
            <w:r w:rsidRPr="00923802">
              <w:rPr>
                <w:rFonts w:ascii="Times New Roman" w:hAnsi="Times New Roman" w:cs="Times New Roman"/>
                <w:sz w:val="24"/>
                <w:szCs w:val="24"/>
              </w:rPr>
              <w:t xml:space="preserve">1.1. </w:t>
            </w:r>
            <w:r w:rsidR="00CB3EDC" w:rsidRPr="00923802">
              <w:rPr>
                <w:rFonts w:ascii="Times New Roman" w:hAnsi="Times New Roman" w:cs="Times New Roman"/>
                <w:sz w:val="24"/>
                <w:szCs w:val="24"/>
              </w:rPr>
              <w:t>Не се приема.</w:t>
            </w:r>
            <w:r w:rsidR="009F5F13" w:rsidRPr="00923802">
              <w:rPr>
                <w:rFonts w:ascii="Times New Roman" w:hAnsi="Times New Roman" w:cs="Times New Roman"/>
                <w:sz w:val="24"/>
                <w:szCs w:val="24"/>
                <w:lang w:val="en-US"/>
              </w:rPr>
              <w:t xml:space="preserve"> </w:t>
            </w:r>
            <w:r w:rsidR="009F5F13" w:rsidRPr="00923802">
              <w:rPr>
                <w:rFonts w:ascii="Times New Roman" w:hAnsi="Times New Roman" w:cs="Times New Roman"/>
                <w:sz w:val="24"/>
                <w:szCs w:val="24"/>
              </w:rPr>
              <w:t>Към всеки един документ</w:t>
            </w:r>
            <w:r w:rsidRPr="00923802">
              <w:rPr>
                <w:rFonts w:ascii="Times New Roman" w:hAnsi="Times New Roman" w:cs="Times New Roman"/>
                <w:sz w:val="24"/>
                <w:szCs w:val="24"/>
              </w:rPr>
              <w:t>,</w:t>
            </w:r>
            <w:r w:rsidR="009F5F13" w:rsidRPr="00923802">
              <w:rPr>
                <w:rFonts w:ascii="Times New Roman" w:hAnsi="Times New Roman" w:cs="Times New Roman"/>
                <w:sz w:val="24"/>
                <w:szCs w:val="24"/>
              </w:rPr>
              <w:t xml:space="preserve"> посочен в Раздел 24.1. „Списък с общи документи“ е пояснено за кой тип кандидати се отнася. </w:t>
            </w:r>
          </w:p>
          <w:p w:rsidR="000D1382" w:rsidRPr="00923802" w:rsidRDefault="009F5F13" w:rsidP="00832A88">
            <w:pPr>
              <w:jc w:val="both"/>
              <w:rPr>
                <w:rFonts w:ascii="Times New Roman" w:hAnsi="Times New Roman" w:cs="Times New Roman"/>
                <w:sz w:val="24"/>
                <w:szCs w:val="24"/>
              </w:rPr>
            </w:pPr>
            <w:r w:rsidRPr="00923802">
              <w:rPr>
                <w:rFonts w:ascii="Times New Roman" w:hAnsi="Times New Roman" w:cs="Times New Roman"/>
                <w:sz w:val="24"/>
                <w:szCs w:val="24"/>
              </w:rPr>
              <w:t>В допълнение в съответствие с</w:t>
            </w:r>
            <w:r w:rsidR="00832A88" w:rsidRPr="00923802">
              <w:rPr>
                <w:rFonts w:ascii="Times New Roman" w:hAnsi="Times New Roman" w:cs="Times New Roman"/>
                <w:sz w:val="24"/>
                <w:szCs w:val="24"/>
              </w:rPr>
              <w:t xml:space="preserve"> т. 4 от Раздел 21.1. „Оценка на административно съответствие и допустимост</w:t>
            </w:r>
            <w:r w:rsidR="00D8335D" w:rsidRPr="00923802">
              <w:rPr>
                <w:rFonts w:ascii="Times New Roman" w:hAnsi="Times New Roman" w:cs="Times New Roman"/>
                <w:sz w:val="24"/>
                <w:szCs w:val="24"/>
              </w:rPr>
              <w:t xml:space="preserve">“ на УК, </w:t>
            </w:r>
            <w:r w:rsidR="00832A88" w:rsidRPr="00923802">
              <w:rPr>
                <w:rFonts w:ascii="Times New Roman" w:hAnsi="Times New Roman" w:cs="Times New Roman"/>
                <w:sz w:val="24"/>
                <w:szCs w:val="24"/>
              </w:rPr>
              <w:t xml:space="preserve">при установена липса на </w:t>
            </w:r>
            <w:r w:rsidR="00D8335D" w:rsidRPr="00923802">
              <w:rPr>
                <w:rFonts w:ascii="Times New Roman" w:hAnsi="Times New Roman" w:cs="Times New Roman"/>
                <w:sz w:val="24"/>
                <w:szCs w:val="24"/>
              </w:rPr>
              <w:t xml:space="preserve">изискуеми </w:t>
            </w:r>
            <w:r w:rsidR="00832A88" w:rsidRPr="00923802">
              <w:rPr>
                <w:rFonts w:ascii="Times New Roman" w:hAnsi="Times New Roman" w:cs="Times New Roman"/>
                <w:sz w:val="24"/>
                <w:szCs w:val="24"/>
              </w:rPr>
              <w:t>документи или друга нередовност, оценителната изпраща на кандидата уведомление чрез ИСУН 2020 за установените липси/нередовности и определя 15-дневен срок за тяхното отстраняване.</w:t>
            </w:r>
          </w:p>
          <w:p w:rsidR="00D8335D" w:rsidRPr="00923802" w:rsidRDefault="00D8335D" w:rsidP="00832A88">
            <w:pPr>
              <w:jc w:val="both"/>
              <w:rPr>
                <w:rFonts w:ascii="Times New Roman" w:hAnsi="Times New Roman" w:cs="Times New Roman"/>
                <w:sz w:val="24"/>
                <w:szCs w:val="24"/>
              </w:rPr>
            </w:pPr>
          </w:p>
          <w:p w:rsidR="00D8335D" w:rsidRPr="00923802" w:rsidRDefault="00D8335D" w:rsidP="00832A88">
            <w:pPr>
              <w:jc w:val="both"/>
              <w:rPr>
                <w:rFonts w:ascii="Times New Roman" w:hAnsi="Times New Roman" w:cs="Times New Roman"/>
                <w:sz w:val="24"/>
                <w:szCs w:val="24"/>
              </w:rPr>
            </w:pPr>
          </w:p>
          <w:p w:rsidR="00D8335D" w:rsidRPr="00923802" w:rsidRDefault="00D8335D" w:rsidP="00832A88">
            <w:pPr>
              <w:jc w:val="both"/>
              <w:rPr>
                <w:rFonts w:ascii="Times New Roman" w:hAnsi="Times New Roman" w:cs="Times New Roman"/>
                <w:sz w:val="24"/>
                <w:szCs w:val="24"/>
              </w:rPr>
            </w:pPr>
          </w:p>
          <w:p w:rsidR="00D8335D" w:rsidRPr="00923802" w:rsidRDefault="00D8335D" w:rsidP="00D8335D">
            <w:pPr>
              <w:contextualSpacing/>
              <w:jc w:val="both"/>
              <w:rPr>
                <w:rFonts w:ascii="Times New Roman" w:hAnsi="Times New Roman" w:cs="Times New Roman"/>
                <w:sz w:val="24"/>
                <w:szCs w:val="24"/>
              </w:rPr>
            </w:pPr>
            <w:r w:rsidRPr="00923802">
              <w:rPr>
                <w:rFonts w:ascii="Times New Roman" w:hAnsi="Times New Roman" w:cs="Times New Roman"/>
                <w:sz w:val="24"/>
                <w:szCs w:val="24"/>
              </w:rPr>
              <w:t xml:space="preserve">2. </w:t>
            </w:r>
            <w:r w:rsidR="00CB7DC9" w:rsidRPr="00923802">
              <w:rPr>
                <w:rFonts w:ascii="Times New Roman" w:hAnsi="Times New Roman" w:cs="Times New Roman"/>
                <w:sz w:val="24"/>
                <w:szCs w:val="24"/>
              </w:rPr>
              <w:t>Не се приема.</w:t>
            </w:r>
            <w:r w:rsidR="00574D5F" w:rsidRPr="00923802">
              <w:rPr>
                <w:rFonts w:ascii="Times New Roman" w:hAnsi="Times New Roman" w:cs="Times New Roman"/>
                <w:sz w:val="24"/>
                <w:szCs w:val="24"/>
              </w:rPr>
              <w:t xml:space="preserve"> Кандидатите могат да се възползват от възможността за едно авансово плащане в размер до 50 на сто от стойността на определените в административния договор инвестиционни разходи по проекта. </w:t>
            </w:r>
          </w:p>
          <w:p w:rsidR="00890D37" w:rsidRPr="00923802" w:rsidRDefault="00574D5F" w:rsidP="00D8335D">
            <w:pPr>
              <w:contextualSpacing/>
              <w:jc w:val="both"/>
              <w:rPr>
                <w:rFonts w:ascii="Times New Roman" w:hAnsi="Times New Roman" w:cs="Times New Roman"/>
                <w:sz w:val="24"/>
                <w:szCs w:val="24"/>
              </w:rPr>
            </w:pPr>
            <w:r w:rsidRPr="00923802">
              <w:rPr>
                <w:rFonts w:ascii="Times New Roman" w:hAnsi="Times New Roman" w:cs="Times New Roman"/>
                <w:sz w:val="24"/>
                <w:szCs w:val="24"/>
              </w:rPr>
              <w:t xml:space="preserve">От друга страна плащане на целия размер на инвестицията е свързано с проверка на </w:t>
            </w:r>
            <w:r w:rsidR="0076058D" w:rsidRPr="00923802">
              <w:rPr>
                <w:rFonts w:ascii="Times New Roman" w:hAnsi="Times New Roman" w:cs="Times New Roman"/>
                <w:sz w:val="24"/>
                <w:szCs w:val="24"/>
              </w:rPr>
              <w:t xml:space="preserve">изпълненото </w:t>
            </w:r>
            <w:r w:rsidRPr="00923802">
              <w:rPr>
                <w:rFonts w:ascii="Times New Roman" w:hAnsi="Times New Roman" w:cs="Times New Roman"/>
                <w:sz w:val="24"/>
                <w:szCs w:val="24"/>
              </w:rPr>
              <w:t>условие</w:t>
            </w:r>
            <w:r w:rsidR="0076058D" w:rsidRPr="00923802">
              <w:rPr>
                <w:rFonts w:ascii="Times New Roman" w:hAnsi="Times New Roman" w:cs="Times New Roman"/>
                <w:sz w:val="24"/>
                <w:szCs w:val="24"/>
              </w:rPr>
              <w:t>, посочено</w:t>
            </w:r>
            <w:r w:rsidRPr="00923802">
              <w:rPr>
                <w:rFonts w:ascii="Times New Roman" w:hAnsi="Times New Roman" w:cs="Times New Roman"/>
                <w:sz w:val="24"/>
                <w:szCs w:val="24"/>
              </w:rPr>
              <w:t xml:space="preserve"> в т. 14 от Раздел 13.2. „Условия за допустимост на дейностите“ на УК.</w:t>
            </w:r>
            <w:r w:rsidR="0076058D" w:rsidRPr="00923802">
              <w:rPr>
                <w:rFonts w:ascii="Times New Roman" w:hAnsi="Times New Roman" w:cs="Times New Roman"/>
                <w:sz w:val="24"/>
                <w:szCs w:val="24"/>
              </w:rPr>
              <w:t xml:space="preserve"> В тази връзка разходи</w:t>
            </w:r>
            <w:r w:rsidR="00D8335D" w:rsidRPr="00923802">
              <w:rPr>
                <w:rFonts w:ascii="Times New Roman" w:hAnsi="Times New Roman" w:cs="Times New Roman"/>
                <w:sz w:val="24"/>
                <w:szCs w:val="24"/>
              </w:rPr>
              <w:t>те</w:t>
            </w:r>
            <w:r w:rsidR="0076058D" w:rsidRPr="00923802">
              <w:rPr>
                <w:rFonts w:ascii="Times New Roman" w:hAnsi="Times New Roman" w:cs="Times New Roman"/>
                <w:sz w:val="24"/>
                <w:szCs w:val="24"/>
              </w:rPr>
              <w:t xml:space="preserve"> за инвестиции</w:t>
            </w:r>
            <w:r w:rsidR="00D8335D" w:rsidRPr="00923802">
              <w:rPr>
                <w:rFonts w:ascii="Times New Roman" w:hAnsi="Times New Roman" w:cs="Times New Roman"/>
                <w:sz w:val="24"/>
                <w:szCs w:val="24"/>
              </w:rPr>
              <w:t>, в случай, че такива са предвидени в проекта,</w:t>
            </w:r>
            <w:r w:rsidR="0076058D" w:rsidRPr="00923802">
              <w:rPr>
                <w:rFonts w:ascii="Times New Roman" w:hAnsi="Times New Roman" w:cs="Times New Roman"/>
                <w:sz w:val="24"/>
                <w:szCs w:val="24"/>
              </w:rPr>
              <w:t xml:space="preserve"> не могат да бъдат заявени/изплатени на</w:t>
            </w:r>
            <w:r w:rsidR="00D8335D" w:rsidRPr="00923802">
              <w:rPr>
                <w:rFonts w:ascii="Times New Roman" w:hAnsi="Times New Roman" w:cs="Times New Roman"/>
                <w:sz w:val="24"/>
                <w:szCs w:val="24"/>
              </w:rPr>
              <w:t xml:space="preserve"> етап</w:t>
            </w:r>
            <w:r w:rsidR="0076058D" w:rsidRPr="00923802">
              <w:rPr>
                <w:rFonts w:ascii="Times New Roman" w:hAnsi="Times New Roman" w:cs="Times New Roman"/>
                <w:sz w:val="24"/>
                <w:szCs w:val="24"/>
              </w:rPr>
              <w:t xml:space="preserve"> авансово плащане.</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r w:rsidRPr="00923802">
              <w:rPr>
                <w:rFonts w:ascii="Times New Roman" w:hAnsi="Times New Roman" w:cs="Times New Roman"/>
                <w:sz w:val="24"/>
                <w:szCs w:val="24"/>
              </w:rPr>
              <w:t xml:space="preserve">       </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D8335D" w:rsidRPr="00923802" w:rsidRDefault="00D8335D" w:rsidP="00804828">
            <w:pPr>
              <w:spacing w:before="240"/>
              <w:jc w:val="both"/>
              <w:rPr>
                <w:rFonts w:ascii="Times New Roman" w:hAnsi="Times New Roman" w:cs="Times New Roman"/>
                <w:b/>
                <w:sz w:val="24"/>
                <w:szCs w:val="24"/>
              </w:rPr>
            </w:pPr>
          </w:p>
          <w:p w:rsidR="00D8335D" w:rsidRPr="00923802" w:rsidRDefault="00D8335D" w:rsidP="00804828">
            <w:pPr>
              <w:spacing w:before="240"/>
              <w:jc w:val="both"/>
              <w:rPr>
                <w:rFonts w:ascii="Times New Roman" w:hAnsi="Times New Roman" w:cs="Times New Roman"/>
                <w:b/>
                <w:sz w:val="24"/>
                <w:szCs w:val="24"/>
              </w:rPr>
            </w:pPr>
          </w:p>
          <w:p w:rsidR="00890D37" w:rsidRPr="00923802" w:rsidRDefault="00D8335D" w:rsidP="00804828">
            <w:pPr>
              <w:spacing w:before="240"/>
              <w:jc w:val="both"/>
              <w:rPr>
                <w:rFonts w:ascii="Times New Roman" w:hAnsi="Times New Roman" w:cs="Times New Roman"/>
                <w:sz w:val="24"/>
                <w:szCs w:val="24"/>
              </w:rPr>
            </w:pPr>
            <w:r w:rsidRPr="00923802">
              <w:rPr>
                <w:rFonts w:ascii="Times New Roman" w:hAnsi="Times New Roman" w:cs="Times New Roman"/>
                <w:sz w:val="24"/>
                <w:szCs w:val="24"/>
              </w:rPr>
              <w:t xml:space="preserve">3. </w:t>
            </w:r>
            <w:r w:rsidR="00804828" w:rsidRPr="00923802">
              <w:rPr>
                <w:rFonts w:ascii="Times New Roman" w:hAnsi="Times New Roman" w:cs="Times New Roman"/>
                <w:sz w:val="24"/>
                <w:szCs w:val="24"/>
              </w:rPr>
              <w:t xml:space="preserve">Не се приема. </w:t>
            </w:r>
            <w:r w:rsidR="004B11D0" w:rsidRPr="00923802">
              <w:rPr>
                <w:rFonts w:ascii="Times New Roman" w:hAnsi="Times New Roman" w:cs="Times New Roman"/>
                <w:sz w:val="24"/>
                <w:szCs w:val="24"/>
              </w:rPr>
              <w:t xml:space="preserve">В т. 2.28 „Опис на документите при подаване на искане за плащане“ от условия за изпълнение на одобрени проекти </w:t>
            </w:r>
            <w:r w:rsidR="00804828" w:rsidRPr="00923802">
              <w:rPr>
                <w:rFonts w:ascii="Times New Roman" w:hAnsi="Times New Roman" w:cs="Times New Roman"/>
                <w:sz w:val="24"/>
                <w:szCs w:val="24"/>
              </w:rPr>
              <w:t>са посочени документите</w:t>
            </w:r>
            <w:r w:rsidRPr="00923802">
              <w:rPr>
                <w:rFonts w:ascii="Times New Roman" w:hAnsi="Times New Roman" w:cs="Times New Roman"/>
                <w:sz w:val="24"/>
                <w:szCs w:val="24"/>
              </w:rPr>
              <w:t xml:space="preserve">, изискуеми към </w:t>
            </w:r>
            <w:r w:rsidR="00804828" w:rsidRPr="00923802">
              <w:rPr>
                <w:rFonts w:ascii="Times New Roman" w:hAnsi="Times New Roman" w:cs="Times New Roman"/>
                <w:sz w:val="24"/>
                <w:szCs w:val="24"/>
              </w:rPr>
              <w:t>междинно/окончателно плащане.</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D8335D" w:rsidP="00804828">
            <w:pPr>
              <w:spacing w:before="120"/>
              <w:jc w:val="both"/>
              <w:rPr>
                <w:rFonts w:ascii="Times New Roman" w:hAnsi="Times New Roman" w:cs="Times New Roman"/>
                <w:sz w:val="24"/>
                <w:szCs w:val="24"/>
              </w:rPr>
            </w:pPr>
            <w:r w:rsidRPr="00923802">
              <w:rPr>
                <w:rFonts w:ascii="Times New Roman" w:hAnsi="Times New Roman" w:cs="Times New Roman"/>
                <w:sz w:val="24"/>
                <w:szCs w:val="24"/>
              </w:rPr>
              <w:t xml:space="preserve">3.1. </w:t>
            </w:r>
            <w:r w:rsidR="00804828" w:rsidRPr="00923802">
              <w:rPr>
                <w:rFonts w:ascii="Times New Roman" w:hAnsi="Times New Roman" w:cs="Times New Roman"/>
                <w:sz w:val="24"/>
                <w:szCs w:val="24"/>
              </w:rPr>
              <w:t>Приема се. Текстовете са прецизирани.</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225FA" w:rsidRPr="00923802" w:rsidRDefault="00D8335D" w:rsidP="00F225FA">
            <w:pPr>
              <w:contextualSpacing/>
              <w:jc w:val="both"/>
              <w:rPr>
                <w:rFonts w:ascii="Times New Roman" w:hAnsi="Times New Roman" w:cs="Times New Roman"/>
                <w:sz w:val="24"/>
                <w:szCs w:val="24"/>
              </w:rPr>
            </w:pPr>
            <w:r w:rsidRPr="00923802">
              <w:rPr>
                <w:rFonts w:ascii="Times New Roman" w:hAnsi="Times New Roman" w:cs="Times New Roman"/>
                <w:sz w:val="24"/>
                <w:szCs w:val="24"/>
              </w:rPr>
              <w:lastRenderedPageBreak/>
              <w:t xml:space="preserve">4. </w:t>
            </w:r>
            <w:r w:rsidR="00016BC2" w:rsidRPr="00923802">
              <w:rPr>
                <w:rFonts w:ascii="Times New Roman" w:hAnsi="Times New Roman" w:cs="Times New Roman"/>
                <w:sz w:val="24"/>
                <w:szCs w:val="24"/>
              </w:rPr>
              <w:t xml:space="preserve">Не се приема. </w:t>
            </w:r>
            <w:r w:rsidR="00E85045" w:rsidRPr="00923802">
              <w:rPr>
                <w:rFonts w:ascii="Times New Roman" w:hAnsi="Times New Roman" w:cs="Times New Roman"/>
                <w:sz w:val="24"/>
                <w:szCs w:val="24"/>
              </w:rPr>
              <w:t>Инвестициите, необходими за изпълнението на демонстрационни дейности за земеделски стопани и/или горски стопани и заетите лица в техните стопанства, не са задължителна част от проектното предложение</w:t>
            </w:r>
            <w:r w:rsidR="00F225FA" w:rsidRPr="00923802">
              <w:rPr>
                <w:rFonts w:ascii="Times New Roman" w:hAnsi="Times New Roman" w:cs="Times New Roman"/>
                <w:sz w:val="24"/>
                <w:szCs w:val="24"/>
              </w:rPr>
              <w:t xml:space="preserve"> съгласно т. 2 от Раздел 13.1 „Допустими дейности“</w:t>
            </w:r>
            <w:r w:rsidR="00E85045" w:rsidRPr="00923802">
              <w:rPr>
                <w:rFonts w:ascii="Times New Roman" w:hAnsi="Times New Roman" w:cs="Times New Roman"/>
                <w:sz w:val="24"/>
                <w:szCs w:val="24"/>
              </w:rPr>
              <w:t>.</w:t>
            </w:r>
            <w:r w:rsidR="00CD4397" w:rsidRPr="00923802">
              <w:rPr>
                <w:rFonts w:ascii="Times New Roman" w:hAnsi="Times New Roman" w:cs="Times New Roman"/>
                <w:sz w:val="24"/>
                <w:szCs w:val="24"/>
              </w:rPr>
              <w:t xml:space="preserve"> </w:t>
            </w:r>
          </w:p>
          <w:p w:rsidR="00E85045" w:rsidRPr="00923802" w:rsidRDefault="00E85045" w:rsidP="00F225FA">
            <w:pPr>
              <w:contextualSpacing/>
              <w:jc w:val="both"/>
              <w:rPr>
                <w:rFonts w:ascii="Times New Roman" w:hAnsi="Times New Roman" w:cs="Times New Roman"/>
                <w:sz w:val="24"/>
                <w:szCs w:val="24"/>
              </w:rPr>
            </w:pPr>
            <w:r w:rsidRPr="00923802">
              <w:rPr>
                <w:rFonts w:ascii="Times New Roman" w:hAnsi="Times New Roman" w:cs="Times New Roman"/>
                <w:sz w:val="24"/>
                <w:szCs w:val="24"/>
              </w:rPr>
              <w:t xml:space="preserve">Считаме, че така разписано  условието </w:t>
            </w:r>
            <w:r w:rsidR="00CD4397" w:rsidRPr="00923802">
              <w:rPr>
                <w:rFonts w:ascii="Times New Roman" w:hAnsi="Times New Roman" w:cs="Times New Roman"/>
                <w:sz w:val="24"/>
                <w:szCs w:val="24"/>
              </w:rPr>
              <w:t xml:space="preserve">за проектни предложения, включващи разходи за инвестиции, чийто размер е в съответствие с включения брой участници за периода на изпълнение на проекта </w:t>
            </w:r>
            <w:r w:rsidRPr="00923802">
              <w:rPr>
                <w:rFonts w:ascii="Times New Roman" w:hAnsi="Times New Roman" w:cs="Times New Roman"/>
                <w:sz w:val="24"/>
                <w:szCs w:val="24"/>
              </w:rPr>
              <w:t>отговаря на заложеното в  ПРСР 2014-2020 г. и е съобразено с максималният размер на допустими разходи за едно проектно предложение, представено от един кандидат.</w:t>
            </w:r>
            <w:r w:rsidR="00F225FA" w:rsidRPr="00923802">
              <w:rPr>
                <w:rFonts w:ascii="Times New Roman" w:hAnsi="Times New Roman" w:cs="Times New Roman"/>
                <w:sz w:val="24"/>
                <w:szCs w:val="24"/>
              </w:rPr>
              <w:t xml:space="preserve"> </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254BA5" w:rsidRPr="00923802" w:rsidRDefault="00254BA5" w:rsidP="00254BA5">
            <w:pPr>
              <w:tabs>
                <w:tab w:val="left" w:pos="270"/>
              </w:tabs>
              <w:spacing w:after="100" w:afterAutospacing="1"/>
              <w:jc w:val="both"/>
              <w:outlineLvl w:val="1"/>
              <w:rPr>
                <w:rFonts w:ascii="Times New Roman" w:hAnsi="Times New Roman" w:cs="Times New Roman"/>
                <w:sz w:val="24"/>
                <w:szCs w:val="24"/>
              </w:rPr>
            </w:pPr>
            <w:r w:rsidRPr="00923802">
              <w:rPr>
                <w:rFonts w:ascii="Times New Roman" w:hAnsi="Times New Roman" w:cs="Times New Roman"/>
                <w:sz w:val="24"/>
                <w:szCs w:val="24"/>
              </w:rPr>
              <w:t xml:space="preserve">В т. 2.9 от </w:t>
            </w:r>
            <w:bookmarkStart w:id="1" w:name="_Toc442348058"/>
            <w:r w:rsidRPr="00923802">
              <w:rPr>
                <w:rFonts w:ascii="Times New Roman" w:hAnsi="Times New Roman" w:cs="Times New Roman"/>
                <w:sz w:val="24"/>
                <w:szCs w:val="24"/>
              </w:rPr>
              <w:t>Раздел 2. Финансово изпълнение на проектите и плащане</w:t>
            </w:r>
            <w:bookmarkEnd w:id="1"/>
            <w:r w:rsidRPr="00923802">
              <w:rPr>
                <w:rFonts w:ascii="Times New Roman" w:hAnsi="Times New Roman" w:cs="Times New Roman"/>
                <w:sz w:val="24"/>
                <w:szCs w:val="24"/>
              </w:rPr>
              <w:t xml:space="preserve"> на Условията за изпълнение на одобрени проекти е посочено, че: Разходи за инвестиции и разходи за амортизация могат да бъдат заявени само в окончателното искане за плащане, като разходите ще бъдат изплатени в пълния им размер само при условие, че участие в демонстрациите са взели минимално заложения брой участници по т. 14 от Раздел 13.2 Условия за допустимост на дейностите от Условията за кандидатстване.</w:t>
            </w:r>
          </w:p>
          <w:p w:rsidR="009439DF" w:rsidRPr="00923802" w:rsidRDefault="009439DF" w:rsidP="009439DF">
            <w:pPr>
              <w:jc w:val="both"/>
              <w:rPr>
                <w:rFonts w:ascii="Times New Roman" w:hAnsi="Times New Roman" w:cs="Times New Roman"/>
                <w:sz w:val="24"/>
                <w:szCs w:val="24"/>
              </w:rPr>
            </w:pPr>
          </w:p>
          <w:p w:rsidR="00F61167" w:rsidRPr="00923802" w:rsidRDefault="00F61167" w:rsidP="002F236C">
            <w:pPr>
              <w:jc w:val="both"/>
              <w:rPr>
                <w:rFonts w:ascii="Times New Roman" w:hAnsi="Times New Roman" w:cs="Times New Roman"/>
                <w:sz w:val="24"/>
                <w:szCs w:val="24"/>
                <w:lang w:val="en-US"/>
              </w:rPr>
            </w:pPr>
          </w:p>
          <w:p w:rsidR="00890D37" w:rsidRPr="00923802" w:rsidRDefault="00254BA5" w:rsidP="00CD4397">
            <w:pPr>
              <w:jc w:val="both"/>
              <w:rPr>
                <w:rFonts w:ascii="Times New Roman" w:hAnsi="Times New Roman" w:cs="Times New Roman"/>
                <w:sz w:val="24"/>
                <w:szCs w:val="24"/>
              </w:rPr>
            </w:pPr>
            <w:r w:rsidRPr="00923802">
              <w:rPr>
                <w:rFonts w:ascii="Times New Roman" w:hAnsi="Times New Roman" w:cs="Times New Roman"/>
                <w:sz w:val="24"/>
                <w:szCs w:val="24"/>
              </w:rPr>
              <w:t xml:space="preserve">5. </w:t>
            </w:r>
            <w:r w:rsidR="00F657C5" w:rsidRPr="00923802">
              <w:rPr>
                <w:rFonts w:ascii="Times New Roman" w:hAnsi="Times New Roman" w:cs="Times New Roman"/>
                <w:sz w:val="24"/>
                <w:szCs w:val="24"/>
              </w:rPr>
              <w:t>Не се приема.</w:t>
            </w:r>
            <w:r w:rsidR="00CD4397" w:rsidRPr="00923802">
              <w:rPr>
                <w:rFonts w:ascii="Times New Roman" w:hAnsi="Times New Roman" w:cs="Times New Roman"/>
                <w:sz w:val="24"/>
                <w:szCs w:val="24"/>
              </w:rPr>
              <w:t xml:space="preserve"> </w:t>
            </w:r>
            <w:r w:rsidRPr="00923802">
              <w:rPr>
                <w:rFonts w:ascii="Times New Roman" w:hAnsi="Times New Roman" w:cs="Times New Roman"/>
                <w:sz w:val="24"/>
                <w:szCs w:val="24"/>
              </w:rPr>
              <w:t xml:space="preserve">Инвестицията в </w:t>
            </w:r>
            <w:r w:rsidR="00CD4397" w:rsidRPr="00923802">
              <w:rPr>
                <w:rFonts w:ascii="Times New Roman" w:hAnsi="Times New Roman" w:cs="Times New Roman"/>
                <w:sz w:val="24"/>
                <w:szCs w:val="24"/>
              </w:rPr>
              <w:t>съо</w:t>
            </w:r>
            <w:r w:rsidR="002F7375" w:rsidRPr="00923802">
              <w:rPr>
                <w:rFonts w:ascii="Times New Roman" w:hAnsi="Times New Roman" w:cs="Times New Roman"/>
                <w:sz w:val="24"/>
                <w:szCs w:val="24"/>
              </w:rPr>
              <w:t>ръжения за напояване е съпътствана от значителен набор от документи, което води до повишена административна тежест и утежняване на процедурата.</w:t>
            </w:r>
            <w:r w:rsidRPr="00923802">
              <w:rPr>
                <w:rFonts w:ascii="Times New Roman" w:hAnsi="Times New Roman" w:cs="Times New Roman"/>
                <w:sz w:val="24"/>
                <w:szCs w:val="24"/>
              </w:rPr>
              <w:t xml:space="preserve"> </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254BA5" w:rsidP="00F657C5">
            <w:pPr>
              <w:spacing w:before="120"/>
              <w:jc w:val="both"/>
              <w:rPr>
                <w:rFonts w:ascii="Times New Roman" w:hAnsi="Times New Roman" w:cs="Times New Roman"/>
                <w:sz w:val="24"/>
                <w:szCs w:val="24"/>
              </w:rPr>
            </w:pPr>
            <w:r w:rsidRPr="00923802">
              <w:rPr>
                <w:rFonts w:ascii="Times New Roman" w:hAnsi="Times New Roman" w:cs="Times New Roman"/>
                <w:sz w:val="24"/>
                <w:szCs w:val="24"/>
              </w:rPr>
              <w:t xml:space="preserve">5.1. </w:t>
            </w:r>
            <w:r w:rsidR="00387E89" w:rsidRPr="00923802">
              <w:rPr>
                <w:rFonts w:ascii="Times New Roman" w:hAnsi="Times New Roman" w:cs="Times New Roman"/>
                <w:sz w:val="24"/>
                <w:szCs w:val="24"/>
              </w:rPr>
              <w:t xml:space="preserve">Не се приема. </w:t>
            </w:r>
            <w:r w:rsidRPr="00923802">
              <w:rPr>
                <w:rFonts w:ascii="Times New Roman" w:hAnsi="Times New Roman" w:cs="Times New Roman"/>
                <w:sz w:val="24"/>
                <w:szCs w:val="24"/>
              </w:rPr>
              <w:t>Включването на предложеният разход ще доведе до забавяне и утежняване в процеса на изпълнение на одобрените дейности по проектите.</w:t>
            </w: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F61167" w:rsidRPr="00923802" w:rsidRDefault="00923802" w:rsidP="00387E89">
            <w:pPr>
              <w:jc w:val="both"/>
              <w:rPr>
                <w:rFonts w:ascii="Times New Roman" w:hAnsi="Times New Roman" w:cs="Times New Roman"/>
                <w:sz w:val="24"/>
                <w:szCs w:val="24"/>
              </w:rPr>
            </w:pPr>
            <w:r w:rsidRPr="00923802">
              <w:rPr>
                <w:rFonts w:ascii="Times New Roman" w:hAnsi="Times New Roman" w:cs="Times New Roman"/>
                <w:sz w:val="24"/>
                <w:szCs w:val="24"/>
              </w:rPr>
              <w:t xml:space="preserve">5.2. </w:t>
            </w:r>
            <w:r w:rsidR="00387E89" w:rsidRPr="00923802">
              <w:rPr>
                <w:rFonts w:ascii="Times New Roman" w:hAnsi="Times New Roman" w:cs="Times New Roman"/>
                <w:sz w:val="24"/>
                <w:szCs w:val="24"/>
              </w:rPr>
              <w:t>Не се приема.</w:t>
            </w:r>
            <w:r w:rsidRPr="00923802">
              <w:rPr>
                <w:rFonts w:ascii="Times New Roman" w:hAnsi="Times New Roman" w:cs="Times New Roman"/>
                <w:sz w:val="24"/>
                <w:szCs w:val="24"/>
              </w:rPr>
              <w:t xml:space="preserve"> Съществува хипотеза, в която кандидатът е представил три съпоставими независими оферти за определени активи (активи с еднотипни основни технически характеристики).  Възможно е въпреки, че активът, чиято стойност съгласно представената оферта е с най-ниска цена да не попада в списъка по т. 11 от Раздел 14.2 „Условия за допустимост на разходите“ на Условията за кандидатстване, някой от активите, посочени в другите две оферти да е включен в списъка по т. 11, като в този случай, Оценителната комисия ще извърши съпоставка и ще одобри съответния разход до най-ниския му размер.</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E11755" w:rsidRPr="00923802" w:rsidRDefault="00923802" w:rsidP="00E11755">
            <w:pPr>
              <w:spacing w:before="120"/>
              <w:jc w:val="both"/>
              <w:rPr>
                <w:rFonts w:ascii="Times New Roman" w:hAnsi="Times New Roman" w:cs="Times New Roman"/>
                <w:sz w:val="24"/>
                <w:szCs w:val="24"/>
              </w:rPr>
            </w:pPr>
            <w:r w:rsidRPr="00923802">
              <w:rPr>
                <w:rFonts w:ascii="Times New Roman" w:hAnsi="Times New Roman" w:cs="Times New Roman"/>
                <w:sz w:val="24"/>
                <w:szCs w:val="24"/>
              </w:rPr>
              <w:t>5.</w:t>
            </w:r>
            <w:r>
              <w:rPr>
                <w:rFonts w:ascii="Times New Roman" w:hAnsi="Times New Roman" w:cs="Times New Roman"/>
                <w:sz w:val="24"/>
                <w:szCs w:val="24"/>
              </w:rPr>
              <w:t>3.</w:t>
            </w:r>
            <w:r w:rsidRPr="00923802">
              <w:rPr>
                <w:rFonts w:ascii="Times New Roman" w:hAnsi="Times New Roman" w:cs="Times New Roman"/>
                <w:sz w:val="24"/>
                <w:szCs w:val="24"/>
              </w:rPr>
              <w:t xml:space="preserve"> </w:t>
            </w:r>
            <w:r w:rsidR="00387E89" w:rsidRPr="00923802">
              <w:rPr>
                <w:rFonts w:ascii="Times New Roman" w:hAnsi="Times New Roman" w:cs="Times New Roman"/>
                <w:sz w:val="24"/>
                <w:szCs w:val="24"/>
              </w:rPr>
              <w:t xml:space="preserve">Не се приема. </w:t>
            </w:r>
            <w:r w:rsidR="00B948C3" w:rsidRPr="00923802">
              <w:rPr>
                <w:rFonts w:ascii="Times New Roman" w:hAnsi="Times New Roman" w:cs="Times New Roman"/>
                <w:sz w:val="24"/>
                <w:szCs w:val="24"/>
              </w:rPr>
              <w:t xml:space="preserve"> Критериите за </w:t>
            </w:r>
            <w:r w:rsidR="00E11755" w:rsidRPr="00923802">
              <w:rPr>
                <w:rFonts w:ascii="Times New Roman" w:hAnsi="Times New Roman" w:cs="Times New Roman"/>
                <w:sz w:val="24"/>
                <w:szCs w:val="24"/>
              </w:rPr>
              <w:t>подбор на проектни предложения по подмярка 1.2 „Подпомагане за демонстрационни дейности и действия за осведомяване“ от ПРСР 2014-2020 г. са приети на проведена писмена процедура на Комитета по наблюдение на ПРСР  2014-2020 г. в периода 03-09.07.2020 г.</w:t>
            </w:r>
          </w:p>
          <w:p w:rsidR="00923802" w:rsidRDefault="00923802" w:rsidP="007720E0">
            <w:pPr>
              <w:spacing w:before="120"/>
              <w:jc w:val="both"/>
              <w:rPr>
                <w:rFonts w:ascii="Times New Roman" w:hAnsi="Times New Roman" w:cs="Times New Roman"/>
                <w:b/>
                <w:sz w:val="24"/>
                <w:szCs w:val="24"/>
              </w:rPr>
            </w:pPr>
          </w:p>
          <w:p w:rsidR="00F61167" w:rsidRPr="00923802" w:rsidRDefault="00923802" w:rsidP="007720E0">
            <w:pPr>
              <w:spacing w:before="120"/>
              <w:jc w:val="both"/>
              <w:rPr>
                <w:rFonts w:ascii="Times New Roman" w:hAnsi="Times New Roman" w:cs="Times New Roman"/>
                <w:sz w:val="24"/>
                <w:szCs w:val="24"/>
              </w:rPr>
            </w:pPr>
            <w:r w:rsidRPr="00923802">
              <w:rPr>
                <w:rFonts w:ascii="Times New Roman" w:hAnsi="Times New Roman" w:cs="Times New Roman"/>
                <w:sz w:val="24"/>
                <w:szCs w:val="24"/>
              </w:rPr>
              <w:t xml:space="preserve">6. </w:t>
            </w:r>
            <w:r w:rsidR="007720E0" w:rsidRPr="00923802">
              <w:rPr>
                <w:rFonts w:ascii="Times New Roman" w:hAnsi="Times New Roman" w:cs="Times New Roman"/>
                <w:sz w:val="24"/>
                <w:szCs w:val="24"/>
              </w:rPr>
              <w:t>Не се приема. Представянето на инвентарна книга на кандидата - към датата на подаване на проектното предложение, с разбивка по вид на актив, дата и цена на придобиване е свързано с извършване на преценка относно наличие на извършване на недопустими или необосновани разходи посочени в Раздел 14.3. „Недопустими разходи</w:t>
            </w:r>
            <w:r w:rsidR="00B83157" w:rsidRPr="00923802">
              <w:rPr>
                <w:rFonts w:ascii="Times New Roman" w:hAnsi="Times New Roman" w:cs="Times New Roman"/>
                <w:sz w:val="24"/>
                <w:szCs w:val="24"/>
              </w:rPr>
              <w:t xml:space="preserve">“ на УК </w:t>
            </w:r>
            <w:r w:rsidR="007720E0" w:rsidRPr="00923802">
              <w:rPr>
                <w:rFonts w:ascii="Times New Roman" w:hAnsi="Times New Roman" w:cs="Times New Roman"/>
                <w:sz w:val="24"/>
                <w:szCs w:val="24"/>
              </w:rPr>
              <w:t>от оценителна комисия.</w:t>
            </w:r>
          </w:p>
          <w:p w:rsidR="00B83157" w:rsidRPr="00923802" w:rsidRDefault="00B83157" w:rsidP="007720E0">
            <w:pPr>
              <w:spacing w:before="120"/>
              <w:jc w:val="both"/>
              <w:rPr>
                <w:rFonts w:ascii="Times New Roman" w:hAnsi="Times New Roman" w:cs="Times New Roman"/>
                <w:sz w:val="24"/>
                <w:szCs w:val="24"/>
              </w:rPr>
            </w:pPr>
          </w:p>
          <w:p w:rsidR="00F61167" w:rsidRPr="00923802" w:rsidRDefault="00923802" w:rsidP="00045A67">
            <w:pPr>
              <w:jc w:val="both"/>
              <w:rPr>
                <w:rFonts w:ascii="Times New Roman" w:hAnsi="Times New Roman" w:cs="Times New Roman"/>
                <w:sz w:val="24"/>
                <w:szCs w:val="24"/>
              </w:rPr>
            </w:pPr>
            <w:r w:rsidRPr="00923802">
              <w:rPr>
                <w:rFonts w:ascii="Times New Roman" w:hAnsi="Times New Roman" w:cs="Times New Roman"/>
                <w:sz w:val="24"/>
                <w:szCs w:val="24"/>
              </w:rPr>
              <w:t xml:space="preserve">6.1. </w:t>
            </w:r>
            <w:r w:rsidR="00B83157" w:rsidRPr="00923802">
              <w:rPr>
                <w:rFonts w:ascii="Times New Roman" w:hAnsi="Times New Roman" w:cs="Times New Roman"/>
                <w:sz w:val="24"/>
                <w:szCs w:val="24"/>
              </w:rPr>
              <w:t>Приема се.</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5E0DBA" w:rsidRPr="00923802" w:rsidRDefault="005E0DBA" w:rsidP="00F657C5">
            <w:pPr>
              <w:spacing w:before="120"/>
              <w:jc w:val="both"/>
              <w:rPr>
                <w:rFonts w:ascii="Times New Roman" w:hAnsi="Times New Roman" w:cs="Times New Roman"/>
                <w:b/>
                <w:sz w:val="24"/>
                <w:szCs w:val="24"/>
              </w:rPr>
            </w:pPr>
          </w:p>
          <w:p w:rsidR="005E0DBA" w:rsidRPr="00923802" w:rsidRDefault="00923802" w:rsidP="00045A67">
            <w:pPr>
              <w:jc w:val="both"/>
              <w:rPr>
                <w:rFonts w:ascii="Times New Roman" w:hAnsi="Times New Roman" w:cs="Times New Roman"/>
                <w:sz w:val="24"/>
                <w:szCs w:val="24"/>
              </w:rPr>
            </w:pPr>
            <w:r w:rsidRPr="00923802">
              <w:rPr>
                <w:rFonts w:ascii="Times New Roman" w:hAnsi="Times New Roman" w:cs="Times New Roman"/>
                <w:sz w:val="24"/>
                <w:szCs w:val="24"/>
              </w:rPr>
              <w:t>1.</w:t>
            </w:r>
            <w:r>
              <w:rPr>
                <w:rFonts w:ascii="Times New Roman" w:hAnsi="Times New Roman" w:cs="Times New Roman"/>
                <w:b/>
                <w:sz w:val="24"/>
                <w:szCs w:val="24"/>
              </w:rPr>
              <w:t xml:space="preserve"> </w:t>
            </w:r>
            <w:r w:rsidR="005E0DBA" w:rsidRPr="00923802">
              <w:rPr>
                <w:rFonts w:ascii="Times New Roman" w:hAnsi="Times New Roman" w:cs="Times New Roman"/>
                <w:sz w:val="24"/>
                <w:szCs w:val="24"/>
              </w:rPr>
              <w:t xml:space="preserve">Не се приема. </w:t>
            </w:r>
            <w:r w:rsidR="00045A67" w:rsidRPr="00923802">
              <w:rPr>
                <w:rFonts w:ascii="Times New Roman" w:hAnsi="Times New Roman" w:cs="Times New Roman"/>
                <w:sz w:val="24"/>
                <w:szCs w:val="24"/>
              </w:rPr>
              <w:t>Съгласно чл. 63</w:t>
            </w:r>
            <w:r w:rsidR="00E37251" w:rsidRPr="00923802">
              <w:rPr>
                <w:rFonts w:ascii="Times New Roman" w:hAnsi="Times New Roman" w:cs="Times New Roman"/>
                <w:sz w:val="24"/>
                <w:szCs w:val="24"/>
              </w:rPr>
              <w:t xml:space="preserve"> - Авансови плащания </w:t>
            </w:r>
            <w:r w:rsidR="00045A67" w:rsidRPr="00923802">
              <w:rPr>
                <w:rFonts w:ascii="Times New Roman" w:hAnsi="Times New Roman" w:cs="Times New Roman"/>
                <w:sz w:val="24"/>
                <w:szCs w:val="24"/>
              </w:rPr>
              <w:t>от Регламент 1305/2013 г.</w:t>
            </w:r>
            <w:r w:rsidR="00E37251" w:rsidRPr="00923802">
              <w:rPr>
                <w:rFonts w:ascii="Times New Roman" w:hAnsi="Times New Roman" w:cs="Times New Roman"/>
                <w:sz w:val="24"/>
                <w:szCs w:val="24"/>
              </w:rPr>
              <w:t>, т. 1 „А</w:t>
            </w:r>
            <w:r w:rsidR="005E0DBA" w:rsidRPr="00923802">
              <w:rPr>
                <w:rFonts w:ascii="Times New Roman" w:hAnsi="Times New Roman" w:cs="Times New Roman"/>
                <w:sz w:val="24"/>
                <w:szCs w:val="24"/>
              </w:rPr>
              <w:t>вансовите плащания се подчиняват на условието за предоставяне на банкова гаранция или еквивалентна гаранция, съответстваща на 100 % от размера на авансовото плащане</w:t>
            </w:r>
            <w:r w:rsidR="00E37251" w:rsidRPr="00923802">
              <w:rPr>
                <w:rFonts w:ascii="Times New Roman" w:hAnsi="Times New Roman" w:cs="Times New Roman"/>
                <w:sz w:val="24"/>
                <w:szCs w:val="24"/>
              </w:rPr>
              <w:t>“</w:t>
            </w:r>
            <w:r w:rsidR="005E0DBA" w:rsidRPr="00923802">
              <w:rPr>
                <w:rFonts w:ascii="Times New Roman" w:hAnsi="Times New Roman" w:cs="Times New Roman"/>
                <w:sz w:val="24"/>
                <w:szCs w:val="24"/>
              </w:rPr>
              <w:t>.</w:t>
            </w:r>
            <w:r w:rsidR="00045A67" w:rsidRPr="00923802">
              <w:rPr>
                <w:rFonts w:ascii="Times New Roman" w:hAnsi="Times New Roman" w:cs="Times New Roman"/>
                <w:sz w:val="24"/>
                <w:szCs w:val="24"/>
              </w:rPr>
              <w:t xml:space="preserve"> В допълнение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 такава </w:t>
            </w:r>
            <w:r w:rsidR="00E37251" w:rsidRPr="00923802">
              <w:rPr>
                <w:rFonts w:ascii="Times New Roman" w:hAnsi="Times New Roman" w:cs="Times New Roman"/>
                <w:sz w:val="24"/>
                <w:szCs w:val="24"/>
              </w:rPr>
              <w:t>възможност</w:t>
            </w:r>
            <w:r w:rsidR="00045A67" w:rsidRPr="00923802">
              <w:rPr>
                <w:rFonts w:ascii="Times New Roman" w:hAnsi="Times New Roman" w:cs="Times New Roman"/>
                <w:sz w:val="24"/>
                <w:szCs w:val="24"/>
              </w:rPr>
              <w:t xml:space="preserve"> не е предвидена</w:t>
            </w:r>
            <w:r w:rsidR="00E37251" w:rsidRPr="00923802">
              <w:rPr>
                <w:rFonts w:ascii="Times New Roman" w:hAnsi="Times New Roman" w:cs="Times New Roman"/>
                <w:sz w:val="24"/>
                <w:szCs w:val="24"/>
              </w:rPr>
              <w:t>.</w:t>
            </w:r>
          </w:p>
          <w:p w:rsidR="00A47C9F" w:rsidRDefault="00A47C9F" w:rsidP="00045A67">
            <w:pPr>
              <w:jc w:val="both"/>
              <w:rPr>
                <w:rFonts w:ascii="Times New Roman" w:hAnsi="Times New Roman" w:cs="Times New Roman"/>
                <w:sz w:val="24"/>
                <w:szCs w:val="24"/>
              </w:rPr>
            </w:pPr>
          </w:p>
          <w:p w:rsidR="00923802" w:rsidRPr="00923802" w:rsidRDefault="00923802" w:rsidP="00045A67">
            <w:pPr>
              <w:jc w:val="both"/>
              <w:rPr>
                <w:rFonts w:ascii="Times New Roman" w:hAnsi="Times New Roman" w:cs="Times New Roman"/>
                <w:sz w:val="24"/>
                <w:szCs w:val="24"/>
              </w:rPr>
            </w:pPr>
          </w:p>
          <w:p w:rsidR="00F61167" w:rsidRPr="00923802" w:rsidRDefault="00923802" w:rsidP="002F236C">
            <w:pPr>
              <w:jc w:val="both"/>
              <w:rPr>
                <w:rFonts w:ascii="Times New Roman" w:hAnsi="Times New Roman" w:cs="Times New Roman"/>
                <w:b/>
                <w:sz w:val="24"/>
                <w:szCs w:val="24"/>
              </w:rPr>
            </w:pPr>
            <w:r w:rsidRPr="00923802">
              <w:rPr>
                <w:rFonts w:ascii="Times New Roman" w:hAnsi="Times New Roman" w:cs="Times New Roman"/>
                <w:sz w:val="24"/>
                <w:szCs w:val="24"/>
              </w:rPr>
              <w:t xml:space="preserve">2. </w:t>
            </w:r>
            <w:r w:rsidR="00765ECE" w:rsidRPr="00923802">
              <w:rPr>
                <w:rFonts w:ascii="Times New Roman" w:hAnsi="Times New Roman" w:cs="Times New Roman"/>
                <w:sz w:val="24"/>
                <w:szCs w:val="24"/>
              </w:rPr>
              <w:t>Не се приема.</w:t>
            </w:r>
            <w:r w:rsidR="00E37251" w:rsidRPr="00923802">
              <w:rPr>
                <w:rFonts w:ascii="Times New Roman" w:hAnsi="Times New Roman" w:cs="Times New Roman"/>
                <w:sz w:val="24"/>
                <w:szCs w:val="24"/>
              </w:rPr>
              <w:t xml:space="preserve"> Текстът </w:t>
            </w:r>
            <w:r>
              <w:rPr>
                <w:rFonts w:ascii="Times New Roman" w:hAnsi="Times New Roman" w:cs="Times New Roman"/>
                <w:sz w:val="24"/>
                <w:szCs w:val="24"/>
              </w:rPr>
              <w:t xml:space="preserve">отразява условията за кандидатстване, </w:t>
            </w:r>
            <w:r w:rsidR="00184C15">
              <w:rPr>
                <w:rFonts w:ascii="Times New Roman" w:hAnsi="Times New Roman" w:cs="Times New Roman"/>
                <w:sz w:val="24"/>
                <w:szCs w:val="24"/>
              </w:rPr>
              <w:t>като съществува ясно разграничение между проектните предложения, свързани с демонстрации за лица, заети в сферата на горско и селско стопанство.</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184C15" w:rsidP="00A47C9F">
            <w:pPr>
              <w:spacing w:before="120"/>
              <w:jc w:val="both"/>
              <w:rPr>
                <w:rFonts w:ascii="Times New Roman" w:hAnsi="Times New Roman" w:cs="Times New Roman"/>
                <w:sz w:val="24"/>
                <w:szCs w:val="24"/>
              </w:rPr>
            </w:pPr>
            <w:r w:rsidRPr="00184C15">
              <w:rPr>
                <w:rFonts w:ascii="Times New Roman" w:hAnsi="Times New Roman" w:cs="Times New Roman"/>
                <w:sz w:val="24"/>
                <w:szCs w:val="24"/>
                <w:lang w:val="en-US"/>
              </w:rPr>
              <w:t xml:space="preserve">3. </w:t>
            </w:r>
            <w:r w:rsidR="00A47C9F" w:rsidRPr="00184C15">
              <w:rPr>
                <w:rFonts w:ascii="Times New Roman" w:hAnsi="Times New Roman" w:cs="Times New Roman"/>
                <w:sz w:val="24"/>
                <w:szCs w:val="24"/>
              </w:rPr>
              <w:t xml:space="preserve">Не се приема. Формата на представяне на изискуемите документи е посочена в т. </w:t>
            </w:r>
            <w:r w:rsidR="00A47C9F" w:rsidRPr="00184C15">
              <w:rPr>
                <w:rFonts w:ascii="Times New Roman" w:hAnsi="Times New Roman" w:cs="Times New Roman"/>
                <w:sz w:val="24"/>
                <w:szCs w:val="24"/>
              </w:rPr>
              <w:lastRenderedPageBreak/>
              <w:t>2.28. Опис на документите при подаване на искане за плащане.</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184C15" w:rsidRDefault="00184C15" w:rsidP="00A47C9F">
            <w:pPr>
              <w:spacing w:before="120"/>
              <w:jc w:val="both"/>
              <w:rPr>
                <w:rFonts w:ascii="Times New Roman" w:hAnsi="Times New Roman" w:cs="Times New Roman"/>
                <w:b/>
                <w:sz w:val="24"/>
                <w:szCs w:val="24"/>
              </w:rPr>
            </w:pPr>
          </w:p>
          <w:p w:rsidR="00184C15" w:rsidRDefault="00184C15" w:rsidP="00A47C9F">
            <w:pPr>
              <w:spacing w:before="120"/>
              <w:jc w:val="both"/>
              <w:rPr>
                <w:rFonts w:ascii="Times New Roman" w:hAnsi="Times New Roman" w:cs="Times New Roman"/>
                <w:b/>
                <w:sz w:val="24"/>
                <w:szCs w:val="24"/>
              </w:rPr>
            </w:pPr>
          </w:p>
          <w:p w:rsidR="00F61167" w:rsidRPr="00923802" w:rsidRDefault="00184C15" w:rsidP="00A47C9F">
            <w:pPr>
              <w:spacing w:before="120"/>
              <w:jc w:val="both"/>
              <w:rPr>
                <w:rFonts w:ascii="Times New Roman" w:hAnsi="Times New Roman" w:cs="Times New Roman"/>
                <w:sz w:val="24"/>
                <w:szCs w:val="24"/>
              </w:rPr>
            </w:pPr>
            <w:r w:rsidRPr="00184C15">
              <w:rPr>
                <w:rFonts w:ascii="Times New Roman" w:hAnsi="Times New Roman" w:cs="Times New Roman"/>
                <w:sz w:val="24"/>
                <w:szCs w:val="24"/>
              </w:rPr>
              <w:t xml:space="preserve">3.1. </w:t>
            </w:r>
            <w:r w:rsidR="00A47C9F" w:rsidRPr="00184C15">
              <w:rPr>
                <w:rFonts w:ascii="Times New Roman" w:hAnsi="Times New Roman" w:cs="Times New Roman"/>
                <w:sz w:val="24"/>
                <w:szCs w:val="24"/>
              </w:rPr>
              <w:t>Не се приема. Изискваните документи по т. 11- т.14 са свързани с основни компоненти</w:t>
            </w:r>
            <w:r w:rsidR="00A47C9F" w:rsidRPr="00923802">
              <w:rPr>
                <w:rFonts w:ascii="Times New Roman" w:hAnsi="Times New Roman" w:cs="Times New Roman"/>
                <w:sz w:val="24"/>
                <w:szCs w:val="24"/>
              </w:rPr>
              <w:t xml:space="preserve"> на стандартни</w:t>
            </w:r>
            <w:r w:rsidR="000B04AA" w:rsidRPr="00923802">
              <w:rPr>
                <w:rFonts w:ascii="Times New Roman" w:hAnsi="Times New Roman" w:cs="Times New Roman"/>
                <w:sz w:val="24"/>
                <w:szCs w:val="24"/>
              </w:rPr>
              <w:t>ят</w:t>
            </w:r>
            <w:r w:rsidR="00A47C9F" w:rsidRPr="00923802">
              <w:rPr>
                <w:rFonts w:ascii="Times New Roman" w:hAnsi="Times New Roman" w:cs="Times New Roman"/>
                <w:sz w:val="24"/>
                <w:szCs w:val="24"/>
              </w:rPr>
              <w:t xml:space="preserve"> разход за осъществяване на дейността.</w:t>
            </w:r>
          </w:p>
          <w:p w:rsidR="00F61167" w:rsidRPr="00923802" w:rsidRDefault="00F61167" w:rsidP="00A47C9F">
            <w:pPr>
              <w:jc w:val="both"/>
              <w:rPr>
                <w:rFonts w:ascii="Times New Roman" w:hAnsi="Times New Roman" w:cs="Times New Roman"/>
                <w:sz w:val="24"/>
                <w:szCs w:val="24"/>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184C15" w:rsidRDefault="00184C15" w:rsidP="002F236C">
            <w:pPr>
              <w:jc w:val="both"/>
              <w:rPr>
                <w:rFonts w:ascii="Times New Roman" w:hAnsi="Times New Roman" w:cs="Times New Roman"/>
                <w:sz w:val="24"/>
                <w:szCs w:val="24"/>
              </w:rPr>
            </w:pPr>
            <w:r w:rsidRPr="00184C15">
              <w:rPr>
                <w:rFonts w:ascii="Times New Roman" w:hAnsi="Times New Roman" w:cs="Times New Roman"/>
                <w:sz w:val="24"/>
                <w:szCs w:val="24"/>
              </w:rPr>
              <w:t xml:space="preserve">4. </w:t>
            </w:r>
            <w:r w:rsidR="000B04AA" w:rsidRPr="00184C15">
              <w:rPr>
                <w:rFonts w:ascii="Times New Roman" w:hAnsi="Times New Roman" w:cs="Times New Roman"/>
                <w:sz w:val="24"/>
                <w:szCs w:val="24"/>
              </w:rPr>
              <w:t>Приема се. Текстовете са прецизирани.</w:t>
            </w: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F61167" w:rsidRPr="00923802" w:rsidRDefault="00F61167" w:rsidP="002F236C">
            <w:pPr>
              <w:jc w:val="both"/>
              <w:rPr>
                <w:rFonts w:ascii="Times New Roman" w:hAnsi="Times New Roman" w:cs="Times New Roman"/>
                <w:sz w:val="24"/>
                <w:szCs w:val="24"/>
                <w:lang w:val="en-US"/>
              </w:rPr>
            </w:pPr>
          </w:p>
          <w:p w:rsidR="00C1150F" w:rsidRPr="00923802" w:rsidRDefault="00C1150F" w:rsidP="00F657C5">
            <w:pPr>
              <w:spacing w:before="120"/>
              <w:jc w:val="both"/>
              <w:rPr>
                <w:rFonts w:ascii="Times New Roman" w:hAnsi="Times New Roman" w:cs="Times New Roman"/>
                <w:sz w:val="24"/>
                <w:szCs w:val="24"/>
              </w:rPr>
            </w:pPr>
          </w:p>
          <w:p w:rsidR="00C1150F" w:rsidRPr="00923802" w:rsidRDefault="00C1150F" w:rsidP="00F657C5">
            <w:pPr>
              <w:spacing w:before="120"/>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p w:rsidR="00890D37" w:rsidRPr="00923802" w:rsidRDefault="00890D37" w:rsidP="002F236C">
            <w:pPr>
              <w:jc w:val="both"/>
              <w:rPr>
                <w:rFonts w:ascii="Times New Roman" w:hAnsi="Times New Roman" w:cs="Times New Roman"/>
                <w:sz w:val="24"/>
                <w:szCs w:val="24"/>
              </w:rPr>
            </w:pPr>
          </w:p>
        </w:tc>
      </w:tr>
      <w:tr w:rsidR="006C6863" w:rsidRPr="001E64C1" w:rsidTr="000D1382">
        <w:tc>
          <w:tcPr>
            <w:tcW w:w="534" w:type="dxa"/>
            <w:shd w:val="clear" w:color="auto" w:fill="auto"/>
            <w:vAlign w:val="center"/>
          </w:tcPr>
          <w:p w:rsidR="006C6863" w:rsidRPr="001E64C1" w:rsidRDefault="006C6863" w:rsidP="00C01447">
            <w:pPr>
              <w:jc w:val="center"/>
              <w:rPr>
                <w:rFonts w:ascii="Times New Roman" w:hAnsi="Times New Roman" w:cs="Times New Roman"/>
                <w:sz w:val="24"/>
                <w:szCs w:val="24"/>
                <w:lang w:val="en-GB"/>
              </w:rPr>
            </w:pPr>
            <w:r w:rsidRPr="001E64C1">
              <w:rPr>
                <w:rFonts w:ascii="Times New Roman" w:hAnsi="Times New Roman" w:cs="Times New Roman"/>
                <w:sz w:val="24"/>
                <w:szCs w:val="24"/>
                <w:lang w:val="en-GB"/>
              </w:rPr>
              <w:lastRenderedPageBreak/>
              <w:t>2.</w:t>
            </w:r>
          </w:p>
        </w:tc>
        <w:tc>
          <w:tcPr>
            <w:tcW w:w="1701" w:type="dxa"/>
            <w:shd w:val="clear" w:color="auto" w:fill="auto"/>
            <w:vAlign w:val="center"/>
          </w:tcPr>
          <w:p w:rsidR="006C6863" w:rsidRPr="001E64C1" w:rsidRDefault="000D1382" w:rsidP="00C01447">
            <w:pPr>
              <w:jc w:val="center"/>
              <w:rPr>
                <w:rFonts w:ascii="Times New Roman" w:hAnsi="Times New Roman" w:cs="Times New Roman"/>
                <w:sz w:val="24"/>
                <w:szCs w:val="24"/>
              </w:rPr>
            </w:pPr>
            <w:r w:rsidRPr="000D1382">
              <w:rPr>
                <w:rFonts w:ascii="Times New Roman" w:hAnsi="Times New Roman" w:cs="Times New Roman"/>
                <w:sz w:val="24"/>
                <w:szCs w:val="24"/>
              </w:rPr>
              <w:t>ДФ „Земеделие“</w:t>
            </w:r>
          </w:p>
        </w:tc>
        <w:tc>
          <w:tcPr>
            <w:tcW w:w="1559" w:type="dxa"/>
            <w:shd w:val="clear" w:color="auto" w:fill="auto"/>
            <w:vAlign w:val="center"/>
          </w:tcPr>
          <w:p w:rsidR="006C6863" w:rsidRPr="001E64C1" w:rsidRDefault="000D1382" w:rsidP="00C01447">
            <w:pPr>
              <w:jc w:val="center"/>
              <w:rPr>
                <w:rFonts w:ascii="Times New Roman" w:hAnsi="Times New Roman" w:cs="Times New Roman"/>
                <w:sz w:val="24"/>
                <w:szCs w:val="24"/>
              </w:rPr>
            </w:pPr>
            <w:r>
              <w:rPr>
                <w:rFonts w:ascii="Times New Roman" w:hAnsi="Times New Roman" w:cs="Times New Roman"/>
                <w:sz w:val="24"/>
                <w:szCs w:val="24"/>
              </w:rPr>
              <w:t>08.07.2022 г.</w:t>
            </w:r>
          </w:p>
        </w:tc>
        <w:tc>
          <w:tcPr>
            <w:tcW w:w="6520" w:type="dxa"/>
            <w:shd w:val="clear" w:color="auto" w:fill="auto"/>
          </w:tcPr>
          <w:p w:rsidR="000D1382" w:rsidRPr="000D1382" w:rsidRDefault="000D1382" w:rsidP="00C1150F">
            <w:pPr>
              <w:spacing w:before="120"/>
              <w:jc w:val="both"/>
              <w:rPr>
                <w:rFonts w:ascii="Times New Roman" w:hAnsi="Times New Roman" w:cs="Times New Roman"/>
                <w:sz w:val="24"/>
                <w:szCs w:val="24"/>
              </w:rPr>
            </w:pPr>
            <w:r w:rsidRPr="000D1382">
              <w:rPr>
                <w:rFonts w:ascii="Times New Roman" w:hAnsi="Times New Roman" w:cs="Times New Roman"/>
                <w:sz w:val="24"/>
                <w:szCs w:val="24"/>
              </w:rPr>
              <w:t>I.</w:t>
            </w:r>
            <w:r w:rsidRPr="000D1382">
              <w:rPr>
                <w:rFonts w:ascii="Times New Roman" w:hAnsi="Times New Roman" w:cs="Times New Roman"/>
                <w:sz w:val="24"/>
                <w:szCs w:val="24"/>
              </w:rPr>
              <w:tab/>
              <w:t>По условията за кандидатстване:</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1. Предлагаме да се добави нова точка към раздел 13.2. Условия за допустимост на дейностите, в която да се посочи, че изискванията на т. 14 се отнасят и по отношение на разходите за инвестиции, които се финансират под формата на амортизационни разходи, с цел по – голяма яснота за бенефициентите, които ще кандидатстват за такъв вид инвестиционни разходи.</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2. Предлагаме в раздел 14.1. Допустими разходи да се посочат какви са изискванията за кандидати възложители по реда на чл. 49, ал. 2, т. 2 от ЗУСЕФСУ (ЗУСЕСИФ), като например:</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За кандидати, които не са възложители по смисъла на ЗОП, при възлагане на външни за тях лица на елементи, включени в стойността на предвидените демонстрационни дейности, се прилагат разпоредбите на Глава четвърта от Закона за управление на средствата от Европейските фондове при споделено управление и Постановление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0D1382" w:rsidRPr="000D1382" w:rsidRDefault="000D1382" w:rsidP="000D1382">
            <w:pPr>
              <w:jc w:val="both"/>
              <w:rPr>
                <w:rFonts w:ascii="Times New Roman" w:hAnsi="Times New Roman" w:cs="Times New Roman"/>
                <w:sz w:val="24"/>
                <w:szCs w:val="24"/>
              </w:rPr>
            </w:pP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II. По условията за изпълнение:</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1. Предлагаме да се допълни текстът на т.2.11.8 от Раздел II. Критерии за допустимост, ангажименти и други задължения на бенефициентите, на УО на ПРСР 2014 – 2020 г. и на Държавен фонд „Земеделие“ (ДФЗ–РА), както следва:</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2.11.8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ЗОП/ПМС № 160/2016 г.</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Държавен фонд „Земеделие“ налага финансови корекции и при установени нарушения на Постановление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2. Предлагаме да се коригира допусната техническа грешка в т.2.6 от Раздел Б. Изменение и прекратяване на административния договор, финансово изпълнение на проектите и мерки за информиране и публичност, както следва:</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2.6. Банковата гаранция се освобождава и се връща на издателя до 10 календарни дни от момента, в който ДФЗ - РА установи, че сумата на одобрените за плащане разходи, съответстваща на финансовата помощ, свързана с инвестицията, надхвърля сумата на аванса.</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3. В т.1 към т. 2.28 Опис на документите при подаване на искане за плащане от Раздел Б. трябва да се добави, че искането за плащане по образец важи и за междинни искания за плащане:</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 xml:space="preserve"> 1.</w:t>
            </w:r>
            <w:r w:rsidRPr="000D1382">
              <w:rPr>
                <w:rFonts w:ascii="Times New Roman" w:hAnsi="Times New Roman" w:cs="Times New Roman"/>
                <w:sz w:val="24"/>
                <w:szCs w:val="24"/>
              </w:rPr>
              <w:tab/>
              <w:t>Искане за междинно/окончателно плащане, във формат .pdf , ведно с Таблица за разходите към него във формат xls (табл. 2 от Таблицата за разходите се представя подписана и подпечатана във формат .pdf (по утвърден образец на изпълнителния директор на ДФЗ).</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lastRenderedPageBreak/>
              <w:t>4. В т.4 към т. 2.28 Опис на документите при подаване на искане за плащане от Раздел Б. трябва да се добави формат, в който следва да се представи изискуемият документ:</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4. Декларация от представляващия бенефициента на помощта за наличие или липса на двойно финансиране - попълнена, подписана и сканирана съгласно приложение № 9 във формат .pdf или .jpg;</w:t>
            </w:r>
          </w:p>
          <w:p w:rsidR="000D1382" w:rsidRPr="000D1382" w:rsidRDefault="000D1382" w:rsidP="000D1382">
            <w:pPr>
              <w:jc w:val="both"/>
              <w:rPr>
                <w:rFonts w:ascii="Times New Roman" w:hAnsi="Times New Roman" w:cs="Times New Roman"/>
                <w:sz w:val="24"/>
                <w:szCs w:val="24"/>
              </w:rPr>
            </w:pPr>
            <w:r w:rsidRPr="000D1382">
              <w:rPr>
                <w:rFonts w:ascii="Times New Roman" w:hAnsi="Times New Roman" w:cs="Times New Roman"/>
                <w:sz w:val="24"/>
                <w:szCs w:val="24"/>
              </w:rPr>
              <w:t>5. В образеца на административен договор (Приложение № 1 към Условията за изпълнение) предлагаме да се прецизират текстовете на чл. 3, ал .7, както следва:</w:t>
            </w:r>
          </w:p>
          <w:p w:rsidR="006C6863" w:rsidRPr="001E64C1" w:rsidRDefault="000D1382" w:rsidP="000D1382">
            <w:pPr>
              <w:jc w:val="both"/>
              <w:rPr>
                <w:rFonts w:ascii="Times New Roman" w:hAnsi="Times New Roman" w:cs="Times New Roman"/>
                <w:sz w:val="24"/>
                <w:szCs w:val="24"/>
                <w:highlight w:val="red"/>
              </w:rPr>
            </w:pPr>
            <w:r w:rsidRPr="000D1382">
              <w:rPr>
                <w:rFonts w:ascii="Times New Roman" w:hAnsi="Times New Roman" w:cs="Times New Roman"/>
                <w:sz w:val="24"/>
                <w:szCs w:val="24"/>
              </w:rPr>
              <w:t>Авансово плащане се допуска не повече от един път за периода на изпълнение на проекта след съгласуване на процедурата за избор на изпълнител (избран по реда на ЗОП или ПМС № 160/2016г.) обществената/ите поръчка/и за инвестиционните разходи от ФОНДА.</w:t>
            </w:r>
          </w:p>
        </w:tc>
        <w:tc>
          <w:tcPr>
            <w:tcW w:w="3969" w:type="dxa"/>
            <w:shd w:val="clear" w:color="auto" w:fill="auto"/>
          </w:tcPr>
          <w:p w:rsidR="006C6863" w:rsidRDefault="006C6863" w:rsidP="002F236C">
            <w:pPr>
              <w:jc w:val="both"/>
              <w:rPr>
                <w:rFonts w:ascii="Times New Roman" w:hAnsi="Times New Roman" w:cs="Times New Roman"/>
                <w:color w:val="1F497D"/>
                <w:sz w:val="24"/>
                <w:szCs w:val="24"/>
              </w:rPr>
            </w:pPr>
          </w:p>
          <w:p w:rsidR="00C1150F" w:rsidRPr="00184C15" w:rsidRDefault="009439DF" w:rsidP="0082696E">
            <w:pPr>
              <w:pStyle w:val="ListParagraph"/>
              <w:numPr>
                <w:ilvl w:val="0"/>
                <w:numId w:val="34"/>
              </w:numPr>
              <w:spacing w:before="120"/>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9439DF" w:rsidRPr="00184C15" w:rsidRDefault="009439DF" w:rsidP="00C1150F">
            <w:pPr>
              <w:jc w:val="both"/>
              <w:rPr>
                <w:rFonts w:ascii="Times New Roman" w:hAnsi="Times New Roman" w:cs="Times New Roman"/>
                <w:sz w:val="24"/>
                <w:szCs w:val="24"/>
              </w:rPr>
            </w:pPr>
          </w:p>
          <w:p w:rsidR="00C1150F" w:rsidRPr="00184C15" w:rsidRDefault="009439DF" w:rsidP="0082696E">
            <w:pPr>
              <w:pStyle w:val="ListParagraph"/>
              <w:numPr>
                <w:ilvl w:val="0"/>
                <w:numId w:val="34"/>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9439DF" w:rsidRPr="00184C15" w:rsidRDefault="009439DF" w:rsidP="00C1150F">
            <w:pPr>
              <w:jc w:val="both"/>
              <w:rPr>
                <w:rFonts w:ascii="Times New Roman" w:hAnsi="Times New Roman" w:cs="Times New Roman"/>
                <w:sz w:val="24"/>
                <w:szCs w:val="24"/>
              </w:rPr>
            </w:pPr>
          </w:p>
          <w:p w:rsidR="00C1150F" w:rsidRPr="00184C15" w:rsidRDefault="009439DF" w:rsidP="0082696E">
            <w:pPr>
              <w:pStyle w:val="ListParagraph"/>
              <w:numPr>
                <w:ilvl w:val="0"/>
                <w:numId w:val="33"/>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9439DF" w:rsidRPr="00184C15" w:rsidRDefault="009439DF" w:rsidP="00C1150F">
            <w:pPr>
              <w:jc w:val="both"/>
              <w:rPr>
                <w:rFonts w:ascii="Times New Roman" w:hAnsi="Times New Roman" w:cs="Times New Roman"/>
                <w:sz w:val="24"/>
                <w:szCs w:val="24"/>
              </w:rPr>
            </w:pPr>
          </w:p>
          <w:p w:rsidR="00C1150F" w:rsidRPr="00184C15" w:rsidRDefault="009439DF" w:rsidP="0082696E">
            <w:pPr>
              <w:pStyle w:val="ListParagraph"/>
              <w:numPr>
                <w:ilvl w:val="0"/>
                <w:numId w:val="33"/>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9439DF" w:rsidRPr="00184C15" w:rsidRDefault="009439DF" w:rsidP="00C1150F">
            <w:pPr>
              <w:jc w:val="both"/>
              <w:rPr>
                <w:rFonts w:ascii="Times New Roman" w:hAnsi="Times New Roman" w:cs="Times New Roman"/>
                <w:sz w:val="24"/>
                <w:szCs w:val="24"/>
              </w:rPr>
            </w:pPr>
          </w:p>
          <w:p w:rsidR="00BC5A51" w:rsidRPr="00184C15" w:rsidRDefault="009439DF" w:rsidP="0082696E">
            <w:pPr>
              <w:pStyle w:val="ListParagraph"/>
              <w:numPr>
                <w:ilvl w:val="0"/>
                <w:numId w:val="33"/>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lastRenderedPageBreak/>
              <w:t>Приема се.</w:t>
            </w: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9439DF" w:rsidRPr="00184C15" w:rsidRDefault="009439DF" w:rsidP="00C1150F">
            <w:pPr>
              <w:jc w:val="both"/>
              <w:rPr>
                <w:rFonts w:ascii="Times New Roman" w:hAnsi="Times New Roman" w:cs="Times New Roman"/>
                <w:sz w:val="24"/>
                <w:szCs w:val="24"/>
              </w:rPr>
            </w:pPr>
          </w:p>
          <w:p w:rsidR="00BC5A51" w:rsidRPr="00184C15" w:rsidRDefault="009439DF" w:rsidP="0082696E">
            <w:pPr>
              <w:pStyle w:val="ListParagraph"/>
              <w:numPr>
                <w:ilvl w:val="0"/>
                <w:numId w:val="33"/>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C1150F" w:rsidRPr="00184C15" w:rsidRDefault="00C1150F"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BC5A51" w:rsidRPr="00184C15" w:rsidRDefault="00BC5A51" w:rsidP="00C1150F">
            <w:pPr>
              <w:jc w:val="both"/>
              <w:rPr>
                <w:rFonts w:ascii="Times New Roman" w:hAnsi="Times New Roman" w:cs="Times New Roman"/>
                <w:color w:val="1F497D"/>
                <w:sz w:val="24"/>
                <w:szCs w:val="24"/>
              </w:rPr>
            </w:pPr>
          </w:p>
          <w:p w:rsidR="009439DF" w:rsidRPr="00184C15" w:rsidRDefault="009439DF" w:rsidP="009439DF">
            <w:pPr>
              <w:jc w:val="both"/>
              <w:rPr>
                <w:rFonts w:ascii="Times New Roman" w:hAnsi="Times New Roman" w:cs="Times New Roman"/>
                <w:sz w:val="24"/>
                <w:szCs w:val="24"/>
              </w:rPr>
            </w:pPr>
          </w:p>
          <w:p w:rsidR="00C1150F" w:rsidRPr="00184C15" w:rsidRDefault="009439DF" w:rsidP="0082696E">
            <w:pPr>
              <w:pStyle w:val="ListParagraph"/>
              <w:numPr>
                <w:ilvl w:val="0"/>
                <w:numId w:val="33"/>
              </w:numPr>
              <w:ind w:left="318" w:hanging="318"/>
              <w:jc w:val="both"/>
              <w:rPr>
                <w:rFonts w:ascii="Times New Roman" w:hAnsi="Times New Roman" w:cs="Times New Roman"/>
                <w:color w:val="1F497D"/>
                <w:sz w:val="24"/>
                <w:szCs w:val="24"/>
              </w:rPr>
            </w:pPr>
            <w:r w:rsidRPr="00184C15">
              <w:rPr>
                <w:rFonts w:ascii="Times New Roman" w:hAnsi="Times New Roman" w:cs="Times New Roman"/>
                <w:sz w:val="24"/>
                <w:szCs w:val="24"/>
              </w:rPr>
              <w:t>Приема се.</w:t>
            </w:r>
          </w:p>
          <w:p w:rsidR="00C1150F" w:rsidRPr="00184C15" w:rsidRDefault="00C1150F" w:rsidP="00C1150F">
            <w:pPr>
              <w:jc w:val="both"/>
              <w:rPr>
                <w:rFonts w:ascii="Times New Roman" w:hAnsi="Times New Roman" w:cs="Times New Roman"/>
                <w:color w:val="1F497D"/>
                <w:sz w:val="24"/>
                <w:szCs w:val="24"/>
              </w:rPr>
            </w:pPr>
          </w:p>
          <w:p w:rsidR="00C1150F" w:rsidRDefault="00C1150F" w:rsidP="00C1150F">
            <w:pPr>
              <w:jc w:val="both"/>
              <w:rPr>
                <w:rFonts w:ascii="Times New Roman" w:hAnsi="Times New Roman" w:cs="Times New Roman"/>
                <w:color w:val="1F497D"/>
                <w:sz w:val="24"/>
                <w:szCs w:val="24"/>
              </w:rPr>
            </w:pPr>
          </w:p>
          <w:p w:rsidR="00C1150F" w:rsidRDefault="00C1150F" w:rsidP="00C1150F">
            <w:pPr>
              <w:jc w:val="both"/>
              <w:rPr>
                <w:rFonts w:ascii="Times New Roman" w:hAnsi="Times New Roman" w:cs="Times New Roman"/>
                <w:color w:val="1F497D"/>
                <w:sz w:val="24"/>
                <w:szCs w:val="24"/>
              </w:rPr>
            </w:pPr>
          </w:p>
          <w:p w:rsidR="00C1150F" w:rsidRPr="001E64C1" w:rsidRDefault="00C1150F" w:rsidP="00C1150F">
            <w:pPr>
              <w:spacing w:before="120"/>
              <w:jc w:val="both"/>
              <w:rPr>
                <w:rFonts w:ascii="Times New Roman" w:hAnsi="Times New Roman" w:cs="Times New Roman"/>
                <w:color w:val="1F497D"/>
                <w:sz w:val="24"/>
                <w:szCs w:val="24"/>
              </w:rPr>
            </w:pPr>
          </w:p>
        </w:tc>
      </w:tr>
    </w:tbl>
    <w:p w:rsidR="00DE7826" w:rsidRPr="00DE7826" w:rsidRDefault="00DE7826">
      <w:pPr>
        <w:rPr>
          <w:lang w:val="en-US"/>
        </w:rPr>
      </w:pPr>
    </w:p>
    <w:sectPr w:rsidR="00DE7826" w:rsidRPr="00DE7826" w:rsidSect="00A27736">
      <w:footerReference w:type="default" r:id="rId9"/>
      <w:pgSz w:w="16838" w:h="11906" w:orient="landscape"/>
      <w:pgMar w:top="709" w:right="1417" w:bottom="567" w:left="1417" w:header="708"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BFA" w:rsidRDefault="00391BFA" w:rsidP="004D14EC">
      <w:pPr>
        <w:spacing w:after="0" w:line="240" w:lineRule="auto"/>
      </w:pPr>
      <w:r>
        <w:separator/>
      </w:r>
    </w:p>
  </w:endnote>
  <w:endnote w:type="continuationSeparator" w:id="0">
    <w:p w:rsidR="00391BFA" w:rsidRDefault="00391BFA" w:rsidP="004D1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55083"/>
      <w:docPartObj>
        <w:docPartGallery w:val="Page Numbers (Bottom of Page)"/>
        <w:docPartUnique/>
      </w:docPartObj>
    </w:sdtPr>
    <w:sdtEndPr>
      <w:rPr>
        <w:noProof/>
      </w:rPr>
    </w:sdtEndPr>
    <w:sdtContent>
      <w:p w:rsidR="00BE7494" w:rsidRDefault="00BE7494">
        <w:pPr>
          <w:pStyle w:val="Footer"/>
          <w:jc w:val="right"/>
        </w:pPr>
        <w:r>
          <w:fldChar w:fldCharType="begin"/>
        </w:r>
        <w:r>
          <w:instrText xml:space="preserve"> PAGE   \* MERGEFORMAT </w:instrText>
        </w:r>
        <w:r>
          <w:fldChar w:fldCharType="separate"/>
        </w:r>
        <w:r w:rsidR="006C55C8">
          <w:rPr>
            <w:noProof/>
          </w:rPr>
          <w:t>1</w:t>
        </w:r>
        <w:r>
          <w:rPr>
            <w:noProof/>
          </w:rPr>
          <w:fldChar w:fldCharType="end"/>
        </w:r>
      </w:p>
    </w:sdtContent>
  </w:sdt>
  <w:p w:rsidR="00BE7494" w:rsidRDefault="00BE7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BFA" w:rsidRDefault="00391BFA" w:rsidP="004D14EC">
      <w:pPr>
        <w:spacing w:after="0" w:line="240" w:lineRule="auto"/>
      </w:pPr>
      <w:r>
        <w:separator/>
      </w:r>
    </w:p>
  </w:footnote>
  <w:footnote w:type="continuationSeparator" w:id="0">
    <w:p w:rsidR="00391BFA" w:rsidRDefault="00391BFA" w:rsidP="004D1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1" w15:restartNumberingAfterBreak="0">
    <w:nsid w:val="12352DF4"/>
    <w:multiLevelType w:val="hybridMultilevel"/>
    <w:tmpl w:val="B07ADFA0"/>
    <w:lvl w:ilvl="0" w:tplc="4FDAC810">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4CC1509"/>
    <w:multiLevelType w:val="hybridMultilevel"/>
    <w:tmpl w:val="2C4E32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84364CB"/>
    <w:multiLevelType w:val="hybridMultilevel"/>
    <w:tmpl w:val="5EE4AF28"/>
    <w:lvl w:ilvl="0" w:tplc="672C73FE">
      <w:start w:val="1"/>
      <w:numFmt w:val="decimal"/>
      <w:lvlText w:val="%1."/>
      <w:lvlJc w:val="left"/>
      <w:pPr>
        <w:ind w:left="1287" w:hanging="360"/>
      </w:pPr>
      <w:rPr>
        <w:rFonts w:hint="default"/>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1C801249"/>
    <w:multiLevelType w:val="hybridMultilevel"/>
    <w:tmpl w:val="A7A4B3A4"/>
    <w:lvl w:ilvl="0" w:tplc="04020001">
      <w:start w:val="1"/>
      <w:numFmt w:val="bullet"/>
      <w:lvlText w:val=""/>
      <w:lvlJc w:val="left"/>
      <w:pPr>
        <w:ind w:left="1211"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293C2E71"/>
    <w:multiLevelType w:val="hybridMultilevel"/>
    <w:tmpl w:val="E0F0102C"/>
    <w:lvl w:ilvl="0" w:tplc="AB5A1BD6">
      <w:start w:val="1"/>
      <w:numFmt w:val="decimal"/>
      <w:lvlText w:val="%1."/>
      <w:lvlJc w:val="left"/>
      <w:pPr>
        <w:ind w:left="928" w:hanging="360"/>
      </w:pPr>
      <w:rPr>
        <w:rFonts w:hint="default"/>
        <w:b/>
        <w:i w:val="0"/>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6" w15:restartNumberingAfterBreak="0">
    <w:nsid w:val="2ABA5F77"/>
    <w:multiLevelType w:val="hybridMultilevel"/>
    <w:tmpl w:val="4408749C"/>
    <w:lvl w:ilvl="0" w:tplc="23C20C4A">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B9C4BAB"/>
    <w:multiLevelType w:val="hybridMultilevel"/>
    <w:tmpl w:val="15DCE820"/>
    <w:lvl w:ilvl="0" w:tplc="0BEE0902">
      <w:start w:val="1"/>
      <w:numFmt w:val="upperRoman"/>
      <w:lvlText w:val="%1."/>
      <w:lvlJc w:val="left"/>
      <w:pPr>
        <w:ind w:left="1440" w:hanging="72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2DD575DF"/>
    <w:multiLevelType w:val="multilevel"/>
    <w:tmpl w:val="AF6C4FF2"/>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E9302F3"/>
    <w:multiLevelType w:val="hybridMultilevel"/>
    <w:tmpl w:val="2D9055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18909B5"/>
    <w:multiLevelType w:val="hybridMultilevel"/>
    <w:tmpl w:val="A74211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463085A"/>
    <w:multiLevelType w:val="hybridMultilevel"/>
    <w:tmpl w:val="4D3C5ECC"/>
    <w:lvl w:ilvl="0" w:tplc="4A54F07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B16477"/>
    <w:multiLevelType w:val="hybridMultilevel"/>
    <w:tmpl w:val="C54684F8"/>
    <w:lvl w:ilvl="0" w:tplc="3DE26FE2">
      <w:start w:val="4"/>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37950258"/>
    <w:multiLevelType w:val="hybridMultilevel"/>
    <w:tmpl w:val="661813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7BF5639"/>
    <w:multiLevelType w:val="hybridMultilevel"/>
    <w:tmpl w:val="C4CAF030"/>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9401CD9"/>
    <w:multiLevelType w:val="hybridMultilevel"/>
    <w:tmpl w:val="DE3A1632"/>
    <w:lvl w:ilvl="0" w:tplc="3D52CC86">
      <w:start w:val="8"/>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15:restartNumberingAfterBreak="0">
    <w:nsid w:val="46E92192"/>
    <w:multiLevelType w:val="hybridMultilevel"/>
    <w:tmpl w:val="413862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72F19A9"/>
    <w:multiLevelType w:val="hybridMultilevel"/>
    <w:tmpl w:val="1E08789E"/>
    <w:lvl w:ilvl="0" w:tplc="B838D01A">
      <w:start w:val="1"/>
      <w:numFmt w:val="decimal"/>
      <w:lvlText w:val="%1."/>
      <w:lvlJc w:val="left"/>
      <w:pPr>
        <w:ind w:left="928" w:hanging="360"/>
      </w:pPr>
      <w:rPr>
        <w:rFonts w:hint="default"/>
        <w:b/>
        <w:i/>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8" w15:restartNumberingAfterBreak="0">
    <w:nsid w:val="47F421D6"/>
    <w:multiLevelType w:val="hybridMultilevel"/>
    <w:tmpl w:val="9F121120"/>
    <w:lvl w:ilvl="0" w:tplc="5AE0AE72">
      <w:start w:val="1"/>
      <w:numFmt w:val="decimal"/>
      <w:lvlText w:val="%1."/>
      <w:lvlJc w:val="left"/>
      <w:pPr>
        <w:ind w:left="987" w:hanging="360"/>
      </w:pPr>
      <w:rPr>
        <w:rFonts w:hint="default"/>
        <w:i w:val="0"/>
      </w:rPr>
    </w:lvl>
    <w:lvl w:ilvl="1" w:tplc="04020019" w:tentative="1">
      <w:start w:val="1"/>
      <w:numFmt w:val="lowerLetter"/>
      <w:lvlText w:val="%2."/>
      <w:lvlJc w:val="left"/>
      <w:pPr>
        <w:ind w:left="1707" w:hanging="360"/>
      </w:pPr>
    </w:lvl>
    <w:lvl w:ilvl="2" w:tplc="0402001B" w:tentative="1">
      <w:start w:val="1"/>
      <w:numFmt w:val="lowerRoman"/>
      <w:lvlText w:val="%3."/>
      <w:lvlJc w:val="right"/>
      <w:pPr>
        <w:ind w:left="2427" w:hanging="180"/>
      </w:pPr>
    </w:lvl>
    <w:lvl w:ilvl="3" w:tplc="0402000F" w:tentative="1">
      <w:start w:val="1"/>
      <w:numFmt w:val="decimal"/>
      <w:lvlText w:val="%4."/>
      <w:lvlJc w:val="left"/>
      <w:pPr>
        <w:ind w:left="3147" w:hanging="360"/>
      </w:pPr>
    </w:lvl>
    <w:lvl w:ilvl="4" w:tplc="04020019" w:tentative="1">
      <w:start w:val="1"/>
      <w:numFmt w:val="lowerLetter"/>
      <w:lvlText w:val="%5."/>
      <w:lvlJc w:val="left"/>
      <w:pPr>
        <w:ind w:left="3867" w:hanging="360"/>
      </w:pPr>
    </w:lvl>
    <w:lvl w:ilvl="5" w:tplc="0402001B" w:tentative="1">
      <w:start w:val="1"/>
      <w:numFmt w:val="lowerRoman"/>
      <w:lvlText w:val="%6."/>
      <w:lvlJc w:val="right"/>
      <w:pPr>
        <w:ind w:left="4587" w:hanging="180"/>
      </w:pPr>
    </w:lvl>
    <w:lvl w:ilvl="6" w:tplc="0402000F" w:tentative="1">
      <w:start w:val="1"/>
      <w:numFmt w:val="decimal"/>
      <w:lvlText w:val="%7."/>
      <w:lvlJc w:val="left"/>
      <w:pPr>
        <w:ind w:left="5307" w:hanging="360"/>
      </w:pPr>
    </w:lvl>
    <w:lvl w:ilvl="7" w:tplc="04020019" w:tentative="1">
      <w:start w:val="1"/>
      <w:numFmt w:val="lowerLetter"/>
      <w:lvlText w:val="%8."/>
      <w:lvlJc w:val="left"/>
      <w:pPr>
        <w:ind w:left="6027" w:hanging="360"/>
      </w:pPr>
    </w:lvl>
    <w:lvl w:ilvl="8" w:tplc="0402001B" w:tentative="1">
      <w:start w:val="1"/>
      <w:numFmt w:val="lowerRoman"/>
      <w:lvlText w:val="%9."/>
      <w:lvlJc w:val="right"/>
      <w:pPr>
        <w:ind w:left="6747" w:hanging="180"/>
      </w:pPr>
    </w:lvl>
  </w:abstractNum>
  <w:abstractNum w:abstractNumId="19" w15:restartNumberingAfterBreak="0">
    <w:nsid w:val="49BB60AB"/>
    <w:multiLevelType w:val="hybridMultilevel"/>
    <w:tmpl w:val="7B448382"/>
    <w:lvl w:ilvl="0" w:tplc="FCFE1ED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0" w15:restartNumberingAfterBreak="0">
    <w:nsid w:val="501D2101"/>
    <w:multiLevelType w:val="hybridMultilevel"/>
    <w:tmpl w:val="90385BFE"/>
    <w:lvl w:ilvl="0" w:tplc="91B693D2">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161F90"/>
    <w:multiLevelType w:val="hybridMultilevel"/>
    <w:tmpl w:val="418277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0E45193"/>
    <w:multiLevelType w:val="hybridMultilevel"/>
    <w:tmpl w:val="19C64B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3B32474"/>
    <w:multiLevelType w:val="hybridMultilevel"/>
    <w:tmpl w:val="7E9CB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6529265E"/>
    <w:multiLevelType w:val="hybridMultilevel"/>
    <w:tmpl w:val="5F4075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6D924C58"/>
    <w:multiLevelType w:val="hybridMultilevel"/>
    <w:tmpl w:val="50CC16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F2F3121"/>
    <w:multiLevelType w:val="multilevel"/>
    <w:tmpl w:val="9AC89816"/>
    <w:lvl w:ilvl="0">
      <w:start w:val="1"/>
      <w:numFmt w:val="decimal"/>
      <w:lvlText w:val="%1."/>
      <w:lvlJc w:val="left"/>
      <w:pPr>
        <w:ind w:left="720" w:hanging="360"/>
      </w:pPr>
      <w:rPr>
        <w:rFonts w:hint="default"/>
      </w:r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27" w15:restartNumberingAfterBreak="0">
    <w:nsid w:val="700A7355"/>
    <w:multiLevelType w:val="hybridMultilevel"/>
    <w:tmpl w:val="26C24B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0FE06CE"/>
    <w:multiLevelType w:val="hybridMultilevel"/>
    <w:tmpl w:val="046CF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39A2063"/>
    <w:multiLevelType w:val="hybridMultilevel"/>
    <w:tmpl w:val="1E08789E"/>
    <w:lvl w:ilvl="0" w:tplc="B838D01A">
      <w:start w:val="1"/>
      <w:numFmt w:val="decimal"/>
      <w:lvlText w:val="%1."/>
      <w:lvlJc w:val="left"/>
      <w:pPr>
        <w:ind w:left="928" w:hanging="360"/>
      </w:pPr>
      <w:rPr>
        <w:rFonts w:hint="default"/>
        <w:b/>
        <w:i/>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0" w15:restartNumberingAfterBreak="0">
    <w:nsid w:val="785F3137"/>
    <w:multiLevelType w:val="hybridMultilevel"/>
    <w:tmpl w:val="0A1AC59E"/>
    <w:lvl w:ilvl="0" w:tplc="3A94915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1" w15:restartNumberingAfterBreak="0">
    <w:nsid w:val="7A4444E3"/>
    <w:multiLevelType w:val="hybridMultilevel"/>
    <w:tmpl w:val="C95C88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BB939C0"/>
    <w:multiLevelType w:val="hybridMultilevel"/>
    <w:tmpl w:val="F572C3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F1B7FB4"/>
    <w:multiLevelType w:val="hybridMultilevel"/>
    <w:tmpl w:val="94120570"/>
    <w:lvl w:ilvl="0" w:tplc="1CFC4DA8">
      <w:start w:val="1"/>
      <w:numFmt w:val="lowerLetter"/>
      <w:lvlText w:val="%1)"/>
      <w:lvlJc w:val="left"/>
      <w:pPr>
        <w:ind w:left="1347" w:hanging="360"/>
      </w:pPr>
      <w:rPr>
        <w:rFonts w:hint="default"/>
      </w:rPr>
    </w:lvl>
    <w:lvl w:ilvl="1" w:tplc="04020019" w:tentative="1">
      <w:start w:val="1"/>
      <w:numFmt w:val="lowerLetter"/>
      <w:lvlText w:val="%2."/>
      <w:lvlJc w:val="left"/>
      <w:pPr>
        <w:ind w:left="2067" w:hanging="360"/>
      </w:pPr>
    </w:lvl>
    <w:lvl w:ilvl="2" w:tplc="0402001B" w:tentative="1">
      <w:start w:val="1"/>
      <w:numFmt w:val="lowerRoman"/>
      <w:lvlText w:val="%3."/>
      <w:lvlJc w:val="right"/>
      <w:pPr>
        <w:ind w:left="2787" w:hanging="180"/>
      </w:pPr>
    </w:lvl>
    <w:lvl w:ilvl="3" w:tplc="0402000F" w:tentative="1">
      <w:start w:val="1"/>
      <w:numFmt w:val="decimal"/>
      <w:lvlText w:val="%4."/>
      <w:lvlJc w:val="left"/>
      <w:pPr>
        <w:ind w:left="3507" w:hanging="360"/>
      </w:pPr>
    </w:lvl>
    <w:lvl w:ilvl="4" w:tplc="04020019" w:tentative="1">
      <w:start w:val="1"/>
      <w:numFmt w:val="lowerLetter"/>
      <w:lvlText w:val="%5."/>
      <w:lvlJc w:val="left"/>
      <w:pPr>
        <w:ind w:left="4227" w:hanging="360"/>
      </w:pPr>
    </w:lvl>
    <w:lvl w:ilvl="5" w:tplc="0402001B" w:tentative="1">
      <w:start w:val="1"/>
      <w:numFmt w:val="lowerRoman"/>
      <w:lvlText w:val="%6."/>
      <w:lvlJc w:val="right"/>
      <w:pPr>
        <w:ind w:left="4947" w:hanging="180"/>
      </w:pPr>
    </w:lvl>
    <w:lvl w:ilvl="6" w:tplc="0402000F" w:tentative="1">
      <w:start w:val="1"/>
      <w:numFmt w:val="decimal"/>
      <w:lvlText w:val="%7."/>
      <w:lvlJc w:val="left"/>
      <w:pPr>
        <w:ind w:left="5667" w:hanging="360"/>
      </w:pPr>
    </w:lvl>
    <w:lvl w:ilvl="7" w:tplc="04020019" w:tentative="1">
      <w:start w:val="1"/>
      <w:numFmt w:val="lowerLetter"/>
      <w:lvlText w:val="%8."/>
      <w:lvlJc w:val="left"/>
      <w:pPr>
        <w:ind w:left="6387" w:hanging="360"/>
      </w:pPr>
    </w:lvl>
    <w:lvl w:ilvl="8" w:tplc="0402001B" w:tentative="1">
      <w:start w:val="1"/>
      <w:numFmt w:val="lowerRoman"/>
      <w:lvlText w:val="%9."/>
      <w:lvlJc w:val="right"/>
      <w:pPr>
        <w:ind w:left="7107" w:hanging="180"/>
      </w:pPr>
    </w:lvl>
  </w:abstractNum>
  <w:num w:numId="1">
    <w:abstractNumId w:val="28"/>
  </w:num>
  <w:num w:numId="2">
    <w:abstractNumId w:val="21"/>
  </w:num>
  <w:num w:numId="3">
    <w:abstractNumId w:val="23"/>
  </w:num>
  <w:num w:numId="4">
    <w:abstractNumId w:val="32"/>
  </w:num>
  <w:num w:numId="5">
    <w:abstractNumId w:val="1"/>
  </w:num>
  <w:num w:numId="6">
    <w:abstractNumId w:val="9"/>
  </w:num>
  <w:num w:numId="7">
    <w:abstractNumId w:val="14"/>
  </w:num>
  <w:num w:numId="8">
    <w:abstractNumId w:val="26"/>
  </w:num>
  <w:num w:numId="9">
    <w:abstractNumId w:val="24"/>
  </w:num>
  <w:num w:numId="10">
    <w:abstractNumId w:val="16"/>
  </w:num>
  <w:num w:numId="11">
    <w:abstractNumId w:val="10"/>
  </w:num>
  <w:num w:numId="12">
    <w:abstractNumId w:val="13"/>
  </w:num>
  <w:num w:numId="13">
    <w:abstractNumId w:val="25"/>
  </w:num>
  <w:num w:numId="14">
    <w:abstractNumId w:val="0"/>
  </w:num>
  <w:num w:numId="15">
    <w:abstractNumId w:val="15"/>
  </w:num>
  <w:num w:numId="16">
    <w:abstractNumId w:val="30"/>
  </w:num>
  <w:num w:numId="17">
    <w:abstractNumId w:val="3"/>
  </w:num>
  <w:num w:numId="18">
    <w:abstractNumId w:val="19"/>
  </w:num>
  <w:num w:numId="19">
    <w:abstractNumId w:val="12"/>
  </w:num>
  <w:num w:numId="20">
    <w:abstractNumId w:val="18"/>
  </w:num>
  <w:num w:numId="21">
    <w:abstractNumId w:val="33"/>
  </w:num>
  <w:num w:numId="22">
    <w:abstractNumId w:val="8"/>
  </w:num>
  <w:num w:numId="23">
    <w:abstractNumId w:val="4"/>
  </w:num>
  <w:num w:numId="24">
    <w:abstractNumId w:val="7"/>
  </w:num>
  <w:num w:numId="25">
    <w:abstractNumId w:val="22"/>
  </w:num>
  <w:num w:numId="26">
    <w:abstractNumId w:val="27"/>
  </w:num>
  <w:num w:numId="27">
    <w:abstractNumId w:val="31"/>
  </w:num>
  <w:num w:numId="28">
    <w:abstractNumId w:val="2"/>
  </w:num>
  <w:num w:numId="29">
    <w:abstractNumId w:val="6"/>
  </w:num>
  <w:num w:numId="30">
    <w:abstractNumId w:val="5"/>
  </w:num>
  <w:num w:numId="31">
    <w:abstractNumId w:val="17"/>
  </w:num>
  <w:num w:numId="32">
    <w:abstractNumId w:val="29"/>
  </w:num>
  <w:num w:numId="33">
    <w:abstractNumId w:val="11"/>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16BC2"/>
    <w:rsid w:val="000247CD"/>
    <w:rsid w:val="00045A67"/>
    <w:rsid w:val="00047D1E"/>
    <w:rsid w:val="00047FB9"/>
    <w:rsid w:val="00057F95"/>
    <w:rsid w:val="000608D0"/>
    <w:rsid w:val="00065527"/>
    <w:rsid w:val="000818AC"/>
    <w:rsid w:val="000B04AA"/>
    <w:rsid w:val="000C2671"/>
    <w:rsid w:val="000D1382"/>
    <w:rsid w:val="000E2EA1"/>
    <w:rsid w:val="00110681"/>
    <w:rsid w:val="001366F5"/>
    <w:rsid w:val="0014437F"/>
    <w:rsid w:val="001726A3"/>
    <w:rsid w:val="00173331"/>
    <w:rsid w:val="00184C15"/>
    <w:rsid w:val="00194C3E"/>
    <w:rsid w:val="001960AE"/>
    <w:rsid w:val="001C061A"/>
    <w:rsid w:val="001D30C3"/>
    <w:rsid w:val="001E6157"/>
    <w:rsid w:val="001E64C1"/>
    <w:rsid w:val="001F7D9F"/>
    <w:rsid w:val="00200F16"/>
    <w:rsid w:val="002028E6"/>
    <w:rsid w:val="00212065"/>
    <w:rsid w:val="00223EFE"/>
    <w:rsid w:val="00230E2B"/>
    <w:rsid w:val="00241A60"/>
    <w:rsid w:val="00242805"/>
    <w:rsid w:val="00250BEA"/>
    <w:rsid w:val="00254BA5"/>
    <w:rsid w:val="00267CAD"/>
    <w:rsid w:val="00275716"/>
    <w:rsid w:val="002B7197"/>
    <w:rsid w:val="002E02BB"/>
    <w:rsid w:val="002F236C"/>
    <w:rsid w:val="002F33B3"/>
    <w:rsid w:val="002F3F9A"/>
    <w:rsid w:val="002F5B3F"/>
    <w:rsid w:val="002F7375"/>
    <w:rsid w:val="003051DB"/>
    <w:rsid w:val="003162F9"/>
    <w:rsid w:val="0033104E"/>
    <w:rsid w:val="003346BC"/>
    <w:rsid w:val="00387E89"/>
    <w:rsid w:val="003919E4"/>
    <w:rsid w:val="00391BFA"/>
    <w:rsid w:val="003B3B4B"/>
    <w:rsid w:val="003C7F32"/>
    <w:rsid w:val="003F0241"/>
    <w:rsid w:val="00457AD3"/>
    <w:rsid w:val="00467FF5"/>
    <w:rsid w:val="00471B9C"/>
    <w:rsid w:val="004A32B2"/>
    <w:rsid w:val="004A3C60"/>
    <w:rsid w:val="004B11D0"/>
    <w:rsid w:val="004B1666"/>
    <w:rsid w:val="004B73A9"/>
    <w:rsid w:val="004D14EC"/>
    <w:rsid w:val="004D451E"/>
    <w:rsid w:val="004D7B0C"/>
    <w:rsid w:val="004F0CD2"/>
    <w:rsid w:val="005361CA"/>
    <w:rsid w:val="00540779"/>
    <w:rsid w:val="005416B8"/>
    <w:rsid w:val="0055220C"/>
    <w:rsid w:val="005632D0"/>
    <w:rsid w:val="00574D5F"/>
    <w:rsid w:val="00591DF4"/>
    <w:rsid w:val="005B1C9B"/>
    <w:rsid w:val="005B7D04"/>
    <w:rsid w:val="005C39BE"/>
    <w:rsid w:val="005E0DBA"/>
    <w:rsid w:val="00603772"/>
    <w:rsid w:val="0061081C"/>
    <w:rsid w:val="00613A3E"/>
    <w:rsid w:val="006210B5"/>
    <w:rsid w:val="00650D15"/>
    <w:rsid w:val="0066368F"/>
    <w:rsid w:val="00693398"/>
    <w:rsid w:val="006C1601"/>
    <w:rsid w:val="006C1C81"/>
    <w:rsid w:val="006C3A75"/>
    <w:rsid w:val="006C55C8"/>
    <w:rsid w:val="006C6863"/>
    <w:rsid w:val="006D2646"/>
    <w:rsid w:val="006D7402"/>
    <w:rsid w:val="006E261B"/>
    <w:rsid w:val="006E6F6C"/>
    <w:rsid w:val="006F78D3"/>
    <w:rsid w:val="007003E0"/>
    <w:rsid w:val="0070570B"/>
    <w:rsid w:val="00752850"/>
    <w:rsid w:val="00753272"/>
    <w:rsid w:val="0076058D"/>
    <w:rsid w:val="007617C2"/>
    <w:rsid w:val="00765ECE"/>
    <w:rsid w:val="00771CDF"/>
    <w:rsid w:val="007720E0"/>
    <w:rsid w:val="00787F0B"/>
    <w:rsid w:val="0079002B"/>
    <w:rsid w:val="00790DF0"/>
    <w:rsid w:val="00792A23"/>
    <w:rsid w:val="007A426C"/>
    <w:rsid w:val="007D5B7B"/>
    <w:rsid w:val="00803890"/>
    <w:rsid w:val="00804828"/>
    <w:rsid w:val="008150B4"/>
    <w:rsid w:val="008170AA"/>
    <w:rsid w:val="0082696E"/>
    <w:rsid w:val="00832A88"/>
    <w:rsid w:val="008376E4"/>
    <w:rsid w:val="00840848"/>
    <w:rsid w:val="008567FE"/>
    <w:rsid w:val="00890D37"/>
    <w:rsid w:val="00894253"/>
    <w:rsid w:val="008D68F8"/>
    <w:rsid w:val="008E078F"/>
    <w:rsid w:val="00917EF4"/>
    <w:rsid w:val="00923802"/>
    <w:rsid w:val="00925160"/>
    <w:rsid w:val="00931EE5"/>
    <w:rsid w:val="00932474"/>
    <w:rsid w:val="009439DF"/>
    <w:rsid w:val="00950761"/>
    <w:rsid w:val="00957A39"/>
    <w:rsid w:val="00960C14"/>
    <w:rsid w:val="00991D8E"/>
    <w:rsid w:val="009960C6"/>
    <w:rsid w:val="009A3844"/>
    <w:rsid w:val="009A6506"/>
    <w:rsid w:val="009F5F13"/>
    <w:rsid w:val="00A018D5"/>
    <w:rsid w:val="00A237DA"/>
    <w:rsid w:val="00A27736"/>
    <w:rsid w:val="00A37DF0"/>
    <w:rsid w:val="00A40453"/>
    <w:rsid w:val="00A47C9F"/>
    <w:rsid w:val="00A52095"/>
    <w:rsid w:val="00A63B88"/>
    <w:rsid w:val="00A80693"/>
    <w:rsid w:val="00A91701"/>
    <w:rsid w:val="00AB6803"/>
    <w:rsid w:val="00AD2F0B"/>
    <w:rsid w:val="00AE627B"/>
    <w:rsid w:val="00AF69EB"/>
    <w:rsid w:val="00B017CC"/>
    <w:rsid w:val="00B2544E"/>
    <w:rsid w:val="00B52BAC"/>
    <w:rsid w:val="00B53830"/>
    <w:rsid w:val="00B54DCA"/>
    <w:rsid w:val="00B55A82"/>
    <w:rsid w:val="00B55CFC"/>
    <w:rsid w:val="00B60846"/>
    <w:rsid w:val="00B73FA7"/>
    <w:rsid w:val="00B83157"/>
    <w:rsid w:val="00B93A02"/>
    <w:rsid w:val="00B948C3"/>
    <w:rsid w:val="00B9584B"/>
    <w:rsid w:val="00B97F6E"/>
    <w:rsid w:val="00BA298C"/>
    <w:rsid w:val="00BA7E36"/>
    <w:rsid w:val="00BC5A51"/>
    <w:rsid w:val="00BD45DF"/>
    <w:rsid w:val="00BE3BC3"/>
    <w:rsid w:val="00BE7494"/>
    <w:rsid w:val="00C01447"/>
    <w:rsid w:val="00C065AE"/>
    <w:rsid w:val="00C1150F"/>
    <w:rsid w:val="00C128FC"/>
    <w:rsid w:val="00C21C1D"/>
    <w:rsid w:val="00C4717C"/>
    <w:rsid w:val="00C506D3"/>
    <w:rsid w:val="00C6295F"/>
    <w:rsid w:val="00C740AB"/>
    <w:rsid w:val="00C838D1"/>
    <w:rsid w:val="00C91DA3"/>
    <w:rsid w:val="00C969AB"/>
    <w:rsid w:val="00CB3EDC"/>
    <w:rsid w:val="00CB50A5"/>
    <w:rsid w:val="00CB7DC9"/>
    <w:rsid w:val="00CD4397"/>
    <w:rsid w:val="00CE5571"/>
    <w:rsid w:val="00D0054D"/>
    <w:rsid w:val="00D018D8"/>
    <w:rsid w:val="00D12AB9"/>
    <w:rsid w:val="00D17B77"/>
    <w:rsid w:val="00D46616"/>
    <w:rsid w:val="00D63247"/>
    <w:rsid w:val="00D76514"/>
    <w:rsid w:val="00D8335D"/>
    <w:rsid w:val="00D833A9"/>
    <w:rsid w:val="00D84B9B"/>
    <w:rsid w:val="00DA19B7"/>
    <w:rsid w:val="00DB1092"/>
    <w:rsid w:val="00DC10E4"/>
    <w:rsid w:val="00DE7826"/>
    <w:rsid w:val="00E07A9D"/>
    <w:rsid w:val="00E11755"/>
    <w:rsid w:val="00E12B2C"/>
    <w:rsid w:val="00E15D31"/>
    <w:rsid w:val="00E17AD4"/>
    <w:rsid w:val="00E37251"/>
    <w:rsid w:val="00E46A5F"/>
    <w:rsid w:val="00E80126"/>
    <w:rsid w:val="00E84808"/>
    <w:rsid w:val="00E85045"/>
    <w:rsid w:val="00EB5FB4"/>
    <w:rsid w:val="00F161CD"/>
    <w:rsid w:val="00F20C06"/>
    <w:rsid w:val="00F218D4"/>
    <w:rsid w:val="00F225FA"/>
    <w:rsid w:val="00F25655"/>
    <w:rsid w:val="00F372A5"/>
    <w:rsid w:val="00F50CE0"/>
    <w:rsid w:val="00F554B7"/>
    <w:rsid w:val="00F61167"/>
    <w:rsid w:val="00F657C5"/>
    <w:rsid w:val="00F817D6"/>
    <w:rsid w:val="00F9449E"/>
    <w:rsid w:val="00FC55D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BE851-F2B5-4529-A9A4-047ABFF9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5DF"/>
  </w:style>
  <w:style w:type="paragraph" w:styleId="Heading2">
    <w:name w:val="heading 2"/>
    <w:basedOn w:val="Normal"/>
    <w:next w:val="Normal"/>
    <w:link w:val="Heading2Char"/>
    <w:uiPriority w:val="9"/>
    <w:semiHidden/>
    <w:unhideWhenUsed/>
    <w:qFormat/>
    <w:rsid w:val="005407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7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E7826"/>
    <w:rPr>
      <w:color w:val="0000FF"/>
      <w:u w:val="single"/>
    </w:rPr>
  </w:style>
  <w:style w:type="paragraph" w:styleId="ListParagraph">
    <w:name w:val="List Paragraph"/>
    <w:aliases w:val="List1,List Paragraph11,List Paragraph111"/>
    <w:basedOn w:val="Normal"/>
    <w:link w:val="ListParagraphChar"/>
    <w:uiPriority w:val="34"/>
    <w:qFormat/>
    <w:rsid w:val="00D17B77"/>
    <w:pPr>
      <w:ind w:left="720"/>
      <w:contextualSpacing/>
    </w:pPr>
  </w:style>
  <w:style w:type="character" w:customStyle="1" w:styleId="Heading2Char">
    <w:name w:val="Heading 2 Char"/>
    <w:basedOn w:val="DefaultParagraphFont"/>
    <w:link w:val="Heading2"/>
    <w:uiPriority w:val="9"/>
    <w:semiHidden/>
    <w:rsid w:val="0054077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3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66F5"/>
    <w:rPr>
      <w:rFonts w:ascii="Tahoma" w:hAnsi="Tahoma" w:cs="Tahoma"/>
      <w:sz w:val="16"/>
      <w:szCs w:val="16"/>
    </w:rPr>
  </w:style>
  <w:style w:type="paragraph" w:styleId="Header">
    <w:name w:val="header"/>
    <w:basedOn w:val="Normal"/>
    <w:link w:val="HeaderChar"/>
    <w:uiPriority w:val="99"/>
    <w:unhideWhenUsed/>
    <w:rsid w:val="004D14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14EC"/>
  </w:style>
  <w:style w:type="paragraph" w:styleId="Footer">
    <w:name w:val="footer"/>
    <w:basedOn w:val="Normal"/>
    <w:link w:val="FooterChar"/>
    <w:uiPriority w:val="99"/>
    <w:unhideWhenUsed/>
    <w:rsid w:val="004D14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14EC"/>
  </w:style>
  <w:style w:type="paragraph" w:styleId="BodyText">
    <w:name w:val="Body Text"/>
    <w:basedOn w:val="Normal"/>
    <w:link w:val="BodyTextChar"/>
    <w:uiPriority w:val="99"/>
    <w:semiHidden/>
    <w:unhideWhenUsed/>
    <w:rsid w:val="00A27736"/>
    <w:pPr>
      <w:spacing w:after="120"/>
    </w:pPr>
  </w:style>
  <w:style w:type="character" w:customStyle="1" w:styleId="BodyTextChar">
    <w:name w:val="Body Text Char"/>
    <w:basedOn w:val="DefaultParagraphFont"/>
    <w:link w:val="BodyText"/>
    <w:uiPriority w:val="99"/>
    <w:semiHidden/>
    <w:rsid w:val="00A27736"/>
  </w:style>
  <w:style w:type="character" w:customStyle="1" w:styleId="ListParagraphChar">
    <w:name w:val="List Paragraph Char"/>
    <w:aliases w:val="List1 Char,List Paragraph11 Char,List Paragraph111 Char"/>
    <w:link w:val="ListParagraph"/>
    <w:uiPriority w:val="34"/>
    <w:rsid w:val="00A91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6316">
      <w:bodyDiv w:val="1"/>
      <w:marLeft w:val="0"/>
      <w:marRight w:val="0"/>
      <w:marTop w:val="0"/>
      <w:marBottom w:val="0"/>
      <w:divBdr>
        <w:top w:val="none" w:sz="0" w:space="0" w:color="auto"/>
        <w:left w:val="none" w:sz="0" w:space="0" w:color="auto"/>
        <w:bottom w:val="none" w:sz="0" w:space="0" w:color="auto"/>
        <w:right w:val="none" w:sz="0" w:space="0" w:color="auto"/>
      </w:divBdr>
    </w:div>
    <w:div w:id="159207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D6218-5AA9-423C-B906-FFA94056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3997</Words>
  <Characters>22789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2</cp:revision>
  <dcterms:created xsi:type="dcterms:W3CDTF">2022-07-18T15:09:00Z</dcterms:created>
  <dcterms:modified xsi:type="dcterms:W3CDTF">2022-07-18T15:09:00Z</dcterms:modified>
</cp:coreProperties>
</file>