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42" w:rsidRPr="001930AD" w:rsidRDefault="00576042" w:rsidP="00DE1FDF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val="en-US" w:eastAsia="bg-BG"/>
        </w:rPr>
      </w:pPr>
    </w:p>
    <w:p w:rsidR="00DE1FDF" w:rsidRPr="001930AD" w:rsidRDefault="00DE1FDF" w:rsidP="00DE1FDF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  <w:r w:rsidRPr="001930AD"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  <w:t>………………………………………</w:t>
      </w:r>
    </w:p>
    <w:p w:rsidR="00DE1FDF" w:rsidRPr="001930AD" w:rsidRDefault="00DE1FDF" w:rsidP="00DE1FDF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</w:pPr>
      <w:r w:rsidRPr="001930AD">
        <w:rPr>
          <w:rFonts w:ascii="Verdana" w:eastAsia="Times New Roman" w:hAnsi="Verdana" w:cs="Verdana"/>
          <w:color w:val="000000" w:themeColor="text1"/>
          <w:sz w:val="20"/>
          <w:szCs w:val="20"/>
          <w:lang w:eastAsia="bg-BG"/>
        </w:rPr>
        <w:t>……………………………………… г.</w:t>
      </w:r>
    </w:p>
    <w:p w:rsidR="00DE1FDF" w:rsidRPr="001930AD" w:rsidRDefault="00DE1FDF" w:rsidP="00DE1FDF">
      <w:pPr>
        <w:tabs>
          <w:tab w:val="left" w:pos="5400"/>
          <w:tab w:val="left" w:pos="5580"/>
        </w:tabs>
        <w:overflowPunct w:val="0"/>
        <w:autoSpaceDE w:val="0"/>
        <w:autoSpaceDN w:val="0"/>
        <w:adjustRightInd w:val="0"/>
        <w:spacing w:after="0" w:line="360" w:lineRule="auto"/>
        <w:ind w:left="4956"/>
        <w:textAlignment w:val="baseline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p w:rsidR="00DE1FDF" w:rsidRPr="001930AD" w:rsidRDefault="00DE1FDF" w:rsidP="00DE1FDF">
      <w:pPr>
        <w:tabs>
          <w:tab w:val="left" w:pos="5400"/>
          <w:tab w:val="left" w:pos="5580"/>
        </w:tabs>
        <w:overflowPunct w:val="0"/>
        <w:autoSpaceDE w:val="0"/>
        <w:autoSpaceDN w:val="0"/>
        <w:adjustRightInd w:val="0"/>
        <w:spacing w:after="0" w:line="360" w:lineRule="auto"/>
        <w:ind w:left="4956"/>
        <w:textAlignment w:val="baseline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1FDF" w:rsidRPr="001930AD" w:rsidTr="00BA10C1">
        <w:tc>
          <w:tcPr>
            <w:tcW w:w="4503" w:type="dxa"/>
            <w:shd w:val="clear" w:color="auto" w:fill="auto"/>
          </w:tcPr>
          <w:p w:rsidR="00DE1FDF" w:rsidRPr="001930AD" w:rsidRDefault="00DE1FDF" w:rsidP="00DE1F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</w:p>
          <w:p w:rsidR="00DE1FDF" w:rsidRPr="001930AD" w:rsidRDefault="00DE1FDF" w:rsidP="00DE1F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  <w:t>ДО</w:t>
            </w:r>
          </w:p>
          <w:p w:rsidR="00DE1FDF" w:rsidRPr="001930AD" w:rsidRDefault="00DE1FDF" w:rsidP="00DE1F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  <w:t>МИНИСТЪРА НА ЗЕМЕДЕЛИЕТО</w:t>
            </w:r>
          </w:p>
          <w:p w:rsidR="00DE1FDF" w:rsidRPr="001930AD" w:rsidRDefault="00DE1FDF" w:rsidP="00DE1F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cap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bCs/>
                <w:caps/>
                <w:color w:val="000000" w:themeColor="text1"/>
                <w:sz w:val="20"/>
                <w:szCs w:val="24"/>
                <w:lang w:eastAsia="bg-BG"/>
              </w:rPr>
              <w:t>д-р иван иванов</w:t>
            </w:r>
          </w:p>
        </w:tc>
        <w:tc>
          <w:tcPr>
            <w:tcW w:w="4961" w:type="dxa"/>
            <w:shd w:val="clear" w:color="auto" w:fill="auto"/>
          </w:tcPr>
          <w:p w:rsidR="00DE1FDF" w:rsidRPr="001930AD" w:rsidRDefault="00DE1FDF" w:rsidP="00DE1F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  <w:t>ОДОБРИЛ,</w:t>
            </w:r>
          </w:p>
          <w:p w:rsidR="00DE1FDF" w:rsidRPr="001930AD" w:rsidRDefault="00DE1FDF" w:rsidP="00DE1F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  <w:t xml:space="preserve">МИНИСТЪР </w:t>
            </w:r>
            <w:r w:rsidRPr="001930AD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eastAsia="bg-BG"/>
              </w:rPr>
              <w:t>НА ЗЕМЕДЕЛИЕТО:</w:t>
            </w:r>
          </w:p>
          <w:p w:rsidR="00DE1FDF" w:rsidRPr="001930AD" w:rsidRDefault="00DE1FDF" w:rsidP="00DE1F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124"/>
              <w:jc w:val="right"/>
              <w:rPr>
                <w:rFonts w:ascii="Verdana" w:eastAsia="Times New Roman" w:hAnsi="Verdana" w:cs="Verdana"/>
                <w:b/>
                <w:caps/>
                <w:color w:val="000000" w:themeColor="text1"/>
                <w:sz w:val="20"/>
                <w:szCs w:val="20"/>
                <w:lang w:eastAsia="bg-BG"/>
              </w:rPr>
            </w:pPr>
            <w:r w:rsidRPr="001930AD">
              <w:rPr>
                <w:rFonts w:ascii="Verdana" w:eastAsia="Times New Roman" w:hAnsi="Verdana" w:cs="Verdana"/>
                <w:b/>
                <w:caps/>
                <w:color w:val="000000" w:themeColor="text1"/>
                <w:sz w:val="20"/>
                <w:szCs w:val="20"/>
                <w:lang w:eastAsia="bg-BG"/>
              </w:rPr>
              <w:t>д-р иван иванов</w:t>
            </w:r>
          </w:p>
          <w:p w:rsidR="00DE1FDF" w:rsidRPr="001930AD" w:rsidRDefault="00DE1FDF" w:rsidP="00DE1FDF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bg-BG"/>
              </w:rPr>
            </w:pPr>
          </w:p>
        </w:tc>
      </w:tr>
    </w:tbl>
    <w:p w:rsidR="00DE1FDF" w:rsidRPr="001930AD" w:rsidRDefault="00DE1FDF">
      <w:pPr>
        <w:keepNext/>
        <w:spacing w:after="0" w:line="360" w:lineRule="auto"/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DE1FDF" w:rsidRPr="001930AD" w:rsidRDefault="00DE1FDF" w:rsidP="00F95677">
      <w:pPr>
        <w:keepNext/>
        <w:spacing w:after="0" w:line="36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DE1FDF" w:rsidRPr="001930AD" w:rsidRDefault="00DE1FDF" w:rsidP="00DE1FDF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color w:val="000000" w:themeColor="text1"/>
          <w:spacing w:val="44"/>
          <w:sz w:val="24"/>
          <w:szCs w:val="24"/>
          <w:lang w:eastAsia="bg-BG"/>
        </w:rPr>
      </w:pPr>
      <w:r w:rsidRPr="001930AD">
        <w:rPr>
          <w:rFonts w:ascii="Verdana" w:eastAsia="Times New Roman" w:hAnsi="Verdana" w:cs="Times New Roman"/>
          <w:b/>
          <w:color w:val="000000" w:themeColor="text1"/>
          <w:spacing w:val="44"/>
          <w:sz w:val="24"/>
          <w:szCs w:val="24"/>
          <w:lang w:eastAsia="bg-BG"/>
        </w:rPr>
        <w:t>ДОКЛАД</w:t>
      </w:r>
    </w:p>
    <w:p w:rsidR="00DE1FDF" w:rsidRPr="001930AD" w:rsidRDefault="00DE1FDF" w:rsidP="00DE1FDF">
      <w:pPr>
        <w:spacing w:after="0" w:line="360" w:lineRule="auto"/>
        <w:jc w:val="center"/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</w:pPr>
      <w:r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 xml:space="preserve">от д-р </w:t>
      </w:r>
      <w:r w:rsidR="00623FF2"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>Момчил Не</w:t>
      </w:r>
      <w:r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 xml:space="preserve">ков </w:t>
      </w:r>
      <w:r w:rsidR="00F31A6A"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>–</w:t>
      </w:r>
      <w:r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 xml:space="preserve"> зам</w:t>
      </w:r>
      <w:r w:rsidR="0042110B" w:rsidRPr="001930AD">
        <w:rPr>
          <w:rFonts w:ascii="Verdana" w:eastAsia="Times New Roman" w:hAnsi="Verdana" w:cs="Times New Roman"/>
          <w:color w:val="000000" w:themeColor="text1"/>
          <w:spacing w:val="-4"/>
          <w:sz w:val="20"/>
          <w:szCs w:val="20"/>
          <w:lang w:eastAsia="bg-BG"/>
        </w:rPr>
        <w:t>естник-министър на земеделието</w:t>
      </w:r>
    </w:p>
    <w:p w:rsidR="007C7532" w:rsidRPr="001930AD" w:rsidRDefault="007C7532">
      <w:pPr>
        <w:spacing w:after="0" w:line="36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7C7532" w:rsidRPr="001930AD" w:rsidRDefault="007C7532">
      <w:pPr>
        <w:spacing w:after="0" w:line="36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7C7532" w:rsidRPr="001930AD" w:rsidRDefault="00CC637A">
      <w:pPr>
        <w:spacing w:after="0" w:line="360" w:lineRule="auto"/>
        <w:ind w:left="1134" w:hanging="113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Относно: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Проект на Наредба за изменение</w:t>
      </w:r>
      <w:r w:rsidR="00BF0EE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допълнение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-винарския сектор за периода </w:t>
      </w:r>
      <w:r w:rsidR="00DE1FDF" w:rsidRPr="001930AD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2019 – 2023 г.</w:t>
      </w:r>
    </w:p>
    <w:p w:rsidR="00310B9F" w:rsidRPr="001930AD" w:rsidRDefault="00310B9F">
      <w:pPr>
        <w:spacing w:after="0" w:line="36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310B9F" w:rsidRPr="001930AD" w:rsidRDefault="00310B9F">
      <w:pPr>
        <w:spacing w:after="0" w:line="36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7C7532" w:rsidRPr="001930AD" w:rsidRDefault="00CC637A">
      <w:pPr>
        <w:spacing w:after="120" w:line="36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УВАЖАЕМИ ГОСПОДИН </w:t>
      </w:r>
      <w:r w:rsidR="00291E5B"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ИВАНОВ</w:t>
      </w: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,</w:t>
      </w:r>
    </w:p>
    <w:p w:rsidR="007C7532" w:rsidRPr="001930AD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На основание чл. 56, ал. 3 от Закона за прилагане на Общата организация на пазарите на земеделски продукти на Европейския съюз, внасям за одобряване проект на Наредба за изменение</w:t>
      </w:r>
      <w:r w:rsidR="003269F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допълнение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-винарския сектор за периода 2019 – 2023 г.</w:t>
      </w:r>
    </w:p>
    <w:p w:rsidR="007C7532" w:rsidRPr="001930AD" w:rsidRDefault="007C75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Причини, които налагат приемането на акта</w:t>
      </w:r>
    </w:p>
    <w:p w:rsidR="007E19F5" w:rsidRPr="001930AD" w:rsidRDefault="001963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Националната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-винарския сектор за периода 2019</w:t>
      </w:r>
      <w:r w:rsidR="00021FF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–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2023 година стартира своето действие от 16 октомври 2018 година. В нейния обхват са двете основните мерки за подпомагане на сектора, насочени пряко </w:t>
      </w:r>
      <w:r w:rsidR="00F9567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към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подобряване конкурентоспособността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гроздо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- и винопроизводителите в</w:t>
      </w:r>
      <w:r w:rsidR="002556C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България. </w:t>
      </w:r>
      <w:r w:rsidR="007E19F5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Мярка „Инвестиции в предприятия“ е насочена към подобряване </w:t>
      </w:r>
      <w:r w:rsidR="007E19F5" w:rsidRPr="001930AD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 xml:space="preserve">показателите на винарските предприятия, които възползвайки се от финансирането по програмата поемат ангажимент да спазват европейските и национални изисквания за целево използване на разходваните средства за период от 5 години след получаване на подпомагането. </w:t>
      </w:r>
      <w:r w:rsidR="00C6157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В процеса на разработване на административните процедури за прилагане на разпоредбите за </w:t>
      </w:r>
      <w:proofErr w:type="spellStart"/>
      <w:r w:rsidR="00C61575">
        <w:rPr>
          <w:rFonts w:ascii="Verdana" w:eastAsia="Verdana" w:hAnsi="Verdana" w:cs="Verdana"/>
          <w:color w:val="000000" w:themeColor="text1"/>
          <w:sz w:val="20"/>
          <w:szCs w:val="20"/>
        </w:rPr>
        <w:t>мониторинговия</w:t>
      </w:r>
      <w:proofErr w:type="spellEnd"/>
      <w:r w:rsidR="00C6157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период по мярката, бе идентифицирана необходимост предвидените към настоящия момент текстове</w:t>
      </w:r>
      <w:r w:rsidR="007E19F5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в наредбата да бъдат прецизирани в съответствие с приложимото законодателство на Европейския съюз, така че контрол</w:t>
      </w:r>
      <w:r w:rsidR="00C61575">
        <w:rPr>
          <w:rFonts w:ascii="Verdana" w:eastAsia="Verdana" w:hAnsi="Verdana" w:cs="Verdana"/>
          <w:color w:val="000000" w:themeColor="text1"/>
          <w:sz w:val="20"/>
          <w:szCs w:val="20"/>
        </w:rPr>
        <w:t>ът</w:t>
      </w:r>
      <w:r w:rsidR="007E19F5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прилагащия орган да бъде ясно и еднозначно упражняван. Затова в наредбата следва да бъдат предвидени допълнителни текстове, на базата на които да бъдат извършвани последващи проверки за спазване на императивни европейски изисквания.</w:t>
      </w:r>
    </w:p>
    <w:p w:rsidR="00196365" w:rsidRPr="001930AD" w:rsidRDefault="007E19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От друга страна, н</w:t>
      </w:r>
      <w:r w:rsidR="00C52513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алице </w:t>
      </w:r>
      <w:r w:rsidR="002556C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е </w:t>
      </w:r>
      <w:r w:rsidR="00C52513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необходимост от преразглеждане на пределните цени по допустимите за подпомагане дейности от мярка „Преструктуриране и конверсия на лозя“, която се налага от предвиденото в програмата изискване за актуализиране на ценовите стойности на период от две години. </w:t>
      </w:r>
      <w:r w:rsidR="002556C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Не се предвижда актуализиране на пределната цена за дейност „Изграждане на автоматизирани системи за капково напояване“, тъй като за тази дейност няма да бъдат отваряни последващи приеми в рамките на действащата Национална програма за подпомагане на </w:t>
      </w:r>
      <w:proofErr w:type="spellStart"/>
      <w:r w:rsidR="002556C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</w:t>
      </w:r>
      <w:proofErr w:type="spellEnd"/>
      <w:r w:rsidR="002556C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-винарския сектор за периода 2019</w:t>
      </w:r>
      <w:r w:rsidR="00021FF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– </w:t>
      </w:r>
      <w:r w:rsidR="002556C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2023 година. </w:t>
      </w:r>
    </w:p>
    <w:p w:rsidR="0039358B" w:rsidRPr="001930AD" w:rsidRDefault="00393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В наредбата са предвидени и преходни разпоредби за прилагането на мерките от програмата до края на нейното действие.</w:t>
      </w:r>
    </w:p>
    <w:p w:rsidR="002556C7" w:rsidRPr="001930AD" w:rsidRDefault="00255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:rsidR="007E19F5" w:rsidRPr="001930AD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Цели</w:t>
      </w:r>
    </w:p>
    <w:p w:rsidR="007C7532" w:rsidRPr="001930AD" w:rsidRDefault="007E19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С промените в наредбата ще се оптимизират разпоредбите относно извършването на контрол след изплащане на финансовата помощ по мяр</w:t>
      </w:r>
      <w:r w:rsidR="00F9567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ка „Инвестиции в предприятия“.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Ще бъде предвидено проследяване изпълнението на заложените в бизнес плана целеви стойности през 5-годишния период след финансиране. Разпоредбата относно установено несъответствие с поетите ангажименти ще се прецизира по начин, който да гарантира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бенефициерите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пропорционалност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коректив</w:t>
      </w:r>
      <w:r w:rsidR="00021FF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н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ите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действия спрямо периода на неизпълнение и дейността, за </w:t>
      </w:r>
      <w:r w:rsidR="00F9567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която е установено несъответствието.</w:t>
      </w:r>
    </w:p>
    <w:p w:rsidR="00114672" w:rsidRPr="001930AD" w:rsidRDefault="001146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Актуализирането на пределните цени за дейностите по мярка „Прест</w:t>
      </w:r>
      <w:r w:rsidR="00F9567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руктуриране и конверсия на лозя“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(без дейност „Изграждане на автоматизирани системи за капково напояване</w:t>
      </w:r>
      <w:r w:rsidR="00F95677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“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) е </w:t>
      </w:r>
      <w:r w:rsidR="0039358B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на база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заложеното в програмата. Предвидено е пределните цени</w:t>
      </w:r>
      <w:r w:rsidR="0008545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за всяка отделна операция от допустимите дейности по мярката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да бъдат индексирани в съответствие с годишната инфлация за месец </w:t>
      </w:r>
      <w:r w:rsidR="00A13AF3">
        <w:rPr>
          <w:rFonts w:ascii="Verdana" w:eastAsia="Verdana" w:hAnsi="Verdana" w:cs="Verdana"/>
          <w:color w:val="000000" w:themeColor="text1"/>
          <w:sz w:val="20"/>
          <w:szCs w:val="20"/>
        </w:rPr>
        <w:t>май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2022 г. спрямо </w:t>
      </w:r>
      <w:r w:rsidR="0039358B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същия месец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021FF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2021 г. – </w:t>
      </w:r>
      <w:r w:rsidR="00A13AF3">
        <w:rPr>
          <w:rFonts w:ascii="Verdana" w:eastAsia="Verdana" w:hAnsi="Verdana" w:cs="Verdana"/>
          <w:color w:val="000000" w:themeColor="text1"/>
          <w:sz w:val="20"/>
          <w:szCs w:val="20"/>
        </w:rPr>
        <w:t>15,6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% по данни от Националния статистически институт. </w:t>
      </w:r>
      <w:r w:rsidR="00CC647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По този начин ще се осигури възможност възстановяването на разходите за извършените дейности по мярката да бъде съобразено с бързо нарастващите ценови стой</w:t>
      </w:r>
      <w:r w:rsidR="00870C55">
        <w:rPr>
          <w:rFonts w:ascii="Verdana" w:eastAsia="Verdana" w:hAnsi="Verdana" w:cs="Verdana"/>
          <w:color w:val="000000" w:themeColor="text1"/>
          <w:sz w:val="20"/>
          <w:szCs w:val="20"/>
        </w:rPr>
        <w:t>ности на всички стоки и услуги.</w:t>
      </w:r>
    </w:p>
    <w:p w:rsidR="00CC647A" w:rsidRPr="001930AD" w:rsidRDefault="00CC64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В наредбата са определени и периодите на прием по мярка „Преструктуриране и конверсия на лозя“ и „Инвестиции в предприятия“, които ще бъдат последни за прилагането на тази програма, както и сроковете, в които заявителите по двете мерки ще могат да подават заявления за авансово плащане на помощта. Предвидено е и ограничение в размера на изплащаната финансова помощ по същите две мерки при подаване на междинни заявления за подпомагане</w:t>
      </w:r>
      <w:r w:rsidR="00FD178B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. С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тези изменения се урежда плавен преход към прилагането на интервенциите в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-винарския сектор, предвидени в Стратегическия план за развитие на земеделието и селските райони в България</w:t>
      </w:r>
      <w:r w:rsidR="00FD178B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предвидимо управление на бюджета по програмата и Стратегическия план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</w:p>
    <w:p w:rsidR="00795470" w:rsidRDefault="00BA3C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BA3C77">
        <w:rPr>
          <w:rFonts w:ascii="Verdana" w:eastAsia="Verdana" w:hAnsi="Verdana" w:cs="Verdana"/>
          <w:color w:val="000000" w:themeColor="text1"/>
          <w:sz w:val="20"/>
          <w:szCs w:val="20"/>
        </w:rPr>
        <w:t>За мярка „Информиране в държавите членки“ също е заложена промяна по отношение на максималния размер на един проект, като тази промяна произлиза от ограничението в продължителността на действие на проектите, заявени през 2022 г. Същите следва да бъдат изпълнени и платени до 15 октомври 2023 г.</w:t>
      </w:r>
    </w:p>
    <w:p w:rsidR="00BA3C77" w:rsidRPr="001930AD" w:rsidRDefault="00BA3C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Финансови и други средства, необходими за прилагането на новата уредба</w:t>
      </w:r>
    </w:p>
    <w:p w:rsidR="003B6242" w:rsidRPr="001930AD" w:rsidRDefault="00CC637A">
      <w:pP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Приемането на проекта на акт не води до въздействие върху държавния бюджет. За приемането на проекта на акт не са необходими допълнителни разходи/трансфери и други плащания. Не се предвиждат допълнителни разходи и за </w:t>
      </w:r>
      <w:r w:rsidR="00B21F4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неговите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а</w:t>
      </w:r>
      <w:r w:rsidR="007D747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дресати. </w:t>
      </w:r>
      <w:r w:rsidR="003B6242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Потенциално заинтересовани страни от приемането на наредбата са всички регистрирани </w:t>
      </w:r>
      <w:proofErr w:type="spellStart"/>
      <w:r w:rsidR="003B6242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гроздо</w:t>
      </w:r>
      <w:proofErr w:type="spellEnd"/>
      <w:r w:rsidR="003B6242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- и винопроизводители в страната, които желаят да кандидатстват по мерките от програмата през 2022 г., техни признати организации, асоциации и професионални сдружения. </w:t>
      </w:r>
    </w:p>
    <w:p w:rsidR="007C7532" w:rsidRPr="001930AD" w:rsidRDefault="007D7470">
      <w:pP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Финансирането на мерките от Националната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-винарския сектор ще бъде </w:t>
      </w:r>
      <w:r w:rsidR="00CC637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в рамките на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определения за програмата бюджет</w:t>
      </w:r>
      <w:r w:rsidR="00CC637A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:rsidR="007C7532" w:rsidRPr="001930AD" w:rsidRDefault="007C7532">
      <w:pP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Очаквани резултати от прилагането на акта</w:t>
      </w:r>
    </w:p>
    <w:p w:rsidR="007C7532" w:rsidRPr="001930AD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Измененията в наредбата са насочени към </w:t>
      </w:r>
      <w:r w:rsidR="00885C2E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осигуряване на </w:t>
      </w:r>
      <w:r w:rsidR="00051C79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правна рамка, която да гарантира </w:t>
      </w:r>
      <w:r w:rsidR="004C483E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плавен преход между два</w:t>
      </w:r>
      <w:r w:rsidR="005C5E9E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та</w:t>
      </w:r>
      <w:r w:rsidR="004C483E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програмни периода на Общата селскостопанска политика и оптимално прилагане на мерките от Националната програма в края на нейното действие</w:t>
      </w:r>
      <w:r w:rsidR="008B1D96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:rsidR="007C7532" w:rsidRPr="001930AD" w:rsidRDefault="007C75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>
      <w:pP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Анализ за съответствие с правото на Европейския съюз</w:t>
      </w:r>
    </w:p>
    <w:p w:rsidR="007C7532" w:rsidRPr="001930AD" w:rsidRDefault="00CC637A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Проектът на Наредба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  <w:shd w:val="clear" w:color="auto" w:fill="FEFEFE"/>
        </w:rPr>
        <w:t>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7C7532" w:rsidRPr="001930AD" w:rsidRDefault="007C7532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color w:val="000000" w:themeColor="text1"/>
          <w:sz w:val="20"/>
          <w:szCs w:val="20"/>
        </w:rPr>
        <w:t>Информация за проведените обществени консултации</w:t>
      </w:r>
    </w:p>
    <w:p w:rsidR="007C7532" w:rsidRPr="001930AD" w:rsidRDefault="00CC637A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На основание чл. 26, ал. 3 и 4 от Закона за нормативните актове проектът на доклад (мотиви) и проектът на наредба са публикувани за обществена консултация 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на интернет страницата на Министерството на земеделието и на Портала за обществени консултации със срок за предложения и становища 30 дни.</w:t>
      </w:r>
    </w:p>
    <w:p w:rsidR="007C7532" w:rsidRPr="001930AD" w:rsidRDefault="00CC637A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В изпълнение на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</w:t>
      </w:r>
    </w:p>
    <w:p w:rsidR="00310B9F" w:rsidRPr="001930AD" w:rsidRDefault="00CC637A" w:rsidP="00310B9F">
      <w:pPr>
        <w:spacing w:after="0" w:line="360" w:lineRule="auto"/>
        <w:ind w:firstLine="70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земеделието. Направените целесъобразни бележки и предложения са отразени.</w:t>
      </w:r>
    </w:p>
    <w:p w:rsidR="00310B9F" w:rsidRPr="001930AD" w:rsidRDefault="00310B9F" w:rsidP="00310B9F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CC637A" w:rsidP="0042110B">
      <w:pPr>
        <w:spacing w:after="120" w:line="360" w:lineRule="auto"/>
        <w:jc w:val="both"/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 xml:space="preserve">УВАЖАЕМИ ГОСПОДИН </w:t>
      </w:r>
      <w:r w:rsidR="00B31995" w:rsidRPr="001930AD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ИВАНОВ</w:t>
      </w:r>
      <w:r w:rsidRPr="001930AD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,</w:t>
      </w:r>
    </w:p>
    <w:p w:rsidR="007C7532" w:rsidRPr="001930AD" w:rsidRDefault="00CC637A" w:rsidP="00F95677">
      <w:pPr>
        <w:widowControl w:val="0"/>
        <w:spacing w:after="120" w:line="360" w:lineRule="auto"/>
        <w:ind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Във връзка с гореизложеното и на основание чл. 56, ал. 3 от Закона за прилагане на Общата организация на пазарите на земеделски продукти на Европейския съюз, предлагам да одобрите Наредбата за изменение</w:t>
      </w:r>
      <w:r w:rsidR="003269F0"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допълнение</w:t>
      </w:r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>лозаро</w:t>
      </w:r>
      <w:proofErr w:type="spellEnd"/>
      <w:r w:rsidRPr="001930A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-винарския сектор за периода 2019 – 2023 г. </w:t>
      </w:r>
    </w:p>
    <w:tbl>
      <w:tblPr>
        <w:tblStyle w:val="a0"/>
        <w:tblW w:w="8404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1850"/>
        <w:gridCol w:w="6554"/>
      </w:tblGrid>
      <w:tr w:rsidR="007C7532" w:rsidRPr="001930AD">
        <w:tc>
          <w:tcPr>
            <w:tcW w:w="1850" w:type="dxa"/>
          </w:tcPr>
          <w:p w:rsidR="007C7532" w:rsidRPr="001930AD" w:rsidRDefault="00CC637A">
            <w:pPr>
              <w:spacing w:after="0" w:line="360" w:lineRule="auto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930A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Приложениe</w:t>
            </w:r>
            <w:proofErr w:type="spellEnd"/>
            <w:r w:rsidRPr="001930A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554" w:type="dxa"/>
          </w:tcPr>
          <w:p w:rsidR="007C7532" w:rsidRPr="001930AD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Наредба за изменение</w:t>
            </w:r>
            <w:r w:rsidR="003269F0"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и допълнение</w:t>
            </w: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на Наредба № 6 от 2018 г. за условията и реда за предоставяне на финансова помощ по Национална програма за подпомагане на </w:t>
            </w:r>
            <w:proofErr w:type="spellStart"/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лозаро</w:t>
            </w:r>
            <w:proofErr w:type="spellEnd"/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-винарския сектор за периода 2019 – 2023 г.;</w:t>
            </w:r>
          </w:p>
          <w:p w:rsidR="007C7532" w:rsidRPr="001930AD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Справка за отразяване на постъпилите становища;</w:t>
            </w:r>
          </w:p>
          <w:p w:rsidR="007C7532" w:rsidRPr="001930AD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Постъпили становища;</w:t>
            </w:r>
          </w:p>
          <w:p w:rsidR="007C7532" w:rsidRPr="001930AD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Справка за отразяване на получените предложения и становища от проведената обществена консултация;</w:t>
            </w:r>
          </w:p>
          <w:p w:rsidR="007C7532" w:rsidRPr="001930AD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930A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Получени предложения и становища от проведената обществена консултация.</w:t>
            </w:r>
          </w:p>
        </w:tc>
      </w:tr>
    </w:tbl>
    <w:p w:rsidR="007C7532" w:rsidRPr="001930AD" w:rsidRDefault="007C7532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C23FED" w:rsidRDefault="007C7532" w:rsidP="00C23FED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7C7532" w:rsidRPr="001930AD" w:rsidRDefault="0041570A">
      <w:pPr>
        <w:spacing w:after="0" w:line="360" w:lineRule="auto"/>
        <w:ind w:right="-468"/>
        <w:jc w:val="both"/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 xml:space="preserve">Д-Р </w:t>
      </w:r>
      <w:r w:rsidR="00B31995" w:rsidRPr="001930AD">
        <w:rPr>
          <w:rFonts w:ascii="Verdana" w:eastAsia="Verdana" w:hAnsi="Verdana" w:cs="Verdana"/>
          <w:b/>
          <w:smallCaps/>
          <w:color w:val="000000" w:themeColor="text1"/>
          <w:sz w:val="20"/>
          <w:szCs w:val="20"/>
        </w:rPr>
        <w:t>МОМЧИЛ НЕКОВ</w:t>
      </w:r>
    </w:p>
    <w:p w:rsidR="007C7532" w:rsidRPr="001930AD" w:rsidRDefault="00CC637A">
      <w:pPr>
        <w:spacing w:after="0" w:line="360" w:lineRule="auto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1930AD">
        <w:rPr>
          <w:rFonts w:ascii="Verdana" w:eastAsia="Verdana" w:hAnsi="Verdana" w:cs="Verdana"/>
          <w:i/>
          <w:color w:val="000000" w:themeColor="text1"/>
          <w:sz w:val="20"/>
          <w:szCs w:val="20"/>
        </w:rPr>
        <w:t>Заместник-министър</w:t>
      </w:r>
      <w:r w:rsidR="00F95677" w:rsidRPr="001930AD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на земеделието</w:t>
      </w:r>
    </w:p>
    <w:p w:rsidR="007C7532" w:rsidRPr="001930AD" w:rsidRDefault="007C7532">
      <w:pPr>
        <w:spacing w:after="0" w:line="360" w:lineRule="auto"/>
        <w:rPr>
          <w:smallCaps/>
          <w:color w:val="000000" w:themeColor="text1"/>
          <w:sz w:val="20"/>
          <w:szCs w:val="20"/>
        </w:rPr>
      </w:pPr>
      <w:bookmarkStart w:id="0" w:name="_GoBack"/>
      <w:bookmarkEnd w:id="0"/>
    </w:p>
    <w:sectPr w:rsidR="007C7532" w:rsidRPr="001930AD" w:rsidSect="00A13264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9D" w:rsidRDefault="00EA7A9D">
      <w:pPr>
        <w:spacing w:after="0" w:line="240" w:lineRule="auto"/>
      </w:pPr>
      <w:r>
        <w:separator/>
      </w:r>
    </w:p>
  </w:endnote>
  <w:endnote w:type="continuationSeparator" w:id="0">
    <w:p w:rsidR="00EA7A9D" w:rsidRDefault="00EA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32" w:rsidRDefault="00CC63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586C1D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9D" w:rsidRDefault="00EA7A9D">
      <w:pPr>
        <w:spacing w:after="0" w:line="240" w:lineRule="auto"/>
      </w:pPr>
      <w:r>
        <w:separator/>
      </w:r>
    </w:p>
  </w:footnote>
  <w:footnote w:type="continuationSeparator" w:id="0">
    <w:p w:rsidR="00EA7A9D" w:rsidRDefault="00EA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  <w:r w:rsidRPr="00DE1FDF">
      <w:rPr>
        <w:rFonts w:ascii="Verdana" w:eastAsia="Times New Roman" w:hAnsi="Verdana" w:cs="Verdana"/>
        <w:noProof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07C89BA1" wp14:editId="360713AE">
          <wp:simplePos x="0" y="0"/>
          <wp:positionH relativeFrom="column">
            <wp:posOffset>2352751</wp:posOffset>
          </wp:positionH>
          <wp:positionV relativeFrom="paragraph">
            <wp:posOffset>-92710</wp:posOffset>
          </wp:positionV>
          <wp:extent cx="1189355" cy="1188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eastAsia="bg-BG"/>
      </w:rPr>
    </w:pPr>
  </w:p>
  <w:p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en-US" w:eastAsia="bg-BG"/>
      </w:rPr>
    </w:pPr>
  </w:p>
  <w:p w:rsidR="00DE1FDF" w:rsidRPr="00DE1FDF" w:rsidRDefault="00DE1FDF" w:rsidP="00DE1FDF">
    <w:pPr>
      <w:keepNext/>
      <w:spacing w:before="120" w:after="0" w:line="240" w:lineRule="auto"/>
      <w:jc w:val="center"/>
      <w:outlineLvl w:val="0"/>
      <w:rPr>
        <w:rFonts w:ascii="Platinum Bg" w:eastAsia="Times New Roman" w:hAnsi="Platinum Bg" w:cs="Platinum Bg"/>
        <w:spacing w:val="40"/>
        <w:kern w:val="32"/>
        <w:sz w:val="36"/>
        <w:szCs w:val="36"/>
        <w:lang w:eastAsia="bg-BG"/>
      </w:rPr>
    </w:pPr>
    <w:r w:rsidRPr="00DE1FDF">
      <w:rPr>
        <w:rFonts w:ascii="Platinum Bg" w:eastAsia="Times New Roman" w:hAnsi="Platinum Bg" w:cs="Platinum Bg"/>
        <w:spacing w:val="40"/>
        <w:kern w:val="32"/>
        <w:sz w:val="36"/>
        <w:szCs w:val="36"/>
        <w:lang w:eastAsia="bg-BG"/>
      </w:rPr>
      <w:t>РЕПУБЛИКА БЪЛГАРИЯ</w:t>
    </w:r>
  </w:p>
  <w:p w:rsidR="00DE1FDF" w:rsidRPr="00DE1FDF" w:rsidRDefault="00DE1FDF" w:rsidP="00DE1FDF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360" w:lineRule="auto"/>
      <w:jc w:val="center"/>
      <w:rPr>
        <w:rFonts w:ascii="Timok" w:eastAsia="Times New Roman" w:hAnsi="Timok" w:cs="Timok"/>
        <w:spacing w:val="38"/>
        <w:sz w:val="32"/>
        <w:szCs w:val="32"/>
        <w:lang w:val="ru-RU" w:eastAsia="bg-BG"/>
      </w:rPr>
    </w:pPr>
    <w:r w:rsidRPr="00DE1FDF">
      <w:rPr>
        <w:rFonts w:ascii="Platinum Bg" w:eastAsia="Times New Roman" w:hAnsi="Platinum Bg" w:cs="Platinum Bg"/>
        <w:spacing w:val="30"/>
        <w:sz w:val="32"/>
        <w:szCs w:val="32"/>
        <w:lang w:eastAsia="bg-BG"/>
      </w:rPr>
      <w:t>Заместник-министър на земеделието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207"/>
    <w:multiLevelType w:val="multilevel"/>
    <w:tmpl w:val="A796A4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7B10D0A"/>
    <w:multiLevelType w:val="multilevel"/>
    <w:tmpl w:val="5E545AC8"/>
    <w:lvl w:ilvl="0">
      <w:numFmt w:val="bullet"/>
      <w:suff w:val="space"/>
      <w:lvlText w:val="-"/>
      <w:lvlJc w:val="left"/>
      <w:pPr>
        <w:ind w:left="1440" w:hanging="72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32"/>
    <w:rsid w:val="00002660"/>
    <w:rsid w:val="00021FFA"/>
    <w:rsid w:val="0003062D"/>
    <w:rsid w:val="00051C79"/>
    <w:rsid w:val="00077E57"/>
    <w:rsid w:val="0008545A"/>
    <w:rsid w:val="00090758"/>
    <w:rsid w:val="000A17DF"/>
    <w:rsid w:val="00114672"/>
    <w:rsid w:val="001154D2"/>
    <w:rsid w:val="00163724"/>
    <w:rsid w:val="00167BA0"/>
    <w:rsid w:val="001776BB"/>
    <w:rsid w:val="001930AD"/>
    <w:rsid w:val="00196365"/>
    <w:rsid w:val="001B503D"/>
    <w:rsid w:val="001C21A3"/>
    <w:rsid w:val="001D4AD0"/>
    <w:rsid w:val="001F31C9"/>
    <w:rsid w:val="00203E0C"/>
    <w:rsid w:val="00220B88"/>
    <w:rsid w:val="0022579D"/>
    <w:rsid w:val="00236A99"/>
    <w:rsid w:val="002556C7"/>
    <w:rsid w:val="0026392B"/>
    <w:rsid w:val="00281297"/>
    <w:rsid w:val="00291E5B"/>
    <w:rsid w:val="002B5CBD"/>
    <w:rsid w:val="002C3FB9"/>
    <w:rsid w:val="00301F48"/>
    <w:rsid w:val="00310B9F"/>
    <w:rsid w:val="00317210"/>
    <w:rsid w:val="00323F2B"/>
    <w:rsid w:val="003269F0"/>
    <w:rsid w:val="0033745F"/>
    <w:rsid w:val="0036136D"/>
    <w:rsid w:val="0037135D"/>
    <w:rsid w:val="0039358B"/>
    <w:rsid w:val="003A16EA"/>
    <w:rsid w:val="003B6242"/>
    <w:rsid w:val="00404FC6"/>
    <w:rsid w:val="0041570A"/>
    <w:rsid w:val="0042110B"/>
    <w:rsid w:val="00440711"/>
    <w:rsid w:val="00496016"/>
    <w:rsid w:val="004C483E"/>
    <w:rsid w:val="004E0DCD"/>
    <w:rsid w:val="00555685"/>
    <w:rsid w:val="00576042"/>
    <w:rsid w:val="0058095A"/>
    <w:rsid w:val="00586C1D"/>
    <w:rsid w:val="00594AFF"/>
    <w:rsid w:val="005A3114"/>
    <w:rsid w:val="005B3FBB"/>
    <w:rsid w:val="005C5E9E"/>
    <w:rsid w:val="005C6BB0"/>
    <w:rsid w:val="00623FF2"/>
    <w:rsid w:val="00662F5A"/>
    <w:rsid w:val="00675118"/>
    <w:rsid w:val="0070429E"/>
    <w:rsid w:val="00741811"/>
    <w:rsid w:val="007429B1"/>
    <w:rsid w:val="007851C5"/>
    <w:rsid w:val="00791C5B"/>
    <w:rsid w:val="00795470"/>
    <w:rsid w:val="007C7532"/>
    <w:rsid w:val="007D71B4"/>
    <w:rsid w:val="007D7470"/>
    <w:rsid w:val="007E19F5"/>
    <w:rsid w:val="007F7AD3"/>
    <w:rsid w:val="0081067F"/>
    <w:rsid w:val="008110E6"/>
    <w:rsid w:val="00812CDA"/>
    <w:rsid w:val="008139FC"/>
    <w:rsid w:val="00824659"/>
    <w:rsid w:val="00870C55"/>
    <w:rsid w:val="00885C2E"/>
    <w:rsid w:val="008B1D96"/>
    <w:rsid w:val="00974973"/>
    <w:rsid w:val="00997760"/>
    <w:rsid w:val="009A0E4C"/>
    <w:rsid w:val="009E68E9"/>
    <w:rsid w:val="009F4FE2"/>
    <w:rsid w:val="00A13264"/>
    <w:rsid w:val="00A13AF3"/>
    <w:rsid w:val="00A437C0"/>
    <w:rsid w:val="00A64EA4"/>
    <w:rsid w:val="00A73607"/>
    <w:rsid w:val="00B21F40"/>
    <w:rsid w:val="00B3129E"/>
    <w:rsid w:val="00B31995"/>
    <w:rsid w:val="00B37753"/>
    <w:rsid w:val="00BA3C77"/>
    <w:rsid w:val="00BE4CCC"/>
    <w:rsid w:val="00BF0EEA"/>
    <w:rsid w:val="00C078EB"/>
    <w:rsid w:val="00C17B27"/>
    <w:rsid w:val="00C23FED"/>
    <w:rsid w:val="00C37AF4"/>
    <w:rsid w:val="00C51E56"/>
    <w:rsid w:val="00C52513"/>
    <w:rsid w:val="00C61575"/>
    <w:rsid w:val="00C664EA"/>
    <w:rsid w:val="00C85ADC"/>
    <w:rsid w:val="00C87988"/>
    <w:rsid w:val="00CA77EB"/>
    <w:rsid w:val="00CC4749"/>
    <w:rsid w:val="00CC637A"/>
    <w:rsid w:val="00CC647A"/>
    <w:rsid w:val="00CD296C"/>
    <w:rsid w:val="00CD51CC"/>
    <w:rsid w:val="00D03618"/>
    <w:rsid w:val="00D13E8D"/>
    <w:rsid w:val="00D428C1"/>
    <w:rsid w:val="00DD6E1F"/>
    <w:rsid w:val="00DE1FDF"/>
    <w:rsid w:val="00E34D30"/>
    <w:rsid w:val="00E432AC"/>
    <w:rsid w:val="00E82889"/>
    <w:rsid w:val="00EA535F"/>
    <w:rsid w:val="00EA7A9D"/>
    <w:rsid w:val="00ED6161"/>
    <w:rsid w:val="00EE3D74"/>
    <w:rsid w:val="00EF34A1"/>
    <w:rsid w:val="00F20D08"/>
    <w:rsid w:val="00F31A6A"/>
    <w:rsid w:val="00F9098A"/>
    <w:rsid w:val="00F91B0C"/>
    <w:rsid w:val="00F95677"/>
    <w:rsid w:val="00FC593B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01D6B-70C5-48A4-80A6-64CDC24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BB"/>
  </w:style>
  <w:style w:type="paragraph" w:styleId="Footer">
    <w:name w:val="footer"/>
    <w:basedOn w:val="Normal"/>
    <w:link w:val="Foot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BB"/>
  </w:style>
  <w:style w:type="paragraph" w:styleId="ListParagraph">
    <w:name w:val="List Paragraph"/>
    <w:basedOn w:val="Normal"/>
    <w:uiPriority w:val="34"/>
    <w:qFormat/>
    <w:rsid w:val="007D747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Mariya Voikova</cp:lastModifiedBy>
  <cp:revision>3</cp:revision>
  <cp:lastPrinted>2022-02-28T11:12:00Z</cp:lastPrinted>
  <dcterms:created xsi:type="dcterms:W3CDTF">2022-06-21T10:25:00Z</dcterms:created>
  <dcterms:modified xsi:type="dcterms:W3CDTF">2022-06-22T06:15:00Z</dcterms:modified>
</cp:coreProperties>
</file>