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2AD89CD" w14:textId="77777777" w:rsidR="001A29AE" w:rsidRPr="00F91229" w:rsidRDefault="001A29AE"/>
    <w:tbl>
      <w:tblPr>
        <w:tblW w:w="15650" w:type="dxa"/>
        <w:jc w:val="center"/>
        <w:tblBorders>
          <w:top w:val="single" w:sz="24" w:space="0" w:color="2E74B5"/>
          <w:left w:val="single" w:sz="24" w:space="0" w:color="2E74B5"/>
          <w:bottom w:val="single" w:sz="24" w:space="0" w:color="2E74B5"/>
          <w:right w:val="single" w:sz="24" w:space="0" w:color="2E74B5"/>
          <w:insideH w:val="single" w:sz="24" w:space="0" w:color="2E74B5"/>
          <w:insideV w:val="single" w:sz="24" w:space="0" w:color="2E74B5"/>
        </w:tblBorders>
        <w:tblLayout w:type="fixed"/>
        <w:tblLook w:val="0000" w:firstRow="0" w:lastRow="0" w:firstColumn="0" w:lastColumn="0" w:noHBand="0" w:noVBand="0"/>
      </w:tblPr>
      <w:tblGrid>
        <w:gridCol w:w="15650"/>
      </w:tblGrid>
      <w:tr w:rsidR="00C975B4" w:rsidRPr="00F413E2" w14:paraId="667A25CB" w14:textId="77777777" w:rsidTr="002B2268">
        <w:trPr>
          <w:trHeight w:val="958"/>
          <w:jc w:val="center"/>
        </w:trPr>
        <w:tc>
          <w:tcPr>
            <w:tcW w:w="15650" w:type="dxa"/>
            <w:shd w:val="clear" w:color="auto" w:fill="BDD6EE"/>
          </w:tcPr>
          <w:p w14:paraId="59F1AA65" w14:textId="77777777" w:rsidR="00330507" w:rsidRDefault="00330507" w:rsidP="00330507">
            <w:pPr>
              <w:tabs>
                <w:tab w:val="left" w:pos="2190"/>
              </w:tabs>
              <w:jc w:val="center"/>
              <w:rPr>
                <w:rFonts w:ascii="Verdana" w:hAnsi="Verdana"/>
                <w:b/>
                <w:spacing w:val="-4"/>
                <w:sz w:val="22"/>
                <w:szCs w:val="22"/>
              </w:rPr>
            </w:pPr>
          </w:p>
          <w:p w14:paraId="646FD7FE" w14:textId="77F9F42F" w:rsidR="00C975B4" w:rsidRPr="00D13E5D" w:rsidRDefault="0019522B" w:rsidP="00D13E5D">
            <w:pPr>
              <w:tabs>
                <w:tab w:val="left" w:pos="2190"/>
              </w:tabs>
              <w:spacing w:line="360" w:lineRule="auto"/>
              <w:ind w:left="340" w:right="340"/>
              <w:jc w:val="center"/>
              <w:rPr>
                <w:rFonts w:ascii="Verdana" w:hAnsi="Verdana"/>
                <w:b/>
                <w:spacing w:val="70"/>
                <w:sz w:val="22"/>
                <w:szCs w:val="22"/>
              </w:rPr>
            </w:pPr>
            <w:r w:rsidRPr="00D13E5D">
              <w:rPr>
                <w:rFonts w:ascii="Verdana" w:hAnsi="Verdana"/>
                <w:b/>
                <w:spacing w:val="70"/>
                <w:sz w:val="22"/>
                <w:szCs w:val="22"/>
              </w:rPr>
              <w:t>СПРАВКА</w:t>
            </w:r>
          </w:p>
          <w:p w14:paraId="31BE240F" w14:textId="0E15A706" w:rsidR="00E220AD" w:rsidRPr="00330507" w:rsidRDefault="0019522B" w:rsidP="00D13E5D">
            <w:pPr>
              <w:tabs>
                <w:tab w:val="left" w:pos="2190"/>
              </w:tabs>
              <w:spacing w:line="360" w:lineRule="auto"/>
              <w:ind w:left="340" w:right="340"/>
              <w:jc w:val="center"/>
              <w:rPr>
                <w:rFonts w:ascii="Verdana" w:hAnsi="Verdana"/>
                <w:b/>
                <w:spacing w:val="-4"/>
                <w:sz w:val="20"/>
                <w:szCs w:val="20"/>
              </w:rPr>
            </w:pPr>
            <w:r w:rsidRPr="00D13E5D">
              <w:rPr>
                <w:rFonts w:ascii="Verdana" w:hAnsi="Verdana"/>
                <w:b/>
                <w:sz w:val="20"/>
                <w:szCs w:val="20"/>
              </w:rPr>
              <w:t>ЗА ОТРАЗЯВАНЕ НА</w:t>
            </w:r>
            <w:r w:rsidRPr="00D13E5D">
              <w:rPr>
                <w:rFonts w:ascii="Verdana" w:hAnsi="Verdana"/>
                <w:b/>
                <w:sz w:val="20"/>
                <w:szCs w:val="20"/>
                <w:lang w:val="en-US"/>
              </w:rPr>
              <w:t xml:space="preserve"> </w:t>
            </w:r>
            <w:r w:rsidRPr="00D13E5D">
              <w:rPr>
                <w:rFonts w:ascii="Verdana" w:hAnsi="Verdana"/>
                <w:b/>
                <w:sz w:val="20"/>
                <w:szCs w:val="20"/>
              </w:rPr>
              <w:t>ПОСТЪПИЛИТЕ ПРЕДЛОЖЕНИЯ И СТАНОВИЩА ОТ ПРОВЕ</w:t>
            </w:r>
            <w:r w:rsidR="0019116E">
              <w:rPr>
                <w:rFonts w:ascii="Verdana" w:hAnsi="Verdana"/>
                <w:b/>
                <w:sz w:val="20"/>
                <w:szCs w:val="20"/>
              </w:rPr>
              <w:t>ДЕНАТА ОБЩЕСТВЕНА КОНСУЛТАЦИЯ ПО</w:t>
            </w:r>
            <w:r w:rsidRPr="00D13E5D">
              <w:rPr>
                <w:rFonts w:ascii="Verdana" w:hAnsi="Verdana"/>
                <w:b/>
                <w:sz w:val="20"/>
                <w:szCs w:val="20"/>
              </w:rPr>
              <w:t xml:space="preserve"> </w:t>
            </w:r>
            <w:r w:rsidR="0019116E">
              <w:rPr>
                <w:rFonts w:ascii="Verdana" w:hAnsi="Verdana"/>
                <w:b/>
                <w:sz w:val="20"/>
                <w:szCs w:val="20"/>
              </w:rPr>
              <w:t xml:space="preserve">ПРОЕКТА НА </w:t>
            </w:r>
            <w:r w:rsidR="0019116E" w:rsidRPr="0019116E">
              <w:rPr>
                <w:rFonts w:ascii="Verdana" w:hAnsi="Verdana"/>
                <w:b/>
                <w:sz w:val="20"/>
                <w:szCs w:val="20"/>
              </w:rPr>
              <w:t>СТРАТЕГИЧЕСКИ ПЛАН ЗА РАЗВИТИЕ НА ЗЕМЕДЕЛИЕТО И СЕЛСКИТЕ РАЙОНИ ЗА ПРОГРАМЕН ПЕРИОД 2023 – 2027 Г., СЪФИНАНСИРАН ОТ ЕВРОПЕЙСКИЯ ЗЕМЕДЕЛСКИ ФОНД ЗА РАЗВИТИЕ НА СЕЛСКИТЕ РАЙОНИ, ЕВРОПЕЙСКИЯ ФОНД ЗА ГАРАНТИРАНЕ НА ЗЕМЕДЕЛИЕТО И ОТ ДЪРЖАВНИЯ БЮДЖЕТ</w:t>
            </w:r>
          </w:p>
        </w:tc>
      </w:tr>
    </w:tbl>
    <w:p w14:paraId="7708CE7C" w14:textId="77777777" w:rsidR="00230821" w:rsidRPr="00671910" w:rsidRDefault="00230821">
      <w:pPr>
        <w:rPr>
          <w:rFonts w:ascii="Verdana" w:hAnsi="Verdana"/>
          <w:sz w:val="10"/>
          <w:szCs w:val="10"/>
        </w:rPr>
      </w:pPr>
    </w:p>
    <w:tbl>
      <w:tblPr>
        <w:tblW w:w="15522" w:type="dxa"/>
        <w:jc w:val="center"/>
        <w:tblInd w:w="-3350" w:type="dxa"/>
        <w:tblBorders>
          <w:top w:val="single" w:sz="36" w:space="0" w:color="2E74B5"/>
          <w:left w:val="single" w:sz="36" w:space="0" w:color="2E74B5"/>
          <w:bottom w:val="single" w:sz="36" w:space="0" w:color="2E74B5"/>
          <w:right w:val="single" w:sz="36" w:space="0" w:color="2E74B5"/>
          <w:insideH w:val="single" w:sz="36" w:space="0" w:color="2E74B5"/>
          <w:insideV w:val="single" w:sz="36" w:space="0" w:color="2E74B5"/>
        </w:tblBorders>
        <w:tblLayout w:type="fixed"/>
        <w:tblLook w:val="0000" w:firstRow="0" w:lastRow="0" w:firstColumn="0" w:lastColumn="0" w:noHBand="0" w:noVBand="0"/>
      </w:tblPr>
      <w:tblGrid>
        <w:gridCol w:w="563"/>
        <w:gridCol w:w="2526"/>
        <w:gridCol w:w="12433"/>
      </w:tblGrid>
      <w:tr w:rsidR="00CD7279" w:rsidRPr="00F413E2" w14:paraId="1F91426D" w14:textId="77777777" w:rsidTr="00CD7279">
        <w:trPr>
          <w:trHeight w:val="18"/>
          <w:tblHeader/>
          <w:jc w:val="center"/>
        </w:trPr>
        <w:tc>
          <w:tcPr>
            <w:tcW w:w="563" w:type="dxa"/>
            <w:tcBorders>
              <w:top w:val="single" w:sz="24" w:space="0" w:color="2E74B5"/>
              <w:left w:val="single" w:sz="24" w:space="0" w:color="2E74B5"/>
              <w:bottom w:val="single" w:sz="24" w:space="0" w:color="2E74B5"/>
              <w:right w:val="single" w:sz="24" w:space="0" w:color="2E74B5"/>
            </w:tcBorders>
            <w:shd w:val="clear" w:color="auto" w:fill="DEEAF6"/>
            <w:vAlign w:val="center"/>
          </w:tcPr>
          <w:p w14:paraId="27E660E9" w14:textId="77777777" w:rsidR="00CD7279" w:rsidRPr="00F413E2" w:rsidRDefault="00CD7279" w:rsidP="00E220AD">
            <w:pPr>
              <w:tabs>
                <w:tab w:val="left" w:pos="192"/>
              </w:tabs>
              <w:jc w:val="center"/>
              <w:rPr>
                <w:rFonts w:ascii="Verdana" w:hAnsi="Verdana"/>
                <w:b/>
                <w:sz w:val="20"/>
                <w:szCs w:val="20"/>
              </w:rPr>
            </w:pPr>
            <w:r w:rsidRPr="00F413E2">
              <w:rPr>
                <w:rFonts w:ascii="Verdana" w:hAnsi="Verdana"/>
                <w:b/>
                <w:sz w:val="20"/>
                <w:szCs w:val="20"/>
              </w:rPr>
              <w:t>№</w:t>
            </w:r>
          </w:p>
        </w:tc>
        <w:tc>
          <w:tcPr>
            <w:tcW w:w="2526" w:type="dxa"/>
            <w:tcBorders>
              <w:top w:val="single" w:sz="24" w:space="0" w:color="2E74B5"/>
              <w:left w:val="single" w:sz="24" w:space="0" w:color="2E74B5"/>
              <w:bottom w:val="single" w:sz="24" w:space="0" w:color="2E74B5"/>
              <w:right w:val="single" w:sz="24" w:space="0" w:color="2E74B5"/>
            </w:tcBorders>
            <w:shd w:val="clear" w:color="auto" w:fill="DEEAF6"/>
            <w:vAlign w:val="center"/>
          </w:tcPr>
          <w:p w14:paraId="4C2099D8" w14:textId="77777777" w:rsidR="00CD7279" w:rsidRPr="00F413E2" w:rsidRDefault="00CD7279" w:rsidP="00E220AD">
            <w:pPr>
              <w:jc w:val="center"/>
              <w:rPr>
                <w:rFonts w:ascii="Verdana" w:hAnsi="Verdana"/>
                <w:b/>
                <w:sz w:val="20"/>
                <w:szCs w:val="20"/>
              </w:rPr>
            </w:pPr>
            <w:r w:rsidRPr="00F413E2">
              <w:rPr>
                <w:rFonts w:ascii="Verdana" w:hAnsi="Verdana"/>
                <w:b/>
                <w:sz w:val="20"/>
                <w:szCs w:val="20"/>
              </w:rPr>
              <w:t>Организация/</w:t>
            </w:r>
            <w:r w:rsidRPr="00F413E2">
              <w:rPr>
                <w:rFonts w:ascii="Verdana" w:hAnsi="Verdana"/>
                <w:b/>
                <w:sz w:val="20"/>
                <w:szCs w:val="20"/>
              </w:rPr>
              <w:br/>
              <w:t>потребител</w:t>
            </w:r>
          </w:p>
          <w:p w14:paraId="19BACD16" w14:textId="77777777" w:rsidR="00CD7279" w:rsidRPr="00D13E5D" w:rsidRDefault="00CD7279" w:rsidP="00111875">
            <w:pPr>
              <w:spacing w:after="60"/>
              <w:jc w:val="center"/>
              <w:rPr>
                <w:rFonts w:ascii="Verdana" w:hAnsi="Verdana"/>
                <w:b/>
                <w:sz w:val="14"/>
                <w:szCs w:val="14"/>
              </w:rPr>
            </w:pPr>
            <w:r w:rsidRPr="00D13E5D">
              <w:rPr>
                <w:rFonts w:ascii="Verdana" w:hAnsi="Verdana"/>
                <w:b/>
                <w:sz w:val="14"/>
                <w:szCs w:val="14"/>
              </w:rPr>
              <w:t>(вкл. начина на получаване на предложението)</w:t>
            </w:r>
          </w:p>
        </w:tc>
        <w:tc>
          <w:tcPr>
            <w:tcW w:w="12433" w:type="dxa"/>
            <w:tcBorders>
              <w:top w:val="single" w:sz="24" w:space="0" w:color="2E74B5"/>
              <w:left w:val="single" w:sz="24" w:space="0" w:color="2E74B5"/>
              <w:bottom w:val="single" w:sz="24" w:space="0" w:color="2E74B5"/>
              <w:right w:val="single" w:sz="24" w:space="0" w:color="2E74B5"/>
            </w:tcBorders>
            <w:shd w:val="clear" w:color="auto" w:fill="DEEAF6"/>
            <w:vAlign w:val="center"/>
          </w:tcPr>
          <w:p w14:paraId="2E5A81C3" w14:textId="77777777" w:rsidR="00CD7279" w:rsidRPr="00F413E2" w:rsidRDefault="00CD7279" w:rsidP="00E220AD">
            <w:pPr>
              <w:jc w:val="center"/>
              <w:rPr>
                <w:rFonts w:ascii="Verdana" w:hAnsi="Verdana"/>
                <w:b/>
                <w:sz w:val="20"/>
                <w:szCs w:val="20"/>
              </w:rPr>
            </w:pPr>
            <w:r w:rsidRPr="00F413E2">
              <w:rPr>
                <w:rFonts w:ascii="Verdana" w:hAnsi="Verdana"/>
                <w:b/>
                <w:sz w:val="20"/>
                <w:szCs w:val="20"/>
              </w:rPr>
              <w:t>Бележки и предложения</w:t>
            </w:r>
          </w:p>
        </w:tc>
      </w:tr>
      <w:tr w:rsidR="00CD7279" w:rsidRPr="00F413E2" w14:paraId="6E7CBB0D" w14:textId="77777777" w:rsidTr="00CD7279">
        <w:trPr>
          <w:trHeight w:val="44"/>
          <w:jc w:val="center"/>
        </w:trPr>
        <w:tc>
          <w:tcPr>
            <w:tcW w:w="563" w:type="dxa"/>
            <w:vMerge w:val="restart"/>
            <w:tcBorders>
              <w:top w:val="single" w:sz="24" w:space="0" w:color="2E74B5"/>
              <w:left w:val="single" w:sz="24" w:space="0" w:color="2E74B5"/>
              <w:right w:val="single" w:sz="18" w:space="0" w:color="2E74B5"/>
            </w:tcBorders>
            <w:shd w:val="clear" w:color="auto" w:fill="auto"/>
          </w:tcPr>
          <w:p w14:paraId="11A31AE2" w14:textId="26408D4D"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rPr>
            </w:pPr>
          </w:p>
        </w:tc>
        <w:tc>
          <w:tcPr>
            <w:tcW w:w="2526" w:type="dxa"/>
            <w:vMerge w:val="restart"/>
            <w:tcBorders>
              <w:top w:val="single" w:sz="24" w:space="0" w:color="2E74B5"/>
              <w:left w:val="single" w:sz="18" w:space="0" w:color="2E74B5"/>
              <w:right w:val="single" w:sz="18" w:space="0" w:color="2E74B5"/>
            </w:tcBorders>
            <w:shd w:val="clear" w:color="auto" w:fill="auto"/>
          </w:tcPr>
          <w:p w14:paraId="15A91403" w14:textId="694EEA63" w:rsidR="00CD7279" w:rsidRDefault="00CD7279" w:rsidP="009C4129">
            <w:pPr>
              <w:spacing w:before="60" w:after="20"/>
              <w:rPr>
                <w:rFonts w:ascii="Verdana" w:hAnsi="Verdana"/>
                <w:sz w:val="20"/>
                <w:szCs w:val="20"/>
                <w:lang w:val="en-US"/>
              </w:rPr>
            </w:pPr>
            <w:r w:rsidRPr="009C4129">
              <w:rPr>
                <w:rFonts w:ascii="Verdana" w:hAnsi="Verdana"/>
                <w:sz w:val="20"/>
                <w:szCs w:val="20"/>
                <w:lang w:val="en-US"/>
              </w:rPr>
              <w:t>Getov95</w:t>
            </w:r>
          </w:p>
          <w:p w14:paraId="3B48EF22" w14:textId="1A7A3A2C" w:rsidR="00CD7279" w:rsidRPr="00A4071F" w:rsidRDefault="00CD7279" w:rsidP="0019116E">
            <w:pPr>
              <w:spacing w:before="20" w:after="20"/>
              <w:rPr>
                <w:rFonts w:ascii="Verdana" w:hAnsi="Verdana"/>
                <w:sz w:val="20"/>
                <w:szCs w:val="20"/>
                <w:lang w:val="en-US"/>
              </w:rPr>
            </w:pPr>
            <w:r>
              <w:rPr>
                <w:rFonts w:ascii="Verdana" w:hAnsi="Verdana"/>
                <w:sz w:val="20"/>
                <w:szCs w:val="20"/>
                <w:lang w:val="en-US"/>
              </w:rPr>
              <w:t>(</w:t>
            </w:r>
            <w:r>
              <w:rPr>
                <w:rFonts w:ascii="Verdana" w:hAnsi="Verdana"/>
                <w:sz w:val="20"/>
                <w:szCs w:val="20"/>
              </w:rPr>
              <w:t xml:space="preserve">Портал за обществени консултации на 2 </w:t>
            </w:r>
            <w:r>
              <w:rPr>
                <w:rFonts w:ascii="Verdana" w:hAnsi="Verdana"/>
                <w:sz w:val="20"/>
                <w:szCs w:val="20"/>
                <w:lang w:val="en-US"/>
              </w:rPr>
              <w:t>март</w:t>
            </w:r>
            <w:r>
              <w:rPr>
                <w:rFonts w:ascii="Verdana" w:hAnsi="Verdana"/>
                <w:sz w:val="20"/>
                <w:szCs w:val="20"/>
              </w:rPr>
              <w:t xml:space="preserve"> 2022 г.</w:t>
            </w:r>
            <w:r>
              <w:rPr>
                <w:rFonts w:ascii="Verdana" w:hAnsi="Verdana"/>
                <w:sz w:val="20"/>
                <w:szCs w:val="20"/>
                <w:lang w:val="en-US"/>
              </w:rPr>
              <w:t>)</w:t>
            </w:r>
          </w:p>
        </w:tc>
        <w:tc>
          <w:tcPr>
            <w:tcW w:w="12433" w:type="dxa"/>
            <w:tcBorders>
              <w:top w:val="single" w:sz="24" w:space="0" w:color="2E74B5"/>
              <w:left w:val="single" w:sz="18" w:space="0" w:color="2E74B5"/>
              <w:bottom w:val="nil"/>
              <w:right w:val="single" w:sz="18" w:space="0" w:color="2E74B5"/>
            </w:tcBorders>
            <w:shd w:val="clear" w:color="auto" w:fill="auto"/>
          </w:tcPr>
          <w:p w14:paraId="0FE31EC6" w14:textId="59B45FA9" w:rsidR="00CD7279" w:rsidRPr="00040F76" w:rsidRDefault="00CD7279" w:rsidP="009C4129">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t>Д</w:t>
            </w:r>
            <w:r w:rsidRPr="009C4129">
              <w:rPr>
                <w:rFonts w:ascii="Verdana" w:hAnsi="Verdana"/>
                <w:sz w:val="20"/>
                <w:szCs w:val="20"/>
              </w:rPr>
              <w:t>ефиниция за „селски район</w:t>
            </w:r>
            <w:r>
              <w:rPr>
                <w:rFonts w:ascii="Verdana" w:hAnsi="Verdana"/>
                <w:sz w:val="20"/>
                <w:szCs w:val="20"/>
              </w:rPr>
              <w:t>“</w:t>
            </w:r>
          </w:p>
        </w:tc>
      </w:tr>
      <w:tr w:rsidR="00CD7279" w:rsidRPr="00F413E2" w14:paraId="17E405E1" w14:textId="77777777" w:rsidTr="00CD7279">
        <w:trPr>
          <w:trHeight w:val="74"/>
          <w:jc w:val="center"/>
        </w:trPr>
        <w:tc>
          <w:tcPr>
            <w:tcW w:w="563" w:type="dxa"/>
            <w:vMerge/>
            <w:tcBorders>
              <w:left w:val="single" w:sz="24" w:space="0" w:color="2E74B5"/>
              <w:bottom w:val="nil"/>
              <w:right w:val="single" w:sz="18" w:space="0" w:color="2E74B5"/>
            </w:tcBorders>
            <w:shd w:val="clear" w:color="auto" w:fill="auto"/>
          </w:tcPr>
          <w:p w14:paraId="65B17563" w14:textId="77777777" w:rsidR="00CD7279" w:rsidRDefault="00CD7279" w:rsidP="00040F76">
            <w:pPr>
              <w:tabs>
                <w:tab w:val="left" w:pos="192"/>
              </w:tabs>
              <w:spacing w:before="40" w:after="20"/>
              <w:ind w:left="284"/>
              <w:jc w:val="center"/>
              <w:rPr>
                <w:rFonts w:ascii="Verdana" w:hAnsi="Verdana"/>
                <w:b/>
                <w:color w:val="FF0000"/>
                <w:sz w:val="20"/>
                <w:szCs w:val="20"/>
                <w:lang w:val="en-US"/>
              </w:rPr>
            </w:pPr>
          </w:p>
        </w:tc>
        <w:tc>
          <w:tcPr>
            <w:tcW w:w="2526" w:type="dxa"/>
            <w:vMerge/>
            <w:tcBorders>
              <w:left w:val="single" w:sz="18" w:space="0" w:color="2E74B5"/>
              <w:bottom w:val="nil"/>
              <w:right w:val="single" w:sz="18" w:space="0" w:color="2E74B5"/>
            </w:tcBorders>
            <w:shd w:val="clear" w:color="auto" w:fill="auto"/>
          </w:tcPr>
          <w:p w14:paraId="63F1451C" w14:textId="77777777" w:rsidR="00CD7279" w:rsidRPr="00D22308" w:rsidRDefault="00CD7279" w:rsidP="00040F76">
            <w:pPr>
              <w:spacing w:before="40" w:after="20"/>
              <w:rPr>
                <w:rFonts w:ascii="Verdana" w:hAnsi="Verdana"/>
                <w:sz w:val="20"/>
                <w:szCs w:val="20"/>
              </w:rPr>
            </w:pPr>
          </w:p>
        </w:tc>
        <w:tc>
          <w:tcPr>
            <w:tcW w:w="12433" w:type="dxa"/>
            <w:tcBorders>
              <w:top w:val="nil"/>
              <w:left w:val="single" w:sz="18" w:space="0" w:color="2E74B5"/>
              <w:bottom w:val="nil"/>
              <w:right w:val="single" w:sz="18" w:space="0" w:color="2E74B5"/>
            </w:tcBorders>
            <w:shd w:val="clear" w:color="auto" w:fill="auto"/>
          </w:tcPr>
          <w:p w14:paraId="39F51D76" w14:textId="0A52564F" w:rsidR="00CD7279" w:rsidRPr="00383C33" w:rsidRDefault="00CD7279" w:rsidP="009C4129">
            <w:pPr>
              <w:spacing w:before="60" w:after="20"/>
              <w:jc w:val="both"/>
              <w:rPr>
                <w:rFonts w:ascii="Verdana" w:hAnsi="Verdana"/>
                <w:spacing w:val="-2"/>
                <w:sz w:val="20"/>
                <w:szCs w:val="20"/>
              </w:rPr>
            </w:pPr>
            <w:r w:rsidRPr="009C4129">
              <w:rPr>
                <w:rFonts w:ascii="Verdana" w:hAnsi="Verdana"/>
                <w:spacing w:val="-2"/>
                <w:sz w:val="20"/>
                <w:szCs w:val="20"/>
              </w:rPr>
              <w:t>От плана разбирам</w:t>
            </w:r>
            <w:r>
              <w:rPr>
                <w:rFonts w:ascii="Verdana" w:hAnsi="Verdana"/>
                <w:spacing w:val="-2"/>
                <w:sz w:val="20"/>
                <w:szCs w:val="20"/>
              </w:rPr>
              <w:t>, че дефиниция за „селски район“</w:t>
            </w:r>
            <w:r w:rsidRPr="009C4129">
              <w:rPr>
                <w:rFonts w:ascii="Verdana" w:hAnsi="Verdana"/>
                <w:spacing w:val="-2"/>
                <w:sz w:val="20"/>
                <w:szCs w:val="20"/>
              </w:rPr>
              <w:t xml:space="preserve"> е променена и за такива са обявени общините, в които няма населено мя</w:t>
            </w:r>
            <w:r>
              <w:rPr>
                <w:rFonts w:ascii="Verdana" w:hAnsi="Verdana"/>
                <w:spacing w:val="-2"/>
                <w:sz w:val="20"/>
                <w:szCs w:val="20"/>
              </w:rPr>
              <w:t>сто с население над 15 000 души</w:t>
            </w:r>
            <w:r w:rsidRPr="009C4129">
              <w:rPr>
                <w:rFonts w:ascii="Verdana" w:hAnsi="Verdana"/>
                <w:spacing w:val="-2"/>
                <w:sz w:val="20"/>
                <w:szCs w:val="20"/>
              </w:rPr>
              <w:t>.</w:t>
            </w:r>
            <w:r>
              <w:rPr>
                <w:rFonts w:ascii="Verdana" w:hAnsi="Verdana"/>
                <w:spacing w:val="-2"/>
                <w:sz w:val="20"/>
                <w:szCs w:val="20"/>
              </w:rPr>
              <w:t xml:space="preserve"> </w:t>
            </w:r>
            <w:r w:rsidRPr="009C4129">
              <w:rPr>
                <w:rFonts w:ascii="Verdana" w:hAnsi="Verdana"/>
                <w:spacing w:val="-2"/>
                <w:sz w:val="20"/>
                <w:szCs w:val="20"/>
              </w:rPr>
              <w:t>Разбирам намерението ви да се подп</w:t>
            </w:r>
            <w:r>
              <w:rPr>
                <w:rFonts w:ascii="Verdana" w:hAnsi="Verdana"/>
                <w:spacing w:val="-2"/>
                <w:sz w:val="20"/>
                <w:szCs w:val="20"/>
              </w:rPr>
              <w:t>омогнат най-обезлюдените общини</w:t>
            </w:r>
            <w:r w:rsidRPr="009C4129">
              <w:rPr>
                <w:rFonts w:ascii="Verdana" w:hAnsi="Verdana"/>
                <w:spacing w:val="-2"/>
                <w:sz w:val="20"/>
                <w:szCs w:val="20"/>
              </w:rPr>
              <w:t>,</w:t>
            </w:r>
            <w:r>
              <w:rPr>
                <w:rFonts w:ascii="Verdana" w:hAnsi="Verdana"/>
                <w:spacing w:val="-2"/>
                <w:sz w:val="20"/>
                <w:szCs w:val="20"/>
              </w:rPr>
              <w:t xml:space="preserve"> </w:t>
            </w:r>
            <w:r w:rsidRPr="009C4129">
              <w:rPr>
                <w:rFonts w:ascii="Verdana" w:hAnsi="Verdana"/>
                <w:spacing w:val="-2"/>
                <w:sz w:val="20"/>
                <w:szCs w:val="20"/>
              </w:rPr>
              <w:t>но по този начин се дискриминират много малки общини, в които има град с малко</w:t>
            </w:r>
            <w:r>
              <w:rPr>
                <w:rFonts w:ascii="Verdana" w:hAnsi="Verdana"/>
                <w:spacing w:val="-2"/>
                <w:sz w:val="20"/>
                <w:szCs w:val="20"/>
              </w:rPr>
              <w:t xml:space="preserve"> над 15 000 жители по документи</w:t>
            </w:r>
            <w:r w:rsidRPr="009C4129">
              <w:rPr>
                <w:rFonts w:ascii="Verdana" w:hAnsi="Verdana"/>
                <w:spacing w:val="-2"/>
                <w:sz w:val="20"/>
                <w:szCs w:val="20"/>
              </w:rPr>
              <w:t>.</w:t>
            </w:r>
            <w:r>
              <w:rPr>
                <w:rFonts w:ascii="Verdana" w:hAnsi="Verdana"/>
                <w:spacing w:val="-2"/>
                <w:sz w:val="20"/>
                <w:szCs w:val="20"/>
              </w:rPr>
              <w:t xml:space="preserve"> </w:t>
            </w:r>
            <w:r w:rsidRPr="009C4129">
              <w:rPr>
                <w:rFonts w:ascii="Verdana" w:hAnsi="Verdana"/>
                <w:spacing w:val="-2"/>
                <w:sz w:val="20"/>
                <w:szCs w:val="20"/>
              </w:rPr>
              <w:t xml:space="preserve">Смятам за нужно да се преразгледа този праг от 15 000 жители (в </w:t>
            </w:r>
            <w:r>
              <w:rPr>
                <w:rFonts w:ascii="Verdana" w:hAnsi="Verdana"/>
                <w:spacing w:val="-2"/>
                <w:sz w:val="20"/>
                <w:szCs w:val="20"/>
              </w:rPr>
              <w:t>предишни периоди той бе 30 000)</w:t>
            </w:r>
            <w:r w:rsidRPr="009C4129">
              <w:rPr>
                <w:rFonts w:ascii="Verdana" w:hAnsi="Verdana"/>
                <w:spacing w:val="-2"/>
                <w:sz w:val="20"/>
                <w:szCs w:val="20"/>
              </w:rPr>
              <w:t>.</w:t>
            </w:r>
            <w:r>
              <w:rPr>
                <w:rFonts w:ascii="Verdana" w:hAnsi="Verdana"/>
                <w:spacing w:val="-2"/>
                <w:sz w:val="20"/>
                <w:szCs w:val="20"/>
              </w:rPr>
              <w:t xml:space="preserve"> </w:t>
            </w:r>
            <w:r w:rsidRPr="009C4129">
              <w:rPr>
                <w:rFonts w:ascii="Verdana" w:hAnsi="Verdana"/>
                <w:spacing w:val="-2"/>
                <w:sz w:val="20"/>
                <w:szCs w:val="20"/>
              </w:rPr>
              <w:t xml:space="preserve">Защото е различно колко души са пребороени в дадено населено място и колко реално </w:t>
            </w:r>
            <w:r>
              <w:rPr>
                <w:rFonts w:ascii="Verdana" w:hAnsi="Verdana"/>
                <w:spacing w:val="-2"/>
                <w:sz w:val="20"/>
                <w:szCs w:val="20"/>
              </w:rPr>
              <w:t>живеят и намират препитание там</w:t>
            </w:r>
            <w:r w:rsidRPr="009C4129">
              <w:rPr>
                <w:rFonts w:ascii="Verdana" w:hAnsi="Verdana"/>
                <w:spacing w:val="-2"/>
                <w:sz w:val="20"/>
                <w:szCs w:val="20"/>
              </w:rPr>
              <w:t>.</w:t>
            </w:r>
            <w:r>
              <w:rPr>
                <w:rFonts w:ascii="Verdana" w:hAnsi="Verdana"/>
                <w:spacing w:val="-2"/>
                <w:sz w:val="20"/>
                <w:szCs w:val="20"/>
              </w:rPr>
              <w:t xml:space="preserve"> </w:t>
            </w:r>
          </w:p>
        </w:tc>
      </w:tr>
      <w:tr w:rsidR="00CD7279" w:rsidRPr="00F413E2" w14:paraId="0B3A427A" w14:textId="77777777" w:rsidTr="00CD7279">
        <w:trPr>
          <w:trHeight w:val="41"/>
          <w:jc w:val="center"/>
        </w:trPr>
        <w:tc>
          <w:tcPr>
            <w:tcW w:w="563" w:type="dxa"/>
            <w:vMerge/>
            <w:tcBorders>
              <w:top w:val="nil"/>
              <w:left w:val="single" w:sz="24" w:space="0" w:color="2E74B5"/>
              <w:bottom w:val="single" w:sz="24" w:space="0" w:color="548DD4" w:themeColor="text2" w:themeTint="99"/>
              <w:right w:val="single" w:sz="18" w:space="0" w:color="2E74B5"/>
            </w:tcBorders>
            <w:shd w:val="clear" w:color="auto" w:fill="auto"/>
          </w:tcPr>
          <w:p w14:paraId="1439BAE7" w14:textId="77777777" w:rsidR="00CD7279" w:rsidRDefault="00CD7279" w:rsidP="0019522B">
            <w:pPr>
              <w:tabs>
                <w:tab w:val="left" w:pos="192"/>
              </w:tabs>
              <w:spacing w:before="60" w:after="20"/>
              <w:ind w:left="284"/>
              <w:jc w:val="center"/>
              <w:rPr>
                <w:rFonts w:ascii="Verdana" w:hAnsi="Verdana"/>
                <w:b/>
                <w:color w:val="FF0000"/>
                <w:sz w:val="20"/>
                <w:szCs w:val="20"/>
                <w:lang w:val="en-US"/>
              </w:rPr>
            </w:pPr>
          </w:p>
        </w:tc>
        <w:tc>
          <w:tcPr>
            <w:tcW w:w="2526" w:type="dxa"/>
            <w:vMerge/>
            <w:tcBorders>
              <w:top w:val="nil"/>
              <w:left w:val="single" w:sz="18" w:space="0" w:color="2E74B5"/>
              <w:bottom w:val="single" w:sz="24" w:space="0" w:color="548DD4" w:themeColor="text2" w:themeTint="99"/>
              <w:right w:val="single" w:sz="18" w:space="0" w:color="2E74B5"/>
            </w:tcBorders>
            <w:shd w:val="clear" w:color="auto" w:fill="auto"/>
          </w:tcPr>
          <w:p w14:paraId="05C3EE69" w14:textId="77777777" w:rsidR="00CD7279" w:rsidRPr="00D22308" w:rsidRDefault="00CD7279" w:rsidP="0019522B">
            <w:pPr>
              <w:spacing w:before="60" w:after="20"/>
              <w:rPr>
                <w:rFonts w:ascii="Verdana" w:hAnsi="Verdana"/>
                <w:sz w:val="20"/>
                <w:szCs w:val="20"/>
              </w:rPr>
            </w:pPr>
          </w:p>
        </w:tc>
        <w:tc>
          <w:tcPr>
            <w:tcW w:w="12433" w:type="dxa"/>
            <w:tcBorders>
              <w:top w:val="nil"/>
              <w:left w:val="single" w:sz="18" w:space="0" w:color="2E74B5"/>
              <w:bottom w:val="single" w:sz="24" w:space="0" w:color="548DD4" w:themeColor="text2" w:themeTint="99"/>
              <w:right w:val="single" w:sz="18" w:space="0" w:color="2E74B5"/>
            </w:tcBorders>
            <w:shd w:val="clear" w:color="auto" w:fill="auto"/>
          </w:tcPr>
          <w:p w14:paraId="489DF85A" w14:textId="11191549" w:rsidR="00CD7279" w:rsidRDefault="00CD7279" w:rsidP="0019522B">
            <w:pPr>
              <w:spacing w:before="60" w:after="20"/>
              <w:jc w:val="both"/>
              <w:rPr>
                <w:rFonts w:ascii="Verdana" w:hAnsi="Verdana"/>
                <w:sz w:val="20"/>
                <w:szCs w:val="20"/>
              </w:rPr>
            </w:pPr>
          </w:p>
        </w:tc>
      </w:tr>
      <w:tr w:rsidR="00CD7279" w:rsidRPr="00F413E2" w14:paraId="197258A9" w14:textId="77777777" w:rsidTr="00CD7279">
        <w:trPr>
          <w:trHeight w:val="44"/>
          <w:jc w:val="center"/>
        </w:trPr>
        <w:tc>
          <w:tcPr>
            <w:tcW w:w="563" w:type="dxa"/>
            <w:vMerge w:val="restart"/>
            <w:tcBorders>
              <w:top w:val="single" w:sz="24" w:space="0" w:color="548DD4" w:themeColor="text2" w:themeTint="99"/>
              <w:left w:val="single" w:sz="24" w:space="0" w:color="2E74B5"/>
              <w:bottom w:val="nil"/>
              <w:right w:val="single" w:sz="18" w:space="0" w:color="2E74B5"/>
            </w:tcBorders>
            <w:shd w:val="clear" w:color="auto" w:fill="auto"/>
          </w:tcPr>
          <w:p w14:paraId="0F818495" w14:textId="77777777" w:rsidR="00CD7279" w:rsidRPr="00F20732" w:rsidRDefault="00CD7279" w:rsidP="00D13E5D">
            <w:pPr>
              <w:numPr>
                <w:ilvl w:val="0"/>
                <w:numId w:val="5"/>
              </w:numPr>
              <w:tabs>
                <w:tab w:val="left" w:pos="192"/>
              </w:tabs>
              <w:spacing w:before="60" w:after="20"/>
              <w:ind w:left="0"/>
              <w:jc w:val="right"/>
              <w:rPr>
                <w:rFonts w:ascii="Verdana" w:hAnsi="Verdana"/>
                <w:sz w:val="20"/>
                <w:szCs w:val="20"/>
                <w:lang w:val="en-US"/>
              </w:rPr>
            </w:pPr>
          </w:p>
        </w:tc>
        <w:tc>
          <w:tcPr>
            <w:tcW w:w="2526" w:type="dxa"/>
            <w:vMerge w:val="restart"/>
            <w:tcBorders>
              <w:top w:val="single" w:sz="24" w:space="0" w:color="548DD4" w:themeColor="text2" w:themeTint="99"/>
              <w:left w:val="single" w:sz="18" w:space="0" w:color="2E74B5"/>
              <w:bottom w:val="nil"/>
              <w:right w:val="single" w:sz="18" w:space="0" w:color="2E74B5"/>
            </w:tcBorders>
            <w:shd w:val="clear" w:color="auto" w:fill="auto"/>
          </w:tcPr>
          <w:p w14:paraId="56774272" w14:textId="0BABF42D" w:rsidR="00CD7279" w:rsidRPr="00DE3B9C" w:rsidRDefault="00CD7279" w:rsidP="00DE3B9C">
            <w:pPr>
              <w:spacing w:before="60" w:after="20"/>
              <w:rPr>
                <w:rFonts w:ascii="Verdana" w:hAnsi="Verdana"/>
                <w:sz w:val="20"/>
                <w:szCs w:val="20"/>
                <w:lang w:val="en-US"/>
              </w:rPr>
            </w:pPr>
            <w:r w:rsidRPr="00DE3B9C">
              <w:rPr>
                <w:rFonts w:ascii="Verdana" w:hAnsi="Verdana"/>
                <w:sz w:val="20"/>
                <w:szCs w:val="20"/>
                <w:lang w:val="en-US"/>
              </w:rPr>
              <w:t>tzviatkov</w:t>
            </w:r>
          </w:p>
          <w:p w14:paraId="1C4818CF" w14:textId="2AC37103" w:rsidR="00CD7279" w:rsidRPr="00A4071F" w:rsidRDefault="00CD7279" w:rsidP="00DE3B9C">
            <w:pPr>
              <w:spacing w:before="60" w:after="20"/>
              <w:rPr>
                <w:rFonts w:ascii="Verdana" w:hAnsi="Verdana"/>
                <w:sz w:val="20"/>
                <w:szCs w:val="20"/>
                <w:lang w:val="en-US"/>
              </w:rPr>
            </w:pPr>
            <w:r>
              <w:rPr>
                <w:rFonts w:ascii="Verdana" w:hAnsi="Verdana"/>
                <w:sz w:val="20"/>
                <w:szCs w:val="20"/>
              </w:rPr>
              <w:t>(</w:t>
            </w:r>
            <w:r w:rsidRPr="00DE3B9C">
              <w:rPr>
                <w:rFonts w:ascii="Verdana" w:hAnsi="Verdana"/>
                <w:sz w:val="20"/>
                <w:szCs w:val="20"/>
              </w:rPr>
              <w:t>Порта</w:t>
            </w:r>
            <w:r>
              <w:rPr>
                <w:rFonts w:ascii="Verdana" w:hAnsi="Verdana"/>
                <w:sz w:val="20"/>
                <w:szCs w:val="20"/>
              </w:rPr>
              <w:t>л за обществени консултации на 9</w:t>
            </w:r>
            <w:r w:rsidRPr="00DE3B9C">
              <w:rPr>
                <w:rFonts w:ascii="Verdana" w:hAnsi="Verdana"/>
                <w:sz w:val="20"/>
                <w:szCs w:val="20"/>
              </w:rPr>
              <w:t xml:space="preserve"> </w:t>
            </w:r>
            <w:r>
              <w:rPr>
                <w:rFonts w:ascii="Verdana" w:hAnsi="Verdana"/>
                <w:sz w:val="20"/>
                <w:szCs w:val="20"/>
              </w:rPr>
              <w:t>и 10</w:t>
            </w:r>
            <w:r>
              <w:rPr>
                <w:rFonts w:ascii="Verdana" w:hAnsi="Verdana"/>
                <w:sz w:val="20"/>
                <w:szCs w:val="20"/>
                <w:lang w:val="en-US"/>
              </w:rPr>
              <w:t xml:space="preserve"> </w:t>
            </w:r>
            <w:r>
              <w:rPr>
                <w:rFonts w:ascii="Verdana" w:hAnsi="Verdana"/>
                <w:sz w:val="20"/>
                <w:szCs w:val="20"/>
              </w:rPr>
              <w:t xml:space="preserve">и 31 </w:t>
            </w:r>
            <w:r w:rsidRPr="00DE3B9C">
              <w:rPr>
                <w:rFonts w:ascii="Verdana" w:hAnsi="Verdana"/>
                <w:sz w:val="20"/>
                <w:szCs w:val="20"/>
              </w:rPr>
              <w:t>март 2022 г.</w:t>
            </w:r>
            <w:r>
              <w:rPr>
                <w:rFonts w:ascii="Verdana" w:hAnsi="Verdana"/>
                <w:sz w:val="20"/>
                <w:szCs w:val="20"/>
                <w:lang w:val="en-US"/>
              </w:rPr>
              <w:t>)</w:t>
            </w:r>
          </w:p>
        </w:tc>
        <w:tc>
          <w:tcPr>
            <w:tcW w:w="12433" w:type="dxa"/>
            <w:tcBorders>
              <w:top w:val="single" w:sz="24" w:space="0" w:color="548DD4" w:themeColor="text2" w:themeTint="99"/>
              <w:left w:val="single" w:sz="18" w:space="0" w:color="2E74B5"/>
              <w:bottom w:val="nil"/>
              <w:right w:val="single" w:sz="18" w:space="0" w:color="2E74B5"/>
            </w:tcBorders>
            <w:shd w:val="clear" w:color="auto" w:fill="auto"/>
          </w:tcPr>
          <w:p w14:paraId="6951873F" w14:textId="77777777" w:rsidR="00CD7279" w:rsidRPr="00E127D5" w:rsidRDefault="00CD7279" w:rsidP="00E127D5">
            <w:pPr>
              <w:spacing w:before="60" w:after="20"/>
              <w:jc w:val="both"/>
              <w:rPr>
                <w:rFonts w:ascii="Verdana" w:hAnsi="Verdana"/>
                <w:spacing w:val="4"/>
                <w:sz w:val="20"/>
                <w:szCs w:val="20"/>
              </w:rPr>
            </w:pPr>
            <w:r w:rsidRPr="00E127D5">
              <w:rPr>
                <w:rFonts w:ascii="Verdana" w:hAnsi="Verdana"/>
                <w:spacing w:val="4"/>
                <w:sz w:val="20"/>
                <w:szCs w:val="20"/>
              </w:rPr>
              <w:t>Забележка</w:t>
            </w:r>
          </w:p>
          <w:p w14:paraId="0D051F50" w14:textId="77BE6AED" w:rsidR="00CD7279" w:rsidRPr="000B7EFE" w:rsidRDefault="00CD7279" w:rsidP="00E127D5">
            <w:pPr>
              <w:spacing w:before="60" w:after="20"/>
              <w:jc w:val="both"/>
              <w:rPr>
                <w:rFonts w:ascii="Verdana" w:hAnsi="Verdana"/>
                <w:spacing w:val="4"/>
                <w:sz w:val="20"/>
                <w:szCs w:val="20"/>
              </w:rPr>
            </w:pPr>
            <w:r w:rsidRPr="00E127D5">
              <w:rPr>
                <w:rFonts w:ascii="Verdana" w:hAnsi="Verdana"/>
                <w:spacing w:val="4"/>
                <w:sz w:val="20"/>
                <w:szCs w:val="20"/>
              </w:rPr>
              <w:t>Предложеният стратегически план не е изцяло на български език, което води до неточно и нееднозначно тълкуване на предложените текстове в него.</w:t>
            </w:r>
          </w:p>
        </w:tc>
      </w:tr>
      <w:tr w:rsidR="00CD7279" w:rsidRPr="00F413E2" w14:paraId="0C2A1230" w14:textId="77777777" w:rsidTr="00CD7279">
        <w:trPr>
          <w:trHeight w:val="74"/>
          <w:jc w:val="center"/>
        </w:trPr>
        <w:tc>
          <w:tcPr>
            <w:tcW w:w="563" w:type="dxa"/>
            <w:vMerge/>
            <w:tcBorders>
              <w:top w:val="nil"/>
              <w:left w:val="single" w:sz="24" w:space="0" w:color="2E74B5"/>
              <w:bottom w:val="nil"/>
              <w:right w:val="single" w:sz="18" w:space="0" w:color="2E74B5"/>
            </w:tcBorders>
            <w:shd w:val="clear" w:color="auto" w:fill="auto"/>
          </w:tcPr>
          <w:p w14:paraId="0A2C91BE"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vMerge/>
            <w:tcBorders>
              <w:top w:val="nil"/>
              <w:left w:val="single" w:sz="18" w:space="0" w:color="2E74B5"/>
              <w:bottom w:val="nil"/>
              <w:right w:val="single" w:sz="18" w:space="0" w:color="2E74B5"/>
            </w:tcBorders>
            <w:shd w:val="clear" w:color="auto" w:fill="auto"/>
          </w:tcPr>
          <w:p w14:paraId="6ADFCA10"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76905F0" w14:textId="77777777" w:rsidR="00CD7279" w:rsidRPr="00E127D5" w:rsidRDefault="00CD7279" w:rsidP="00E127D5">
            <w:pPr>
              <w:widowControl w:val="0"/>
              <w:tabs>
                <w:tab w:val="left" w:pos="1565"/>
              </w:tabs>
              <w:autoSpaceDE w:val="0"/>
              <w:autoSpaceDN w:val="0"/>
              <w:spacing w:before="60" w:after="20"/>
              <w:jc w:val="both"/>
              <w:rPr>
                <w:rFonts w:ascii="Verdana" w:hAnsi="Verdana"/>
                <w:sz w:val="20"/>
                <w:szCs w:val="20"/>
              </w:rPr>
            </w:pPr>
            <w:r w:rsidRPr="00E127D5">
              <w:rPr>
                <w:rFonts w:ascii="Verdana" w:hAnsi="Verdana"/>
                <w:sz w:val="20"/>
                <w:szCs w:val="20"/>
              </w:rPr>
              <w:t>Забележка</w:t>
            </w:r>
            <w:r w:rsidRPr="00E127D5">
              <w:rPr>
                <w:rFonts w:ascii="Verdana" w:hAnsi="Verdana"/>
                <w:sz w:val="20"/>
                <w:szCs w:val="20"/>
              </w:rPr>
              <w:tab/>
            </w:r>
            <w:r w:rsidRPr="00E127D5">
              <w:rPr>
                <w:rFonts w:ascii="Verdana" w:hAnsi="Verdana"/>
                <w:sz w:val="20"/>
                <w:szCs w:val="20"/>
              </w:rPr>
              <w:tab/>
            </w:r>
            <w:r w:rsidRPr="00E127D5">
              <w:rPr>
                <w:rFonts w:ascii="Verdana" w:hAnsi="Verdana"/>
                <w:sz w:val="20"/>
                <w:szCs w:val="20"/>
              </w:rPr>
              <w:tab/>
            </w:r>
            <w:r w:rsidRPr="00E127D5">
              <w:rPr>
                <w:rFonts w:ascii="Verdana" w:hAnsi="Verdana"/>
                <w:sz w:val="20"/>
                <w:szCs w:val="20"/>
              </w:rPr>
              <w:tab/>
            </w:r>
          </w:p>
          <w:p w14:paraId="2657AFD1" w14:textId="1315C266" w:rsidR="00CD7279" w:rsidRPr="00AB2360" w:rsidRDefault="00CD7279" w:rsidP="00E127D5">
            <w:pPr>
              <w:widowControl w:val="0"/>
              <w:tabs>
                <w:tab w:val="left" w:pos="1565"/>
              </w:tabs>
              <w:autoSpaceDE w:val="0"/>
              <w:autoSpaceDN w:val="0"/>
              <w:spacing w:before="60" w:after="20"/>
              <w:jc w:val="both"/>
              <w:rPr>
                <w:rFonts w:ascii="Verdana" w:hAnsi="Verdana"/>
                <w:sz w:val="20"/>
                <w:szCs w:val="20"/>
              </w:rPr>
            </w:pPr>
            <w:r w:rsidRPr="00E127D5">
              <w:rPr>
                <w:rFonts w:ascii="Verdana" w:hAnsi="Verdana"/>
                <w:sz w:val="20"/>
                <w:szCs w:val="20"/>
              </w:rPr>
              <w:t>Описването на специфичните цели на страници 93-120 не е представено в лесен за проследяване формат.</w:t>
            </w:r>
          </w:p>
        </w:tc>
      </w:tr>
      <w:tr w:rsidR="00CD7279" w:rsidRPr="00F413E2" w14:paraId="3E809A0A"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B7C33A0"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6D570FF"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1583BC0" w14:textId="4321863A" w:rsidR="00CD7279" w:rsidRDefault="00CD7279" w:rsidP="003863D0">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Забележка</w:t>
            </w:r>
          </w:p>
          <w:p w14:paraId="155CA175" w14:textId="470FB9D0" w:rsidR="00CD7279" w:rsidRPr="003863D0" w:rsidRDefault="00CD7279" w:rsidP="003863D0">
            <w:pPr>
              <w:widowControl w:val="0"/>
              <w:tabs>
                <w:tab w:val="left" w:pos="1565"/>
              </w:tabs>
              <w:autoSpaceDE w:val="0"/>
              <w:autoSpaceDN w:val="0"/>
              <w:spacing w:before="60" w:after="20"/>
              <w:jc w:val="both"/>
              <w:rPr>
                <w:rFonts w:ascii="Verdana" w:hAnsi="Verdana"/>
                <w:spacing w:val="2"/>
                <w:sz w:val="20"/>
                <w:szCs w:val="20"/>
              </w:rPr>
            </w:pPr>
            <w:r w:rsidRPr="003863D0">
              <w:rPr>
                <w:rFonts w:ascii="Verdana" w:hAnsi="Verdana"/>
                <w:spacing w:val="2"/>
                <w:sz w:val="20"/>
                <w:szCs w:val="20"/>
              </w:rPr>
              <w:t>Таблици от стратегическия план не са придружитени от забележка с приложимата мерна единица или в самите тях не са записани тези мерни единици.</w:t>
            </w:r>
          </w:p>
        </w:tc>
      </w:tr>
      <w:tr w:rsidR="00CD7279" w:rsidRPr="00F413E2" w14:paraId="67F335FD"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DD58B2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4485DD0"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1FE78347" w14:textId="71ACE484" w:rsidR="00CD7279" w:rsidRDefault="00CD7279" w:rsidP="00D81E75">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Уточнение</w:t>
            </w:r>
          </w:p>
          <w:p w14:paraId="3FD0F530" w14:textId="649E170F" w:rsidR="00CD7279" w:rsidRPr="00D81E75" w:rsidRDefault="00CD7279" w:rsidP="00D81E75">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В „</w:t>
            </w:r>
            <w:r w:rsidRPr="00D81E75">
              <w:rPr>
                <w:rFonts w:ascii="Verdana" w:hAnsi="Verdana"/>
                <w:spacing w:val="2"/>
                <w:sz w:val="20"/>
                <w:szCs w:val="20"/>
              </w:rPr>
              <w:t>Brief description of the set up and organisa</w:t>
            </w:r>
            <w:r>
              <w:rPr>
                <w:rFonts w:ascii="Verdana" w:hAnsi="Verdana"/>
                <w:spacing w:val="2"/>
                <w:sz w:val="20"/>
                <w:szCs w:val="20"/>
              </w:rPr>
              <w:t>tion of the Competent Authority“</w:t>
            </w:r>
            <w:r w:rsidRPr="00D81E75">
              <w:rPr>
                <w:rFonts w:ascii="Verdana" w:hAnsi="Verdana"/>
                <w:spacing w:val="2"/>
                <w:sz w:val="20"/>
                <w:szCs w:val="20"/>
              </w:rPr>
              <w:t xml:space="preserve"> е записано:</w:t>
            </w:r>
          </w:p>
          <w:p w14:paraId="5A1CED08" w14:textId="2CBDFB30" w:rsidR="00CD7279" w:rsidRPr="00D81E75" w:rsidRDefault="00CD7279" w:rsidP="00D81E75">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w:t>
            </w:r>
            <w:r w:rsidRPr="00D81E75">
              <w:rPr>
                <w:rFonts w:ascii="Verdana" w:hAnsi="Verdana"/>
                <w:spacing w:val="2"/>
                <w:sz w:val="20"/>
                <w:szCs w:val="20"/>
              </w:rPr>
              <w:t>Компетентен орган е министъра на земеделието, храните и горите, като дейностите ще се подпомагат от структура в Министерство на земеделието – дирекция на пряко подчинение на Министъра на земеделието, с ръководител – директор и служители с експертни и/или одиторски функции. Компетентния орган ще осъществява функции по:</w:t>
            </w:r>
          </w:p>
          <w:p w14:paraId="7D5B856F" w14:textId="0AB93127" w:rsidR="00CD7279" w:rsidRPr="00D81E75" w:rsidRDefault="00CD7279" w:rsidP="00D81E75">
            <w:pPr>
              <w:widowControl w:val="0"/>
              <w:tabs>
                <w:tab w:val="left" w:pos="1565"/>
              </w:tabs>
              <w:autoSpaceDE w:val="0"/>
              <w:autoSpaceDN w:val="0"/>
              <w:spacing w:before="60" w:after="20"/>
              <w:jc w:val="both"/>
              <w:rPr>
                <w:rFonts w:ascii="Verdana" w:hAnsi="Verdana"/>
                <w:spacing w:val="2"/>
                <w:sz w:val="20"/>
                <w:szCs w:val="20"/>
              </w:rPr>
            </w:pPr>
            <w:r w:rsidRPr="00D81E75">
              <w:rPr>
                <w:rFonts w:ascii="Verdana" w:hAnsi="Verdana"/>
                <w:spacing w:val="2"/>
                <w:sz w:val="20"/>
                <w:szCs w:val="20"/>
              </w:rPr>
              <w:t>- назначаването и оттегляне на назначаван</w:t>
            </w:r>
            <w:r>
              <w:rPr>
                <w:rFonts w:ascii="Verdana" w:hAnsi="Verdana"/>
                <w:spacing w:val="2"/>
                <w:sz w:val="20"/>
                <w:szCs w:val="20"/>
              </w:rPr>
              <w:t>ето на Сертифициращ орган (СО),“</w:t>
            </w:r>
          </w:p>
          <w:p w14:paraId="1308FEDC" w14:textId="1DC56F47" w:rsidR="00CD7279" w:rsidRPr="00D81E75" w:rsidRDefault="00CD7279" w:rsidP="00D81E75">
            <w:pPr>
              <w:widowControl w:val="0"/>
              <w:tabs>
                <w:tab w:val="left" w:pos="1565"/>
              </w:tabs>
              <w:autoSpaceDE w:val="0"/>
              <w:autoSpaceDN w:val="0"/>
              <w:spacing w:before="60" w:after="20"/>
              <w:jc w:val="both"/>
              <w:rPr>
                <w:rFonts w:ascii="Verdana" w:hAnsi="Verdana"/>
                <w:spacing w:val="2"/>
                <w:sz w:val="20"/>
                <w:szCs w:val="20"/>
              </w:rPr>
            </w:pPr>
            <w:r w:rsidRPr="00D81E75">
              <w:rPr>
                <w:rFonts w:ascii="Verdana" w:hAnsi="Verdana"/>
                <w:spacing w:val="2"/>
                <w:sz w:val="20"/>
                <w:szCs w:val="20"/>
              </w:rPr>
              <w:lastRenderedPageBreak/>
              <w:t>Защо в текста на стратегически план не е коригирано наименованието на министерството?</w:t>
            </w:r>
          </w:p>
          <w:p w14:paraId="1743DE10" w14:textId="5B2603E7" w:rsidR="00CD7279" w:rsidRPr="003863D0" w:rsidRDefault="00CD7279" w:rsidP="00D81E75">
            <w:pPr>
              <w:widowControl w:val="0"/>
              <w:tabs>
                <w:tab w:val="left" w:pos="1565"/>
              </w:tabs>
              <w:autoSpaceDE w:val="0"/>
              <w:autoSpaceDN w:val="0"/>
              <w:spacing w:before="60" w:after="20"/>
              <w:jc w:val="both"/>
              <w:rPr>
                <w:rFonts w:ascii="Verdana" w:hAnsi="Verdana"/>
                <w:spacing w:val="2"/>
                <w:sz w:val="20"/>
                <w:szCs w:val="20"/>
              </w:rPr>
            </w:pPr>
            <w:r w:rsidRPr="00D81E75">
              <w:rPr>
                <w:rFonts w:ascii="Verdana" w:hAnsi="Verdana"/>
                <w:spacing w:val="2"/>
                <w:sz w:val="20"/>
                <w:szCs w:val="20"/>
              </w:rPr>
              <w:t>Министърът на земеделието ли ще назначава СО или Министърът на финансите?</w:t>
            </w:r>
          </w:p>
        </w:tc>
      </w:tr>
      <w:tr w:rsidR="00CD7279" w:rsidRPr="00F413E2" w14:paraId="6BE33D6C"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27D7CD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32AB79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148CE7D" w14:textId="1B95845B" w:rsidR="00CD7279" w:rsidRDefault="00CD7279" w:rsidP="00D81E75">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Предложение</w:t>
            </w:r>
          </w:p>
          <w:p w14:paraId="28D20F52" w14:textId="22494E2D" w:rsidR="00CD7279" w:rsidRPr="003863D0" w:rsidRDefault="00CD7279" w:rsidP="00D81E75">
            <w:pPr>
              <w:widowControl w:val="0"/>
              <w:tabs>
                <w:tab w:val="left" w:pos="1565"/>
              </w:tabs>
              <w:autoSpaceDE w:val="0"/>
              <w:autoSpaceDN w:val="0"/>
              <w:spacing w:before="60" w:after="20"/>
              <w:jc w:val="both"/>
              <w:rPr>
                <w:rFonts w:ascii="Verdana" w:hAnsi="Verdana"/>
                <w:spacing w:val="2"/>
                <w:sz w:val="20"/>
                <w:szCs w:val="20"/>
              </w:rPr>
            </w:pPr>
            <w:r w:rsidRPr="00D81E75">
              <w:rPr>
                <w:rFonts w:ascii="Verdana" w:hAnsi="Verdana"/>
                <w:spacing w:val="2"/>
                <w:sz w:val="20"/>
                <w:szCs w:val="20"/>
              </w:rPr>
              <w:t>Т</w:t>
            </w:r>
            <w:r>
              <w:rPr>
                <w:rFonts w:ascii="Verdana" w:hAnsi="Verdana"/>
                <w:spacing w:val="2"/>
                <w:sz w:val="20"/>
                <w:szCs w:val="20"/>
              </w:rPr>
              <w:t>екстът „</w:t>
            </w:r>
            <w:r w:rsidRPr="00D81E75">
              <w:rPr>
                <w:rFonts w:ascii="Verdana" w:hAnsi="Verdana"/>
                <w:spacing w:val="2"/>
                <w:sz w:val="20"/>
                <w:szCs w:val="20"/>
              </w:rPr>
              <w:t>Бенефициентите по СПРЗСР ще предоставят данни за наблюдение при попълване на заявленията за кандидатстване и искания за плащане, като събирането на данни следва да започне на етапа на кандидатстване и впоследствие данните да бъдат актуализирани на етап одобрение на п</w:t>
            </w:r>
            <w:r>
              <w:rPr>
                <w:rFonts w:ascii="Verdana" w:hAnsi="Verdana"/>
                <w:spacing w:val="2"/>
                <w:sz w:val="20"/>
                <w:szCs w:val="20"/>
              </w:rPr>
              <w:t>одкрепата и отделните плащания.“</w:t>
            </w:r>
            <w:r w:rsidRPr="00D81E75">
              <w:rPr>
                <w:rFonts w:ascii="Verdana" w:hAnsi="Verdana"/>
                <w:spacing w:val="2"/>
                <w:sz w:val="20"/>
                <w:szCs w:val="20"/>
              </w:rPr>
              <w:t xml:space="preserve"> предлагам да се разшири и да се задължи ДФЗ-РА автоматично да попълва полета във формулярите, с наличните данни за кандидат/бенефициент, които при нужда да се коригират.</w:t>
            </w:r>
          </w:p>
        </w:tc>
      </w:tr>
      <w:tr w:rsidR="00CD7279" w:rsidRPr="00F413E2" w14:paraId="7E090CB9"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7FE5503"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31014A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88A56B6" w14:textId="13C5BE70" w:rsidR="00CD7279" w:rsidRDefault="00CD7279" w:rsidP="00FE65D1">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Предложение</w:t>
            </w:r>
            <w:r>
              <w:rPr>
                <w:rFonts w:ascii="Verdana" w:hAnsi="Verdana"/>
                <w:spacing w:val="2"/>
                <w:sz w:val="20"/>
                <w:szCs w:val="20"/>
              </w:rPr>
              <w:t>:</w:t>
            </w:r>
          </w:p>
          <w:p w14:paraId="0847791B" w14:textId="18CF6CB7" w:rsidR="00CD7279" w:rsidRPr="00FE65D1" w:rsidRDefault="00CD7279" w:rsidP="00FE65D1">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Текстът „</w:t>
            </w:r>
            <w:r w:rsidRPr="00FE65D1">
              <w:rPr>
                <w:rFonts w:ascii="Verdana" w:hAnsi="Verdana"/>
                <w:spacing w:val="2"/>
                <w:sz w:val="20"/>
                <w:szCs w:val="20"/>
              </w:rPr>
              <w:t>Разплащателна агенция осигурява създаването на информационната система за мониторинг в, описана по-горе, включително и форми за наблюдение за всяка интервенция, които са задължителна част от заявлението за кандидатстване, и които позволяват извеждане на стойности за индикаторния план в срок до стартиране на изпълнението на СПРЗСР. Във формите за наблюдение и оценка, които се попълват от бенефициентите е необходимо да се предвиди и събиране на информация за индикатори и данни, необходими за о</w:t>
            </w:r>
            <w:r>
              <w:rPr>
                <w:rFonts w:ascii="Verdana" w:hAnsi="Verdana"/>
                <w:spacing w:val="2"/>
                <w:sz w:val="20"/>
                <w:szCs w:val="20"/>
              </w:rPr>
              <w:t>ценките на Стратегическия план.“</w:t>
            </w:r>
            <w:r w:rsidRPr="00FE65D1">
              <w:rPr>
                <w:rFonts w:ascii="Verdana" w:hAnsi="Verdana"/>
                <w:spacing w:val="2"/>
                <w:sz w:val="20"/>
                <w:szCs w:val="20"/>
              </w:rPr>
              <w:t xml:space="preserve"> създава изключително висока административна тежест за кандидат/бенефициент, като го задължава да е запознат със спецификата на всяка цел и индикатори, за да може коректно да попълни тази форма за наблюдение.</w:t>
            </w:r>
          </w:p>
          <w:p w14:paraId="6AF620B7" w14:textId="2CF40D19" w:rsidR="00CD7279" w:rsidRPr="003863D0" w:rsidRDefault="00CD7279" w:rsidP="00FE65D1">
            <w:pPr>
              <w:widowControl w:val="0"/>
              <w:tabs>
                <w:tab w:val="left" w:pos="1565"/>
              </w:tabs>
              <w:autoSpaceDE w:val="0"/>
              <w:autoSpaceDN w:val="0"/>
              <w:spacing w:before="60" w:after="20"/>
              <w:jc w:val="both"/>
              <w:rPr>
                <w:rFonts w:ascii="Verdana" w:hAnsi="Verdana"/>
                <w:spacing w:val="2"/>
                <w:sz w:val="20"/>
                <w:szCs w:val="20"/>
              </w:rPr>
            </w:pPr>
            <w:r w:rsidRPr="00FE65D1">
              <w:rPr>
                <w:rFonts w:ascii="Verdana" w:hAnsi="Verdana"/>
                <w:spacing w:val="2"/>
                <w:sz w:val="20"/>
                <w:szCs w:val="20"/>
              </w:rPr>
              <w:t>Предлагам да се прецизира обхвата на тази информационна система и да не се дава възможност на ДФЗ-РА да изисква данни и да задължава кандидатите/бенефициентите да изпълняват нейни</w:t>
            </w:r>
            <w:r>
              <w:rPr>
                <w:rFonts w:ascii="Verdana" w:hAnsi="Verdana"/>
                <w:spacing w:val="2"/>
                <w:sz w:val="20"/>
                <w:szCs w:val="20"/>
              </w:rPr>
              <w:t>те задължения във връзка със ст</w:t>
            </w:r>
            <w:r w:rsidRPr="00FE65D1">
              <w:rPr>
                <w:rFonts w:ascii="Verdana" w:hAnsi="Verdana"/>
                <w:spacing w:val="2"/>
                <w:sz w:val="20"/>
                <w:szCs w:val="20"/>
              </w:rPr>
              <w:t>ратегическия план.</w:t>
            </w:r>
          </w:p>
        </w:tc>
      </w:tr>
      <w:tr w:rsidR="00CD7279" w:rsidRPr="00F413E2" w14:paraId="610E9689"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22DAFC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DBD6D4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51D40D8" w14:textId="242788D5" w:rsidR="00CD7279" w:rsidRDefault="00CD7279" w:rsidP="00D57B54">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Предложение</w:t>
            </w:r>
            <w:r>
              <w:rPr>
                <w:rFonts w:ascii="Verdana" w:hAnsi="Verdana"/>
                <w:spacing w:val="2"/>
                <w:sz w:val="20"/>
                <w:szCs w:val="20"/>
              </w:rPr>
              <w:t>:</w:t>
            </w:r>
          </w:p>
          <w:p w14:paraId="67167D5B" w14:textId="17377201" w:rsidR="00CD7279" w:rsidRPr="003863D0" w:rsidRDefault="00CD7279" w:rsidP="00D57B54">
            <w:pPr>
              <w:widowControl w:val="0"/>
              <w:tabs>
                <w:tab w:val="left" w:pos="1565"/>
              </w:tabs>
              <w:autoSpaceDE w:val="0"/>
              <w:autoSpaceDN w:val="0"/>
              <w:spacing w:before="60" w:after="20"/>
              <w:jc w:val="both"/>
              <w:rPr>
                <w:rFonts w:ascii="Verdana" w:hAnsi="Verdana"/>
                <w:spacing w:val="2"/>
                <w:sz w:val="20"/>
                <w:szCs w:val="20"/>
              </w:rPr>
            </w:pPr>
            <w:r w:rsidRPr="00D57B54">
              <w:rPr>
                <w:rFonts w:ascii="Verdana" w:hAnsi="Verdana"/>
                <w:spacing w:val="2"/>
                <w:sz w:val="20"/>
                <w:szCs w:val="20"/>
              </w:rPr>
              <w:t>В</w:t>
            </w:r>
            <w:r>
              <w:rPr>
                <w:rFonts w:ascii="Verdana" w:hAnsi="Verdana"/>
                <w:spacing w:val="2"/>
                <w:sz w:val="20"/>
                <w:szCs w:val="20"/>
              </w:rPr>
              <w:t>ъв връзка с текста „</w:t>
            </w:r>
            <w:r w:rsidRPr="00D57B54">
              <w:rPr>
                <w:rFonts w:ascii="Verdana" w:hAnsi="Verdana"/>
                <w:spacing w:val="2"/>
                <w:sz w:val="20"/>
                <w:szCs w:val="20"/>
              </w:rPr>
              <w:t>Системата ще събира релевантните данни на ниво бенефициер и от системата за мониторинг на площ включващи данни за направените плащания по ИСАК базираните интервенции и данни за плащанията за не ИСАК базиранитеинтервенции. Получената информация ще бъде агрегирана по интервенции, чрез отчитане по начин недопускащ двойно отчитане. Системата ще бъде разработена и сертифицирана в съответствие с приложимите ISO стандартни съгласно установени за из</w:t>
            </w:r>
            <w:r>
              <w:rPr>
                <w:rFonts w:ascii="Verdana" w:hAnsi="Verdana"/>
                <w:spacing w:val="2"/>
                <w:sz w:val="20"/>
                <w:szCs w:val="20"/>
              </w:rPr>
              <w:t>ползване на равнището на Съюза.“</w:t>
            </w:r>
            <w:r w:rsidRPr="00D57B54">
              <w:rPr>
                <w:rFonts w:ascii="Verdana" w:hAnsi="Verdana"/>
                <w:spacing w:val="2"/>
                <w:sz w:val="20"/>
                <w:szCs w:val="20"/>
              </w:rPr>
              <w:t xml:space="preserve"> предлагам всички документи по въвеждане на системата и нейното ползване, включително образци на форми, указание и методики да се подлагат на обществено обсъждане за да се вземе под внимание и мнението на лицата, които ще бъдат принудени да работят с нея.</w:t>
            </w:r>
          </w:p>
        </w:tc>
      </w:tr>
      <w:tr w:rsidR="00CD7279" w:rsidRPr="00F413E2" w14:paraId="50BD448D"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E387A2B"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7B3815C"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C769A09" w14:textId="1BB92B6C" w:rsidR="00CD7279" w:rsidRPr="00D57B54"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Предложения</w:t>
            </w:r>
            <w:r>
              <w:rPr>
                <w:rFonts w:ascii="Verdana" w:hAnsi="Verdana"/>
                <w:spacing w:val="2"/>
                <w:sz w:val="20"/>
                <w:szCs w:val="20"/>
              </w:rPr>
              <w:t>:</w:t>
            </w:r>
          </w:p>
        </w:tc>
      </w:tr>
      <w:tr w:rsidR="00CD7279" w:rsidRPr="00F413E2" w14:paraId="6DB506C5"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75C8B3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4554590"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65A6454" w14:textId="2C954778" w:rsidR="00CD7279" w:rsidRPr="00D57B54" w:rsidRDefault="00CD7279" w:rsidP="00D57B54">
            <w:pPr>
              <w:widowControl w:val="0"/>
              <w:tabs>
                <w:tab w:val="left" w:pos="1565"/>
              </w:tabs>
              <w:autoSpaceDE w:val="0"/>
              <w:autoSpaceDN w:val="0"/>
              <w:spacing w:before="60" w:after="20"/>
              <w:jc w:val="both"/>
              <w:rPr>
                <w:rFonts w:ascii="Verdana" w:hAnsi="Verdana"/>
                <w:spacing w:val="2"/>
                <w:sz w:val="20"/>
                <w:szCs w:val="20"/>
              </w:rPr>
            </w:pPr>
            <w:r w:rsidRPr="005A7E11">
              <w:rPr>
                <w:rFonts w:ascii="Verdana" w:hAnsi="Verdana"/>
                <w:spacing w:val="2"/>
                <w:sz w:val="20"/>
                <w:szCs w:val="20"/>
              </w:rPr>
              <w:t>7.3.1.1.4 Area monitoring system (AMS)</w:t>
            </w:r>
          </w:p>
        </w:tc>
      </w:tr>
      <w:tr w:rsidR="00CD7279" w:rsidRPr="00F413E2" w14:paraId="40B9A6CD"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8771D11"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CA2DCBB"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D07C4DD" w14:textId="62AE8194"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ПРЕДЛОЖЕНИЕ:</w:t>
            </w:r>
          </w:p>
          <w:p w14:paraId="6EFADDAE" w14:textId="4AB7175A"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5A7E11">
              <w:rPr>
                <w:rFonts w:ascii="Verdana" w:hAnsi="Verdana"/>
                <w:spacing w:val="2"/>
                <w:sz w:val="20"/>
                <w:szCs w:val="20"/>
              </w:rPr>
              <w:t>Да се посочи и площ в ха за всеки от буферите и минимумите в пиксели.</w:t>
            </w:r>
          </w:p>
        </w:tc>
      </w:tr>
      <w:tr w:rsidR="00CD7279" w:rsidRPr="00F413E2" w14:paraId="013C3810"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E56C623"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1FC012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BC55092" w14:textId="73281500"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5A7E11">
              <w:rPr>
                <w:rFonts w:ascii="Verdana" w:hAnsi="Verdana"/>
                <w:spacing w:val="2"/>
                <w:sz w:val="20"/>
                <w:szCs w:val="20"/>
              </w:rPr>
              <w:t>7.3.2.1 Brief description on the penalty system for non-IACS interventions in line with the principles of effectiveness, proportionality and dissuasiveness</w:t>
            </w:r>
          </w:p>
        </w:tc>
      </w:tr>
      <w:tr w:rsidR="00CD7279" w:rsidRPr="00F413E2" w14:paraId="10E6542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FBF01C3"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4DB35634"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3FEE3DA" w14:textId="33F57852"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AF2E1D">
              <w:rPr>
                <w:rFonts w:ascii="Verdana" w:hAnsi="Verdana"/>
                <w:spacing w:val="2"/>
                <w:sz w:val="20"/>
                <w:szCs w:val="20"/>
              </w:rPr>
              <w:t>3. Лозаро-винарски сектор</w:t>
            </w:r>
          </w:p>
        </w:tc>
      </w:tr>
      <w:tr w:rsidR="00CD7279" w:rsidRPr="00F413E2" w14:paraId="52DDD657"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D41240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70F6ECB"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023AEEAC" w14:textId="17D46E29"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Предложение:</w:t>
            </w:r>
          </w:p>
          <w:p w14:paraId="52211A36" w14:textId="0B882D35"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5A7E11">
              <w:rPr>
                <w:rFonts w:ascii="Verdana" w:hAnsi="Verdana"/>
                <w:spacing w:val="2"/>
                <w:sz w:val="20"/>
                <w:szCs w:val="20"/>
              </w:rPr>
              <w:t>Да се обоснове как ще се прилага условието „само за правилните инвестиции на най-добрата цена“, като това се осъществява от ДФЗ при кандидатстване и преди подписване на договор.</w:t>
            </w:r>
          </w:p>
          <w:p w14:paraId="5AF77789" w14:textId="77777777"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5A7E11">
              <w:rPr>
                <w:rFonts w:ascii="Verdana" w:hAnsi="Verdana"/>
                <w:spacing w:val="2"/>
                <w:sz w:val="20"/>
                <w:szCs w:val="20"/>
              </w:rPr>
              <w:t>Да се обоснове какво се разбира под „само за правилните инвестиции“, защото липсва информация за това.</w:t>
            </w:r>
          </w:p>
          <w:p w14:paraId="461A2435" w14:textId="62B1AE84"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5A7E11">
              <w:rPr>
                <w:rFonts w:ascii="Verdana" w:hAnsi="Verdana"/>
                <w:spacing w:val="2"/>
                <w:sz w:val="20"/>
                <w:szCs w:val="20"/>
              </w:rPr>
              <w:t>Да се обоснове какво се разбира под „най-добрата цена“, защото липсва информация за това. Не е ясно след изплащането на БФП за инвестицията спрямо какви данни ще се определя „най-добрата цена“.</w:t>
            </w:r>
          </w:p>
        </w:tc>
      </w:tr>
      <w:tr w:rsidR="00CD7279" w:rsidRPr="00F413E2" w14:paraId="5377FA1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BA7ED21"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440E6E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8E7E711" w14:textId="2EDDD938" w:rsidR="00CD7279" w:rsidRPr="005A7E11" w:rsidRDefault="00CD7279" w:rsidP="006C1729">
            <w:pPr>
              <w:widowControl w:val="0"/>
              <w:tabs>
                <w:tab w:val="left" w:pos="1565"/>
              </w:tabs>
              <w:autoSpaceDE w:val="0"/>
              <w:autoSpaceDN w:val="0"/>
              <w:spacing w:before="60" w:after="20"/>
              <w:jc w:val="both"/>
              <w:rPr>
                <w:rFonts w:ascii="Verdana" w:hAnsi="Verdana"/>
                <w:spacing w:val="2"/>
                <w:sz w:val="20"/>
                <w:szCs w:val="20"/>
              </w:rPr>
            </w:pPr>
            <w:r w:rsidRPr="006C1729">
              <w:rPr>
                <w:rFonts w:ascii="Verdana" w:hAnsi="Verdana"/>
                <w:spacing w:val="2"/>
                <w:sz w:val="20"/>
                <w:szCs w:val="20"/>
              </w:rPr>
              <w:t>Non-IACS EAFRD</w:t>
            </w:r>
          </w:p>
        </w:tc>
      </w:tr>
      <w:tr w:rsidR="00CD7279" w:rsidRPr="00F413E2" w14:paraId="14469604"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5E8ECE7B"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27942126"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8C867D2" w14:textId="3BFFA985" w:rsidR="00CD7279" w:rsidRPr="006C1729" w:rsidRDefault="00CD7279" w:rsidP="006C1729">
            <w:pPr>
              <w:widowControl w:val="0"/>
              <w:tabs>
                <w:tab w:val="left" w:pos="1565"/>
              </w:tabs>
              <w:autoSpaceDE w:val="0"/>
              <w:autoSpaceDN w:val="0"/>
              <w:spacing w:before="60" w:after="20"/>
              <w:jc w:val="both"/>
              <w:rPr>
                <w:rFonts w:ascii="Verdana" w:hAnsi="Verdana"/>
                <w:spacing w:val="2"/>
                <w:sz w:val="20"/>
                <w:szCs w:val="20"/>
              </w:rPr>
            </w:pPr>
            <w:r w:rsidRPr="00AF2E1D">
              <w:rPr>
                <w:rFonts w:ascii="Verdana" w:hAnsi="Verdana"/>
                <w:spacing w:val="2"/>
                <w:sz w:val="20"/>
                <w:szCs w:val="20"/>
              </w:rPr>
              <w:t>1. Системата за санкции ще бъде изградена от следните елементи – намаления, оттегляния и административни санкции.</w:t>
            </w:r>
          </w:p>
        </w:tc>
      </w:tr>
      <w:tr w:rsidR="00CD7279" w:rsidRPr="00F413E2" w14:paraId="2E2A7AE3"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8DD7F08"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45F19DF"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F9CC7CE" w14:textId="279F9090" w:rsidR="00CD7279" w:rsidRDefault="00CD7279" w:rsidP="006C1729">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Предложение:</w:t>
            </w:r>
          </w:p>
          <w:p w14:paraId="4F7029D2" w14:textId="521EB89A" w:rsidR="00CD7279" w:rsidRPr="005A7E11" w:rsidRDefault="00CD7279" w:rsidP="006C1729">
            <w:pPr>
              <w:widowControl w:val="0"/>
              <w:tabs>
                <w:tab w:val="left" w:pos="1565"/>
              </w:tabs>
              <w:autoSpaceDE w:val="0"/>
              <w:autoSpaceDN w:val="0"/>
              <w:spacing w:before="60" w:after="20"/>
              <w:jc w:val="both"/>
              <w:rPr>
                <w:rFonts w:ascii="Verdana" w:hAnsi="Verdana"/>
                <w:spacing w:val="2"/>
                <w:sz w:val="20"/>
                <w:szCs w:val="20"/>
              </w:rPr>
            </w:pPr>
            <w:r w:rsidRPr="006C1729">
              <w:rPr>
                <w:rFonts w:ascii="Verdana" w:hAnsi="Verdana"/>
                <w:spacing w:val="2"/>
                <w:sz w:val="20"/>
                <w:szCs w:val="20"/>
              </w:rPr>
              <w:t>Да се запише, че предложената система за санкции ще бъде предложена за обществено обсъждане, заедно с всички процедури и формуляри на ДФЗ, които ще се ползват при нейното прилагане.</w:t>
            </w:r>
          </w:p>
        </w:tc>
      </w:tr>
      <w:tr w:rsidR="00CD7279" w:rsidRPr="00F413E2" w14:paraId="0D259B3F"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3D1199D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6747FD0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FA3A1EC" w14:textId="2F79AC18" w:rsidR="00CD7279" w:rsidRDefault="00CD7279" w:rsidP="00AF2E1D">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Предложения</w:t>
            </w:r>
            <w:r>
              <w:rPr>
                <w:rFonts w:ascii="Verdana" w:hAnsi="Verdana"/>
                <w:spacing w:val="2"/>
                <w:sz w:val="20"/>
                <w:szCs w:val="20"/>
              </w:rPr>
              <w:t>:</w:t>
            </w:r>
          </w:p>
          <w:p w14:paraId="4FC32EFD" w14:textId="535499F8" w:rsidR="00CD7279" w:rsidRPr="005A7E11" w:rsidRDefault="00CD7279" w:rsidP="00AF2E1D">
            <w:pPr>
              <w:widowControl w:val="0"/>
              <w:tabs>
                <w:tab w:val="left" w:pos="1565"/>
              </w:tabs>
              <w:autoSpaceDE w:val="0"/>
              <w:autoSpaceDN w:val="0"/>
              <w:spacing w:before="60" w:after="20"/>
              <w:jc w:val="both"/>
              <w:rPr>
                <w:rFonts w:ascii="Verdana" w:hAnsi="Verdana"/>
                <w:spacing w:val="2"/>
                <w:sz w:val="20"/>
                <w:szCs w:val="20"/>
              </w:rPr>
            </w:pPr>
            <w:r w:rsidRPr="00AF2E1D">
              <w:rPr>
                <w:rFonts w:ascii="Verdana" w:hAnsi="Verdana"/>
                <w:spacing w:val="2"/>
                <w:sz w:val="20"/>
                <w:szCs w:val="20"/>
              </w:rPr>
              <w:t>7.3.2.2 Brief description of the control system for non-IACS (control methods, cross-checks, durability of investments and related ex-post checks, etc)</w:t>
            </w:r>
          </w:p>
        </w:tc>
      </w:tr>
      <w:tr w:rsidR="00CD7279" w:rsidRPr="00F413E2" w14:paraId="043E565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3CA2E23E"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4FCE3D1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623EB6A" w14:textId="1ECCE10B"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Административни проверки на заявленията за подпомагане</w:t>
            </w:r>
          </w:p>
          <w:p w14:paraId="360A69A8" w14:textId="16286128"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AF2E1D">
              <w:rPr>
                <w:rFonts w:ascii="Verdana" w:hAnsi="Verdana"/>
                <w:spacing w:val="2"/>
                <w:sz w:val="20"/>
                <w:szCs w:val="20"/>
              </w:rPr>
              <w:t>e)</w:t>
            </w:r>
            <w:r>
              <w:rPr>
                <w:rFonts w:ascii="Verdana" w:hAnsi="Verdana"/>
                <w:spacing w:val="2"/>
                <w:sz w:val="20"/>
                <w:szCs w:val="20"/>
              </w:rPr>
              <w:t xml:space="preserve"> </w:t>
            </w:r>
            <w:r w:rsidRPr="00AF2E1D">
              <w:rPr>
                <w:rFonts w:ascii="Verdana" w:hAnsi="Verdana"/>
                <w:spacing w:val="2"/>
                <w:sz w:val="20"/>
                <w:szCs w:val="20"/>
              </w:rPr>
              <w:t>Проверка на обосноваността на представените разходи, с изключение на опростените разходи. Разходите се оценяват с помощта на подходяща система за оценка, като например референтни цени, сравнение на различни оферти, оценяваща комисия или комбинация от тях.</w:t>
            </w:r>
          </w:p>
        </w:tc>
      </w:tr>
      <w:tr w:rsidR="00CD7279" w:rsidRPr="00F413E2" w14:paraId="5D08B73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383A2D8E"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2AF27CF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D3E4957" w14:textId="212F7D9D" w:rsidR="00CD7279" w:rsidRDefault="00CD7279" w:rsidP="00A0153C">
            <w:pPr>
              <w:widowControl w:val="0"/>
              <w:tabs>
                <w:tab w:val="left" w:pos="1565"/>
              </w:tabs>
              <w:autoSpaceDE w:val="0"/>
              <w:autoSpaceDN w:val="0"/>
              <w:spacing w:before="60" w:after="20"/>
              <w:jc w:val="both"/>
              <w:rPr>
                <w:rFonts w:ascii="Verdana" w:hAnsi="Verdana"/>
                <w:spacing w:val="2"/>
                <w:sz w:val="20"/>
                <w:szCs w:val="20"/>
              </w:rPr>
            </w:pPr>
            <w:r w:rsidRPr="00263D5C">
              <w:rPr>
                <w:rFonts w:ascii="Verdana" w:hAnsi="Verdana"/>
                <w:spacing w:val="2"/>
                <w:sz w:val="20"/>
                <w:szCs w:val="20"/>
              </w:rPr>
              <w:t>Предложение:</w:t>
            </w:r>
          </w:p>
          <w:p w14:paraId="6B513B86" w14:textId="679A8070" w:rsidR="00CD7279" w:rsidRPr="00A0153C" w:rsidRDefault="00CD7279" w:rsidP="00A0153C">
            <w:pPr>
              <w:widowControl w:val="0"/>
              <w:tabs>
                <w:tab w:val="left" w:pos="1565"/>
              </w:tabs>
              <w:autoSpaceDE w:val="0"/>
              <w:autoSpaceDN w:val="0"/>
              <w:spacing w:before="60" w:after="20"/>
              <w:jc w:val="both"/>
              <w:rPr>
                <w:rFonts w:ascii="Verdana" w:hAnsi="Verdana"/>
                <w:spacing w:val="2"/>
                <w:sz w:val="20"/>
                <w:szCs w:val="20"/>
              </w:rPr>
            </w:pPr>
            <w:r w:rsidRPr="00A0153C">
              <w:rPr>
                <w:rFonts w:ascii="Verdana" w:hAnsi="Verdana"/>
                <w:spacing w:val="2"/>
                <w:sz w:val="20"/>
                <w:szCs w:val="20"/>
              </w:rPr>
              <w:t>Списъците с референтни цени за активи да са публични заедно със заповедта за одобрението му, като пълен текст, и ед. цени по активи.</w:t>
            </w:r>
          </w:p>
          <w:p w14:paraId="33B134E0" w14:textId="5CB98B3A" w:rsidR="00CD7279" w:rsidRPr="005A7E11" w:rsidRDefault="00CD7279" w:rsidP="00A0153C">
            <w:pPr>
              <w:widowControl w:val="0"/>
              <w:tabs>
                <w:tab w:val="left" w:pos="1565"/>
              </w:tabs>
              <w:autoSpaceDE w:val="0"/>
              <w:autoSpaceDN w:val="0"/>
              <w:spacing w:before="60" w:after="20"/>
              <w:jc w:val="both"/>
              <w:rPr>
                <w:rFonts w:ascii="Verdana" w:hAnsi="Verdana"/>
                <w:spacing w:val="2"/>
                <w:sz w:val="20"/>
                <w:szCs w:val="20"/>
              </w:rPr>
            </w:pPr>
            <w:r w:rsidRPr="00A0153C">
              <w:rPr>
                <w:rFonts w:ascii="Verdana" w:hAnsi="Verdana"/>
                <w:spacing w:val="2"/>
                <w:sz w:val="20"/>
                <w:szCs w:val="20"/>
              </w:rPr>
              <w:t>Да се подлага на обществено обсъждане с цел премахване на практики за подаване на ед. цени под пазарните от конкуренти и неактуални цени спрямо пазарната конюнктура в страната</w:t>
            </w:r>
            <w:r>
              <w:rPr>
                <w:rFonts w:ascii="Verdana" w:hAnsi="Verdana"/>
                <w:spacing w:val="2"/>
                <w:sz w:val="20"/>
                <w:szCs w:val="20"/>
              </w:rPr>
              <w:t xml:space="preserve"> –</w:t>
            </w:r>
            <w:r w:rsidRPr="00A0153C">
              <w:rPr>
                <w:rFonts w:ascii="Verdana" w:hAnsi="Verdana"/>
                <w:spacing w:val="2"/>
                <w:sz w:val="20"/>
                <w:szCs w:val="20"/>
              </w:rPr>
              <w:t xml:space="preserve"> висока инфлация, недостиг на суровини при производители, липса на доставки на машини и съоръжения при търговци.</w:t>
            </w:r>
          </w:p>
        </w:tc>
      </w:tr>
      <w:tr w:rsidR="00CD7279" w:rsidRPr="00F413E2" w14:paraId="6BF8F813"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2614588"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28B5596F"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194CE6D" w14:textId="0BBA716D"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Административни проверки на искания за плащане</w:t>
            </w:r>
          </w:p>
          <w:p w14:paraId="039235DB" w14:textId="6726EDAC"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Предложение:</w:t>
            </w:r>
          </w:p>
          <w:p w14:paraId="5034C7CC" w14:textId="7CCDF08C" w:rsidR="00CD7279" w:rsidRPr="005A7E1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855B31">
              <w:rPr>
                <w:rFonts w:ascii="Verdana" w:hAnsi="Verdana"/>
                <w:spacing w:val="2"/>
                <w:sz w:val="20"/>
                <w:szCs w:val="20"/>
              </w:rPr>
              <w:t xml:space="preserve">Да се запише, че процедурата за провеждане на проверката ще бъде предложена за обществено обсъждане, </w:t>
            </w:r>
            <w:r w:rsidRPr="00855B31">
              <w:rPr>
                <w:rFonts w:ascii="Verdana" w:hAnsi="Verdana"/>
                <w:spacing w:val="2"/>
                <w:sz w:val="20"/>
                <w:szCs w:val="20"/>
              </w:rPr>
              <w:lastRenderedPageBreak/>
              <w:t>заедно с всички формуляри на РА, които ще се ползват при нейното осъществяване.</w:t>
            </w:r>
          </w:p>
        </w:tc>
      </w:tr>
      <w:tr w:rsidR="00CD7279" w:rsidRPr="00F413E2" w14:paraId="2E7FC4E5"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9162C70"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2B3795D"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F8D2742" w14:textId="2DBE7627"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Посещения на място</w:t>
            </w:r>
          </w:p>
          <w:p w14:paraId="42008CA4" w14:textId="3AF80354" w:rsidR="00CD7279"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Предложение:</w:t>
            </w:r>
          </w:p>
          <w:p w14:paraId="2A43B2DD" w14:textId="5F4054C2" w:rsidR="00CD7279" w:rsidRPr="00855B31" w:rsidRDefault="00CD7279" w:rsidP="005A7E11">
            <w:pPr>
              <w:widowControl w:val="0"/>
              <w:tabs>
                <w:tab w:val="left" w:pos="1565"/>
              </w:tabs>
              <w:autoSpaceDE w:val="0"/>
              <w:autoSpaceDN w:val="0"/>
              <w:spacing w:before="60" w:after="20"/>
              <w:jc w:val="both"/>
              <w:rPr>
                <w:rFonts w:ascii="Verdana" w:hAnsi="Verdana"/>
                <w:spacing w:val="2"/>
                <w:sz w:val="20"/>
                <w:szCs w:val="20"/>
              </w:rPr>
            </w:pPr>
            <w:r w:rsidRPr="00855B31">
              <w:rPr>
                <w:rFonts w:ascii="Verdana" w:hAnsi="Verdana"/>
                <w:spacing w:val="2"/>
                <w:sz w:val="20"/>
                <w:szCs w:val="20"/>
              </w:rPr>
              <w:t>Да се запише, че процедурата за провеждане на посещението ще бъде предложена за обществено обсъждане, заедно с всички формуляри на ДФЗ, които ще се ползват при нейното осъществяване.</w:t>
            </w:r>
          </w:p>
        </w:tc>
      </w:tr>
      <w:tr w:rsidR="00CD7279" w:rsidRPr="00F413E2" w14:paraId="4D468921"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BEB84CD"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552B944"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27662A4" w14:textId="2BD3CB4A" w:rsidR="00CD7279"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Проверки на място</w:t>
            </w:r>
          </w:p>
          <w:p w14:paraId="772AA59A" w14:textId="59062F74" w:rsidR="00CD7279"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Предложение:</w:t>
            </w:r>
          </w:p>
          <w:p w14:paraId="219A24DF" w14:textId="59412006" w:rsidR="00CD7279" w:rsidRPr="00855B31"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855B31">
              <w:rPr>
                <w:rFonts w:ascii="Verdana" w:hAnsi="Verdana"/>
                <w:spacing w:val="2"/>
                <w:sz w:val="20"/>
                <w:szCs w:val="20"/>
              </w:rPr>
              <w:t>Проверки на мястоДа се запише, че процедурата за провеждане на проверката ще бъде предложена за обществено обсъждане, заедно с всички формуляри на ДФЗ, които ще се ползват при нейното осъществяване.</w:t>
            </w:r>
          </w:p>
        </w:tc>
      </w:tr>
      <w:tr w:rsidR="00CD7279" w:rsidRPr="00F413E2" w14:paraId="7EECA022"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7D87916"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6AA136A"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010A495C" w14:textId="43848C29" w:rsidR="00CD7279"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Последващи проверки</w:t>
            </w:r>
          </w:p>
          <w:p w14:paraId="4F01E440" w14:textId="2A02A455" w:rsidR="00CD7279"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Предложение:</w:t>
            </w:r>
          </w:p>
          <w:p w14:paraId="55B79BDA" w14:textId="2B268D5F" w:rsidR="00CD7279" w:rsidRPr="00D57B54"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855B31">
              <w:rPr>
                <w:rFonts w:ascii="Verdana" w:hAnsi="Verdana"/>
                <w:spacing w:val="2"/>
                <w:sz w:val="20"/>
                <w:szCs w:val="20"/>
              </w:rPr>
              <w:t>Да се запише, че процедурата за провеждане на проверката ще бъде предложена за обществено обсъждане, заедно с всички формуляри на ДФЗ, които ще се ползват при нейното осъществяване.</w:t>
            </w:r>
          </w:p>
        </w:tc>
      </w:tr>
      <w:tr w:rsidR="00CD7279" w:rsidRPr="00F413E2" w14:paraId="502994DF"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2336963"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695EEF6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A132698" w14:textId="7AC0720C" w:rsidR="00CD7279" w:rsidRPr="00855B31"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3D64DC">
              <w:rPr>
                <w:rFonts w:ascii="Verdana" w:hAnsi="Verdana"/>
                <w:spacing w:val="2"/>
                <w:sz w:val="20"/>
                <w:szCs w:val="20"/>
              </w:rPr>
              <w:t xml:space="preserve">Предложение по II.Ж.3 </w:t>
            </w:r>
            <w:r>
              <w:rPr>
                <w:rFonts w:ascii="Verdana" w:hAnsi="Verdana"/>
                <w:spacing w:val="2"/>
                <w:sz w:val="20"/>
                <w:szCs w:val="20"/>
              </w:rPr>
              <w:t>–</w:t>
            </w:r>
            <w:r w:rsidRPr="003D64DC">
              <w:rPr>
                <w:rFonts w:ascii="Verdana" w:hAnsi="Verdana"/>
                <w:spacing w:val="2"/>
                <w:sz w:val="20"/>
                <w:szCs w:val="20"/>
              </w:rPr>
              <w:t xml:space="preserve"> Подкрепа на организации на производители или групи от производители</w:t>
            </w:r>
          </w:p>
        </w:tc>
      </w:tr>
      <w:tr w:rsidR="00CD7279" w:rsidRPr="00F413E2" w14:paraId="00FE026D"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C949306"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AD9060D"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85AF9EF" w14:textId="77777777" w:rsidR="00CD7279" w:rsidRDefault="00CD7279" w:rsidP="003D64DC">
            <w:pPr>
              <w:widowControl w:val="0"/>
              <w:tabs>
                <w:tab w:val="left" w:pos="1565"/>
              </w:tabs>
              <w:autoSpaceDE w:val="0"/>
              <w:autoSpaceDN w:val="0"/>
              <w:spacing w:before="60" w:after="20"/>
              <w:jc w:val="both"/>
              <w:rPr>
                <w:rFonts w:ascii="Verdana" w:hAnsi="Verdana"/>
                <w:spacing w:val="2"/>
                <w:sz w:val="20"/>
                <w:szCs w:val="20"/>
              </w:rPr>
            </w:pPr>
            <w:r w:rsidRPr="003D64DC">
              <w:rPr>
                <w:rFonts w:ascii="Verdana" w:hAnsi="Verdana"/>
                <w:spacing w:val="2"/>
                <w:sz w:val="20"/>
                <w:szCs w:val="20"/>
              </w:rPr>
              <w:t>Подкрепа на организации на производители или групи от производители</w:t>
            </w:r>
          </w:p>
          <w:p w14:paraId="6A87A9AD" w14:textId="77777777" w:rsidR="00CD7279" w:rsidRDefault="00CD7279" w:rsidP="003D64DC">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Define eligible beneficiaries and specific eligibility criteria where relevant related to the beneficiary and area</w:t>
            </w:r>
          </w:p>
          <w:p w14:paraId="32C9F565" w14:textId="72489854" w:rsidR="00CD7279" w:rsidRPr="00855B31" w:rsidRDefault="00CD7279" w:rsidP="003D64DC">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Подпомагат се групи и организации на производители, чийто членове произвеждат продукти в един от следните земеделски сектори:</w:t>
            </w:r>
          </w:p>
        </w:tc>
      </w:tr>
      <w:tr w:rsidR="00CD7279" w:rsidRPr="00F413E2" w14:paraId="4F388944"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360DC67A"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49840EF6"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489DCC8" w14:textId="07AA51EA" w:rsidR="00CD7279" w:rsidRDefault="00CD7279" w:rsidP="003D64DC">
            <w:pPr>
              <w:widowControl w:val="0"/>
              <w:tabs>
                <w:tab w:val="left" w:pos="1565"/>
              </w:tabs>
              <w:autoSpaceDE w:val="0"/>
              <w:autoSpaceDN w:val="0"/>
              <w:spacing w:before="60" w:after="20"/>
              <w:jc w:val="both"/>
              <w:rPr>
                <w:rFonts w:ascii="Verdana" w:hAnsi="Verdana"/>
                <w:spacing w:val="2"/>
                <w:sz w:val="20"/>
                <w:szCs w:val="20"/>
              </w:rPr>
            </w:pPr>
            <w:r w:rsidRPr="008D623A">
              <w:rPr>
                <w:rFonts w:ascii="Verdana" w:hAnsi="Verdana"/>
                <w:spacing w:val="2"/>
                <w:sz w:val="20"/>
                <w:szCs w:val="20"/>
              </w:rPr>
              <w:t>Предложение:</w:t>
            </w:r>
          </w:p>
          <w:p w14:paraId="6A3EC8A2" w14:textId="62F03764" w:rsidR="00CD7279" w:rsidRPr="003D64DC" w:rsidRDefault="00CD7279" w:rsidP="003D64DC">
            <w:pPr>
              <w:widowControl w:val="0"/>
              <w:tabs>
                <w:tab w:val="left" w:pos="1565"/>
              </w:tabs>
              <w:autoSpaceDE w:val="0"/>
              <w:autoSpaceDN w:val="0"/>
              <w:spacing w:before="60" w:after="20"/>
              <w:jc w:val="both"/>
              <w:rPr>
                <w:rFonts w:ascii="Verdana" w:hAnsi="Verdana"/>
                <w:spacing w:val="2"/>
                <w:sz w:val="20"/>
                <w:szCs w:val="20"/>
              </w:rPr>
            </w:pPr>
            <w:r w:rsidRPr="003D64DC">
              <w:rPr>
                <w:rFonts w:ascii="Verdana" w:hAnsi="Verdana"/>
                <w:spacing w:val="2"/>
                <w:sz w:val="20"/>
                <w:szCs w:val="20"/>
              </w:rPr>
              <w:t xml:space="preserve">Да се включат и следните сектори с продукти от „Растениевъдство“ </w:t>
            </w:r>
            <w:r>
              <w:rPr>
                <w:rFonts w:ascii="Verdana" w:hAnsi="Verdana"/>
                <w:spacing w:val="2"/>
                <w:sz w:val="20"/>
                <w:szCs w:val="20"/>
              </w:rPr>
              <w:t xml:space="preserve">– </w:t>
            </w:r>
            <w:r w:rsidRPr="003D64DC">
              <w:rPr>
                <w:rFonts w:ascii="Verdana" w:hAnsi="Verdana"/>
                <w:spacing w:val="2"/>
                <w:sz w:val="20"/>
                <w:szCs w:val="20"/>
              </w:rPr>
              <w:t>„Цветя“, „Други живи растения“ и „Трюфели“.</w:t>
            </w:r>
          </w:p>
        </w:tc>
      </w:tr>
      <w:tr w:rsidR="00CD7279" w:rsidRPr="00F413E2" w14:paraId="497686ED"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1CFEED3"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109C4C1"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1ECE117B" w14:textId="30C354A2" w:rsidR="00CD7279" w:rsidRPr="00855B31"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3D64DC">
              <w:rPr>
                <w:rFonts w:ascii="Verdana" w:hAnsi="Verdana"/>
                <w:spacing w:val="2"/>
                <w:sz w:val="20"/>
                <w:szCs w:val="20"/>
              </w:rPr>
              <w:t>С предложението се дава достъп до всички сектори, като няма да има недопустимост, защото секторът не е посочен в интервенцията.</w:t>
            </w:r>
          </w:p>
        </w:tc>
      </w:tr>
      <w:tr w:rsidR="00CD7279" w:rsidRPr="00F413E2" w14:paraId="4286E178"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FE06F3D"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01879B0"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0FF0830" w14:textId="2C1545A4"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Предложение</w:t>
            </w:r>
            <w:r>
              <w:rPr>
                <w:rFonts w:ascii="Verdana" w:hAnsi="Verdana"/>
                <w:spacing w:val="2"/>
                <w:sz w:val="20"/>
                <w:szCs w:val="20"/>
              </w:rPr>
              <w:t>:</w:t>
            </w:r>
          </w:p>
          <w:p w14:paraId="02EA01E4" w14:textId="74658E34"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 xml:space="preserve">INVEST(73-74) </w:t>
            </w:r>
            <w:r>
              <w:rPr>
                <w:rFonts w:ascii="Verdana" w:hAnsi="Verdana"/>
                <w:spacing w:val="2"/>
                <w:sz w:val="20"/>
                <w:szCs w:val="20"/>
              </w:rPr>
              <w:t>–</w:t>
            </w:r>
            <w:r w:rsidRPr="00224F93">
              <w:rPr>
                <w:rFonts w:ascii="Verdana" w:hAnsi="Verdana"/>
                <w:spacing w:val="2"/>
                <w:sz w:val="20"/>
                <w:szCs w:val="20"/>
              </w:rPr>
              <w:t xml:space="preserve"> Investments, including investments in irrigation</w:t>
            </w:r>
          </w:p>
          <w:p w14:paraId="3CC1630B" w14:textId="3799F82D"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II.Г.1 - Инвестиции в земеделските стопанства</w:t>
            </w:r>
          </w:p>
          <w:p w14:paraId="6D24A251" w14:textId="30181521"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Define eligible beneficiaries and specific eligibility criteria where relevant related to the beneficiary and area</w:t>
            </w:r>
          </w:p>
          <w:p w14:paraId="61B64991" w14:textId="6F70F262"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Земеделски стопани, допустими за подпомагане трябва да отговарят и на следните условия:</w:t>
            </w:r>
          </w:p>
          <w:p w14:paraId="088EEB3E" w14:textId="69D723E1"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w:t>
            </w:r>
            <w:r w:rsidRPr="00224F93">
              <w:rPr>
                <w:rFonts w:ascii="Verdana" w:hAnsi="Verdana"/>
                <w:spacing w:val="2"/>
                <w:sz w:val="20"/>
                <w:szCs w:val="20"/>
              </w:rPr>
              <w:t>„средни</w:t>
            </w:r>
            <w:r>
              <w:rPr>
                <w:rFonts w:ascii="Verdana" w:hAnsi="Verdana"/>
                <w:spacing w:val="2"/>
                <w:sz w:val="20"/>
                <w:szCs w:val="20"/>
              </w:rPr>
              <w:t xml:space="preserve"> </w:t>
            </w:r>
            <w:r w:rsidRPr="00224F93">
              <w:rPr>
                <w:rFonts w:ascii="Verdana" w:hAnsi="Verdana"/>
                <w:spacing w:val="2"/>
                <w:sz w:val="20"/>
                <w:szCs w:val="20"/>
              </w:rPr>
              <w:t>― и „големи</w:t>
            </w:r>
            <w:r>
              <w:rPr>
                <w:rFonts w:ascii="Verdana" w:hAnsi="Verdana"/>
                <w:spacing w:val="2"/>
                <w:sz w:val="20"/>
                <w:szCs w:val="20"/>
              </w:rPr>
              <w:t xml:space="preserve"> </w:t>
            </w:r>
            <w:r w:rsidRPr="00224F93">
              <w:rPr>
                <w:rFonts w:ascii="Verdana" w:hAnsi="Verdana"/>
                <w:spacing w:val="2"/>
                <w:sz w:val="20"/>
                <w:szCs w:val="20"/>
              </w:rPr>
              <w:t xml:space="preserve">― земеделски стопанства </w:t>
            </w:r>
            <w:r>
              <w:rPr>
                <w:rFonts w:ascii="Verdana" w:hAnsi="Verdana"/>
                <w:spacing w:val="2"/>
                <w:sz w:val="20"/>
                <w:szCs w:val="20"/>
              </w:rPr>
              <w:t>–</w:t>
            </w:r>
            <w:r w:rsidRPr="00224F93">
              <w:rPr>
                <w:rFonts w:ascii="Verdana" w:hAnsi="Verdana"/>
                <w:spacing w:val="2"/>
                <w:sz w:val="20"/>
                <w:szCs w:val="20"/>
              </w:rPr>
              <w:t xml:space="preserve"> да са регистрирани като земеделски стопани по Закона за подпомагане на земеделските производители от най – малко 36 месеца преди кандидатстването за подпомагане </w:t>
            </w:r>
            <w:r w:rsidRPr="00224F93">
              <w:rPr>
                <w:rFonts w:ascii="Verdana" w:hAnsi="Verdana"/>
                <w:spacing w:val="2"/>
                <w:sz w:val="20"/>
                <w:szCs w:val="20"/>
              </w:rPr>
              <w:lastRenderedPageBreak/>
              <w:t>и да не са прекратявали своята дейност в този период;</w:t>
            </w:r>
          </w:p>
          <w:p w14:paraId="1601189A" w14:textId="61526FDD" w:rsidR="00CD7279" w:rsidRPr="003D64DC"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„малки</w:t>
            </w:r>
            <w:r>
              <w:rPr>
                <w:rFonts w:ascii="Verdana" w:hAnsi="Verdana"/>
                <w:spacing w:val="2"/>
                <w:sz w:val="20"/>
                <w:szCs w:val="20"/>
              </w:rPr>
              <w:t xml:space="preserve"> </w:t>
            </w:r>
            <w:r w:rsidRPr="00224F93">
              <w:rPr>
                <w:rFonts w:ascii="Verdana" w:hAnsi="Verdana"/>
                <w:spacing w:val="2"/>
                <w:sz w:val="20"/>
                <w:szCs w:val="20"/>
              </w:rPr>
              <w:t>― земеделски стопанства - да са регистрирани като земеделски стопани по Закона за подпомагане на земеделските производители от най – малко 12 месеца преди кандидатстването за подпомагане и да не са прекратявали своята дейност в този период;</w:t>
            </w:r>
          </w:p>
        </w:tc>
      </w:tr>
      <w:tr w:rsidR="00CD7279" w:rsidRPr="00F413E2" w14:paraId="63652C9C"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1517577"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4D142A3A"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C84CFD7" w14:textId="290CE732"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Предложение:</w:t>
            </w:r>
          </w:p>
          <w:p w14:paraId="43D2E4B6" w14:textId="11FD0337"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Предлагам да се прецизира ползването на термина „прекратявали“ и дали  не „заверява регистрационната карта на земеделския стопанин“ (чл. 5, ал. 3 от Наредба №3/1999г.) се приравнява на това „прекратяване“.</w:t>
            </w:r>
          </w:p>
          <w:p w14:paraId="19A4BE4D" w14:textId="6F0E22A2" w:rsidR="00CD7279" w:rsidRPr="003D64DC"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да имат разработен бизнес план за дейностите в земеделското стопанство и доказващ подобряване на дейността на земеделското стопанство чрез прилагане на планираните инвестиции и дейности;</w:t>
            </w:r>
          </w:p>
        </w:tc>
      </w:tr>
      <w:tr w:rsidR="00CD7279" w:rsidRPr="00F413E2" w14:paraId="63696AF4"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07EEF58"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0B0F1F0"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BED1417" w14:textId="2DAFCE0A"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Предложение:</w:t>
            </w:r>
          </w:p>
          <w:p w14:paraId="6B3FE2A5" w14:textId="5701BF85" w:rsidR="00CD7279" w:rsidRPr="00224F93"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Предлагам да се преосмисли ползването на бизнес планове, като изискуем документ при кандидатстване, и с това да се намали административната тежест върху кандидатите. Самите бизнес планове съдържан изискване за данни, които МЗм/ДФЗ по свое усмотрение могат да коригират на база на вътрешни методики и справки, които променят намеренията на кандидатите, които са описвали в тях.</w:t>
            </w:r>
          </w:p>
          <w:p w14:paraId="2F3E5E7A" w14:textId="3086ACED" w:rsidR="00CD7279" w:rsidRPr="003D64DC" w:rsidRDefault="00CD7279" w:rsidP="00224F93">
            <w:pPr>
              <w:widowControl w:val="0"/>
              <w:tabs>
                <w:tab w:val="left" w:pos="1565"/>
              </w:tabs>
              <w:autoSpaceDE w:val="0"/>
              <w:autoSpaceDN w:val="0"/>
              <w:spacing w:before="60" w:after="20"/>
              <w:jc w:val="both"/>
              <w:rPr>
                <w:rFonts w:ascii="Verdana" w:hAnsi="Verdana"/>
                <w:spacing w:val="2"/>
                <w:sz w:val="20"/>
                <w:szCs w:val="20"/>
              </w:rPr>
            </w:pPr>
            <w:r w:rsidRPr="00224F93">
              <w:rPr>
                <w:rFonts w:ascii="Verdana" w:hAnsi="Verdana"/>
                <w:spacing w:val="2"/>
                <w:sz w:val="20"/>
                <w:szCs w:val="20"/>
              </w:rPr>
              <w:t>Предлагам бизнес плановете да отпаднат с цел намаляване на административната тежест върху кандидатите и ползване само на заявление за кандидатстване.</w:t>
            </w:r>
          </w:p>
        </w:tc>
      </w:tr>
      <w:tr w:rsidR="00CD7279" w:rsidRPr="00F413E2" w14:paraId="2CAE3275"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24C6E6D"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693503CB"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EA622B3" w14:textId="77777777" w:rsidR="00CD7279" w:rsidRPr="00E127D5" w:rsidRDefault="00CD7279" w:rsidP="00E127D5">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Групи и организации на производители, допустими за подпомагане трябва да отговарят на следните условия:</w:t>
            </w:r>
          </w:p>
          <w:p w14:paraId="31DF656E" w14:textId="4C80317F" w:rsidR="00CD7279" w:rsidRPr="003D64DC" w:rsidRDefault="00CD7279" w:rsidP="00E127D5">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да имат разработен бизнес план за дейностите в групата/организацията на производители и доказващ подобряване на дейността й чрез прилагане на планираните инвестиции и дейности;</w:t>
            </w:r>
          </w:p>
        </w:tc>
      </w:tr>
      <w:tr w:rsidR="00CD7279" w:rsidRPr="00F413E2" w14:paraId="16C82879"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3710800D"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F0D30F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1C7ABDEE" w14:textId="5EAB7685" w:rsidR="00CD7279" w:rsidRPr="00E127D5" w:rsidRDefault="00CD7279" w:rsidP="00E127D5">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Предложение:</w:t>
            </w:r>
          </w:p>
          <w:p w14:paraId="28E7BACC" w14:textId="3C27B49B" w:rsidR="00CD7279" w:rsidRPr="00E127D5" w:rsidRDefault="00CD7279" w:rsidP="00E127D5">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Предлагам да се преосмисли ползването на бизнес планове, като изискуем документ при кандидатстване, и с това да се намали административната тежест върху кандидатите. Самите бизнес планове съдържан изискване за данни, които МЗм/ДФЗ по свое усмотрение могат да коригират на база на вътрешни методики и справки, които променят намеренията на кандидатите, които са описвали в тях.</w:t>
            </w:r>
          </w:p>
          <w:p w14:paraId="081D3194" w14:textId="01EAAAFA" w:rsidR="00CD7279" w:rsidRPr="003D64DC" w:rsidRDefault="00CD7279" w:rsidP="00E127D5">
            <w:pPr>
              <w:widowControl w:val="0"/>
              <w:tabs>
                <w:tab w:val="left" w:pos="1565"/>
              </w:tabs>
              <w:autoSpaceDE w:val="0"/>
              <w:autoSpaceDN w:val="0"/>
              <w:spacing w:before="60" w:after="20"/>
              <w:jc w:val="both"/>
              <w:rPr>
                <w:rFonts w:ascii="Verdana" w:hAnsi="Verdana"/>
                <w:spacing w:val="2"/>
                <w:sz w:val="20"/>
                <w:szCs w:val="20"/>
              </w:rPr>
            </w:pPr>
            <w:r w:rsidRPr="00E127D5">
              <w:rPr>
                <w:rFonts w:ascii="Verdana" w:hAnsi="Verdana"/>
                <w:spacing w:val="2"/>
                <w:sz w:val="20"/>
                <w:szCs w:val="20"/>
              </w:rPr>
              <w:t>Предлагам бизнес плановете да отпаднат с цел намаляване на административната тежест върху кандидатите и ползване само на заявление за кандидатстване.</w:t>
            </w:r>
          </w:p>
        </w:tc>
      </w:tr>
      <w:tr w:rsidR="00CD7279" w:rsidRPr="00F413E2" w14:paraId="7F8E0A49"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F23EEB0"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088B925"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2D1454A" w14:textId="55414FDF" w:rsidR="00CD7279" w:rsidRPr="00864B78" w:rsidRDefault="00CD7279" w:rsidP="00864B78">
            <w:pPr>
              <w:widowControl w:val="0"/>
              <w:tabs>
                <w:tab w:val="left" w:pos="1565"/>
              </w:tabs>
              <w:autoSpaceDE w:val="0"/>
              <w:autoSpaceDN w:val="0"/>
              <w:spacing w:before="60" w:after="20"/>
              <w:jc w:val="both"/>
              <w:rPr>
                <w:rFonts w:ascii="Verdana" w:hAnsi="Verdana"/>
                <w:spacing w:val="2"/>
                <w:sz w:val="20"/>
                <w:szCs w:val="20"/>
              </w:rPr>
            </w:pPr>
            <w:r w:rsidRPr="00864B78">
              <w:rPr>
                <w:rFonts w:ascii="Verdana" w:hAnsi="Verdana"/>
                <w:spacing w:val="2"/>
                <w:sz w:val="20"/>
                <w:szCs w:val="20"/>
              </w:rPr>
              <w:t>Кооперативни обединения на земеделски стопани създадени в съответствие със специализир</w:t>
            </w:r>
            <w:r>
              <w:rPr>
                <w:rFonts w:ascii="Verdana" w:hAnsi="Verdana"/>
                <w:spacing w:val="2"/>
                <w:sz w:val="20"/>
                <w:szCs w:val="20"/>
              </w:rPr>
              <w:t>ано национално законодателство:</w:t>
            </w:r>
          </w:p>
          <w:p w14:paraId="083386CE" w14:textId="72EEB25E" w:rsidR="00CD7279" w:rsidRPr="003D64DC" w:rsidRDefault="00CD7279" w:rsidP="00864B78">
            <w:pPr>
              <w:widowControl w:val="0"/>
              <w:tabs>
                <w:tab w:val="left" w:pos="1565"/>
              </w:tabs>
              <w:autoSpaceDE w:val="0"/>
              <w:autoSpaceDN w:val="0"/>
              <w:spacing w:before="60" w:after="20"/>
              <w:jc w:val="both"/>
              <w:rPr>
                <w:rFonts w:ascii="Verdana" w:hAnsi="Verdana"/>
                <w:spacing w:val="2"/>
                <w:sz w:val="20"/>
                <w:szCs w:val="20"/>
              </w:rPr>
            </w:pPr>
            <w:r w:rsidRPr="00864B78">
              <w:rPr>
                <w:rFonts w:ascii="Verdana" w:hAnsi="Verdana"/>
                <w:spacing w:val="2"/>
                <w:sz w:val="20"/>
                <w:szCs w:val="20"/>
              </w:rPr>
              <w:t>да имат разработен бизнес план за дейностите в обединението и доказващ подобряване на дейността му чрез прилагане на планираните инвестиции и дейности;</w:t>
            </w:r>
          </w:p>
        </w:tc>
      </w:tr>
      <w:tr w:rsidR="00CD7279" w:rsidRPr="00F413E2" w14:paraId="4BA43336"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30378CD"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73E33A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4A533B1" w14:textId="39B39864" w:rsidR="00CD7279" w:rsidRPr="009041DC" w:rsidRDefault="00CD7279" w:rsidP="009041DC">
            <w:pPr>
              <w:widowControl w:val="0"/>
              <w:tabs>
                <w:tab w:val="left" w:pos="1565"/>
              </w:tabs>
              <w:autoSpaceDE w:val="0"/>
              <w:autoSpaceDN w:val="0"/>
              <w:spacing w:before="60" w:after="20"/>
              <w:jc w:val="both"/>
              <w:rPr>
                <w:rFonts w:ascii="Verdana" w:hAnsi="Verdana"/>
                <w:spacing w:val="2"/>
                <w:sz w:val="20"/>
                <w:szCs w:val="20"/>
              </w:rPr>
            </w:pPr>
            <w:r w:rsidRPr="009041DC">
              <w:rPr>
                <w:rFonts w:ascii="Verdana" w:hAnsi="Verdana"/>
                <w:spacing w:val="2"/>
                <w:sz w:val="20"/>
                <w:szCs w:val="20"/>
              </w:rPr>
              <w:t>Предложение:</w:t>
            </w:r>
          </w:p>
          <w:p w14:paraId="2824B6F6" w14:textId="0646AFB9" w:rsidR="00CD7279" w:rsidRPr="009041DC" w:rsidRDefault="00CD7279" w:rsidP="009041DC">
            <w:pPr>
              <w:widowControl w:val="0"/>
              <w:tabs>
                <w:tab w:val="left" w:pos="1565"/>
              </w:tabs>
              <w:autoSpaceDE w:val="0"/>
              <w:autoSpaceDN w:val="0"/>
              <w:spacing w:before="60" w:after="20"/>
              <w:jc w:val="both"/>
              <w:rPr>
                <w:rFonts w:ascii="Verdana" w:hAnsi="Verdana"/>
                <w:spacing w:val="2"/>
                <w:sz w:val="20"/>
                <w:szCs w:val="20"/>
              </w:rPr>
            </w:pPr>
            <w:r w:rsidRPr="009041DC">
              <w:rPr>
                <w:rFonts w:ascii="Verdana" w:hAnsi="Verdana"/>
                <w:spacing w:val="2"/>
                <w:sz w:val="20"/>
                <w:szCs w:val="20"/>
              </w:rPr>
              <w:t xml:space="preserve">Предлагам да се преосмисли ползването на бизнес планове, като изискуем документ при кандидатстване, и с </w:t>
            </w:r>
            <w:r w:rsidRPr="009041DC">
              <w:rPr>
                <w:rFonts w:ascii="Verdana" w:hAnsi="Verdana"/>
                <w:spacing w:val="2"/>
                <w:sz w:val="20"/>
                <w:szCs w:val="20"/>
              </w:rPr>
              <w:lastRenderedPageBreak/>
              <w:t>това да се намали административната тежест върху кандидатите. Самите бизнес планове съдържан изискване за данни, които МЗм/ДФЗ по свое усмотрение могат да коригират на база на вътрешни методики и справки, които променят намеренията на кандидатите, които са описвали в тях.</w:t>
            </w:r>
          </w:p>
          <w:p w14:paraId="48516092" w14:textId="2DD9550E" w:rsidR="00CD7279" w:rsidRPr="003D64DC" w:rsidRDefault="00CD7279" w:rsidP="009041DC">
            <w:pPr>
              <w:widowControl w:val="0"/>
              <w:tabs>
                <w:tab w:val="left" w:pos="1565"/>
              </w:tabs>
              <w:autoSpaceDE w:val="0"/>
              <w:autoSpaceDN w:val="0"/>
              <w:spacing w:before="60" w:after="20"/>
              <w:jc w:val="both"/>
              <w:rPr>
                <w:rFonts w:ascii="Verdana" w:hAnsi="Verdana"/>
                <w:spacing w:val="2"/>
                <w:sz w:val="20"/>
                <w:szCs w:val="20"/>
              </w:rPr>
            </w:pPr>
            <w:r w:rsidRPr="009041DC">
              <w:rPr>
                <w:rFonts w:ascii="Verdana" w:hAnsi="Verdana"/>
                <w:spacing w:val="2"/>
                <w:sz w:val="20"/>
                <w:szCs w:val="20"/>
              </w:rPr>
              <w:t>Предлагам бизнес плановете да отпаднат с цел намаляване на административната тежест върху кандидатите и ползване само на заявление за кандидатстване.</w:t>
            </w:r>
          </w:p>
        </w:tc>
      </w:tr>
      <w:tr w:rsidR="00CD7279" w:rsidRPr="00F413E2" w14:paraId="1E37F148"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363175F"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2B84558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4973791" w14:textId="39EA1210"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r>
              <w:rPr>
                <w:rFonts w:ascii="Verdana" w:hAnsi="Verdana"/>
                <w:spacing w:val="2"/>
                <w:sz w:val="20"/>
                <w:szCs w:val="20"/>
              </w:rPr>
              <w:t>:</w:t>
            </w:r>
          </w:p>
          <w:p w14:paraId="7B90FF93" w14:textId="2CE87DF9"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 xml:space="preserve">INVEST(73-74) </w:t>
            </w:r>
            <w:r>
              <w:rPr>
                <w:rFonts w:ascii="Verdana" w:hAnsi="Verdana"/>
                <w:spacing w:val="2"/>
                <w:sz w:val="20"/>
                <w:szCs w:val="20"/>
              </w:rPr>
              <w:t>–</w:t>
            </w:r>
            <w:r w:rsidRPr="0022359C">
              <w:rPr>
                <w:rFonts w:ascii="Verdana" w:hAnsi="Verdana"/>
                <w:spacing w:val="2"/>
                <w:sz w:val="20"/>
                <w:szCs w:val="20"/>
              </w:rPr>
              <w:t xml:space="preserve"> Investments, including investments in irrigation</w:t>
            </w:r>
          </w:p>
          <w:p w14:paraId="04A9B699" w14:textId="2D26B94F"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 xml:space="preserve">II.Г.1 </w:t>
            </w:r>
            <w:r>
              <w:rPr>
                <w:rFonts w:ascii="Verdana" w:hAnsi="Verdana"/>
                <w:spacing w:val="2"/>
                <w:sz w:val="20"/>
                <w:szCs w:val="20"/>
              </w:rPr>
              <w:t>–</w:t>
            </w:r>
            <w:r w:rsidRPr="0022359C">
              <w:rPr>
                <w:rFonts w:ascii="Verdana" w:hAnsi="Verdana"/>
                <w:spacing w:val="2"/>
                <w:sz w:val="20"/>
                <w:szCs w:val="20"/>
              </w:rPr>
              <w:t xml:space="preserve"> Инвестиции в земеделските стопанства</w:t>
            </w:r>
          </w:p>
          <w:p w14:paraId="7EA9FDF2" w14:textId="623ECD68"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Условия за допустимост на дейностите:</w:t>
            </w:r>
          </w:p>
          <w:p w14:paraId="03359F4E" w14:textId="4234D431"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Инвестициите допустими за подпомагане в рамките на интервенцията трябва:</w:t>
            </w:r>
          </w:p>
          <w:p w14:paraId="0ED2EB5A" w14:textId="687BE201"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·Материалните и нематериалните инвестиции включени в проектното предложение трябва да са в съответствие с параметрите и дейностите, обект на подпомагане и включени в разработения бизнес план;</w:t>
            </w:r>
          </w:p>
        </w:tc>
      </w:tr>
      <w:tr w:rsidR="00CD7279" w:rsidRPr="00F413E2" w14:paraId="1E6CCC5E"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BA84D8C"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2B3D61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32470EE" w14:textId="77777777"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p>
          <w:p w14:paraId="4BFB7265" w14:textId="16F26FD5"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да се прецизира какво се има в предвид под „трябва да са в съответствие с параметрите“, защото е общо и неясно и дава „свобода“ на МЗм/ДФЗ да тълкуват и прилагат по свое усмотрение при прилагане на интервенцията;</w:t>
            </w:r>
          </w:p>
          <w:p w14:paraId="08607C30" w14:textId="77777777"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да се преосмисли ползването на бизнес планове, като изискуем документ при кандидатстване, и с това да се намали административната тежест върху кандидатите. Самите бизнес планове съдържан изискване за данни, които МЗм/ДФЗ по свое усмотрение могат да коригират на база на вътрешни методики и справки, които променят намеренията на кандидатите, които са описвали в тях.</w:t>
            </w:r>
          </w:p>
          <w:p w14:paraId="1E723DF3" w14:textId="77777777" w:rsidR="00CD7279"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бизнес плановете да отпаднат с цел намаляване на административната тежест върху кандидатите и ползване само на заявление за кандидатстване.</w:t>
            </w:r>
          </w:p>
          <w:p w14:paraId="6E3ED84F" w14:textId="1FBF627B"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Подпомагат се дейности и инвестиции, които осигуряват възможност за измерване на потреблението на вода на равнището на подпомаганата инвестиция;</w:t>
            </w:r>
          </w:p>
          <w:p w14:paraId="38290F4A" w14:textId="0C31BBF0"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В случай на дейности и инвестиции свързани с обект от подпочвени или повърхностни води, чието състояние е определено като недобро в съответния план за управление на речния басейн, свързани с количеството на водите трябва да е налице ефективно намаляване на потреблението на вода, допринасящо за постигането на добро състояние на тези водни обекти. В случай на дейности и инвестиции свързани с обект от подпочвени или повърхностни води, чието състояние е определено като недобро се подпомагат дейности и инвестиции, които осигуряват най-малко ХХ% потенциална икономия на вода и ХХ% ефективно намаляване на потреблението на вода (процентните нива ще бъдат посочени допълнително);</w:t>
            </w:r>
          </w:p>
        </w:tc>
      </w:tr>
      <w:tr w:rsidR="00CD7279" w:rsidRPr="00F413E2" w14:paraId="7A00A9BA"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39983D7"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36399C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01385B11" w14:textId="7566A4CD"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p>
          <w:p w14:paraId="42F7CD2A" w14:textId="1DE325B4"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lastRenderedPageBreak/>
              <w:t>Предлагам да се посочат точни проценти, защото липсват, и не става ясно как може да се коментират те по процедурата на обществено обсъждане, защото липсват.</w:t>
            </w:r>
          </w:p>
          <w:p w14:paraId="4F1077B6" w14:textId="79BB8FAD"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w:t>
            </w:r>
            <w:r w:rsidRPr="0022359C">
              <w:rPr>
                <w:rFonts w:ascii="Verdana" w:hAnsi="Verdana"/>
                <w:spacing w:val="4"/>
                <w:sz w:val="20"/>
                <w:szCs w:val="20"/>
              </w:rPr>
              <w:t>Инвестиции в създаването или разширяването на резервоар за целите на напояването, се подпомагат само ако това не води до значително отрицателно въздействие върху околната среда.</w:t>
            </w:r>
          </w:p>
        </w:tc>
      </w:tr>
      <w:tr w:rsidR="00CD7279" w:rsidRPr="00F413E2" w14:paraId="3874DC2A"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1120FA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CEF7213"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A553B9D" w14:textId="446ED90D"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p>
          <w:p w14:paraId="4DDA4221" w14:textId="2FFC7A73"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да се поясни какво се има в предвид под „резервоар“;</w:t>
            </w:r>
          </w:p>
          <w:p w14:paraId="08F83F23" w14:textId="4927D6E9"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да се поясни при какви условие е налице „не води до значително отрицателно въздействие върху околната среда“, защото по- горе е посочена „Да са придружени от решение за преценяване на необходимостта от извършване на оценка на въздействието върху околната среда/решение по оценка на въздействие върху околната среда/решение за преценяване на необходимостта от извършване на екологична оценка/становище по екологична оценка/решение за преценка на вероятната степен на значително отрицателно въздействие/решение по оценка за съвместимостта/писмо/разрешително от компетентния орган по околна среда (РИОСВ/МОСВ/БД), издадени по реда на ЗООС и/или ЗБР и ЗВ.“</w:t>
            </w:r>
          </w:p>
        </w:tc>
      </w:tr>
      <w:tr w:rsidR="00CD7279" w:rsidRPr="00F413E2" w14:paraId="0479420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3E49E9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24A53D4F"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24EAE8F" w14:textId="6B89B258"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r>
              <w:rPr>
                <w:rFonts w:ascii="Verdana" w:hAnsi="Verdana"/>
                <w:spacing w:val="2"/>
                <w:sz w:val="20"/>
                <w:szCs w:val="20"/>
              </w:rPr>
              <w:t>:</w:t>
            </w:r>
          </w:p>
          <w:p w14:paraId="74A7C896" w14:textId="389050FD"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 xml:space="preserve">II.Г.2 </w:t>
            </w:r>
            <w:r>
              <w:rPr>
                <w:rFonts w:ascii="Verdana" w:hAnsi="Verdana"/>
                <w:spacing w:val="2"/>
                <w:sz w:val="20"/>
                <w:szCs w:val="20"/>
              </w:rPr>
              <w:t>–</w:t>
            </w:r>
            <w:r w:rsidRPr="0022359C">
              <w:rPr>
                <w:rFonts w:ascii="Verdana" w:hAnsi="Verdana"/>
                <w:spacing w:val="2"/>
                <w:sz w:val="20"/>
                <w:szCs w:val="20"/>
              </w:rPr>
              <w:t xml:space="preserve"> Инвестиции за прерабо</w:t>
            </w:r>
            <w:r>
              <w:rPr>
                <w:rFonts w:ascii="Verdana" w:hAnsi="Verdana"/>
                <w:spacing w:val="2"/>
                <w:sz w:val="20"/>
                <w:szCs w:val="20"/>
              </w:rPr>
              <w:t>тка на селскостопански продукти</w:t>
            </w:r>
          </w:p>
          <w:p w14:paraId="69FDD33C" w14:textId="1E54BD16"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Define eligible beneficiaries and specific eligibility criteria where relevant related to the beneficiary and area</w:t>
            </w:r>
          </w:p>
          <w:p w14:paraId="3F14EB14" w14:textId="6001BFA9"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Кандидатите земеделски стопани допустими за подпомагане трябва да</w:t>
            </w:r>
            <w:r>
              <w:rPr>
                <w:rFonts w:ascii="Verdana" w:hAnsi="Verdana"/>
                <w:spacing w:val="2"/>
                <w:sz w:val="20"/>
                <w:szCs w:val="20"/>
              </w:rPr>
              <w:t xml:space="preserve"> отговарят на следните условия:</w:t>
            </w:r>
          </w:p>
          <w:p w14:paraId="722DBE90" w14:textId="4291D093"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преобладаващата част /най – малко 51%/ от предвидените за преработка селскостопански продукти трябва да са произведени в земеделското стопанство на кандидата;</w:t>
            </w:r>
          </w:p>
        </w:tc>
      </w:tr>
      <w:tr w:rsidR="00CD7279" w:rsidRPr="00F413E2" w14:paraId="475E2F8A"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19CF28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D1156B2"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7EC0988" w14:textId="3B99B2CF"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p>
          <w:p w14:paraId="7B4F4F9A" w14:textId="0A03F6A0"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да се уточни посоченият процент спрямо броя на земеделските продукти ли се определя или спрямо тяхното количество или спрямо тяхната стойност, защото не е ясно.</w:t>
            </w:r>
          </w:p>
          <w:p w14:paraId="1C7A565C" w14:textId="0B4312A2"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Define eligible type of support (non-IACS) or commitments (IACS) and other obligations</w:t>
            </w:r>
          </w:p>
          <w:p w14:paraId="7E13ED2F" w14:textId="13F06A9E"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Подпомагане ще се предоставя в рамките на следните производствени сектори свързани с преработката и/или маркетинг /предлагането на пазара на продукти/, описани в Приложение І на Договора за функциониране на Европейския съюз и памук.</w:t>
            </w:r>
          </w:p>
          <w:p w14:paraId="7D37DE33" w14:textId="5774A8E8"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 Гроздова мъст, вино и оцет;</w:t>
            </w:r>
          </w:p>
        </w:tc>
      </w:tr>
      <w:tr w:rsidR="00CD7279" w:rsidRPr="00F413E2" w14:paraId="484D47C3"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66ABCD1"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7DA5DE1"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44F0EEA" w14:textId="6D933D96"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Предложение:</w:t>
            </w:r>
          </w:p>
          <w:p w14:paraId="3E0924EB" w14:textId="2CE414DF"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Предлагам да отпадне текста „Гроздова мъст, вино“, защото има отделна интервенция за лозаро- винарския сектор, в която попадат за подпомагане инвестициите за преработка на тези продукти.</w:t>
            </w:r>
          </w:p>
          <w:p w14:paraId="2F50488F" w14:textId="7FDA2222"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 xml:space="preserve">С предложението ще се премахне възможността за подпомагане на инвестиции и по двете интервенции, защото в действия програмен период ДФЗ е доказало, че няма капацитет и воля да контролира това надеждно. </w:t>
            </w:r>
            <w:r w:rsidRPr="0022359C">
              <w:rPr>
                <w:rFonts w:ascii="Verdana" w:hAnsi="Verdana"/>
                <w:spacing w:val="2"/>
                <w:sz w:val="20"/>
                <w:szCs w:val="20"/>
              </w:rPr>
              <w:lastRenderedPageBreak/>
              <w:t>Основание за предложението е и дублиране на инвестиции за ВЕИ за изби и по действащата лозаро- винарска програма и по М4.2 от действащата ПРСР.</w:t>
            </w:r>
          </w:p>
        </w:tc>
      </w:tr>
      <w:tr w:rsidR="00CD7279" w:rsidRPr="00F413E2" w14:paraId="3D4A7F8A"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54BA1647"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1F58C58"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9A442AD" w14:textId="77777777"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Предложение</w:t>
            </w:r>
          </w:p>
          <w:p w14:paraId="2FBA4172" w14:textId="51550B0E"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 xml:space="preserve">RESTRVINEY(58(1)(a)) - - </w:t>
            </w:r>
            <w:r w:rsidRPr="0022359C">
              <w:rPr>
                <w:rFonts w:ascii="Verdana" w:hAnsi="Verdana"/>
                <w:spacing w:val="2"/>
                <w:sz w:val="20"/>
                <w:szCs w:val="20"/>
              </w:rPr>
              <w:t>преструктуриране и п</w:t>
            </w:r>
            <w:r>
              <w:rPr>
                <w:rFonts w:ascii="Verdana" w:hAnsi="Verdana"/>
                <w:spacing w:val="2"/>
                <w:sz w:val="20"/>
                <w:szCs w:val="20"/>
              </w:rPr>
              <w:t>реобразуване на лозовите масиви</w:t>
            </w:r>
          </w:p>
          <w:p w14:paraId="176D7B66" w14:textId="77777777" w:rsidR="00CD7279" w:rsidRPr="0022359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І.Д.1 - Преструктуриране и конверсия на лозята</w:t>
            </w:r>
          </w:p>
          <w:p w14:paraId="4415CAAF" w14:textId="10F52AD5" w:rsidR="00CD7279" w:rsidRPr="003D64DC" w:rsidRDefault="00CD7279" w:rsidP="0022359C">
            <w:pPr>
              <w:widowControl w:val="0"/>
              <w:tabs>
                <w:tab w:val="left" w:pos="1565"/>
              </w:tabs>
              <w:autoSpaceDE w:val="0"/>
              <w:autoSpaceDN w:val="0"/>
              <w:spacing w:before="60" w:after="20"/>
              <w:jc w:val="both"/>
              <w:rPr>
                <w:rFonts w:ascii="Verdana" w:hAnsi="Verdana"/>
                <w:spacing w:val="2"/>
                <w:sz w:val="20"/>
                <w:szCs w:val="20"/>
              </w:rPr>
            </w:pPr>
            <w:r w:rsidRPr="0022359C">
              <w:rPr>
                <w:rFonts w:ascii="Verdana" w:hAnsi="Verdana"/>
                <w:spacing w:val="2"/>
                <w:sz w:val="20"/>
                <w:szCs w:val="20"/>
              </w:rPr>
              <w:t>Общ показател за крайния продукт O.36. Брой на подпомогнатите дейности или единици във винарския сектор</w:t>
            </w:r>
          </w:p>
        </w:tc>
      </w:tr>
      <w:tr w:rsidR="00CD7279" w:rsidRPr="00F413E2" w14:paraId="4EB2C775"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6A5A9EAF"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1868195"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9F4CE8B" w14:textId="199BADB9" w:rsidR="00CD7279" w:rsidRPr="001E33D4" w:rsidRDefault="00CD7279" w:rsidP="001E33D4">
            <w:pPr>
              <w:widowControl w:val="0"/>
              <w:tabs>
                <w:tab w:val="left" w:pos="1565"/>
              </w:tabs>
              <w:autoSpaceDE w:val="0"/>
              <w:autoSpaceDN w:val="0"/>
              <w:spacing w:before="60" w:after="20"/>
              <w:jc w:val="both"/>
              <w:rPr>
                <w:rFonts w:ascii="Verdana" w:hAnsi="Verdana"/>
                <w:spacing w:val="2"/>
                <w:sz w:val="20"/>
                <w:szCs w:val="20"/>
              </w:rPr>
            </w:pPr>
            <w:r w:rsidRPr="001E33D4">
              <w:rPr>
                <w:rFonts w:ascii="Verdana" w:hAnsi="Verdana"/>
                <w:spacing w:val="2"/>
                <w:sz w:val="20"/>
                <w:szCs w:val="20"/>
              </w:rPr>
              <w:t>Предложение:</w:t>
            </w:r>
          </w:p>
          <w:p w14:paraId="75C3456B" w14:textId="2978A422" w:rsidR="00CD7279" w:rsidRPr="001E33D4" w:rsidRDefault="00CD7279" w:rsidP="001E33D4">
            <w:pPr>
              <w:widowControl w:val="0"/>
              <w:tabs>
                <w:tab w:val="left" w:pos="1565"/>
              </w:tabs>
              <w:autoSpaceDE w:val="0"/>
              <w:autoSpaceDN w:val="0"/>
              <w:spacing w:before="60" w:after="20"/>
              <w:jc w:val="both"/>
              <w:rPr>
                <w:rFonts w:ascii="Verdana" w:hAnsi="Verdana"/>
                <w:spacing w:val="2"/>
                <w:sz w:val="20"/>
                <w:szCs w:val="20"/>
              </w:rPr>
            </w:pPr>
            <w:r w:rsidRPr="001E33D4">
              <w:rPr>
                <w:rFonts w:ascii="Verdana" w:hAnsi="Verdana"/>
                <w:spacing w:val="2"/>
                <w:sz w:val="20"/>
                <w:szCs w:val="20"/>
              </w:rPr>
              <w:t>Винарският сектор да се коригира на лозарския сектор</w:t>
            </w:r>
          </w:p>
          <w:p w14:paraId="624818D0" w14:textId="217E8FB1" w:rsidR="00CD7279" w:rsidRPr="001E33D4" w:rsidRDefault="00CD7279" w:rsidP="001E33D4">
            <w:pPr>
              <w:widowControl w:val="0"/>
              <w:tabs>
                <w:tab w:val="left" w:pos="1565"/>
              </w:tabs>
              <w:autoSpaceDE w:val="0"/>
              <w:autoSpaceDN w:val="0"/>
              <w:spacing w:before="60" w:after="20"/>
              <w:jc w:val="both"/>
              <w:rPr>
                <w:rFonts w:ascii="Verdana" w:hAnsi="Verdana"/>
                <w:spacing w:val="2"/>
                <w:sz w:val="20"/>
                <w:szCs w:val="20"/>
              </w:rPr>
            </w:pPr>
            <w:r w:rsidRPr="001E33D4">
              <w:rPr>
                <w:rFonts w:ascii="Verdana" w:hAnsi="Verdana"/>
                <w:spacing w:val="2"/>
                <w:sz w:val="20"/>
                <w:szCs w:val="20"/>
              </w:rPr>
              <w:t xml:space="preserve">І.Д.1 </w:t>
            </w:r>
            <w:r>
              <w:rPr>
                <w:rFonts w:ascii="Verdana" w:hAnsi="Verdana"/>
                <w:spacing w:val="2"/>
                <w:sz w:val="20"/>
                <w:szCs w:val="20"/>
              </w:rPr>
              <w:t>–</w:t>
            </w:r>
            <w:r w:rsidRPr="001E33D4">
              <w:rPr>
                <w:rFonts w:ascii="Verdana" w:hAnsi="Verdana"/>
                <w:spacing w:val="2"/>
                <w:sz w:val="20"/>
                <w:szCs w:val="20"/>
              </w:rPr>
              <w:t xml:space="preserve"> Преструктуриране и конверсия на лозята</w:t>
            </w:r>
          </w:p>
          <w:p w14:paraId="51DCCB0D" w14:textId="447BAABC" w:rsidR="00CD7279" w:rsidRPr="001E33D4" w:rsidRDefault="00CD7279" w:rsidP="001E33D4">
            <w:pPr>
              <w:widowControl w:val="0"/>
              <w:tabs>
                <w:tab w:val="left" w:pos="1565"/>
              </w:tabs>
              <w:autoSpaceDE w:val="0"/>
              <w:autoSpaceDN w:val="0"/>
              <w:spacing w:before="60" w:after="20"/>
              <w:jc w:val="both"/>
              <w:rPr>
                <w:rFonts w:ascii="Verdana" w:hAnsi="Verdana"/>
                <w:spacing w:val="2"/>
                <w:sz w:val="20"/>
                <w:szCs w:val="20"/>
              </w:rPr>
            </w:pPr>
            <w:r w:rsidRPr="001E33D4">
              <w:rPr>
                <w:rFonts w:ascii="Verdana" w:hAnsi="Verdana"/>
                <w:spacing w:val="2"/>
                <w:sz w:val="20"/>
                <w:szCs w:val="20"/>
              </w:rPr>
              <w:t>5 Specific design, requirements and eligibility</w:t>
            </w:r>
            <w:r>
              <w:rPr>
                <w:rFonts w:ascii="Verdana" w:hAnsi="Verdana"/>
                <w:spacing w:val="2"/>
                <w:sz w:val="20"/>
                <w:szCs w:val="20"/>
              </w:rPr>
              <w:t xml:space="preserve"> conditions of the intervention</w:t>
            </w:r>
          </w:p>
          <w:p w14:paraId="1025FB16" w14:textId="1E669382" w:rsidR="00CD7279" w:rsidRPr="003D64DC" w:rsidRDefault="00CD7279" w:rsidP="001E33D4">
            <w:pPr>
              <w:widowControl w:val="0"/>
              <w:tabs>
                <w:tab w:val="left" w:pos="1565"/>
              </w:tabs>
              <w:autoSpaceDE w:val="0"/>
              <w:autoSpaceDN w:val="0"/>
              <w:spacing w:before="60" w:after="20"/>
              <w:jc w:val="both"/>
              <w:rPr>
                <w:rFonts w:ascii="Verdana" w:hAnsi="Verdana"/>
                <w:spacing w:val="2"/>
                <w:sz w:val="20"/>
                <w:szCs w:val="20"/>
              </w:rPr>
            </w:pPr>
            <w:r w:rsidRPr="001E33D4">
              <w:rPr>
                <w:rFonts w:ascii="Verdana" w:hAnsi="Verdana"/>
                <w:spacing w:val="2"/>
                <w:sz w:val="20"/>
                <w:szCs w:val="20"/>
              </w:rPr>
              <w:t>Допустими бенефициери са гроздопроизводители (физически или юридически лица) или група, или организация на физически или юридически лица, вписани в лозарския регистър като гроздопроизводители с регистрирани лозарски стопанства в добро агротехническо състояние.</w:t>
            </w:r>
          </w:p>
        </w:tc>
      </w:tr>
      <w:tr w:rsidR="00CD7279" w:rsidRPr="00F413E2" w14:paraId="7999F78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2DE306A"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0F40814"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A726DC6" w14:textId="527B6E0C"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Предложение:</w:t>
            </w:r>
          </w:p>
          <w:p w14:paraId="7AFBB99D" w14:textId="332FCB01"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1. След „организация“ да се добави „на производители, призната от МЗм, “.</w:t>
            </w:r>
          </w:p>
          <w:p w14:paraId="51818333" w14:textId="55CCEA2F"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2. Да се уточни, че спрямо организацията на производители няма изискване да е вписана в лозарския регистър, защото текс</w:t>
            </w:r>
            <w:r>
              <w:rPr>
                <w:rFonts w:ascii="Verdana" w:hAnsi="Verdana"/>
                <w:spacing w:val="2"/>
                <w:sz w:val="20"/>
                <w:szCs w:val="20"/>
              </w:rPr>
              <w:t>тът е неясен по това отношение.</w:t>
            </w:r>
          </w:p>
          <w:p w14:paraId="570ED8A7" w14:textId="3D176856"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3. Да се поясни спрямо кой нормативен акт се доказва „лозарски стопанства в добро агротехническо състояние“. Това условие не е ли приложими спрямо лозята в лозарското стопанство? Ако не се приеме да се поясни при какви проценти на лозя в лозарското стопанство, които са в добро агротехническо състояние може да се приеме, че е изпълнено условието.</w:t>
            </w:r>
          </w:p>
          <w:p w14:paraId="5A5C8047" w14:textId="04BF323B"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4. Да се поясни дали за спазване на условието се вземат всички лозарски стопанства на гроздопроизводители или само тези, които са в обхвата на подпомагане.</w:t>
            </w:r>
          </w:p>
          <w:p w14:paraId="2C3F42D1" w14:textId="1AE47211"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По „Преструктуриране и конверсия на лозя― допустими за подпомагане са:</w:t>
            </w:r>
          </w:p>
          <w:p w14:paraId="5CE6E299" w14:textId="11F3282A" w:rsidR="00CD7279" w:rsidRPr="003D64DC"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 Производители на винено грозде, които имат валидни разрешения за презасаждане и стопанисваните от тях площи са в добро агротехническо състояние;</w:t>
            </w:r>
          </w:p>
        </w:tc>
      </w:tr>
      <w:tr w:rsidR="00CD7279" w:rsidRPr="00F413E2" w14:paraId="11485EED"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61E8F4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D6AF96B"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879F9E5" w14:textId="7D268493"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Предложение:</w:t>
            </w:r>
          </w:p>
          <w:p w14:paraId="0BEF7649" w14:textId="19B6DA3D" w:rsidR="00CD7279" w:rsidRPr="003D64DC"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Да се поясни защо се търси чрез „и“ спазване на условието „стопанисваните от тях площи са в добро агротехническо състояние“, като се има в предвид, че издаването на разрешение за презасаждане се предшества от такива проверки за допустимост на лозята. Предлагам това условие да се извади в предходно тире, преди настоящото.</w:t>
            </w:r>
          </w:p>
        </w:tc>
      </w:tr>
      <w:tr w:rsidR="00CD7279" w:rsidRPr="00F413E2" w14:paraId="5B6A9A95"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75C61EB"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4E252CD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771C076" w14:textId="77777777"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І.Д.1 – Преструктуриране и конверсия на лозята</w:t>
            </w:r>
          </w:p>
          <w:p w14:paraId="61F16F25" w14:textId="77777777"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5 Specific design, requirements and eligibility conditions of the intervention</w:t>
            </w:r>
          </w:p>
          <w:p w14:paraId="0641B716" w14:textId="77777777"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Допустими за подпомагане са следните дейности:</w:t>
            </w:r>
          </w:p>
          <w:p w14:paraId="169D86C2" w14:textId="221975E6" w:rsidR="00CD7279"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II. Дейност „Промяна на местонахождението на лозята ―</w:t>
            </w:r>
          </w:p>
          <w:p w14:paraId="1AA4F198" w14:textId="529D0F2F" w:rsidR="00CD7279" w:rsidRPr="00B56C0F"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Предложение:</w:t>
            </w:r>
          </w:p>
          <w:p w14:paraId="033718D8" w14:textId="44D51495" w:rsidR="00CD7279" w:rsidRPr="003D64DC" w:rsidRDefault="00CD7279" w:rsidP="00B56C0F">
            <w:pPr>
              <w:widowControl w:val="0"/>
              <w:tabs>
                <w:tab w:val="left" w:pos="1565"/>
              </w:tabs>
              <w:autoSpaceDE w:val="0"/>
              <w:autoSpaceDN w:val="0"/>
              <w:spacing w:before="60" w:after="20"/>
              <w:jc w:val="both"/>
              <w:rPr>
                <w:rFonts w:ascii="Verdana" w:hAnsi="Verdana"/>
                <w:spacing w:val="2"/>
                <w:sz w:val="20"/>
                <w:szCs w:val="20"/>
              </w:rPr>
            </w:pPr>
            <w:r w:rsidRPr="00B56C0F">
              <w:rPr>
                <w:rFonts w:ascii="Verdana" w:hAnsi="Verdana"/>
                <w:spacing w:val="2"/>
                <w:sz w:val="20"/>
                <w:szCs w:val="20"/>
              </w:rPr>
              <w:t>Предлагам да се прецизира възможността за преместване на права за презасаждане между лозарските райони на страната, което води до промяна на лозарския потенциал в тях.</w:t>
            </w:r>
          </w:p>
        </w:tc>
      </w:tr>
      <w:tr w:rsidR="00CD7279" w:rsidRPr="00F413E2" w14:paraId="47F36C93"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7710868"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65C298B"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00D5E0D8" w14:textId="77777777"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Предложение</w:t>
            </w:r>
          </w:p>
          <w:p w14:paraId="59632296" w14:textId="1E88DB20"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RESTRVINEY(58(1)(a)) - - преструктуриране и п</w:t>
            </w:r>
            <w:r>
              <w:rPr>
                <w:rFonts w:ascii="Verdana" w:hAnsi="Verdana"/>
                <w:spacing w:val="2"/>
                <w:sz w:val="20"/>
                <w:szCs w:val="20"/>
              </w:rPr>
              <w:t>реобразуване на лозовите масиви</w:t>
            </w:r>
          </w:p>
          <w:p w14:paraId="73FEC183" w14:textId="6E5C7129"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І.Д.1 - Преструктуриране и конверсия на лозята</w:t>
            </w:r>
          </w:p>
          <w:p w14:paraId="70077630" w14:textId="723D0051"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5 Specific design, requirements and eligibility</w:t>
            </w:r>
            <w:r>
              <w:rPr>
                <w:rFonts w:ascii="Verdana" w:hAnsi="Verdana"/>
                <w:spacing w:val="2"/>
                <w:sz w:val="20"/>
                <w:szCs w:val="20"/>
              </w:rPr>
              <w:t xml:space="preserve"> conditions of the intervention</w:t>
            </w:r>
          </w:p>
          <w:p w14:paraId="6E96281E" w14:textId="62D3FD39"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Допустими за подпомагане са следните дейности:</w:t>
            </w:r>
          </w:p>
          <w:p w14:paraId="10A4E2EB" w14:textId="4C9FC40D"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III. Дейност „Подобряване на тех</w:t>
            </w:r>
            <w:r>
              <w:rPr>
                <w:rFonts w:ascii="Verdana" w:hAnsi="Verdana"/>
                <w:spacing w:val="2"/>
                <w:sz w:val="20"/>
                <w:szCs w:val="20"/>
              </w:rPr>
              <w:t>никите за управление на лозята―</w:t>
            </w:r>
          </w:p>
          <w:p w14:paraId="01FCF1E1" w14:textId="0F25F9F2"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Поддейности:</w:t>
            </w:r>
          </w:p>
          <w:p w14:paraId="68B26FF8" w14:textId="5FD7FC7C" w:rsidR="00CD7279" w:rsidRPr="003D64DC"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8**. Закупуване на гроздокомбайни, прикачен инвентар за обработка на лозовото насаждение и други машини за наблюдение и обработка, които не са транспортни средства.</w:t>
            </w:r>
          </w:p>
        </w:tc>
      </w:tr>
      <w:tr w:rsidR="00CD7279" w:rsidRPr="00F413E2" w14:paraId="20F0A3A4"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591A2410"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AE66B54"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1C73500F" w14:textId="6B5C07EC"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Предложение:</w:t>
            </w:r>
          </w:p>
          <w:p w14:paraId="53C485FF" w14:textId="5B4FB347" w:rsidR="00CD7279" w:rsidRPr="00992916"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Да се поясни дали гроздокомбайните са самоходни машини или прикачни, или и двата вида, защото по различните закони попадат в обхвата на „транспортни средства“ или заради това да се тълкуват от РА като недопустима инвестиция.</w:t>
            </w:r>
          </w:p>
          <w:p w14:paraId="54B05679" w14:textId="5DEE559A" w:rsidR="00CD7279" w:rsidRPr="003D64DC" w:rsidRDefault="00CD7279" w:rsidP="00992916">
            <w:pPr>
              <w:widowControl w:val="0"/>
              <w:tabs>
                <w:tab w:val="left" w:pos="1565"/>
              </w:tabs>
              <w:autoSpaceDE w:val="0"/>
              <w:autoSpaceDN w:val="0"/>
              <w:spacing w:before="60" w:after="20"/>
              <w:jc w:val="both"/>
              <w:rPr>
                <w:rFonts w:ascii="Verdana" w:hAnsi="Verdana"/>
                <w:spacing w:val="2"/>
                <w:sz w:val="20"/>
                <w:szCs w:val="20"/>
              </w:rPr>
            </w:pPr>
            <w:r w:rsidRPr="00992916">
              <w:rPr>
                <w:rFonts w:ascii="Verdana" w:hAnsi="Verdana"/>
                <w:spacing w:val="2"/>
                <w:sz w:val="20"/>
                <w:szCs w:val="20"/>
              </w:rPr>
              <w:t>Да се поясни дали обработката е на лозовите насаждения или в лозовите насаждения, защото в първият случай трябва да се включват и ремаркета за превоз на грозде от лозята до помещения за продажба или съхранение, които са в стопанството на гроздопроизводителя.</w:t>
            </w:r>
          </w:p>
        </w:tc>
      </w:tr>
      <w:tr w:rsidR="00CD7279" w:rsidRPr="00F413E2" w14:paraId="7DAD5494"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2C6A7A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6A19F2A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EC69904" w14:textId="455EA9F9"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*За т. седем (7) от дейност III бенефициер</w:t>
            </w:r>
            <w:r>
              <w:rPr>
                <w:rFonts w:ascii="Verdana" w:hAnsi="Verdana"/>
                <w:spacing w:val="2"/>
                <w:sz w:val="20"/>
                <w:szCs w:val="20"/>
              </w:rPr>
              <w:t>ите предоставят ex-ante оценка.</w:t>
            </w:r>
          </w:p>
          <w:p w14:paraId="4381CDC7" w14:textId="3D223BE4"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p>
          <w:p w14:paraId="14525E13" w14:textId="461686B3"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„ex-ante“ да се замени с български термин.</w:t>
            </w:r>
          </w:p>
          <w:p w14:paraId="36EFB633" w14:textId="77777777"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Да се опишат минимални условия, на които трябва да отговаря тази оценка- съдържание и показатели.</w:t>
            </w:r>
          </w:p>
          <w:p w14:paraId="007ED3BA" w14:textId="5F3D9B19"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**Точка осем (8) е допустима за изпълнение само при проекти на групи или организации на производители на винено грозде.</w:t>
            </w:r>
          </w:p>
        </w:tc>
      </w:tr>
      <w:tr w:rsidR="00CD7279" w:rsidRPr="00F413E2" w14:paraId="7F67C23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C72E133"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5E3665ED"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53DEAFC" w14:textId="5F98AEAB"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p>
          <w:p w14:paraId="052938CF" w14:textId="4A38AB6B"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lastRenderedPageBreak/>
              <w:t>Точката да отпадне за да се даде възможност и на отделните гроздопроизводители да закупуват самоходни гроздокомбайни или прикачни такива. При ниската степен на сдружаване такива инвестиции остават извън обхвата на подпомагане.</w:t>
            </w:r>
          </w:p>
          <w:p w14:paraId="16ACA7FB" w14:textId="3564DDA2"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5 Specific design, requirements and eligibility conditions of the intervention</w:t>
            </w:r>
          </w:p>
          <w:p w14:paraId="55C7CA4B" w14:textId="38CA7B36"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 xml:space="preserve">І.Д.1 </w:t>
            </w:r>
            <w:r>
              <w:rPr>
                <w:rFonts w:ascii="Verdana" w:hAnsi="Verdana"/>
                <w:spacing w:val="2"/>
                <w:sz w:val="20"/>
                <w:szCs w:val="20"/>
              </w:rPr>
              <w:t>–</w:t>
            </w:r>
            <w:r w:rsidRPr="00414D74">
              <w:rPr>
                <w:rFonts w:ascii="Verdana" w:hAnsi="Verdana"/>
                <w:spacing w:val="2"/>
                <w:sz w:val="20"/>
                <w:szCs w:val="20"/>
              </w:rPr>
              <w:t xml:space="preserve"> Преструктуриране и конверсия на лозята</w:t>
            </w:r>
          </w:p>
          <w:p w14:paraId="17E93F45" w14:textId="71572DA5"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Допустими за подпомагане са кандидати, чиито проекти имат най-малко 5 точки от следните критерии за оценка и приоритет:</w:t>
            </w:r>
          </w:p>
          <w:p w14:paraId="57E9C772" w14:textId="729E319B"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1. Проектът не е подпомаган по мярката през предходни програмни периоди;</w:t>
            </w:r>
          </w:p>
          <w:p w14:paraId="7D1F6A56" w14:textId="67E15EA0"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2. Проект с дейности в стопанства за производство на биологични продукти и/или стопанства в преход към биологично производство на продукти;</w:t>
            </w:r>
          </w:p>
          <w:p w14:paraId="4D4F38C0" w14:textId="0ECB261D"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3. Проектът е представен от групи/организации на производители на винено грозде;</w:t>
            </w:r>
          </w:p>
          <w:p w14:paraId="1FC8BD9F" w14:textId="3B1F93E5"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4. Проектът предвижда засаждане на местни и интродуцирани устойчиви сортове;</w:t>
            </w:r>
          </w:p>
          <w:p w14:paraId="1302725D" w14:textId="7BE24C3D"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5. Проектът е за райони и сортове грозде за производство на вина със ЗНП;</w:t>
            </w:r>
          </w:p>
          <w:p w14:paraId="3264857E" w14:textId="219EFFC7"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6. Проектът е за район за производство на вина със ЗГУ;</w:t>
            </w:r>
          </w:p>
          <w:p w14:paraId="2E1A6E3E" w14:textId="4ECE076A"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7. Проект за лозарски стопанства с размер от 2 до 30 ха;</w:t>
            </w:r>
          </w:p>
          <w:p w14:paraId="67F10D70" w14:textId="75C9080E"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8. Проект на млад земеделски стопанин – гроздопроизводител;</w:t>
            </w:r>
          </w:p>
        </w:tc>
      </w:tr>
      <w:tr w:rsidR="00CD7279" w:rsidRPr="00F413E2" w14:paraId="6C8D129F"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5B4C0F8E"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FFDA7E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0F3C585" w14:textId="4ED7CF81"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p>
          <w:p w14:paraId="44827C39" w14:textId="66187E43"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1. Записано е условие от „имат най-малко 5 точки от следните критерии“, а за критериите няма посочени точки. Предлагам условието да се промени или да се посочат изрично точки за всеки критерий.</w:t>
            </w:r>
          </w:p>
          <w:p w14:paraId="435F754A" w14:textId="7613F4BF"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2. Предлагам за точка 1 да се мотивира как проекта е възможно да е подпомаган по мярката през предходен програмен период, като той е изрично подаден в настоящия. Предлагам да се поясни дали условието не се отнася за кандидата.</w:t>
            </w:r>
          </w:p>
          <w:p w14:paraId="2AA659B1" w14:textId="55F7C870"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3. По точка 1 да се поясни дали при кандидат, който вече е подпомаган с проект през новия програмен период отново ще вземе точки по този критерий.</w:t>
            </w:r>
          </w:p>
          <w:p w14:paraId="01059961" w14:textId="50DF8DAD"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4. По точка 1 да се уточни дали е мярка или интервенция.</w:t>
            </w:r>
          </w:p>
          <w:p w14:paraId="14D67097" w14:textId="559CDB2E"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5. По точка 3 предлагам да се поясни, че групата/организацията трябва да е призната от МЗм.</w:t>
            </w:r>
          </w:p>
          <w:p w14:paraId="714CEFDE" w14:textId="519CF409"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6. По точка 4 предлагам да се поясни къде е наличен или ще бъде наличен този списък и по какъв ред ще бъде одобряван и разширяван през периода на интервенцията.</w:t>
            </w:r>
          </w:p>
          <w:p w14:paraId="6C3C7FE9" w14:textId="5FF0061D"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7. В точка 6 да се добави и условие за сорт, освен район. В заповедите на ИАЛВ за ЗГУ има условия и за признатите сортове, които могат да се засаждат в район със ЗГУ, включително и изключване на сортове за даден район.</w:t>
            </w:r>
          </w:p>
          <w:p w14:paraId="7EED2BA4" w14:textId="609ACB68"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lastRenderedPageBreak/>
              <w:t>8. За точка 7 да се уточни дали 30ха се включват в условието.</w:t>
            </w:r>
          </w:p>
          <w:p w14:paraId="111F49A6" w14:textId="02555D9E"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9. По точка 8 да се уточни дали ще се изисква регистрация по Наредба №3/1999г., защото е посочено „земеделски стопанин“ или е достатъчно само да е гроздопроизводител, който е регистриран в лозарския регистър към ИАЛВ.</w:t>
            </w:r>
          </w:p>
        </w:tc>
      </w:tr>
      <w:tr w:rsidR="00CD7279" w:rsidRPr="00F413E2" w14:paraId="4E4B2636"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765AA510"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E7B3B5F"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4ABCA03" w14:textId="77777777"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p>
          <w:p w14:paraId="3D71B5BF" w14:textId="77777777"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RESTRVINEY(58(1)(a)) - - преструктуриране и преобразуване на лозовите масиви</w:t>
            </w:r>
          </w:p>
          <w:p w14:paraId="5ED63FCA" w14:textId="4D0521F2"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І.Д.1 - Преструктуриране и конверсия на лозята</w:t>
            </w:r>
          </w:p>
          <w:p w14:paraId="07726F96" w14:textId="0F4590A6"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6 Form and rate of support/amounts/calculation methods</w:t>
            </w:r>
          </w:p>
          <w:p w14:paraId="28A155FF" w14:textId="6A36319A"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Максималният размер на финансовата помощ е до 75 % от стойността на действителните разходи за изпълнение на всяка дейност. Размерът на подпомагането се изчислява на база пределни цени по операции и допълнителен контрол – сравняване на три оферти. Максималната пределна цена за презасаждане на лозовото насаждение е 21 599,78 евро/ха.</w:t>
            </w:r>
          </w:p>
        </w:tc>
      </w:tr>
      <w:tr w:rsidR="00CD7279" w:rsidRPr="00F413E2" w14:paraId="561EE7FB"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3FEE98EA"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3F6D1E34"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3DE681A8" w14:textId="3BA616E2"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p>
          <w:p w14:paraId="2035150D" w14:textId="5E7D3CD5"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Предложението създава излишна административна и финансова тежест върху кандидатите, която не е обосновано защо се изисква при условие, че и по регламент няма такова изискване.</w:t>
            </w:r>
          </w:p>
          <w:p w14:paraId="454412A4" w14:textId="7F954296"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Предлагам да се прегледат резултатите и от настоящата Лозарска програма и да се проследи броя на кандидатите и с какви стопанства са били, и допълнително колко средства от мярката са прехвърлени извън нея.</w:t>
            </w:r>
          </w:p>
          <w:p w14:paraId="19714098" w14:textId="48EC4CF8"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Настоящата усложнена процедура за кандидатстване отказва малките гроздопроизводители да преструктурират своите лозя, като предпочитат да ги изкоренят и прекратят тази своя дейност. Констатацията се доказва и от анализа на лозарския сектор в България, който е ползват и за целите на настоящата интервенция.</w:t>
            </w:r>
          </w:p>
          <w:p w14:paraId="14B0698B" w14:textId="532F2988"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Записването на максимална цена за презасаждане вече не е обосновано и не е приемливо спрямо увеличаващата се инфлация и военните конфликти в района. Абзацът трябва да отпадне и РА да прави ежегодна оценка на действителни разходи, която да отговаря на икономическата реалност към момента на кандидатстване.</w:t>
            </w:r>
          </w:p>
          <w:p w14:paraId="4212EDE8" w14:textId="009DD606"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Предлагам по точката да остане само текста:</w:t>
            </w:r>
          </w:p>
          <w:p w14:paraId="3A30EBBA" w14:textId="7FF1C792"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Максималният размер на финансовата помощ е до 75 % от стойността на действителните разходи за изпълнение на всяка дейност. Размерът на подпомагането се изчислява на база пределни цени по дейност.</w:t>
            </w:r>
          </w:p>
          <w:p w14:paraId="5A38F491" w14:textId="77777777" w:rsidR="00CD7279"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При изпълнение на дейности изкореняване и засаждане (презасаждане) кандидатите имат право на парично обезщетение за загуба на доход. Обезщетението се изчислява въз основа на средния годишен добив от хектар за последните две винарски години преди изкореняване на насаждението.</w:t>
            </w:r>
          </w:p>
          <w:p w14:paraId="582C7885" w14:textId="303AC8E0"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Финансовата помощ може да се изплаща авансово.</w:t>
            </w:r>
          </w:p>
        </w:tc>
      </w:tr>
      <w:tr w:rsidR="00CD7279" w:rsidRPr="00F413E2" w14:paraId="6647B8D8"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58CAA1C2"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0AC6C9C"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DBD0467" w14:textId="6DC8B0C5"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r>
              <w:rPr>
                <w:rFonts w:ascii="Verdana" w:hAnsi="Verdana"/>
                <w:spacing w:val="2"/>
                <w:sz w:val="20"/>
                <w:szCs w:val="20"/>
              </w:rPr>
              <w:t>:</w:t>
            </w:r>
          </w:p>
          <w:p w14:paraId="675EB11E" w14:textId="77777777"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RESTRVINEY(58(1)(a)) - - преструктуриране и преобразуване на лозовите масиви</w:t>
            </w:r>
          </w:p>
          <w:p w14:paraId="269FDD69" w14:textId="36CA1F5C"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І.Д.1 - Преструктуриране и конверсия на лозята</w:t>
            </w:r>
          </w:p>
          <w:p w14:paraId="6A4A15CD" w14:textId="05C0B1DF"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6 Form and rate of support/amounts/calculation methods</w:t>
            </w:r>
          </w:p>
          <w:p w14:paraId="21CF9469" w14:textId="52107487"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При изпълнение на дейности изкореняване и засаждане (презасаждане) кандидатите имат право на парично обезщетение за загуба на доход. Обезщетението се изчислява въз основа на средния годишен добив от хектар за последните две винарски години преди изкореняване на насаждението.</w:t>
            </w:r>
          </w:p>
        </w:tc>
      </w:tr>
      <w:tr w:rsidR="00CD7279" w:rsidRPr="00F413E2" w14:paraId="7DBE5B95"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C57BF3A"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6D4FC9B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1D86F0B8" w14:textId="75F12CE1"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Предложение:</w:t>
            </w:r>
          </w:p>
          <w:p w14:paraId="522CAEDB" w14:textId="673E67FD"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Изкореняването се извършва в календарна година, в която приключва на 31 юли една винарска година и започва нова винарска година. Същото е за финансовата година- приключва на 15 октомври и започва нова финансова година.</w:t>
            </w:r>
          </w:p>
          <w:p w14:paraId="16A84BD5" w14:textId="3AFF65EC" w:rsidR="00CD7279" w:rsidRPr="00414D74"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В предложения текст не е обосновано какво се има в предвид под „изкореняване на насаждението“. Процесът започва с уведомление за това до ИАЛВ, физическо изкореняване, уведомление за край на изкореняването до ИАЛВ, заявление до ИАЛВ за издаване на разрешение за презасаждане, издаване на разрешение за презасаждане. Кой от моментите/датите ще се приеме от РА за изпълнено условие за това изкореняване.</w:t>
            </w:r>
          </w:p>
          <w:p w14:paraId="28FA73C8" w14:textId="4E3301C4" w:rsidR="00CD7279" w:rsidRPr="003D64DC" w:rsidRDefault="00CD7279" w:rsidP="00414D74">
            <w:pPr>
              <w:widowControl w:val="0"/>
              <w:tabs>
                <w:tab w:val="left" w:pos="1565"/>
              </w:tabs>
              <w:autoSpaceDE w:val="0"/>
              <w:autoSpaceDN w:val="0"/>
              <w:spacing w:before="60" w:after="20"/>
              <w:jc w:val="both"/>
              <w:rPr>
                <w:rFonts w:ascii="Verdana" w:hAnsi="Verdana"/>
                <w:spacing w:val="2"/>
                <w:sz w:val="20"/>
                <w:szCs w:val="20"/>
              </w:rPr>
            </w:pPr>
            <w:r w:rsidRPr="00414D74">
              <w:rPr>
                <w:rFonts w:ascii="Verdana" w:hAnsi="Verdana"/>
                <w:spacing w:val="2"/>
                <w:sz w:val="20"/>
                <w:szCs w:val="20"/>
              </w:rPr>
              <w:t>Предлагам текстът „преди изкореняване на насаждението“ да се промени на „преди винарската година на изкореняване на насаждението“ или на „спрямо датата на издаване на разрешение за презасаждане“</w:t>
            </w:r>
          </w:p>
        </w:tc>
      </w:tr>
      <w:tr w:rsidR="00CD7279" w:rsidRPr="00F413E2" w14:paraId="7F30C7B2"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1AAC59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F6B1E6E"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0F848AF" w14:textId="5C0FDEBE"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 xml:space="preserve">І.Д.1 </w:t>
            </w:r>
            <w:r>
              <w:rPr>
                <w:rFonts w:ascii="Verdana" w:hAnsi="Verdana"/>
                <w:spacing w:val="2"/>
                <w:sz w:val="20"/>
                <w:szCs w:val="20"/>
              </w:rPr>
              <w:t>–</w:t>
            </w:r>
            <w:r w:rsidRPr="00AB4082">
              <w:rPr>
                <w:rFonts w:ascii="Verdana" w:hAnsi="Verdana"/>
                <w:spacing w:val="2"/>
                <w:sz w:val="20"/>
                <w:szCs w:val="20"/>
              </w:rPr>
              <w:t xml:space="preserve"> Престру</w:t>
            </w:r>
            <w:r>
              <w:rPr>
                <w:rFonts w:ascii="Verdana" w:hAnsi="Verdana"/>
                <w:spacing w:val="2"/>
                <w:sz w:val="20"/>
                <w:szCs w:val="20"/>
              </w:rPr>
              <w:t>ктуриране и конверсия на лозята</w:t>
            </w:r>
          </w:p>
          <w:p w14:paraId="6E727515" w14:textId="7D39912D"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7 Additional information specific to the Type of Intervention</w:t>
            </w:r>
          </w:p>
          <w:p w14:paraId="38028B2F" w14:textId="09292CE1"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Предложение:</w:t>
            </w:r>
          </w:p>
          <w:p w14:paraId="7386E932" w14:textId="79D7A22C"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1. Във връзка с неточните, некоректни и неясни документи на ДФЗ-РА, които се ползват по настоящата Лозаро- винарска програма предлагам да се включи задължение ДФЗ-РА да предлагана на обществено обсъждане всички образци на документи, които са свързани с интервенцията.</w:t>
            </w:r>
          </w:p>
          <w:p w14:paraId="218066EA" w14:textId="3B7454BD"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2. Предлагам ДФЗ-РА да публикува за обществено обсъждане всички процедури за контрол при кандидатстване и отчитане на проект по интервенцията, както и всички свързани с тях формуляри и документи.</w:t>
            </w:r>
          </w:p>
          <w:p w14:paraId="4A7559C1" w14:textId="5CC20375"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3. Предлагам да се запише задължение за публикуване на индикативните програма за следваща година за прием по интервенцията най- късно до месец октомври на текущата година с цел кандидатите да имат ясното кога да започнат подготовка на документите за кандидатстване през ИАЛВ.</w:t>
            </w:r>
          </w:p>
          <w:p w14:paraId="2E5F5E33" w14:textId="5703582F"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4. Предлагам да се запише задължение ежегодно да се провежда обсъждане на цените по дейности, с което да се отчита действителното им ниво на пазара, като труд и материали, и което да бъде база за проверка за действителните ха, които ще може да се подпомагат.</w:t>
            </w:r>
          </w:p>
          <w:p w14:paraId="6D56F509" w14:textId="66B1CD41"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 xml:space="preserve">5. Във връзка с тълкуване на ИАЛВ за обхват на стопанство и лозарско стопанство (отговор на въпрос 5, </w:t>
            </w:r>
            <w:r w:rsidRPr="00AB4082">
              <w:rPr>
                <w:rFonts w:ascii="Verdana" w:hAnsi="Verdana"/>
                <w:spacing w:val="2"/>
                <w:sz w:val="20"/>
                <w:szCs w:val="20"/>
              </w:rPr>
              <w:lastRenderedPageBreak/>
              <w:t>последен абзац в писмо на ИАЛВ с адрес https://eufunds.ruse.biz/wp-content/uploads/2020/02/25-1.pdf ) и условията на чл. 33, ал. 3 от ЗВСН предлагам да се ограничи прехвърлянето на права за засаждане между лозарски райони, т.е. между лозарски стопанства от различни лозарски райони, които се притежават от един регистриран в лозарския регистър гроздопроизводител, с цел запазване на лозарския потенциал по райони, а не промяната му с такива прехвърляния. Прехвърлянето на права за засаждане между лозарските райони не действа възпиращо спрямо гроздопроизводители и те изоставят своите лозя без грижи, като се знае че винаги може да се наемат лозя от друг район и да се прехвърлят за създаване на ново лозе. Предложението е за изключване от подпомагане на проекти, за които е налице това обстоятелство за прехвърляне на права между лозарски райони.</w:t>
            </w:r>
          </w:p>
          <w:p w14:paraId="147B043B" w14:textId="0C0A27CE"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6. Предлагам изрично да се посочи, че са допустими всички изпълнители, като физически лица или юридически лица, без да се изисква предварителен опит за идентични или сходни дейности. Предложението е свързано наличното ограничение по настоящата Лозаро- винарска програма към такива оференти, като изрично се изисква такъв опит и без него е невъзможно те да бъдат избрани, независимо че може да предложат и по- добри финансови условия спрямо фирми с опит.</w:t>
            </w:r>
          </w:p>
          <w:p w14:paraId="1B7B1D02" w14:textId="520D545D" w:rsidR="00CD7279" w:rsidRPr="003D64DC" w:rsidRDefault="00CD7279" w:rsidP="00855B31">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7</w:t>
            </w:r>
            <w:r w:rsidRPr="00AB4082">
              <w:rPr>
                <w:rFonts w:ascii="Verdana" w:hAnsi="Verdana"/>
                <w:spacing w:val="2"/>
                <w:sz w:val="20"/>
                <w:szCs w:val="20"/>
              </w:rPr>
              <w:t>. Предлагам да се запише, че кандидатстването с проект по интервенцията и неговото отчитане ще се извършва изцяло през ИСУН, т.е. електронно.</w:t>
            </w:r>
          </w:p>
        </w:tc>
      </w:tr>
      <w:tr w:rsidR="00CD7279" w:rsidRPr="00F413E2" w14:paraId="1FFB2660"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27085B75"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6A9624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6ACA4EAD" w14:textId="77777777"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Предложение</w:t>
            </w:r>
          </w:p>
          <w:p w14:paraId="6E39302A" w14:textId="77777777"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INVWINE(58(1)(b)) - - investments in tangible and intangible assets in wine-growing farming systems, excluding operations relevant to the type of intervention provided for in point (a), processing facilities and winery infrastructure, as well as marketing structures and tools</w:t>
            </w:r>
          </w:p>
          <w:p w14:paraId="61B06E94" w14:textId="4A1E6056"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 xml:space="preserve">I.Д.2 </w:t>
            </w:r>
            <w:r>
              <w:rPr>
                <w:rFonts w:ascii="Verdana" w:hAnsi="Verdana"/>
                <w:spacing w:val="2"/>
                <w:sz w:val="20"/>
                <w:szCs w:val="20"/>
              </w:rPr>
              <w:t>–</w:t>
            </w:r>
            <w:r w:rsidRPr="00AB4082">
              <w:rPr>
                <w:rFonts w:ascii="Verdana" w:hAnsi="Verdana"/>
                <w:spacing w:val="2"/>
                <w:sz w:val="20"/>
                <w:szCs w:val="20"/>
              </w:rPr>
              <w:t xml:space="preserve"> Инвестиции в лозаро-винарския сектор</w:t>
            </w:r>
          </w:p>
          <w:p w14:paraId="326D006B" w14:textId="589CE9AB"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5 Specific design, requirements and eligibility conditions of the intervention</w:t>
            </w:r>
          </w:p>
          <w:p w14:paraId="4E4017DE" w14:textId="166C831A"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Допустими бенефициери:</w:t>
            </w:r>
          </w:p>
          <w:p w14:paraId="2B2C48A3" w14:textId="278FEC8E" w:rsidR="00CD7279" w:rsidRPr="003D64DC"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 Сдружения на винопроизводители и междубраншови организации</w:t>
            </w:r>
          </w:p>
        </w:tc>
      </w:tr>
      <w:tr w:rsidR="00CD7279" w:rsidRPr="00F413E2" w14:paraId="4B5E7CEA"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5A4DDE9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860C787"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423EB3CF" w14:textId="4CDF29F1"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Предложение:</w:t>
            </w:r>
          </w:p>
          <w:p w14:paraId="7A84F253" w14:textId="77777777" w:rsidR="00CD7279" w:rsidRPr="00AB4082" w:rsidRDefault="00CD7279" w:rsidP="00AB4082">
            <w:pPr>
              <w:widowControl w:val="0"/>
              <w:tabs>
                <w:tab w:val="left" w:pos="1565"/>
              </w:tabs>
              <w:autoSpaceDE w:val="0"/>
              <w:autoSpaceDN w:val="0"/>
              <w:spacing w:before="60" w:after="20"/>
              <w:jc w:val="both"/>
              <w:rPr>
                <w:rFonts w:ascii="Verdana" w:hAnsi="Verdana"/>
                <w:spacing w:val="2"/>
                <w:sz w:val="20"/>
                <w:szCs w:val="20"/>
              </w:rPr>
            </w:pPr>
            <w:r w:rsidRPr="00AB4082">
              <w:rPr>
                <w:rFonts w:ascii="Verdana" w:hAnsi="Verdana"/>
                <w:spacing w:val="2"/>
                <w:sz w:val="20"/>
                <w:szCs w:val="20"/>
              </w:rPr>
              <w:t>1. Да се поясни изискването за правна форма на сдружението и приложим нормативен акт, на условията на който трябва да отговаря.</w:t>
            </w:r>
          </w:p>
          <w:p w14:paraId="33D3783C" w14:textId="1C23CAB2" w:rsidR="00CD7279" w:rsidRPr="003D64DC" w:rsidRDefault="00CD7279" w:rsidP="00AB4082">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t xml:space="preserve">2. </w:t>
            </w:r>
            <w:r w:rsidRPr="00AB4082">
              <w:rPr>
                <w:rFonts w:ascii="Verdana" w:hAnsi="Verdana"/>
                <w:spacing w:val="2"/>
                <w:sz w:val="20"/>
                <w:szCs w:val="20"/>
              </w:rPr>
              <w:t>Да се включат признати от МЗм групи/организации на производители, защото в критерии за оценка и приоритет, в точка 7 е записано „7.Проекти на групи/организации на производители“</w:t>
            </w:r>
          </w:p>
        </w:tc>
      </w:tr>
      <w:tr w:rsidR="00CD7279" w:rsidRPr="00F413E2" w14:paraId="22C18C8E"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1ED87349"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0CB7F13"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1B458B9" w14:textId="42830C4D" w:rsidR="00CD7279" w:rsidRPr="00B75102"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t xml:space="preserve">I.Д.2 </w:t>
            </w:r>
            <w:r>
              <w:rPr>
                <w:rFonts w:ascii="Verdana" w:hAnsi="Verdana"/>
                <w:spacing w:val="2"/>
                <w:sz w:val="20"/>
                <w:szCs w:val="20"/>
              </w:rPr>
              <w:t>–</w:t>
            </w:r>
            <w:r w:rsidRPr="00B75102">
              <w:rPr>
                <w:rFonts w:ascii="Verdana" w:hAnsi="Verdana"/>
                <w:spacing w:val="2"/>
                <w:sz w:val="20"/>
                <w:szCs w:val="20"/>
              </w:rPr>
              <w:t xml:space="preserve"> Инвестиции в лозаро-винарския сектор</w:t>
            </w:r>
          </w:p>
          <w:p w14:paraId="402F740D" w14:textId="5DBE03FE" w:rsidR="00CD7279" w:rsidRPr="00B75102"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t>5 Specific design, requirements and eligibility conditions of the intervention</w:t>
            </w:r>
          </w:p>
          <w:p w14:paraId="1C518EBF" w14:textId="18756B66" w:rsidR="00CD7279" w:rsidRPr="00B75102"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t>Допустими за подпомагане дейности са:</w:t>
            </w:r>
          </w:p>
          <w:p w14:paraId="7F18B981" w14:textId="2339CDE5" w:rsidR="00CD7279" w:rsidRPr="00B75102"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lastRenderedPageBreak/>
              <w:t>1. Инфраструктура на предприятието:</w:t>
            </w:r>
          </w:p>
          <w:p w14:paraId="56086D4C" w14:textId="7E4D5526" w:rsidR="00CD7279" w:rsidRPr="00B75102"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t>a. Закупуване или закупуване на лизинг на нови машини и оборудване, включително и на компютърен софтуер по отношение на:</w:t>
            </w:r>
          </w:p>
          <w:p w14:paraId="281B9CE5" w14:textId="2EFF1633" w:rsidR="00CD7279" w:rsidRPr="00B75102"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t>Предложение:</w:t>
            </w:r>
          </w:p>
          <w:p w14:paraId="49D6E7A6" w14:textId="65ECFBD7" w:rsidR="00CD7279" w:rsidRPr="003D64DC" w:rsidRDefault="00CD7279" w:rsidP="00B75102">
            <w:pPr>
              <w:widowControl w:val="0"/>
              <w:tabs>
                <w:tab w:val="left" w:pos="1565"/>
              </w:tabs>
              <w:autoSpaceDE w:val="0"/>
              <w:autoSpaceDN w:val="0"/>
              <w:spacing w:before="60" w:after="20"/>
              <w:jc w:val="both"/>
              <w:rPr>
                <w:rFonts w:ascii="Verdana" w:hAnsi="Verdana"/>
                <w:spacing w:val="2"/>
                <w:sz w:val="20"/>
                <w:szCs w:val="20"/>
              </w:rPr>
            </w:pPr>
            <w:r w:rsidRPr="00B75102">
              <w:rPr>
                <w:rFonts w:ascii="Verdana" w:hAnsi="Verdana"/>
                <w:spacing w:val="2"/>
                <w:sz w:val="20"/>
                <w:szCs w:val="20"/>
              </w:rPr>
              <w:t>Да се включат инвестиции във ВЕИ за производство на електроенергия и гореща вода само за собствено потребление и във връзка с преработката на грозде и производството на вино.</w:t>
            </w:r>
          </w:p>
        </w:tc>
      </w:tr>
      <w:tr w:rsidR="00CD7279" w:rsidRPr="00F413E2" w14:paraId="28897FC7"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5EF0A14"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7E627329"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7AF76CA1" w14:textId="632C1D15"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 xml:space="preserve">I.Д.2 </w:t>
            </w:r>
            <w:r>
              <w:rPr>
                <w:rFonts w:ascii="Verdana" w:hAnsi="Verdana"/>
                <w:spacing w:val="2"/>
                <w:sz w:val="20"/>
                <w:szCs w:val="20"/>
              </w:rPr>
              <w:t>–</w:t>
            </w:r>
            <w:r w:rsidRPr="001D5899">
              <w:rPr>
                <w:rFonts w:ascii="Verdana" w:hAnsi="Verdana"/>
                <w:spacing w:val="2"/>
                <w:sz w:val="20"/>
                <w:szCs w:val="20"/>
              </w:rPr>
              <w:t xml:space="preserve"> Инвестиции в лозаро-винарския сектор</w:t>
            </w:r>
          </w:p>
          <w:p w14:paraId="432A9DA7" w14:textId="2C329CEC"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5 Specific design, requirements and eligibility conditions of the intervention</w:t>
            </w:r>
          </w:p>
          <w:p w14:paraId="6F07C043" w14:textId="6DB6E443"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Допустими за подпомагане дейности са:</w:t>
            </w:r>
          </w:p>
          <w:p w14:paraId="0193221D" w14:textId="75DBDBB9"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1. Инфраструктура на предприятието:</w:t>
            </w:r>
          </w:p>
          <w:p w14:paraId="30A989A8" w14:textId="543EBFFE"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б. Строително-монтажни работи за изграждане, надстрояване, пристрояване и/или реконструкция на сгради, предназначени за:</w:t>
            </w:r>
          </w:p>
          <w:p w14:paraId="2F202BEA" w14:textId="0B4B7C00"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2. Маркетингови инструменти (вкл. строително-монтажни дейности):</w:t>
            </w:r>
          </w:p>
          <w:p w14:paraId="69AEC567" w14:textId="35CEF62F"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 винотеки;</w:t>
            </w:r>
          </w:p>
          <w:p w14:paraId="286C0188" w14:textId="345E9889"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 изложбени и дегустационни зали;</w:t>
            </w:r>
          </w:p>
          <w:p w14:paraId="1924AC39" w14:textId="7FA9D635" w:rsidR="00CD7279" w:rsidRPr="001D5899" w:rsidRDefault="00CD7279" w:rsidP="001D5899">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Предложение:</w:t>
            </w:r>
          </w:p>
          <w:p w14:paraId="21E8DA31" w14:textId="3F29FB48" w:rsidR="00CD7279" w:rsidRPr="003D64DC" w:rsidRDefault="00CD7279" w:rsidP="00855B31">
            <w:pPr>
              <w:widowControl w:val="0"/>
              <w:tabs>
                <w:tab w:val="left" w:pos="1565"/>
              </w:tabs>
              <w:autoSpaceDE w:val="0"/>
              <w:autoSpaceDN w:val="0"/>
              <w:spacing w:before="60" w:after="20"/>
              <w:jc w:val="both"/>
              <w:rPr>
                <w:rFonts w:ascii="Verdana" w:hAnsi="Verdana"/>
                <w:spacing w:val="2"/>
                <w:sz w:val="20"/>
                <w:szCs w:val="20"/>
              </w:rPr>
            </w:pPr>
            <w:r w:rsidRPr="001D5899">
              <w:rPr>
                <w:rFonts w:ascii="Verdana" w:hAnsi="Verdana"/>
                <w:spacing w:val="2"/>
                <w:sz w:val="20"/>
                <w:szCs w:val="20"/>
              </w:rPr>
              <w:t>След всяка от двете позиции да се добави „в стопанството (на територията на предприятието);“</w:t>
            </w:r>
          </w:p>
        </w:tc>
      </w:tr>
      <w:tr w:rsidR="00CD7279" w:rsidRPr="00F413E2" w14:paraId="0BC2E318"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401C1F3C"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1E70D4D"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1F97A0DC" w14:textId="067FB49F"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 xml:space="preserve">I.Д.2 </w:t>
            </w:r>
            <w:r>
              <w:rPr>
                <w:rFonts w:ascii="Verdana" w:hAnsi="Verdana"/>
                <w:spacing w:val="2"/>
                <w:sz w:val="20"/>
                <w:szCs w:val="20"/>
              </w:rPr>
              <w:t>–</w:t>
            </w:r>
            <w:r w:rsidRPr="00CE6D32">
              <w:rPr>
                <w:rFonts w:ascii="Verdana" w:hAnsi="Verdana"/>
                <w:spacing w:val="2"/>
                <w:sz w:val="20"/>
                <w:szCs w:val="20"/>
              </w:rPr>
              <w:t xml:space="preserve"> Инвестиции в лозаро-винарския сектор</w:t>
            </w:r>
          </w:p>
          <w:p w14:paraId="4D7A960C" w14:textId="77838A8C"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5 Specific design, requirements and eligibility conditions of the intervention</w:t>
            </w:r>
          </w:p>
          <w:p w14:paraId="5C19C96C" w14:textId="2D10DB20"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 xml:space="preserve">Допустими за подпомагане са кандидати, чиито проекти имат най-малко 5 точки от следните </w:t>
            </w:r>
            <w:r>
              <w:rPr>
                <w:rFonts w:ascii="Verdana" w:hAnsi="Verdana"/>
                <w:spacing w:val="2"/>
                <w:sz w:val="20"/>
                <w:szCs w:val="20"/>
              </w:rPr>
              <w:t>критерии за оценка и приоритет:</w:t>
            </w:r>
          </w:p>
          <w:p w14:paraId="168FA9D1" w14:textId="2A734388"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1.</w:t>
            </w:r>
            <w:r>
              <w:rPr>
                <w:rFonts w:ascii="Verdana" w:hAnsi="Verdana"/>
                <w:spacing w:val="2"/>
                <w:sz w:val="20"/>
                <w:szCs w:val="20"/>
              </w:rPr>
              <w:t xml:space="preserve"> </w:t>
            </w:r>
            <w:r w:rsidRPr="00CE6D32">
              <w:rPr>
                <w:rFonts w:ascii="Verdana" w:hAnsi="Verdana"/>
                <w:spacing w:val="2"/>
                <w:sz w:val="20"/>
                <w:szCs w:val="20"/>
              </w:rPr>
              <w:t>Проекти, насочени към подобряване на енергийната ефективност и/или управление на отпадните води на предприятието;</w:t>
            </w:r>
          </w:p>
          <w:p w14:paraId="60E17DA8" w14:textId="3DB99765"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2.</w:t>
            </w:r>
            <w:r>
              <w:rPr>
                <w:rFonts w:ascii="Verdana" w:hAnsi="Verdana"/>
                <w:spacing w:val="2"/>
                <w:sz w:val="20"/>
                <w:szCs w:val="20"/>
              </w:rPr>
              <w:t xml:space="preserve"> </w:t>
            </w:r>
            <w:r w:rsidRPr="00CE6D32">
              <w:rPr>
                <w:rFonts w:ascii="Verdana" w:hAnsi="Verdana"/>
                <w:spacing w:val="2"/>
                <w:sz w:val="20"/>
                <w:szCs w:val="20"/>
              </w:rPr>
              <w:t>Проекти на предприятия, преработващи над 30% собствена суровина;</w:t>
            </w:r>
          </w:p>
          <w:p w14:paraId="6CF3F020" w14:textId="3726AF28"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3.</w:t>
            </w:r>
            <w:r>
              <w:rPr>
                <w:rFonts w:ascii="Verdana" w:hAnsi="Verdana"/>
                <w:spacing w:val="2"/>
                <w:sz w:val="20"/>
                <w:szCs w:val="20"/>
              </w:rPr>
              <w:t xml:space="preserve"> </w:t>
            </w:r>
            <w:r w:rsidRPr="00CE6D32">
              <w:rPr>
                <w:rFonts w:ascii="Verdana" w:hAnsi="Verdana"/>
                <w:spacing w:val="2"/>
                <w:sz w:val="20"/>
                <w:szCs w:val="20"/>
              </w:rPr>
              <w:t>Проекти на предприятия, насочени към производство на биологично сертифицирано вино;</w:t>
            </w:r>
          </w:p>
          <w:p w14:paraId="47351481" w14:textId="705DF4AA"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4.Проекти на предприятия, насочени към производство на вино със Защитено наименование на произход (ЗНП);</w:t>
            </w:r>
          </w:p>
          <w:p w14:paraId="43817984" w14:textId="4E2A00F5"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5.</w:t>
            </w:r>
            <w:r>
              <w:rPr>
                <w:rFonts w:ascii="Verdana" w:hAnsi="Verdana"/>
                <w:spacing w:val="2"/>
                <w:sz w:val="20"/>
                <w:szCs w:val="20"/>
              </w:rPr>
              <w:t xml:space="preserve"> </w:t>
            </w:r>
            <w:r w:rsidRPr="00CE6D32">
              <w:rPr>
                <w:rFonts w:ascii="Verdana" w:hAnsi="Verdana"/>
                <w:spacing w:val="2"/>
                <w:sz w:val="20"/>
                <w:szCs w:val="20"/>
              </w:rPr>
              <w:t>Проекти на предприятия, при които над 70% от произвежда</w:t>
            </w:r>
            <w:r>
              <w:rPr>
                <w:rFonts w:ascii="Verdana" w:hAnsi="Verdana"/>
                <w:spacing w:val="2"/>
                <w:sz w:val="20"/>
                <w:szCs w:val="20"/>
              </w:rPr>
              <w:t>ните вина са със ЗГУ и/или ЗНП;</w:t>
            </w:r>
          </w:p>
          <w:p w14:paraId="2C86D44E" w14:textId="704E7935"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6.Проекти на новорегистрирани винопроизводители, които имат най-малко двегодишна история в лозарския регистър като гроздопроизводител към момента на кандидатстване</w:t>
            </w:r>
          </w:p>
          <w:p w14:paraId="445000B8" w14:textId="0D8CDF44"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7.Проекти на групи/организации на производители</w:t>
            </w:r>
          </w:p>
          <w:p w14:paraId="294A02CB" w14:textId="6702C50D"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Pr>
                <w:rFonts w:ascii="Verdana" w:hAnsi="Verdana"/>
                <w:spacing w:val="2"/>
                <w:sz w:val="20"/>
                <w:szCs w:val="20"/>
              </w:rPr>
              <w:lastRenderedPageBreak/>
              <w:t>Предложение:</w:t>
            </w:r>
          </w:p>
          <w:p w14:paraId="71EE57D3" w14:textId="0280B7C1"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1. Да се включи нов критерий за инвестиции във ВЕИ</w:t>
            </w:r>
          </w:p>
          <w:p w14:paraId="5FAC40F9" w14:textId="77777777" w:rsidR="00CD7279" w:rsidRPr="00CE6D32"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2. За точка 2 да се уточни, че суровината е само от собствено лозарско стопанство на кандидата, а не и от свързани предприятия с него</w:t>
            </w:r>
          </w:p>
          <w:p w14:paraId="67F607E8" w14:textId="001884BA" w:rsidR="00CD7279" w:rsidRPr="003D64DC" w:rsidRDefault="00CD7279" w:rsidP="00CE6D32">
            <w:pPr>
              <w:widowControl w:val="0"/>
              <w:tabs>
                <w:tab w:val="left" w:pos="1565"/>
              </w:tabs>
              <w:autoSpaceDE w:val="0"/>
              <w:autoSpaceDN w:val="0"/>
              <w:spacing w:before="60" w:after="20"/>
              <w:jc w:val="both"/>
              <w:rPr>
                <w:rFonts w:ascii="Verdana" w:hAnsi="Verdana"/>
                <w:spacing w:val="2"/>
                <w:sz w:val="20"/>
                <w:szCs w:val="20"/>
              </w:rPr>
            </w:pPr>
            <w:r w:rsidRPr="00CE6D32">
              <w:rPr>
                <w:rFonts w:ascii="Verdana" w:hAnsi="Verdana"/>
                <w:spacing w:val="2"/>
                <w:sz w:val="20"/>
                <w:szCs w:val="20"/>
              </w:rPr>
              <w:t>3. По точка 7 да се изисква да бъдат признати от МЗм</w:t>
            </w:r>
            <w:r>
              <w:rPr>
                <w:rFonts w:ascii="Verdana" w:hAnsi="Verdana"/>
                <w:spacing w:val="2"/>
                <w:sz w:val="20"/>
                <w:szCs w:val="20"/>
              </w:rPr>
              <w:t>.</w:t>
            </w:r>
          </w:p>
        </w:tc>
      </w:tr>
      <w:tr w:rsidR="00CD7279" w:rsidRPr="00F413E2" w14:paraId="18E6C9CC" w14:textId="77777777" w:rsidTr="00CD7279">
        <w:trPr>
          <w:trHeight w:val="37"/>
          <w:jc w:val="center"/>
        </w:trPr>
        <w:tc>
          <w:tcPr>
            <w:tcW w:w="563" w:type="dxa"/>
            <w:tcBorders>
              <w:top w:val="nil"/>
              <w:left w:val="single" w:sz="24" w:space="0" w:color="2E74B5"/>
              <w:bottom w:val="nil"/>
              <w:right w:val="single" w:sz="18" w:space="0" w:color="2E74B5"/>
            </w:tcBorders>
            <w:shd w:val="clear" w:color="auto" w:fill="auto"/>
          </w:tcPr>
          <w:p w14:paraId="0E9E2601"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64249C00" w14:textId="77777777" w:rsidR="00CD7279" w:rsidRDefault="00CD7279" w:rsidP="00AD2528">
            <w:pPr>
              <w:spacing w:before="60" w:after="20"/>
              <w:rPr>
                <w:rFonts w:ascii="Verdana" w:hAnsi="Verdana"/>
                <w:spacing w:val="4"/>
                <w:sz w:val="20"/>
                <w:szCs w:val="20"/>
              </w:rPr>
            </w:pPr>
          </w:p>
        </w:tc>
        <w:tc>
          <w:tcPr>
            <w:tcW w:w="12433" w:type="dxa"/>
            <w:tcBorders>
              <w:top w:val="nil"/>
              <w:left w:val="single" w:sz="18" w:space="0" w:color="2E74B5"/>
              <w:bottom w:val="nil"/>
              <w:right w:val="single" w:sz="18" w:space="0" w:color="2E74B5"/>
            </w:tcBorders>
            <w:shd w:val="clear" w:color="auto" w:fill="auto"/>
          </w:tcPr>
          <w:p w14:paraId="2B03CB00" w14:textId="1381604D" w:rsidR="00CD7279" w:rsidRPr="0084504F" w:rsidRDefault="00CD7279" w:rsidP="0084504F">
            <w:pPr>
              <w:widowControl w:val="0"/>
              <w:tabs>
                <w:tab w:val="left" w:pos="1565"/>
              </w:tabs>
              <w:autoSpaceDE w:val="0"/>
              <w:autoSpaceDN w:val="0"/>
              <w:spacing w:before="60" w:after="20"/>
              <w:jc w:val="both"/>
              <w:rPr>
                <w:rFonts w:ascii="Verdana" w:hAnsi="Verdana"/>
                <w:spacing w:val="2"/>
                <w:sz w:val="20"/>
                <w:szCs w:val="20"/>
              </w:rPr>
            </w:pPr>
            <w:r w:rsidRPr="0084504F">
              <w:rPr>
                <w:rFonts w:ascii="Verdana" w:hAnsi="Verdana"/>
                <w:spacing w:val="2"/>
                <w:sz w:val="20"/>
                <w:szCs w:val="20"/>
              </w:rPr>
              <w:t xml:space="preserve">I.Д.2 </w:t>
            </w:r>
            <w:r>
              <w:rPr>
                <w:rFonts w:ascii="Verdana" w:hAnsi="Verdana"/>
                <w:spacing w:val="2"/>
                <w:sz w:val="20"/>
                <w:szCs w:val="20"/>
              </w:rPr>
              <w:t>–</w:t>
            </w:r>
            <w:r w:rsidRPr="0084504F">
              <w:rPr>
                <w:rFonts w:ascii="Verdana" w:hAnsi="Verdana"/>
                <w:spacing w:val="2"/>
                <w:sz w:val="20"/>
                <w:szCs w:val="20"/>
              </w:rPr>
              <w:t xml:space="preserve"> Инвестиции в л</w:t>
            </w:r>
            <w:r>
              <w:rPr>
                <w:rFonts w:ascii="Verdana" w:hAnsi="Verdana"/>
                <w:spacing w:val="2"/>
                <w:sz w:val="20"/>
                <w:szCs w:val="20"/>
              </w:rPr>
              <w:t>озаро-винарския сектор</w:t>
            </w:r>
          </w:p>
          <w:p w14:paraId="5A6695A3" w14:textId="04D67EB2" w:rsidR="00CD7279" w:rsidRPr="0084504F" w:rsidRDefault="00CD7279" w:rsidP="0084504F">
            <w:pPr>
              <w:widowControl w:val="0"/>
              <w:tabs>
                <w:tab w:val="left" w:pos="1565"/>
              </w:tabs>
              <w:autoSpaceDE w:val="0"/>
              <w:autoSpaceDN w:val="0"/>
              <w:spacing w:before="60" w:after="20"/>
              <w:jc w:val="both"/>
              <w:rPr>
                <w:rFonts w:ascii="Verdana" w:hAnsi="Verdana"/>
                <w:spacing w:val="2"/>
                <w:sz w:val="20"/>
                <w:szCs w:val="20"/>
              </w:rPr>
            </w:pPr>
            <w:r w:rsidRPr="0084504F">
              <w:rPr>
                <w:rFonts w:ascii="Verdana" w:hAnsi="Verdana"/>
                <w:spacing w:val="2"/>
                <w:sz w:val="20"/>
                <w:szCs w:val="20"/>
              </w:rPr>
              <w:t>7 Additional information specific to the Type of Intervention</w:t>
            </w:r>
          </w:p>
          <w:p w14:paraId="620E8E7D" w14:textId="0AC00C76" w:rsidR="00CD7279" w:rsidRPr="0084504F" w:rsidRDefault="00CD7279" w:rsidP="0084504F">
            <w:pPr>
              <w:widowControl w:val="0"/>
              <w:tabs>
                <w:tab w:val="left" w:pos="1565"/>
              </w:tabs>
              <w:autoSpaceDE w:val="0"/>
              <w:autoSpaceDN w:val="0"/>
              <w:spacing w:before="60" w:after="20"/>
              <w:jc w:val="both"/>
              <w:rPr>
                <w:rFonts w:ascii="Verdana" w:hAnsi="Verdana"/>
                <w:spacing w:val="2"/>
                <w:sz w:val="20"/>
                <w:szCs w:val="20"/>
              </w:rPr>
            </w:pPr>
            <w:r w:rsidRPr="0084504F">
              <w:rPr>
                <w:rFonts w:ascii="Verdana" w:hAnsi="Verdana"/>
                <w:spacing w:val="2"/>
                <w:sz w:val="20"/>
                <w:szCs w:val="20"/>
              </w:rPr>
              <w:t>1. Във връзка с неточните, некоректни и неясни документи на ДФЗ-РА, които се ползват по настоящата Лозаро- винарска програма предлагам да се включи задължение ДФЗ-РА да предлагана на обществено обсъждане всички образци на документи, кои</w:t>
            </w:r>
            <w:r>
              <w:rPr>
                <w:rFonts w:ascii="Verdana" w:hAnsi="Verdana"/>
                <w:spacing w:val="2"/>
                <w:sz w:val="20"/>
                <w:szCs w:val="20"/>
              </w:rPr>
              <w:t>то са свързани с интервенцията.</w:t>
            </w:r>
          </w:p>
          <w:p w14:paraId="567D8A90" w14:textId="04796A19" w:rsidR="00CD7279" w:rsidRPr="0084504F" w:rsidRDefault="00CD7279" w:rsidP="0084504F">
            <w:pPr>
              <w:widowControl w:val="0"/>
              <w:tabs>
                <w:tab w:val="left" w:pos="1565"/>
              </w:tabs>
              <w:autoSpaceDE w:val="0"/>
              <w:autoSpaceDN w:val="0"/>
              <w:spacing w:before="60" w:after="20"/>
              <w:jc w:val="both"/>
              <w:rPr>
                <w:rFonts w:ascii="Verdana" w:hAnsi="Verdana"/>
                <w:spacing w:val="2"/>
                <w:sz w:val="20"/>
                <w:szCs w:val="20"/>
              </w:rPr>
            </w:pPr>
            <w:r w:rsidRPr="0084504F">
              <w:rPr>
                <w:rFonts w:ascii="Verdana" w:hAnsi="Verdana"/>
                <w:spacing w:val="2"/>
                <w:sz w:val="20"/>
                <w:szCs w:val="20"/>
              </w:rPr>
              <w:t>2. Предлагам ДФЗ-РА да публикува за обществено обсъждане всички процедури за контрол при кандидатстване и отчитане на проект по интервенцията, както и всички свързани с тях формуляри и документи.</w:t>
            </w:r>
          </w:p>
          <w:p w14:paraId="23D431E1" w14:textId="472B0DAB" w:rsidR="00CD7279" w:rsidRPr="0084504F" w:rsidRDefault="00CD7279" w:rsidP="0084504F">
            <w:pPr>
              <w:widowControl w:val="0"/>
              <w:tabs>
                <w:tab w:val="left" w:pos="1565"/>
              </w:tabs>
              <w:autoSpaceDE w:val="0"/>
              <w:autoSpaceDN w:val="0"/>
              <w:spacing w:before="60" w:after="20"/>
              <w:jc w:val="both"/>
              <w:rPr>
                <w:rFonts w:ascii="Verdana" w:hAnsi="Verdana"/>
                <w:spacing w:val="2"/>
                <w:sz w:val="20"/>
                <w:szCs w:val="20"/>
              </w:rPr>
            </w:pPr>
            <w:r w:rsidRPr="0084504F">
              <w:rPr>
                <w:rFonts w:ascii="Verdana" w:hAnsi="Verdana"/>
                <w:spacing w:val="2"/>
                <w:sz w:val="20"/>
                <w:szCs w:val="20"/>
              </w:rPr>
              <w:t>3. Предлагам да се запише задължение за публикуване на индикативните програма за следваща година за прием по интервенцията най- късно до месец октомври на текущата година с цел кандидатите да имат ясното кога да започнат подготовка на документи</w:t>
            </w:r>
            <w:r>
              <w:rPr>
                <w:rFonts w:ascii="Verdana" w:hAnsi="Verdana"/>
                <w:spacing w:val="2"/>
                <w:sz w:val="20"/>
                <w:szCs w:val="20"/>
              </w:rPr>
              <w:t>те за кандидатстване през ИАЛВ.</w:t>
            </w:r>
          </w:p>
          <w:p w14:paraId="6B818935" w14:textId="1E8A56B6" w:rsidR="00CD7279" w:rsidRPr="003D64DC" w:rsidRDefault="00CD7279" w:rsidP="0084504F">
            <w:pPr>
              <w:widowControl w:val="0"/>
              <w:tabs>
                <w:tab w:val="left" w:pos="1565"/>
              </w:tabs>
              <w:autoSpaceDE w:val="0"/>
              <w:autoSpaceDN w:val="0"/>
              <w:spacing w:before="60" w:after="20"/>
              <w:jc w:val="both"/>
              <w:rPr>
                <w:rFonts w:ascii="Verdana" w:hAnsi="Verdana"/>
                <w:spacing w:val="2"/>
                <w:sz w:val="20"/>
                <w:szCs w:val="20"/>
              </w:rPr>
            </w:pPr>
            <w:r w:rsidRPr="0084504F">
              <w:rPr>
                <w:rFonts w:ascii="Verdana" w:hAnsi="Verdana"/>
                <w:spacing w:val="2"/>
                <w:sz w:val="20"/>
                <w:szCs w:val="20"/>
              </w:rPr>
              <w:t>4. Предлагам да се запише задължение ежегодно да се провежда обсъждане на референтни цените по активи и СМР, ако се приложат по интервенцията, както е заложено общо за СП, с което да се отчита действителното им ниво на пазара, като труд и материали.</w:t>
            </w:r>
          </w:p>
        </w:tc>
      </w:tr>
      <w:tr w:rsidR="00CD7279" w:rsidRPr="00F413E2" w14:paraId="53206897" w14:textId="77777777" w:rsidTr="00CD7279">
        <w:trPr>
          <w:trHeight w:val="49"/>
          <w:jc w:val="center"/>
        </w:trPr>
        <w:tc>
          <w:tcPr>
            <w:tcW w:w="563" w:type="dxa"/>
            <w:vMerge w:val="restart"/>
            <w:tcBorders>
              <w:top w:val="single" w:sz="18" w:space="0" w:color="2E74B5"/>
              <w:left w:val="single" w:sz="24" w:space="0" w:color="2E74B5"/>
              <w:right w:val="single" w:sz="18" w:space="0" w:color="2E74B5"/>
            </w:tcBorders>
            <w:shd w:val="clear" w:color="auto" w:fill="auto"/>
          </w:tcPr>
          <w:p w14:paraId="7FD7A3DB"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vMerge w:val="restart"/>
            <w:tcBorders>
              <w:top w:val="single" w:sz="18" w:space="0" w:color="2E74B5"/>
              <w:left w:val="single" w:sz="18" w:space="0" w:color="2E74B5"/>
              <w:right w:val="single" w:sz="18" w:space="0" w:color="2E74B5"/>
            </w:tcBorders>
            <w:shd w:val="clear" w:color="auto" w:fill="auto"/>
          </w:tcPr>
          <w:p w14:paraId="3CDA4DDC" w14:textId="515B95D8" w:rsidR="00CD7279" w:rsidRPr="007B6A2C" w:rsidRDefault="00CD7279" w:rsidP="00AD2528">
            <w:pPr>
              <w:spacing w:before="60" w:after="20"/>
              <w:rPr>
                <w:rFonts w:ascii="Verdana" w:hAnsi="Verdana"/>
                <w:sz w:val="20"/>
                <w:szCs w:val="20"/>
                <w:lang w:val="en-US"/>
              </w:rPr>
            </w:pPr>
            <w:r w:rsidRPr="007B6A2C">
              <w:rPr>
                <w:rFonts w:ascii="Verdana" w:hAnsi="Verdana"/>
                <w:sz w:val="20"/>
                <w:szCs w:val="20"/>
                <w:lang w:val="en-US"/>
              </w:rPr>
              <w:t>kabadjova</w:t>
            </w:r>
          </w:p>
          <w:p w14:paraId="0EB5F50F" w14:textId="45DB46F5" w:rsidR="00CD7279" w:rsidRPr="00A4071F" w:rsidRDefault="00CD7279" w:rsidP="0019116E">
            <w:pPr>
              <w:spacing w:before="40" w:after="20"/>
              <w:rPr>
                <w:rFonts w:ascii="Verdana" w:hAnsi="Verdana"/>
                <w:sz w:val="20"/>
                <w:szCs w:val="20"/>
                <w:lang w:val="en-US"/>
              </w:rPr>
            </w:pPr>
            <w:r>
              <w:rPr>
                <w:rFonts w:ascii="Verdana" w:hAnsi="Verdana"/>
                <w:sz w:val="20"/>
                <w:szCs w:val="20"/>
                <w:lang w:val="en-US"/>
              </w:rPr>
              <w:t>(</w:t>
            </w:r>
            <w:r>
              <w:rPr>
                <w:rFonts w:ascii="Verdana" w:hAnsi="Verdana"/>
                <w:sz w:val="20"/>
                <w:szCs w:val="20"/>
              </w:rPr>
              <w:t>Портал за обществени консултации</w:t>
            </w:r>
            <w:r w:rsidRPr="00904B60">
              <w:rPr>
                <w:rFonts w:ascii="Verdana" w:hAnsi="Verdana"/>
                <w:sz w:val="20"/>
                <w:szCs w:val="20"/>
              </w:rPr>
              <w:t xml:space="preserve"> на</w:t>
            </w:r>
            <w:r>
              <w:rPr>
                <w:rFonts w:ascii="Verdana" w:hAnsi="Verdana"/>
                <w:sz w:val="20"/>
                <w:szCs w:val="20"/>
              </w:rPr>
              <w:t xml:space="preserve"> 18 </w:t>
            </w:r>
            <w:r w:rsidRPr="00904B60">
              <w:rPr>
                <w:rFonts w:ascii="Verdana" w:hAnsi="Verdana"/>
                <w:sz w:val="20"/>
                <w:szCs w:val="20"/>
              </w:rPr>
              <w:t>март</w:t>
            </w:r>
            <w:r>
              <w:rPr>
                <w:rFonts w:ascii="Verdana" w:hAnsi="Verdana"/>
                <w:sz w:val="20"/>
                <w:szCs w:val="20"/>
              </w:rPr>
              <w:t xml:space="preserve"> 2022</w:t>
            </w:r>
            <w:r w:rsidRPr="00904B60">
              <w:rPr>
                <w:rFonts w:ascii="Verdana" w:hAnsi="Verdana"/>
                <w:sz w:val="20"/>
                <w:szCs w:val="20"/>
              </w:rPr>
              <w:t xml:space="preserve"> г.</w:t>
            </w:r>
            <w:r>
              <w:rPr>
                <w:rFonts w:ascii="Verdana" w:hAnsi="Verdana"/>
                <w:sz w:val="20"/>
                <w:szCs w:val="20"/>
                <w:lang w:val="en-US"/>
              </w:rPr>
              <w:t>)</w:t>
            </w:r>
          </w:p>
        </w:tc>
        <w:tc>
          <w:tcPr>
            <w:tcW w:w="12433" w:type="dxa"/>
            <w:tcBorders>
              <w:top w:val="single" w:sz="18" w:space="0" w:color="2E74B5"/>
              <w:left w:val="single" w:sz="18" w:space="0" w:color="2E74B5"/>
              <w:bottom w:val="nil"/>
              <w:right w:val="single" w:sz="18" w:space="0" w:color="2E74B5"/>
            </w:tcBorders>
            <w:shd w:val="clear" w:color="auto" w:fill="auto"/>
          </w:tcPr>
          <w:p w14:paraId="7586F485" w14:textId="02614792" w:rsidR="00CD7279" w:rsidRPr="00FF4652" w:rsidRDefault="00CD7279" w:rsidP="00796EC0">
            <w:pPr>
              <w:widowControl w:val="0"/>
              <w:tabs>
                <w:tab w:val="left" w:pos="1565"/>
              </w:tabs>
              <w:autoSpaceDE w:val="0"/>
              <w:autoSpaceDN w:val="0"/>
              <w:spacing w:before="60" w:after="20"/>
              <w:jc w:val="both"/>
              <w:rPr>
                <w:rFonts w:ascii="Verdana" w:hAnsi="Verdana"/>
                <w:sz w:val="20"/>
                <w:szCs w:val="20"/>
              </w:rPr>
            </w:pPr>
            <w:r w:rsidRPr="00796EC0">
              <w:rPr>
                <w:rFonts w:ascii="Verdana" w:hAnsi="Verdana"/>
                <w:sz w:val="20"/>
                <w:szCs w:val="20"/>
              </w:rPr>
              <w:t xml:space="preserve">I.В.9 </w:t>
            </w:r>
            <w:r>
              <w:rPr>
                <w:rFonts w:ascii="Verdana" w:hAnsi="Verdana"/>
                <w:sz w:val="20"/>
                <w:szCs w:val="20"/>
              </w:rPr>
              <w:t>–</w:t>
            </w:r>
            <w:r w:rsidRPr="00796EC0">
              <w:rPr>
                <w:rFonts w:ascii="Verdana" w:hAnsi="Verdana"/>
                <w:sz w:val="20"/>
                <w:szCs w:val="20"/>
              </w:rPr>
              <w:t xml:space="preserve"> Еко схема за буферни екологични ивици</w:t>
            </w:r>
          </w:p>
        </w:tc>
      </w:tr>
      <w:tr w:rsidR="00CD7279" w:rsidRPr="00F413E2" w14:paraId="42A972F0" w14:textId="77777777" w:rsidTr="00CD7279">
        <w:trPr>
          <w:trHeight w:val="31"/>
          <w:jc w:val="center"/>
        </w:trPr>
        <w:tc>
          <w:tcPr>
            <w:tcW w:w="563" w:type="dxa"/>
            <w:vMerge/>
            <w:tcBorders>
              <w:left w:val="single" w:sz="24" w:space="0" w:color="2E74B5"/>
              <w:bottom w:val="nil"/>
              <w:right w:val="single" w:sz="18" w:space="0" w:color="2E74B5"/>
            </w:tcBorders>
            <w:shd w:val="clear" w:color="auto" w:fill="auto"/>
          </w:tcPr>
          <w:p w14:paraId="004C0DB6" w14:textId="2528C888"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vMerge/>
            <w:tcBorders>
              <w:left w:val="single" w:sz="18" w:space="0" w:color="2E74B5"/>
              <w:bottom w:val="nil"/>
              <w:right w:val="single" w:sz="18" w:space="0" w:color="2E74B5"/>
            </w:tcBorders>
            <w:shd w:val="clear" w:color="auto" w:fill="auto"/>
          </w:tcPr>
          <w:p w14:paraId="00B6C2A2" w14:textId="77777777" w:rsidR="00CD7279" w:rsidRDefault="00CD7279" w:rsidP="00AD2528">
            <w:pPr>
              <w:spacing w:before="60" w:after="20"/>
              <w:rPr>
                <w:rFonts w:ascii="Verdana" w:hAnsi="Verdana"/>
                <w:sz w:val="20"/>
                <w:szCs w:val="20"/>
              </w:rPr>
            </w:pPr>
          </w:p>
        </w:tc>
        <w:tc>
          <w:tcPr>
            <w:tcW w:w="12433" w:type="dxa"/>
            <w:tcBorders>
              <w:top w:val="nil"/>
              <w:left w:val="single" w:sz="18" w:space="0" w:color="2E74B5"/>
              <w:bottom w:val="nil"/>
              <w:right w:val="single" w:sz="18" w:space="0" w:color="2E74B5"/>
            </w:tcBorders>
            <w:shd w:val="clear" w:color="auto" w:fill="auto"/>
          </w:tcPr>
          <w:p w14:paraId="368006D1" w14:textId="3E757F32" w:rsidR="00CD7279" w:rsidRDefault="00CD7279" w:rsidP="00AD2528">
            <w:pPr>
              <w:widowControl w:val="0"/>
              <w:tabs>
                <w:tab w:val="left" w:pos="1565"/>
              </w:tabs>
              <w:autoSpaceDE w:val="0"/>
              <w:autoSpaceDN w:val="0"/>
              <w:spacing w:before="60" w:after="20"/>
              <w:jc w:val="both"/>
              <w:rPr>
                <w:rFonts w:ascii="Verdana" w:hAnsi="Verdana"/>
                <w:sz w:val="20"/>
                <w:szCs w:val="20"/>
              </w:rPr>
            </w:pPr>
            <w:r w:rsidRPr="00A450EA">
              <w:rPr>
                <w:rFonts w:ascii="Verdana" w:hAnsi="Verdana"/>
                <w:sz w:val="20"/>
                <w:szCs w:val="20"/>
              </w:rPr>
              <w:t>Бележки:</w:t>
            </w:r>
          </w:p>
          <w:p w14:paraId="7E556736" w14:textId="53E5EB48" w:rsidR="00CD7279" w:rsidRPr="009E60E1" w:rsidRDefault="00CD7279" w:rsidP="00AD2528">
            <w:pPr>
              <w:widowControl w:val="0"/>
              <w:tabs>
                <w:tab w:val="left" w:pos="1565"/>
              </w:tabs>
              <w:autoSpaceDE w:val="0"/>
              <w:autoSpaceDN w:val="0"/>
              <w:spacing w:before="60" w:after="20"/>
              <w:jc w:val="both"/>
              <w:rPr>
                <w:rFonts w:ascii="Verdana" w:hAnsi="Verdana"/>
                <w:sz w:val="20"/>
                <w:szCs w:val="20"/>
              </w:rPr>
            </w:pPr>
            <w:r w:rsidRPr="00796EC0">
              <w:rPr>
                <w:rFonts w:ascii="Verdana" w:hAnsi="Verdana"/>
                <w:sz w:val="20"/>
                <w:szCs w:val="20"/>
              </w:rPr>
              <w:t xml:space="preserve">Код на интервенцията: I.В.9 </w:t>
            </w:r>
            <w:r>
              <w:rPr>
                <w:rFonts w:ascii="Verdana" w:hAnsi="Verdana"/>
                <w:sz w:val="20"/>
                <w:szCs w:val="20"/>
              </w:rPr>
              <w:t>–</w:t>
            </w:r>
            <w:r w:rsidRPr="00796EC0">
              <w:rPr>
                <w:rFonts w:ascii="Verdana" w:hAnsi="Verdana"/>
                <w:sz w:val="20"/>
                <w:szCs w:val="20"/>
              </w:rPr>
              <w:t xml:space="preserve"> Еко схема за буферни екологични ивици (стр.</w:t>
            </w:r>
            <w:r>
              <w:rPr>
                <w:rFonts w:ascii="Verdana" w:hAnsi="Verdana"/>
                <w:sz w:val="20"/>
                <w:szCs w:val="20"/>
              </w:rPr>
              <w:t xml:space="preserve"> </w:t>
            </w:r>
            <w:r w:rsidRPr="00796EC0">
              <w:rPr>
                <w:rFonts w:ascii="Verdana" w:hAnsi="Verdana"/>
                <w:sz w:val="20"/>
                <w:szCs w:val="20"/>
              </w:rPr>
              <w:t>406 от проекта на СПРЗСР).</w:t>
            </w:r>
          </w:p>
        </w:tc>
      </w:tr>
      <w:tr w:rsidR="00CD7279" w:rsidRPr="00F413E2" w14:paraId="79BD7526" w14:textId="77777777" w:rsidTr="00CD7279">
        <w:trPr>
          <w:trHeight w:val="74"/>
          <w:jc w:val="center"/>
        </w:trPr>
        <w:tc>
          <w:tcPr>
            <w:tcW w:w="563" w:type="dxa"/>
            <w:tcBorders>
              <w:top w:val="nil"/>
              <w:left w:val="single" w:sz="24" w:space="0" w:color="2E74B5"/>
              <w:bottom w:val="single" w:sz="18" w:space="0" w:color="2E74B5"/>
              <w:right w:val="single" w:sz="18" w:space="0" w:color="2E74B5"/>
            </w:tcBorders>
            <w:shd w:val="clear" w:color="auto" w:fill="auto"/>
          </w:tcPr>
          <w:p w14:paraId="15910CAA" w14:textId="77777777" w:rsidR="00CD7279" w:rsidRDefault="00CD7279" w:rsidP="00AD2528">
            <w:pPr>
              <w:tabs>
                <w:tab w:val="left" w:pos="192"/>
              </w:tabs>
              <w:spacing w:before="60" w:after="20"/>
              <w:ind w:left="142"/>
              <w:jc w:val="center"/>
              <w:rPr>
                <w:rFonts w:ascii="Verdana" w:hAnsi="Verdana"/>
                <w:b/>
                <w:color w:val="FF0000"/>
                <w:sz w:val="20"/>
                <w:szCs w:val="20"/>
                <w:lang w:val="en-US"/>
              </w:rPr>
            </w:pPr>
          </w:p>
        </w:tc>
        <w:tc>
          <w:tcPr>
            <w:tcW w:w="2526" w:type="dxa"/>
            <w:tcBorders>
              <w:top w:val="nil"/>
              <w:left w:val="single" w:sz="18" w:space="0" w:color="2E74B5"/>
              <w:bottom w:val="single" w:sz="18" w:space="0" w:color="2E74B5"/>
              <w:right w:val="single" w:sz="18" w:space="0" w:color="2E74B5"/>
            </w:tcBorders>
            <w:shd w:val="clear" w:color="auto" w:fill="auto"/>
          </w:tcPr>
          <w:p w14:paraId="789F900D" w14:textId="77777777" w:rsidR="00CD7279" w:rsidRDefault="00CD7279" w:rsidP="00AD2528">
            <w:pPr>
              <w:spacing w:before="60" w:after="20"/>
              <w:rPr>
                <w:rFonts w:ascii="Verdana" w:hAnsi="Verdana"/>
                <w:sz w:val="20"/>
                <w:szCs w:val="20"/>
              </w:rPr>
            </w:pPr>
          </w:p>
        </w:tc>
        <w:tc>
          <w:tcPr>
            <w:tcW w:w="12433" w:type="dxa"/>
            <w:tcBorders>
              <w:top w:val="nil"/>
              <w:left w:val="single" w:sz="18" w:space="0" w:color="2E74B5"/>
              <w:bottom w:val="single" w:sz="18" w:space="0" w:color="2E74B5"/>
              <w:right w:val="single" w:sz="18" w:space="0" w:color="2E74B5"/>
            </w:tcBorders>
            <w:shd w:val="clear" w:color="auto" w:fill="auto"/>
          </w:tcPr>
          <w:p w14:paraId="076FC1D6" w14:textId="01C8E87A" w:rsidR="00CD7279" w:rsidRPr="00796EC0" w:rsidRDefault="00CD7279" w:rsidP="00796EC0">
            <w:pPr>
              <w:widowControl w:val="0"/>
              <w:tabs>
                <w:tab w:val="left" w:pos="1565"/>
              </w:tabs>
              <w:autoSpaceDE w:val="0"/>
              <w:autoSpaceDN w:val="0"/>
              <w:spacing w:before="60" w:after="20"/>
              <w:jc w:val="both"/>
              <w:rPr>
                <w:rFonts w:ascii="Verdana" w:hAnsi="Verdana"/>
                <w:sz w:val="20"/>
                <w:szCs w:val="20"/>
              </w:rPr>
            </w:pPr>
            <w:r w:rsidRPr="00796EC0">
              <w:rPr>
                <w:rFonts w:ascii="Verdana" w:hAnsi="Verdana"/>
                <w:sz w:val="20"/>
                <w:szCs w:val="20"/>
              </w:rPr>
              <w:t>В описанието на еко схемата е записан следния текст: „Екологичните задължения по еко схемата включват поддържане на ивици по краищ</w:t>
            </w:r>
            <w:r>
              <w:rPr>
                <w:rFonts w:ascii="Verdana" w:hAnsi="Verdana"/>
                <w:sz w:val="20"/>
                <w:szCs w:val="20"/>
              </w:rPr>
              <w:t>ата на гори и/или буферни ивици“</w:t>
            </w:r>
            <w:r w:rsidRPr="00796EC0">
              <w:rPr>
                <w:rFonts w:ascii="Verdana" w:hAnsi="Verdana"/>
                <w:sz w:val="20"/>
                <w:szCs w:val="20"/>
              </w:rPr>
              <w:t>.</w:t>
            </w:r>
          </w:p>
          <w:p w14:paraId="1C6628B4" w14:textId="48441426" w:rsidR="00CD7279" w:rsidRPr="009E60E1" w:rsidRDefault="00CD7279" w:rsidP="00796EC0">
            <w:pPr>
              <w:widowControl w:val="0"/>
              <w:tabs>
                <w:tab w:val="left" w:pos="1565"/>
              </w:tabs>
              <w:autoSpaceDE w:val="0"/>
              <w:autoSpaceDN w:val="0"/>
              <w:spacing w:before="60" w:after="20"/>
              <w:jc w:val="both"/>
              <w:rPr>
                <w:rFonts w:ascii="Verdana" w:hAnsi="Verdana"/>
                <w:sz w:val="20"/>
                <w:szCs w:val="20"/>
              </w:rPr>
            </w:pPr>
            <w:r w:rsidRPr="00796EC0">
              <w:rPr>
                <w:rFonts w:ascii="Verdana" w:hAnsi="Verdana"/>
                <w:sz w:val="20"/>
                <w:szCs w:val="20"/>
              </w:rPr>
              <w:t>Би трябвало този текст да се коригира по следния начин: „Екологичните задължения по еко схемата включват поддържане на буферни ивици по краищата на гори и/или между отделните парцели и/или между отделните култури и/или</w:t>
            </w:r>
            <w:r>
              <w:rPr>
                <w:rFonts w:ascii="Verdana" w:hAnsi="Verdana"/>
                <w:sz w:val="20"/>
                <w:szCs w:val="20"/>
              </w:rPr>
              <w:t xml:space="preserve"> по краищата на водните басейни“</w:t>
            </w:r>
            <w:r w:rsidRPr="00796EC0">
              <w:rPr>
                <w:rFonts w:ascii="Verdana" w:hAnsi="Verdana"/>
                <w:sz w:val="20"/>
                <w:szCs w:val="20"/>
              </w:rPr>
              <w:t>, за да има по-голяма полза от прилагането им, нали целта на буферните ивици е да се опазят както земеделските земи, така и водните източници. В тази връзка има много научни статии, които добре обясняват процесите.</w:t>
            </w:r>
          </w:p>
        </w:tc>
      </w:tr>
      <w:tr w:rsidR="00CD7279" w:rsidRPr="00F413E2" w14:paraId="78909DF6"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37869BB1"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36507531" w14:textId="77777777" w:rsidR="00CD7279" w:rsidRPr="00ED59EE" w:rsidRDefault="00CD7279" w:rsidP="00ED59EE">
            <w:pPr>
              <w:spacing w:before="40" w:after="20"/>
              <w:rPr>
                <w:rFonts w:ascii="Verdana" w:hAnsi="Verdana"/>
                <w:sz w:val="20"/>
                <w:szCs w:val="20"/>
              </w:rPr>
            </w:pPr>
            <w:r w:rsidRPr="00ED59EE">
              <w:rPr>
                <w:rFonts w:ascii="Verdana" w:hAnsi="Verdana"/>
                <w:sz w:val="20"/>
                <w:szCs w:val="20"/>
              </w:rPr>
              <w:t xml:space="preserve">Сдружение „Институт за агростратегии и </w:t>
            </w:r>
            <w:r w:rsidRPr="00ED59EE">
              <w:rPr>
                <w:rFonts w:ascii="Verdana" w:hAnsi="Verdana"/>
                <w:sz w:val="20"/>
                <w:szCs w:val="20"/>
              </w:rPr>
              <w:lastRenderedPageBreak/>
              <w:t>иновации“ (ИАИ)</w:t>
            </w:r>
          </w:p>
          <w:p w14:paraId="420FA5C6" w14:textId="47ACA215" w:rsidR="00CD7279" w:rsidRDefault="00CD7279" w:rsidP="00ED59EE">
            <w:pPr>
              <w:spacing w:before="40" w:after="20"/>
              <w:rPr>
                <w:rFonts w:ascii="Verdana" w:hAnsi="Verdana"/>
                <w:sz w:val="20"/>
                <w:szCs w:val="20"/>
              </w:rPr>
            </w:pPr>
            <w:r w:rsidRPr="00ED59EE">
              <w:rPr>
                <w:rFonts w:ascii="Verdana" w:hAnsi="Verdana"/>
                <w:sz w:val="20"/>
                <w:szCs w:val="20"/>
              </w:rPr>
              <w:t>(по електронен път на март 2022 г.)</w:t>
            </w:r>
          </w:p>
        </w:tc>
        <w:tc>
          <w:tcPr>
            <w:tcW w:w="12433" w:type="dxa"/>
            <w:tcBorders>
              <w:top w:val="single" w:sz="18" w:space="0" w:color="2E74B5"/>
              <w:left w:val="single" w:sz="18" w:space="0" w:color="2E74B5"/>
              <w:bottom w:val="nil"/>
              <w:right w:val="single" w:sz="18" w:space="0" w:color="2E74B5"/>
            </w:tcBorders>
            <w:shd w:val="clear" w:color="auto" w:fill="auto"/>
          </w:tcPr>
          <w:p w14:paraId="729D6BBD"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rPr>
              <w:lastRenderedPageBreak/>
              <w:t>Категорично не сме съгласни с политическото ви решение в Стратегическия план по ОСП да не се съдържа нарочна интервенция „Инвестиции в дигитализация на земеделски стопанства“!</w:t>
            </w:r>
          </w:p>
          <w:p w14:paraId="1C3B35B0"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rPr>
              <w:lastRenderedPageBreak/>
              <w:t>Проект на такава интервенция беше разработен от Министерство на земеделието и храните и обсъден от членове на ТРГ на 10то заседание на ТРГ  от 29.01.2021г.  (видно от протокола от заседанието, на което нито един член на ТРГ не беше против такава интервенция и дори се направиха допълнителни добри предложения от страна на колегите). След заседанието, ние в качеството си на членове на ТРГ не сме обсъждали тази интервенция и затова останахме с впечатлението, че тя е от изчистените теми, по които няма нужда от дискусия, до момента на 19то заседание на 09.02.2022 г., на което с изненада разбрахме, че интервенцията е отпаднала.</w:t>
            </w:r>
          </w:p>
          <w:p w14:paraId="26875683"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rPr>
              <w:t>Мотивите ни за включването изрично на интервенция за инвестиции в дигитализация на земеделските стопанства са следните:</w:t>
            </w:r>
          </w:p>
          <w:p w14:paraId="310EB48F"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rPr>
              <w:t>В чл. 102 на Регламент(ЕС) 2021/2115 на Европейския парламент и на Съвета от 2 декември 2021 година за установяване на правила за подпомагане за стратегическите планове, които трябва да бъдат изготвени от държавите членки по линия на общата селскостопанска политика (стратегически планове по ОСП) и финансирани от Европейския фонд за гарантиране на земеделието (ЕФГЗ) и от Европейския земеделски фонд за развитие на селските райони (ЕЗФРСР), и за отмяна на регламенти (ЕС) № 1305/2013 и (ЕС) № 1307/2013 модернизацията е поставена като акцент на Стратегическия план и по-специално се изисква в СП да се съдържа</w:t>
            </w:r>
          </w:p>
          <w:p w14:paraId="1C31AB0B"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rPr>
              <w:t>„описание на стратегията за развитието на цифровите технологии в селското стопанство и селските райони и за използването на тези технологии с цел подобряване на ефективността и ефикасността на интервенциите по стратегическия план по ОСП.“ В тази връзка Министерство на земеделието възложи на Институт за агростратегии и иновации да изготви проект на Стратегия за цифровизация на земеделието и селските райони, която в последствие беше одобрена с Решение № 247/02.05.2019 г. на Министерския съвет и на чиято база беше разработен Стратегическия план в частта му относно постигането на междусекторната цел за модернизиране на селското стопанство и селските райони чрез стимулиране и споделяне на знания, иновации и цифровизация в селското стопанство и селските райони и чрез насърчаване на използването им в по-голяма степен от земеделските стопани чрез по-добър достъп до научни изследвания, иновации, обмен на знания и обучение.</w:t>
            </w:r>
          </w:p>
          <w:p w14:paraId="387B7759" w14:textId="77777777" w:rsidR="00CD7279"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rPr>
              <w:t>На тази база съвсем логично и правилно в проекта на Стратегически план, публикуван за обществено обсъждане, оценката на нуждата от цифровизация и дигитализация, подкрепа за внедряването на цифрови технологии за управление на стопанствата и оптимизация на производствените и административните процеси  беше определена с Висок приоритет като за постигането й е посочено, че ще се прилага следната стратегия за интервенция:</w:t>
            </w:r>
          </w:p>
          <w:p w14:paraId="642CC635" w14:textId="77777777" w:rsidR="00EF3802" w:rsidRDefault="00EF3802" w:rsidP="00ED59EE">
            <w:pPr>
              <w:widowControl w:val="0"/>
              <w:tabs>
                <w:tab w:val="left" w:pos="1565"/>
              </w:tabs>
              <w:autoSpaceDE w:val="0"/>
              <w:autoSpaceDN w:val="0"/>
              <w:spacing w:before="60" w:after="20"/>
              <w:jc w:val="both"/>
              <w:rPr>
                <w:rFonts w:ascii="Verdana" w:hAnsi="Verdana"/>
                <w:sz w:val="20"/>
                <w:szCs w:val="20"/>
                <w:lang w:val="en-US"/>
              </w:rPr>
            </w:pPr>
          </w:p>
          <w:p w14:paraId="0230FE80" w14:textId="77777777" w:rsidR="00EF3802" w:rsidRPr="00EF3802" w:rsidRDefault="00EF3802" w:rsidP="00EF3802">
            <w:pPr>
              <w:widowControl w:val="0"/>
              <w:tabs>
                <w:tab w:val="left" w:pos="1565"/>
              </w:tabs>
              <w:autoSpaceDE w:val="0"/>
              <w:autoSpaceDN w:val="0"/>
              <w:spacing w:before="60" w:after="20"/>
              <w:jc w:val="both"/>
              <w:rPr>
                <w:rFonts w:ascii="Verdana" w:hAnsi="Verdana"/>
                <w:b/>
                <w:bCs/>
                <w:sz w:val="20"/>
                <w:szCs w:val="20"/>
              </w:rPr>
            </w:pPr>
          </w:p>
          <w:p w14:paraId="2CA035FD"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77"/>
              <w:gridCol w:w="2364"/>
              <w:gridCol w:w="3310"/>
              <w:gridCol w:w="3878"/>
            </w:tblGrid>
            <w:tr w:rsidR="00EF3802" w:rsidRPr="00EF3802" w14:paraId="481F9D47" w14:textId="77777777" w:rsidTr="00EF3802">
              <w:tc>
                <w:tcPr>
                  <w:tcW w:w="1977" w:type="dxa"/>
                  <w:tcMar>
                    <w:top w:w="0" w:type="dxa"/>
                    <w:left w:w="75" w:type="dxa"/>
                    <w:bottom w:w="0" w:type="dxa"/>
                    <w:right w:w="75" w:type="dxa"/>
                  </w:tcMar>
                  <w:hideMark/>
                </w:tcPr>
                <w:p w14:paraId="1943FB50"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 xml:space="preserve">2.1.XCO.6 Стратегия за интервенция Форма на </w:t>
                  </w:r>
                  <w:r w:rsidRPr="00EF3802">
                    <w:rPr>
                      <w:rFonts w:ascii="Verdana" w:hAnsi="Verdana"/>
                      <w:sz w:val="20"/>
                      <w:szCs w:val="20"/>
                    </w:rPr>
                    <w:lastRenderedPageBreak/>
                    <w:t>интервенция </w:t>
                  </w:r>
                </w:p>
              </w:tc>
              <w:tc>
                <w:tcPr>
                  <w:tcW w:w="2364" w:type="dxa"/>
                  <w:tcMar>
                    <w:top w:w="0" w:type="dxa"/>
                    <w:left w:w="75" w:type="dxa"/>
                    <w:bottom w:w="0" w:type="dxa"/>
                    <w:right w:w="75" w:type="dxa"/>
                  </w:tcMar>
                  <w:hideMark/>
                </w:tcPr>
                <w:p w14:paraId="600CF2B8"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lastRenderedPageBreak/>
                    <w:t>Вид интервенция </w:t>
                  </w:r>
                </w:p>
              </w:tc>
              <w:tc>
                <w:tcPr>
                  <w:tcW w:w="3310" w:type="dxa"/>
                  <w:tcMar>
                    <w:top w:w="0" w:type="dxa"/>
                    <w:left w:w="75" w:type="dxa"/>
                    <w:bottom w:w="0" w:type="dxa"/>
                    <w:right w:w="75" w:type="dxa"/>
                  </w:tcMar>
                  <w:hideMark/>
                </w:tcPr>
                <w:p w14:paraId="6BC861B2"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Код на интервенцията (държава членка) — Име </w:t>
                  </w:r>
                </w:p>
              </w:tc>
              <w:tc>
                <w:tcPr>
                  <w:tcW w:w="3878" w:type="dxa"/>
                  <w:tcMar>
                    <w:top w:w="0" w:type="dxa"/>
                    <w:left w:w="75" w:type="dxa"/>
                    <w:bottom w:w="0" w:type="dxa"/>
                    <w:right w:w="75" w:type="dxa"/>
                  </w:tcMar>
                  <w:hideMark/>
                </w:tcPr>
                <w:p w14:paraId="0158D63D"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Общ показател за крайния продукт </w:t>
                  </w:r>
                </w:p>
              </w:tc>
            </w:tr>
            <w:tr w:rsidR="00EF3802" w:rsidRPr="00EF3802" w14:paraId="3DA1C863" w14:textId="77777777" w:rsidTr="00EF3802">
              <w:tc>
                <w:tcPr>
                  <w:tcW w:w="1977" w:type="dxa"/>
                  <w:tcMar>
                    <w:top w:w="0" w:type="dxa"/>
                    <w:left w:w="75" w:type="dxa"/>
                    <w:bottom w:w="0" w:type="dxa"/>
                    <w:right w:w="75" w:type="dxa"/>
                  </w:tcMar>
                  <w:hideMark/>
                </w:tcPr>
                <w:p w14:paraId="7FE192B1"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lastRenderedPageBreak/>
                    <w:t>RD </w:t>
                  </w:r>
                </w:p>
              </w:tc>
              <w:tc>
                <w:tcPr>
                  <w:tcW w:w="2364" w:type="dxa"/>
                  <w:tcMar>
                    <w:top w:w="0" w:type="dxa"/>
                    <w:left w:w="75" w:type="dxa"/>
                    <w:bottom w:w="0" w:type="dxa"/>
                    <w:right w:w="75" w:type="dxa"/>
                  </w:tcMar>
                  <w:hideMark/>
                </w:tcPr>
                <w:p w14:paraId="0BC59D2B"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INVEST(73-74) - Investments, including investments in irrigation </w:t>
                  </w:r>
                </w:p>
              </w:tc>
              <w:tc>
                <w:tcPr>
                  <w:tcW w:w="3310" w:type="dxa"/>
                  <w:tcMar>
                    <w:top w:w="0" w:type="dxa"/>
                    <w:left w:w="75" w:type="dxa"/>
                    <w:bottom w:w="0" w:type="dxa"/>
                    <w:right w:w="75" w:type="dxa"/>
                  </w:tcMar>
                  <w:hideMark/>
                </w:tcPr>
                <w:p w14:paraId="372B40AE"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II.Г.1 - Инвестиции в земеделските стопанства </w:t>
                  </w:r>
                </w:p>
              </w:tc>
              <w:tc>
                <w:tcPr>
                  <w:tcW w:w="3878" w:type="dxa"/>
                  <w:tcMar>
                    <w:top w:w="0" w:type="dxa"/>
                    <w:left w:w="75" w:type="dxa"/>
                    <w:bottom w:w="0" w:type="dxa"/>
                    <w:right w:w="75" w:type="dxa"/>
                  </w:tcMar>
                  <w:hideMark/>
                </w:tcPr>
                <w:p w14:paraId="115D26AF" w14:textId="77777777" w:rsidR="00EF3802" w:rsidRPr="00EF3802" w:rsidRDefault="00EF3802" w:rsidP="00EF3802">
                  <w:pPr>
                    <w:widowControl w:val="0"/>
                    <w:tabs>
                      <w:tab w:val="left" w:pos="1565"/>
                    </w:tabs>
                    <w:autoSpaceDE w:val="0"/>
                    <w:autoSpaceDN w:val="0"/>
                    <w:spacing w:before="60" w:after="20"/>
                    <w:jc w:val="both"/>
                    <w:rPr>
                      <w:rFonts w:ascii="Verdana" w:hAnsi="Verdana"/>
                      <w:b/>
                      <w:bCs/>
                      <w:sz w:val="20"/>
                      <w:szCs w:val="20"/>
                    </w:rPr>
                  </w:pPr>
                  <w:r w:rsidRPr="00EF3802">
                    <w:rPr>
                      <w:rFonts w:ascii="Verdana" w:hAnsi="Verdana"/>
                      <w:b/>
                      <w:bCs/>
                      <w:sz w:val="20"/>
                      <w:szCs w:val="20"/>
                    </w:rPr>
                    <w:t>O.20. Number of supported on-farm productive investment operations or units </w:t>
                  </w:r>
                </w:p>
              </w:tc>
            </w:tr>
            <w:tr w:rsidR="00EF3802" w:rsidRPr="00EF3802" w14:paraId="7BD6A9AE" w14:textId="77777777" w:rsidTr="00EF3802">
              <w:tc>
                <w:tcPr>
                  <w:tcW w:w="1977" w:type="dxa"/>
                  <w:tcMar>
                    <w:top w:w="0" w:type="dxa"/>
                    <w:left w:w="75" w:type="dxa"/>
                    <w:bottom w:w="0" w:type="dxa"/>
                    <w:right w:w="75" w:type="dxa"/>
                  </w:tcMar>
                  <w:hideMark/>
                </w:tcPr>
                <w:p w14:paraId="02915C61"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RD </w:t>
                  </w:r>
                </w:p>
              </w:tc>
              <w:tc>
                <w:tcPr>
                  <w:tcW w:w="2364" w:type="dxa"/>
                  <w:tcMar>
                    <w:top w:w="0" w:type="dxa"/>
                    <w:left w:w="75" w:type="dxa"/>
                    <w:bottom w:w="0" w:type="dxa"/>
                    <w:right w:w="75" w:type="dxa"/>
                  </w:tcMar>
                  <w:hideMark/>
                </w:tcPr>
                <w:p w14:paraId="1D91A39F"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COOP(77) - Сътрудничество </w:t>
                  </w:r>
                </w:p>
              </w:tc>
              <w:tc>
                <w:tcPr>
                  <w:tcW w:w="3310" w:type="dxa"/>
                  <w:tcMar>
                    <w:top w:w="0" w:type="dxa"/>
                    <w:left w:w="75" w:type="dxa"/>
                    <w:bottom w:w="0" w:type="dxa"/>
                    <w:right w:w="75" w:type="dxa"/>
                  </w:tcMar>
                  <w:hideMark/>
                </w:tcPr>
                <w:p w14:paraId="773ECEF2"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II.Ж.1. - Подкрепа за оперативни групи в рамките на Европейското партньорство за иновации </w:t>
                  </w:r>
                </w:p>
              </w:tc>
              <w:tc>
                <w:tcPr>
                  <w:tcW w:w="3878" w:type="dxa"/>
                  <w:tcMar>
                    <w:top w:w="0" w:type="dxa"/>
                    <w:left w:w="75" w:type="dxa"/>
                    <w:bottom w:w="0" w:type="dxa"/>
                    <w:right w:w="75" w:type="dxa"/>
                  </w:tcMar>
                  <w:hideMark/>
                </w:tcPr>
                <w:p w14:paraId="3F9615FF"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O.1. Брой на проектите на оперативните групи за европейско партньорство за иновации (ЕПИ) </w:t>
                  </w:r>
                </w:p>
              </w:tc>
            </w:tr>
            <w:tr w:rsidR="00EF3802" w:rsidRPr="00EF3802" w14:paraId="53B3B6FA" w14:textId="77777777" w:rsidTr="00EF3802">
              <w:tc>
                <w:tcPr>
                  <w:tcW w:w="1977" w:type="dxa"/>
                  <w:tcMar>
                    <w:top w:w="0" w:type="dxa"/>
                    <w:left w:w="75" w:type="dxa"/>
                    <w:bottom w:w="0" w:type="dxa"/>
                    <w:right w:w="75" w:type="dxa"/>
                  </w:tcMar>
                  <w:hideMark/>
                </w:tcPr>
                <w:p w14:paraId="75387470"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RD </w:t>
                  </w:r>
                </w:p>
              </w:tc>
              <w:tc>
                <w:tcPr>
                  <w:tcW w:w="2364" w:type="dxa"/>
                  <w:tcMar>
                    <w:top w:w="0" w:type="dxa"/>
                    <w:left w:w="75" w:type="dxa"/>
                    <w:bottom w:w="0" w:type="dxa"/>
                    <w:right w:w="75" w:type="dxa"/>
                  </w:tcMar>
                  <w:hideMark/>
                </w:tcPr>
                <w:p w14:paraId="11D7F330"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KNOW(78) - Knowledge exchange and dissemination of information </w:t>
                  </w:r>
                </w:p>
              </w:tc>
              <w:tc>
                <w:tcPr>
                  <w:tcW w:w="3310" w:type="dxa"/>
                  <w:tcMar>
                    <w:top w:w="0" w:type="dxa"/>
                    <w:left w:w="75" w:type="dxa"/>
                    <w:bottom w:w="0" w:type="dxa"/>
                    <w:right w:w="75" w:type="dxa"/>
                  </w:tcMar>
                  <w:hideMark/>
                </w:tcPr>
                <w:p w14:paraId="24992DB7"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II.И.1. - Консултанстки услуги и повишаване на консултантския капацитет </w:t>
                  </w:r>
                </w:p>
              </w:tc>
              <w:tc>
                <w:tcPr>
                  <w:tcW w:w="3878" w:type="dxa"/>
                  <w:tcMar>
                    <w:top w:w="0" w:type="dxa"/>
                    <w:left w:w="75" w:type="dxa"/>
                    <w:bottom w:w="0" w:type="dxa"/>
                    <w:right w:w="75" w:type="dxa"/>
                  </w:tcMar>
                  <w:hideMark/>
                </w:tcPr>
                <w:p w14:paraId="237B7E94"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O.33. Number of supported training, advice and awareness actions or units </w:t>
                  </w:r>
                </w:p>
              </w:tc>
            </w:tr>
            <w:tr w:rsidR="00EF3802" w:rsidRPr="00EF3802" w14:paraId="178633C2" w14:textId="77777777" w:rsidTr="00EF3802">
              <w:tc>
                <w:tcPr>
                  <w:tcW w:w="1977" w:type="dxa"/>
                  <w:tcMar>
                    <w:top w:w="0" w:type="dxa"/>
                    <w:left w:w="75" w:type="dxa"/>
                    <w:bottom w:w="0" w:type="dxa"/>
                    <w:right w:w="75" w:type="dxa"/>
                  </w:tcMar>
                  <w:hideMark/>
                </w:tcPr>
                <w:p w14:paraId="307F6C0A"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RD </w:t>
                  </w:r>
                </w:p>
              </w:tc>
              <w:tc>
                <w:tcPr>
                  <w:tcW w:w="2364" w:type="dxa"/>
                  <w:tcMar>
                    <w:top w:w="0" w:type="dxa"/>
                    <w:left w:w="75" w:type="dxa"/>
                    <w:bottom w:w="0" w:type="dxa"/>
                    <w:right w:w="75" w:type="dxa"/>
                  </w:tcMar>
                  <w:hideMark/>
                </w:tcPr>
                <w:p w14:paraId="23607F98"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KNOW(78) - Knowledge exchange and dissemination of </w:t>
                  </w:r>
                </w:p>
              </w:tc>
              <w:tc>
                <w:tcPr>
                  <w:tcW w:w="3310" w:type="dxa"/>
                  <w:tcMar>
                    <w:top w:w="0" w:type="dxa"/>
                    <w:left w:w="75" w:type="dxa"/>
                    <w:bottom w:w="0" w:type="dxa"/>
                    <w:right w:w="75" w:type="dxa"/>
                  </w:tcMar>
                  <w:hideMark/>
                </w:tcPr>
                <w:p w14:paraId="480BBA64"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II.И.2. - Професионално обучение и придобиване на знания </w:t>
                  </w:r>
                </w:p>
              </w:tc>
              <w:tc>
                <w:tcPr>
                  <w:tcW w:w="3878" w:type="dxa"/>
                  <w:tcMar>
                    <w:top w:w="0" w:type="dxa"/>
                    <w:left w:w="75" w:type="dxa"/>
                    <w:bottom w:w="0" w:type="dxa"/>
                    <w:right w:w="75" w:type="dxa"/>
                  </w:tcMar>
                  <w:hideMark/>
                </w:tcPr>
                <w:p w14:paraId="04FA75CF"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O.33. Number of supported training, advice and awareness actions or units </w:t>
                  </w:r>
                </w:p>
              </w:tc>
            </w:tr>
          </w:tbl>
          <w:p w14:paraId="127C5DBD"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p>
          <w:p w14:paraId="4824E158"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rPr>
            </w:pPr>
            <w:r w:rsidRPr="00EF3802">
              <w:rPr>
                <w:rFonts w:ascii="Verdana" w:hAnsi="Verdana"/>
                <w:sz w:val="20"/>
                <w:szCs w:val="20"/>
              </w:rPr>
              <w:t>По-надолу в текста е записано: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30"/>
              <w:gridCol w:w="4192"/>
            </w:tblGrid>
            <w:tr w:rsidR="00EF3802" w:rsidRPr="00EF3802" w14:paraId="0001C08F" w14:textId="77777777" w:rsidTr="00EF3802">
              <w:trPr>
                <w:trHeight w:val="219"/>
              </w:trPr>
              <w:tc>
                <w:tcPr>
                  <w:tcW w:w="5130" w:type="dxa"/>
                </w:tcPr>
                <w:p w14:paraId="49E5C3F6"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b/>
                      <w:bCs/>
                      <w:sz w:val="20"/>
                      <w:szCs w:val="20"/>
                      <w:lang w:val="en-GB"/>
                    </w:rPr>
                    <w:t xml:space="preserve">Показатели за резултатите [препоръчителните показатели за резултатите за тази специфична цел са обозначени изцяло с получер шрифт] </w:t>
                  </w:r>
                </w:p>
              </w:tc>
              <w:tc>
                <w:tcPr>
                  <w:tcW w:w="4192" w:type="dxa"/>
                </w:tcPr>
                <w:p w14:paraId="0E9B89CA"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b/>
                      <w:bCs/>
                      <w:sz w:val="20"/>
                      <w:szCs w:val="20"/>
                      <w:lang w:val="en-GB"/>
                    </w:rPr>
                    <w:t xml:space="preserve">Target value </w:t>
                  </w:r>
                </w:p>
              </w:tc>
            </w:tr>
            <w:tr w:rsidR="00EF3802" w:rsidRPr="00EF3802" w14:paraId="7599260E" w14:textId="77777777" w:rsidTr="00EF3802">
              <w:trPr>
                <w:trHeight w:val="595"/>
              </w:trPr>
              <w:tc>
                <w:tcPr>
                  <w:tcW w:w="5130" w:type="dxa"/>
                </w:tcPr>
                <w:p w14:paraId="5E44EDF0"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b/>
                      <w:bCs/>
                      <w:sz w:val="20"/>
                      <w:szCs w:val="20"/>
                      <w:lang w:val="en-GB"/>
                    </w:rPr>
                    <w:t xml:space="preserve">R.1 CU PR - Подобряване на резултатите чрез знания и иновации </w:t>
                  </w:r>
                  <w:r w:rsidRPr="00EF3802">
                    <w:rPr>
                      <w:rFonts w:ascii="Verdana" w:hAnsi="Verdana"/>
                      <w:sz w:val="20"/>
                      <w:szCs w:val="20"/>
                      <w:lang w:val="en-GB"/>
                    </w:rPr>
                    <w:t xml:space="preserve">Number of persons benefitting from advice, training, knowledge exchange, or participating in European Innovation Partnership (EIP) operational groups supported by the CAP in order to enhance sustainable economic, social, environmental, climate and resource efficiency performance </w:t>
                  </w:r>
                </w:p>
              </w:tc>
              <w:tc>
                <w:tcPr>
                  <w:tcW w:w="4192" w:type="dxa"/>
                </w:tcPr>
                <w:p w14:paraId="1568EEAD"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sz w:val="20"/>
                      <w:szCs w:val="20"/>
                      <w:lang w:val="en-GB"/>
                    </w:rPr>
                    <w:t xml:space="preserve">203300.00 </w:t>
                  </w:r>
                </w:p>
              </w:tc>
            </w:tr>
            <w:tr w:rsidR="00EF3802" w:rsidRPr="00EF3802" w14:paraId="3A9E4DCE" w14:textId="77777777" w:rsidTr="00EF3802">
              <w:trPr>
                <w:trHeight w:val="456"/>
              </w:trPr>
              <w:tc>
                <w:tcPr>
                  <w:tcW w:w="5130" w:type="dxa"/>
                </w:tcPr>
                <w:p w14:paraId="0F55E4AB"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b/>
                      <w:bCs/>
                      <w:sz w:val="20"/>
                      <w:szCs w:val="20"/>
                      <w:lang w:val="en-GB"/>
                    </w:rPr>
                    <w:t xml:space="preserve">R.2 CU - Създаване на връзка между консултациите и системите за знания </w:t>
                  </w:r>
                  <w:r w:rsidRPr="00EF3802">
                    <w:rPr>
                      <w:rFonts w:ascii="Verdana" w:hAnsi="Verdana"/>
                      <w:sz w:val="20"/>
                      <w:szCs w:val="20"/>
                      <w:lang w:val="en-GB"/>
                    </w:rPr>
                    <w:t xml:space="preserve">Брой на съветниците, които получават </w:t>
                  </w:r>
                  <w:r w:rsidRPr="00EF3802">
                    <w:rPr>
                      <w:rFonts w:ascii="Verdana" w:hAnsi="Verdana"/>
                      <w:sz w:val="20"/>
                      <w:szCs w:val="20"/>
                      <w:lang w:val="en-GB"/>
                    </w:rPr>
                    <w:lastRenderedPageBreak/>
                    <w:t xml:space="preserve">подпомагане за интегриране в системите за знания и иновации в селското стопанство (AKIS) </w:t>
                  </w:r>
                </w:p>
              </w:tc>
              <w:tc>
                <w:tcPr>
                  <w:tcW w:w="4192" w:type="dxa"/>
                </w:tcPr>
                <w:p w14:paraId="6D323814"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sz w:val="20"/>
                      <w:szCs w:val="20"/>
                      <w:lang w:val="en-GB"/>
                    </w:rPr>
                    <w:lastRenderedPageBreak/>
                    <w:t xml:space="preserve">800.00 </w:t>
                  </w:r>
                </w:p>
              </w:tc>
            </w:tr>
            <w:tr w:rsidR="00EF3802" w:rsidRPr="00EF3802" w14:paraId="1A9B1A92" w14:textId="77777777" w:rsidTr="00EF3802">
              <w:trPr>
                <w:trHeight w:val="317"/>
              </w:trPr>
              <w:tc>
                <w:tcPr>
                  <w:tcW w:w="5130" w:type="dxa"/>
                </w:tcPr>
                <w:p w14:paraId="661B9919" w14:textId="77777777" w:rsidR="00EF3802" w:rsidRPr="00EF3802" w:rsidRDefault="00EF3802" w:rsidP="00EF3802">
                  <w:pPr>
                    <w:widowControl w:val="0"/>
                    <w:tabs>
                      <w:tab w:val="left" w:pos="1565"/>
                    </w:tabs>
                    <w:autoSpaceDE w:val="0"/>
                    <w:autoSpaceDN w:val="0"/>
                    <w:spacing w:before="60" w:after="20"/>
                    <w:jc w:val="both"/>
                    <w:rPr>
                      <w:rFonts w:ascii="Verdana" w:hAnsi="Verdana"/>
                      <w:b/>
                      <w:bCs/>
                      <w:sz w:val="20"/>
                      <w:szCs w:val="20"/>
                      <w:lang w:val="en-GB"/>
                    </w:rPr>
                  </w:pPr>
                  <w:r w:rsidRPr="00EF3802">
                    <w:rPr>
                      <w:rFonts w:ascii="Verdana" w:hAnsi="Verdana"/>
                      <w:b/>
                      <w:bCs/>
                      <w:sz w:val="20"/>
                      <w:szCs w:val="20"/>
                      <w:lang w:val="en-GB"/>
                    </w:rPr>
                    <w:lastRenderedPageBreak/>
                    <w:t xml:space="preserve">R.3 CU - Цифровизация на селското стопанство Share of farms benefitting from support for digital farming technology through CAP </w:t>
                  </w:r>
                </w:p>
              </w:tc>
              <w:tc>
                <w:tcPr>
                  <w:tcW w:w="4192" w:type="dxa"/>
                </w:tcPr>
                <w:p w14:paraId="4BCD35F0" w14:textId="77777777" w:rsidR="00EF3802" w:rsidRPr="00EF3802" w:rsidRDefault="00EF3802" w:rsidP="00EF3802">
                  <w:pPr>
                    <w:widowControl w:val="0"/>
                    <w:tabs>
                      <w:tab w:val="left" w:pos="1565"/>
                    </w:tabs>
                    <w:autoSpaceDE w:val="0"/>
                    <w:autoSpaceDN w:val="0"/>
                    <w:spacing w:before="60" w:after="20"/>
                    <w:jc w:val="both"/>
                    <w:rPr>
                      <w:rFonts w:ascii="Verdana" w:hAnsi="Verdana"/>
                      <w:b/>
                      <w:bCs/>
                      <w:sz w:val="20"/>
                      <w:szCs w:val="20"/>
                      <w:lang w:val="en-GB"/>
                    </w:rPr>
                  </w:pPr>
                  <w:r w:rsidRPr="00EF3802">
                    <w:rPr>
                      <w:rFonts w:ascii="Verdana" w:hAnsi="Verdana"/>
                      <w:b/>
                      <w:bCs/>
                      <w:sz w:val="20"/>
                      <w:szCs w:val="20"/>
                      <w:lang w:val="en-GB"/>
                    </w:rPr>
                    <w:t xml:space="preserve">12.53 % </w:t>
                  </w:r>
                </w:p>
              </w:tc>
            </w:tr>
            <w:tr w:rsidR="00EF3802" w:rsidRPr="00EF3802" w14:paraId="290AC4DB" w14:textId="77777777" w:rsidTr="00EF3802">
              <w:trPr>
                <w:trHeight w:val="593"/>
              </w:trPr>
              <w:tc>
                <w:tcPr>
                  <w:tcW w:w="5130" w:type="dxa"/>
                </w:tcPr>
                <w:p w14:paraId="4B571979"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b/>
                      <w:bCs/>
                      <w:sz w:val="20"/>
                      <w:szCs w:val="20"/>
                      <w:lang w:val="en-GB"/>
                    </w:rPr>
                    <w:t xml:space="preserve">R.28 CU - Environmental or climate-related performance through knowledge </w:t>
                  </w:r>
                  <w:r w:rsidRPr="00EF3802">
                    <w:rPr>
                      <w:rFonts w:ascii="Verdana" w:hAnsi="Verdana"/>
                      <w:sz w:val="20"/>
                      <w:szCs w:val="20"/>
                      <w:lang w:val="en-GB"/>
                    </w:rPr>
                    <w:t xml:space="preserve">Number of persons benefitting from advice, training, knowledge exchange, or participating in European Innovation Partnership (EIP) operational groups supported by the CAP related to environmental or climate-related performance </w:t>
                  </w:r>
                </w:p>
              </w:tc>
              <w:tc>
                <w:tcPr>
                  <w:tcW w:w="4192" w:type="dxa"/>
                </w:tcPr>
                <w:p w14:paraId="677906E7" w14:textId="77777777" w:rsidR="00EF3802" w:rsidRPr="00EF3802" w:rsidRDefault="00EF3802" w:rsidP="00EF3802">
                  <w:pPr>
                    <w:widowControl w:val="0"/>
                    <w:tabs>
                      <w:tab w:val="left" w:pos="1565"/>
                    </w:tabs>
                    <w:autoSpaceDE w:val="0"/>
                    <w:autoSpaceDN w:val="0"/>
                    <w:spacing w:before="60" w:after="20"/>
                    <w:jc w:val="both"/>
                    <w:rPr>
                      <w:rFonts w:ascii="Verdana" w:hAnsi="Verdana"/>
                      <w:sz w:val="20"/>
                      <w:szCs w:val="20"/>
                      <w:lang w:val="en-GB"/>
                    </w:rPr>
                  </w:pPr>
                  <w:r w:rsidRPr="00EF3802">
                    <w:rPr>
                      <w:rFonts w:ascii="Verdana" w:hAnsi="Verdana"/>
                      <w:sz w:val="20"/>
                      <w:szCs w:val="20"/>
                      <w:lang w:val="en-GB"/>
                    </w:rPr>
                    <w:t xml:space="preserve">5600.00 </w:t>
                  </w:r>
                </w:p>
              </w:tc>
            </w:tr>
          </w:tbl>
          <w:p w14:paraId="24BCC130" w14:textId="77777777" w:rsidR="00EF3802" w:rsidRPr="00EF3802" w:rsidRDefault="00EF3802" w:rsidP="00ED59EE">
            <w:pPr>
              <w:widowControl w:val="0"/>
              <w:tabs>
                <w:tab w:val="left" w:pos="1565"/>
              </w:tabs>
              <w:autoSpaceDE w:val="0"/>
              <w:autoSpaceDN w:val="0"/>
              <w:spacing w:before="60" w:after="20"/>
              <w:jc w:val="both"/>
              <w:rPr>
                <w:rFonts w:ascii="Verdana" w:hAnsi="Verdana"/>
                <w:sz w:val="20"/>
                <w:szCs w:val="20"/>
                <w:lang w:val="en-US"/>
              </w:rPr>
            </w:pPr>
          </w:p>
          <w:p w14:paraId="739E6D91"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Според нас неправилно в посочения показател за резултат R.3. Цифровизация на селското стопанство Share of farms benefitting from support for digital farming technology through CAP  в размер на 12,53% е записано, че стойността се формира само на база на три от интервенциите, а именно:  „Консултантски услуги и повишаване на консултантския капацитет, (най-малко 4 000 земеделски стопани), интервенцията „Професионално образование и придобиване на умения“ (над 21 000 земеделски стопани) и интервенцията „Подкрепа за оперативни групи в рамките на ЕПИ“ (над 70 земеделски стопани, участници в оперативните групи). Не става ясно защо в показателя за резултат не се включват и стойности по интервенцията „Инвестиции в земеделски стопанства“, което според нас противоречи на стратегията за интервенция? Тоест ще целим подкрепа на конкретен брой стопанства за обучение и консултации за цифрови технологии, но няма да целим подкрепа на конкретен брой стопанства, които да направят инвестиции в цифрови технологии?!</w:t>
            </w:r>
          </w:p>
          <w:p w14:paraId="1FDE4485"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От друга страна в проекта на интервенцията „Инвестиции в земеделски стопанства</w:t>
            </w:r>
            <w:proofErr w:type="gramStart"/>
            <w:r w:rsidRPr="00ED59EE">
              <w:rPr>
                <w:rFonts w:ascii="Verdana" w:hAnsi="Verdana"/>
                <w:sz w:val="20"/>
                <w:szCs w:val="20"/>
                <w:lang w:val="en-US"/>
              </w:rPr>
              <w:t>“ не</w:t>
            </w:r>
            <w:proofErr w:type="gramEnd"/>
            <w:r w:rsidRPr="00ED59EE">
              <w:rPr>
                <w:rFonts w:ascii="Verdana" w:hAnsi="Verdana"/>
                <w:sz w:val="20"/>
                <w:szCs w:val="20"/>
                <w:lang w:val="en-US"/>
              </w:rPr>
              <w:t xml:space="preserve"> се предвижда, че за инвестициите за цифровизация в земеделските стопанства, проектите ще се ползват с приоритет!  </w:t>
            </w:r>
          </w:p>
          <w:p w14:paraId="2CF76B13"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Тогава в какво в крайна сметка се изразява високият приоритет за цифровизация и какво ние като държава искаме да постигнем като реално въведени цифрови технологии в земеделските стопанства по линия на СП?</w:t>
            </w:r>
          </w:p>
          <w:p w14:paraId="2AD379B1"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lang w:val="en-US"/>
              </w:rPr>
              <w:t>За нас, при така формулираните интервенции, цифровизацията ще остане висок приоритет само на хартия, но не и на практика!</w:t>
            </w:r>
          </w:p>
          <w:p w14:paraId="0DF04136"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 xml:space="preserve">В допълнение, на 19то заседание на ТРГ на 09.02.2022 г., зам.-министър Неков ни съобщи, че интервенцията за инвестиции в дигитализация на земеделските стопанства е отпаднала, защото има такава възможност за </w:t>
            </w:r>
            <w:r w:rsidRPr="00ED59EE">
              <w:rPr>
                <w:rFonts w:ascii="Verdana" w:hAnsi="Verdana"/>
                <w:sz w:val="20"/>
                <w:szCs w:val="20"/>
                <w:lang w:val="en-US"/>
              </w:rPr>
              <w:lastRenderedPageBreak/>
              <w:t xml:space="preserve">инвестиции в Националния план за възстановяване и устойчивост. </w:t>
            </w:r>
          </w:p>
          <w:p w14:paraId="55027A26"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 xml:space="preserve">На първо място ние считаме за неправилно отчитането на резултати по един инструмент какъвто е Стратегическия план, да се извършва с друг инструмент какъвто е НПВУ. </w:t>
            </w:r>
          </w:p>
          <w:p w14:paraId="5B14F339"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На второ място, за нас не става ясна демаркацията между СП и НПВУ относно инвестициите в цифровизация в земеделските стопанства. Каква част от парите от Фонда за насърчаване на технологичния и екологичен преход на селското стопанство по НПВУ ще са за цифровизация (не само свързана с постигането на екологични цели) и колко стопанства искаме да подкрепим? Ние, следва още от сега да сме наясно колко проекта бихме искали да подкрепим с НПВУ и колко такива по линия на СП и да си поставим ясно измерими цели, за да постигнем реална промяна на сегашното положение с цифровизацията на земеделските стопанства.</w:t>
            </w:r>
          </w:p>
          <w:p w14:paraId="4DC3AF5E"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lang w:val="en-US"/>
              </w:rPr>
              <w:t xml:space="preserve">На трето място, предвижда се приемът на проекти по СП да започне в рамките на календарната 2023 г. след приключване на договарянето по НПВУ, което към момента с оглед на закъснение на одобрението му от страна на ЕК буди сериозни притеснения, че ще лиши земеделските стопани от възможността да бъдат подпомогнати по линия на НПВУ за въвеждане на цифрови технологии, още сега в състояние на войната в Украйна, която създава заплахи за продоволствената сигурност на ЕС. </w:t>
            </w:r>
          </w:p>
          <w:p w14:paraId="672B84EF"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rPr>
              <w:t>Относно: Проект на Стратегически план за развитие</w:t>
            </w:r>
          </w:p>
          <w:p w14:paraId="0B97B239" w14:textId="77777777" w:rsidR="00CD7279" w:rsidRPr="00ED59EE" w:rsidRDefault="00CD7279" w:rsidP="00ED59EE">
            <w:pPr>
              <w:widowControl w:val="0"/>
              <w:tabs>
                <w:tab w:val="left" w:pos="1565"/>
              </w:tabs>
              <w:autoSpaceDE w:val="0"/>
              <w:autoSpaceDN w:val="0"/>
              <w:spacing w:before="60" w:after="20"/>
              <w:jc w:val="both"/>
              <w:rPr>
                <w:rFonts w:ascii="Verdana" w:hAnsi="Verdana"/>
                <w:sz w:val="20"/>
                <w:szCs w:val="20"/>
                <w:lang w:val="en-US"/>
              </w:rPr>
            </w:pPr>
            <w:r w:rsidRPr="00ED59EE">
              <w:rPr>
                <w:rFonts w:ascii="Verdana" w:hAnsi="Verdana"/>
                <w:sz w:val="20"/>
                <w:szCs w:val="20"/>
                <w:lang w:val="en-US"/>
              </w:rPr>
              <w:t>Не на последно място, именно заради продоволствената сигурност Европейската Комисия в своето Съобщение от 23.03.2022 г. насърчава страните членки да използват Стратегическите си планове и да приоритизират инвестиции, които да намалят зависимостта от газ и гориво, както и от като пестициди и торове, в това число инвестиции в прецизно земеделие.</w:t>
            </w:r>
          </w:p>
          <w:p w14:paraId="6D5779EA" w14:textId="5D7C341E" w:rsidR="00CD7279" w:rsidRPr="00ED59EE" w:rsidRDefault="00CD7279" w:rsidP="00ED59EE">
            <w:pPr>
              <w:widowControl w:val="0"/>
              <w:tabs>
                <w:tab w:val="left" w:pos="1565"/>
              </w:tabs>
              <w:autoSpaceDE w:val="0"/>
              <w:autoSpaceDN w:val="0"/>
              <w:spacing w:before="60" w:after="20"/>
              <w:jc w:val="both"/>
              <w:rPr>
                <w:rFonts w:ascii="Verdana" w:hAnsi="Verdana"/>
                <w:sz w:val="20"/>
                <w:szCs w:val="20"/>
              </w:rPr>
            </w:pPr>
            <w:r w:rsidRPr="00ED59EE">
              <w:rPr>
                <w:rFonts w:ascii="Verdana" w:hAnsi="Verdana"/>
                <w:sz w:val="20"/>
                <w:szCs w:val="20"/>
                <w:lang w:val="en-US"/>
              </w:rPr>
              <w:t>Считаме, че отделна интервенция за инвестиции в цифровизация на земеделските стопанства ще отговори най-пълно и ясно на необходимостта от постигане на целите на СП и разработеният проект на интервенция е много добра основа за това</w:t>
            </w:r>
            <w:r>
              <w:rPr>
                <w:rFonts w:ascii="Verdana" w:hAnsi="Verdana"/>
                <w:sz w:val="20"/>
                <w:szCs w:val="20"/>
              </w:rPr>
              <w:t>.</w:t>
            </w:r>
          </w:p>
        </w:tc>
      </w:tr>
      <w:tr w:rsidR="00CD7279" w:rsidRPr="00F413E2" w14:paraId="553F8274"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743FAE5A"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4A109D8B" w14:textId="71152391" w:rsidR="00CD7279" w:rsidRDefault="00CD7279" w:rsidP="00EC6B89">
            <w:pPr>
              <w:spacing w:before="40" w:after="20"/>
              <w:rPr>
                <w:rFonts w:ascii="Verdana" w:hAnsi="Verdana"/>
                <w:sz w:val="20"/>
                <w:szCs w:val="20"/>
              </w:rPr>
            </w:pPr>
            <w:r w:rsidRPr="00CD61CE">
              <w:rPr>
                <w:rFonts w:ascii="Verdana" w:hAnsi="Verdana"/>
                <w:sz w:val="20"/>
                <w:szCs w:val="20"/>
              </w:rPr>
              <w:t>Министерство на окол</w:t>
            </w:r>
            <w:r>
              <w:rPr>
                <w:rFonts w:ascii="Verdana" w:hAnsi="Verdana"/>
                <w:sz w:val="20"/>
                <w:szCs w:val="20"/>
              </w:rPr>
              <w:t>ната среда и водите (писмо № 04</w:t>
            </w:r>
            <w:r w:rsidRPr="00CD61CE">
              <w:rPr>
                <w:rFonts w:ascii="Verdana" w:hAnsi="Verdana"/>
                <w:sz w:val="20"/>
                <w:szCs w:val="20"/>
              </w:rPr>
              <w:t>03</w:t>
            </w:r>
            <w:r>
              <w:rPr>
                <w:rFonts w:ascii="Verdana" w:hAnsi="Verdana"/>
                <w:sz w:val="20"/>
                <w:szCs w:val="20"/>
              </w:rPr>
              <w:t>-76</w:t>
            </w:r>
            <w:r w:rsidRPr="00CD61CE">
              <w:rPr>
                <w:rFonts w:ascii="Verdana" w:hAnsi="Verdana"/>
                <w:sz w:val="20"/>
                <w:szCs w:val="20"/>
              </w:rPr>
              <w:t xml:space="preserve"> от 28.03.2022 г.)</w:t>
            </w:r>
          </w:p>
        </w:tc>
        <w:tc>
          <w:tcPr>
            <w:tcW w:w="12433" w:type="dxa"/>
            <w:tcBorders>
              <w:top w:val="single" w:sz="18" w:space="0" w:color="2E74B5"/>
              <w:left w:val="single" w:sz="18" w:space="0" w:color="2E74B5"/>
              <w:bottom w:val="nil"/>
              <w:right w:val="single" w:sz="18" w:space="0" w:color="2E74B5"/>
            </w:tcBorders>
            <w:shd w:val="clear" w:color="auto" w:fill="auto"/>
          </w:tcPr>
          <w:p w14:paraId="7A78B83B" w14:textId="77777777" w:rsidR="00CD7279" w:rsidRPr="009E60E1" w:rsidRDefault="00EF3802" w:rsidP="00AD2528">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object w:dxaOrig="1614" w:dyaOrig="1044" w14:anchorId="576580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8pt;height:51.8pt" o:ole="">
                  <v:imagedata r:id="rId9" o:title=""/>
                </v:shape>
                <o:OLEObject Type="Embed" ProgID="Package" ShapeID="_x0000_i1025" DrawAspect="Icon" ObjectID="_1716109504" r:id="rId10"/>
              </w:object>
            </w:r>
          </w:p>
        </w:tc>
      </w:tr>
      <w:tr w:rsidR="00CD7279" w:rsidRPr="00F413E2" w14:paraId="5C06F42F"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5B9F227D"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7F18A9BA" w14:textId="77777777" w:rsidR="00CD7279" w:rsidRPr="00D96656" w:rsidRDefault="00CD7279" w:rsidP="00D96656">
            <w:pPr>
              <w:spacing w:before="40" w:after="20"/>
              <w:rPr>
                <w:rFonts w:ascii="Verdana" w:hAnsi="Verdana"/>
                <w:sz w:val="20"/>
                <w:szCs w:val="20"/>
              </w:rPr>
            </w:pPr>
            <w:r w:rsidRPr="00D96656">
              <w:rPr>
                <w:rFonts w:ascii="Verdana" w:hAnsi="Verdana"/>
                <w:sz w:val="20"/>
                <w:szCs w:val="20"/>
              </w:rPr>
              <w:t>Национално сдружение на общините в РБългария (НСОРБ)</w:t>
            </w:r>
          </w:p>
          <w:p w14:paraId="70344B10" w14:textId="77777777" w:rsidR="00CD7279" w:rsidRPr="00D96656" w:rsidRDefault="00CD7279" w:rsidP="00D96656">
            <w:pPr>
              <w:spacing w:before="40" w:after="20"/>
              <w:rPr>
                <w:rFonts w:ascii="Verdana" w:hAnsi="Verdana"/>
                <w:sz w:val="20"/>
                <w:szCs w:val="20"/>
              </w:rPr>
            </w:pPr>
            <w:r w:rsidRPr="00D96656">
              <w:rPr>
                <w:rFonts w:ascii="Verdana" w:hAnsi="Verdana"/>
                <w:sz w:val="20"/>
                <w:szCs w:val="20"/>
              </w:rPr>
              <w:t>(писмо вх.№ 62-180 от 30.03.2022г.)</w:t>
            </w:r>
          </w:p>
          <w:p w14:paraId="02FB05CF" w14:textId="77777777" w:rsidR="00CD7279" w:rsidRDefault="00CD7279" w:rsidP="00EC6B89">
            <w:pPr>
              <w:spacing w:before="40" w:after="20"/>
              <w:rPr>
                <w:rFonts w:ascii="Verdana" w:hAnsi="Verdana"/>
                <w:sz w:val="20"/>
                <w:szCs w:val="20"/>
              </w:rPr>
            </w:pPr>
          </w:p>
        </w:tc>
        <w:tc>
          <w:tcPr>
            <w:tcW w:w="12433" w:type="dxa"/>
            <w:tcBorders>
              <w:top w:val="single" w:sz="18" w:space="0" w:color="2E74B5"/>
              <w:left w:val="single" w:sz="18" w:space="0" w:color="2E74B5"/>
              <w:bottom w:val="nil"/>
              <w:right w:val="single" w:sz="18" w:space="0" w:color="2E74B5"/>
            </w:tcBorders>
            <w:shd w:val="clear" w:color="auto" w:fill="auto"/>
          </w:tcPr>
          <w:p w14:paraId="1291FFD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Принципни бележки:</w:t>
            </w:r>
          </w:p>
          <w:p w14:paraId="0610AAE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Проектът на Стратегически план отразява изискванията на Регламент № 2115/2021 и изведените приоритети за развитие според основните анализи в областите земеделие и горско стопанство, агро-екология и социално-икономическо развитие на селските райони. В допълнение, Решение № 85 от 24.02.2022 г. на Министерския съвет относно националното съфинансиране позволява осигуряване на сравнително адекватен ресурс за множеството разнородни интервенции, произтичащи от идентифицираните потребности и приоритети. Основната слабост на Плана е частта относно опростяване на процедурите по прилагане и намаляване на административната тежест. </w:t>
            </w:r>
          </w:p>
          <w:p w14:paraId="48794AEA"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lastRenderedPageBreak/>
              <w:t xml:space="preserve">Конкретни предложения: </w:t>
            </w:r>
          </w:p>
          <w:p w14:paraId="703BDB8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1. Земеделие и гори</w:t>
            </w:r>
          </w:p>
          <w:p w14:paraId="4361D92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Приветстваме ключовите изменения, свързани с директните плащания и инвестиционните интервенции в посока засилена „зелена архитектура“, силни преразпределителни механизми за малките стопанства, младите фермери и т.нар. „уязвими“ производствени сектори. </w:t>
            </w:r>
          </w:p>
          <w:p w14:paraId="1BD4AAFA"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Същевременно, тази „зелена архитектура“ засяга в значителна степен постоянно затревените площи (пасищата, мерите и ливадите), 85% от които са публична общинска собственост. От една страна, при всяка от схемите по директни плащания (обвързани със задължителните стандарти за добра земеделска и екологична практика), еко-схемите за екологично поддържане и екстензивно управление на постоянно затревените площи, интервенциите за био-земеделие и възстановяване на пасищни територии са възприети различни, често вариращи интензитети на подпомагането според животински единици на хектар. </w:t>
            </w:r>
          </w:p>
          <w:p w14:paraId="48AFEB5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От друга страна, общините отдават и ежегодно преразпределят за ползване своите постоянно затревени площи по реда на Закона за собствеността и ползването на земеделските земи по строго определени законови нормативи и лимити.</w:t>
            </w:r>
          </w:p>
          <w:p w14:paraId="1FE392F7"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Необходимо е в хода и вследствие преговорите с ЕК и финализиране на условията за подпомагане отговорните дирекции в Министерството на земеделието да представят единно становище относно отражението на планираните схеми и интервенции върху законовия режим за управление и отдаване за ползване на държавния и общинския поземлен фонд. </w:t>
            </w:r>
          </w:p>
          <w:p w14:paraId="7889CFF7"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По отношение на т.нар. „горски“ интервенции приветстваме включването на схеми за еко-системни компенсаторни плащания в добавка към традиционните такива за залесяване и превантивни дейности. </w:t>
            </w:r>
          </w:p>
          <w:p w14:paraId="59FC2673"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Размерите на компенсаторното плащане за „Горско-екологични дейности“ и „НАТУРА 2000 за гори“, обаче, все още са в процес на изчисление. Кандидат-бенефициентите се нуждаят от конкретните нива на компенсация, за да планират своето евентуално участие в разрез с обичайните горско-стопански и лесоустройствени планове, които дават приоритет на добива на дърва за огрев и обла дървесина. </w:t>
            </w:r>
          </w:p>
          <w:p w14:paraId="395BDD06"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Възражения буди изискването за поддържане на стояща и лежаща мъртва дървесина. То се разглежда като стимулиране разпространението на вредителите по гората и не съответства на традиционните санитарни дейности и възобновителни сечи. Следва да си припомним нашествието на корояда отпреди 4 години и споровете между лесовъди и еколози по темата. Важно е да няма кръстосано несъответствие между интервенциите за превантивни мероприятия и тези за еко-системни плащания.</w:t>
            </w:r>
          </w:p>
          <w:p w14:paraId="143B0174"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В допълнение, общините и техните горски структури могат да бъдат включени като бенефициенти или партньор в изпълнението на интервенцията за „Намаляване загубата на биологично разнообразие, опазване на горските местообитания и намаляване на незаконните дейности в горските територии“. </w:t>
            </w:r>
          </w:p>
          <w:p w14:paraId="36B3838D"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Към допустимите разходи по интервенцията „Предотвратяване на щети по горите от пожари, природни бедствия и катастрофични събития“ предлагаме да се добави закупуването на противопожарно оборудване и екипировка за </w:t>
            </w:r>
            <w:r w:rsidRPr="00AC0BF0">
              <w:rPr>
                <w:rFonts w:ascii="Verdana" w:hAnsi="Verdana"/>
                <w:sz w:val="20"/>
                <w:szCs w:val="20"/>
              </w:rPr>
              <w:lastRenderedPageBreak/>
              <w:t xml:space="preserve">доброволните гасачески формирования към общините. </w:t>
            </w:r>
          </w:p>
          <w:p w14:paraId="1FCA8BD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В интервенцията „Подобряване на здравословното състояние и устойчивостта на горските еко-системи“ минималният размер на собственост/право на управление на горските територии, върху които ще се извършват сечи при бенефициенти-общини следва да се намали от 15 ха на 10 ха. </w:t>
            </w:r>
          </w:p>
          <w:p w14:paraId="3863AC3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Горните предложения са мотивирани от необходимостта за активизиране на потенциалните бенефициенти по горските интервенции, които не се „радваха“на особен интерес през последните два планови периода. </w:t>
            </w:r>
          </w:p>
          <w:p w14:paraId="62D2B68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2. Основна инфраструктура и Водено от общността местно развитие</w:t>
            </w:r>
          </w:p>
          <w:p w14:paraId="48B09515"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2.1. SWOT анализ и показатели за резултат</w:t>
            </w:r>
          </w:p>
          <w:p w14:paraId="39542A2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Анализът на силните и слабите страни, на възможностите и заплахите по Приоритет № 8 е достоверен. Подобаващо са отразени предходните общи усилия за удачно приоритизиране, за намаляване на белите петна и за последователно изграждане на капацитет сред бенефициентите-общини и местни инициативни групи (МИГ).</w:t>
            </w:r>
          </w:p>
          <w:p w14:paraId="6CE13C95"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Показателите за резултат R 38 и R41 – „Дял от населението в селските райони, обхванато от стратегии за местно развитие“ и „Дял от населението в селските райони, ползващо се от подобрен достъп до услуги и инфраструктура“  - имат нереално високи стойности, съответно от 249% и 132%. Вероятно, става дума за размяна на числителя и знаменателя (облагодетелствано население в/у общо население от селските райони) при зареждане на данните в системата SFC.</w:t>
            </w:r>
          </w:p>
          <w:p w14:paraId="17DDFEFE"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2.2. Териториален обхват и общ бюджет</w:t>
            </w:r>
          </w:p>
          <w:p w14:paraId="3A8C0840"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Бенефициентите приемат измененията в териториалния обхват – неговото съкращаване по отношение „селските райони“ по интервенцията „Инвестиции в основни услуги и дребна по мащаби инфраструктура“ и разширяване по отношение на „Подготовка и изпълнение на подхода Лидер/Водено от общностите местно развитие“.</w:t>
            </w:r>
          </w:p>
          <w:p w14:paraId="29255F03"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Чрез методиката на гарантираните бюджети не следва да има бели петна сред общините във връзка с първата интервенция, а революционното увеличение на бюджета по ВОМР ще осигури одобрение на до 100 МИГ и обхващане на 90% от допустимите територии. Разбира се, в условията на висока инфлация и инвестиционна несигурност реализирането на същностно развитие и в двата случая ще се търси чрез допълняемост с останалите европейски инструменти и планираните държавни Фондове за общински инфраструктурни инвестиции. </w:t>
            </w:r>
          </w:p>
          <w:p w14:paraId="19BAAED0"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При тази рамка на интервенциите местните общности ще имат възможност да се фокусират върху собствения потенциал и специфични приоритети за развитие. </w:t>
            </w:r>
          </w:p>
          <w:p w14:paraId="29D1284C"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Основно опасение сред малките общини си остава ползването на показателя за население, в т.ч. по повод началните изводи от националното преброяване от 2021г. Трябва ясно да се постанови референтната година за ползвания брой население във връзка с Методиката за гарантираните бюджети и определяне на границите на местните инициативни групи. При методиката за гарантираните бюджети бенефициентите следва да бъдат групирани и оценката по индикатора за население да бъде опосредствана от качествен показател, така че да се избегнат резки спадове в разполагаемия бюджет. При ВОМР следва да се осигури навременна подготвителна помощ за сътрудничество в унисон със същността на подхода, така че малките общини да се включат в МИГ и </w:t>
            </w:r>
            <w:r w:rsidRPr="00AC0BF0">
              <w:rPr>
                <w:rFonts w:ascii="Verdana" w:hAnsi="Verdana"/>
                <w:sz w:val="20"/>
                <w:szCs w:val="20"/>
              </w:rPr>
              <w:lastRenderedPageBreak/>
              <w:t xml:space="preserve">заедно да „прескочат“ долния праг от изискуемо население. </w:t>
            </w:r>
          </w:p>
          <w:p w14:paraId="5803B111"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2.3. Подход за прилагане </w:t>
            </w:r>
          </w:p>
          <w:p w14:paraId="20ACC1A1"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Член 79 от Регламент 2115/2021 постановява прилагането на критерии за подбор (т.е. „конкурентна“процедура) за инвестиционните интервенции по Стратегическия план. В надлежно обосновани случаи може да се установи алтернативен метод в консултация с Комитета по наблюдение.</w:t>
            </w:r>
          </w:p>
          <w:p w14:paraId="1E8CF8E9"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Разчитаме в най-скоро време дискусиите с ЕК да изяснят дали прилагането на Методиката за гарантираните бюджети и разпределението на ресурса според заложените в нея критерии ще се възприеме като такъв алтернативен метод или ще се възприемат и допълнителни процедури, в т.ч. включване на всички общини в интегрирани териториални подходи. </w:t>
            </w:r>
          </w:p>
          <w:p w14:paraId="2135B7B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Приветстваме ангажимента изпълнението на интервенцията „Инвестиции в основни услуги и дребна по мащаби инфраструктура“ да започне в самото начало на съкратения планов период. Подготвителната интервенция по ВОМР трябваше вече да е стартирала предвид регистрираната продължителност в процесите до договориране и изпълнение на проектите по подхода. </w:t>
            </w:r>
          </w:p>
          <w:p w14:paraId="24D4F23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2.4. Допустими инвестиции и проектни лимити</w:t>
            </w:r>
          </w:p>
          <w:p w14:paraId="185D1DEC"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Благодарим за включването в допустимите инвестиции, вследствие на нашето предложение до ТРГ, на тези за обновяване на културните институции и производството на енергия от възобновяеми източници. В резултат от допитването ни по сегашното обществено обсъждане предлагаме следните допълнения в дейностите по интервенцията „Инвестиции в основни услуги и дребна по мащаби инфраструктура“:</w:t>
            </w:r>
          </w:p>
          <w:p w14:paraId="47519677"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Инвестициите в „Реконструкция, ремонт, реставрация, закупуване на оборудване и/или обзавеждане на обекти, свързани с културния живот“ да включат и дейности по вертикалната планировка и подобряване на прилежащите пространства;</w:t>
            </w:r>
          </w:p>
          <w:p w14:paraId="200621C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Искането е мотивирано с нуждите от цялостно обновяване на обществената среда в малките населени места.</w:t>
            </w:r>
          </w:p>
          <w:p w14:paraId="2649D0BE"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Инвестициите в рехабилитация на канализационни системи да позволят ново строителство. </w:t>
            </w:r>
          </w:p>
          <w:p w14:paraId="78D9C483"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Дейностите по изграждане и рехабилитация на водоснабдителни и канализационни системи да позволят инвестиции в агломерации до 10 000 екв. жители. </w:t>
            </w:r>
          </w:p>
          <w:p w14:paraId="5554DE55"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Исканията са мотивирани от факта, че в редица селски общини изграждането на централизирани системи е стопански и технологично ефективно в населените места с над 2000 екв. жители. В същото време агломерациите от 2000 до 10 000 екв. жители не са приоритетни за никоя европейска/национална програма.</w:t>
            </w:r>
          </w:p>
          <w:p w14:paraId="33E24FC0"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По аналогия на добрите практики от другите европейски програми и ВОМР разходите за управление да се ползват и за възнаграждения на общинските експерти по управление на европейски програми и проекти. </w:t>
            </w:r>
          </w:p>
          <w:p w14:paraId="0C1A4FAC"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Следва да се поясни как ще се проверява съответствието на дейностите по рехабилитация на водоснабдителни системи с Плановете за речните басейни, тъй като в масовия случай тези планове не съдържат такива конкретни обекти в селските райони;</w:t>
            </w:r>
          </w:p>
          <w:p w14:paraId="686F219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lastRenderedPageBreak/>
              <w:t xml:space="preserve">По подобен начин стои и въпросът с изискването инвестициите в канализация и съоръжения за пречистване да са включени в интегрираните териториални стратегии за регионите от ниво NUTS 2. Тези стратегии, обикновено, не включват такива конкретни обекти в общините от 4-то и 5-то ниво (като инвестиции в агломерации под 2 000 екв. жители въобще липсват). </w:t>
            </w:r>
          </w:p>
          <w:p w14:paraId="0A67BEB3"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Цитираните изисквания може да се преформулират, като се заложи съответствие с целите и приоритетите на посочените планови документи, или да остане изискването за включване в ПИРО, който е съобразен с плановите документи от по-горен ранг. </w:t>
            </w:r>
          </w:p>
          <w:p w14:paraId="490B98A4"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Предлагаме максималният размер на допустимите разходи за един проект към стратегия за ВОМР, който може да бъде предоставен на бенефициент да е в размер на 300 000 евро. Предложението отразява завишените разходи по проектните дейности. </w:t>
            </w:r>
          </w:p>
          <w:p w14:paraId="5CEBAD95"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2.5. Административни процедури</w:t>
            </w:r>
          </w:p>
          <w:p w14:paraId="586F1D72"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Разделът в СПРЗСР за опростяване на процедурите по прилагане и намаляване на административната тежест е пределно общ и не дава гаранция за качествена промяна. В условия на висока инфлация и ограничен ресурс е изключително важно да се съкратят и оптимизират административните процедури, включително:</w:t>
            </w:r>
          </w:p>
          <w:p w14:paraId="39C982F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Актуализиране и оповестяване на референтните цени;</w:t>
            </w:r>
          </w:p>
          <w:p w14:paraId="02B234CC"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Използване на всички средства на електронното управление, в т.ч. в сферата на възлагане на обществените поръчки;</w:t>
            </w:r>
          </w:p>
          <w:p w14:paraId="09A01B47"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Съкращаване и спазване на сроковете за оценка и договориране на проектните предложения, за предварителната проверка и последващ контрол на обществените поръчки, за анексиране на договорите и за разглеждане на заявките за плащания. </w:t>
            </w:r>
          </w:p>
          <w:p w14:paraId="5E4329DE"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При прилагането на ВОМР е крайно необходимо да спре дублирането на контролната дейност между Разплащателната агенция, Управляващия орган и оценителните комисии към МИГ и произтичащите над 2-годишни просрочия при договорирането на проектите. </w:t>
            </w:r>
          </w:p>
          <w:p w14:paraId="51AA0786"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Разчитаме, че функционалните анализи на процедурите по прилагане на Разплащателната агенция, инициирани от настоящото й ръководство, ще доведат до реални резултати. </w:t>
            </w:r>
          </w:p>
          <w:p w14:paraId="02EF8117"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3. Редакционни</w:t>
            </w:r>
          </w:p>
          <w:p w14:paraId="393807ED"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За целите на обществените съгласувания и информационни мероприятия ще се радваме на фокусирано Изпълнително резюме. </w:t>
            </w:r>
          </w:p>
          <w:p w14:paraId="731A74FE" w14:textId="2D853EAE" w:rsidR="00CD7279" w:rsidRPr="009E60E1" w:rsidRDefault="00CD7279" w:rsidP="00AD2528">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Налице са множество технически грешки и разминавания в бюджетните таблици, липса на текстови части и заглавия/дефиниции на английски език (вероятно свързани с автоматичното експортиране на документа от системата SFC), подлежащи на своевременна корекция.</w:t>
            </w:r>
          </w:p>
        </w:tc>
      </w:tr>
      <w:tr w:rsidR="00CD7279" w:rsidRPr="00F413E2" w14:paraId="7CD6109C"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6DC725AE"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616E02FF" w14:textId="77777777" w:rsidR="00CD7279" w:rsidRPr="00D550C0" w:rsidRDefault="00CD7279" w:rsidP="00D550C0">
            <w:pPr>
              <w:spacing w:before="40" w:after="20"/>
              <w:rPr>
                <w:rFonts w:ascii="Verdana" w:hAnsi="Verdana"/>
                <w:sz w:val="20"/>
                <w:szCs w:val="20"/>
              </w:rPr>
            </w:pPr>
            <w:r w:rsidRPr="00D550C0">
              <w:rPr>
                <w:rFonts w:ascii="Verdana" w:hAnsi="Verdana"/>
                <w:sz w:val="20"/>
                <w:szCs w:val="20"/>
              </w:rPr>
              <w:t xml:space="preserve">Асоциация на земеделските </w:t>
            </w:r>
            <w:r w:rsidRPr="00D550C0">
              <w:rPr>
                <w:rFonts w:ascii="Verdana" w:hAnsi="Verdana"/>
                <w:sz w:val="20"/>
                <w:szCs w:val="20"/>
              </w:rPr>
              <w:lastRenderedPageBreak/>
              <w:t>производители в България (АЗПБ)</w:t>
            </w:r>
          </w:p>
          <w:p w14:paraId="0BFD79DA" w14:textId="5475DF61" w:rsidR="00CD7279" w:rsidRDefault="00CD7279" w:rsidP="00D550C0">
            <w:pPr>
              <w:spacing w:before="40" w:after="20"/>
              <w:rPr>
                <w:rFonts w:ascii="Verdana" w:hAnsi="Verdana"/>
                <w:sz w:val="20"/>
                <w:szCs w:val="20"/>
              </w:rPr>
            </w:pPr>
            <w:r w:rsidRPr="00D550C0">
              <w:rPr>
                <w:rFonts w:ascii="Verdana" w:hAnsi="Verdana"/>
                <w:sz w:val="20"/>
                <w:szCs w:val="20"/>
              </w:rPr>
              <w:t>(писмо  Изх. N 009-03/31.03.2022 г.)</w:t>
            </w:r>
          </w:p>
        </w:tc>
        <w:tc>
          <w:tcPr>
            <w:tcW w:w="12433" w:type="dxa"/>
            <w:tcBorders>
              <w:top w:val="single" w:sz="18" w:space="0" w:color="2E74B5"/>
              <w:left w:val="single" w:sz="18" w:space="0" w:color="2E74B5"/>
              <w:bottom w:val="nil"/>
              <w:right w:val="single" w:sz="18" w:space="0" w:color="2E74B5"/>
            </w:tcBorders>
            <w:shd w:val="clear" w:color="auto" w:fill="auto"/>
          </w:tcPr>
          <w:p w14:paraId="346C47B1" w14:textId="38F4AAB3" w:rsidR="00AE1375" w:rsidRDefault="00AE1375" w:rsidP="00D550C0">
            <w:pPr>
              <w:widowControl w:val="0"/>
              <w:tabs>
                <w:tab w:val="left" w:pos="1565"/>
              </w:tabs>
              <w:autoSpaceDE w:val="0"/>
              <w:autoSpaceDN w:val="0"/>
              <w:spacing w:before="60" w:after="20"/>
              <w:jc w:val="both"/>
              <w:rPr>
                <w:rFonts w:ascii="Verdana" w:hAnsi="Verdana"/>
                <w:sz w:val="20"/>
                <w:szCs w:val="20"/>
              </w:rPr>
            </w:pPr>
            <w:r w:rsidRPr="00AE1375">
              <w:rPr>
                <w:rFonts w:ascii="Verdana" w:hAnsi="Verdana"/>
                <w:sz w:val="20"/>
                <w:szCs w:val="20"/>
              </w:rPr>
              <w:lastRenderedPageBreak/>
              <w:t xml:space="preserve">Отчитайки </w:t>
            </w:r>
            <w:r w:rsidRPr="00AE1375">
              <w:rPr>
                <w:rFonts w:ascii="Verdana" w:hAnsi="Verdana"/>
                <w:sz w:val="20"/>
                <w:szCs w:val="20"/>
                <w:lang w:val="en-US"/>
              </w:rPr>
              <w:t>политическа</w:t>
            </w:r>
            <w:r w:rsidRPr="00AE1375">
              <w:rPr>
                <w:rFonts w:ascii="Verdana" w:hAnsi="Verdana"/>
                <w:sz w:val="20"/>
                <w:szCs w:val="20"/>
              </w:rPr>
              <w:t>та</w:t>
            </w:r>
            <w:r w:rsidRPr="00AE1375">
              <w:rPr>
                <w:rFonts w:ascii="Verdana" w:hAnsi="Verdana"/>
                <w:sz w:val="20"/>
                <w:szCs w:val="20"/>
                <w:lang w:val="en-US"/>
              </w:rPr>
              <w:t xml:space="preserve"> нестабилност в страната, придружена от </w:t>
            </w:r>
            <w:r w:rsidRPr="00AE1375">
              <w:rPr>
                <w:rFonts w:ascii="Verdana" w:hAnsi="Verdana"/>
                <w:sz w:val="20"/>
                <w:szCs w:val="20"/>
              </w:rPr>
              <w:t xml:space="preserve">кризата с пандемията </w:t>
            </w:r>
            <w:r w:rsidRPr="00AE1375">
              <w:rPr>
                <w:rFonts w:ascii="Verdana" w:hAnsi="Verdana"/>
                <w:sz w:val="20"/>
                <w:szCs w:val="20"/>
                <w:lang w:val="en-US"/>
              </w:rPr>
              <w:t>COVID-19, както и забавяне</w:t>
            </w:r>
            <w:r w:rsidRPr="00AE1375">
              <w:rPr>
                <w:rFonts w:ascii="Verdana" w:hAnsi="Verdana"/>
                <w:sz w:val="20"/>
                <w:szCs w:val="20"/>
              </w:rPr>
              <w:t>то</w:t>
            </w:r>
            <w:r w:rsidRPr="00AE1375">
              <w:rPr>
                <w:rFonts w:ascii="Verdana" w:hAnsi="Verdana"/>
                <w:sz w:val="20"/>
                <w:szCs w:val="20"/>
                <w:lang w:val="en-US"/>
              </w:rPr>
              <w:t xml:space="preserve"> на преговорите </w:t>
            </w:r>
            <w:r w:rsidRPr="00AE1375">
              <w:rPr>
                <w:rFonts w:ascii="Verdana" w:hAnsi="Verdana"/>
                <w:sz w:val="20"/>
                <w:szCs w:val="20"/>
              </w:rPr>
              <w:t xml:space="preserve">по ОСП 203-2027 </w:t>
            </w:r>
            <w:r w:rsidRPr="00AE1375">
              <w:rPr>
                <w:rFonts w:ascii="Verdana" w:hAnsi="Verdana"/>
                <w:sz w:val="20"/>
                <w:szCs w:val="20"/>
                <w:lang w:val="en-US"/>
              </w:rPr>
              <w:t>на европейско ниво и</w:t>
            </w:r>
            <w:r w:rsidRPr="00AE1375">
              <w:rPr>
                <w:rFonts w:ascii="Verdana" w:hAnsi="Verdana"/>
                <w:sz w:val="20"/>
                <w:szCs w:val="20"/>
              </w:rPr>
              <w:t xml:space="preserve"> множеството нови инициативи на ЕК по </w:t>
            </w:r>
            <w:r w:rsidRPr="00AE1375">
              <w:rPr>
                <w:rFonts w:ascii="Verdana" w:hAnsi="Verdana"/>
                <w:sz w:val="20"/>
                <w:szCs w:val="20"/>
              </w:rPr>
              <w:lastRenderedPageBreak/>
              <w:t xml:space="preserve">отношение на Зелената сделка, а в края на  2021 г. наслагване на енергийна криза и растяща инфлация, които войната в Украйни съвсем изостри, предизвиквайки редица </w:t>
            </w:r>
            <w:r w:rsidRPr="00AE1375">
              <w:rPr>
                <w:rFonts w:ascii="Verdana" w:hAnsi="Verdana"/>
                <w:sz w:val="20"/>
                <w:szCs w:val="20"/>
                <w:lang w:val="en-US"/>
              </w:rPr>
              <w:t xml:space="preserve">смущения на </w:t>
            </w:r>
            <w:r w:rsidRPr="00AE1375">
              <w:rPr>
                <w:rFonts w:ascii="Verdana" w:hAnsi="Verdana"/>
                <w:sz w:val="20"/>
                <w:szCs w:val="20"/>
              </w:rPr>
              <w:t xml:space="preserve">селкостопанските </w:t>
            </w:r>
            <w:r w:rsidRPr="00AE1375">
              <w:rPr>
                <w:rFonts w:ascii="Verdana" w:hAnsi="Verdana"/>
                <w:sz w:val="20"/>
                <w:szCs w:val="20"/>
                <w:lang w:val="en-US"/>
              </w:rPr>
              <w:t>пазари</w:t>
            </w:r>
            <w:r w:rsidRPr="00AE1375">
              <w:rPr>
                <w:rFonts w:ascii="Verdana" w:hAnsi="Verdana"/>
                <w:sz w:val="20"/>
                <w:szCs w:val="20"/>
              </w:rPr>
              <w:t xml:space="preserve"> и прекъсване на доставки на основни суровини/материали за агрохранителния сектор и </w:t>
            </w:r>
            <w:r w:rsidRPr="00AE1375">
              <w:rPr>
                <w:rFonts w:ascii="Verdana" w:hAnsi="Verdana"/>
                <w:sz w:val="20"/>
                <w:szCs w:val="20"/>
                <w:lang w:val="en-US"/>
              </w:rPr>
              <w:t>ограничения на търговията</w:t>
            </w:r>
            <w:r w:rsidRPr="00AE1375">
              <w:rPr>
                <w:rFonts w:ascii="Verdana" w:hAnsi="Verdana"/>
                <w:sz w:val="20"/>
                <w:szCs w:val="20"/>
              </w:rPr>
              <w:t>, изправяйки продоволствената сигуност на Европа пред сериозно изпитание, следва да отбележим, че процесът по изготвяне на Стратегическия план по ОСП 2023-2027  на България (СП) бе серизоно предизвикателство за всички заинтересовани участници в ТРГ за разработването на СП. Процесът бе утежнен и с паралелната работа на заинтересованите страни по подготовката на Плана за възстановяване и устойчивост (ПВУ), а срокът за подаване на СП към ЕК до края на 2021 бе надвишен с 2 месеца. Поради тези трудности и честите промени в ръководството на МЗм през последната година се натрупа значително закъснение, което доведе до тежки онлайн заседания на ТРГ. МЗм безспорно търсеше прозрачния и открит диалог, но се затрудни с графика и същевременно остава усещането, че в диалога не са обхванати ефективно всички заинтересовани страни. Те участват и биват информирани на заседанията на тематичните работни групи, но тези работни групи не са постоянно действащи и представителите на заинтересованите страни не участват в текущата работа. По тази причина се получи значителна фрагментация в дискусиите, като се загуби цялостната визия за стратегическа логика. Ето защо напълно подкрепяме следните констатации от Предварителната оценка на СП</w:t>
            </w:r>
            <w:r>
              <w:rPr>
                <w:rFonts w:ascii="Verdana" w:hAnsi="Verdana"/>
                <w:sz w:val="20"/>
                <w:szCs w:val="20"/>
              </w:rPr>
              <w:t>:</w:t>
            </w:r>
          </w:p>
          <w:p w14:paraId="472839BB"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Като основни слабости на плана могат да бъдат посочени неговата фрагментираност, обусловена от липсата на цялостна национална визия за бъдещето на сектора и последователен наратив на връзката между отделните елементи“ и „Липсва и достъпна прозрачност как и кога се взимат решенията по спорните въпроси. Дискусиите се водят основно на процедурно равнище, без да се прави ясна връзка между цели, интервенции и търсени резултати. Липсват предпоставки за конструктивен диалог с по-широката общественост.</w:t>
            </w:r>
          </w:p>
          <w:p w14:paraId="6D3B9405"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Предложения: </w:t>
            </w:r>
          </w:p>
          <w:p w14:paraId="21AA82E6"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1.По отношение на аналитичната част на СП безспорен положителен факт са трите разработки на научните екипи от ИАИ, УНСС и АУ-Пловдив, както и изготвените в последствие „Анализ за определяне на горна граница и прогресивно намаляване на плащанията за целите на Стратегическия план за ОСП 2023 – 2027“, анализ „Структура на земеделските стопанства в България“ и „Предварителна оценка за прилагане на финансови инструменти по ОСП“. Според АЗПБ слабост на СП е анализ на прилаганите у нас схеми по държавните помощи, който да открои релевантните и успешните, както и да очертае кои от тях биха се запазили в бъдеще с цел адресиране на определени потребности. Настоящият коментар е съществено актуален и в светлината на извънредните антикризисни рамки за държавни помощи, които ЕК въведе заради справяне с последиците от COVID-19 и войната в Украйна. Освен това, във връзка с чл. 115 на Регламент (ЕС) 2021/2115 според нас МЗм следва да приложи всички споменавани в рамите на ТРГ други проучвания, доклади от оценки, правени преди, вкл. и поуките, извлечени от досегашния опит. </w:t>
            </w:r>
          </w:p>
          <w:p w14:paraId="256C676E"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2.По отношение на „Анализ на структурата на земеделските стопанства“- МЗм извежда необходимостта от определяне на структурата на земеделските стопанства и специализацията им по сектори, на нивото на производствените единици, което се счита, че е пряко свързано с програмирането на интервенциите и </w:t>
            </w:r>
            <w:r w:rsidRPr="00D550C0">
              <w:rPr>
                <w:rFonts w:ascii="Verdana" w:hAnsi="Verdana"/>
                <w:sz w:val="20"/>
                <w:szCs w:val="20"/>
              </w:rPr>
              <w:lastRenderedPageBreak/>
              <w:t>финансовите инструменти на ОСП. Направено е категоризиране на стопанствата в България в 5 основни категории, дефинирани като – много малки стопанства, малки стопанства, средни стопанства, големи стопанства и много големи стопанства. Самият „описателен“ анализ обаче, не съдржа методически алгоритъм и критериите, по които са определени тези граници, поради което АЗПБ счита, че същият вероятно е подходящ за прилагането на по-справедлив механизъм за разпределяне на подпомагането по Стълб 1 (кавато е и дадената в Регламент (ЕС) 2021/2115 възможност), но категорично не подкрепяме неговото хоризонтално прилагане за всички интервенции по Стълб 2, тъй като целите са различни и трябва да е съобразен с тях, да бъде гъвкав и да се разглежда случай по случай, когато се налага, каквато е и препоръката на Предварителната оценка.</w:t>
            </w:r>
          </w:p>
          <w:p w14:paraId="4AC8B170"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3.По отношение на оценката на потребностите- както не веднъж бе подчертавано от АЗПБ в рамките на заседанията на ТРГ, оценката на приоритетите е сред най-важните етапи на стратегическото програмиране за извеждане и степенуване на потребностите и посрещане на тези нужди с разполагаемите ресурси. Методологията за приоритизиране на потребностите, посочена детайлно за пръви път в настоящия проект на СП, включва ранкирането на същите в 4 основни категории – много висок приоритет, висок приоритет, среден приоритет, нисък приоритет. Следва да бъде отбелязано, че заинтересованите страни от ТРГ не сме участвали в нейното изготвяне, респ. няма дискусия за алтернативен подход за оценка и ранкирането на потребностите, макар в заседанията на ТРГ да давахме примери от други страни на ЕС в избор на критерии и оценка. В тази връзка е правилна констатацията в Предварителната оценка за необходимостта от допълнително калибриране на предложената методология чрез активно включване на заинтересованите страни :„Въпросът с участниците и субектите извършващи оценката по тази многокритериална методология е съществено важен и част от нейната солидност и представителност. Заинтересованите страни трябва да бъдат включени в цялостния процес на приоритизирането и да бъдат ключови участници при оценката и селекцията, заради тяхната експертиза и практически опит“ и пак там „Ключово при този подход, а и за цялата методология за оценка на потребностите е начина на изпълнение и участие. Включването на представителство на заинтересованите лица или на външни експерти и специалисти е фундаментално за релевантността и издържаността на методологията. Одобрението от заинтересованите лица не трябва да е подкритерии за оценката на приоритетите, а да бъде неотменна част от механизма.“</w:t>
            </w:r>
          </w:p>
          <w:p w14:paraId="104C04A9"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4.По отношение на интервенционната стратегия и логика на интервенциите - тази част от СП е твърде информативна, всеобхватна, повтаря други документи от СП и в същото време е трудна за проследяване и логическо връзка. Според нас се нуждае от сериозна редакция, нуждае се от по-ясно посочване на целите на интервенциите, връзката им с потребностите и с предварителните условности, както и подчертаване на връзката с други стратегически документи и ангажименти, особено по отношение на околната среда, климата, младите земеделски стопани и управлението на риска. Подкрепяме констатацията в предварителната оценка, че „Трудно е проследяването на наличието на всички необходими елементи и характеристики, защото не е следвана стандартна структура на описание на стратегията при отделните потребности. Посочени са видовете интервенции, но липсват целевите стойности и междинните цели“. Друга слабост е липсата на демракцията/допълняемост на интервенциите от „зелената архитектура“ по Стълб 1 и Стълб 2 и условностите, както и връзката между еко схемите и останалите </w:t>
            </w:r>
            <w:r w:rsidRPr="00D550C0">
              <w:rPr>
                <w:rFonts w:ascii="Verdana" w:hAnsi="Verdana"/>
                <w:sz w:val="20"/>
                <w:szCs w:val="20"/>
              </w:rPr>
              <w:lastRenderedPageBreak/>
              <w:t xml:space="preserve">интервенции, връзката с механизмите по хоризонталната цел. Сериозно впечатление прави факта, че има предвидени интервенции и условности за всички потребности, а за 2.9 Достъп до финасиране- липсва. </w:t>
            </w:r>
          </w:p>
          <w:p w14:paraId="4F5B7B3F"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5.По отношение на индикаторния план- Предварителната оценка правилно посочва всички слабости по отношение на: липсата във фишовете на интервенциите на посочени количествени целеви стойности на показателите за крайни продукти и резултати; липсващи индикатори за краен продукт по интервенции; липсващи индикатори за резултат по интервенции; пълно несъответствие между индикатор за краен продукт и конкретна интервенция; пълно несъответствие между индикатор за краен резултат и специфична цел при следните интервенции. АЗПБ изразява надежда, че в предстоящо заседание ТРГ  МЗм планира съвместно със заинтересованите страни тези слабости да бъдат дискутирани и отстранени, съобразявайки се и с препоръките на Предварителната оценка по тази част. </w:t>
            </w:r>
          </w:p>
          <w:p w14:paraId="0393EE0A"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6.По отношение на индикативния бюджет- Следва да бъде високо оценено цялостното увеличение на средствата за публична подкрепа чрез националното съфинансиране, което съдейства за повишаване на устойчивостта, за постигане на новите предизвикателства и новата „зелена“ и „дигитална“ трансформация на ОСП. В контекста на коментарите по т. 5, конкретно становище за съответствието и обезпечеността на бюджетната рамка може да се направи като се приложат и основните индикатори и целеви параметри, които се планират да бъдат постигнати по отношение на резултат, произведение и въздействие. Освен това, очакванията за постигнати резултати трябва да кореспондира с финансовото разпределение и с цялостната стратегическа рамка за надграждане и подобрение. Следва да се обърне сериозно внимание на следните коментарите от Предварителната оценка „Финансовият бюджет включва общо 99 различни интервенции, обособени в 3 основни интервенционни линии, което от една страна показва, че това може да затрудни и усложни самото прилагане на СП, а от финансовото разпределение се вижда, че определени интервенции са с много малък финансов ресурс, което поставя въпроса дали не може да се търси допълнително консолидиране на интервенциите“ и „Включването на множество отделни схеми по линия на обвързаната подкрепа със собствени бюджети може да се превърне в загуба на гъвкавост за управление и реагиране на променящата се среда, като бюджетите трябва да бъдат съобразен, както с текущото развитие на отделните производства, така и с конкретните пазарни условия“ и да бъдат отново преразгледани в рамките на заседание на ТРГ в тяхната цялост. </w:t>
            </w:r>
          </w:p>
          <w:p w14:paraId="5D1FBA6A"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7.По отношение на Стълб 1- по т. „4.2.2.2 Subtraction of labour costs“ не сме съгласни и предлагаме да отпадне последно изречение в разясненията, а за предотвратяване на определени лоши практики предлагаме да се използва за таван на заплатата за едно лице- официално определеният максимален осигурителен доход за страната.  </w:t>
            </w:r>
          </w:p>
          <w:p w14:paraId="253F6AF9"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8.По отношение на Стълб 2: </w:t>
            </w:r>
          </w:p>
          <w:p w14:paraId="0CF78C9B"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А/ II.Г.1 - Инвестиции в земеделските стопанства и  II.Г.1.1. - Инвестиции в земеделските стопанства насочени към опазване на компонентите на околната среда, предлагаме:</w:t>
            </w:r>
          </w:p>
          <w:p w14:paraId="0FD9C7FD"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•интервенцията да не се разделя изкуствено на две, а да се запази II.Г.1 и в нея</w:t>
            </w:r>
          </w:p>
          <w:p w14:paraId="30D9F8CC"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отпадне на категориите земеделски стопанства, допустими за подпомагане;</w:t>
            </w:r>
          </w:p>
          <w:p w14:paraId="352A7351"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lastRenderedPageBreak/>
              <w:t>•да се въведе само долен праг на СПО;</w:t>
            </w:r>
          </w:p>
          <w:p w14:paraId="3896AFA9"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се прилага еднакво финансиране до 50 % за всички;</w:t>
            </w:r>
          </w:p>
          <w:p w14:paraId="07DDB9F1"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се уеднакви максималният размер на допустимите разходи за един кандидат и за всички да бъде 1 500 000 евро.</w:t>
            </w:r>
          </w:p>
          <w:p w14:paraId="60331A55"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С предложението няма да се налага на кандидатите да подават два пъти проектни предложения по 2 изкуствено разделени интервенции, да събират два пъти сходни прилежащи документи, да разработват  два пъти бизнес планове. Освен това, инвестициите, свързани с околна среда ще се осъществяват паралелно с останалите необходими за стопанството инвестиции. Така ще се подава, оценява, договорира, изпълнява и контролира един бизнес план- така ще се постигне сериозно намаляване на административната тежест за бенефициентите, с което ще се постигне по-бърз напредък в новия програмен период и няма допълнително да се утежнява мониторингът и последващият контрол. Считаме, че предложението за уеднаквяване на максималния размер на подкрепата е справедливо от гледна точка на факта, че колективните инвестиции се реализира от по-малки стопанства с цел достигане на по-голям мащаб, а в същото време има много смесени стопанства, които изпитват много по-голяма нужда от инвестиции както за животновъдното, така и за растениевъдното си производствено направление. Освен това ще се осъществи плавен преход с програмен период 2014-2020, особено важно в многопластовата ескалирала криза и несигурност. Тук следва да бъде ясно осъзнат и отчетен факта, че поради галопиращата инфлация, последствията за пазарите и доставките на суровини, материали, услуги и СМР цените са траен тренд на покачване, а и тези „стари и раздробени“ предложения дойдоха от екс зам-мин Явор Гечев и в контекста на липса на повишено национално съфинансиране, което извоюва настоящия кабинет.  </w:t>
            </w:r>
          </w:p>
          <w:p w14:paraId="2386092B"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Б/ II.Г.2 - Инвестиции за преработка на селскостопански продукти и II.Г.2.1 - Инвестиции за преработка на селскостопански продукти, насочени към опазване на компонентите на околната среда- аргументите и коментарите ни са аналогични с т. А/ и тук предлагаме:</w:t>
            </w:r>
          </w:p>
          <w:p w14:paraId="681A8BBD"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•интервенцията да не се разделя изкуствено на две, а да се запази II.Г.2 и в нея</w:t>
            </w:r>
          </w:p>
          <w:p w14:paraId="5D6FB8AF"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отпадне на категориите земеделски стопанства, допустими за подпомагане;</w:t>
            </w:r>
          </w:p>
          <w:p w14:paraId="220D086A"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се въведе само долен праг на СПО;</w:t>
            </w:r>
          </w:p>
          <w:p w14:paraId="69088121"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се прилага еднакво финансиране до 50 % за всички;</w:t>
            </w:r>
          </w:p>
          <w:p w14:paraId="064EB8CA"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•да се уеднакви максималният размер на допустимите разходи за един кандидат и за всички да бъде 2 000 000 евро.</w:t>
            </w:r>
          </w:p>
          <w:p w14:paraId="1513E325"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 xml:space="preserve">В/ II.Г.3 - Инвестиции за неселскостопански дейности в селските райони- да се премахнат категориите за „малко― или „средно― земеделско стопанство; преосмисляне на критерия за допустимост на кандидата по СПО– само долен праг да се определи и да се взаимстван статистика от периодите 2007-2013 и 2014-2020;  да се предвиди възможност кандидатите да подават проекти на стойност до 600 хил,  евро, а помощта да е до 50 %, но неповече 200 000 евро. </w:t>
            </w:r>
          </w:p>
          <w:p w14:paraId="36FDBA0A"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lastRenderedPageBreak/>
              <w:t xml:space="preserve">Г/ II.Г.4 - Възстановяването на земеделски потенциал след природни бедствия или катастрофични събития и инвестиции в подходящи превантивни действия- да се премахнат категориите; а максималният размер на допустимите разходи за един кандидат за периода на прилагане на интервенцията да се уеднакви на до 1 000 000 евро. </w:t>
            </w:r>
          </w:p>
          <w:p w14:paraId="3ED6E2EE" w14:textId="77777777" w:rsidR="00CD7279" w:rsidRPr="00D550C0"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9.По отношение на административната тежест: Липсва ясно и последователно описаните на отделните системи, с включени определения, свързаност и съвместимост, отговорни страни.  Предвидени са мерки за намаляване на административната тежест, но те са само на концептуално ниво, което трябва да бъде доработено до конкретни елементи, адресати, и инструменти. Изисква сериозна допълнителна работа в рамките на ТРГ, която да стъпва на „научени уроци“.</w:t>
            </w:r>
          </w:p>
          <w:p w14:paraId="16385A91" w14:textId="54CCA15F" w:rsidR="00CD7279" w:rsidRPr="009E60E1" w:rsidRDefault="00CD7279" w:rsidP="00D550C0">
            <w:pPr>
              <w:widowControl w:val="0"/>
              <w:tabs>
                <w:tab w:val="left" w:pos="1565"/>
              </w:tabs>
              <w:autoSpaceDE w:val="0"/>
              <w:autoSpaceDN w:val="0"/>
              <w:spacing w:before="60" w:after="20"/>
              <w:jc w:val="both"/>
              <w:rPr>
                <w:rFonts w:ascii="Verdana" w:hAnsi="Verdana"/>
                <w:sz w:val="20"/>
                <w:szCs w:val="20"/>
              </w:rPr>
            </w:pPr>
            <w:r w:rsidRPr="00D550C0">
              <w:rPr>
                <w:rFonts w:ascii="Verdana" w:hAnsi="Verdana"/>
                <w:sz w:val="20"/>
                <w:szCs w:val="20"/>
              </w:rPr>
              <w:t>10.По отношение на прилагането на СП е електронна система: Във свръзка с член 130 Електронна информационна система на Регламента за СП, считаме, че в СП липсва конкретната информационна система за прилагане на интервенциите по СП. Последната година АЗПБ повдигна сериозно темата за проблемите в прилагането на ПРСР 2014-2020 в ИСУН и ИСАК в различни консултационни формати и вече виждаме разбирането на редица ръководни кадри в секторната администрация. Настояваме в рамките на ТРГ-то да се разгледа обстойно Одитен доклад на Сметната палата на РБ „Мониторинг и оценка на подхода „Водено от общностите местно развитие“ за периода от 01.01.2015 г. до 31.12.2019 г. „ и да започне спешна работа на отстраняване на тези проблеми, тъй като ще бъдат застрашени вече и всички интервенции за сектор „пчели“ и „лозар винарския“ сектор.</w:t>
            </w:r>
          </w:p>
        </w:tc>
      </w:tr>
      <w:tr w:rsidR="00CD7279" w:rsidRPr="00F413E2" w14:paraId="1E0A6D8A"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084FA2C5"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45E1D6DB" w14:textId="77777777" w:rsidR="00CD7279" w:rsidRPr="00D550C0" w:rsidRDefault="00CD7279" w:rsidP="00D550C0">
            <w:pPr>
              <w:spacing w:before="40" w:after="20"/>
              <w:rPr>
                <w:rFonts w:ascii="Verdana" w:hAnsi="Verdana"/>
                <w:sz w:val="20"/>
                <w:szCs w:val="20"/>
              </w:rPr>
            </w:pPr>
            <w:r w:rsidRPr="00D550C0">
              <w:rPr>
                <w:rFonts w:ascii="Verdana" w:hAnsi="Verdana"/>
                <w:sz w:val="20"/>
                <w:szCs w:val="20"/>
              </w:rPr>
              <w:t>Българско дружество за защита на птиците” (БДЗП)</w:t>
            </w:r>
          </w:p>
          <w:p w14:paraId="72241FDA" w14:textId="03FC752A" w:rsidR="00CD7279" w:rsidRDefault="00CD7279" w:rsidP="00D550C0">
            <w:pPr>
              <w:spacing w:before="40" w:after="20"/>
              <w:rPr>
                <w:rFonts w:ascii="Verdana" w:hAnsi="Verdana"/>
                <w:sz w:val="20"/>
                <w:szCs w:val="20"/>
              </w:rPr>
            </w:pPr>
            <w:r w:rsidRPr="00D550C0">
              <w:rPr>
                <w:rFonts w:ascii="Verdana" w:hAnsi="Verdana"/>
                <w:sz w:val="20"/>
                <w:szCs w:val="20"/>
              </w:rPr>
              <w:t>(писмо № 62-187 от 31.03.2022 г.)</w:t>
            </w:r>
          </w:p>
        </w:tc>
        <w:tc>
          <w:tcPr>
            <w:tcW w:w="12433" w:type="dxa"/>
            <w:tcBorders>
              <w:top w:val="single" w:sz="18" w:space="0" w:color="2E74B5"/>
              <w:left w:val="single" w:sz="18" w:space="0" w:color="2E74B5"/>
              <w:bottom w:val="nil"/>
              <w:right w:val="single" w:sz="18" w:space="0" w:color="2E74B5"/>
            </w:tcBorders>
            <w:shd w:val="clear" w:color="auto" w:fill="auto"/>
          </w:tcPr>
          <w:p w14:paraId="62E3A96F" w14:textId="5576657B" w:rsidR="00CD7279" w:rsidRDefault="002F17B9" w:rsidP="00CD61CE">
            <w:pPr>
              <w:widowControl w:val="0"/>
              <w:tabs>
                <w:tab w:val="left" w:pos="1565"/>
              </w:tabs>
              <w:autoSpaceDE w:val="0"/>
              <w:autoSpaceDN w:val="0"/>
              <w:spacing w:before="60" w:after="20"/>
              <w:jc w:val="both"/>
              <w:rPr>
                <w:rFonts w:ascii="Verdana" w:hAnsi="Verdana"/>
                <w:sz w:val="20"/>
                <w:szCs w:val="20"/>
              </w:rPr>
            </w:pPr>
            <w:r w:rsidRPr="002F17B9">
              <w:rPr>
                <w:rFonts w:ascii="Verdana" w:hAnsi="Verdana"/>
                <w:sz w:val="20"/>
                <w:szCs w:val="20"/>
              </w:rPr>
              <w:t xml:space="preserve">Като гражданска организация, работеща в обществена полза и загрижена за опазването на природата и биологичното разнообразие за настоящите и за бъдещите поколения отчитайки, че следващите осем години са ключови за постигане на амбициозните цели на Европейският Зелен Пакт и Европейската стратегия за биологичното разнообразие 2030 и че са необходими значителни реформи и амбиции в земеделския сектор, за да отговори на Европейските приоритети, свързани с околна среда, включително биологично разнообразие, климат и здравословна храна, категорично </w:t>
            </w:r>
            <w:r>
              <w:rPr>
                <w:rFonts w:ascii="Verdana" w:hAnsi="Verdana"/>
                <w:sz w:val="20"/>
                <w:szCs w:val="20"/>
              </w:rPr>
              <w:t xml:space="preserve">възразяваме </w:t>
            </w:r>
            <w:r w:rsidR="00CD7279" w:rsidRPr="00E35143">
              <w:rPr>
                <w:rFonts w:ascii="Verdana" w:hAnsi="Verdana"/>
                <w:sz w:val="20"/>
                <w:szCs w:val="20"/>
              </w:rPr>
              <w:t xml:space="preserve">против одобряването на СПРЗСР 2023-2027 във вида публикуван за обществени консултации, поради: </w:t>
            </w:r>
          </w:p>
          <w:p w14:paraId="52E7F458"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E35143">
              <w:rPr>
                <w:rFonts w:ascii="Verdana" w:hAnsi="Verdana"/>
                <w:sz w:val="20"/>
                <w:szCs w:val="20"/>
              </w:rPr>
              <w:t xml:space="preserve">I. нарушения в процедурите по изготвяне, одобряване, публичност на СПРЗСР 2023-2027 и осигуряване на достъп на гражданите до процеса на взимане на решения на СПРЗСР 20232027, включително нарушения на природозащитното законодателство; </w:t>
            </w:r>
          </w:p>
          <w:p w14:paraId="2795B8D3"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E35143">
              <w:rPr>
                <w:rFonts w:ascii="Verdana" w:hAnsi="Verdana"/>
                <w:sz w:val="20"/>
                <w:szCs w:val="20"/>
              </w:rPr>
              <w:t xml:space="preserve">II. несъответствие със стратегическите документи, свързани с околна среда и климат, конкретно по отношение биологичното разнообразие – Европейският Зелен Пакт, Европейската стратегия за биологичното разнообразие 2030 и националната приоритетна рамка за действие за Натура 2000 (НПРД); </w:t>
            </w:r>
          </w:p>
          <w:p w14:paraId="35E03CDC"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E35143">
              <w:rPr>
                <w:rFonts w:ascii="Verdana" w:hAnsi="Verdana"/>
                <w:sz w:val="20"/>
                <w:szCs w:val="20"/>
              </w:rPr>
              <w:t xml:space="preserve">III. непълно и недостатъчно обезпечаване на СПРЗСР 2023-2027 с индикатори, които да позволяват измерване на резултат и ефективност на осъществените дейности и разходваните публични средства, особено що се касае до биоразнообразие, околна среда и климат; IV. непълна система за мониторинг и контрол, в която изцяло липсва мониторинг на резултатите и ефектите на планираните еко-схеми и интервенции за опазване на </w:t>
            </w:r>
            <w:r w:rsidRPr="00E35143">
              <w:rPr>
                <w:rFonts w:ascii="Verdana" w:hAnsi="Verdana"/>
                <w:sz w:val="20"/>
                <w:szCs w:val="20"/>
              </w:rPr>
              <w:lastRenderedPageBreak/>
              <w:t xml:space="preserve">биоразнообразието; V. недостатъчно амбициозни цели за реално опазване на биологичното разнообразие чрез природосъобразни земеделски дейности, непълни или липсващи интервенции, свързани с опазване на биоразнообразието;  </w:t>
            </w:r>
          </w:p>
          <w:p w14:paraId="768BA553" w14:textId="77777777" w:rsidR="00CD7279" w:rsidRPr="00E35143" w:rsidRDefault="00CD7279" w:rsidP="00CD61CE">
            <w:pPr>
              <w:widowControl w:val="0"/>
              <w:tabs>
                <w:tab w:val="left" w:pos="1565"/>
              </w:tabs>
              <w:autoSpaceDE w:val="0"/>
              <w:autoSpaceDN w:val="0"/>
              <w:spacing w:before="60" w:after="20"/>
              <w:jc w:val="both"/>
              <w:rPr>
                <w:rFonts w:ascii="Verdana" w:hAnsi="Verdana"/>
                <w:sz w:val="20"/>
                <w:szCs w:val="20"/>
              </w:rPr>
            </w:pPr>
            <w:r w:rsidRPr="00E35143">
              <w:rPr>
                <w:rFonts w:ascii="Verdana" w:hAnsi="Verdana"/>
                <w:sz w:val="20"/>
                <w:szCs w:val="20"/>
              </w:rPr>
              <w:t xml:space="preserve">VI. недостатъчно публични средства предвидени за опазване на биологичното разнообразие, околна среда и климат спрямо стратегическите цели; VII. наличие на неподходящи или потенциално рискови интервенции по отношение на околна среда и климат, които не са подложени на Екологична оценка и Оценка за съвместимостта им с предмета и целите на опазване на Натура 2000. </w:t>
            </w:r>
          </w:p>
          <w:p w14:paraId="66526673" w14:textId="77777777" w:rsidR="00CD7279" w:rsidRPr="00E35143"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VII. наличие на неподходящи или потенциално рискови интервенции по отношение на околна среда и климат, които не са подложени на Екологична оценка и Оценка за съвместимостта им с предмета и целите на опазване на Натура 2000.</w:t>
            </w:r>
          </w:p>
          <w:p w14:paraId="02312904"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E35143">
              <w:rPr>
                <w:rFonts w:ascii="Verdana" w:hAnsi="Verdana"/>
                <w:sz w:val="20"/>
                <w:szCs w:val="20"/>
              </w:rPr>
              <w:t>В СПРЗСР 2023-2027 се декларира, че ще „насърчава устойчиви земеделски практики, които са насочени към справяне с климатичните изменения и опазване на околната среда“ и „значителен принос към опазването на природните ресурси“ и на пръв поглед Планът включва редица интервенции, насочени към околна среда и в него е предвиден минимално изискуемият дял от публичните средства за околна среда и климат. Наличието на слабостите и пороците, посочени по-горе, които установихме при подробен анализ на представените за обсъждане документи, показва необходимост СПРЗСР 2023-2027 да бъде преработен и допълнен, така че да се спази българското и европейското природозащитно законодателство, да е в съзвучие и да допринася за изпълнението на одобрените стратегически документи, свързани с биологично разнообразие и да гарантира, че публичните средства на българските и европейските данъкоплатци, ще бъдат адекватно и пропорционално насочени, за да се изпълнят стратегическите цели по отношение на общностните блага – биоразнообразие, околна среда, климат и здравословна храна.</w:t>
            </w:r>
          </w:p>
          <w:p w14:paraId="32FF2CC3" w14:textId="77777777" w:rsidR="00CD7279" w:rsidRPr="00255DE1"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Общи бележки по констатираните слабости на СПРЗСР 2023-2027 </w:t>
            </w:r>
          </w:p>
          <w:p w14:paraId="0264F210"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I. Нарушения в процедурите по изготвяне, одобряване, публичност на СПРЗСР 2023-2027 и осигуряване на достъп на гражданите до процеса на взимане на решения на СПРЗСР 20232027, включително нарушения на природозащитното законодателство </w:t>
            </w:r>
          </w:p>
          <w:p w14:paraId="75A70349"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1. Към датата на внасянето на СПРЗСР 2023-2027 в Европейската комисия и настоящата процедура по обществени консултации няма завършена процедура по Стратегическа екологична оценка и Становище по ЕО на плана. СПРЗСР 2023-2027 попада в обхвата на чл. 85, ал. 1 на ЗООС, като с предвидените с него мерки се очертава рамката за развитие на инвестиционни предложения по Приложение № 1 и № 2 на ЗООС. Поради това планът подлежи на процедура по задължителна екологична оценка (ЕО). Отделно планът попада в обхвата на чл. 2, ал. 1, т. 1 от Наредбата за ОС и подлежи на процедура по оценка за съвместимостта му с предмета и целите на опазване на защитените зони от екологичната мрежа Натура 2000 (ОС) по реда на чл. 31, ал. 4 във връзка с ал. 1 от ЗБР. В тази връзка е започната процедура по изготвяне на Доклад по ЕО и Доклад за ОС, която процедура не е приключила. Като част от докумунтацията, съпътстваща СПРЗСР 2023-2027, предмет на настоящите обществени консултации, е представена „Стратегическа оценка на околната среда на Стратегически план за развитие на </w:t>
            </w:r>
            <w:r w:rsidRPr="00255DE1">
              <w:rPr>
                <w:rFonts w:ascii="Verdana" w:hAnsi="Verdana"/>
                <w:sz w:val="20"/>
                <w:szCs w:val="20"/>
              </w:rPr>
              <w:lastRenderedPageBreak/>
              <w:t xml:space="preserve">земеделието и селските райони на Р. България за периода 2023-2027“ е разработен във връзка с Договор № РД51-58/21.05.2020 г. Този документ обаче не съдържа всички необходими атрибути на екологична оценка, липсва изобщо частта на оценката на въздействие, както и оценката за съвместимост с предмета и целите на Натура 2000, дори липсва подробна структура на документа по в аналитичната част на оценката. Представеният документ не е бил предмет на обществени обсъждания и консултации, изисквани като част от процедурите по реда на ЗООС и ЗБР. По информация, представена от МОСВ, оценките все още се разработват и процедурата не е приключила. В този смисъл представеният към СПРЗСР 2023-2027 документ не е действителна Стратегическа екологична оценка и не би следвало да се представя като такъв официален документ като част от СПРЗСР 2023-2027 нито на българските граждани, нито на Европейската комисия.  </w:t>
            </w:r>
          </w:p>
          <w:p w14:paraId="2335FF8F"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2. С решение от №85/24.2.2022 г. Министерски съвет незаконосъобразно одобрява СПРЗСР 2023-2027 преди внасянето му в Европейската комисия1, въпреки отрицателно становище и несъгласуване от страна на МОСВ, включително поради неприключила процедура по Екологична оценка и Оценка за съвместимост. По смисъла на Регламента, конкретно чл. 118 във вр. с чл. 107 от Регламент(ЕС) 2021/2115 на Европейския парламент и на Съвета от 2 декември 20212, трябва да се изчака завършване процедурата за екологична оценка и оценка</w:t>
            </w:r>
            <w:r>
              <w:rPr>
                <w:rFonts w:ascii="Verdana" w:hAnsi="Verdana"/>
                <w:sz w:val="20"/>
                <w:szCs w:val="20"/>
              </w:rPr>
              <w:t xml:space="preserve"> </w:t>
            </w:r>
            <w:r w:rsidRPr="00255DE1">
              <w:rPr>
                <w:rFonts w:ascii="Verdana" w:hAnsi="Verdana"/>
                <w:sz w:val="20"/>
                <w:szCs w:val="20"/>
              </w:rPr>
              <w:t>за съвместимост с Натура 2000. Съгласно чл. 32, ал. 1 от Устройствения правилник на Министерския съвет членовете на Министерския съвет трябва да съгласуват въпросите, на които те са вносители, с останалите министри. Липсата на съгласуване от страна на Министъра на околната среда и водите и Министъра на регионалното развитие и благоустройство представлява пречка за одобряване на внесения проект, поради което одобряването на проекта с решението на МС на стратегическия план по ОСП е незаконосъобразно. При одобряване на СПРЗСР 2023-2027 не са съобразени обстоятелствата, че в следствие все още неприключили законово регламентирани процедури (преглед и одобряване от Европейската комисия, Стратегическа екологична оценка и Оценка за съвместимост, обществени консултации (включително настоящата), ще се наложат промени в СПРЗСР 2023-2027. С акта си МС пренебрегва и обезсмисля всички останали процедури. Важно е да се отбележи, че вариантът на СПРЗСР 2023-2027, одобрен от Министерски съвет не е същият, който е предмет на настоящите обществени консултации. Документът който ние разглеждаме съдържа 1144 страници, а приетият от МС документ съдържа само 399 (явно съкратен вариант)</w:t>
            </w:r>
            <w:r>
              <w:rPr>
                <w:rFonts w:ascii="Verdana" w:hAnsi="Verdana"/>
                <w:sz w:val="20"/>
                <w:szCs w:val="20"/>
              </w:rPr>
              <w:t>.</w:t>
            </w:r>
            <w:r w:rsidRPr="00255DE1">
              <w:rPr>
                <w:rFonts w:ascii="Verdana" w:hAnsi="Verdana"/>
                <w:sz w:val="20"/>
                <w:szCs w:val="20"/>
              </w:rPr>
              <w:t xml:space="preserve">Съответно има съществена разлика между документа приет от МС и този, които е внесен в Европейската комисия и е предмет на настоящите обществени консултации, което създава правна несигурност. </w:t>
            </w:r>
          </w:p>
          <w:p w14:paraId="6999DB0D" w14:textId="77777777" w:rsidR="00CD7279" w:rsidRPr="00255DE1"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3. В процеса на изготвяне на СПРЗСР 2023-2027 не са спазени принципите на доброто управление по отношение публичността и гарантиране реалното участие на гражданите в процеса на вземане на решения. От самото начало, на изготвяне на анализите и в последствие в Тематичната работна група (ТРГ) по СПРЗСР 2023-2027, беше давана възможност на екологичните организации, като представители на гражданското общество, да вземат участие, но на практика нито едно от становищата не беше отразявано и участието бе по-скоро формално. В ТРГ по СПРЗСР 2023-2027, където участват над 100 членове, има само двама представители на екологични организации. За период от година и половина работа в ТРГ екологичните организации са внесли над 10 становища с конкретни препоръки, предложения за осигуряване на съответствие на СПРЗСР 2023-2027 с природозащитните цели и стандарти. Повечето от постъпилите предложения и препоръки от представителите на екологичните организации </w:t>
            </w:r>
            <w:r w:rsidRPr="00255DE1">
              <w:rPr>
                <w:rFonts w:ascii="Verdana" w:hAnsi="Verdana"/>
                <w:sz w:val="20"/>
                <w:szCs w:val="20"/>
              </w:rPr>
              <w:lastRenderedPageBreak/>
              <w:t xml:space="preserve">не са взети пред вид без да се представи съгласувателна таблица с мотиви и обосновка защо това не е направено. Това обезсмисля труда на всички организации, участвали в процеса на обсъждане на плана с конкретни предложения и препоръки. И в настоящата процедура, като приложение към СПРЗСР 2023-2027 са приложени всички постъпили становища, но липсва съгласувателна таблица, която ясно да показва как предложенията са интегрирани в СПРЗСР 2023-2027, а тези които не са, на какво основание не са интегрирани. </w:t>
            </w:r>
          </w:p>
          <w:p w14:paraId="4E757436"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Самият план като цялостен документ никога не е представян в ТРГ по СПРЗСР 2023-2027, а за пръв път е публичен в рамките на настоящата процедура по обществени консултации. Неговото разработване не е било съпроводено с разяснителна или информационнакампания, така че да обхване обществеността, а не само земеделския сектор. Документът е с обем 1144 страници в нечетивен на практика вид – смесица от български и английски текстове (в целия документ), включително оставени насоки за попълване, текстове които не се четат изцяло (напр. на страници 48, 80, 3, 93-119, 161-169). В България официален език е български, поради което всички официални документи би следвало да са на български език или преведени на български език. Във вида, в който е публикуван за обществени консултации, и без предварителна информационна и разяснителна кампания за гражданите, на практика не дава възможност обществеността да се запознае адекватно и да предостави своето виждане по този документ в рамките на 30-дневния срок. Дори за експерти, запознати с тематиката предварително, е предизвикателство да се проследи цялата логика, свързаност и обоснованост на документа, изискващ предоставяне на милиарди евро публични средства на европейските данъкоплатци за земеделския сектор в България. В този смисъл не е осигурена достатъчна възможност на българския и европейски данъкоплатец информирано да прецени как СПРЗСР 2023-2027, чрез интервенциите заложени в него, осигурява найефективно разходване на публичните средства за публични блага, включително опазване на биоразнообразието. </w:t>
            </w:r>
          </w:p>
          <w:p w14:paraId="0AF82A71" w14:textId="77777777" w:rsidR="00CD7279" w:rsidRPr="00255DE1"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4. В изпратения вариант на СПРЗСР 2023-2027 в Европейската комисия не са отразени препоръките на предварителната оценка на плана, като това е посочено в следния текст на Приложение 1  “Адресирането на препоръките от предварителната оценка на СПРЗСР за периода 2023-2027 г. е в процес на изпълнение от страна на Министерство на земеделието” на стр.  1112, 1114, 1124. 1126, 1128 и др., както и в текста на стр. 1121 „Адресирането на препоръките от стратегическата оценка на околната среда на СПРЗСР за периода 2023-2027 г. ще бъде изпълнено от страна на Министерство на земеделието, при наличие на окончателен и пълен доклад със стратегическата оценка на околната среда“; </w:t>
            </w:r>
          </w:p>
          <w:p w14:paraId="6D80D6F6" w14:textId="77777777" w:rsidR="00CD7279" w:rsidRPr="00255DE1"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 </w:t>
            </w:r>
          </w:p>
          <w:p w14:paraId="02C39820" w14:textId="77777777" w:rsidR="00CD7279" w:rsidRDefault="00CD7279" w:rsidP="00CD61CE">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По този аспект отправяме следните препоръки: </w:t>
            </w:r>
          </w:p>
          <w:p w14:paraId="6EE6E88D" w14:textId="56B6246B" w:rsidR="00CD7279" w:rsidRDefault="00CD7279" w:rsidP="00AD2528">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 Стриктно да се спазят всички законови процедури, като се гарантира, че бележките на Европейската комисия по СПРЗСР 2023-2027, мерките и условията, залегнали в Становището на МОСВ по екологична оценка и оценка за съвместимост, както и становищата в рамките на настоящата процедура по обществени консултации ще бъдат интегрирани по адекватен начин в окончателния СПРЗСР 2023-2027, който следва да бъде одобрен от МС в края на настоящата година. </w:t>
            </w:r>
          </w:p>
          <w:p w14:paraId="540C4D83" w14:textId="531ED9A3" w:rsidR="00CD7279" w:rsidRDefault="00CD7279" w:rsidP="00D550C0">
            <w:pPr>
              <w:rPr>
                <w:rFonts w:ascii="Verdana" w:hAnsi="Verdana"/>
                <w:sz w:val="20"/>
                <w:szCs w:val="20"/>
              </w:rPr>
            </w:pPr>
          </w:p>
          <w:p w14:paraId="1A5F4382" w14:textId="77777777" w:rsidR="00CD7279" w:rsidRPr="00255DE1" w:rsidRDefault="00CD7279" w:rsidP="00D550C0">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 Да се осигури прозрачност и публичност на всички следващи стъпки по финализирането на СПРЗСР 2023-2027, като се публикуват на обществен достъп бележките на Европейската комисия и отговорите на България по тях, да се осъществят адекватни публични обсъждания в рамките на процедурата по екологична оценка и оценка за съвместимост, като се осъществи и информационна и разяснителна кампания и се даде възможност на гражданите в целия процес на финализиране на плана да виждат и коментират неговото съдържание, както и да задават въпроси. </w:t>
            </w:r>
          </w:p>
          <w:p w14:paraId="53AD894C" w14:textId="77777777" w:rsidR="00CD7279" w:rsidRPr="00255DE1" w:rsidRDefault="00CD7279" w:rsidP="00D550C0">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 xml:space="preserve"> </w:t>
            </w:r>
          </w:p>
          <w:p w14:paraId="437915DB"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255DE1">
              <w:rPr>
                <w:rFonts w:ascii="Verdana" w:hAnsi="Verdana"/>
                <w:sz w:val="20"/>
                <w:szCs w:val="20"/>
              </w:rPr>
              <w:t>II. Несъответствие със стратегическите документи, свързани с околна среда и климат, конкретно по отношение биологичното разнообразие – Европейският Зелен Пакт, Европейската стратегия за биологичното разнообразие 2030 и националната приоритетна рамка за действие за Натура 2000 (НПРД);</w:t>
            </w:r>
          </w:p>
          <w:p w14:paraId="174845F5"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СПРЗСР 2023-2027 не адресира в достатъчна степен, пропорционално, първият от приоритетите на Европейския зелен пакт в областта на околната среда, а именно „Опазване на биологичното разнообразие и екосистемите“ (спиране на загубата от биоразнообразие и обръщане на негативните тенденции) нито като обхват, нито като съдържание, нито като финансова обезпеченост, като се има предвид мащабите и въздействията на земеделието и горското стопанство върху биоразнообразието. СПРЗСР 2023-2027 не адресира в достатъчна степен целите и изискванията на Европейската стратегия за биоразнообразие 2030, конкретно по отношение управлението на земите  и „въвеждане на мерки, които да дадат възможност за постигане на необходимата дълбока промяна“ – по-добро проследяване на напредъка, повишаването на знанията, финансирането и инвестициите и зачитането в по-голяма степен на природата при вземането на решения. Въпреки, че СПРЗСР 2023-2027 съдържа мерки, насочени към задържане на въглерод, възстановяване на почвения потенциал и опрашването, които са добре финансово обезпечени, приносът на плана към Стратегията за биоразнообразието 2030 се изчерпва с това. Приносът му към опазване на биоразнообразието (местообитанията и видовете от дивата флора и фауна) може да се определи като минималистичен и недостатъчен спрямо заложените мерки и финансова обезпеченост в Националната приоритетна рамка за действие за Натура 2000 (НПРД). СПРЗСР 2023-2027 обсъжда като цяло приноса към целите на Стратегия за биологично разнообразие 2030 (Раздел 2.3.3), без да се посочват стойности, показващи конкретния, измерим принос към: Плана за възстановяване на природата на ЕС (напр. до 2030 г. да се постигне целта поне 10% от земеделските земи успешно да осигурят опазване на биологичното разнообразие); прилагането на Директивата за птиците и Директивата за местообитанията; или как се управлява целта за ЕС 2030 10% от земеделските земи да се осигурят голямо разнообразие от характеристики на ландшафта. Не е ясно и как горските интервенции ще допринесат за постигане на целите, свързани с възстановяването на естествените гори. Доколкото НПРД е националният документ, с който се гарантира постигането на целите на Европейската стратегия за биологично разнообразие 2030, СПРЗСР 2023-2027 не съответства на заложените в националната НПРД мерки и финансовите средства, които трябва да бъдат обезпечени чрез европейските земеделски фондове, така както са одобрени от Европе</w:t>
            </w:r>
            <w:r>
              <w:rPr>
                <w:rFonts w:ascii="Verdana" w:hAnsi="Verdana"/>
                <w:sz w:val="20"/>
                <w:szCs w:val="20"/>
              </w:rPr>
              <w:t xml:space="preserve">йската комисия през януари 2022г.(допълняемост)Въпреки,че </w:t>
            </w:r>
            <w:r w:rsidRPr="00CE3F04">
              <w:rPr>
                <w:rFonts w:ascii="Verdana" w:hAnsi="Verdana"/>
                <w:sz w:val="20"/>
                <w:szCs w:val="20"/>
              </w:rPr>
              <w:t xml:space="preserve">интервенционната </w:t>
            </w:r>
            <w:r w:rsidRPr="00CE3F04">
              <w:rPr>
                <w:rFonts w:ascii="Verdana" w:hAnsi="Verdana"/>
                <w:sz w:val="20"/>
                <w:szCs w:val="20"/>
              </w:rPr>
              <w:lastRenderedPageBreak/>
              <w:t>логика многократно се реферира към мярката за Натура 2000 и други мерки, насочени към намаляване загубата на биоразнообразие, информацията за НПРД е обща и не уточнява конкретните нужди нито на типовете местообитания, нито на видовете от значение за ЕС; например от всички птици от обществен интерес, свързани с финансирането на ОСП, СПРЗСР 2023-2027 включва целенасочени мерки само за червеногушата гъска (Branta ruficollis), египетския лешояд (Neophron percnopterus) и царския орел (Aquila heliaca), които бяха подкрепени чрез агроекологична мярка през предходния период. Не са описани нито един от специфичните приоритети за опазване на местообитанията, заложени в НПРД, както и специфичните приоритети, идентифицирани в AGRI Fiche на ОСП (напр. опазване и възстановяване на крайречни гори, птиците от приложение I на Директивата за птиците, ключови видове бозайници, като лалугера и др.). Дори в случаите, когато се разглеждат приоритетите на НПРД (червеногуша гъска, царски орел, египетски лешояд) финансовите средства се различават, като са значително намалени (допълняемост и  съгласуваност). В това отношение СПРЗСР 2023-2027 не е достатъчно амбициозен, тъй като не само не надхвърля предишните ангажименти, но и отстъпва от тях, а също така не отговаря на съвременните нужди и цели за опазване на биоразнообразието.</w:t>
            </w:r>
          </w:p>
          <w:p w14:paraId="4AB081D9"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 xml:space="preserve">Не всички мерки, заложени в НПРД за финансиране чрез СПРЗСР 2023-2027, са представени ясно и изцяло чрез интервенциите и еко-схемите на СПРЗСР 2023-2027. Например НПРД посочва преминаването към биологично земеделие като мярка за опазване на местообитанията на видове птици, но в контекста на самата мярка за биопроизводство в СПРЗСР 2023-2027 липсва връзка с опазване на местообитанията на птиците и как точно прилагането на тази мярка ще има принос към опазване на биоразнообразието. В мярката за разнообразяване на културите, заложена в НПРД и интервецията/екосхемата за разнообразяване на културите в СПРЗСР 20232027 са заложени различни виждания и не е налице връзка между изискванията към интервенцията в СПРЗСР 2023-2027 и заложените дейности в мярката към НПРД (Виж т. 4.7 от настоящото становище). Необходимите финансови средства за биоразнообразие също са многократно намалени (Виж т. 6 от настоящото становище). Така още с този стратегически документ се залага невъзможност да бъдат постигнати целите за опазване и възстановяване на биологичното разнообразите (местообитания и видове от дивата флора и фауна), което зависи от земеделските и горскостопанските практики, което намираме за недопустимо. СПРЗСР 2023-2027 не е съобразен с официално приетите национални планове за действие за опазване на видове (НАПДОВ) – най-малко за 14 застрашени видове птици и 50 за застрашени видове растения4, чието опазване зависи и от земеделски и горскостопански практики. НАПДОВ не са включени в списъка със стратегически документи, с които СПРЗСР 2023-2027 е съобразен и не е ясно как заложените еко-схеми и интервенции включват мерки от НАПДОВ и как точно ще допринесат за постигане на целите им. Доколкото НПРД включва поне част от въпросните природозащитни мерки, несъответствията между НПРД и СПРЗСР 2023-2027, означава, че тези съответствия се отнасят и до НАПДОВ. Най-малкото това важи за мерките необходими за опазване и възстановяване на ловните територии (хранителни местообитания) на ловния сокол (Falco cherrug), белошипата ветрушка (Falco naumanni), малкия креслив орел (Aquila pomarina), тъй като МЗм не разшири обхвата на интервенцията за опазване на застрашени видове птици5, така че да обхване посочените по-горе видове (Виж т. 5.3 от настоящото становище). Освен мерките от НАПДОВ за ловен сокол, малък креслив орел, в СПРЗСР 2023-2027 не са специално разгледани и не са предвидени </w:t>
            </w:r>
            <w:r w:rsidRPr="00CE3F04">
              <w:rPr>
                <w:rFonts w:ascii="Verdana" w:hAnsi="Verdana"/>
                <w:sz w:val="20"/>
                <w:szCs w:val="20"/>
              </w:rPr>
              <w:lastRenderedPageBreak/>
              <w:t xml:space="preserve">интервенции, свързани със земеделие, за видовете птици, срещащи се в България по време на гнездене, миграция или зимуване, за които има одобрени плановете за действие за видове на ниво ЕС: черноопашат крайбрежен бекас (Limosa limosa), кадифена потапница (Melanitta fusca), голям свирец (Numenius arquata), шилоопашата патица (Anas acuta), червеноклюна потапница (Netta rufina), полска чучулига (Alauda arvensis), гургулица (Streptopelia turtur). Съгласуваността и приносът към целите на ЕС за 2030 г., определени в Стратегията от фермата до вилицата, е изпълнен с общи забележки относно това как насърчаването на биологичното производство, намаляването на употребата на химикали, изключването на пестициди и антимикробни агенти ще осигури по-чиста и по-здравословна храна. Индикативната цифра за увеличаване на площите под биологична продукция не е особено амбициозна – до 6,78% до 2027 г. СПРЗСР 2023-2027 обаче не включва мерки за насърчаване на по-здравословна диета, както се препоръчва в препоръката на Комисията към СПРЗСР 2023-2027. </w:t>
            </w:r>
          </w:p>
          <w:p w14:paraId="7072445C" w14:textId="77777777" w:rsidR="00CD7279" w:rsidRPr="00CE3F04"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 xml:space="preserve">III. Непълно и недостатъчно обезпечаване на СПРЗСР 2023-2027 с индикатори за резултат и ефективност на осъществените дейности и разходваните публични средства, особено що се касае до биоразнообразие, околна среда и климат; Убедени сме, че подходящите индикатори за резултат и въздействие са от ключово значение за оценката на напредъка по постигането на СПРЗСР 2023-2027 и ефективността на разходваните публични средства, за да се постигнат по-общите стратегически цели на Европейския зелен пакт и други стратегически документи, включително стратегическите цели за биоразнообразието. СПРЗСР 2023-2027 се характеризира с много слаба и недостатъчна застъпеност на индикаторите за резултат, както и непропорционални и необосновани амбиции – целеви стойности на индикаторите: Обезпечаването с индикатори за резултат е минималистично и се ограничава почти изцяло до задължителните за дадената стратегическа цел индикатори за резултат; не са посочени базовите стойности спрямо които ще се измерват съответните индикатори за резултат; не са попълнени изискваните от формуляра на Европейската комисия обосновка на определените целеви стойности на индикаторите, както и важните етапи на постигането им. Целевите стойности на индикаторите в раздел 2.3 (стр.254) показват ниската амбиция на плана по отношение на целите за опазване на биологичното разнообразие и земите от Натура 2000 (виж т. 1.4 на настоящото становище). На различни места за постигане на различни цели, е посочен принос за биоразнообразието и Натура 2000, без да е обезпечен с индикатор, например при интервенцията за увеличаване на почвения потенциал за постигане на цел 4 (Принос към изменение на климата). В СПРЗСР 2023-2027 липсват основани на резултатите количествени индикатори за свързаните с биоразнообразието екосхеми/интервенции. Няма и ясни индикатори за въздействие. Липсва яснота относно контрола и мониторинга на ефекта от еко-схемите/интервенциите върху биоразнообразието (виж т. 2.2 и 2.3 на настоящото становище). </w:t>
            </w:r>
          </w:p>
          <w:p w14:paraId="6AB57827" w14:textId="77777777" w:rsidR="00CD7279" w:rsidRPr="00CE3F04"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 xml:space="preserve">IV. Непълна система за мониторинг и контрол, в която изцяло липсва мониторинг на резултатите и ефектите на планираните еко-схеми и интервенции за опазване на биоразнообразието; Основен проблем на СПРЗСР 2023-2027, като трети подред план за подпомагане на земеделието в България е, че не доказва ясно как вложените досега европейски публични средства са допринесли за стабилизирането и подобряването на земеделският сектор. Обръщаме внимание, че много видове птици, зависещи от земеделските земи, продължават да намаляват6 през последните 7 години, което е ясен индикатор, че практиките и мерките, които широко се прилагат в </w:t>
            </w:r>
            <w:r w:rsidRPr="00CE3F04">
              <w:rPr>
                <w:rFonts w:ascii="Verdana" w:hAnsi="Verdana"/>
                <w:sz w:val="20"/>
                <w:szCs w:val="20"/>
              </w:rPr>
              <w:lastRenderedPageBreak/>
              <w:t xml:space="preserve">земеделието у нас, не допринасят, а дори и водят до загуба на биологично разнообразие и трябва да се предприемат мерки. В същото време липсва информация от мониторинг и контрол къде, какви точно мерки са прилагани и какъв е ефектът от тях върху биоразнообразието. Практиката досега показва, че ако не е налице целеви мониторинг на ефекта от прилаганите мерки в земеделието върху биоразнообразието и компонентите на околната среда, не е възможно да се даде реална оценка за целесъобразността на интервенциите по отношение целите за опазване на биологичното разнообразие и климатични промени, както и да се идентифицират увреждащи мерки, за да бъдат коригирани. Този аспект не е залегнал в интервенционната стартегия към настоящия момент.  Независимо от препоръките на предварителната оценка на СПРЗСР 2023-2027 (стр.1127.) относно научените уроци от прилагането на  ПРСР 2014-2020 в частта мониторинг и оценка, в описанието на структурата за мониторинг и докладване отново не е включен мониторинга на резултатите и въздействието от прилагането на отделните интервенции върху околната среда и биоразнообразието. </w:t>
            </w:r>
          </w:p>
          <w:p w14:paraId="4ECF5E63" w14:textId="77777777" w:rsidR="00CD7279" w:rsidRPr="00CE3F04"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 xml:space="preserve">Обръщаме внимание, че препоръките на предварителната оценка на ПРСР 2014-2020 г и последващата оценка на ПРСР 2017-2013 отчитат необходимостта от разработване на система за наблюдение на въздействието по отношение на влиянието на отделните интервенции върху елементите на околната среда. Тази система следва да се изгради в координация между съответните служби и агенции на МОСВ и МЗм. В представените текстове в част 7.2. отново не се адресира изграждането на подобна система, което на практика означава, че не може да се оцени реалното въздействие от изразходваните публични средства за постигане на целите, свързани с опазване на околната среда. </w:t>
            </w:r>
          </w:p>
          <w:p w14:paraId="0464DD3A" w14:textId="77777777" w:rsidR="00CD7279" w:rsidRPr="00CE3F04"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 xml:space="preserve">V. Недостатъчно амбициозни цели за действително опазване на биологичното разнообразие чрез природосъобразни земеделски дейности, непълни или липсващи интервенции, свързани с опазване на биоразнообразието; При внимателния анализ на представения за обществени консултации СПРЗСР 2023-2027 проличава, че опазването и възстановяването на биологичното разнообразие (видове от дивата флора и фауна, местообитанията им, екосистемите) не е припозната като ключов и много важен аспект на СПРЗСР 2023-2027, въпреки че: </w:t>
            </w:r>
            <w:r w:rsidRPr="00CE3F04">
              <w:rPr>
                <w:rFonts w:ascii="Verdana" w:eastAsia="MS Gothic" w:hAnsi="Verdana" w:cs="MS Gothic" w:hint="eastAsia"/>
                <w:sz w:val="20"/>
                <w:szCs w:val="20"/>
              </w:rPr>
              <w:t>✓</w:t>
            </w:r>
            <w:r w:rsidRPr="00CE3F04">
              <w:rPr>
                <w:rFonts w:ascii="Verdana" w:hAnsi="Verdana"/>
                <w:sz w:val="20"/>
                <w:szCs w:val="20"/>
              </w:rPr>
              <w:t xml:space="preserve"> земеделието и горското стопанство са отраслите, които в най-голяма степен оказват въздействие върху почти всички елементи на биоразнообразието в България (земеделските и горските територии заедно заемат около 95% от територията на страната), поради което носят и най-голямата отговорност за опазването му чрез осъществяване на присъщите им дейности; и  </w:t>
            </w:r>
            <w:r w:rsidRPr="00CE3F04">
              <w:rPr>
                <w:rFonts w:ascii="Verdana" w:eastAsia="MS Gothic" w:hAnsi="Verdana" w:cs="MS Gothic" w:hint="eastAsia"/>
                <w:sz w:val="20"/>
                <w:szCs w:val="20"/>
              </w:rPr>
              <w:t>✓</w:t>
            </w:r>
            <w:r w:rsidRPr="00CE3F04">
              <w:rPr>
                <w:rFonts w:ascii="Verdana" w:hAnsi="Verdana"/>
                <w:sz w:val="20"/>
                <w:szCs w:val="20"/>
              </w:rPr>
              <w:t xml:space="preserve"> че в редица стратегически документи (виж проблемна област ІІ по-горе в настоящото становище), опазването и възстановяването на биологичното разнообразие е определено като ключов приоритет за настоящото десетилетие. Това се потвърждава от цялата логика и съдържание на документа: биологичното разнообразие и дори Натура 2000 не са споменати изрично в декларацията за обхвата на СПРЗСР 2023-2027; опазването на биологичното разнообразие е определено като „среден приоритет“, което в сравнение със всички останали аспекти на практика означава най-нисък приоритет; анализът на силните и слабите страни е неточен, непълен и подвеждащ, поради което и в дефинираните потребности и цели има съществени пропуски; като цяло заложените зали показват много ниски амбиции, които в някои случаи, не само не отговарят на съвременните предизвикателства и нужди, но и са по-слабо амбициозни от предходния планов период. Относно Натура 2000 например амбицията е по-ниска от предходния период. Независимо, че защитените </w:t>
            </w:r>
            <w:r w:rsidRPr="00CE3F04">
              <w:rPr>
                <w:rFonts w:ascii="Verdana" w:hAnsi="Verdana"/>
                <w:sz w:val="20"/>
                <w:szCs w:val="20"/>
              </w:rPr>
              <w:lastRenderedPageBreak/>
              <w:t xml:space="preserve">зони от Натура 2000 заемат около 22% от територията на страната, а общо мрежата - 34%, като целева стойност се залага 5,34% за прилагане на мярката. Не е ясно обаче защо сега амбицията е под 6% след като почти всички защитени зони за птици са били обхванати от плащания по Натура в предходния период (на практика повече от 40% от територията на Натура и над 70% от избираемите площи), в същото време има нови одобрени със заповед 186 защитени зони за местообитанията, които трябва да се включат в подпомагането па мярката. В екосхемите и интервенциите по стълб 2 мерките, които могат да се определят като действително допринасящи за опазване и възстановяване на биологичното разнообразие са недостатъчни по обхват и предвидени публични средства, сравнено с изискваните средства по НПРД. Оценяваме факта, че макар и след множество дискусии в СПРЗСР 2023-2027 е запазена мярката от предишния планов период за опазване на червеногушата гъска, царския орел и египетския лешояд, но трябва да отбележим ,че дори тази интервенция е с по-малка амбиция и по-малко финансово обезпечена в сравнение с предишния период и одобрения сега НПРД. Мярката за застрашените видове птици не включва видове, които са приоритетни в НПРД и които многократно предложихме – ловен сокол, малък креслив орел (за хранителните му местообитания), белошипата ветрушка. Не са включени целенасочени интервенции за опазване на застрашени видове и местообитания, включително разработените за целта мерки с европейски публични средства. В същото време се дава по-голям приоритет  и като обхват и като бюджет на редица интервенции и екосхеми, които нямат пряк принос към опазването на биологичното разнообразие, имат неясен или никакъв принос, или в най-лошият случай могат да се окажат увреждащи биоразнообразието. На практика СПРЗСР 2023-2027 залага още в началото неизпълнение на ангажиментите на България по отношение на природозащитните цели по редица стратегически документи, което не трябва да бъде допускано. Всички тези аспекти са по-подробно анализирани във втората част на становището ни, имайки предвид важността на проблема. </w:t>
            </w:r>
          </w:p>
          <w:p w14:paraId="2C87A4B5" w14:textId="77777777" w:rsidR="00CD7279" w:rsidRPr="00CE3F04"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 xml:space="preserve">VI. Недостатъчно публични средства предвидени за опазване на биологичното разнообразие, околна среда и климат; Предоставеният досега бюджет в СПРЗСР 2023-2027 показва изключително ниско финансово обезпечаване за дейности насочени пряко към биологичното разнообразие -6% от бюджета по Стълб 1 (докато напр. всички еко-схеми съставляват около 30% от общия бюджет по стълб I) и 3,8% от бюджета на стълб 2. СПРЗСР 2023-2027 обяснява, че 1,682 милиарда евро публични средства са разпределени за постигане на СЦ 6, като най-голям дял е посветен на следните интервенции: биологично земеделие (ЕЗФРСР); еко-схемите за диверсификация на култивираните култури, намаляване на употребата на пестициди, поддържане и подобряване на биоразнообразието и екологичната инфраструктура; и екосхема за поддържане и възстановяване на почвения потенциал — насърчаване на зелено торене и органично торене (ЕФГЗ). Обосновката на тези инструменти не позволява да се потвърди тяхната релевантност за изпълнението на целите на ЕС, свързани с Натура 2000 и биоразнообразието. В сравнение с общия необходим бюджет за биоразнообразие и климатични промени  заделените средства за биоразнообразие са твърде малко. Но по-големият проблем е, че тези средства не са достатъчни и не отговарят на заложените в НПРД необходими средства, дори ако се комбинират средствата по първи и втори стълб. Например Мярката за Натура 2000 в земеделски земи и гори според НПРД изисква средства в размер на 140 000 000 евро, докато във финансовия план са залегнали само 95 000 000 евро, т.е. с 45 000 000 </w:t>
            </w:r>
            <w:r w:rsidRPr="00CE3F04">
              <w:rPr>
                <w:rFonts w:ascii="Verdana" w:hAnsi="Verdana"/>
                <w:sz w:val="20"/>
                <w:szCs w:val="20"/>
              </w:rPr>
              <w:lastRenderedPageBreak/>
              <w:t xml:space="preserve">евро по-малко (намаление с 20 000 000 евро спрямо необходимите средства за земеделски земи в Натура 2000 и 25 000 000 евро по-малко от необходимите средства за Натура 2000 в гори). Мярката Натура 2000 съдържа специфични изисквания, които не са предвидени в еко-схемите по стълб 1 и бюджетният дефицит не може да се компенсира от там. Недостатъчните средства, заложени за Натура 2000, не съответстват на значението, което се отдава на мярката в интервенционната стратегия, но което е по-лошо, няма да доведе до постигане на заложените природозащитни цели.  Аналогично по отношение на мярката за застрашените видове птици, към червеногушата гъска са прибавени и хищни птици като царския орел и египетския лешояд, но общият бюджет на тази мярка е с 1,5 милиона по-нисък от заложения в НПРД. Този бюджет, както и бюджетът за мярката Натура 2000 са намалени спрямо предходния период, без да се отчита фактът, че е необходимо да се положат повече усилия. Трябва да подчертаем също, че мерките за застрашените видове птици, като червеногушата гъска, царския орел и египетския лешояд, са специфични и не се обхващат от еко-схемите по стълб 1, поради което е необходимо да е гарантиран целият им бюджет в стълб 2. </w:t>
            </w:r>
          </w:p>
          <w:p w14:paraId="6AC674CA"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CE3F04">
              <w:rPr>
                <w:rFonts w:ascii="Verdana" w:hAnsi="Verdana"/>
                <w:sz w:val="20"/>
                <w:szCs w:val="20"/>
              </w:rPr>
              <w:t>VII. Наличие на неподходящи или потенциално рискови интервенции по отношение на околна среда и климат, които не са подложени на Екологична оценка и Оценка за съвместимостта им с предмета и целите на опазване на Натура 2000. Липсата на завършена процедура по Стратегическа екологична оценка и оценка за съвместимост не позволява да се  се добие ясна представа за това кои интервенции/еко-схеми, в какъв аспект и до каква спепен биха могли да въздействат негативно върху копмонентите на биоразнообразието, коит</w:t>
            </w:r>
            <w:r>
              <w:rPr>
                <w:rFonts w:ascii="Verdana" w:hAnsi="Verdana"/>
                <w:sz w:val="20"/>
                <w:szCs w:val="20"/>
              </w:rPr>
              <w:t>о</w:t>
            </w:r>
            <w:r w:rsidRPr="00CE3F04">
              <w:rPr>
                <w:rFonts w:ascii="Verdana" w:hAnsi="Verdana"/>
                <w:sz w:val="20"/>
                <w:szCs w:val="20"/>
              </w:rPr>
              <w:t xml:space="preserve"> следва да бъдот опазвани и възстановявани. Въпреки ограниченото време за запознаване и анализ на публикуваниа за обествени консултации СПРЗСР 2023-2027, успяхме да идентифицираме мерки под формата на интервенции или еко-схеми, които са потенциално рискови и има вероятност да доведат до негативни въздействия за биологичното разнообразие.  Като цяло директните плащания на площ, доколкото поощряват интензификация и уедряване на земеделските</w:t>
            </w:r>
            <w:r>
              <w:rPr>
                <w:rFonts w:ascii="Verdana" w:hAnsi="Verdana"/>
                <w:sz w:val="20"/>
                <w:szCs w:val="20"/>
              </w:rPr>
              <w:t xml:space="preserve"> площи са рискови и потенциално </w:t>
            </w:r>
            <w:r w:rsidRPr="00CE3F04">
              <w:rPr>
                <w:rFonts w:ascii="Verdana" w:hAnsi="Verdana"/>
                <w:sz w:val="20"/>
                <w:szCs w:val="20"/>
              </w:rPr>
              <w:t>увреж</w:t>
            </w:r>
            <w:r>
              <w:rPr>
                <w:rFonts w:ascii="Verdana" w:hAnsi="Verdana"/>
                <w:sz w:val="20"/>
                <w:szCs w:val="20"/>
              </w:rPr>
              <w:t>дащи биологичното разнообразие.</w:t>
            </w:r>
            <w:r w:rsidRPr="00CE3F04">
              <w:rPr>
                <w:rFonts w:ascii="Verdana" w:hAnsi="Verdana"/>
                <w:sz w:val="20"/>
                <w:szCs w:val="20"/>
              </w:rPr>
              <w:t xml:space="preserve">Сред целенасочените мерки и интервенции такива са тези, които са свързани с напояване и повишаване на водочерпенето (включително интензивното биологично земеделие), диверсифицирането на отглежданите култури и отглеждането на култури адаптирани на климатичните промени (където се залага основно на зърнени култури – пшеница, слънчоглед). Една от проблематичните интервенции е мярката „Пасторализъм“, за която бе научно обосновано, че е нанесла щети върху алпийските тревни местообитания през изминалия про период, но въпреки отрицателните становища на МОСВ и граждански организации, не е ревизирана  спрямо исканията и е залегнала с прекомерно висок бюджет (виж т. 5.2 от настоящото становище). </w:t>
            </w:r>
          </w:p>
          <w:p w14:paraId="49A0077C" w14:textId="77777777" w:rsidR="00CD7279" w:rsidRPr="00603E1E"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Бележки по конкретни части от СПРЗСР 2023-2027   </w:t>
            </w:r>
          </w:p>
          <w:p w14:paraId="1B4BEC54" w14:textId="77777777" w:rsidR="00CD7279" w:rsidRPr="00603E1E"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1. Част 2. Оценка на потребностите и интервенционна стратегия, включително  индикаторен план и индикатори за контекста </w:t>
            </w:r>
          </w:p>
          <w:p w14:paraId="4AB6028B"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1.1 Описание на потребностите в интервенционната стратегия </w:t>
            </w:r>
          </w:p>
          <w:p w14:paraId="438C78E5"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a. В СПРЗСР 2023-2027 се твърди, че „всички идентифицирани потребности се основават на прозрачни (логически обосновани) критерии, определени от съответна държава–членка като приоритет“ (стр.120), но в документа не са </w:t>
            </w:r>
            <w:r w:rsidRPr="00603E1E">
              <w:rPr>
                <w:rFonts w:ascii="Verdana" w:hAnsi="Verdana"/>
                <w:sz w:val="20"/>
                <w:szCs w:val="20"/>
              </w:rPr>
              <w:lastRenderedPageBreak/>
              <w:t xml:space="preserve">представени критериите, определени от България, които са ползвани за определяне на потребностите. Необходимо е критериите за определяне на потребностите да бъдат представени в СПРЗСР 2023-2027; </w:t>
            </w:r>
          </w:p>
          <w:p w14:paraId="7F06C054"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b. Дефинираните в плана потребности не са групирани и някои от тях се припокриват, но са дефинирани в различни цели на плана. Например, развитието на биологичното производство е дефинирано като потребност в стратегически цели (СЦ) 4, 6 и 9, което води до объркване и неясна интервенционна логика. Считаме, че в случая пряката връзка е със СЦ9, и мястото на развитието на биологичното земеделие във всички аспекти е там. Връзката с останалите СЦ е косвена и не достатъчно аргументирана. Обръщаме внимание, че това е констатация и препоръка и на предварителната оценка на плана (стр. 115); </w:t>
            </w:r>
          </w:p>
          <w:p w14:paraId="410D603C"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c. Всички потребности, представени в СЦ 1, 2, 3, 4, 5 и 6 (стр. 41-77), описват лошо състояние на почти всички сектори в земеделието и дори влошаването им, въпреки финансовата подкрепа на ОСП (както за отглеждане, производство и преработка, така и по отношение подпомагането на селските райони с инфраструктура, подхода ВОМР и др.). Никъде не се представят реалните резултати в развитието на сектора в резултат от похарчените до този момент публични средства и как всъщност ОСП е допринесла за развитието на земеделския сектор в два поредни програмни периода (2007 – 2013 г и 2014 и 2020 г.). Възниква въпросът „Защо всъщност милиардите евро публични средства, които се инвестират в земеделието през последните 14 години не носят желания ефект?“ От представеното състояние на земеделието може да се направи изводът, че вероятно начинът на подпомагане до сега е изначално грешен и не постига целите си. Известно е, че формата на хоризонтално субсидиране, където единствените индикатори са количеството на раздадени средства и броя осъществени проекти, без изискване за резултат и ефект, е порочна практика. Липсата на ясни резултати от инвестираните досега публични средства в земеделието в комбинация с липсата на аргументация защо точно са нужни европейските средства за подпомагане правят плана и аргументацията за финансирането му много слаба. Тревожен е например фактът, че за да се реши проблемът с конкурентността, според обосновката на потребност 2.1 ще трябва да се уедри и интензифицира отглеждането на зеленчуци и плодове, което от своя страна ще означава по-голям натиск върху биоразнообразието и ползването на водни ресурси. Друга слабост е, че повечето анализи и сравнения са в период до 2016 или 2017 г. Логично е първите анализи да са правени тогава, но на практика поне половината от предходния период (2014-2020) е изключена от анализите. Друг слаб момент е непрекъснатото сравняване със земеделието в Западна Европа, без да се взема предвид, че това земеделие също е изправено пред огромното предизвикателство за реформиране, намаляване на интензивността, натиска върху природните ресурси и намаляване на химикалите. Затова по-добрата стратегия е да се произвежда качествена, чиста и здравословна храна, отколкото „да вървим в посоката, от която другите се връщат“. Необходимо е тази част СПРЗСР 2023-2027 да се преработи, като анализът се базира на постигнатите резултати през последните 14 години с аргументация за приноса на европейските публични средства за постигане на резултатите и какви са потребностите, за да се надгради постигнатото.  </w:t>
            </w:r>
          </w:p>
          <w:p w14:paraId="3931B23E"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d. За потребността „П.1.2.Повишаване на ефективността на подкрепата и увеличаване на икономическия потенциал на малките и средни стопанства“ (стр.42) се представя, че процентът на равномерно разпределените средства ще вдигнат до 27%, като за сравнение в периода 2008-2013 г. % на равномерно разпределените </w:t>
            </w:r>
            <w:r w:rsidRPr="00603E1E">
              <w:rPr>
                <w:rFonts w:ascii="Verdana" w:hAnsi="Verdana"/>
                <w:sz w:val="20"/>
                <w:szCs w:val="20"/>
              </w:rPr>
              <w:lastRenderedPageBreak/>
              <w:t xml:space="preserve">средства е бил 24-25%. На практика се залага твърде малка амбиция – нарастване само 2 до 3% и то в сравнение с първия програмен период. В този текст за предишния период (2014 – 2020 г) е дадена стойността на коефициента, което е различна мерна единица от другите две посочени и няма как да се сравни какво се очаква да бъде реалното увеличение. </w:t>
            </w:r>
          </w:p>
          <w:p w14:paraId="428FC333"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e. Потребностите за постигане на СЦ 4, съдържат идентични потребности, както и неясни, некоректно формулирани потребности. Потребности П4.2 и П4.5, отнасящи се до нискоинтензивните земеделски практики. Потребност 4.5 (стр.65) като че ли е изкуствено създадена заради определени производства. Трябва да се има в предвид и че в потребности от П1.1 до П1.4 определят екстензивността на земеделието като проблем! Така целите за конкурентоспособност и интензификация влизат в конфликт с целите за устойчивост и екстензивност. Считаме, че формулираната потребност П 4.5 трябва да отпадне, а в потребност 4.2 да се допълни намаляване на химическото третиране на земята посредством насърчаване на биологично земеделие и нискоинтензивни земеделски практики, които определено не се изчерпват с консервационно и биологично земеделие. </w:t>
            </w:r>
          </w:p>
          <w:p w14:paraId="20404ABB" w14:textId="77777777" w:rsidR="00CD7279"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f. От изложението на потребност П.4.3. „Производство на енергия от възобновяеми източници от селското стопанство…“ (стр. 63) не става ясно каква е всъщност потребността от ВЕИ в земеделието. От изложението излиза също, че 87% от ВЕИ в България е от биомаса, което не е вярно, защото най-малкото водната енергия заема най-голям процент в микса от ВЕИ според официалните източници. Потребността П4.6 „Увеличаване на производството на биомаса с животински произход“ (стр. 65), по същество може да с е разглежда като част от П 4.3 и следва да се обедини с нея, а текстът на самата потребност П 4.3 трябва да се коригира и допълни, за да е коректна и ясна потребността. </w:t>
            </w:r>
          </w:p>
          <w:p w14:paraId="5D7F9B2F" w14:textId="77777777" w:rsidR="00CD7279" w:rsidRPr="00603E1E"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 xml:space="preserve">g. В потребност „П.5.1.Поддържане на подходящ баланс на земеделските площи според вида на земеползване и поддържане на разнообразие на културите“ (стр.68) анализът не е много коректен по отношение на постоянно затревените площи (ПЗП), а потребността не е ясно адресирана. От изложението не става ясно каква е всъщност потребността от поддържане на подходящ баланс, как това се съчетава с потребността от залесяване. Изтъква се, че съотношението на тревните местообитания е запазено към референтна стойност от 2015 г., но нашият опит показва много разорани пасища през годините, включително за създаване на трайни насаждения. Текстът на потребността следва да се прецизира, като трябва също да се посочи, че между 2007 г. и 2015 г. са загубени значителни площи тревни местообитания.  </w:t>
            </w:r>
            <w:proofErr w:type="gramStart"/>
            <w:r>
              <w:rPr>
                <w:rFonts w:ascii="Verdana" w:hAnsi="Verdana"/>
                <w:sz w:val="20"/>
                <w:szCs w:val="20"/>
                <w:lang w:val="en-US"/>
              </w:rPr>
              <w:t>h</w:t>
            </w:r>
            <w:proofErr w:type="gramEnd"/>
            <w:r>
              <w:rPr>
                <w:rFonts w:ascii="Verdana" w:hAnsi="Verdana"/>
                <w:sz w:val="20"/>
                <w:szCs w:val="20"/>
                <w:lang w:val="en-US"/>
              </w:rPr>
              <w:t xml:space="preserve">. </w:t>
            </w:r>
            <w:r w:rsidRPr="00603E1E">
              <w:rPr>
                <w:rFonts w:ascii="Verdana" w:hAnsi="Verdana"/>
                <w:sz w:val="20"/>
                <w:szCs w:val="20"/>
              </w:rPr>
              <w:t xml:space="preserve">В „П.5.4.Продължаване на поддържането на нисък азотен и фосфорен отпечатък в почвите България …“ (стр.69) отново има тенденция за сравняване със Западна Европа, без да се отчете необходимостта там да се постигне значително намаляване на азота и фосфора. </w:t>
            </w:r>
          </w:p>
          <w:p w14:paraId="03713D35" w14:textId="77777777" w:rsidR="00CD7279" w:rsidRDefault="00CD7279" w:rsidP="00D550C0">
            <w:pPr>
              <w:widowControl w:val="0"/>
              <w:tabs>
                <w:tab w:val="left" w:pos="1565"/>
              </w:tabs>
              <w:autoSpaceDE w:val="0"/>
              <w:autoSpaceDN w:val="0"/>
              <w:spacing w:before="60" w:after="20"/>
              <w:jc w:val="both"/>
              <w:rPr>
                <w:rFonts w:ascii="Verdana" w:hAnsi="Verdana"/>
                <w:sz w:val="20"/>
                <w:szCs w:val="20"/>
                <w:lang w:val="en-US"/>
              </w:rPr>
            </w:pPr>
            <w:r w:rsidRPr="00603E1E">
              <w:rPr>
                <w:rFonts w:ascii="Verdana" w:hAnsi="Verdana"/>
                <w:sz w:val="20"/>
                <w:szCs w:val="20"/>
              </w:rPr>
              <w:t xml:space="preserve">Вместо това се неглижира факта, че употребата у нас е нараснала с цели 1,7 пъти в сравнение с 2007 г, което означава доста голямо натоварване на почвите. На практика с начина на изложение излиза, че има възможност да се увеличава още натоварването, докато се достигне до европейските нива, но това не е нито коректно нито в съответствие с европейските стратегически цели и с поне няколко от идентифицираните други потребности. Трябва да се преформулира самата потребност на „Постигане и поддържане на нисък азотен и фосфорен ….“, да се реферира към стойностите от 2007 г. и да се цели намаляването на този отпечатък до тези стойности, вместо да </w:t>
            </w:r>
            <w:r w:rsidRPr="00603E1E">
              <w:rPr>
                <w:rFonts w:ascii="Verdana" w:hAnsi="Verdana"/>
                <w:sz w:val="20"/>
                <w:szCs w:val="20"/>
              </w:rPr>
              <w:lastRenderedPageBreak/>
              <w:t xml:space="preserve">се толерира интензификацията на торенето.    </w:t>
            </w:r>
          </w:p>
          <w:p w14:paraId="2A45D9A5" w14:textId="77777777" w:rsidR="00CD7279" w:rsidRDefault="00CD7279" w:rsidP="00D550C0">
            <w:pPr>
              <w:widowControl w:val="0"/>
              <w:tabs>
                <w:tab w:val="left" w:pos="1565"/>
              </w:tabs>
              <w:autoSpaceDE w:val="0"/>
              <w:autoSpaceDN w:val="0"/>
              <w:spacing w:before="60" w:after="20"/>
              <w:jc w:val="both"/>
              <w:rPr>
                <w:rFonts w:ascii="Verdana" w:hAnsi="Verdana"/>
                <w:sz w:val="20"/>
                <w:szCs w:val="20"/>
                <w:lang w:val="en-US"/>
              </w:rPr>
            </w:pPr>
            <w:proofErr w:type="gramStart"/>
            <w:r>
              <w:rPr>
                <w:rFonts w:ascii="Verdana" w:hAnsi="Verdana"/>
                <w:sz w:val="20"/>
                <w:szCs w:val="20"/>
                <w:lang w:val="en-US"/>
              </w:rPr>
              <w:t>i</w:t>
            </w:r>
            <w:proofErr w:type="gramEnd"/>
            <w:r>
              <w:rPr>
                <w:rFonts w:ascii="Verdana" w:hAnsi="Verdana"/>
                <w:sz w:val="20"/>
                <w:szCs w:val="20"/>
                <w:lang w:val="en-US"/>
              </w:rPr>
              <w:t xml:space="preserve">. </w:t>
            </w:r>
            <w:r w:rsidRPr="00603E1E">
              <w:rPr>
                <w:rFonts w:ascii="Verdana" w:hAnsi="Verdana"/>
                <w:sz w:val="20"/>
                <w:szCs w:val="20"/>
              </w:rPr>
              <w:t xml:space="preserve">В изложението на потребност П.5.5. Продължаване на прилагане на оптимизирана и устойчива употреба на ПРЗ …“ (стр.69) изнесените данни са направо стряскащи – употребата на ПРЗ е нараснала 3,8 пъти за период от 3 години – т.е. повече от 1,3 пъти годишно. С такива данни няма как да се твърди, че в страната ни се прилага „оптимизирана и устойчива употреба на ПРЗ“, а трябва ясно да се алармира за очертаваща се много тревожна тенденция. Освен това трябва да се подчертае, че употребата на ПРЗ е един от най-проблематичните заплахи за биоразнообразието в земеделските земи, включително на много видове птици и по много начини. Потребността трябва да бъде преформулирана, като се премахнат думите „Продължаване на“ и освен водите да се добави „биоразнообразието и екосистемите“. Трябва ясно да се алармира за очертаваща се много тревожна тенденция. Освен това трябва да се подчертае, че употребата на ПРЗ е един от най-проблематичните заплахи за биоразнообразието в земеделските земи, включително на много видове птици и по много начини. Също така е важно да се реферира и към националния план за действие за борба срещу използването на отрови. В него ясно се подчертава, че всички отрови, които се ползват, и които причиняват смъртността на птици са на основата на ПРЗ. </w:t>
            </w:r>
          </w:p>
          <w:p w14:paraId="54BB5C0B" w14:textId="77777777" w:rsidR="00CD7279" w:rsidRDefault="00CD7279" w:rsidP="00D550C0">
            <w:pPr>
              <w:widowControl w:val="0"/>
              <w:tabs>
                <w:tab w:val="left" w:pos="1565"/>
              </w:tabs>
              <w:autoSpaceDE w:val="0"/>
              <w:autoSpaceDN w:val="0"/>
              <w:spacing w:before="60" w:after="20"/>
              <w:jc w:val="both"/>
              <w:rPr>
                <w:rFonts w:ascii="Verdana" w:hAnsi="Verdana"/>
                <w:sz w:val="20"/>
                <w:szCs w:val="20"/>
                <w:lang w:val="en-US"/>
              </w:rPr>
            </w:pPr>
            <w:proofErr w:type="gramStart"/>
            <w:r>
              <w:rPr>
                <w:rFonts w:ascii="Verdana" w:hAnsi="Verdana"/>
                <w:sz w:val="20"/>
                <w:szCs w:val="20"/>
                <w:lang w:val="en-US"/>
              </w:rPr>
              <w:t>j</w:t>
            </w:r>
            <w:proofErr w:type="gramEnd"/>
            <w:r>
              <w:rPr>
                <w:rFonts w:ascii="Verdana" w:hAnsi="Verdana"/>
                <w:sz w:val="20"/>
                <w:szCs w:val="20"/>
                <w:lang w:val="en-US"/>
              </w:rPr>
              <w:t xml:space="preserve">. </w:t>
            </w:r>
            <w:r w:rsidRPr="00603E1E">
              <w:rPr>
                <w:rFonts w:ascii="Verdana" w:hAnsi="Verdana"/>
                <w:sz w:val="20"/>
                <w:szCs w:val="20"/>
              </w:rPr>
              <w:t xml:space="preserve">В потребността „П.1.6. Оптимизиране на възможностите за напояване за намаляване на негативните последици от проявлението на природо-климатичните рискове и увеличаване на добивите…“ въпросът с напояването е разгледана твърде ограничено, и очаквано – без да се отчете фактът за намаляването на водните ресурси. Тук се говори предимно за водопреносна инфраструктура (конвенционалния начин), но в мерките не са предвидени механизми за по-ефективно ползване на водите и задържане на води чрез възстановяване на влажни зони.  </w:t>
            </w:r>
          </w:p>
          <w:p w14:paraId="32C6E851" w14:textId="77777777" w:rsidR="00CD7279" w:rsidRPr="00CE3F04" w:rsidRDefault="00CD7279" w:rsidP="00D550C0">
            <w:pPr>
              <w:widowControl w:val="0"/>
              <w:tabs>
                <w:tab w:val="left" w:pos="1565"/>
              </w:tabs>
              <w:autoSpaceDE w:val="0"/>
              <w:autoSpaceDN w:val="0"/>
              <w:spacing w:before="60" w:after="20"/>
              <w:jc w:val="both"/>
              <w:rPr>
                <w:rFonts w:ascii="Verdana" w:hAnsi="Verdana"/>
                <w:sz w:val="20"/>
                <w:szCs w:val="20"/>
              </w:rPr>
            </w:pPr>
            <w:r w:rsidRPr="00603E1E">
              <w:rPr>
                <w:rFonts w:ascii="Verdana" w:hAnsi="Verdana"/>
                <w:sz w:val="20"/>
                <w:szCs w:val="20"/>
              </w:rPr>
              <w:t>k. Аналогично потребността П.5.7.Намаляване на натиска от селското стопанство върху водните ресурси чрез подобряване на водния баланс и дела на напояване…“ (стр.71) е разгледана до голяма степен едностранчиво. Изложението има един основен пропуск – не отчита въздействието на натиска от ползването на водни ресурси върху стабилността на екосистемите и биоразнообразието. Не се прави връзка между ползването на водните ресурси и необходимостта от опазване на местообитанията, включително в Натура 2000 – от там с НПРД. В изложението ясно се прави връзка между засушаването на климата и недостига на водни ресурси, има положително предложение за повторно ползване на води за напояване, но основно е насочено към инвестиции в напоителните системи. Липсват каквито и да е механизми за генериране и задържане на водни ресурси. Това е вътрешно противоречие, тъй като при намаляване на водните ресурси и засушаване на климата няма откъде да се доставят нарасналите нужди от води за напояване, особено ако не се полагат грижи за природните водни екосистеми. Ключово е в тази потребност да се направи връзката между потреблението на водни ресурси за напояване, натиска върху водните екосистеми и необходимостта за опазване и възстановяване на природни водни екосистеми, включително в и около Натура 2000. Необходимо е ясно да се очертае нов подход по отношение задоволяване на нуждите от напояване, като приоритетът да бъде насочен към опазване и възстановяване на влажни зони като ресурс (за задържане и генериране на воден ресурс), опазване на горите в районите на генериране на водни ресурси, включително и опазване на карстовите подземни води, към ефективно, многократно ползване на води (за да се намали натиска върху природни екосистеми).</w:t>
            </w:r>
          </w:p>
          <w:p w14:paraId="13CB287F" w14:textId="77777777" w:rsidR="00CD7279" w:rsidRPr="000A316B" w:rsidRDefault="00CD7279" w:rsidP="00D550C0">
            <w:pPr>
              <w:widowControl w:val="0"/>
              <w:tabs>
                <w:tab w:val="left" w:pos="1565"/>
              </w:tabs>
              <w:autoSpaceDE w:val="0"/>
              <w:autoSpaceDN w:val="0"/>
              <w:spacing w:before="60" w:after="20"/>
              <w:jc w:val="both"/>
              <w:rPr>
                <w:rFonts w:ascii="Verdana" w:hAnsi="Verdana"/>
                <w:sz w:val="20"/>
                <w:szCs w:val="20"/>
              </w:rPr>
            </w:pPr>
            <w:r w:rsidRPr="000A316B">
              <w:rPr>
                <w:rFonts w:ascii="Verdana" w:hAnsi="Verdana"/>
                <w:sz w:val="20"/>
                <w:szCs w:val="20"/>
              </w:rPr>
              <w:lastRenderedPageBreak/>
              <w:t xml:space="preserve">1.2 Интервенционна стратегия за стратегическа цел 6 (СЦ 6) a. Дефинираните в СЦ 6 потребности П6.1. „Опазване на природозащитното състояние на естествените местообитанията и дивата флора и фауна от Европейски интерес“ и П.6.2. „Опазване на природозащитното състояние на видовете птици…“ са с най-нисък приоритет от потребностите в СЦ 6. Считаме, че това като цяло противоречи на самата стратегическа цел, на декларацията на плана (стр.34), както и на целите на европейските и национални стратегически документи, посочени по-горе в т. ІІ от настоящото становище (Европейския зелен пакт, Европейската стратегия за биологичното разнообразие 2030 и НПРД) и настояваме да се преразгледа и повиши нивото на приоритет на тези две потребности в СЦ6. В допълнение и в двете потребности установяваме твърдения, неотговарящи на фактическата обстановка. Твърдението в П6.1 „Данните за България, показват общо подобряване на консервационния статус на местообитанията… а тези в благоприятно състояние се увеличават от около 11% през 2012 г. до около 12% през 2018 г.“ (стр.72) отразява само частично информацията, представена в таблица 6.16 от пълния анализа на състоянието по цел 6, според която делът на местообитанията в лошо състояние се е увеличил от 0% през 2012 г. до 5% през 2018г.  Считаме че така представената информация е подвеждаща и следва да бъде ревизирана. Допълнителен довод за това е информацията, представена на фиг. 6.25 от пълния анализ по цел 6, според която около 84,6% от тревните площи в България имат неблагоприятно-неадекватен природозащитен статус. Тази информация следва да се отрази и в Слабите страни на SWOT анализа. </w:t>
            </w:r>
          </w:p>
          <w:p w14:paraId="73DD4509" w14:textId="77777777" w:rsidR="00CD7279" w:rsidRPr="000A316B" w:rsidRDefault="00CD7279" w:rsidP="00D550C0">
            <w:pPr>
              <w:widowControl w:val="0"/>
              <w:tabs>
                <w:tab w:val="left" w:pos="1565"/>
              </w:tabs>
              <w:autoSpaceDE w:val="0"/>
              <w:autoSpaceDN w:val="0"/>
              <w:spacing w:before="60" w:after="20"/>
              <w:jc w:val="both"/>
              <w:rPr>
                <w:rFonts w:ascii="Verdana" w:hAnsi="Verdana"/>
                <w:sz w:val="20"/>
                <w:szCs w:val="20"/>
              </w:rPr>
            </w:pPr>
            <w:r w:rsidRPr="000A316B">
              <w:rPr>
                <w:rFonts w:ascii="Verdana" w:hAnsi="Verdana"/>
                <w:sz w:val="20"/>
                <w:szCs w:val="20"/>
              </w:rPr>
              <w:t>В потребност 6.2. „Опазване и подобряване на природозащитното състояние на видове птици, свързани с обработваеми земи и тревни площи в земеделски земи“ (стр. 73) липсва актуалната и пълна информация за състоянието на птиците, тъй к</w:t>
            </w:r>
            <w:r>
              <w:rPr>
                <w:rFonts w:ascii="Verdana" w:hAnsi="Verdana"/>
                <w:sz w:val="20"/>
                <w:szCs w:val="20"/>
              </w:rPr>
              <w:t>ато се реферира периода до 2017</w:t>
            </w:r>
            <w:r w:rsidRPr="000A316B">
              <w:rPr>
                <w:rFonts w:ascii="Verdana" w:hAnsi="Verdana"/>
                <w:sz w:val="20"/>
                <w:szCs w:val="20"/>
              </w:rPr>
              <w:t>г. Спо</w:t>
            </w:r>
            <w:r>
              <w:rPr>
                <w:rFonts w:ascii="Verdana" w:hAnsi="Verdana"/>
                <w:sz w:val="20"/>
                <w:szCs w:val="20"/>
              </w:rPr>
              <w:t>ред официалните данни през 2021</w:t>
            </w:r>
            <w:r w:rsidRPr="000A316B">
              <w:rPr>
                <w:rFonts w:ascii="Verdana" w:hAnsi="Verdana"/>
                <w:sz w:val="20"/>
                <w:szCs w:val="20"/>
              </w:rPr>
              <w:t xml:space="preserve">г. „птиците в земеделските земи намаляват с 25% спрямо първата година на отчитането през </w:t>
            </w:r>
            <w:smartTag w:uri="urn:schemas-microsoft-com:office:smarttags" w:element="metricconverter">
              <w:smartTagPr>
                <w:attr w:name="ProductID" w:val="2005 г"/>
              </w:smartTagPr>
              <w:r w:rsidRPr="000A316B">
                <w:rPr>
                  <w:rFonts w:ascii="Verdana" w:hAnsi="Verdana"/>
                  <w:sz w:val="20"/>
                  <w:szCs w:val="20"/>
                </w:rPr>
                <w:t>2005 г</w:t>
              </w:r>
            </w:smartTag>
            <w:r w:rsidRPr="000A316B">
              <w:rPr>
                <w:rFonts w:ascii="Verdana" w:hAnsi="Verdana"/>
                <w:sz w:val="20"/>
                <w:szCs w:val="20"/>
              </w:rPr>
              <w:t xml:space="preserve">. С това индексът се доближава до най-ниската си стойност от 2018 и </w:t>
            </w:r>
            <w:smartTag w:uri="urn:schemas-microsoft-com:office:smarttags" w:element="metricconverter">
              <w:smartTagPr>
                <w:attr w:name="ProductID" w:val="2019 г"/>
              </w:smartTagPr>
              <w:r w:rsidRPr="000A316B">
                <w:rPr>
                  <w:rFonts w:ascii="Verdana" w:hAnsi="Verdana"/>
                  <w:sz w:val="20"/>
                  <w:szCs w:val="20"/>
                </w:rPr>
                <w:t>2019 г</w:t>
              </w:r>
            </w:smartTag>
            <w:r w:rsidRPr="000A316B">
              <w:rPr>
                <w:rFonts w:ascii="Verdana" w:hAnsi="Verdana"/>
                <w:sz w:val="20"/>
                <w:szCs w:val="20"/>
              </w:rPr>
              <w:t xml:space="preserve">. Сред основните причини за този спад е влошаване на състоянието на много от оценяваните птици, обитаващи земеделски земи.“7. Не е посочена и обобщена оценка от други анализи и оценки на състоянието на популациите на застрашените видове птици, напр. световно застрашени видове птици (царски орел, египетски лешояд, ловен сокол) и други застрашени видове, като малък креслив орел и др. – както от приети национални планове за действие, така и от докладването по чл. 12 от Директивата за птиците към </w:t>
            </w:r>
            <w:smartTag w:uri="urn:schemas-microsoft-com:office:smarttags" w:element="metricconverter">
              <w:smartTagPr>
                <w:attr w:name="ProductID" w:val="2018 г"/>
              </w:smartTagPr>
              <w:r w:rsidRPr="000A316B">
                <w:rPr>
                  <w:rFonts w:ascii="Verdana" w:hAnsi="Verdana"/>
                  <w:sz w:val="20"/>
                  <w:szCs w:val="20"/>
                </w:rPr>
                <w:t>2018 г</w:t>
              </w:r>
            </w:smartTag>
            <w:r w:rsidRPr="000A316B">
              <w:rPr>
                <w:rFonts w:ascii="Verdana" w:hAnsi="Verdana"/>
                <w:sz w:val="20"/>
                <w:szCs w:val="20"/>
              </w:rPr>
              <w:t xml:space="preserve">. Не са посочени и заплахите, свързани с прекомерно ползване на води, замърсяване на води, пряка смъртност на индивиди в следствие земеделски дейности, такива като машинно отстраняване на храсти, ранно косене с машини, използване на неселективни ПРЗ и лоши практики в ползването на ПРЗ, вкл. забранени препарати и нерегламентирано прилагане; унищожаване на хранителната база на птиците чрез ползване на ПРЗ.  Информацията тук следва да бъде осъвременена и допълнена, като освен обикновените видове птици да се дадат данни и оценки за състоянието на застрашени видове птици, които са зависими от земеделските земи, като червеногушата гъска, царския орел, египетския лешояд,  ловния сокол, малкия креслив орел, синявицата и др. и за които има данни, анализи и оценки в национални планове за действие и в оценките по докладването по чл.12 на Директивата за птиците. На тази база заложените мерки да бъдат по-конкретно насочени към спиране на негативните въздействия върху популациите на птиците. Като заплаха, произтичаща от земеделските дейности трябва да се добавят посочените по-горе липсващи в сегашния текст заплахи. Към </w:t>
            </w:r>
            <w:r w:rsidRPr="000A316B">
              <w:rPr>
                <w:rFonts w:ascii="Verdana" w:hAnsi="Verdana"/>
                <w:sz w:val="20"/>
                <w:szCs w:val="20"/>
              </w:rPr>
              <w:lastRenderedPageBreak/>
              <w:t xml:space="preserve">съществуващите потребности трябва да се добави необходимост от опазване и възстановяване местообитанията на видовете и адекватното опазване на самите видове. </w:t>
            </w:r>
          </w:p>
          <w:p w14:paraId="0AAE4D41" w14:textId="77777777" w:rsidR="00CD7279" w:rsidRPr="000A316B" w:rsidRDefault="00CD7279" w:rsidP="00D550C0">
            <w:pPr>
              <w:widowControl w:val="0"/>
              <w:tabs>
                <w:tab w:val="left" w:pos="1565"/>
              </w:tabs>
              <w:autoSpaceDE w:val="0"/>
              <w:autoSpaceDN w:val="0"/>
              <w:spacing w:before="60" w:after="20"/>
              <w:jc w:val="both"/>
              <w:rPr>
                <w:rFonts w:ascii="Verdana" w:hAnsi="Verdana"/>
                <w:sz w:val="20"/>
                <w:szCs w:val="20"/>
              </w:rPr>
            </w:pPr>
            <w:r w:rsidRPr="000A316B">
              <w:rPr>
                <w:rFonts w:ascii="Verdana" w:hAnsi="Verdana"/>
                <w:sz w:val="20"/>
                <w:szCs w:val="20"/>
              </w:rPr>
              <w:t xml:space="preserve">b. Биологичното земеделие е поставено с много висок приоритет в СЦ6, но на практика изискванията за прилагането му не включват активно пряко опазване на местообитания или видове или въобще на биоразнообразие. Биологичното земеделие е свързано само с неупотребата на повечето ПРЗ и химически торове. Затова биологичното земеделие, макар да има косвено значение за биоразнообразието във и извън Натура 2000, на практика отговаря единствено на принципа за не увреждане на природата („no harm to nature“) и в повечето случаи не е достатъчно за опазване на биоразнообразието. Трябва да се отчете също, че интензивното биологично земеделие може да има обратен ефект върху местообитанията основно поради водочерпенето, но не само. Затова биологичното земеделие само по себе си не може да замени целенасочените управленски мерки и за да е по-насочено към опазване на местообитанията е нужно да включва допълнителни изисквания. </w:t>
            </w:r>
          </w:p>
          <w:p w14:paraId="5BD66824" w14:textId="77777777" w:rsidR="00CD7279" w:rsidRPr="000A316B" w:rsidRDefault="00CD7279" w:rsidP="00D550C0">
            <w:pPr>
              <w:widowControl w:val="0"/>
              <w:tabs>
                <w:tab w:val="left" w:pos="1565"/>
              </w:tabs>
              <w:autoSpaceDE w:val="0"/>
              <w:autoSpaceDN w:val="0"/>
              <w:spacing w:before="60" w:after="20"/>
              <w:jc w:val="both"/>
              <w:rPr>
                <w:rFonts w:ascii="Verdana" w:hAnsi="Verdana"/>
                <w:sz w:val="20"/>
                <w:szCs w:val="20"/>
              </w:rPr>
            </w:pPr>
            <w:r w:rsidRPr="000A316B">
              <w:rPr>
                <w:rFonts w:ascii="Verdana" w:hAnsi="Verdana"/>
                <w:sz w:val="20"/>
                <w:szCs w:val="20"/>
              </w:rPr>
              <w:t>c. Анализ на силните и слабите страни (SWOT) Повечето заключения от анализа на силните и слабите страни (SWOT) по различните стратегически цели на СПРЗСР 2023-2027 не съдържат количествени параметри на тенденциите или на установеното състояние, които могат да бъдат полезни като референтни стойности или като индикации за успеха/неуспеха на подпомагането на земеделския сектор чрез еврофондовете през изминалите периоди. Установихме също некоректно подвеждащо  отразяване на анализите и заключенията в подробния SWOT анализ, който е публикуван като приложение към СПРЗСР 2023-2027 в настоящата процедура. Такъв е случаят например са твърденията в анализа на стратегическа цел 6 в (раздел 2.1), че „индексът на обикновените видове птици сочи увеличение“ (стр. 201 на СПРЗСР 2023-2027), че има „подобрение на консервационния статус на местообитанията“ (стр. 72 на СПРЗСР 2023-2027) и че „Природозащитният статус на земеделските местообитания (пасища), свързани със селското стопанство със стабилни или нарастващи тенденции (стр. 201 на СПРЗСР 20232027). При проверка на съответните текстове от подробния SWOT анализ, установихме, че определени части от анализа са извадени от контекста и подвеждащо интерпретирани в съвсем противоположен смисъл от представения в анализа. По същество част от</w:t>
            </w:r>
            <w:r>
              <w:rPr>
                <w:rFonts w:ascii="Verdana" w:hAnsi="Verdana"/>
                <w:sz w:val="20"/>
                <w:szCs w:val="20"/>
              </w:rPr>
              <w:t xml:space="preserve"> </w:t>
            </w:r>
            <w:r w:rsidRPr="000A316B">
              <w:rPr>
                <w:rFonts w:ascii="Verdana" w:hAnsi="Verdana"/>
                <w:sz w:val="20"/>
                <w:szCs w:val="20"/>
              </w:rPr>
              <w:t xml:space="preserve">информацията в анализа също е изваждана от контекста на ползваните първоизточници. В допълнение анализите са направени за периода до 2017 г., като не обхващат изцяло миналия програмен период и  без да са включени по-нови и актуални данни, които биха допринесли за обективността на анализите. Това води след себе си необективен анализ и необективно и подвеждащо дефиниране на потребности и приоритети. </w:t>
            </w:r>
          </w:p>
          <w:p w14:paraId="4B660964" w14:textId="77777777" w:rsidR="00CD7279" w:rsidRDefault="00CD7279" w:rsidP="00D550C0">
            <w:pPr>
              <w:jc w:val="both"/>
              <w:rPr>
                <w:rFonts w:ascii="Verdana" w:hAnsi="Verdana"/>
                <w:sz w:val="20"/>
                <w:szCs w:val="20"/>
              </w:rPr>
            </w:pPr>
            <w:r w:rsidRPr="000A316B">
              <w:rPr>
                <w:rFonts w:ascii="Verdana" w:hAnsi="Verdana"/>
                <w:sz w:val="20"/>
                <w:szCs w:val="20"/>
              </w:rPr>
              <w:t xml:space="preserve">d. Анализът на силните и слабите страни (SWOT) и потребностите по отношение на стратегическа цел 6 в (раздел 2.1) съдържа редица неточности.  </w:t>
            </w:r>
          </w:p>
          <w:p w14:paraId="248312C7" w14:textId="77777777" w:rsidR="00CD7279" w:rsidRDefault="00CD7279" w:rsidP="00D550C0">
            <w:pPr>
              <w:jc w:val="both"/>
              <w:rPr>
                <w:rFonts w:ascii="Verdana" w:hAnsi="Verdana"/>
                <w:sz w:val="20"/>
                <w:szCs w:val="20"/>
              </w:rPr>
            </w:pPr>
            <w:r w:rsidRPr="000A316B">
              <w:rPr>
                <w:rFonts w:ascii="Verdana" w:eastAsia="MS Gothic" w:hAnsi="Verdana" w:cs="MS Gothic" w:hint="eastAsia"/>
                <w:sz w:val="20"/>
                <w:szCs w:val="20"/>
              </w:rPr>
              <w:t>✓</w:t>
            </w:r>
            <w:r w:rsidRPr="000A316B">
              <w:rPr>
                <w:rFonts w:ascii="Verdana" w:hAnsi="Verdana"/>
                <w:sz w:val="20"/>
                <w:szCs w:val="20"/>
              </w:rPr>
              <w:t xml:space="preserve"> Повечето от силните страни не са коректно изведени:  - СС3: тенденциите в площта на териториите с биологично земеделие трябва да бъдат уточнени и количествено определени; - СС4: Индексът на обикновените видове птици за България е некоректно представен като силна страна (стр. 201). „Индексът на обикновените видове птици за България показва увеличение на числеността с 11% на фона на дългосрочна тенденция на намаление за ЕС“ е некоректно твърдение. То произлиза от некоректно интерпретиране на резултатите от Мониторинга на обикновените видове птици, използван за целите на SWOT анализа. На стр.52 от този анализ </w:t>
            </w:r>
            <w:r w:rsidRPr="000A316B">
              <w:rPr>
                <w:rFonts w:ascii="Verdana" w:hAnsi="Verdana"/>
                <w:sz w:val="20"/>
                <w:szCs w:val="20"/>
              </w:rPr>
              <w:lastRenderedPageBreak/>
              <w:t>пише „Общата тенденция за периода 2005 – 2017 г. за общо 50 вида, съставляващи индикатора, е за увеличение на числеността с 11%. Това се дължи изцяло на положителните тенденции при горските видове и птиците от други типове местообитания. Запазва се силно неблагоприятната тенденция на видовете, обитаващи земеделските земи (-27%), или обитаващи местообитания, които под някаква форма са повлияни от селскостопанските политики и практики. Намаляването на индекса за състоянието на популациите на птиците е признак за влошеното състояние на тези видове и средата, която обитават“. Тук ясно се вижда, че на практика само горските птици имат тенденция към увеличение, докато индекса на птиците на земеделските земи намалява с 27%. Последният доклад за МОВП за периода 2005-2021 г. показва намаление на индекса с 25%, докато за горските птици повишението продължава, но следва да се разглежда критично8. Научната публикация, анализираща състоянието на птиците в земеделските земи9, също доказва ясни негативни тенденции. От това следва, че всъщност според индексът на обикновените видове птици този аспект трябва да се отнесе към заплахите, а в никакъв случай към силните страни. Настояваме да се интерпретира коректно индексът на обикновените видове в SWOT анализа да се допълни и да се преформулира коректно текстът тук, като този аспект се отнесе към „Заплахи“. - СС5: Тук погрешно се представя индикаторът за водолюбиви птици като силна страна (стр. 201) на база на некоректна интерпретация на резултати в SWOT анализа (стр.5557 от SWOT анализа) – там е буквално пренесена информацията от публичен доклад на ИАОС до 2017 г, но е интерпретирана. Характерно за зимуващите водолюбиви птици е колебанието в числеността им, което зависи много не само от гнездовия успех на видовете в местата им на гнездене, но и от климатичните условия, състоянието на влажните зони и състоянието на хранителната база в местата на зимуване. Факторите свързани с лова и бракониерството също имат принос в местата на струпване на птиците, но не толкова съществен, колкото другите посочени по-горе фактори. В</w:t>
            </w:r>
            <w:r>
              <w:rPr>
                <w:rFonts w:ascii="Verdana" w:hAnsi="Verdana"/>
                <w:sz w:val="20"/>
                <w:szCs w:val="20"/>
              </w:rPr>
              <w:t xml:space="preserve"> </w:t>
            </w:r>
            <w:r w:rsidRPr="00726082">
              <w:rPr>
                <w:rFonts w:ascii="Verdana" w:hAnsi="Verdana"/>
                <w:sz w:val="20"/>
                <w:szCs w:val="20"/>
              </w:rPr>
              <w:t xml:space="preserve">допълнение трябва да се отбележи, че най-актуалната информация представена от ИАОС10 е към 2019 г. и показва, че през 2018 г. числеността на птиците е достигнала изключително ниски равнища (131493 индивида), което е почти на равнищата от 20012002 г. Ако анализът бе направен с последна година 2018 г., би следвало ниската стойност на индикатора да определи този аспект като заплаха, което също не е коректно. По тази причина, за да се изведе вероятна зависимост между зимуващите водолюбиви птици и земеделските практики, ползвайки този индекс, е необходимо да се отчетат и други фактори в земеделския сектор през анализирания период, наймалкото площите засети със зимни култури и тези оставени на угар, като също се отчетат и климатичните фактори. Също така тук е важно да се взема не просто индикатора зимуващи водолюбиви птици, а числеността на гъскоподобните видове птици (видовете от род Anser и Branta), които зависят от състоянието на зимните посеви и в същото време с числеността им имат определящо значение за колебанията на общия индикатор. Въпреки колебанията продължителния мониторинг показва определена цикличност на числеността на зимуващите птици, но тенденциите трябва да се анализират внимателно а не на база единствено последната отчетна година. В този смисъл не може да се каже, че този индикатор представлява силна страна; поскоро може да се разглежда като възможност, но при всички случаи е необходимо да се прецизира. Предлагаме този текст да се коригира като се даде действителната тенденция в развитието на индикатора за периода до 2019 г. включително и да се премести във „Възможности“. Ако остане тук трябва много ясно да се обоснове на база </w:t>
            </w:r>
            <w:r w:rsidRPr="00726082">
              <w:rPr>
                <w:rFonts w:ascii="Verdana" w:hAnsi="Verdana"/>
                <w:sz w:val="20"/>
                <w:szCs w:val="20"/>
              </w:rPr>
              <w:lastRenderedPageBreak/>
              <w:t xml:space="preserve">значимостта на териториите за зимуващите водолюбиви птици, особено гъски (връзка със земеделието) и проявяващата се цикличност в числеността на видовете. Тук Силната страна трябва да е свързана със значението за  птиците и произтичащата от това по-голяма отговорност. Логиката е същата и ако става въпрос за възможност. - СС6: Общо подобряване на природозащитното състояние на местообитанията – Текстът „намалява делът на местообитанията в неблагоприятно-незадоволително (U1) от 88% до 79%, а се увеличава дела на тези в благоприятно състояние от 11% до 12%“ (стр. 201) е неточно интерпретиран и подвеждащ . От текста на SWOT анализа (стр. 71, фиг. 6.26) е видно, че намалението на % на местообитанията в неблагоприятно-незадоволително от 88% на 79% се дължи основно на влошаване на състоянието на местообитанията и появата на един значителен процент местообитания в незадоволително лошо състояние, липсващ в предходния период – поне 5,3% според оригиналния първоизточник11. В същото време местообитанията в благоприятно състояние са се увеличили само с 1,5%. На практика първоизточникът доказва, че тенденцията в състоянието на местообитанията е негативна и положените усилия са недостатъчни. Тези факти не се представят коректно още в самия SWOT анализ, а след това преиначената информация води до подвеждащи резултати в самия анализ. Настояваме коректно да се анализира първоизточника и на неговата база да се направят анализите. На практика този аспект е необходимо да се категоризира като заплаха и текстът да се премести в раздел „Заплахи“; </w:t>
            </w:r>
          </w:p>
          <w:p w14:paraId="537420C7" w14:textId="77777777" w:rsidR="00CD7279" w:rsidRPr="00B85887" w:rsidRDefault="00CD7279" w:rsidP="00D550C0">
            <w:pPr>
              <w:jc w:val="both"/>
              <w:rPr>
                <w:rFonts w:ascii="Verdana" w:hAnsi="Verdana"/>
                <w:sz w:val="20"/>
                <w:szCs w:val="20"/>
              </w:rPr>
            </w:pPr>
            <w:r w:rsidRPr="00B85887">
              <w:rPr>
                <w:rFonts w:ascii="Verdana" w:hAnsi="Verdana"/>
                <w:sz w:val="20"/>
                <w:szCs w:val="20"/>
              </w:rPr>
              <w:t xml:space="preserve">- СС7: Текстът „Делът (в %) на видове/популации на птици, размножаващи се в България, с намаляващ или стабилен статус остава относително постоянен…“ (стр. 201) е неточен и подвеждащ. Представената графика в SWOT анализа (стр. 73, фигура 6,28) е неправилно интерпретирана в анализа спрямо първоизточника. При внимателен преглед на графиката се вижда, че по отношение на краткосрочните тенденции видовете птици с намаляващи популации са се увеличили с 4% спрямо предходния период, като този спад не може да се класифицира като „без изменение“ или  „слабо/незначително изменение“. Измененията в процентното отношение между различните категории, при запазване постоянен процент на видовете в благоприятно природозащитно състояние, като при това дела на видовете в неблагоприятно природозащитно състояние се увеличава, е ясна индикация за нестабилността в тенденциите на популациите на видовете като цяло и случващи се промени, които не допринасят за благоприятното природозащитно състояние на видовете. Анализът следва ясно да отчете тези тенденции, които доказват недостатъчност на усилията и да се категоризира този аспект като слабост. Трябва да се отчете и факта, че има значителен процент видове с неизвестен статус, което се дължи основно на липсата на мониторинг. Настояваме да се коригира текста като се интерпретира коректно информацията от първоизточника и да се отнесе този аспект в раздел „Слаби страни“. - СС9: Твърдението, че „Природозащитният статус на земеделските местообитания (пасища), свързани със селското стопанство със стабилни или нарастващи тенденции“ е силна страна е неточно и подвеждащо. Точният текст от анализа по цел 6 (стр. 120, точка 14) посочва: “Природозащитния статус на земеделските местообитания (пасища) (ОРМО Контекст-индикатор C.36 Conservation status of agricultural habitats (grassland), от интерес за Общността (Член 17 от Директивата за Хабитатите (Article 17, Habitats Directive 92/43/EEC), свързани със селското стопанство със стабилни или нарастващи тенденции показва, че в България само 15,4% са в благоприятен статус. Около 84,6% от тревните площи имат неблагоприятно-неадекватен природозащитен статус.“ Това на практика означава точно обратното – </w:t>
            </w:r>
            <w:r w:rsidRPr="00B85887">
              <w:rPr>
                <w:rFonts w:ascii="Verdana" w:hAnsi="Verdana"/>
                <w:sz w:val="20"/>
                <w:szCs w:val="20"/>
              </w:rPr>
              <w:lastRenderedPageBreak/>
              <w:t>че тенденциите са отрицателни. Настояваме текстът да се коригира и да се премести в „Заплахи“.  - СС10: Подвеждащ е текстът и на силна страна 10: Защитените територии в България се увеличават, както по отношение на общата площ (SEBI 007), така и като брой защитените територии. Защитените територии в България заемат едва около 5% от територията на страната и по-голямата част от тях са гори. Според представения първоизточник в SWOT анализа (стр. 93, фиг. 6.31) е видно, че наистина за периода 2004 – 2017 г. броят и площта на защитените територии се увеличава, но в действителност в периода 2013-2017 г. площта не се изменя, а броят се променя едва забележимо. Изводът тук следва да бъде че броят и площта на защитените територии в страната е стабилно нисък и ако се анализира по-дълбоко – крайно недостатъчен, за да се защити адекватно биоразнообразието. Изхождайки от целите на Европейската стратегия за биологично разнообразие 2030, където е необходимо да постигнем 10% строго защитени територии е видно, че предизвикателството пред България е голямо, особено отчитайки темповете на нарастване досега. В този смисъл и отчитайки високия процент Натура 2000 и важни за биоразнообразието територии, по-логично е на тази база да се поставят защитените територии като възможност, а не като силна</w:t>
            </w:r>
            <w:r>
              <w:rPr>
                <w:rFonts w:ascii="Verdana" w:hAnsi="Verdana"/>
                <w:sz w:val="20"/>
                <w:szCs w:val="20"/>
              </w:rPr>
              <w:t xml:space="preserve"> </w:t>
            </w:r>
            <w:r w:rsidRPr="00B85887">
              <w:rPr>
                <w:rFonts w:ascii="Verdana" w:hAnsi="Verdana"/>
                <w:sz w:val="20"/>
                <w:szCs w:val="20"/>
              </w:rPr>
              <w:t xml:space="preserve">страна. Предлагаме този аспект да се отрази коректно в SWOT анализа и да се премести в раздел „Възможности“. В същото време не е посочен опитът, който е придобит до момента в прилагането на специфични агроекологични мерки с цел опазване местообитания на застрашени видове. Такива има идентифицирани поне за царския орел. Предлагаме този опит да бъде добавен в списъка на силните страни.  </w:t>
            </w:r>
          </w:p>
          <w:p w14:paraId="291A4CE2" w14:textId="77777777" w:rsidR="00CD7279" w:rsidRDefault="00CD7279" w:rsidP="00D550C0">
            <w:pPr>
              <w:jc w:val="both"/>
              <w:rPr>
                <w:rFonts w:ascii="Verdana" w:hAnsi="Verdana"/>
                <w:sz w:val="20"/>
                <w:szCs w:val="20"/>
              </w:rPr>
            </w:pPr>
            <w:r w:rsidRPr="00B85887">
              <w:rPr>
                <w:rFonts w:ascii="Verdana" w:eastAsia="MS Gothic" w:hAnsi="Verdana" w:cs="MS Gothic" w:hint="eastAsia"/>
                <w:sz w:val="20"/>
                <w:szCs w:val="20"/>
              </w:rPr>
              <w:t>✓</w:t>
            </w:r>
            <w:r w:rsidRPr="00B85887">
              <w:rPr>
                <w:rFonts w:ascii="Verdana" w:hAnsi="Verdana"/>
                <w:sz w:val="20"/>
                <w:szCs w:val="20"/>
              </w:rPr>
              <w:t xml:space="preserve"> Част от слабите страни също са некоректно представени, като например СлС3 относно тенденциите на птиците. Слаба страна СлС5 показва, че някои пасища с висока природна стойност са унищожени, но трябва да се отбележи, че почти половината от пасищата с висока природна стойност в България, включени в НАТУРА 2000, са унищожени. Списъкът на слабите страни според нас е непълен. Предлагаме, освен предложенията за преместване на част от изводите кат ослаби страни, да бъдат допълнени следните слаби страни: Неблагоприятно-неадекватен природозащитен статус на 84,6% от тревните местообитания в България; Липсата на физическа свързаност (Зелена инфраструктура и ключови връзки) между защитените зони НАТУРА 2000; Територията на НАТУРА 2000 (34% от страната) остава неефективно управлявана от създаването й. Да се допълни като слаба страна изводът от анализа по цел 6, че площите под екстензивна паша в България заемат само около 8% от ИЗП да се направи връзка със земите с ВПС (фигура 6.6. от анализа по СЦ 6). Да се анализира и допълни като слаба страна липсата на целенасочена система за наблюдение на екологичния ефект от  прилагането на схеми, мерки и де свързани с опазването на околната среда. Въвличането на земеделските производители в наблюдението на екологичните ефекти ще допринесе за тяхната ангажираност към постигането на екологичните цели и същевременно ще повиши знанията им за въздействието на схемите в собствените им стопанства. Събирането на регулярни и систематични данни за ефекта от еко-схемите в различните земеделски стопанства и райони ще допринесе за създаването на национална база данни, която да се използва за обосновка на нови и/или адаптирани инструменти за опазването на околната среда в земеделските земи. </w:t>
            </w:r>
          </w:p>
          <w:p w14:paraId="710444BA" w14:textId="77777777" w:rsidR="00CD7279" w:rsidRDefault="00CD7279" w:rsidP="00D550C0">
            <w:pPr>
              <w:jc w:val="both"/>
              <w:rPr>
                <w:rFonts w:ascii="Verdana" w:hAnsi="Verdana"/>
                <w:sz w:val="20"/>
                <w:szCs w:val="20"/>
              </w:rPr>
            </w:pPr>
            <w:r w:rsidRPr="00B85887">
              <w:rPr>
                <w:rFonts w:ascii="Verdana" w:eastAsia="MS Gothic" w:hAnsi="Verdana" w:cs="MS Gothic" w:hint="eastAsia"/>
                <w:sz w:val="20"/>
                <w:szCs w:val="20"/>
              </w:rPr>
              <w:t>✓</w:t>
            </w:r>
            <w:r w:rsidRPr="00B85887">
              <w:rPr>
                <w:rFonts w:ascii="Verdana" w:hAnsi="Verdana"/>
                <w:sz w:val="20"/>
                <w:szCs w:val="20"/>
              </w:rPr>
              <w:t xml:space="preserve"> Списъкът на възможностите също не е изчерпателен. Трябва да се допълнят възможностите със следните: Повишено търсене и нарастване на директните продажби на продуктите от райони с ВПС, допринасящи за повишаване на доходите на земеделските стопани в тези райони; Повишаване на интереса на земеделските </w:t>
            </w:r>
            <w:r w:rsidRPr="00B85887">
              <w:rPr>
                <w:rFonts w:ascii="Verdana" w:hAnsi="Verdana"/>
                <w:sz w:val="20"/>
                <w:szCs w:val="20"/>
              </w:rPr>
              <w:lastRenderedPageBreak/>
              <w:t xml:space="preserve">производители за изпълняване на дейности, свързани с опазване на биологичното разнообразие и екосистемите; Развитие на екосистемните услуги; Нарастване на знанията и развитие на иновациите за опазване на видовете, местообитанията и ландшафта и земеделските земи с висока природна стойност; натрупан опит в прилагане на агроекологични мерки, насочени към опазване на местообитания на застрашени видове птици – царски орел, червеногуша гъска, които могат да послужат като отправна точка за разширяване обхвата на такива мерки и за по-широкото им прилагане. </w:t>
            </w:r>
          </w:p>
          <w:p w14:paraId="4BCD907A" w14:textId="77777777" w:rsidR="00CD7279" w:rsidRPr="00726082" w:rsidRDefault="00CD7279" w:rsidP="00D550C0">
            <w:pPr>
              <w:jc w:val="both"/>
              <w:rPr>
                <w:rFonts w:ascii="Verdana" w:hAnsi="Verdana"/>
                <w:sz w:val="20"/>
                <w:szCs w:val="20"/>
              </w:rPr>
            </w:pPr>
            <w:r w:rsidRPr="00B85887">
              <w:rPr>
                <w:rFonts w:ascii="Verdana" w:eastAsia="MS Gothic" w:hAnsi="Verdana" w:cs="MS Gothic" w:hint="eastAsia"/>
                <w:sz w:val="20"/>
                <w:szCs w:val="20"/>
              </w:rPr>
              <w:t>✓</w:t>
            </w:r>
            <w:r w:rsidRPr="00B85887">
              <w:rPr>
                <w:rFonts w:ascii="Verdana" w:hAnsi="Verdana"/>
                <w:sz w:val="20"/>
                <w:szCs w:val="20"/>
              </w:rPr>
              <w:t xml:space="preserve"> Списъкът със заплахите е непълен и не съответства на подробния анализ. Необходимо е да бъде допълнен с некоректно дефинираните като силни страни заплахи (виж погоре), както и със следните заплахи: Продължаващата фрагментация и загуба на местообитания и загубата на мозаечен ландшафт; Замърсяването на околната среда; Прякото унищожение и експлоатация; Генетична ерозия и внасяне на неместни видове;</w:t>
            </w:r>
          </w:p>
          <w:p w14:paraId="282C6A5E" w14:textId="77777777" w:rsidR="00CD7279" w:rsidRPr="00CA3B4F" w:rsidRDefault="00CD7279" w:rsidP="00D550C0">
            <w:pPr>
              <w:widowControl w:val="0"/>
              <w:tabs>
                <w:tab w:val="left" w:pos="1565"/>
              </w:tabs>
              <w:autoSpaceDE w:val="0"/>
              <w:autoSpaceDN w:val="0"/>
              <w:spacing w:before="60" w:after="20"/>
              <w:jc w:val="both"/>
              <w:rPr>
                <w:rFonts w:ascii="Verdana" w:hAnsi="Verdana"/>
                <w:sz w:val="20"/>
                <w:szCs w:val="20"/>
              </w:rPr>
            </w:pPr>
            <w:r w:rsidRPr="00CA3B4F">
              <w:rPr>
                <w:rFonts w:ascii="Verdana" w:hAnsi="Verdana"/>
                <w:sz w:val="20"/>
                <w:szCs w:val="20"/>
              </w:rPr>
              <w:t xml:space="preserve">Глобално изменение на климата; Проблеми при информиране и привличане на обществеността за опазване на биологичното разнообразие и екологично образование; Разораването на пасища и ливади; Премахване на храсти от ливади и пасища; пожари (както предизвикани от човека, така и естествени) засягат пасища и горски местообитания; унищожаване на установени биокоридори – полезащитните пояси (ветрозащитни пояси) и премахване на крайречната растителност; всички зони от НАТУРА 2000 все още нямат цели за опазване, така че не могат да бъдат формулирани адекватни мерки. Обща заплаха за селскостопанските местообитания, обработваеми земи, пасища и гори е загубата на свързаност – проблем, който до голяма степен се подценява, тъй като не се планират мерки извън Натура 2000. В началото на СЦ 6 е цитиран Националния план за борба с отровите, но идентифицираните там заплахи, произтичащи от земеделието не са интегрирани в анализа. Тъй като земеделската политика е важен фактор в този проблем е необходимо всички установени заплахи да бъдат интегрирани тук. </w:t>
            </w:r>
          </w:p>
          <w:p w14:paraId="4AF96E04" w14:textId="77777777" w:rsidR="00CD7279" w:rsidRDefault="00CD7279" w:rsidP="00D550C0">
            <w:pPr>
              <w:jc w:val="both"/>
              <w:rPr>
                <w:rFonts w:ascii="Verdana" w:hAnsi="Verdana"/>
                <w:sz w:val="20"/>
                <w:szCs w:val="20"/>
              </w:rPr>
            </w:pPr>
            <w:r w:rsidRPr="00CA3B4F">
              <w:rPr>
                <w:rFonts w:ascii="Verdana" w:hAnsi="Verdana"/>
                <w:sz w:val="20"/>
                <w:szCs w:val="20"/>
              </w:rPr>
              <w:t xml:space="preserve">e. Във формулирането на потребностите по СЦ 6 на базата на представения  SWOT анализ има непълноти и пропуски (стр.206-211). Има разминаване между списъка с посочени интервенции, адресиращи потребностите на цел 6 и обосновката на интервенциите. В списъка има 3 интервенции, които не са посочени в списъка; има и 10 интервенции, които ги има в списъка, но не са посочени в обосноввката. Тъй като много от  включените в списъка мерки не са аргументирани в интервенционната логика, то самата интервенционна логика е много слаба. Тези несъответствия объркват читателя и не дават ясна рамка за това как ще бъдат точно постигната цел 6 и как ще бъдат адресирани потребностите. Като цяло интервенциите в тази цел не отразяват в необходимата степен потребностите заложени в НПРД. Тук се съдържат множество мерки, свързани с опазването и подобряването на домашните животни и култивираните растения, които не са релевантни за стратегическа цел СЦ 6 (да допринесе за спиране и обръщане на загубата на биоразнообразие, подобряване на екосистемните услуги и опазване на местообитания и ландшафти). Единствената интервенция насочена към застрашени видове е интервенцията за опазване местообитанията на червеногушата гъска, царският орел и египетския лешояд, но дори при нея в интервенционната логика липсват двата вида хищни птици. Освен мерките от националните планове за действие за ловен сокол, малък креслив орел,  в интервенционната логика не са специално разгледани и не са предвидени интервенции, свързани със земеделие, за видовете птици, срещащи се в България по време на гнездене, миграция </w:t>
            </w:r>
            <w:r w:rsidRPr="00CA3B4F">
              <w:rPr>
                <w:rFonts w:ascii="Verdana" w:hAnsi="Verdana"/>
                <w:sz w:val="20"/>
                <w:szCs w:val="20"/>
              </w:rPr>
              <w:lastRenderedPageBreak/>
              <w:t>или зимуване, за които има одобрени плановете за действие за видове на ниво ЕС: черноопашат крайбрежен бекас (Limosa limosa), кадифена потапница (Melanitta fusca), голям свирец (Numenius arquata), шилоопашата патица (Anas acuta), червеноклюна потапница (Netta rufina), полска чучулига (Alauda arvensis), гургулица (Streptopelia turtur). Значителен принос е отделен на биологичното земеделие, което в настоящия си обхват има само косвено значение за опазване на биоразнообразие и следва да бъде отнесен към СЦ 9, където неговата роля е пряка. В същото време, както е посочено по-горе опазването и възстановяването на видове и местообитания от обществен интерес, свързани със земеделски и горски местообитания е с най-нисък приоритет в СЦ 6, а би трябвало да бъде определено с най-висок приоритети интервенциите и заложените средства да бъдат достатъчни и фокусирани именно в тази насока. В допълнение за посрещане на потребност „Насърчаване на извършването на земеделски дейности в</w:t>
            </w:r>
            <w:r>
              <w:rPr>
                <w:rFonts w:ascii="Verdana" w:hAnsi="Verdana"/>
                <w:sz w:val="20"/>
                <w:szCs w:val="20"/>
              </w:rPr>
              <w:t xml:space="preserve"> </w:t>
            </w:r>
            <w:r w:rsidRPr="009F301A">
              <w:rPr>
                <w:rFonts w:ascii="Verdana" w:hAnsi="Verdana"/>
                <w:sz w:val="20"/>
                <w:szCs w:val="20"/>
              </w:rPr>
              <w:t xml:space="preserve">райони с природни и други специфични ограничения“ в СЦ 6 не е предвидена мярката Натура 2000, докато в СЦ 1 мярката Натура 2000 е посочена именно за такива райони. Липсата на мярката Натура 2000 в този случай е нелогична. </w:t>
            </w:r>
          </w:p>
          <w:p w14:paraId="5DFE6F6F" w14:textId="77777777" w:rsidR="00CD7279" w:rsidRDefault="00CD7279" w:rsidP="00D550C0">
            <w:pPr>
              <w:jc w:val="both"/>
              <w:rPr>
                <w:rFonts w:ascii="Verdana" w:hAnsi="Verdana"/>
                <w:sz w:val="20"/>
                <w:szCs w:val="20"/>
              </w:rPr>
            </w:pPr>
            <w:r w:rsidRPr="009F301A">
              <w:rPr>
                <w:rFonts w:ascii="Verdana" w:hAnsi="Verdana"/>
                <w:sz w:val="20"/>
                <w:szCs w:val="20"/>
              </w:rPr>
              <w:t xml:space="preserve">f. За нито един от представените индикатори за СЦ 6 няма базова стойност. На повечето от интервенциите тук въобще няма индикатор за резултат. Целевите стойности са твърде неамбициозни за значението което би следвало да има плана за устойчивото управление на природните ресурси. Например, независимо, че защитените зони от Натура 2000 със заповеди за обявяване заемат около 22% от територията на страната, а общо мрежата – 34%; като целева стойност се залага 5,34%, което не е много ясно какво означава - % от територията на страната или % от мрежата. Не е ясно обаче защо след като почти всички защитени зони за птици са били обхванати от плащания по мярката Натура 2000 в предходния период (на практика повече от 40% от територията на Натура 2000 за птици и над 70% от избираемите площи), сега амбицията е под 6%. Мярката за застрашените видове птици въобще няма индикатор за резултат. Не е представена обосновка на целевите стойности на индикаторите за резултат, както и важните етапи (milestones) на постигането им, както се изисква от формата на Европейската комисия. </w:t>
            </w:r>
          </w:p>
          <w:p w14:paraId="0505E951" w14:textId="77777777" w:rsidR="00CD7279" w:rsidRDefault="00CD7279" w:rsidP="00D550C0">
            <w:pPr>
              <w:jc w:val="both"/>
              <w:rPr>
                <w:rFonts w:ascii="Verdana" w:hAnsi="Verdana"/>
                <w:sz w:val="20"/>
                <w:szCs w:val="20"/>
              </w:rPr>
            </w:pPr>
            <w:r w:rsidRPr="009F301A">
              <w:rPr>
                <w:rFonts w:ascii="Verdana" w:hAnsi="Verdana"/>
                <w:sz w:val="20"/>
                <w:szCs w:val="20"/>
              </w:rPr>
              <w:t xml:space="preserve">g. Финансовата обосновка на СЦ 6 е слаба (по-скоро клише) и показва, че финансовата обезпеченост не е отразява заложените потребности в НПРД, което би следвало да се направи. Заложените средства за биоразнообразие са значително по-малко отколкото в НПРД и не съответстват на приоритетите в НПРД. Много важно е да се отбележи, че тук се дава приоритет на мерките, които в действителност допринасят основно и най-вече за превенция и адаптиране на климатичните промени, а мерките директно насочени към биоразнообразието са на заден план – всички посочени еко-схеми в текста тук са насочени към намаляване на химически торове и пестициди. Това определено е важно за подобряване състоянието на биоразнообразието, но далеч не е достатъчно. При това биоземеделието и разнообразяване на културите имат най-голям финансов дял, но няма да има пряк резултат за опазване на биоразнообразието (видове и местообитанията), а същността на разнообразяване на културите в СПРЗСР 2023-2027 е по-различна, от тази, заложена в НПРД и определено няма да допринесе за опазване на биоразнообразието. Считаме, че цялата интервенционна логика на СЦ 6 трябва да се преработи, като се съобрази съдържанието и приоритетността със самата цел, да се включат подходящите интервенции, да се интегрират мерките залегнали в стратегическите документи, насочени към опазване на </w:t>
            </w:r>
            <w:r w:rsidRPr="009F301A">
              <w:rPr>
                <w:rFonts w:ascii="Verdana" w:hAnsi="Verdana"/>
                <w:sz w:val="20"/>
                <w:szCs w:val="20"/>
              </w:rPr>
              <w:lastRenderedPageBreak/>
              <w:t xml:space="preserve">биоразнообразие (НПРД, Национални и международни планове за действие за опазване на видове птици, планове за управление на защитени територии, Национален план за действие за опазване на най-значимите влажни зони, Нацианален план за действие за борба срещу използване на отровни примамки). В допълнение  към П6.1 трябва да се изрично да се посочат пасищата и други типове местообитания, обект на оапзаване по Директивата за местообитанията (влажни зони, дюни, храсталаци и др.). Необходимо е включване на мерки извън НАТУРА 2000 за подобряване на свързаността и по-добро изпълнение на изискванията на Стратегията за биологично разнообразие 2030 и изискванията на Зеления пакт, включително изрично да се осигури опазване и възстановяване на полезащитните пояси и крайречните гори. Планът за действие на ЕС за прилепите призовава специално за създаване и осигуряване на миграционни коридори и свързаност на местообитанията извън Натура 2000.  </w:t>
            </w:r>
          </w:p>
          <w:p w14:paraId="33FEEE4D" w14:textId="77777777" w:rsidR="00CD7279" w:rsidRPr="009F301A" w:rsidRDefault="00CD7279" w:rsidP="00525E65">
            <w:pPr>
              <w:widowControl w:val="0"/>
              <w:tabs>
                <w:tab w:val="left" w:pos="1565"/>
              </w:tabs>
              <w:autoSpaceDE w:val="0"/>
              <w:autoSpaceDN w:val="0"/>
              <w:spacing w:before="60" w:after="20"/>
              <w:jc w:val="both"/>
              <w:rPr>
                <w:rFonts w:ascii="Verdana" w:hAnsi="Verdana"/>
                <w:sz w:val="20"/>
                <w:szCs w:val="20"/>
              </w:rPr>
            </w:pPr>
            <w:r w:rsidRPr="009F301A">
              <w:rPr>
                <w:rFonts w:ascii="Verdana" w:hAnsi="Verdana"/>
                <w:sz w:val="20"/>
                <w:szCs w:val="20"/>
              </w:rPr>
              <w:t xml:space="preserve">1.3 Интервенционна стратегия за други стратегически цели </w:t>
            </w:r>
          </w:p>
          <w:p w14:paraId="5608C0EF" w14:textId="77777777" w:rsidR="00CD7279" w:rsidRDefault="00CD7279" w:rsidP="00525E65">
            <w:pPr>
              <w:widowControl w:val="0"/>
              <w:tabs>
                <w:tab w:val="left" w:pos="1565"/>
              </w:tabs>
              <w:autoSpaceDE w:val="0"/>
              <w:autoSpaceDN w:val="0"/>
              <w:spacing w:before="60" w:after="20"/>
              <w:jc w:val="both"/>
              <w:rPr>
                <w:rFonts w:ascii="Verdana" w:hAnsi="Verdana"/>
                <w:sz w:val="20"/>
                <w:szCs w:val="20"/>
              </w:rPr>
            </w:pPr>
            <w:r w:rsidRPr="009F301A">
              <w:rPr>
                <w:rFonts w:ascii="Verdana" w:hAnsi="Verdana"/>
                <w:sz w:val="20"/>
                <w:szCs w:val="20"/>
              </w:rPr>
              <w:t xml:space="preserve">Бележките по интервенционната стратегия на други стратегически цели е представена в приложението към настоящото становище поради липса на техническо време, за да бъде интегрирана тук. </w:t>
            </w:r>
          </w:p>
          <w:p w14:paraId="776C1A0F" w14:textId="36798441" w:rsidR="00CD7279" w:rsidRPr="00CD61CE" w:rsidRDefault="00E4190C" w:rsidP="00CD61CE">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object w:dxaOrig="1614" w:dyaOrig="1044" w14:anchorId="352F970E">
                <v:shape id="_x0000_i1026" type="#_x0000_t75" style="width:79.9pt;height:53.55pt" o:ole="">
                  <v:imagedata r:id="rId11" o:title=""/>
                </v:shape>
                <o:OLEObject Type="Embed" ProgID="Package" ShapeID="_x0000_i1026" DrawAspect="Icon" ObjectID="_1716109505" r:id="rId12"/>
              </w:object>
            </w:r>
          </w:p>
          <w:p w14:paraId="0930AC0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1.4 Индикатори за резултат и въздействие и индикаторен план </w:t>
            </w:r>
          </w:p>
          <w:p w14:paraId="2B448F0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Убедени сме, че подходящите индикатори за резултат и въздействие са от ключово значение за оценката на напредъка по постигането на СПРЗСР 2023-2027 и ефективността на разходваните публични средства, за да се постигнат по-общите стратегически цели на Европейския зелен пакт и други стратегически документи, включително стратегическите цели за биоразнообразието. СПРЗСР 2023-2027 се характеризира с много слаба и недостатъчна застъпеност на индикаторите за резултат, както и непропорционални и необосновани амбиции – целеви стойности на индикаторите. </w:t>
            </w:r>
          </w:p>
          <w:p w14:paraId="00304E3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a. В интервенционната логика на всички стратегически цели установихме следните общи слабости:  </w:t>
            </w:r>
          </w:p>
          <w:p w14:paraId="5834ACA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eastAsia="MS Gothic" w:hAnsi="Verdana" w:cs="MS Gothic" w:hint="eastAsia"/>
                <w:sz w:val="20"/>
                <w:szCs w:val="20"/>
              </w:rPr>
              <w:t>✓</w:t>
            </w:r>
            <w:r w:rsidRPr="00CD61CE">
              <w:rPr>
                <w:rFonts w:ascii="Verdana" w:hAnsi="Verdana"/>
                <w:sz w:val="20"/>
                <w:szCs w:val="20"/>
              </w:rPr>
              <w:t xml:space="preserve"> Обезпечаването с индикатори за резултат е минималистично и се ограничава почти изцяло до задължителните за дадената стратегическа цел индикатори за резултат. При това индикаторите са посочени за целта като цяло и в повечето случаи могат да се съотнесат само към част от мерките (интервенции и еко-схеми), предвидени за да се постигне съответната стратегическа цел. По този начин не може да се оцени как мерките, към които няма индикатор за резултат ще допринесат за постигането на съответната цел и ще се обоснове целесъобразността на изразходваните публични средства. Така още на етап планиране мерките, които нямат индикатор за резултат, нямат и обосновка защо са необходими за постигане на целта. Извън СЦ 6, индикаторите за резултат по отношение биоразнообразие не са предвидени никъде. Считаме, че всички мерки (интервенции и еко-схеми) следва да имат предвидени ясни индикатори за резултат – видими в интервенционната логика. Най-малкото в обосновката на посочените индикатори трябва да се опише за кои интервенции и еко-схеми се отнасят. </w:t>
            </w:r>
            <w:r w:rsidRPr="00CD61CE">
              <w:rPr>
                <w:rFonts w:ascii="Verdana" w:hAnsi="Verdana"/>
                <w:sz w:val="20"/>
                <w:szCs w:val="20"/>
              </w:rPr>
              <w:lastRenderedPageBreak/>
              <w:t xml:space="preserve">Индикаторите за резултат по отношение на биологичното разнообразие, макар и незадължителни, е необходимо да бъдат предвидени за всички дейности, за които се твърди, че ще допринесат за опазване на биоразнообразието, съответно опазването на околната среда и за климатичните промени, както и към интервенциите, еко-схемите и директните плащания, които нямат за цел да допринесат за опазване на биологичното разнобразие, но по характера си е възможно да оказват въздействие за постигането на тази цел (в положителна или отрицателна посока).  </w:t>
            </w:r>
          </w:p>
          <w:p w14:paraId="77D0705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eastAsia="MS Gothic" w:hAnsi="Verdana" w:cs="MS Gothic" w:hint="eastAsia"/>
                <w:sz w:val="20"/>
                <w:szCs w:val="20"/>
              </w:rPr>
              <w:t>✓</w:t>
            </w:r>
            <w:r w:rsidRPr="00CD61CE">
              <w:rPr>
                <w:rFonts w:ascii="Verdana" w:hAnsi="Verdana"/>
                <w:sz w:val="20"/>
                <w:szCs w:val="20"/>
              </w:rPr>
              <w:t xml:space="preserve"> Не са посочени базовите стойности спрямо които ще се измерват съответните индикатори за резултат. Без такива базови стойности няма да е възможно да се оцени постигането на посочените целеви стойности. Необходимо е базовите стойности на индикаторите за резултат да се включат в интервенционната логика за постигането на всяка цел. </w:t>
            </w:r>
          </w:p>
          <w:p w14:paraId="1273850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eastAsia="MS Gothic" w:hAnsi="Verdana" w:cs="MS Gothic" w:hint="eastAsia"/>
                <w:sz w:val="20"/>
                <w:szCs w:val="20"/>
              </w:rPr>
              <w:t>✓</w:t>
            </w:r>
            <w:r w:rsidRPr="00CD61CE">
              <w:rPr>
                <w:rFonts w:ascii="Verdana" w:hAnsi="Verdana"/>
                <w:sz w:val="20"/>
                <w:szCs w:val="20"/>
              </w:rPr>
              <w:t xml:space="preserve"> Не са попълнени изискваните от формуляра на Европейската комисия обосновка на определените целеви стойности на индикаторите, както и важните етапи на постигането им. Тази съществена част от показва формалност в подхода за избор и обезпеченост на СПРЗСР 2023-2027 с индикатори за резултат и води до редица неясноти как ще се оценяват и постигат тези стойности на индикаторите, както и на какъв етап от изпълнението на плана ще стане това. Считаме, че този пропуск е съществен и следва да бъде попълнен. Обосновките трябва да са ясни, конкретни, да включват информация и за базовите стойности, към които ще се реферира, а също и кои мерки от интервенционната логика на съответната цел как ще допринесат за постигане на целевите стойности.  </w:t>
            </w:r>
          </w:p>
          <w:p w14:paraId="74C2AD3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b. В индикаторния план прави впечатление, че част от индикаторите имат много стари базови стойности. Например броят на фермите и броят домашни животни е от 2016 г., а официални годишни доклади има издадени до 2021 г – включително (последният публикуван през декември 2021 г.). Следва базовите стойности да са най-малкото в началото на плановия период – в случая 2020 г., освен по някаква причина да не е важно да се реферира към точно определена година в миналото. В индикаторния план  липсва базова стойност по отношение на постоянно затревените площи – пасища и ливади, които специално се наблюдават от ЕК! c. Целевите стойности на индикаторите в раздел 2.3 (стр.254) показват ниската амбиция на плана по отношение на целите за опазване на биологичното разнообразие и земите от Натура 2000, а именно: </w:t>
            </w:r>
            <w:r w:rsidRPr="00CD61CE">
              <w:rPr>
                <w:rFonts w:ascii="Verdana" w:eastAsia="MS Gothic" w:hAnsi="Verdana" w:cs="MS Gothic" w:hint="eastAsia"/>
                <w:sz w:val="20"/>
                <w:szCs w:val="20"/>
              </w:rPr>
              <w:t>✓</w:t>
            </w:r>
            <w:r w:rsidRPr="00CD61CE">
              <w:rPr>
                <w:rFonts w:ascii="Verdana" w:hAnsi="Verdana"/>
                <w:sz w:val="20"/>
                <w:szCs w:val="20"/>
              </w:rPr>
              <w:t xml:space="preserve"> Целевата стойност на индикатора за резултат R31 PR. Опазване на местообитания и видове показва, че само 1,36% от ИЗП (68 326 ха) ще се подпомагат за ангажименти за опазване и възстановяване на биоразнообразието, в това число и земеделието с висока природна стойност. Целевата стойност в СПРЗСР 2023-2027 е многократно занижена спрямо целевата стойност в НПРД, където за този индикатор са определени сумарно над 200000 ха. Това показва необосновано ниска амбиция по отношение на опазване на местообитанията и видовете, която далеч не съответства на стратегическите цели на Европейския зелен пакт и Европейската стратегия за биологичното разнообразие.  </w:t>
            </w:r>
          </w:p>
          <w:p w14:paraId="6B7BEAB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eastAsia="MS Gothic" w:hAnsi="Verdana" w:cs="MS Gothic" w:hint="eastAsia"/>
                <w:sz w:val="20"/>
                <w:szCs w:val="20"/>
              </w:rPr>
              <w:t>✓</w:t>
            </w:r>
            <w:r w:rsidRPr="00CD61CE">
              <w:rPr>
                <w:rFonts w:ascii="Verdana" w:hAnsi="Verdana"/>
                <w:sz w:val="20"/>
                <w:szCs w:val="20"/>
              </w:rPr>
              <w:t xml:space="preserve"> Съгласно индикатора за резултат R33. Подобряване на управлението на мрежа „Натура 2000“ се очаква да се подпомогнат само 60000 ха от  мрежата „Натура 2000“ или едва 5,24% от територията на мрежата. Целевата стойност в СПРЗСР 2023-2027 не съответства на заложеното в НПРД: мярка 52</w:t>
            </w:r>
            <w:r w:rsidRPr="00CD61CE">
              <w:rPr>
                <w:rFonts w:ascii="Verdana" w:eastAsia="MS Gothic" w:hAnsi="Verdana" w:cs="MS Gothic" w:hint="eastAsia"/>
                <w:sz w:val="20"/>
                <w:szCs w:val="20"/>
              </w:rPr>
              <w:t>☹</w:t>
            </w:r>
            <w:r w:rsidRPr="00CD61CE">
              <w:rPr>
                <w:rFonts w:ascii="Verdana" w:hAnsi="Verdana"/>
                <w:sz w:val="20"/>
                <w:szCs w:val="20"/>
              </w:rPr>
              <w:t xml:space="preserve">стр. 129) – 100000 ха + мярка 45 (стр. 115-116) – 200000 ха – общо 300000 ха. СПРЗСР 2023-2027 занижава предвиденото в НПРД занижено 5 </w:t>
            </w:r>
            <w:r w:rsidRPr="00CD61CE">
              <w:rPr>
                <w:rFonts w:ascii="Verdana" w:hAnsi="Verdana"/>
                <w:sz w:val="20"/>
                <w:szCs w:val="20"/>
              </w:rPr>
              <w:lastRenderedPageBreak/>
              <w:t xml:space="preserve">пъти! Това още веднъж показва ниската екологична амбиция на плана не само спрямо НПРД, но и спрямо вече изпълнявани ангажименти, при положение, че подпомогнатите площи само по мярката „Натура 2000 за земеделски земи“ от ПРСР 2014-2020 г. са 407255 ха. </w:t>
            </w:r>
          </w:p>
          <w:p w14:paraId="0BE9A49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eastAsia="MS Gothic" w:hAnsi="Verdana" w:cs="MS Gothic" w:hint="eastAsia"/>
                <w:sz w:val="20"/>
                <w:szCs w:val="20"/>
              </w:rPr>
              <w:t>✓</w:t>
            </w:r>
            <w:r w:rsidRPr="00CD61CE">
              <w:rPr>
                <w:rFonts w:ascii="Verdana" w:hAnsi="Verdana"/>
                <w:sz w:val="20"/>
                <w:szCs w:val="20"/>
              </w:rPr>
              <w:t xml:space="preserve"> Поставената цел за дела от използваната земеделска площ съгласно подпомогнатите ангажименти за управление на особеностите на ландшафта, включително живи плетове и дървета е само 1,48% или 74 381 ха. Считаме, че тези стойности  не съответстват на чл. 105 от Регламента за Стратегическите планове (Регламент(ЕС) 2021/2115) за по-големи амбиции по отношение на целите в областта на околната среда и климата в сравнение с периода 2014-2020 г. и е необходимо индикаторите и съответните планирани интервенции да се преразгледат в посока по-високи цели за опазване на биологичното разнообразие и съответствие с Националната приоритетна рамка за действие за Натура 2000 d. На различни места за постигане на различни цели, е посочен принос за биоразнообразието и Натура 2000, без да е обезпечен с индикатор, например при интервенцията за увеличаване на почвения потенциал за постигане на цел 4 (Принос към изменение на климата). </w:t>
            </w:r>
          </w:p>
          <w:p w14:paraId="1D5BEA6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e. По отношение на останалите индикатори бележки са представени в приложението към настоящото становище. </w:t>
            </w:r>
          </w:p>
          <w:p w14:paraId="6A3D52E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 Част 3. Последователност на стратегията и взаимно допълване (включително условност) </w:t>
            </w:r>
          </w:p>
          <w:p w14:paraId="4DA34D8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2.1 В описанието на интервенционната логика по всички цели  липсват ясни и остойностени цели (с изключение на тези за биологичното земеделие). Целите могат да се изведат единствено чрез индикаторите за резултат, посочени в различните интервенции. </w:t>
            </w:r>
          </w:p>
          <w:p w14:paraId="0CE2F2F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2.2 В стратегията не са посочени и конкретни стойности за приноса на СПРЗСР 2023-2027 по отношение на Зелената сделка и стратегическите документи на национално ниво – например НПРД. В СПРЗСР 2023-2027 липсват ясни обосновки за връзките с НПРД, респективно с националните приоритети по отношение на Натура 2000 и биоразнообразието. Най-вече е трудно да се идентифицират кои мерки на НПРД са ясно и напълно обхванати от интервенциите и предвидените еко-схеми. В СПРЗСР 2023-2027 липсват основани на резултатите количествени индикатори за свързаните с биоразнообразието екосхеми/интервенции. Няма и ясни индикатори за въздействие. Липсва яснота относно контрола и мониторинга на ефекта от еко-схемите/интервенциите върху биоразнообразието. От ключово значение е такива индикатори да бъдат предвидени не само за интервенции по СЦ 6, но и за всички други стратегически цели. </w:t>
            </w:r>
          </w:p>
          <w:p w14:paraId="798EBD6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2.3 Общи коментари относно интервенциите, предвидени в СПРЗСР 2023-2027 по отношение на приноса към опазването на биологичното разнообразие и Натура 2000: </w:t>
            </w:r>
          </w:p>
          <w:p w14:paraId="7405C91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a. няма ясна препратка за съответствието на еко-схемите/интервенциите с конкретните мерки, заложени в НПРД, както и съгласуваност с НПРД – например СПРЗСР 2023-2027 твърди, че биологичното земеделие допринася за опазването на биологичното разнообразие и в частност на местообитанията на птиците, но не успява да обоснове как); </w:t>
            </w:r>
          </w:p>
          <w:p w14:paraId="1CFFCD0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b. липсват количествени индикатори за резултати и въздействие, обосноваващи как и до каква степен интервенциите допринасят за постигането на целите за биоразнообразие на ОСП и Зелената сделка; c. липсват на </w:t>
            </w:r>
            <w:r w:rsidRPr="00CD61CE">
              <w:rPr>
                <w:rFonts w:ascii="Verdana" w:hAnsi="Verdana"/>
                <w:sz w:val="20"/>
                <w:szCs w:val="20"/>
              </w:rPr>
              <w:lastRenderedPageBreak/>
              <w:t xml:space="preserve">остойностени индикатори за въздействие и резултати, свързани с биоразнообразието и Натура 2000; </w:t>
            </w:r>
          </w:p>
          <w:p w14:paraId="1C69210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d. няма адекватен механизъм за мониторинг и контрол на ефективността на предложените интервенции върху биоразнообразието и Натура 2000; това, съчетано с липсата на адекватни показатели за резултати и въздействие, затруднява оценката на ефективността на предложения план. СПРЗСР 2023-2027 трябва да предвижда наблюдение и контрол на ефекта от всички мерки върху биоразнообразието, водите и почвите, както и да се допълнят липсващите индикатори и връзки между СПРЗСР 2023-2027 и НПРД.  </w:t>
            </w:r>
          </w:p>
          <w:p w14:paraId="08256FE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Интервенциите, свързани с пчеларството и опазването на местните породи и предшественици на диви растения и еко-схемата за диверсификация на културите (08.70), не изглеждат пряко свързани с Директивата за птиците и Директивата за местообитанията, както и с управлението на Натура 2000 и трябва да бъдат премахнати или изяснени и обосновани по отношение на тази връзка. </w:t>
            </w:r>
          </w:p>
          <w:p w14:paraId="1F41A5C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2.4 Описанието в раздел 3.1.3. на начина, по който ще се постигне по-висок принос за целите свързани с околната среда съгласно чл. 105, е разказвателно, без конкретни стойности и показване на надграждането на отделните интервенции. Текстът на стр. 272 „Един от начините за постигане на целите от Стратегическия план свързани с климата, околната среда и биологичното разнообразие е прилагането на предварителните условия (т. нар. условност) – стандартите за добро земеделско и екологично състояние (ДЗЕС) и законоустановените изисквания (ЗИУ). Очаква се завишените изисквания да окажат положителен ефект върху всички действия, насочени към смекчаване на последиците от изменението на климата“ показва, че се предвижда основна роля на прилагането на предварителните условия. Обръщаме внимание, че разработените ДЗЕУ за България обхващат минималните изисквания на ЕК, както и фактът, че те са прилагани и в периода 2013-2020 г. </w:t>
            </w:r>
          </w:p>
          <w:p w14:paraId="3481FFD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2.5 Предложенията ни по т.3.10. (стр. 280) условност са следните: </w:t>
            </w:r>
          </w:p>
          <w:p w14:paraId="7A3FA8B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a. ДЗЕС 1: Предлагаме стандартът да се прилага поне на регионално ниво (район на планиране или област), тъй като процентът на ПЗП варира значително в зависимост от района. Да се прецизира направената формулировка „При спад на съотношението с повече от 5% земеделските стопани, които са допринесли за намалението през съответната година се задължават да преобразуват обратно в ПЗП разораните през съответната година ПЗП“, като се уточни какво става със стопаните, които са разорали ПЗП през предходните години, тъй като на практика по този начин те се изключват от отговорност. </w:t>
            </w:r>
          </w:p>
          <w:p w14:paraId="7737C89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b. ДЗЕС 2: Предложеният стандарт е много важен за опазването на влажните зони, но се предвижда той да бъде приложен едва през 2025 г., което се обосновава с липсата на геореферирани данни. Картографирането на влажни зони и торфища е известно и дори да трябва да се допълни не би следвало да отнеме повече от година при наличието на съвременните технологии. И все пак, 98% от местообитанията на влажните зони и торфищата и 58% от крайбрежните местообитания са включени в Натура 2000, геореферираните данни не би трябвало да представляват проблем, освен това са използвани за отчитането за 2018 г. и са достъпни в Националния Агенция за защита на околната среда. Рамсарските обекти и картирани. По-сложно ще е само за карстовите системи, които също са влажни зони по смисъла на Рамсарската конвенция. На тези основания считаме, че  прилагането на този стандарт трябва да започне най-късно от началото на 2024 г. c. ДЗЕС 8: Предлагаме към  изброената екологична </w:t>
            </w:r>
            <w:r w:rsidRPr="00CD61CE">
              <w:rPr>
                <w:rFonts w:ascii="Verdana" w:hAnsi="Verdana"/>
                <w:sz w:val="20"/>
                <w:szCs w:val="20"/>
              </w:rPr>
              <w:lastRenderedPageBreak/>
              <w:t xml:space="preserve">инфраструктура да се добавят формации от дървесно-храстова растителност d. ДЗЕС </w:t>
            </w:r>
          </w:p>
          <w:p w14:paraId="3216787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9: Предлагаме да се въведе референтна година спрямо която да се отчита реалното земеползване на ПЗП в земите от екологичната мрежа Натура 2000, а не тяхното  преобразуване да е обвързано с начина на трайно ползване, тъй като това води до разораване и преобразуване на редица ценни местообитания. Предлагаме обхватът на екологично чувствителните ПЗП да се разшири, като в тях се включат и ПЗП с ВПС. Мотивът за това е че към 2019 г. земеделските земи с висока природна стойност са намалели с почти 40% от първоначалното им определяне в България през 2007 г. Считаме, че предвид промяната на обхвата на земеделските земи с висока природна стойност през 2019 г. спрямо 2007 г. е задължително да се извърши нова оценка на обхвата и качеството им и те да бъдат включени в слоя екологично чувствителни ПЗП. </w:t>
            </w:r>
          </w:p>
          <w:p w14:paraId="2317FE3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3. Част 4. Характеристики, общи за няколко интервенции </w:t>
            </w:r>
          </w:p>
          <w:p w14:paraId="6A814CE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3.1 Дефиниция за постоянно затревени площи  „Постоянно затревена площ и постоянно пасище (наричани заедно „постоянно затревени площи“)- означава земя, която е използвана за отглеждане на трева или други тревни фуражи, естествено растящи (саморазсадени) или чрез култивиране (изкуствено засети), която не е била включена в сеитбооборота на стопанството в продължение на пет или повече години, както и която не е била разоравана, обработвана или засявана отново с различни видове треви или други тревни фуражи в продължение на пет или повече години. Треви и други тревни фуражи- всички тревни растения, които традиционно растат на естествените пасища и ливади или обикновено са включени в смесите от семена, предназначени за засяване на пасища или ливади. Други  видове, които са подходящи за паша, могат да присъстват на постоянно затревените площи, при условие че тревата или другите тревни фуражи остават преобладаващи. Не е използвана възможността за включване на други видове като храсти и/или дървета, които могат да бъдат изпасвани или са източници на фураж за животни, при условие, че не преобладават или липсват в зоните за паша тревите или другите тревни фуражи (стр.302)   Директният превод и приемане на дефиницията за постоянни пасища, залегнала в европейския регламент, без да се използва дадената възможност за гъвкавото ѝ адаптиране съобразно националните и местни характеристики води до значителна загуба както на важни фуражни площи за животновъдите с пасищни животни, така и на консервационно значими местообитания от европейската екологична мрежа Натура 2000. Считаме, че: дефиницията следва да включва храсти или дървета, които са подходящи за паша, и други видове, източници на фураж за животни, при условие че преобладават тревите и другите тревни фуражи. Тази възможност се предоставя от регламента, но не се използва от българска страна. Следва да се използва  и възможността за адаптиране на дефиницията за райони с местни практики, където тревите и другите тревни фуражи традиционно не са преобладаващи или липсват в зоните за паша; Възможни подходи за адаптирането на дефиницията и съответно допустимостта им за подпомагане са: на базата на местоположението и характеристиките им в планински или в равнинни райони;  на базата на класификацията им в БАНСИК на постоянно продуктивни ливади, високопланински пасища, затревени слабопродуктивни площи и ливади-овощни градини. През 2020 г. БАНСИК доклада за заетостта и използването на територията отчита наличието на над 1.4 млн. ха постоянно затревени площи, но само около 0.8 млн. ха от тях са допустими за подпомагане по ОСП. Това означава, че България „губи“ близо 600 000 ха постоянно затревени площи единствено </w:t>
            </w:r>
            <w:r w:rsidRPr="00CD61CE">
              <w:rPr>
                <w:rFonts w:ascii="Verdana" w:hAnsi="Verdana"/>
                <w:sz w:val="20"/>
                <w:szCs w:val="20"/>
              </w:rPr>
              <w:lastRenderedPageBreak/>
              <w:t xml:space="preserve">поради липсата на адекватна дефиниция!; на базата на вида местообитание съобразно Директивата за природните местообитания (Директива 92/43/ЕИО). </w:t>
            </w:r>
          </w:p>
          <w:p w14:paraId="7D70964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3.2 Допустим хектар за подпомагане Към момента  дефиницията в СП налага изискването за допустимост на ПЗП: „ „Поради особеното значение на тези характеристики на ландшафта за биоразнообразието, постоянно затревените площи са допустими за подпомагане, когато върху тях има мозаечно разположени храсти, годни за паша, скали и други трайно неподходящи за подпомагане площи с единична площ под 100 m2, които заемат не повече от 10% от общата площ“ (стр.302) Считаме, че това ограничение трябва да отпадне и България да се възползва от възможността, предоставяна от Регламента за СП за въвеждане на коефициенти за намаление на площта, която се счита за годна за подпомагане, а именно: „Що се отнася до постоянно затревени площи с разпръснати особености на ландшафта, неотговарящи на условията за подпомагане, държавите членки могат да решат да приложат фиксирани коефициенти за намаление с цел определяне на площта, за която се счита, че отговаря на условията за подпомагане“. </w:t>
            </w:r>
          </w:p>
          <w:p w14:paraId="634229D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4 Част 5.1. Еко-схеми 4.1 Предлаганите еко-схеми са насочени основно към обработваемите земи и в много по-малка степен към постоянно затревените площи и трайните насаждения. Изчисленията, направени въз основа на индикаторния и финансовия план показват следното: a. Еко-схемите, насочени към обработваемите площи, се предвижда да обхванат 3963163 ха (88,3% от предвидените за подпомагане ИЗП) и само 376159 ха пасища, мери и ливади (8,4% от предвидените за подпомагане ИЗП) и 148848 ха трайни насаждения (3,3% от предвидените за подпомагане ИЗП)12; b. По същия начин се разпределя и бюджетът за различните еко-схеми – 70,3% от бюджета са насочени към обработваемите земи, 9,8% - към постоянно затревените площи и 8,6% - към трайните насаждения; c. Най-големият бюджет (29,4%) е предвиден за схемата са диверсификация на отглежданите култури, която не изисква съществена промяна за  обичайните земеделски практики в България и чийто принос към целите на Зелената сделка и опазването на биологичното разнообразие е минимален; в допълнение, самата екосхема не съответства по съдържание на заложената в НПРД мярка, но пък за нея е предвиден 8,6 пъти по-голям бюджет, отколкото е одобрен в НПРД, което не е обосновано в самия СПРЗСР 2023-2027. </w:t>
            </w:r>
          </w:p>
          <w:p w14:paraId="7C4CD7B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d. За схемата за създаване и опазване на екологичната инфраструктура се предвиждат едва 15,6% от бюджета на еко-схемите, което е край. e. Направените изчисления показват, че еко-схемите приоритизират обработваемите земи и очакваните резултати от тях по отношение на опазването на биоразнообразието и земите с висока природна стойност са минимални, което  показва минималната амбиция по отношение постигането на целите за опазване на околната среда. 4.2 Никъде в описанието на еко-схемите и агроекологичните мерки не са показани възможностите за тяхното комбиниране и надграждане. Считаме, че това не позволява да се оцени допълняемостта и надграждането между отделните ДЗЕУ, еко-схемите и агроекологичните мерки и може  да доведе до двойно финансиране. 4.3 Предлаганите еко-схеми не съответстват на НПРД. Не са включени мярка 42. “Поддържане и подобряване на местообитанията на защитените видове птици в оризищата” и мярка 43  “Поддържане на мозаечния ландшафт в земеделските земи със смесено земеползване”, които са разработени по проект „Разработване на инструменти за подпомагане опазването на птиците в земеделските земи на Европейския съюз“ по инициативата на ГД „Околна среда“ на Европейската комисия: Birds@Farmlands. 4.4 I.В.2 – Еко схема за </w:t>
            </w:r>
            <w:r w:rsidRPr="00CD61CE">
              <w:rPr>
                <w:rFonts w:ascii="Verdana" w:hAnsi="Verdana"/>
                <w:sz w:val="20"/>
                <w:szCs w:val="20"/>
              </w:rPr>
              <w:lastRenderedPageBreak/>
              <w:t>поддържане и подобряване на биологичното разнообразие и екологичната инфраструктура a. Опазването на местообитанията за птици е с нисък приоритет и индикаторът за резултат се базира на подкрепени хектари. Обхватът е 283 540,00 ха, което не изглежда достатъчно амбициозно. b. Предвижда де тази еко-схема да се прилага при площи с различно земеползване. Независимо от това и въпреки нашите предложения във видовете екологична инфраструктура не са включени формации от дървесно-храстова растителност. Предвид доказаното значение на дървесно-храстовата растителност за опазване на биологичното разнообразие и екосистемите предлагаме тя да бъде включена към елементите на екологичната инфраструктура (до 20% от заявените за подпомагане площи). Предложението е от особено значение и за постоянно затревените площи. c. Обосновката на представените нива на плащане за трите вида земеползване: обработваеми земи, постоянно затревени площи и трайни насаждения е напълно еднаква и не показва как са изчислени нивата на плащане (стр. 369). Ето защо буди недоумение фактът, че нивата на плащане са различни за различните видове земеползване, а не за различните видове екологична инфраструктура. Например задължителното почистване на сухи и ниски клони в при единични и групи дървета, ще се заплаща с 591 Евро/ха при обработваемите земи; 901 Евро/ха при трайните насаждения и 283 Евро/ха при постоянно затревените площи. По същия начин ще се заплаща и поддържането например на синори, тераси, влажни зони, зелени зони около водни течения и т.н. Считаме, че нивата на подпомагане следва да се определят по вида на екологичната инфраструктура, а не по начина на земеползване. d. Не е ясно  откъде произтича изискването за нивото от 1,5м за почистване на сухи и ниски клони  при дървесната растителност.</w:t>
            </w:r>
          </w:p>
          <w:p w14:paraId="2AFCEF9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e. Не е посочен минималният процент от екологична инфраструктура, наличието на който ще се подпомага. Ето защо препоръчваме да се въведе стъпковидно подпомагане, което да отразява ползите за околната среда </w:t>
            </w:r>
            <w:r w:rsidRPr="00CD61CE">
              <w:rPr>
                <w:rFonts w:ascii="Verdana" w:eastAsia="MS Gothic" w:hAnsi="Verdana" w:cs="MS Gothic" w:hint="eastAsia"/>
                <w:sz w:val="20"/>
                <w:szCs w:val="20"/>
              </w:rPr>
              <w:t>✓</w:t>
            </w:r>
            <w:r w:rsidRPr="00CD61CE">
              <w:rPr>
                <w:rFonts w:ascii="Verdana" w:hAnsi="Verdana"/>
                <w:sz w:val="20"/>
                <w:szCs w:val="20"/>
              </w:rPr>
              <w:t xml:space="preserve"> Базисно ниво на плащане за екологична инфраструктура от над 4(5)% до 10% характеристики и елементи на ландшафта в тях. </w:t>
            </w:r>
            <w:r w:rsidRPr="00CD61CE">
              <w:rPr>
                <w:rFonts w:ascii="Verdana" w:eastAsia="MS Gothic" w:hAnsi="Verdana" w:cs="MS Gothic" w:hint="eastAsia"/>
                <w:sz w:val="20"/>
                <w:szCs w:val="20"/>
              </w:rPr>
              <w:t>✓</w:t>
            </w:r>
            <w:r w:rsidRPr="00CD61CE">
              <w:rPr>
                <w:rFonts w:ascii="Verdana" w:hAnsi="Verdana"/>
                <w:sz w:val="20"/>
                <w:szCs w:val="20"/>
              </w:rPr>
              <w:t xml:space="preserve"> Ниво 1 с бонусно плащане с 10,1% - 15% характеристики и елементи на ландшафта в тях. </w:t>
            </w:r>
            <w:r w:rsidRPr="00CD61CE">
              <w:rPr>
                <w:rFonts w:ascii="Verdana" w:eastAsia="MS Gothic" w:hAnsi="Verdana" w:cs="MS Gothic" w:hint="eastAsia"/>
                <w:sz w:val="20"/>
                <w:szCs w:val="20"/>
              </w:rPr>
              <w:t>✓</w:t>
            </w:r>
            <w:r w:rsidRPr="00CD61CE">
              <w:rPr>
                <w:rFonts w:ascii="Verdana" w:hAnsi="Verdana"/>
                <w:sz w:val="20"/>
                <w:szCs w:val="20"/>
              </w:rPr>
              <w:t xml:space="preserve"> Ниво 2 с по-високо бонусно плащане за 15,1% - 20% характеристики и елементи на ландшафта в тях. f. Предлагаме да се помисли и да се въведе бонусно плащане за свързаност на елементите на екологичната инфраструктура в съседни блокове на земеделското стопанство, включително БЗС на различни земеделски стопани. g. Необходимо е да се представи официална информация какви атрибути съдържа слоя с екологична инфраструктура, включват ли се елементи на ландшафта, които не са били декларирани като Екологично насочени площи (EНП) в периода 2014-2020 г. Да се уточни как ще става възможно обновяването на този слой – на какъв период и по какъв начин. Да се предостави публичен достъп до слоя и да се предостави възможност за неговото допълване/коригиране. 4.5 I.В.6 . Еко схема за екстензивно поддържане на постоянно затревените площи a. Независимо от текста на стр.389 „От екстензивно управление чрез паша се нуждаят всички природни местообитания и местообитания на видове за подобряване на природозащитното състояние в и извън Натура 2000” и текста на стр.299 „Total share of environmentally sensitive grasslands in Natura 2000 sites covered by GAEC (9) is 426 348 ha“, целевата стойност за подпомагане по тази схема е 274 369 ха, което представлява едва 64% от постоянно затревените площи в Натура 2000, дефинирани като чувствителни и не обхваща ПЗП извън Натура 2000. Настояваме бюджетът на схемата и съответно целевата стойност на планираните за подпомагане хектари да </w:t>
            </w:r>
            <w:r w:rsidRPr="00CD61CE">
              <w:rPr>
                <w:rFonts w:ascii="Verdana" w:hAnsi="Verdana"/>
                <w:sz w:val="20"/>
                <w:szCs w:val="20"/>
              </w:rPr>
              <w:lastRenderedPageBreak/>
              <w:t xml:space="preserve">бъдат увеличени. b. Не е направено разграничение кои постоянно затревени площи ще се подпомагат: сенокосните и влажните ливади, влизат ли в обхвата на подпомагане на схемата? Считаме, че трябва да се направи ясно разграничение между различните видове постоянно затревени площи. c. Минималната и максималната гъстота на Ж.Е. следва да бъде съобразена с природозащитния статус на постоянните пасища. В повечето случаи в слабопродуктивните  и екологично-чувствителните постоянни пасища гъстота на паша от 1 ЖЕ/ха би довела до влошаване на природозащитния  им статус. 4.6 I.В.7. Еко схема за поддържане и подобряване на биоразнообразието в горски екосистеми a. Предполага се, че интервенцията ще запази биоразнообразието в горите (с висок приоритет), но всъщност е насочена към обработваеми земи в близост до гори; има за цел осигуряване на храна за дивата природа. Описанието е много общо; не предоставя информация за това какви диви животни ще бъдат подкрепени. Интервенцията носи потенциал за създаване на сериозни конфликти между хората и дивата природа, концентриращи дивата природа в ограничени области (например ако се привличат  мечки). Обхватът е 146 236,00 ха, което не изглежда достатъчно амбициозно. Считаме, че е необходимо екосхемата да се прецизира и да се конкретизира кои видове, предмет на опазване по Директивата за птиците и Директивата за местообитанията има за цел да подпомогне. </w:t>
            </w:r>
          </w:p>
          <w:p w14:paraId="4481030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4.7 I.В.8. Еко схема за разнообразяване на отглежданите култури a. Екосхемата не съответства по съдържание на заложената в НПРД мярка за разнообразяване на отглежданите култури. Тя е насочена повече към защита на почвите и макар да се твърди, че ще създава естествени коридори за и хранителна база за защитени видове, включително птици, от съдържанието на мярката това твърдение не може да бъде обосновано. На практика мярката допринася повече за поддържане на монокултурния характер на земеделието, тъй като: амбицията за разнообразяване на културите е минималистична – 2 култури за 10 ха, за площи до 30 ха – 3 култури, а за големите площи от над 30 ха – само 4 култури; при това при всички разновидности „основната култура/и“ може да обхващат до 95% от площта; определението на културите е твърде общо, а „угар“ също е класифицирана като култура. Така дефинирана, тази екосхема си поставя много ниски изисквания и не отговаря на целите за диверсифициране най-малкото за опазване на защитени видове птици. В определени случаи дори би могла да създаде риск или отрицателно въздействие върху биоразнообразието и защитените видове. b.  За тази е предвиден 8,6 пъти по-голям бюджет, отколкото е одобрен в НПРД, което не е обосновано в самия СПРЗСР 2023-2027. Имайки предвид неясния принос на тази екосхема за опазване на биоразнообразието, силно завишеният бюджет изглежда необоснован. </w:t>
            </w:r>
          </w:p>
          <w:p w14:paraId="245DBE5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Считаме, че е необходимо тази екосхема да се преработи, като се съобрази със съответната мярка от НПРД. Да се повиши амбицията за диверсификация, като минималната амбиция да е 3 култури, средната 5, а в най-големите площи да се постави минимум от 7 култури и да се помисли за бонусна плащане за увеличаване броя на културите до 10 в този случай. Да се предвиди по-балансиран подхот при диверсификацията, като площта на основната култура/и не надвишава 75% от земеделската площ. По отношение на културите, предлагаме да се изготви списък с  допустимите култури, който да е по-подробен от представения в настоящият вариант на СПРЗСР 2023-2027.  Също предлагаме, като култура да не се разглежда угарта, а площи с прибрана реколта, но оставени без почвена обработка, какъвто е и смисълът на термина Fallow land. </w:t>
            </w:r>
          </w:p>
          <w:p w14:paraId="3B5CF70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lastRenderedPageBreak/>
              <w:t xml:space="preserve">4.8 I.В.8. Еко схема за буферни екологични ивици </w:t>
            </w:r>
          </w:p>
          <w:p w14:paraId="787DFAC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Опазването и възстановяването на елементите на ландшафта е с висок приоритет, но той трябва да бъде много висок. Описанието на интервенцията е общо. Не са предоставени индикатори, свързани с биоразнообразието. Покритието е само 25 000,00 ха, което не изглежда достатъчно амбициозно. </w:t>
            </w:r>
          </w:p>
          <w:p w14:paraId="140A43F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5. Част 5.3. Интервенции за развитие на селските райони </w:t>
            </w:r>
          </w:p>
          <w:p w14:paraId="68DF147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5.1 II.А.15. – Устойчиво управление на пасища в земеделски земи с ВПС. a. България определя земеделските си земи с висока природна стойност (ВПС)  през 2007 г. за целите на ПРСР 2007-2013. Те обхващат  екстензивно  използвани постоянно затревени площи с преобладаваща естествена растителност и местообитания, мозаечен ландшафт (смесено земеползване) и интензивни обработваеми земи, които са местообитания на ценни видове. Тяхното опазване води до съхраняване на  ценни местообитания на растителни и животински видове, както и на открит и/или мозаечен ландшафт, и свързаните с тях екосистемни услуги. Към 2019 г. земеделските земи с ВПС са намалели с почти 40% от първоначалното им определяне. Най-сериозен е спадът при постоянно затревените площи, които от над 950 000 ха през 2007 г. са едва 440 000 ха през 2019 г. Другият сериозен спад е при земите под смесено земеползване, които от близо 280 000 ха през 2007 г. остават 170 000 ха през 2019 г. Същевременно, в голяма част от земеделските земи с ВПС от 2007 г., които все още са земи, допустими за подпомагане през 2019 г., са претърпели промяна в начина на земеделско ползване и вече близо 66% от тях са обработваеми земи. Предвид промяната на обхвата на земеделските земи с висока природна стойност през 2019 г. спрямо 2007 г. е задължително да се извърши нова оценка на обхвата и качеството им през 2021 г. за да се гарантира, че целевите агроекологични схеми са насочени именно към затревени площи, а не към територии с променено земеползване. b. За разлика от периода 2014-2020 в рамките на тази интервенция не се предвижда поддържане на постоянно затревените площи с косене. Считаме, че е необходимо в мярката да се уточни кои от постоянно затревените площи ще се подпомагат в рамките на тази мярка и как се изключват сенокосните ливади с ВПС. </w:t>
            </w:r>
          </w:p>
          <w:p w14:paraId="5120944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5.2 II.А.7 – Традиционни практики за сезонна паша (пасторализъм) a. Тази интервенция се предвижда да се прилага в планински пасища на териториите на националните паркове, с обособени зони за извършване на сезонна паша на селскостопански животни, съобразно годишните планове за паша, издавани от дирекциите на национални паркове Рила, Пирин и Централен Балкан; териториите на природни паркове, с обособени зони за извършване на регулирана паша на селскостопански животни, съгласно планове за управление; в зони от мрежата Натура 2000, с утвърдени планове за управление, с обособени зони за извършване на сезонна паша на селскостопански животни. По същия начин обхватът на интервенцията беше разписани и в  Програмата за развитие на селските райони 2014-2020 г., но мярката беше приложена единствено и само на територията на Националните паркове. През 2020 г. заявените за подпомагане площи в националните паркове са 33 329 ха, а подпомогнатите площи са 20 443 ха. Не е ясно как при положение, че се очаква обхватът на мярката да се разшири с 11 природни парка и всички зони от  Натура 2000 с одобрени планове за управление, заложената целева стойност за подпомагане е 10 455,82 ха, което е помалко от подпомогнатите площи за 2020 г само в Националните паркове. Считаме, че отново разширяването на обхвата на прилагане на интервенцията ще остане </w:t>
            </w:r>
            <w:r w:rsidRPr="00CD61CE">
              <w:rPr>
                <w:rFonts w:ascii="Verdana" w:hAnsi="Verdana"/>
                <w:sz w:val="20"/>
                <w:szCs w:val="20"/>
              </w:rPr>
              <w:lastRenderedPageBreak/>
              <w:t xml:space="preserve">само на  хартия и няма да бъде приложен на практика, като по този начин интересът към пасищата в националните паркове отново ще остане изключително висок, което ще е във вреда на биоразнообразието и екосистемите в  тях. 5.3 II.А.8 – Поддържане на местообитанията на червеногушата гъска (Branta ruficollis), Кръстат (царски) орел и Египетски лешояд в орнитологични важни места в обработваеми земи a. В обхвата на операция 1 за червеногушата гъска липсва основно изискване, което многократно сме предлагали, а именно на подпомагане да подлежат само физически блокове, в които или на границата с които не са разположени ветрогенератори. Настояваме това изискване ясно да бъде вписано по този начин в интервенцията. Проблемите, възникнали в предишния планов период, се основаваха до голяма степен в неспазването на това изискване и некоректното му въвеждане в мярката – вместо изключване на физическите блокове, се изключваха само фундаментите не ветрогенераторите, което е необосновано и в крайна сметка безсмислено.  b. Обхвата на операция 1, както и бюджета предвиден за нея е намален спрямо предходния период и не е съобразен с одобрения обхват и бюджет в НПРД. Необходимо е обхвата и бюджета на операцията да се съобразят с НПРД. c. Обхвата на операция 2, както и бюджета предвиден за нея не е съобразен с одобрения обхват и бюджет в НПРД. Необходимо е обхвата и бюджета на операцията да се съобразят с НПРД.  d. По отношение обхвата на операция 2 за египетския лешояд – Съобразно актуализирания нов план за действие за опазване на египетския лешояд в страната, част от двойките все още са извън обхвата на ОВМ или екологичната мрежа Натура 2000. Предвид твърде ниската численост на популацията на вида в страната и значението, което всяка една двойка има за поддържане на популацията, предлагаме териториалният обхват да е 5 км около всяко активно гнездо към предходната година спрямо годината на кандидатстване. Също така, предвид важността на пасищата като хранително местообитание на египетския лешояд предлагаме, обект на тази мярка да не е само превръщането на обработваеми земи в затревени площи, но и поддържането на пасищата в благоприятно състояние, а именно чрез умерено пашуване. Това съответства на дейност 1.7 от новия план за действие за опазване на египетския лешояд. e. Начинът  на разписване интервенцията позволява да бъдат добавени и видовете ловен сокол, малък креслив орел и белошипа ветрушка, за което многократно настоявахме с обосновани становища по време на тематичната работна група в периода 2020 – 2022. Предлагаме обхватът и бюджетът на интервенцията, и конкретно операция 2 да се разшири като се включат изброените по-горе видове и обхватът да се съобрази и с тяхното разпространение, като се постигне съответствие с НПРД по отношение както на обхвата, така и по отношение на бюджета, включвайки въпросните застрашени видове хищни птици. </w:t>
            </w:r>
          </w:p>
          <w:p w14:paraId="69E58EC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5.4 II.А.9 – Създаване и възстановяване на екологичната инфраструктура a. Концепцията за зелена инфраструктура е съществен инструмент за справяне със загубата на биоразнообразие чрез намаляване на фрагментацията на местообитанията и осигуряване на свързаност, подобряване на състоянието на екосистемите и екосистемните услуги.  В България се адресира в Националната приоритетна рамка за действие за Натура 2000 (2021-2027) като част от мярка 10, насочена към  развитие и управление на екосистемните услуги и оценка на състоянието на елементите от зелената инфраструктура. Научни изследвания и публикации сочат, че минимум 10% от земеделската земя в стопанството трябва да бъде заета от характеристики на ландшафта и елементи на зелената и синя инфраструктура, които имат най-висока екологична полза в съответния район. Такива са полу-</w:t>
            </w:r>
            <w:r w:rsidRPr="00CD61CE">
              <w:rPr>
                <w:rFonts w:ascii="Verdana" w:hAnsi="Verdana"/>
                <w:sz w:val="20"/>
                <w:szCs w:val="20"/>
              </w:rPr>
              <w:lastRenderedPageBreak/>
              <w:t xml:space="preserve">естествените елементи като тревни площи, включително пасища с храсти, дървета, влажни места или заливни площи; свързващите характеристики като буферни ивици, синори, живи плетове, канавки и др., но не и производствените площи като азотфиксиращи култури или площи със зелена покривка. b. В рамките на Стратегическия план България предлага да се подпомага опазването на екологичната инфраструктура както чрез еко-схеми, така и чрез агроекологични мерки. В направените предложения обаче липсват: </w:t>
            </w:r>
            <w:r w:rsidRPr="00CD61CE">
              <w:rPr>
                <w:rFonts w:ascii="Verdana" w:eastAsia="MS Gothic" w:hAnsi="Verdana" w:cs="MS Gothic" w:hint="eastAsia"/>
                <w:sz w:val="20"/>
                <w:szCs w:val="20"/>
              </w:rPr>
              <w:t>✓</w:t>
            </w:r>
            <w:r w:rsidRPr="00CD61CE">
              <w:rPr>
                <w:rFonts w:ascii="Verdana" w:hAnsi="Verdana"/>
                <w:sz w:val="20"/>
                <w:szCs w:val="20"/>
              </w:rPr>
              <w:t xml:space="preserve"> Изискване за минимален процент на зелена инфраструктура, опазването на която ще се поощрява в еко-схемите и надграждането му в агроекологичните интервенции. </w:t>
            </w:r>
            <w:r w:rsidRPr="00CD61CE">
              <w:rPr>
                <w:rFonts w:ascii="Verdana" w:eastAsia="MS Gothic" w:hAnsi="Verdana" w:cs="MS Gothic" w:hint="eastAsia"/>
                <w:sz w:val="20"/>
                <w:szCs w:val="20"/>
              </w:rPr>
              <w:t>✓</w:t>
            </w:r>
            <w:r w:rsidRPr="00CD61CE">
              <w:rPr>
                <w:rFonts w:ascii="Verdana" w:hAnsi="Verdana"/>
                <w:sz w:val="20"/>
                <w:szCs w:val="20"/>
              </w:rPr>
              <w:t xml:space="preserve"> В изброените елементи липсва дървесно-храстовата растителност, която е ключова за опазване на застрашени видове и местообитания. </w:t>
            </w:r>
          </w:p>
          <w:p w14:paraId="26A4705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 Към  изброената екологична инфраструктура да се добавят формации от дървеснохрастова растителност (до 20% от заявените за подпомагане площи). ▪ Опазването на зелената инфраструктура  да става на регионално ниво. В районите с преобладаващо екстензивно земеделие -  да се запазват съществуващите характеристики на ландшафта (чрез прилагането на еко-схеми), докато в интензивните райони са необходими целенасочени действия за създаването и възстановяването им. Целевите нива за покритие със зелена инфраструктура да са между 10% и 20% на регионално равнище; c. Както посочихме и в коментарите по еко-схемата за създаване и възстановяване на екологична инфраструктура към настоящия момент липсва яснота как ще се създава слоя за екологична инфраструктура и какви атрибути  ще съдържа.  Не е ясно и как ще се извършва обновяването на този слой – на какъв период и по какъв начин. Считаме, че създаването на подобен слой постепенно трябва да включва характеристиките на ландшафта в земеделските земи на територията на цялата страна и разделянето на подпомагането на едни и същи елементи на екологичната инфраструктура в или извън слоя не е целесъобразно и обосновано.</w:t>
            </w:r>
          </w:p>
          <w:p w14:paraId="0D75BA7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Считаме, че създаването/възстановяването на екологична инфраструктура следва да се подпомага чрез непроизводствени инвестиции.  </w:t>
            </w:r>
          </w:p>
          <w:p w14:paraId="787EC49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В случай, че остане в агро-екологичната мярка, препоръчваме да се въведе стъпковидно подпомагане, което да отразява ползите за околната среда: ▪ Базисно ниво на плащане за екологична инфраструктура от над 4(5)% до 10% характеристики и елементи на ландшафта в тях. ▪ Ниво 1 с бонусно плащане с 10,1% - 15% характеристики и елементи на ландшафта в тях. ▪ Ниво 2 с по-високо бонусно плащане за 15,1% - 20% характеристики и елементи на ландшафта в тях. </w:t>
            </w:r>
          </w:p>
          <w:p w14:paraId="3249980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Предлагаме да се помисли и да се въведе бонусно плащане за свързаност на елементите на екологичната инфраструктура  в съседни блокове на земеделското стопанство, включително БЗС на различни земеделски стопани. </w:t>
            </w:r>
          </w:p>
          <w:p w14:paraId="4C59E1B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По отношение на нивата на заплащане за изграждане и възстановяване на екологичната инфраструктура  отново обръщаме внимание, че и тук нивата на плащане се представят в зависимост от начина на земеползване, а не в зависимост от съответния вид на екологичната инфраструктура и препоръките ни са същите както при еко-схемата за екологична инфраструктура. </w:t>
            </w:r>
          </w:p>
          <w:p w14:paraId="2F34100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w:t>
            </w:r>
          </w:p>
          <w:p w14:paraId="7B57B66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lastRenderedPageBreak/>
              <w:t xml:space="preserve">5.5 II.АЕ.3. – Възстановяване и поддържане на деградирали пасищни територии a. Считаме, че няма яснота как така предлаганите интервенции по мярката (разораване, подсяване с неместни видове тревни смески, торене) ще допринесат за  опазване на биоразнообразието, съхраняване или възстановяване на местообитанията или видовете, включително поддържането и създаването на ландшафтни елементи или непроизводствени площи и  опазване или подобряване на качеството на водите и намаляване на натиска върху водните ресурси.  Настояваме текстовете да бъдат пояснени и да бъдат включени съответните индикатори. b. Обръщаме внимание, че част от деградиралите пасища не са включени в „допустимия слой за подпомагане по ИСАК“. Настояваме да бъде обяснен текстът „Земеделските площи трябва да отговарят на определението за „допустим хектар“, като могат да включват и други площи от физическият блок (ФБ), определен като пасища мери и ливади (ПМЛ), както и временни пасища“, по отношение на допустимостта на „другите площи“. c. Необходимо е поясняване на текста „Осигуряване на Постоянно затревени площи, които да са на разположение за ползване на бенефициента за не по-малко от 5 години“  в посока кой  ще предоставя пасищата на земеделските стопани  и как. d. Обръщаме внимание, че в текста на интервенцията не се уточнява каква ще е  нормата за пашуване (гъстота на животинските единици на ха)  за годините след възстановяване на пасищата (2-ра до 5-та година). Необходимо е да се уточни нормата и тя да се определя в зависимост от състоянието на пасищата. При положение, че се предвижда внасянето на тревни смески да се извършва като „Съотношенията за внасяне се изготвят от агроном-специалист, със сертифицирани семена адаптирани/произведени в сходни на българските климатични условия“, следва същият подход да се приложи  и за определяне на нормата за пашуване. e. Не са приложени списъците за одобрените треви и тревни смески, като не става ясно как ще се избират те и доколко това ще е в съответствие с изискванията по отношение на пасищата с  висока природна стойност и в „Натура 2000“. Предлагаме да се допълни възможността за подсяване  с местни видове (за съответното пасище или район). </w:t>
            </w:r>
          </w:p>
          <w:p w14:paraId="6EFC9F4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w:t>
            </w:r>
          </w:p>
          <w:p w14:paraId="6C7719F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5.6 II.В.1. – Плащания за земеделски земи в зони от Натура 2000 a. Интервенцията „Плащания за земеделски земи в зони от Натура 2000“ се предвижда да се прилага в зоните от Натура 2000 с издадени заповеди за обявяване, както и с тези с одобрени Планове за управление, т.е. към сегашния обхват на мярката към зоните за опазване на птиците ще се добавят минимум 186 зони за опазване на природните местообитания. Тези площи не са отразени по никакъв начин към целевите стойности на планираните за подпомагане площи и съответните финансови средства. Нещо повече – планираният бюджет  за интервенцията е 80 777 144 Евро и намален почти двойно от изплатените средства за периода 2015-2020 г. в размер на 140 631 325 Евро, което найвероятно ще доведе до прекратяване на подпомагането след изчерпването на бюджета. Настояваме да се увеличи бюджетът та тази интервенция, тъй като тя е една от найпредпочитаните от земеделските стопани. Допълнителен мотив за това е, че предвидените за тази интервенция средства в Националната приоритетна рамка за действие за Натура 2000 са  в размер на 140 000 000 Евро; b. Не са представени текстове кои забрани от Заповедите за обявяване, както и кои от забраните и препоръките в одобрените планове за управление ще се компенсират. c. Буди недоумение фактът, че се предвижда интервенцията да допринесе за постигането на индикатори за резултат R3. Цифровизация на селското стопанство и R4.Създаване на връзка между подпомагането на доходите и стандартите </w:t>
            </w:r>
            <w:r w:rsidRPr="00CD61CE">
              <w:rPr>
                <w:rFonts w:ascii="Verdana" w:hAnsi="Verdana"/>
                <w:sz w:val="20"/>
                <w:szCs w:val="20"/>
              </w:rPr>
              <w:lastRenderedPageBreak/>
              <w:t xml:space="preserve">за добра практика, а не към индикатора за резултат R33. Подобряване  на управлението на мрежа „Натура 2000“. d. Обръщаме внимание, че при методологията за изчисляване на нивата на плащане единствено на тази мярка  нивата на плащане се разграничават за 4 вида територии: планински райони; други райони засегнати от значителни природни ограничение, наричани други необлагодетелствани райони; райони със специфични, различни от планинските и други ограничения; райони, незасегнати от природни и почвени ограничения, считани в методиката, като незасегнати от природни ограничения, като това води до по-ниски плащания в планинските райони и съответно за затревените площи, спрямо обработваемите земи. Това е единствената интервенция, при която е използвана подобна методология. Настояваме  да се уеднакви подходът при всички интервенции на хектар или да се предостави обосновка защо това се прави само за мярката Натура 2000. e. Средните нива за плащане по различните видове земеползване са намалени спрямо периода 2014-2020 г. като за обосновка за това се посочва избягването на двойното финансиране  с еко-схемите, без да се посочат за кои точно еко-схеми става дума и кое би могло да е двойното финансиране. 5.7 II.И.1. – Консултантски услуги и повишаване на консултантския капацитет (стр.982) a. В представения  проект на бенефициенти на интервенцията „Допустими бенефициенти са Национална служба за съвети в земеделието (НССЗ) и организации, отговарящи на критериите за областно, регионално и национално представителни браншови организации за производство и преработка на селскостопански продукти“. Не са включени екологични организации, които имат  представителство на областно, регионално или национално ниво, независимо че по три от консултантите пакети се предвижда предоставяне на услуги, свързани с целите на опазване на околната среда и предотвратяване на климатичните промени. Считаме, че  екологичните организации трябва да бъдат включени в обхвата на мярката. b. Необходимо е да се уточни какво се разбира под представителство на  областно, регионално и национално ниво. c. Буди недоумение фактът, че се предвижда „Консултантски пакети № 4, 5, 6, 7, 8, 9 и 10 ще се предоставят единствено на малки, много малки и млади земеделски стопани съгласно определението в Стратегическия план“. Обръщаме внимание, че тези пакети са особено важни за едрите земеделски стопанства с интензивно земеделие и настояваме  те да бъдат включени в обхвата на консултациите по отношение на опазването на околната среда. 5.8 I.Ж.1. – Подкрепа за оперативни групи в рамките на Европейското партньорство за иновации a. В индикаторите за резултат не е включен индикаторът „R.28 Качество на изпълнението с оглед на околната среда или климата чрез знания и иновации: брой на лицата, ползващи се от консултации, обучения и обмен на знания или участващи в оперативни групи на Европейското партньорство за иновации (ЕПИ), подпомагани от ОСП, във връзка с качеството на изпълнението свързано с околната среда климата“. Настояваме  да се включи. b. В условията за допустимост на кандидати е включен текстът:  „Оперативните групи включват най-малко един земеделски стопанин или една призната група/организация на производители или една областно, регионално или национално представителна браншова организация за производство и преработка на селскостопански продукти и един представител на науката“. Считаме, че така формулиран текстът дава неправомерно предимство на браншовите организации за производство и преработка на селскостопански продукти, което може да доведе до възпрепятстване на иновативни решения. Считаме, че текстът трябва да се преформулира като се включат като водещи интересите на земеделските производители. c. Предлагаме следната формулировка „Оперативните групи включват най-малко </w:t>
            </w:r>
            <w:r w:rsidRPr="00CD61CE">
              <w:rPr>
                <w:rFonts w:ascii="Verdana" w:hAnsi="Verdana"/>
                <w:sz w:val="20"/>
                <w:szCs w:val="20"/>
              </w:rPr>
              <w:lastRenderedPageBreak/>
              <w:t>един представител на науката и  един регистриран земеделски стопанин/ група земеделски стопани или  една областно, регионално или национално представителна браншова организация за производство и преработка на селскостопански продукти“ d. Предлагаме към допустимите бенефициенти в частта: „г) Висши училища, акредитирани по Закона за висшето образование с актуални акредитации по професионални направления…“ задължително да се добавят направления „Аграрна икономика“, „Екоикономика“, „Екология“, „Опазване на природните ресурси“ и други екологични и икономически направления. e. Предлагаме към бенефициентите да се включат и Местните инициативни групи. Това отговоря на целите на  т.Б от чл. 77 (Сътрудничество) на Регламента за Стратегическия план „подготвяне и изпълнение на LEADER;“. f. Предлагаме във връзка с изпълнението   на т.Д от същия член  „изготвяне и прилагане на стратегии за „интелигентни селища“, определени от държавите членки“, да се помисли за включване на общините в допустимите бенефициенти. g. Предлагаме текстът  за допустими бенефициенти  „ж) Консултантски организации с предмет на консултантската дейност в областта на селското стопанство или храните в т.ч. НССЗ“ да се допълни по следния начин „ж) Консултантски организации с предмет на консултантската дейност в областта на селското стопанство или храните, опазване на околната среда, биоразнообразието и климата в т.ч. НССЗ.“ h. Предлагаме  да се предвиди възможност за авансово плащане в определен размер, с цел  оптимизиране на  прилагането на интервенция.</w:t>
            </w:r>
          </w:p>
          <w:p w14:paraId="302C1B5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6. Част 6. Финансов план </w:t>
            </w:r>
          </w:p>
          <w:p w14:paraId="2721566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След обстоен преглед на заложените средства  за опазване на биологичното разнообразие по първи и втори стълб на ОСП могат да бъдат направени следните изводи: 6.1 Предоставеният досега бюджет в СПРЗСР 2023-2027 показва изключително ниско финансово обезпечаване за дейности насочени пряко към биологичното разнообразие -6% от бюджета по Стълб 1 (докато напр. всички еко-схеми съставляват около 30% от общия бюджет по стълб I) и 3,8% от бюджета на стълб 2. СПРЗСР 2023-2027 обяснява, че 1,682 милиарда евро публични средства са разпределени за постигане на СЦ 6, като най-голям дял е посветен на следните интервенции: биологично земеделие (ЕЗФРСР); еко-схемите за диверсификация на култивираните култури, намаляване на употребата на пестициди, поддържане и подобряване на биоразнообразието и екологичната инфраструктура; и екосхема за поддържане и възстановяване на почвения потенциал — насърчаване на зелено торене и органично торене (ЕФГЗ). Обосновката на тези инструменти не позволява да се потвърди тяхната релевантност за изпълнението на целите на ЕС, свързани с Натура 2000 и биоразнообразието. 6.2 Едва 6% от бюджета на 1-ви стълб са насочени към подпомагане на дейности, свързани директно с опазването на биологичното разнообразие (Еко-схема за поддържане и подобряване на биологичното разнообразие и екологичната инфраструктура и Еко-схема за екстензивно поддържане на постоянно затревени площи); 6.3 Едва 3,8% от бюджета на 2-ри стълб са директно насочени към интервенции, допринасящи за опазване на биологичното разнообразие, земите с ВПС и земите в Натура 2000 и зелената инфраструктура  (Устойчиво управление на пасища в земеделски земи с ВПС; Плащания за земеделски земи в зони от Натура 2000; Поддържане на местообитанията на червеногушата гъска (Branta ruficollis), Кръстат (царски) орел и Египетски лешояд в орнитологични важни места в обработваеми земи; Създаване и възстановяване на екологичната инфраструктура); 6.4 В сравнение с общия необходим бюджет за биоразнообразие и климатични промени  заделените средства за биоразнообразие са твърде малко. Но по-</w:t>
            </w:r>
            <w:r w:rsidRPr="00CD61CE">
              <w:rPr>
                <w:rFonts w:ascii="Verdana" w:hAnsi="Verdana"/>
                <w:sz w:val="20"/>
                <w:szCs w:val="20"/>
              </w:rPr>
              <w:lastRenderedPageBreak/>
              <w:t xml:space="preserve">големият проблем е, че тези средства не са достатъчни и не отговарят на заложените в НПРД необходими средства, дори ако се комбинират средствата по първи и втори стълб.  Например Мярката за Натура 2000 в земеделски земи и гори според НПРД изисква средства в размер на 140 000 000 евро, докато във финансовия план са залегнали само 95 000 000 евро, т.е. с 45 000 000 евро помалко (намаление с 20 000 000 евро спрямо необходимите средства за земеделски земи в Натура 2000 и 25 000 000 евро по-малко от необходимите средства за Натура 2000 в гори). Мярката Натура 2000 съдържа специфични изисквания, които не са предвидени в екосхемите по стълб 1 и бюджетният дефицит не може да се компенсира от там. Недостатъчните средства, заложени за Натура 2000, не съответстват на значението, което се отдава на мярката в интервенционната стратегия, но което е по-лошо, няма да доведе до постигане на заложените природозащитни цели.  6.5 Аналогично по отношение на мярката за застрашените видове птици, към червеногушата гъска са прибавени и хищни птици като царския орел и египетския лешояд, но общият бюджет на тази мярка е с 1,5 милиона по-нисък от заложения в НПРД. Този бюджет, както и бюджетът за мярката Натура 2000 са намалени спрямо предходния период, без да се отчита фактът, че е необходимо да се положат повече усилия. Трябва да подчертаем също, че мерките за застрашените видове птици, като червеногушата гъска, царския орел и египетския лешояд, са специфични и не се обхващат от еко-схемите по стълб 1, поради което е необходимо да е гарантиран целият им бюджет в Стълб 2.  </w:t>
            </w:r>
          </w:p>
          <w:p w14:paraId="44FDAFE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Настояваме във финансовия план, средствата, необходими за опазване и възстановяване на биоразнообразието, да са изцяло съобразени с одобрените средства по НПРД, като се направи ясна връзка от кои интервенции и еко-схеми се осигурява финансирането на съответните мерки от НПРД. </w:t>
            </w:r>
          </w:p>
          <w:p w14:paraId="5351E0A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w:t>
            </w:r>
          </w:p>
          <w:p w14:paraId="07240ED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7. Част 7.2. Описание на структурата за мониторинг и докладване </w:t>
            </w:r>
          </w:p>
          <w:p w14:paraId="0D59C2A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Независимо от препоръките на предварителната оценка на СПРЗСР 2023-2027 (стр.1127.)  относно научените уроци от прилагането на  ПРСР 2014-2020 в частта мониторинг и оценка, в описанието на структурата за мониторинг и докладване отново не е включен мониторинга на резултатите и въздействието от прилагането на отделните интервенции върху околната среда и биоразнообразието. </w:t>
            </w:r>
          </w:p>
          <w:p w14:paraId="478CEF6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Обръщаме внимание, че  препоръките на предварителната оценка на ПРСР 2014-2020 г и последващата оценка на ПРСР 2017-2013  отчитат необходимостта от разработване на система за наблюдение на въздействието по отношение на влиянието на отделните интервенции върху елементите на околната среда. Тази система следва да се изгради в координация между съответните служби и агенции на МОСВ и МЗм. В представените текстове в част 7.2. отново не се адресира изграждането на подобна система, което на практика означава, че не може да се оцени реалното въздействие от изразходваните публични средства за постигане на целите, свързани с опазване на околната среда. </w:t>
            </w:r>
          </w:p>
          <w:p w14:paraId="04CA57B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Настояваме МЗм и МОСВ да поемат ангажимент за координирано изграждане на система за мониторинг и оценка на въздействието от предлаганите интервенции по СП на ОСП върху околната среда и биоразнообразието в частност и това да бъде  описано в точка 7.2. </w:t>
            </w:r>
          </w:p>
          <w:p w14:paraId="6193812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lastRenderedPageBreak/>
              <w:t xml:space="preserve"> </w:t>
            </w:r>
          </w:p>
          <w:p w14:paraId="72CFDE6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8. Част 8.1. Система за знания и иновации в селското стопанство (AKIS) </w:t>
            </w:r>
          </w:p>
          <w:p w14:paraId="2B934E8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Съгласно член 15 на Регламента за СП „ Консултантските услуги в областта на селското стопанство обхващат икономическите, екологичните и социалните аспекти, като отчитат съществуващите земеделски практики, и осигуряват актуална технологична и научна информация, разработена посредством проекти за научни изследвания и иновации, включително що се отнася до предоставянето на обществени блага. </w:t>
            </w:r>
          </w:p>
          <w:p w14:paraId="4D38BE3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Чрез консултантските услуги в областта на селското стопанство се предлага подходяща помощ в рамките на цикъла на развитие на стопанствата, включително за създаването на земеделско стопанство за първи път, приспособяването на производствените модели към потребителското търсене, иновативни практики, селскостопански техники с цел устойчивост спрямо изменението на климата, включително агролесовъдство и агроекология, подобряване на хуманното отношение към животните и, при необходимост, стандарти за безопасност и социално подпомагане.“ </w:t>
            </w:r>
          </w:p>
          <w:p w14:paraId="14E5A1F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Считаме, че така предлаганият текст за AKIS изключва ключови участници като ЮЛНЦ, работещи в областта на опазване на околната среда, биоразнообразието и климата, които и понастоящем работят със земеделските стопани в рамките на редица научно-изследователски и приложни проекти, финансирани от ЕС. </w:t>
            </w:r>
          </w:p>
          <w:p w14:paraId="488348B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Необходимо е системата да включва и въвеждането на целеви обучения за земеделски производители, стопанисващи земеделски земи в Натура 2000, както и на целенасочени консултации и съвети за природосъобразни земеделски практики, опазващи и възстановяващи видове и местообитания в конкретните защитени зони (надграждане на съществуващите ангажименти, съгласно изискванията на регламента). </w:t>
            </w:r>
          </w:p>
          <w:p w14:paraId="6F8A437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Тези потребности са свързани с разясняване на същностните изисквания за стопанисването на земеделските земи в зоните по Натура 2000, включващи обосновка на причините за наложените забрани за ползване на земеделските земи; какви са очакваните и търсените ползи за както за биоразнообразието, така и за земеделските дейности и земи от опазването на биоразнообразието в тях; кои видове и местообитания са обект на опазване в съответните територии; какви са индикациите за благоприятно състояние на видовете и местообитанията в земеделските земи дейностите и т.н. </w:t>
            </w:r>
          </w:p>
          <w:p w14:paraId="264C018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Заключение и препоръки Наличието на слабостите и пороците, посочени по-горе, които установихме при подробен анализ на представените за обсъждане документи, показва необходимост СПРЗСР 2023-2027 да бъде преработен и допълнен, така че да се спази българското и европейското природозащитно законодателство, да е в съзвучие и да допринася за изпълнението на одобрените стратегически документи, свързани с биологично разнообразие и да гарантира, че публичните средства на българските и европейските данъкоплатци, ще бъдат адекватно и пропорционално насочени, за да се изпълнят стратегическите цели по отношение на общностните блага – биоразнообразие, околна среда, климат и здравословна храна. </w:t>
            </w:r>
          </w:p>
          <w:p w14:paraId="4CE3804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w:t>
            </w:r>
          </w:p>
          <w:p w14:paraId="4EBCA3F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За тази цел отправяме следните общи препоръки: • Настояваме за изготвяне и представяне за съгласуване на </w:t>
            </w:r>
            <w:r w:rsidRPr="00CD61CE">
              <w:rPr>
                <w:rFonts w:ascii="Verdana" w:hAnsi="Verdana"/>
                <w:sz w:val="20"/>
                <w:szCs w:val="20"/>
              </w:rPr>
              <w:lastRenderedPageBreak/>
              <w:t xml:space="preserve">ясна и конкретна интервенционна логика, следвайки приетите указания на Европейската комисия, като се поставят остойностени цели и се предвидят съответни индикатори за резултат. </w:t>
            </w:r>
          </w:p>
          <w:p w14:paraId="35EA3C5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Да се направи ясна връзка между мерките, одобрени в НПРД и съотвестващите им екосхеми и интервенции от Стратегическия план, като в описанието на всяка екосхема/интервенция се посочи номера на съответстващата мярка от НПРД, целевата стойност, която следва да бъде постигната за 5-годишния период, съответен индикатор за резултат, както и начин за мониторинг и контрол.  • Да се доразвият всички мерки и интервенции така, че да показват ясно вързката си с цалите за биоразнообразие, климат и околна среда и здравословна храна, а за тези, които са потенциално рискови да се посочат ясно механизмите чрез коит още се гарантира прилагане на принципа за „неувреждане на околната среда“. </w:t>
            </w:r>
          </w:p>
          <w:p w14:paraId="76192BF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По отношение на опазването на биологичното разнообразие и екосистемите е необходимо индикаторите за резултат (R) и индикаторите за въздействие (I), измерващи ефекта от вложените средства, да бъдат включени по подходящ начин във всяка интервенция! По аналогичен начин следва да се включат и индикаторите, свързани с качеството на почвите, водите и въздуха, съответно индикаторите за резултат и индикаторите за въздействие. • Да се предвиди мониторинг и контрол на ефекта на всички мерки по Стратегическия план върху биоразнообразието, водите почвите и въздуха. Да се предвидят механизми за спиране или промяна на мерки, които се оказват неефективни или увреждащи биоразнообразието. </w:t>
            </w:r>
          </w:p>
          <w:p w14:paraId="3EB7BD0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Считаме за особено важно да се изготви подробна и качествена екологична оценка и оценка за съвместимост на СПРЗСР 2023-2027, тъй като в него се съдържат интервенции с потенциално значително отрицателно въздействие върху биоразнообразието и околната среда. Мерките и условията, залегнали в оценките и решението на МОСВ въз основа на тях, следва да се интегрират в самите интервенции и да са част от условията за всяка интервенция. Обръщаме внимание, че включването на по-ясни и конкретни условия на ниво интервенция, които са свързани с избягване на въздействия върху околната среда, включително биоразнообразието, би могло да намали административната тежест на ниво проект. • Да се преработят и допълнят всички части на плана, касаещи приноса към опазване на биологичното разнообразие, като: o Мерките, касаещи биологичното разнообразие да бъдат изцяло съобразени както по съдържание, така и като необходими финансови средства с Националната приоритетна рамка за действие за Натура 2000 и да се гарантира действителния им принос за опазване на дивите птици и техните местообитания;  o Правилата за добрите земеделски практики и дефинициите да отразят правилно нуждите от опазване на местообитанията на видовете животни и растения, като особено внимание се обърне на тревните местообитания и елементите на ландшафта като храсталаци и единични дървета. o За всички мерки и интервенции в рамките на СПРЗСР 2023-2027 да бъдат добавени индикатори за резултат и ефект върху биологичното разнообразие, като се гарантира, че ще се проследява индексът на широко разпространените видове птици, както и  състоянието на видовете и местообитанията, обект на опазване в Натура 2000; o Да се интегрира повишаването на знанията на фермерите за биоразнообразието в общия пакет от знания, предоставяни в земеделския сектор; o Да се преработят или премахнат мерки, които са дефинирани като -екологично насочени, но нямат принос към опазване на биоразнообразието или дори са с риск от влошаване на състоянието му. o Да се осигури адекватна финансова обезпеченост на всички еко-схеми и инвервенции, които пряко допринасят за </w:t>
            </w:r>
            <w:r w:rsidRPr="00CD61CE">
              <w:rPr>
                <w:rFonts w:ascii="Verdana" w:hAnsi="Verdana"/>
                <w:sz w:val="20"/>
                <w:szCs w:val="20"/>
              </w:rPr>
              <w:lastRenderedPageBreak/>
              <w:t xml:space="preserve">опазване и възстановяване на биологичното разнообразие във и извън Натура 2000, като процентното участие на бюджетните средства за тях в бюджета на екологично насочените мерки се повиши </w:t>
            </w:r>
          </w:p>
          <w:p w14:paraId="61901AC7" w14:textId="0E760F43" w:rsidR="00CD7279" w:rsidRPr="00D550C0"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Да бъдат отразени всички конкретни и общ ипрепоръки от настоящото становище и да ни бъде предоставен отговор как са отразени, както и причините за неотразяване на отправени наши препоръки.</w:t>
            </w:r>
          </w:p>
        </w:tc>
      </w:tr>
      <w:tr w:rsidR="00CD7279" w:rsidRPr="00F413E2" w14:paraId="6C09789B"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2C661D8C"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5337B861" w14:textId="77777777" w:rsidR="00CD7279" w:rsidRPr="00D96656" w:rsidRDefault="00CD7279" w:rsidP="00D96656">
            <w:pPr>
              <w:spacing w:before="40" w:after="20"/>
              <w:rPr>
                <w:rFonts w:ascii="Verdana" w:hAnsi="Verdana"/>
                <w:sz w:val="20"/>
                <w:szCs w:val="20"/>
              </w:rPr>
            </w:pPr>
            <w:r w:rsidRPr="00D96656">
              <w:rPr>
                <w:rFonts w:ascii="Verdana" w:hAnsi="Verdana"/>
                <w:sz w:val="20"/>
                <w:szCs w:val="20"/>
              </w:rPr>
              <w:t>Национална Био Асоциация</w:t>
            </w:r>
          </w:p>
          <w:p w14:paraId="64884DD0" w14:textId="3E4F0073" w:rsidR="00CD7279" w:rsidRDefault="00CD7279" w:rsidP="00D96656">
            <w:pPr>
              <w:spacing w:before="40" w:after="20"/>
              <w:rPr>
                <w:rFonts w:ascii="Verdana" w:hAnsi="Verdana"/>
                <w:sz w:val="20"/>
                <w:szCs w:val="20"/>
              </w:rPr>
            </w:pPr>
            <w:r w:rsidRPr="00D96656">
              <w:rPr>
                <w:rFonts w:ascii="Verdana" w:hAnsi="Verdana"/>
                <w:sz w:val="20"/>
                <w:szCs w:val="20"/>
              </w:rPr>
              <w:t xml:space="preserve">(писмо </w:t>
            </w:r>
            <w:r>
              <w:rPr>
                <w:rFonts w:ascii="Verdana" w:hAnsi="Verdana"/>
                <w:sz w:val="20"/>
                <w:szCs w:val="20"/>
              </w:rPr>
              <w:t xml:space="preserve">вх.№ 15-206 </w:t>
            </w:r>
            <w:r w:rsidRPr="00D96656">
              <w:rPr>
                <w:rFonts w:ascii="Verdana" w:hAnsi="Verdana"/>
                <w:sz w:val="20"/>
                <w:szCs w:val="20"/>
              </w:rPr>
              <w:t xml:space="preserve">от </w:t>
            </w:r>
            <w:r>
              <w:rPr>
                <w:rFonts w:ascii="Verdana" w:hAnsi="Verdana"/>
                <w:sz w:val="20"/>
                <w:szCs w:val="20"/>
              </w:rPr>
              <w:t>0</w:t>
            </w:r>
            <w:r w:rsidRPr="00D96656">
              <w:rPr>
                <w:rFonts w:ascii="Verdana" w:hAnsi="Verdana"/>
                <w:sz w:val="20"/>
                <w:szCs w:val="20"/>
              </w:rPr>
              <w:t>1.0</w:t>
            </w:r>
            <w:r>
              <w:rPr>
                <w:rFonts w:ascii="Verdana" w:hAnsi="Verdana"/>
                <w:sz w:val="20"/>
                <w:szCs w:val="20"/>
              </w:rPr>
              <w:t>4</w:t>
            </w:r>
            <w:r w:rsidRPr="00D96656">
              <w:rPr>
                <w:rFonts w:ascii="Verdana" w:hAnsi="Verdana"/>
                <w:sz w:val="20"/>
                <w:szCs w:val="20"/>
              </w:rPr>
              <w:t>.2022г.)</w:t>
            </w:r>
          </w:p>
        </w:tc>
        <w:tc>
          <w:tcPr>
            <w:tcW w:w="12433" w:type="dxa"/>
            <w:tcBorders>
              <w:top w:val="single" w:sz="18" w:space="0" w:color="2E74B5"/>
              <w:left w:val="single" w:sz="18" w:space="0" w:color="2E74B5"/>
              <w:bottom w:val="nil"/>
              <w:right w:val="single" w:sz="18" w:space="0" w:color="2E74B5"/>
            </w:tcBorders>
            <w:shd w:val="clear" w:color="auto" w:fill="auto"/>
          </w:tcPr>
          <w:p w14:paraId="33075619"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За съжаление след няколко провалени програмни периода (САПАРД, ПРСР 7-13 и ПРСР 14-20) и „успешно усвоено“ европейско финансиране, в така представения Стратегически план за развитие на селските райони на Р.България, не намираме промяната от предходните провалени програмни периода. Дори похватите на „старата – нова“ администрация са същите, дори лицата генериращи и прокарващи точно определени лобистки схеми са същите.  Не е за вярване, че българската биоземя се е свила до 1,7 % и е толкова малко. Логично е много голямо ЗАЩО???????????? Първо е необходим отговор на този въпрос и всички установени грешки, вредни политики и виновни да бъдат отстранени. Въпреки, че стратегическия план е предаден в този вариант, отговора на този въпрос е необходим и трябва да се започне незабавно работа. Този въпрос непременно трябва да бъде поставен и изяснен с оценката на ПРСР за изминаващия програмен период. </w:t>
            </w:r>
          </w:p>
          <w:p w14:paraId="3B7EB954"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 </w:t>
            </w:r>
          </w:p>
          <w:p w14:paraId="0798977F"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По отношение на начина и реда по който се провеждаше обсъждания с бранша: </w:t>
            </w:r>
          </w:p>
          <w:p w14:paraId="03F89DA9"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 </w:t>
            </w:r>
          </w:p>
          <w:p w14:paraId="73C50A8C"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-Браншовите организации не разполагаха предварително в цялост и пълнота от предварително разработени бюджети, анализи, изводи, справки и др. Всичко се правеше целенасочено хаотично, обсъждаха се теми „на парче“, когато се задаваха конкретни въпроси и се изискваше информация, същата не се предоставяше или се протакаше; -Органът по управление на ПРСР, работи с близки до себе си НПО браншови организации, чрез които е в контакт и по този начин изисква от тях определени становища, за да прокара схеми и мерки, които са в интерес на определени групи заинтересовани лица.  -Видно  правилата по които се провеждат тематични работни групи, няма правила, по които се взема определено решение, дали се подкрепя или се отхвърля някакво предложение или тема.  Всяко решение на Органа по управление на ПРСР не е взет от бранша, респективно земеделските стопани, а е взето от лобиски групи. Предварително се изискват определени становища от подбрани лица, за да се прокара определена схема за финансиране или подпомагане по ПРСР. -Заседанията на тематичните работни групи се превръщат в една безсмислена говорилня, само за алиби по отношение на взетите решения. -Под предлог че трябва да се бърза или че няма време за „усвояване“ на средствата на ПРСР се вземат решения, които категорично не са в интерес на реални малки, средни и дребни земеделски стопанства. Изключително уважаваната от нас г-жа Лаура Кьовеши, която каза, че „корупцията е традиция в България“ е абсолютно права. Просто елате да установите прилагането на настоящата или бъдещата ПРСР на Р. България и сами ще се уверите в това.  Предлагаме провеждането на ТРГ по досегашния начин да се прекрати и да се върнем към методиката от предприсъединетилния период и програма САПАРД. Всички участници на една маса и решенията се вземаха със 100 % от гласовете. Тогава надделяваха аргументите, анализите, а не лобизма, виковете в залата и стачките, корупцията само се прокрадваше. В ДФЗ имаше Комисия за избор на проекти, колкото и формално да работеше, </w:t>
            </w:r>
            <w:r w:rsidRPr="00D96656">
              <w:rPr>
                <w:rFonts w:ascii="Verdana" w:hAnsi="Verdana"/>
                <w:sz w:val="20"/>
                <w:szCs w:val="20"/>
              </w:rPr>
              <w:lastRenderedPageBreak/>
              <w:t xml:space="preserve">после я превърнаха в Комисия за информираност, а в последния програмен период те изчезнаха и затъмнение. Тази методика бе зададена от ЕК, докато настоящата пародия е от българската администрация. Именноп в това е разликата. </w:t>
            </w:r>
          </w:p>
          <w:p w14:paraId="693298DD"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 </w:t>
            </w:r>
          </w:p>
          <w:p w14:paraId="551F47CD"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Разработването на стратегическия план е идеална възможност за промяна, с която настоящето правителство се ангажира. ЗЛАТЕН ШАНС, който засега не е използван или поне за биопроизводството, плодовете и зеленчуците. Напротив голяма част от политиките за запазени, има изключително сериозни негативни промени, като преобладават  козметичните. Според нас от НБА, една от най слабите страни на стратегическия план са изключително занижените цели пред биопроизводството, аргументите са смешни. Не е предвидена политика и съответни дейности за стимулиране на биопреработката, биохраните и напитки, биопродукти и не разбираме защо не са предвидени никакви мерки за развитие на биопазар, даже най-обичайното като предлагане и потребление. Необходимо е, като в същото време го и предлагаме, да се заложат цели в съответствие с приоритетите на бъдещия програмен период и те да бъдат подкрепени с дейности и мерки. В частност считаме, че една от промените която не е правилно да  продължава е подкрепата за сеитбооборота. Не може средствата за сеитборот да са повече отколкото за биоземеделие. Тя бе въведена, тъй като не се усвояваха средствата по мярка 214 „Агроекологични плащания“, ПРСР 07-13. Така драстично бе обърната политиката към „усвояване”, че за една година бе достигнат бюджетен дефицит от 100 млн.лв и пострадаха много биопроизводители.  Предлагаме още от следващата година и всяка година средствата за сеитоборот да намалят с 20 % и да се прехвърлят за биодейности, като с тази промяна да се осигури плавен преход от сеитбооборот към постепенен ръст на биопредлагането.  Не е аргумент, че колегите които си разпределят сеитбооборота са поискали един милиард лева, това е класически лобизъм и съответно лобистки решения.  Втората слаба страна на стратегическия план, която искаме да отбележим в настоящето становище е продължаването на прилагането на обвързаната подкрепа така, както се прилага в изтичащия програмен подкрепа.  Тази мярка е временна и се прилага за отрасли, които са закъсали и докато се възстановят. Тя не е за непрекъсната подкрепа и затова в ЕС има гласове против начина на прилагане на тази мярка в България. Със сигурност някои отрасли трябва да се изведат от тази мярка, тъй като се стабилизираха и подпомагането им да продължи в първи стълб. Разбира се, че тази мярка трябва да се пренасочи към други отрасли или култури, които закъсаха. И така нейния дял може и да намаля, не е задължително да е винаги максимален 13 %. Колкото по нисък е този процент толкова по балансирано е земеделието и закъсалите подотрасли ги няма или са малко, в резултат на някакви причини, но не и поради грешна политика. Наложително е разумно разпределение на първи стълб, това е втория голям шанс за промяна, който се пропуска с предлагания стратегически план. Отдавна предлагаме модела на Германия, но там политиките в много висока степен се определят от Селския съюз на Германия, а не от Дирекция „Развитие на селските райони“  МЗм. </w:t>
            </w:r>
          </w:p>
          <w:p w14:paraId="58A3AB72" w14:textId="21E9FB45"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По отношение на част от схемите, които ще се прилагат  в самия стратегически план: </w:t>
            </w:r>
          </w:p>
          <w:p w14:paraId="19F52C4D"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 бъдещата мярка 10 „Агроекология и климат“ : </w:t>
            </w:r>
          </w:p>
          <w:p w14:paraId="468D9911" w14:textId="6DF55B72"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lastRenderedPageBreak/>
              <w:t xml:space="preserve"> </w:t>
            </w:r>
            <w:r w:rsidRPr="00D96656">
              <w:rPr>
                <w:rFonts w:ascii="Verdana" w:hAnsi="Verdana"/>
                <w:sz w:val="20"/>
                <w:szCs w:val="20"/>
              </w:rPr>
              <w:t xml:space="preserve">По отношение на тази мярка, тя винаги е била изключително важна за осъществяване на „схемите по източване“ на средства от бюджета на ЕС. По отношение на това, промени в бъдеще не се очакват, същите възможности пак ще са налице. Национална био асоциация, предложи да има ограничение от 50 ха по схемите за подпомагане по всички направления на бъдещата мярка 10 „Агроекология и климат“, същите не бяха приети от МЗм и схемите които са се прилагали в миналото, ще продължат и занапред : </w:t>
            </w:r>
          </w:p>
          <w:p w14:paraId="519B8472" w14:textId="0565741E"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t xml:space="preserve"> </w:t>
            </w:r>
            <w:r w:rsidRPr="00D96656">
              <w:rPr>
                <w:rFonts w:ascii="Verdana" w:hAnsi="Verdana"/>
                <w:sz w:val="20"/>
                <w:szCs w:val="20"/>
              </w:rPr>
              <w:t xml:space="preserve">- Подпомагане на схеми за сеитбообращения; - Очертаване на постоянно затревени площи, ливади и други площи, чрез „виртуални животни“; - Подпомагане на червеногуши пернати, орли и лешояди и още и още. </w:t>
            </w:r>
          </w:p>
          <w:p w14:paraId="5634DAEF"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 бъдещата мярка 11 „Биологично земеделие“ : </w:t>
            </w:r>
          </w:p>
          <w:p w14:paraId="13190E0C" w14:textId="525F9BD0"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t xml:space="preserve"> </w:t>
            </w:r>
            <w:r w:rsidRPr="00D96656">
              <w:rPr>
                <w:rFonts w:ascii="Verdana" w:hAnsi="Verdana"/>
                <w:sz w:val="20"/>
                <w:szCs w:val="20"/>
              </w:rPr>
              <w:t xml:space="preserve">Тук е налице съществен напредък, по прилагането на лобистки схеми за подпомагане. Докато през изминалите години, успяхме да извоюваме ограничение на площите за подпомагане до 50 ха, тук небезизвестни лица, постигнаха : -Нечуваните за Европа, подпомагане 2500 дка биологични площи от полски и фуражни култури на бенефициент, които в края на програмния период отново ще се „изпарят“ в небитието; -Увеличи се подпомагането на 1000 дка биологични рози, необходими на парфюмерийната промишленост, в конкретна област/район, в полза на точно определени производители (само дето не им споменахме имената поименно в плана, но ние си ги знаем). Нещо повече лобизма стигна до там, че маслодайната роза (необходима за парфюм) не се включи към групата на етерично-маслените култури, където и е мястото, а се отдели на отделен ред за подпомагането с едно драстично повисоко плащане, почти приравнено към трайните насаждения. Само че таванът за трайните насаждения е 50 ха, наполовина от розата. Обяснете логиката различна от лобистка. По този начин изобщо не се решава проблема с продоволствената криза на храните и необходимостта да се доставя здравословна и качествена храна до всеки един гражданин, каквато е целта на ПРСР и мярката в конкретност. Това обслужва само единица бенефициенти, които може да преброим на пръстите на едната си ръка.  - за да се осигури финансиране на гореизложеното, всички производители на орехови насаждения ще страдат, с драстично наманено подпомагане изнесени на отделен ред в плана; Заниженият бюджет в стратегическия план, различните и по високи тавани ще доведат отново до бюджетен дефицид по агроекологичните и биологични схеми, аналогичен на този през 2016,2017 и 2018г. отново ще има, тъй като схемите за източване на европейското финансиране не са прекратени. Предлагаме да се стартира с тавани от 50 ха за всички култури за да няма пак бюджетен дефицит и в зависимост от развитието, ако има възможност да се повдигат. </w:t>
            </w:r>
          </w:p>
          <w:p w14:paraId="433CAD5D" w14:textId="77777777"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 xml:space="preserve">По принцип в Европа биопроизводстводството не се осъществява от огромни производители и в България е така. Стопанствата са изключително силно раздробени. В заседание на ТРГ ни се докладва, че стопанствата отглеждащи рози са масово по 0,5-1 дка или до 5 дка. Изключителна рядкост е голямо стопанство. Тези 1000 дка биорози в конкретната област са за направени точно определени хора. Нечувана драма е българското агроекологично и биопроизводство. Ние в качестввото си на неправителствена организация в сектора, всячески се мъчим да поставим ограничения пред плащанията по тях, за да може да не се „източат“ средства по предварително нагласени схеми и мерки и да няма никаква конкретна полза на обществото ни.  Видно от така представения Стратегически план, не сме могли да се справим с тази наша бленувана цел. </w:t>
            </w:r>
          </w:p>
          <w:p w14:paraId="160D1192" w14:textId="4E1D3AA5" w:rsidR="00CD7279" w:rsidRPr="00D96656" w:rsidRDefault="00CD7279" w:rsidP="00D96656">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lastRenderedPageBreak/>
              <w:t xml:space="preserve"> </w:t>
            </w:r>
            <w:r w:rsidRPr="00D96656">
              <w:rPr>
                <w:rFonts w:ascii="Verdana" w:hAnsi="Verdana"/>
                <w:sz w:val="20"/>
                <w:szCs w:val="20"/>
              </w:rPr>
              <w:t xml:space="preserve">По отношение на уж приоритетния сектор „Плодове и зеленчуци“, основният въпрос е, дали ще продължим да копаем дъното ?  </w:t>
            </w:r>
          </w:p>
          <w:p w14:paraId="5C1E091D" w14:textId="33C4E556" w:rsidR="00CD7279" w:rsidRPr="009E60E1" w:rsidRDefault="00CD7279" w:rsidP="00D96656">
            <w:pPr>
              <w:widowControl w:val="0"/>
              <w:tabs>
                <w:tab w:val="left" w:pos="1565"/>
              </w:tabs>
              <w:autoSpaceDE w:val="0"/>
              <w:autoSpaceDN w:val="0"/>
              <w:spacing w:before="60" w:after="20"/>
              <w:jc w:val="both"/>
              <w:rPr>
                <w:rFonts w:ascii="Verdana" w:hAnsi="Verdana"/>
                <w:sz w:val="20"/>
                <w:szCs w:val="20"/>
              </w:rPr>
            </w:pPr>
            <w:r w:rsidRPr="00D96656">
              <w:rPr>
                <w:rFonts w:ascii="Verdana" w:hAnsi="Verdana"/>
                <w:sz w:val="20"/>
                <w:szCs w:val="20"/>
              </w:rPr>
              <w:t>В този вид на стратегическия план не е налице приоритет за този сектор.  Можем да предложим изцяло нова политика, нови дейности и мерки, пазарна подкрепа,  необходима е сериозна промяна за да се приближим към капацитета на българското градинарство.</w:t>
            </w:r>
          </w:p>
        </w:tc>
      </w:tr>
      <w:tr w:rsidR="00CD7279" w:rsidRPr="00F413E2" w14:paraId="027244F8" w14:textId="77777777" w:rsidTr="00CD7279">
        <w:trPr>
          <w:trHeight w:val="41"/>
          <w:jc w:val="center"/>
        </w:trPr>
        <w:tc>
          <w:tcPr>
            <w:tcW w:w="563" w:type="dxa"/>
            <w:tcBorders>
              <w:top w:val="single" w:sz="18" w:space="0" w:color="2E74B5"/>
              <w:left w:val="single" w:sz="24" w:space="0" w:color="2E74B5"/>
              <w:bottom w:val="nil"/>
              <w:right w:val="single" w:sz="18" w:space="0" w:color="2E74B5"/>
            </w:tcBorders>
            <w:shd w:val="clear" w:color="auto" w:fill="auto"/>
          </w:tcPr>
          <w:p w14:paraId="7EE27368" w14:textId="693B4F3B"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5072471B" w14:textId="5789FA56" w:rsidR="00CD7279" w:rsidRPr="00A4071F" w:rsidRDefault="00CD7279" w:rsidP="009C4129">
            <w:pPr>
              <w:spacing w:before="60" w:after="20"/>
              <w:rPr>
                <w:rFonts w:ascii="Verdana" w:hAnsi="Verdana"/>
                <w:sz w:val="20"/>
                <w:szCs w:val="20"/>
                <w:lang w:val="en-US"/>
              </w:rPr>
            </w:pPr>
            <w:r w:rsidRPr="00CD61CE">
              <w:rPr>
                <w:rFonts w:ascii="Verdana" w:hAnsi="Verdana"/>
                <w:sz w:val="20"/>
                <w:szCs w:val="20"/>
                <w:lang w:val="en-US"/>
              </w:rPr>
              <w:t xml:space="preserve">Сдружение за териториален и екологичен просперитет </w:t>
            </w:r>
            <w:proofErr w:type="gramStart"/>
            <w:r w:rsidRPr="00CD61CE">
              <w:rPr>
                <w:rFonts w:ascii="Verdana" w:hAnsi="Verdana"/>
                <w:sz w:val="20"/>
                <w:szCs w:val="20"/>
                <w:lang w:val="en-US"/>
              </w:rPr>
              <w:t>СТЕП(</w:t>
            </w:r>
            <w:proofErr w:type="gramEnd"/>
            <w:r w:rsidRPr="00CD61CE">
              <w:rPr>
                <w:rFonts w:ascii="Verdana" w:hAnsi="Verdana"/>
                <w:sz w:val="20"/>
                <w:szCs w:val="20"/>
                <w:lang w:val="en-US"/>
              </w:rPr>
              <w:t>писмо № 62-186 от 31.03.2022 г.)</w:t>
            </w:r>
          </w:p>
        </w:tc>
        <w:tc>
          <w:tcPr>
            <w:tcW w:w="12433" w:type="dxa"/>
            <w:tcBorders>
              <w:top w:val="single" w:sz="18" w:space="0" w:color="2E74B5"/>
              <w:left w:val="single" w:sz="18" w:space="0" w:color="2E74B5"/>
              <w:bottom w:val="nil"/>
              <w:right w:val="single" w:sz="18" w:space="0" w:color="2E74B5"/>
            </w:tcBorders>
            <w:shd w:val="clear" w:color="auto" w:fill="auto"/>
          </w:tcPr>
          <w:p w14:paraId="6A2F72C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 одобряваме варианта на СПРЗСР 2023-2027 във вида, публикуван за обществени консултации, поради:</w:t>
            </w:r>
          </w:p>
          <w:p w14:paraId="3953A53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Нарушения в процедурите по изготвяне, одобряване, публичност на СПРЗСР 2023-2027 и осигуряване на достъп на гражданите до процеса на взимане на решения на СПРЗСР 2023-2027, включително нарушения на природозащитното законодателство и неотразяване на препоръките от предварителна оценка на плана;</w:t>
            </w:r>
          </w:p>
          <w:p w14:paraId="58F7310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Несъответствие със стратегическите документи, свързани с околна среда и климат, конкретно по отношение биологичното разнообразие – Европейския Зелен Пакт, Европейската стратегия за биологичното разнообразие 2030 и Националната приоритетна рамка за действие за Натура 2000 (НПРД);</w:t>
            </w:r>
          </w:p>
          <w:p w14:paraId="1E2012B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Непълно, недостатъчно  и на места грешно обезпечаване на СПРЗСР 2023-2027 с  индикатори за резултат и ефективност на осъществените дейности и разходваните публични средства, особено що се касае до биоразнообразие, околна среда и климат;</w:t>
            </w:r>
          </w:p>
          <w:p w14:paraId="4F7B9D8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Непълна система за мониторинг и контрол, в която изцяло липсва мониторинг на резултатите и ефектите на планираните екосхеми и интервенции за опазване на биоразнообразието;</w:t>
            </w:r>
          </w:p>
          <w:p w14:paraId="5457E93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Недостатъчно амбициозни цели за действително опазване на биологичното разнообразие чрез природосъобразни земеделски дейности, непълни или липсващи интервенции, свързани с опазване на биоразнообразието и недостатъчно публични средства, предвидени за опазване на биологичното разнообразие, околна среда и климат;</w:t>
            </w:r>
          </w:p>
          <w:p w14:paraId="4B9B99C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Наличие на неподходящи или потенциално рискови интервенции по отношение на околна среда и климат, които не са подложени на Екологична оценка и Оценка за съвместимостта им с предмета и целите на опазване на Натура 2000;</w:t>
            </w:r>
          </w:p>
          <w:p w14:paraId="2B67789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Свръх насочване на еко-схемите към обработваемите земи (като вид схеми, подпомагани площи и планиран бюджет), до степен до която еко-схемите ще подпомагат 114%  (!) от наличните обработваеми земи в България (БАНСИК, 2020), но едва 27% от наличните пасища, мери и ливади (бележки към т.2.4). Затвърждава се усещането за поредното тенденциозно фаворизиране на зърнопроизводството (основен ползвател на обработваемите земи – 84%) за сметка на пасищно животновъдство.</w:t>
            </w:r>
          </w:p>
          <w:p w14:paraId="3B89A75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Значително намаляване на предвидените средства от 2-ри стълб, свързани с опазването конкретно на биологичното разнообразие  спрямо  периода 2014-2020 г.</w:t>
            </w:r>
          </w:p>
          <w:p w14:paraId="29B1E75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Общи бележки:</w:t>
            </w:r>
          </w:p>
          <w:p w14:paraId="2903B68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Считаме, че представеният  за съгласуване документ на  СПРЗСР 2023-2027  следва значително да се </w:t>
            </w:r>
            <w:r w:rsidRPr="00CD61CE">
              <w:rPr>
                <w:rFonts w:ascii="Verdana" w:hAnsi="Verdana"/>
                <w:sz w:val="20"/>
                <w:szCs w:val="20"/>
              </w:rPr>
              <w:lastRenderedPageBreak/>
              <w:t>преработи,  като текстовете в него се приведат в разбираем и четим вид и се отстранят всички повторения, неточности, незавършени и  безсмислени  фрази.</w:t>
            </w:r>
          </w:p>
          <w:p w14:paraId="047976DE" w14:textId="05BFC78E"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Процедурни бележки:</w:t>
            </w:r>
          </w:p>
          <w:p w14:paraId="42D1DE4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-СПРЗСР 2023-2027 е одобрен от Министерски съвет и изпратен в ЕК без задължителната  Екологична оценка и Оценка за съвместимостта им с предмета и целите на опазване на  зоните от Натура 2000;</w:t>
            </w:r>
          </w:p>
          <w:p w14:paraId="0849AD3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изпратения вариант на СПРЗСР 2023-2027 в ЕК не са отразени препоръките на предварителната оценка на плана, като това е посочено в следния текст на Приложение 1 “Адресирането на препоръките от предварителната оценка на СПРЗСР за периода 2023-2027 г.  е в процес на изпълнение от страна на МЗм” на стр.  1112, 1114, 1124. 1126, 1128 и др., както и в текста на стр. 1121 „Адресирането на препоръките от стратегическата оценка на околната среда на СПРЗСР за периода 2023-2027 г. ще бъде изпълнено от страна на МЗм, при наличие на окончателен и пълен доклад със стратегическата оценка на околната среда“;</w:t>
            </w:r>
          </w:p>
          <w:p w14:paraId="0D866216" w14:textId="17550B9F"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t>-</w:t>
            </w:r>
            <w:r w:rsidRPr="00CD61CE">
              <w:rPr>
                <w:rFonts w:ascii="Verdana" w:hAnsi="Verdana"/>
                <w:sz w:val="20"/>
                <w:szCs w:val="20"/>
              </w:rPr>
              <w:t>Повечето от постъпилите предложения и препоръки от представителите на екологичните организации не са взети пред вид без да се представи съгласувателна таблица с мотиви и обосновка защо това не е направено.  Това обезсмисля труда на всички организации, участвали в процеса на обсъждане на плана с конкретни предложения и препоръки.</w:t>
            </w:r>
          </w:p>
          <w:p w14:paraId="776D905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Посочените в СПРЗСР 2023-2027 нива на плащане  не са съгласувани с Тематичната работна група по Стратегическия план, а в текста на плана липсва достатъчно информация за начина, по който те са изчислени. Обръщаме внимание, че някои от нивата за плащане на хектар (например за интервенциите по Натура 2000)  са значително занижени, без да е предоставена обосновка на какво се дължи това.</w:t>
            </w:r>
          </w:p>
          <w:p w14:paraId="4146B20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Като цяло в  СПРЗСР 2023-2027 не са посочени, комбинациите на еко-схемите в рамките на 1-ви стълб и  интервенциите във втори стълб, както и  възможните комбинации на схеми и интервенции от първи и от втори стълб.  Считаме, че е особено важно това да бъде направено,  с цел предотвратяване на възможностите за двойно финансиране и източване на средства.</w:t>
            </w:r>
          </w:p>
          <w:p w14:paraId="56C0C23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2.Бележки по конкретни части от СПРЗСР 2023-2027  </w:t>
            </w:r>
          </w:p>
          <w:p w14:paraId="3BE73EA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2.1.</w:t>
            </w:r>
            <w:r w:rsidRPr="00CD61CE">
              <w:rPr>
                <w:rFonts w:ascii="Verdana" w:hAnsi="Verdana"/>
                <w:sz w:val="20"/>
                <w:szCs w:val="20"/>
              </w:rPr>
              <w:tab/>
              <w:t xml:space="preserve"> Част 2. Оценка на нуждите и интервенционна стратегия, включително  индикаторен план и индикатори за контекста</w:t>
            </w:r>
          </w:p>
          <w:p w14:paraId="315B468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Дефинираните в плана потребности не са групирани и някои от тях се припокриват, но са дефинирани в различни цели на плана. Например, развитието на биологичното производство е дефинирано като потребност в стратегически цели (СЦ) 4, 6 и 9, което води до объркване и неясна интервенционна логика. Считаме, че пряката връзка е със СЦ9,  и мястото на развитието на биологичното земеделие във всички аспекти е там. Връзката с останалите СЦ  е косвена и не достатъчно аргументирана. Обръщаме внимание, че това е констатация и препоръка и на предварителната оценка на плана (стр. 115);</w:t>
            </w:r>
          </w:p>
          <w:p w14:paraId="15ACF22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Дефинираните в СЦ6 потребности П6.1. Опазване на природозащитното състояние на естествените местообитанията и дивата флора и фауна от Европейски интерес и П.6.2.Опазване на природозащитното </w:t>
            </w:r>
            <w:r w:rsidRPr="00CD61CE">
              <w:rPr>
                <w:rFonts w:ascii="Verdana" w:hAnsi="Verdana"/>
                <w:sz w:val="20"/>
                <w:szCs w:val="20"/>
              </w:rPr>
              <w:lastRenderedPageBreak/>
              <w:t>състояние на видовете птици...  са с най-нисък приоритет от потребностите в  СЦ6. Считаме, че това като цяло противоречи на самата цел, както и на целите на Европейските и национални стратегически документи (НПРД) и настояваме да се преразгледа приоритизирането в  СЦ6;</w:t>
            </w:r>
          </w:p>
          <w:p w14:paraId="26D163A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Посочените в т. 2.3. Целеви стойности на индикаторите (стр.254) отново показват ниската амбиция на плана по отношение на целите за опазване на биологичното разнообразие и земите от Натура 2000, а именно:</w:t>
            </w:r>
          </w:p>
          <w:p w14:paraId="49E8058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-Целевата стойност на индикатора за резултат R31. Опазване на местообитания и видове показва, че само 1,36% от ИЗП  (68 326 ха) ще се подпомагат за ангажименти за опазване и възстановяване на биоразнообразието, в това число и земеделието с висока природна стойност;</w:t>
            </w:r>
          </w:p>
          <w:p w14:paraId="652A124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-Съгласно индикатора за резултат R33. Подобряване на управлението на мрежа „Натура 2000“ се очаква да се подпомогнат само 60 000 ха от  мрежата „Натура 2000“ или едва 5,24% от територията на мрежата. Това отново показва ниската екологична амбиция на плана при положение, че подпомогнатите площи само за 2020 година по мярката „ Натура 2000 за земеделски земи“ от ПРСР 2014-2020 г. са 407 255 ха.</w:t>
            </w:r>
          </w:p>
          <w:p w14:paraId="1A0BBA4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-Поставената цел за дела от използваната земеделска площ съгласно подпомогнатите ангажименти за управление на особеностите на ландшафта, включително живи плетове и дървета е само 1,48% или 74 381 ха.</w:t>
            </w:r>
          </w:p>
          <w:p w14:paraId="4EF728F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Считаме, че тези стойности не съответстват на чл. 105 от Регламента за Стратегическите планове (Регламент(ЕС) 2021/2115) за по-големи амбиции по отношение на целите в областта на околната среда и климата в сравнение с периода 2014-2020 г. и е необходимо индикаторите и съответните планирани интервенции да се преразгледат  в посока по-високи цели за опазване на биологичното разнообразие и съответствие с Националната приоритетна рамка за действие за Натура 2000.</w:t>
            </w:r>
          </w:p>
          <w:p w14:paraId="7AEC45E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2.2.</w:t>
            </w:r>
            <w:r w:rsidRPr="00CD61CE">
              <w:rPr>
                <w:rFonts w:ascii="Verdana" w:hAnsi="Verdana"/>
                <w:sz w:val="20"/>
                <w:szCs w:val="20"/>
              </w:rPr>
              <w:tab/>
              <w:t xml:space="preserve"> Част 3. Последователност на стратегията и допълняемост  (включително условност)</w:t>
            </w:r>
          </w:p>
          <w:p w14:paraId="5542A08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описанието на интервенционната логика по всички цели  липсват ясни и остойностени  цели  (с изключение на тези за биологичното земеделие). Целите могат да се извадят единствено чрез индикаторите за резултат, посочени в различните интервенции и индикаторния план.</w:t>
            </w:r>
          </w:p>
          <w:p w14:paraId="7814832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стратегията не са посочени и конкретни стойности за приноса на Стратегическия план  по отношение на Зелената сделка  и стратегическите документи на национално ниво – например Националната приоритетна рамка за действие за Натура 2000 (НПРД).</w:t>
            </w:r>
          </w:p>
          <w:p w14:paraId="45F8468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В описанието на т. 3.1.3. Обяснение как ще се постигне по-висок принос за целите свързани с околната следа съгласно чл. 105 – текстът е разказвателен – без конкретни стойности и  показване на надграждането на отделните интервенции. Текстът на стр. 272 „ Един от начините за постигане на целите от Стратегическия план, свързани с климата, околната среда и биологичното разнообразие е прилагането на предварителните условия (т. нар. условност) – стандартите за добро земеделско и екологично състояние (ДЗЕС) и законоустановените изисквания (ЗИУ). Очаква се завишените изисквания да окажат положителен ефект върху всички действия, насочени към смекчаване на последиците от изменението на климата“ показва, че основна роля се залага  на прилагането на предварителните условия. Обръщаме внимание, че разработените ДЗЕУ за България обхващат </w:t>
            </w:r>
            <w:r w:rsidRPr="00CD61CE">
              <w:rPr>
                <w:rFonts w:ascii="Verdana" w:hAnsi="Verdana"/>
                <w:sz w:val="20"/>
                <w:szCs w:val="20"/>
              </w:rPr>
              <w:lastRenderedPageBreak/>
              <w:t>минималните изисквания на ЕК, както и фактът, че те са прилагани  и в периода 2013-2020 г., т.е. дори на ниво планиране отсъства необходимото надграждане, залегнало в чл.105.</w:t>
            </w:r>
          </w:p>
          <w:p w14:paraId="60B6C7D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Предложенията ни по т.3.10. (стр. 280) „Условност“  са следните:</w:t>
            </w:r>
          </w:p>
          <w:p w14:paraId="5F1C72C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-ДЗЕС 1: Предлагаме стандартът да се прилага поне на регионално ниво (район на планиране или административна област), тъй като процентът на постоянно затревени площи (ПЗП) варира значително в зависимост от района. Да се прецизира направената формулировка „При спад на съотношението с повече от 5% земеделските стопани, които са допринесли за намалението през съответната година се задължават да преобразуват обратно в ПЗП разораните през съответната година ПЗП“, като се уточни какво става със стопаните, които са разорали ПЗП през предходните години, тъй като на практика по този начин те се изключват от отговорност.</w:t>
            </w:r>
          </w:p>
          <w:p w14:paraId="616CB5B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-ДЗЕС 9: Предлагаме към  изброената екологична инфраструктура да се добавят формации от дървесно-храстова растителност, които са от ключово значение за определени видове птици, обитаващи земеделски земи.</w:t>
            </w:r>
          </w:p>
          <w:p w14:paraId="2284949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-ДЗЕС 10: Предлагаме да се въведе референтна година спрямо която да се отчита реалното земеползване на ПЗП в земите от екологичната мрежа  Натура 2000, а не тяхното преобразуване да е обвързано с начина на трайно ползване, тъй като това води до разораване и преобразуване на редица ценни местообитания.</w:t>
            </w:r>
          </w:p>
          <w:p w14:paraId="534412A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обхватът на екологично чувствителните ПЗП да се разшири, като в тях се включат и ПЗП с ВПС. Мотивът за това е, че към 2019 г. земеделските земи с висока природна стойност са намалели с почти 40% от първоначалното им определяне в България през 2007 г. Считаме, че предвид промяната на обхвата на земеделските земи с висока природна стойност през 2019 г. спрямо 2007 г. е задължително да се извърши нова оценка на обхвата и качеството им  и те да бъдат включени в слоя екологично чувствителни ПЗП.</w:t>
            </w:r>
          </w:p>
          <w:p w14:paraId="758D8A2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2.3.</w:t>
            </w:r>
            <w:r w:rsidRPr="00CD61CE">
              <w:rPr>
                <w:rFonts w:ascii="Verdana" w:hAnsi="Verdana"/>
                <w:sz w:val="20"/>
                <w:szCs w:val="20"/>
              </w:rPr>
              <w:tab/>
              <w:t>Част 4. Характеристики, общи за няколко интервенции</w:t>
            </w:r>
          </w:p>
          <w:p w14:paraId="51F9FE6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Дефиниция за постоянно затревени площи </w:t>
            </w:r>
          </w:p>
          <w:p w14:paraId="7EA2194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„Постоянно затревена площ и постоянно пасище (наричани заедно „постоянно затревени площи“) означава земя, която е използвана за отглеждане на трева или други тревни фуражи, естествено растящи (саморазсадени) или чрез култивиране (изкуствено засети), която не е била включена в сеитбооборота на стопанството в продължение на пет или повече години, както и която не е била разоравана, обработвана или засявана отново с различни видове треви или други тревни фуражи</w:t>
            </w:r>
            <w:r w:rsidRPr="00CD61CE">
              <w:rPr>
                <w:rFonts w:ascii="Arial" w:hAnsi="Arial" w:cs="Arial"/>
                <w:sz w:val="20"/>
                <w:szCs w:val="20"/>
              </w:rPr>
              <w:t>‎</w:t>
            </w:r>
            <w:r w:rsidRPr="00CD61CE">
              <w:rPr>
                <w:rFonts w:ascii="Verdana" w:hAnsi="Verdana"/>
                <w:sz w:val="20"/>
                <w:szCs w:val="20"/>
              </w:rPr>
              <w:t xml:space="preserve"> </w:t>
            </w:r>
            <w:r w:rsidRPr="00CD61CE">
              <w:rPr>
                <w:rFonts w:ascii="Verdana" w:hAnsi="Verdana" w:cs="Verdana"/>
                <w:sz w:val="20"/>
                <w:szCs w:val="20"/>
              </w:rPr>
              <w:t>в</w:t>
            </w:r>
            <w:r w:rsidRPr="00CD61CE">
              <w:rPr>
                <w:rFonts w:ascii="Verdana" w:hAnsi="Verdana"/>
                <w:sz w:val="20"/>
                <w:szCs w:val="20"/>
              </w:rPr>
              <w:t xml:space="preserve"> </w:t>
            </w:r>
            <w:r w:rsidRPr="00CD61CE">
              <w:rPr>
                <w:rFonts w:ascii="Verdana" w:hAnsi="Verdana" w:cs="Verdana"/>
                <w:sz w:val="20"/>
                <w:szCs w:val="20"/>
              </w:rPr>
              <w:t>продължение</w:t>
            </w:r>
            <w:r w:rsidRPr="00CD61CE">
              <w:rPr>
                <w:rFonts w:ascii="Verdana" w:hAnsi="Verdana"/>
                <w:sz w:val="20"/>
                <w:szCs w:val="20"/>
              </w:rPr>
              <w:t xml:space="preserve"> </w:t>
            </w:r>
            <w:r w:rsidRPr="00CD61CE">
              <w:rPr>
                <w:rFonts w:ascii="Verdana" w:hAnsi="Verdana" w:cs="Verdana"/>
                <w:sz w:val="20"/>
                <w:szCs w:val="20"/>
              </w:rPr>
              <w:t>на</w:t>
            </w:r>
            <w:r w:rsidRPr="00CD61CE">
              <w:rPr>
                <w:rFonts w:ascii="Verdana" w:hAnsi="Verdana"/>
                <w:sz w:val="20"/>
                <w:szCs w:val="20"/>
              </w:rPr>
              <w:t xml:space="preserve"> </w:t>
            </w:r>
            <w:r w:rsidRPr="00CD61CE">
              <w:rPr>
                <w:rFonts w:ascii="Verdana" w:hAnsi="Verdana" w:cs="Verdana"/>
                <w:sz w:val="20"/>
                <w:szCs w:val="20"/>
              </w:rPr>
              <w:t>пет</w:t>
            </w:r>
            <w:r w:rsidRPr="00CD61CE">
              <w:rPr>
                <w:rFonts w:ascii="Verdana" w:hAnsi="Verdana"/>
                <w:sz w:val="20"/>
                <w:szCs w:val="20"/>
              </w:rPr>
              <w:t xml:space="preserve"> или повече години. Треви и други тревни фуражи- всички тревни растения, които традиционно растат на естествените пасища и ливади или обикновено са включени в смесите от семена, предназначени за засяване на пасища или ливади. Други  видове, които са подходящи за паша, могат да присъстват на постоянно затревените площи, при условие че тревата или другите тревни фуражи остават преобладаващи. Не е използвана възможността за включване на други видове като храсти и/или дървета, които могат да бъдат изпасвани или са източници на фураж за животни, при условие, че не преобладават или липсват в зоните за паша тревите или другите тревни фуражи (стр.302).  </w:t>
            </w:r>
          </w:p>
          <w:p w14:paraId="2BB07A6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Директният превод и приемане на дефиницията за постоянни пасища, залегнала в европейския регламент, без да </w:t>
            </w:r>
            <w:r w:rsidRPr="00CD61CE">
              <w:rPr>
                <w:rFonts w:ascii="Verdana" w:hAnsi="Verdana"/>
                <w:sz w:val="20"/>
                <w:szCs w:val="20"/>
              </w:rPr>
              <w:lastRenderedPageBreak/>
              <w:t>се използва дадената възможност за гъвкавото ѝ адаптиране съобразно националните и местни характеристики води до значителна загуба както на важни фуражни площи за животновъдите с пасищни животни, така и на консервационно значими местообитания от европейската екологична мрежа Натура 2000.</w:t>
            </w:r>
          </w:p>
          <w:p w14:paraId="2C55AC4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Считаме, че: дефиницията следва да включва храсти или дървета, които са подходящи за паша, и други видове, източници на фураж за животни, при условие че преобладават тревите и другите тревни фуражи. Тази възможност се предоставя от регламента, но не се използва от българска страна. Следва да се използва  и възможността за адаптиране на дефиницията за райони с местни практики, където тревите и другите тревни фуражи традиционно не са преобладаващи или липсват в зоните за паша.</w:t>
            </w:r>
          </w:p>
          <w:p w14:paraId="6DBFAD6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Възможни подходи за адаптирането на дефиницията и съответно допустимостта им за подпомагане са: на базата на местоположението и характеристиките им в планински или в равнинни райони;  на базата на класификацията им в БАНСИК на постоянно продуктивни ливади, високопланински пасища, затревени слабопродуктивни площи и ливади-овощни градини. През 2020 г. БАНСИК доклада за заетостта и използването на територията отчита наличието на над 1.4 млн. ха постоянно затревени площи, но само около 0.8 млн. ха от тях са допустими за подпомагане по ОСП. Това означава, че България „губи“ близо 600 000 ха постоянно затревени площи единствено поради липсата на адекватна дефиниция (и на практика ощетява сериозно животновъдите с пасищни животни); на базата на вида местообитание съобразно Директивата за природните местообитания (Директива 92/43/ЕИО).</w:t>
            </w:r>
          </w:p>
          <w:p w14:paraId="6D6B774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Допустим хектар за подпомагане</w:t>
            </w:r>
          </w:p>
          <w:p w14:paraId="4ECB76D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Към момента  дефиницията в СП налага изискването за допустимост на ПЗП: „Поради особеното значение на тези характеристики на ландшафта за биоразнообразието, постоянно затревените площи са допустими за подпомагане, когато върху тях има мозаечно разположени храсти, годни за паша, скали и други трайно неподходящи за подпомагане площи с единична площ под 100 кв. метра,  които заемат не повече от 10% от общата площ“ (стр.302).</w:t>
            </w:r>
          </w:p>
          <w:p w14:paraId="6E9B222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Считаме, че  е това ограничение трябва да отпадне и България да се възползва от възможността, предоставяна от  Регламента за СП за въвеждане на коефициенти за намаление на площта, която се счита за годна за подпомагане, а именно:</w:t>
            </w:r>
          </w:p>
          <w:p w14:paraId="5079D1F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„Що се отнася до постоянно затревени площи с разпръснати особености на ландшафта, неотговарящи на условията за подпомагане, държавите членки могат да решат да приложат фиксирани коефициенти за намаление с цел определяне на площта, за която се счита, че отговаря на условията за подпомагане“. По този начин няма да се изключва цялата площ на ПЗП с наличие на голям дял (%) от характеристики на ландшафта, а само частта с недопустимите за подпомагане площи. Това ще допринесе за запазване на особеностите на ландшафта, които са ценни за определени приоритетни местообитания и видове, и същевременно ще облагодетелства животновъдите с пасищни животни.</w:t>
            </w:r>
          </w:p>
          <w:p w14:paraId="6C77BEA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2.4.Еко-схеми</w:t>
            </w:r>
          </w:p>
          <w:p w14:paraId="48D8E32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Предлаганите еко-схеми са свръх-фокусирани върху обработваемите земи и трайните насаждения, и в много по-</w:t>
            </w:r>
            <w:r w:rsidRPr="00CD61CE">
              <w:rPr>
                <w:rFonts w:ascii="Verdana" w:hAnsi="Verdana"/>
                <w:sz w:val="20"/>
                <w:szCs w:val="20"/>
              </w:rPr>
              <w:lastRenderedPageBreak/>
              <w:t>малка степен към постоянно затревените площи. Изчисленията, направени въз основа на индикаторния и финансовия план в СПРЗСР 2023-2027 показват следното:</w:t>
            </w:r>
          </w:p>
          <w:p w14:paraId="43903AA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-Еко-схемите, насочени към обработваемите площи, се предвижда да обхванат 3 963 163 ха (88,3% от предвидените за подпомагане ИЗП и 114% от всички обработваеми земи (БАНСИК, 2020),  само 376 159 ха пасища, мери и ливади (8,4% от предвидените за подпомагане ИЗП и само 27% от всички пасища, мери и ливади (БАНСИК, 2020) и 148 848 ха  трайни насаждения (3,3% от предвидените за подпомагане ИЗП и 99% от всички трайни насаждения (БАНСИК, 2020) ;</w:t>
            </w:r>
          </w:p>
          <w:p w14:paraId="0F26AB1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 същия начин се разпределя и бюджетът за различните еко-схеми – 70,3% от бюджета са насочени към обработваемите земи, 9,8% - към постоянно затревените площи и 8,6% - към трайните насаждения;</w:t>
            </w:r>
          </w:p>
          <w:p w14:paraId="597ED22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-Най-големият бюджет (29,4%) е предвиден за еко-схемата за диверсификация на отглежданите култури, която не изисква съществена промяна за  обичайните земеделски практики в България и чийто принос към целите на Зелената сделка  и опазването на биологичното разнообразие е спорен и  минимален;</w:t>
            </w:r>
          </w:p>
          <w:p w14:paraId="7150BD2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-За еко-схемата за създаване и опазване на екологичната инфраструктура се предвиждат едва 15,6%  от бюджета на еко-схемите.</w:t>
            </w:r>
          </w:p>
          <w:p w14:paraId="4174F6E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Направените изчисления показват, че еко-схемите приоритизират обработваемите земи и очакваните резултати от тях по отношение на опазването на  биоразнообразието и земите с висока природна стойност са минимални, което  показва минималната амбиция по отношение постигането на целите за опазване на природата и биоразнообразието.</w:t>
            </w:r>
          </w:p>
          <w:p w14:paraId="3F30DA4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Никъде в описанието на еко-схемите и агроекологичните мерки не са показани възможностите за тяхното комбиниране и надграждане. Считаме, че това не позволява да се оцени допълняемостта и надграждането между отделните ДЗЕУ, еко-схемите и агроекологичните мерки и може  да доведе до двойно финансиране на дейности в земеделските земи.</w:t>
            </w:r>
          </w:p>
          <w:p w14:paraId="5031BD6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Предлаганите еко-схеми не съответстват на Националната приоритетна рамка за действие по Натура 2000. Например, не са включени мярка 42 „Поддържане и подобряване на местообитанията на защитените видове птици в оризищата“ и мярка 43 „Поддържане на мозаечния ландшафт в земеделските земи със смесено земеползване“, които са разработени по проект на ГД „Околна среда“ „Разработване на инструменти за подпомагане опазването на птиците в земеделските земи на Европейския съюз“ по инициативата на ЕС (Birds@Farmlands). </w:t>
            </w:r>
          </w:p>
          <w:p w14:paraId="1F3B6DA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I.В.2. Еко-схема за поддържане и подобряване на биологичното разнообразие и екологичната инфраструктура</w:t>
            </w:r>
          </w:p>
          <w:p w14:paraId="45E9C48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-Предвижда се тази еко-схема да се прилага при площи с различно земеползване. Независимо от това, и въпреки нашите предложения във видовете екологична инфраструктура, не са включени формации от дървесно-храстова растителност. Предвид доказаното значение на дървесно-храстовата растителност за опазване на биологичното разнообразие и  екосистемите предлагаме тя да бъде включена към елементите на екологичната инфраструктура (до 20% от заявените за подпомагане площи). Предложението е от особено значение при постоянно затревените площи.</w:t>
            </w:r>
          </w:p>
          <w:p w14:paraId="34265A3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lastRenderedPageBreak/>
              <w:t>-Изчислените нива на плащане по еко-схемата са нелогични, необосновани и тенденциозни: обосновката на представените нива на плащане за трите вида земеползване: обработваеми земи, постоянно затревени площи и  трайни насаждения е напълно еднаква по съдържание, но не показва методиката на изчисление (стр. 369). Ето защо буди недоумение фактът, че нивата на плащане са различни за различните видове земеползване, а не за различните видове екологична инфраструктура и дейностите, необходими за поддържането им. Например, задължителното почистване на сухи и ниски клони при единични и групи дървета, ще се заплаща с 591 Евро/ха при обработваемите земи;  283 Евро/ха при постоянно затревените площи и 901 Евро/ха при трайните насаждения. Физическата дейност, която трябва да бъде извършвана е една и съща, различава се само вида земеползване, в който са разположени предполагаемите дървета. На каква база възникват разликите, които да обосновават съотношение на плащането 2:1:3? По същия начин ще се заплаща и поддържането например на синори, тераси, влажни зони, зелени зони около водни течения и т.н. Считаме, че нивата на подпомагане следва да се определят по вида на екологичната инфраструктура, а не по начина на земеползване, в който е разположена.</w:t>
            </w:r>
          </w:p>
          <w:p w14:paraId="3E5FFFF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-Не е ясно  откъде произтича изискването за минимална височина  от 1,5м за почистване на сухи и ниски клони  при дървесната растителност. </w:t>
            </w:r>
          </w:p>
          <w:p w14:paraId="03EC917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 е посочен минималният процент от екологична инфраструктура, наличието на който ще се подпомага. Ето защо препоръчваме да се въведе стъпковидно подпомагане, което да отразява ползите за околната среда:</w:t>
            </w:r>
          </w:p>
          <w:p w14:paraId="25951BB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Базисно ниво на плащане за екологична инфраструктура от над 4% до 10% характеристики и елементи на ландшафта в тях.</w:t>
            </w:r>
          </w:p>
          <w:p w14:paraId="6454BF4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Ниво 1 с бонусно плащане с 10,1% - 15% характеристики и елементи на ландшафта в тях.</w:t>
            </w:r>
          </w:p>
          <w:p w14:paraId="223BD0E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Ниво 2 с по-високо бонусно плащане за 15,1% - 20% характеристики и елементи на ландшафта в тях.</w:t>
            </w:r>
          </w:p>
          <w:p w14:paraId="6BCAF9C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-Предлагаме да се помисли и да се въведе бонусно плащане за свързаност на елементите на екологичната инфраструктура в съседни блокове на земеделското стопанство, включително БЗС на различни земеделски стопани. </w:t>
            </w:r>
          </w:p>
          <w:p w14:paraId="64DD0D6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-Необходимо е да се представи официална информация какви атрибути съдържа слоя с екологична инфраструктура, включват ли се елементи на ландшафта, които не са били декларирани като Екологично насочени площи (EНП) в периода 2014-2020 г. Да се уточни как ще става възможно обновяването на този слой – на какъв период и по какъв начин. Да се предостави публичен достъп до слоя и да се предостави възможност за неговото допълване/коригиране.</w:t>
            </w:r>
          </w:p>
          <w:p w14:paraId="0F58E90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I.В.6. Еко-схема за екстензивно поддържане на постоянно затревените площи</w:t>
            </w:r>
          </w:p>
          <w:p w14:paraId="60F0E15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-Независимо от текста на стр.389 „От екстензивно управление чрез паша се нуждаят всички природни местообитания и местообитания на видове за подобряване на природозащитното състояние в и извън Натура 2000”  и текста на стр.299 „Total share of environmentally sensitive grasslands in Natura 2000 sites covered by GAEC (9) is 426 348 ha“, целевата стойност за подпомагане по тази схема е 274 369 ха, което представлява едва 64%  </w:t>
            </w:r>
            <w:r w:rsidRPr="00CD61CE">
              <w:rPr>
                <w:rFonts w:ascii="Verdana" w:hAnsi="Verdana"/>
                <w:sz w:val="20"/>
                <w:szCs w:val="20"/>
              </w:rPr>
              <w:lastRenderedPageBreak/>
              <w:t>само от постоянно затревените площи в Натура 2000, дефинирани като чувствителни. Настояваме бюджетът на еко-схемата и съответно целевата стойност на планираните за подпомагане хектари да бъдат увеличени съобразно посочената нужда на стр.389.</w:t>
            </w:r>
          </w:p>
          <w:p w14:paraId="14010BF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 е направено разграничение кои постоянно затревени площи ще се подпомагат: сенокосните и влажните ливади, влизат ли в обхвата на подпомагане на еко-схемата? Считаме, че трябва да се направи ясно разграничение между различните видове постоянно затревени площи.</w:t>
            </w:r>
          </w:p>
          <w:p w14:paraId="0733C76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-Минималната и максималната гъстота на Ж.Е. следва да бъде съобразена с природозащитния статус на постоянните пасища. В повечето случаи в слабопродуктивните  и екологично-чувствителните постоянни пасища гъстота на паша от 1 ЖЕ/ха би довела до влошаване на природозащитния  им статус.</w:t>
            </w:r>
          </w:p>
          <w:p w14:paraId="6875DD1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2.5.Част 5.3. Интервенции за развитие на селските райони</w:t>
            </w:r>
          </w:p>
          <w:p w14:paraId="0CAF7BF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II.А.15. Устойчиво управление на пасища в земеделски земи с ВПС.</w:t>
            </w:r>
          </w:p>
          <w:p w14:paraId="4332BC6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-България определя земеделските си земи с висока природна стойност (ВПС)  през 2007 г. за целите на ПРСР 2007-2013.  Те обхващат  екстензивно  използвани постоянно затревени площи с преобладаваща естествена растителност и местообитания, мозаечен ландшафт (смесено земеползване)  и интензивни обработваеми земи, които са местообитания на ценни видове. Тяхното опазване води до съхраняване на  ценни местообитания на растителни и животински видове, както и на открит и/или мозаечен ландшафт, и свързаните с тях екосистемни услуги. Към 2019 г. земеделските земи с ВПС са намалели с почти 40% от първоначалното им определяне. Най-сериозен е спадът при постоянно затревените площи, които от над 950 000 ха през 2007 г. са едва 440 000 ха през 2019 г. Другият сериозен спад е при земите под смесено земеползване, които от близо 280 000 ха през 2007 г. остават 170 000 ха през 2019 г. Същевременно, в голяма част от земеделските земи с ВПС от 2007 г., които все още са земи, допустими за подпомагане през 2019 г., са претърпели промяна в начина на земеделско ползване и вече близо 66% от тях са обработваеми земи. Предвид промяната на обхвата на земеделските земи с висока природна стойност през 2019 г. спрямо 2007 г. е задължително да се извърши нова оценка на обхвата и качеството им в началото на настоящия програмен период за да се гарантира, че целевите агроекологични схеми са насочени именно към затревени площи, а не към територии с променено земеползване.</w:t>
            </w:r>
          </w:p>
          <w:p w14:paraId="0C7335F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-За разлика от периода 2014-2020 в рамките на тази интервенция не се предвижда поддържане на постоянно затревените площи с косене. Считаме, че е необходимо в мярката да се уточни кои от постоянно затревените площи ще се подпомагат в рамките на тази мярка и по какъв начин ще бъдат подпомагани сенокосните ливади с ВПС.</w:t>
            </w:r>
          </w:p>
          <w:p w14:paraId="3AEAA13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II.А.7. Традиционни практики за сезонна паша (пасторализъм)</w:t>
            </w:r>
          </w:p>
          <w:p w14:paraId="5638B72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-Тази интервенция се предвижда да се прилага в планински пасища на териториите на националните паркове, с обособени зони за извършване на сезонна паша на селскостопански животни, съобразно годишните планове за паша, издавани от дирекциите на национални паркове Рила, Пирин и Централен Балкан; териториите на природни паркове, с обособени зони за извършване на регулирана паша на селскостопански животни, съгласно планове за </w:t>
            </w:r>
            <w:r w:rsidRPr="00CD61CE">
              <w:rPr>
                <w:rFonts w:ascii="Verdana" w:hAnsi="Verdana"/>
                <w:sz w:val="20"/>
                <w:szCs w:val="20"/>
              </w:rPr>
              <w:lastRenderedPageBreak/>
              <w:t>управление; в зони от мрежата Натура 2000, с утвърдени планове за управление, с обособени зони за извършване на сезонна паша на селскостопански животни. По същия начин обхватът на интервенцията беше разписан и в  Програмата за развитие на селските райони 2014-2020 г., но мярката беше приложена единствено и само на територията на Националните паркове. През 2020 г. заявените за подпомагане площи в националните паркове са 33 329 ха, а подпомогнатите площи са 20 443 ха. Не е ясно как, при положение, че се очаква обхватът на мярката да се разшири с 11 природни парка и всички зони от  Натура 2000 с одобрени планове за управление, заложената целева стойност за подпомагане е 10 455,82 ха, което е по-малко от подпомогнатите площи за 2020 г. само в националните паркове. Считаме, че отново разширяването на обхвата на прилагане на интервенцията ще остане само на хартия и няма да бъде приложен на практика, като по този начин интересът към пасищата в националните паркове отново ще остане изключително висок, което ще е във вреда на биоразнообразието и екосистемите в  тях.</w:t>
            </w:r>
          </w:p>
          <w:p w14:paraId="58D7B8D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II.А.9. Създаване и възстановяване на екологичната инфраструктура</w:t>
            </w:r>
          </w:p>
          <w:p w14:paraId="66DA461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-Концепцията за зелена инфраструктура е съществен инструмент за справяне със загубата на биоразнообразие чрез намаляване на фрагментацията на местообитанията и осигуряване на свързаност, подобряване на състоянието на екосистемите и екосистемните услуги.  В България се адресира в Националната приоритетна рамка за действие за Натура 2000 (2021-2027) като част от мярка 10, насочена към  развитие и управление на екосистемните услуги и оценка на състоянието на елементите от зелената инфраструктура. Научни изследвания и публикации сочат, че минимум 10% от земеделската земя в стопанството трябва да бъде заета от характеристики на ландшафта и елементи на зелената и синя инфраструктура, които имат най-висока екологична полза в съответния район. Такива са полу-естествените елементи като тревни площи, включително пасища с храсти, дървета, влажни места или заливни площи; свързващите характеристики като буферни ивици, синори, живи плетове, канавки и др., но не и производствените площи като азотфиксиращи култури или площи със зелена покривка.</w:t>
            </w:r>
          </w:p>
          <w:p w14:paraId="5EBF356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рамките на Стратегическия план България предлага да се подпомага опазването на екологичната инфраструктура както чрез еко-схеми, така и чрез агроекологични мерки. В направените предложения обаче липсват:</w:t>
            </w:r>
          </w:p>
          <w:p w14:paraId="6871470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Изискване за минимален процент на зелена инфраструктура, опазването на която ще се поощрява в еко-схемите и надграждането му в агроекологичните интервенции.</w:t>
            </w:r>
          </w:p>
          <w:p w14:paraId="5CBDB1E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изброените елементи липсва дървесно-храстовата растителност, която е ключова за опазване на застрашени видове и местообитания.</w:t>
            </w:r>
          </w:p>
          <w:p w14:paraId="745DC74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w:t>
            </w:r>
          </w:p>
          <w:p w14:paraId="4CB2ADA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Към  изброената екологична инфраструктура да се добавят формации от дървесно-храстова растителност (до 20% от заявените за подпомагане площи).</w:t>
            </w:r>
          </w:p>
          <w:p w14:paraId="7DBCEF2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Опазването на зелената инфраструктура  да става на регионално ниво. В районите с преобладаващо екстензивно земеделие -  да се запазват съществуващите характеристики на ландшафта (чрез прилагането на </w:t>
            </w:r>
            <w:r w:rsidRPr="00CD61CE">
              <w:rPr>
                <w:rFonts w:ascii="Verdana" w:hAnsi="Verdana"/>
                <w:sz w:val="20"/>
                <w:szCs w:val="20"/>
              </w:rPr>
              <w:lastRenderedPageBreak/>
              <w:t>еко-схеми), докато в интензивните райони са необходими целенасочени действия за създаването и възстановяването им. Целевите нива за покритие със зелена инфраструктура да са между 10% и 20% на регионално равнище;</w:t>
            </w:r>
          </w:p>
          <w:p w14:paraId="542FA54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-Както посочихме и в коментарите по еко-схемата за създаване и възстановяване на екологична инфраструктура към настоящия момент липсва яснота как ще се създава слоя за екологична инфраструктура и какви атрибути  ще съдържа.  Не е ясно и как ще се извършва обновяването на този слой – на какъв период и по какъв начин. Считаме, че създаването на подобен слой постепенно трябва да включва характеристиките на ландшафта в земеделските земи на територията на цялата страна и разделянето на подпомагането на едни и същи елементи на екологичната инфраструктура в или извън слоя не е целесъобразно и обосновано.</w:t>
            </w:r>
          </w:p>
          <w:p w14:paraId="42E557C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-Считаме, че  създаването/възстановяването на екологична инфраструктура следва да се подпомага чрез непроизводствени инвестиции. </w:t>
            </w:r>
          </w:p>
          <w:p w14:paraId="73667C0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случай, че остане в агроекологичната мярка, препоръчваме да се въведе стъпковидно подпомагане, което да отразява ползите за околната среда:</w:t>
            </w:r>
          </w:p>
          <w:p w14:paraId="3DB23FD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Базисно ниво на плащане за екологична инфраструктура от над 4% до 10% характеристики и елементи на ландшафта в тях.</w:t>
            </w:r>
          </w:p>
          <w:p w14:paraId="7A46EBD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Ниво 1 с бонусно плащане с 10,1% - 15% характеристики и елементи на ландшафта в тях.</w:t>
            </w:r>
          </w:p>
          <w:p w14:paraId="0DD2C32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Ниво 2 с по-високо бонусно плащане за 15,1% - 20% характеристики и елементи на ландшафта в тях.</w:t>
            </w:r>
          </w:p>
          <w:p w14:paraId="699517B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да се помисли и да се въведе бонусно плащане за свързаност на елементите на екологичната инфраструктура  в съседни блокове на земеделското стопанство, включително БЗС на различни земеделски стопани.</w:t>
            </w:r>
          </w:p>
          <w:p w14:paraId="17BBA6F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 отношение на нивата на заплащане за изграждане и възстановяване на екологичната инфраструктура  отново обръщаме внимание, че и тук нивата на плащане се представят в зависимост от начина на земеползване, а не в зависимост от съответния вид на екологичната инфраструктура и препоръките ни са същите както при еко-схемата за екологична инфраструктура.</w:t>
            </w:r>
          </w:p>
          <w:p w14:paraId="15002EC4"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II.АЕ.3. Възстановяване и поддържане на деградирали пасищни територии</w:t>
            </w:r>
          </w:p>
          <w:p w14:paraId="430EC60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-Считаме, че няма яснота как така предлаганите интервенции по мярката (разораване, подсяване с неместни видове тревни смески, торене) ще допринесат за  опазване на биоразнообразието, съхраняване или възстановяване на местообитанията или видовете, включително поддържането и създаването на ландшафтни елементи или непроизводствени площи и  опазване или подобряване на качеството на водите и намаляване на натиска върху водните ресурси. Настояваме текстовете да бъдат пояснени и да бъдат включени съответните индикатори.</w:t>
            </w:r>
          </w:p>
          <w:p w14:paraId="28D0F16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-Обръщаме внимание, че част от деградиралите пасища не са включени в „допустимия слой за подпомагане по ИСАК“. Настояваме да бъде обяснен текстът „Земеделските площи трябва да отговарят на определението за „допустим хектар“, като могат да включват и други площи от физическият блок (ФБ), определен като пасища мери </w:t>
            </w:r>
            <w:r w:rsidRPr="00CD61CE">
              <w:rPr>
                <w:rFonts w:ascii="Verdana" w:hAnsi="Verdana"/>
                <w:sz w:val="20"/>
                <w:szCs w:val="20"/>
              </w:rPr>
              <w:lastRenderedPageBreak/>
              <w:t>и ливади (ПМЛ), както и временни пасища“, по отношение на допустимостта на „другите площи“.</w:t>
            </w:r>
          </w:p>
          <w:p w14:paraId="72CA195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-Необходимо е поясняване на текста „Осигуряване на Постоянно затревени площи, които да са на разположение за ползване на бенефициента за не по-малко от 5 години“  в посока кой  ще предоставя пасищата на земеделските стопани  и как.</w:t>
            </w:r>
          </w:p>
          <w:p w14:paraId="4E3A1FE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-Обръщаме внимание, че в текста на интервенцията не се уточнява каква ще е  нормата за пашуване (гъстота на животинските единици на ха)  за годините след възстановяване на пасищата (2-ра до 5-та година). Необходимо е да се уточни нормата и тя да се определя в зависимост от състоянието на пасищата. При положение, че се предвижда внасянето на тревни смески да се извършва като „Съотношенията за внасяне се изготвят от агроном-специалист, със сертифицирани семена адаптирани/произведени в сходни на българските климатични условия“, следва същият подход да се приложи  и за определяне на нормата за пашуване.</w:t>
            </w:r>
          </w:p>
          <w:p w14:paraId="26E6B4E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 са приложени списъците за одобрените треви и тревни смески, като не става ясно как ще се избират те и доколко това ще е в съответствие с изискванията по отношение на пасищата с  висока природна стойност и в „Натура 2000“. Предлагаме да се допълни възможността за подсяване  с местни видове (за съответното пасище или район).</w:t>
            </w:r>
          </w:p>
          <w:p w14:paraId="7BB7403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II.В.1. Плащания за земеделски земи в зони от Натура 2000</w:t>
            </w:r>
          </w:p>
          <w:p w14:paraId="402825B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-Интервенцията „Плащания за земеделски земи в зони от Натура 2000“ се предвижда да се прилага в зоните от Натура 2000 с издадени заповеди за обявяване, както и с тези с одобрени Планове за управление, т.е. към сегашния обхват на мярката към зоните за опазване на птиците ще се добавят минимум 186 зони за опазване на природните местообитания. Тези площи не са отразени по никакъв начин към целевите стойности на планираните за подпомагане площи и съответните финансови средства. Нещо повече – планираният бюджет  за интервенцията е 80 777 144 Евро и намален почти двойно от изплатените средства за периода 2015-2020 г. в размер на 140 631 325 Евро, което най-вероятно ще доведе до прекратяване на подпомагането след изчерпването на бюджета. Настояваме да се увеличи бюджетът на тази интервенция, тъй като тя е една от най-предпочитаните от земеделските стопани. Допълнителен мотив за това е, че предвидените за тази интервенция средства в Националната приоритетна рамка за действие за Натура 2000 са  в размер на 140 000 000 Евро;</w:t>
            </w:r>
          </w:p>
          <w:p w14:paraId="5F3C01A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 са представени текстове кои забрани от Заповедите за обявяване, както и кои от забраните и препоръките в одобрените планове за управление ще се компенсират.</w:t>
            </w:r>
          </w:p>
          <w:p w14:paraId="1C18162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-Буди недоумение фактът, че се предвижда интервенцията да допринесе за постигането на индикатори за резултат R3 „Цифровизация на селското стопанство“ и R4 „Създаване на връзка между подпомагането на доходите и стандартите за добра практика“, а не към индикатора за резултат R33 „Подобряване  на управлението на мрежа „Натура 2000““.</w:t>
            </w:r>
          </w:p>
          <w:p w14:paraId="631759C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-Обръщаме внимание, че при методологията за изчисляване на нивата на плащане единствено на тази мярка нивата на плащане се разграничават за 4 вида територии: планински райони; други райони засегнати от значителни природни ограничения, наричани други необлагодетелствани райони; райони със специфични, </w:t>
            </w:r>
            <w:r w:rsidRPr="00CD61CE">
              <w:rPr>
                <w:rFonts w:ascii="Verdana" w:hAnsi="Verdana"/>
                <w:sz w:val="20"/>
                <w:szCs w:val="20"/>
              </w:rPr>
              <w:lastRenderedPageBreak/>
              <w:t>различни от планинските и други ограничения; райони, незасегнати от природни и почвени ограничения, считани в методиката, като незасегнати от природни ограничения, като това води до по-ниски плащания в планинските райони и съответно за затревените площи, спрямо обработваемите земи. Това е единствената интервенция, при която е използвана подобна методология. Настояваме  да се уеднакви подходът при всички интервенции на хектар или да се предостави обосновка защо това се прави само за мярката Натура 2000.</w:t>
            </w:r>
          </w:p>
          <w:p w14:paraId="11DCA95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-Средните нива за плащане по различните видове земеползване са намалени спрямо периода 2014-2020 г. като за обосновка за това се посочва избягването на двойното финансиране  с еко-схемите, без да се посочат за кои точно еко-схеми става дума и за кои дейности би могло да възникне двойното финансиране. </w:t>
            </w:r>
          </w:p>
          <w:p w14:paraId="595984B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II.И.1. Консултантски услуги и повишаване на консултантския капацитет (стр.982)</w:t>
            </w:r>
          </w:p>
          <w:p w14:paraId="5A44271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представения  проект на бенефициенти на интервенцията „Допустими бенефициенти са Национална служба за съвети в земеделието (НССЗ) и организации, отговарящи на критериите за областно, регионално и национално представителни браншови организации за производство и преработка на селскостопански продукти“. Не са включени екологични организации, включително които имат представителство на областно, регионално или национално ниво, независимо че по три от консултантите пакети се предвижда предоставяне на услуги, свързани с целите на опазване на околната среда и предотвратяване на климатичните промени. Считаме, че  екологичните организации трябва да бъдат включени в обхвата на мярката.</w:t>
            </w:r>
          </w:p>
          <w:p w14:paraId="039D287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-Необходимо е да се уточни какво се разбира под представителство на областно, регионално и национално ниво.</w:t>
            </w:r>
          </w:p>
          <w:p w14:paraId="3F2698D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-Буди недоумение фактът, че се предвижда „Консултантски пакети № 4, 5, 6, 7, 8, 9 и 10 ще се предоставят единствено на малки, много малки и млади земеделски стопани съгласно определението в Стратегическия план“. Обръщаме внимание, че тези пакети са особено важни за едрите земеделски стопанства с интензивно земеделие и настояваме  те да бъдат включени в обхвата на консултациите по отношение на опазването на околната среда или да се посочат алтернативни начини за придобиване на знанията и уменията, свързани с опазването на околната среда.</w:t>
            </w:r>
          </w:p>
          <w:p w14:paraId="46C2B67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I.Ж.1. Подкрепа за оперативни групи в рамките на Европейското партньорство за иновации</w:t>
            </w:r>
          </w:p>
          <w:p w14:paraId="36DDDF5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индикаторите за резултат не е включен индикаторът „R.28 Качество на изпълнението с оглед на околната среда или климата чрез знания и иновации: брой на лицата, ползващи се от консултации, обучения и обмен на знания или участващи в оперативни групи на Европейското партньорство за иновации (ЕПИ), подпомагани от ОСП, във връзка с качеството на изпълнението свързано с околната среда и климата“. Настояваме  да се включи.</w:t>
            </w:r>
          </w:p>
          <w:p w14:paraId="78CD378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-В условията за допустимост на кандидати е включен текстът:  „Оперативните групи включват най-малко един земеделски стопанин или една призната група/организация на производители или една областно, регионално или национално представителна браншова организация за производство и преработка на селскостопански продукти и един представител на науката“. Считаме, че така формулиран текстът дава неправомерно предимство на браншовите организации за производство и преработка на селскостопански продукти и дискриминира другите видове организации (екологични, регионални, потребителски и т.н.), което може да доведе до възпрепятстване на </w:t>
            </w:r>
            <w:r w:rsidRPr="00CD61CE">
              <w:rPr>
                <w:rFonts w:ascii="Verdana" w:hAnsi="Verdana"/>
                <w:sz w:val="20"/>
                <w:szCs w:val="20"/>
              </w:rPr>
              <w:lastRenderedPageBreak/>
              <w:t>редица иновативни решения. Считаме, че текстът трябва да се преформулира като се включат като водещи интересите на земеделските производители.</w:t>
            </w:r>
          </w:p>
          <w:p w14:paraId="73D962E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следната формулировка „Оперативните групи включват най-малко един представител на науката и  един регистриран земеделски стопанин/ група земеделски стопани или една областно, регионално или национално представителна браншова организация за производство и преработка на селскостопански продукти“.</w:t>
            </w:r>
          </w:p>
          <w:p w14:paraId="75B5399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към допустимите бенефициенти в частта: „г) Висши училища, акредитирани по Закона за висшето образование с актуални акредитации по професионални направления…“ задължително да се добавят направления „Аграрна икономика“, „Екоикономика“, „Екология“, „Опазване на природните ресурси“ и други екологични, социални и стопански направления. В противен случай, цялата мярка се фокусира еднопосочно само и единствено към селскостопанското производство без да отчита мултифункционалността на земеделието и съответната нужда от междусекторен подход за справяне с новите предизвикателства.</w:t>
            </w:r>
          </w:p>
          <w:p w14:paraId="446E92A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към бенефициентите да се включат и Местните инициативни групи. Това отговоря на целите на  т.Б от чл. 77 (Сътрудничество) на Регламента за Стратегическия план „подготвяне и изпълнение на LEADER;“.</w:t>
            </w:r>
          </w:p>
          <w:p w14:paraId="60FCA07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във връзка с изпълнението   на т.Д от същия член  „изготвяне и прилагане на стратегии за „интелигентни селища“, определени от държавите членки“, да се помисли за включване на общините в допустимите бенефициенти.</w:t>
            </w:r>
          </w:p>
          <w:p w14:paraId="56A54EA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текстът за допустими бенефициенти  „ж) Консултантски организации с предмет на консултантската дейност в областта на селското стопанство или храните в т.ч. НССЗ“ да се допълни по следния начин „ж) Консултантски организации с предмет на консултантската дейност в областта на селското стопанство или храните, опазване на околната среда, биоразнообразието и климата в т.ч. НССЗ.“</w:t>
            </w:r>
          </w:p>
          <w:p w14:paraId="1EC7FAF9"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-Предлагаме  да се предвиди възможност за авансово плащане в определен размер, с цел  оптимизиране на прилагането на интервенцията.</w:t>
            </w:r>
          </w:p>
          <w:p w14:paraId="78F3D7C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2.6.Част 6.  Финансов план</w:t>
            </w:r>
          </w:p>
          <w:p w14:paraId="3DAAE04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След обстоен преглед на заложените средства  за опазване на биологичното разнообразие по първи и втори стълб на ОСП могат да бъдат направени следните изводи:</w:t>
            </w:r>
          </w:p>
          <w:p w14:paraId="5F6A4FD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-Едва 6% от бюджета на 1-ви стълб са насочени към подпомагане на дейности, свързани директно с опазването на биологичното разнообразие (Еко-схема за поддържане и подобряване на биологичното разнообразие и екологичната инфраструктура и Еко-схема за екстензивно поддържане на постоянно затревени площи);</w:t>
            </w:r>
          </w:p>
          <w:p w14:paraId="0C86D63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-Едва 3,8% от бюджета на 2-ри стълб са директно насочени към интервенции, допринасящи за опазване на биологичното разнообразие, земите с ВПС и земите в Натура 2000 и зелената инфраструктура (Устойчиво управление на пасища в земеделски земи с ВПС; Плащания за земеделски земи в зони от Натура 2000; Поддържане на местообитанията на червеногушата гъска (Branta ruficollis), Кръстат (царски) орел и Египетски лешояд в орнитологични важни места в обработваеми земи; Създаване и възстановяване на екологичната инфраструктура);</w:t>
            </w:r>
          </w:p>
          <w:p w14:paraId="2BD491F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lastRenderedPageBreak/>
              <w:t xml:space="preserve">-В сравнение с общия необходим бюджет за биоразнообразие и климатични промени  заделените средства за биоразнообразие са твърде малко. Но по-големият проблем е, че тези средства не са достатъчни и не отговарят на заложените в НПРД необходими средства, дори ако се комбинират средствата по първи и втори стълб. Например, Мярката за Натура 2000 в земеделски земи и гори според НПРД изисква средства в размер на 140 000 000 евро, докато във финансовия план са залегнали само 95 000 000 евро, т.е. с 45 000 000 евро по-малко (намаление с 20 000 000 евро спрямо необходимите средства за земеделски земи в Натура 2000 и 25 000 000 евро по-малко от необходимите средства за Натура 2000 в гори). Мярката Натура 2000 съдържа специфични изисквания, които не са предвидени в еко-схемите по стълб 1 и бюджетният дефицит не може да се компенсира от там. Недостатъчните средства, заложени за Натура 2000, не съответстват на значението, което се отдава на мярката в интервенционната стратегия, но което е по-лошо, няма да доведе до постигане на заложените природозащитни цели. </w:t>
            </w:r>
          </w:p>
          <w:p w14:paraId="14EF602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-Аналогично по отношение на мярката за застрашените видове птици, към червеногушата гъска са прибавени и хищни птици като царския орел и египетския лешояд, но общият бюджет на тази мярка е с 1,5 милиона евро по-нисък от заложения в НПРД. Този бюджет, както и бюджетът за мярката Натура 2000 са намалени спрямо предходния период, без да се отчита фактът, че е необходимо да се положат повече усилия. Трябва да подчертаем също, че мерките за застрашените видове птици, като червеногушата гъска, царския орел и египетския лешояд, са специфични и не се обхващат от еко-схемите по стълб 1, поради което е необходимо да е гарантиран целият им бюджет в стълб 2. </w:t>
            </w:r>
          </w:p>
          <w:p w14:paraId="3E47B7D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Настояваме във финансовия план, средствата, необходими за опазване и възстановяване на биоразнообразието, да са изцяло съобразени с одобрените средства по НПРД, като се направи ясна връзка от кои интервенции и еко-схеми се осигурява финансирането на съответните мерки от НПРД.</w:t>
            </w:r>
          </w:p>
          <w:p w14:paraId="6063A0F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2.7.Част 7.2. Описание на структурата за мониторинг и докладване</w:t>
            </w:r>
          </w:p>
          <w:p w14:paraId="692428D5"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Независимо от препоръките на предварителната оценка на СПРЗСР 2023-2027 (стр.1127)  относно научените уроци от прилагането на  ПРСР 2014-2020 в частта мониторинг и оценка, в описанието на структурата за мониторинг и докладване отново не е включен мониторинга на резултатите и въздействието от прилагането на отделните интервенции върху околната среда и биоразнообразието.</w:t>
            </w:r>
          </w:p>
          <w:p w14:paraId="2B3F572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Обръщаме внимание, че  препоръките на предварителната оценка на ПРСР 2014-2020 г. и последващата оценка на ПРСР 2007-2013 г. отчитат необходимостта от разработване на система за наблюдение на въздействието по отношение на влиянието на отделните интервенции върху елементите на околната среда. Тази система следва да се изгради в координация между съответните служби и агенции на МОСВ и МЗм. В представените текстове в част 7.2. отново не се адресира изграждането на подобна система, което на практика означава, че не може да се оцени реалното въздействие от изразходваните публични средства за постигане на целите, свързани с опазване на околната среда.</w:t>
            </w:r>
          </w:p>
          <w:p w14:paraId="38007DD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Настояваме МЗм и МОСВ да поемат ангажимент за координирано изграждане на система за мониторинг и оценка на въздействието от предлаганите интервенции по СП на ОСП върху околната среда и биоразнообразието в </w:t>
            </w:r>
            <w:r w:rsidRPr="00CD61CE">
              <w:rPr>
                <w:rFonts w:ascii="Verdana" w:hAnsi="Verdana"/>
                <w:sz w:val="20"/>
                <w:szCs w:val="20"/>
              </w:rPr>
              <w:lastRenderedPageBreak/>
              <w:t>частност и това да бъде  описано в точка 7.2.</w:t>
            </w:r>
          </w:p>
          <w:p w14:paraId="05E7894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2.8.Част 8.1. Система за знания и иновации в селското стопанство (AKIS)</w:t>
            </w:r>
          </w:p>
          <w:p w14:paraId="1E8B28A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Съгласно член 15 на Регламента за СП „ Консултантските услуги в областта на селското стопанство обхващат икономическите, екологичните и социалните аспекти, като отчитат съществуващите земеделски практики, и осигуряват актуална технологична и научна информация, разработена посредством проекти за научни изследвания и иновации, включително що се отнася до предоставянето на обществени блага.</w:t>
            </w:r>
          </w:p>
          <w:p w14:paraId="5BA3C57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Чрез консултантските услуги в областта на селското стопанство се предлага подходяща помощ в рамките на цикъла на развитие на стопанствата, включително за създаването на земеделско стопанство за първи път, приспособяването на производствените модели към потребителското търсене, иновативни практики, селскостопански техники с цел устойчивост спрямо изменението на климата, включително агролесовъдство и агроекология, подобряване на хуманното отношение към животните и, при необходимост, стандарти за безопасност и социално подпомагане.“</w:t>
            </w:r>
          </w:p>
          <w:p w14:paraId="34DC546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Считаме, че така предлаганият текст за AKIS изключва ключови участници като ЮЛНЦ, работещи в областта на опазване на околната среда, биоразнообразието и климата, които и понастоящем работят със земеделските стопани в рамките на редица научно-изследователски и приложни проекти, финансирани от ЕС.</w:t>
            </w:r>
          </w:p>
          <w:p w14:paraId="039EE743"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Необходимо е системата да включва и въвеждането на целеви обучения за земеделски производители, стопанисващи земеделски земи в Натура 2000, както и на целенасочени консултации и съвети за природосъобразни земеделски практики, опазващи и възстановяващи видове и местообитания в конкретните защитени зони (надграждане на съществуващите ангажименти, съгласно изискванията на регламента). Тези потребности са свързани с разясняване на същностните изисквания за стопанисването на земеделските земи в зоните по Натура 2000, включващи обосновка на причините за наложените забрани за ползване на земеделските земи; какви са очакваните и търсените ползи както за биоразнообразието, така и за земеделските дейности и земи от опазването на биоразнообразието в тях; кои видове и местообитания са обект на опазване в съответните територии; какви са индикациите за благоприятно състояние на видовете и местообитанията в земеделските земи дейностите и т.н.</w:t>
            </w:r>
          </w:p>
          <w:p w14:paraId="021AA1C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Към момента тези дейности не са включени в предлаганите текстове за AKIS.</w:t>
            </w:r>
          </w:p>
          <w:p w14:paraId="4B1EA70E" w14:textId="52BCF7C1" w:rsidR="00CD7279" w:rsidRPr="009E60E1"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 заключение считаме, че изложените аргументи и препоръки водят до необходимост от преработване и допълване на СПРЗСР 2023-2027, така че да се спази българското и европейското законодателство и да се постигне съответствие с одобрените стратегически документи, свързани с биологично разнообразие в земеделските земи и селските райони!</w:t>
            </w:r>
          </w:p>
        </w:tc>
      </w:tr>
      <w:tr w:rsidR="00CD7279" w:rsidRPr="00F413E2" w14:paraId="162BB2B2" w14:textId="77777777" w:rsidTr="00CD7279">
        <w:trPr>
          <w:trHeight w:val="74"/>
          <w:jc w:val="center"/>
        </w:trPr>
        <w:tc>
          <w:tcPr>
            <w:tcW w:w="563" w:type="dxa"/>
            <w:tcBorders>
              <w:top w:val="nil"/>
              <w:left w:val="single" w:sz="24" w:space="0" w:color="2E74B5"/>
              <w:bottom w:val="nil"/>
              <w:right w:val="single" w:sz="18" w:space="0" w:color="2E74B5"/>
            </w:tcBorders>
            <w:shd w:val="clear" w:color="auto" w:fill="auto"/>
          </w:tcPr>
          <w:p w14:paraId="1ACF00E8" w14:textId="77777777" w:rsidR="00CD7279" w:rsidRPr="00330507" w:rsidRDefault="00CD7279" w:rsidP="00AD2528">
            <w:pPr>
              <w:tabs>
                <w:tab w:val="left" w:pos="192"/>
              </w:tabs>
              <w:spacing w:before="60" w:after="20"/>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12629701" w14:textId="632EAF91" w:rsidR="00CD7279" w:rsidRDefault="00CD7279" w:rsidP="00AD2528">
            <w:pPr>
              <w:spacing w:before="60" w:after="20"/>
              <w:rPr>
                <w:rFonts w:ascii="Verdana" w:hAnsi="Verdana"/>
                <w:sz w:val="20"/>
                <w:szCs w:val="20"/>
              </w:rPr>
            </w:pPr>
          </w:p>
        </w:tc>
        <w:tc>
          <w:tcPr>
            <w:tcW w:w="12433" w:type="dxa"/>
            <w:tcBorders>
              <w:top w:val="nil"/>
              <w:left w:val="single" w:sz="18" w:space="0" w:color="2E74B5"/>
              <w:bottom w:val="nil"/>
              <w:right w:val="single" w:sz="18" w:space="0" w:color="2E74B5"/>
            </w:tcBorders>
            <w:shd w:val="clear" w:color="auto" w:fill="auto"/>
          </w:tcPr>
          <w:p w14:paraId="6B47C938" w14:textId="77777777" w:rsidR="00CD7279" w:rsidRPr="009E60E1" w:rsidRDefault="00CD7279" w:rsidP="00AD2528">
            <w:pPr>
              <w:widowControl w:val="0"/>
              <w:tabs>
                <w:tab w:val="left" w:pos="1565"/>
              </w:tabs>
              <w:autoSpaceDE w:val="0"/>
              <w:autoSpaceDN w:val="0"/>
              <w:spacing w:before="60" w:after="20"/>
              <w:jc w:val="both"/>
              <w:rPr>
                <w:rFonts w:ascii="Verdana" w:hAnsi="Verdana"/>
                <w:sz w:val="20"/>
                <w:szCs w:val="20"/>
              </w:rPr>
            </w:pPr>
          </w:p>
        </w:tc>
      </w:tr>
      <w:tr w:rsidR="00CD7279" w:rsidRPr="00F413E2" w14:paraId="7E09AFF8" w14:textId="77777777" w:rsidTr="00CD7279">
        <w:trPr>
          <w:trHeight w:val="74"/>
          <w:jc w:val="center"/>
        </w:trPr>
        <w:tc>
          <w:tcPr>
            <w:tcW w:w="563" w:type="dxa"/>
            <w:tcBorders>
              <w:top w:val="nil"/>
              <w:left w:val="single" w:sz="24" w:space="0" w:color="2E74B5"/>
              <w:bottom w:val="single" w:sz="18" w:space="0" w:color="2E74B5"/>
              <w:right w:val="single" w:sz="18" w:space="0" w:color="2E74B5"/>
            </w:tcBorders>
            <w:shd w:val="clear" w:color="auto" w:fill="auto"/>
          </w:tcPr>
          <w:p w14:paraId="1FE709E7" w14:textId="77777777" w:rsidR="00CD7279" w:rsidRPr="00330507" w:rsidRDefault="00CD7279" w:rsidP="00AD2528">
            <w:pPr>
              <w:tabs>
                <w:tab w:val="left" w:pos="192"/>
              </w:tabs>
              <w:spacing w:before="60" w:after="20"/>
              <w:rPr>
                <w:rFonts w:ascii="Verdana" w:hAnsi="Verdana"/>
                <w:b/>
                <w:color w:val="FF0000"/>
                <w:sz w:val="20"/>
                <w:szCs w:val="20"/>
                <w:lang w:val="en-US"/>
              </w:rPr>
            </w:pPr>
          </w:p>
        </w:tc>
        <w:tc>
          <w:tcPr>
            <w:tcW w:w="2526" w:type="dxa"/>
            <w:tcBorders>
              <w:top w:val="nil"/>
              <w:left w:val="single" w:sz="18" w:space="0" w:color="2E74B5"/>
              <w:bottom w:val="single" w:sz="18" w:space="0" w:color="2E74B5"/>
              <w:right w:val="single" w:sz="18" w:space="0" w:color="2E74B5"/>
            </w:tcBorders>
            <w:shd w:val="clear" w:color="auto" w:fill="auto"/>
          </w:tcPr>
          <w:p w14:paraId="7D73B0C4" w14:textId="77777777" w:rsidR="00CD7279" w:rsidRDefault="00CD7279" w:rsidP="00AD2528">
            <w:pPr>
              <w:spacing w:before="60" w:after="20"/>
              <w:rPr>
                <w:rFonts w:ascii="Verdana" w:hAnsi="Verdana"/>
                <w:sz w:val="20"/>
                <w:szCs w:val="20"/>
              </w:rPr>
            </w:pPr>
          </w:p>
        </w:tc>
        <w:tc>
          <w:tcPr>
            <w:tcW w:w="12433" w:type="dxa"/>
            <w:tcBorders>
              <w:top w:val="nil"/>
              <w:left w:val="single" w:sz="18" w:space="0" w:color="2E74B5"/>
              <w:bottom w:val="single" w:sz="18" w:space="0" w:color="2E74B5"/>
              <w:right w:val="single" w:sz="18" w:space="0" w:color="2E74B5"/>
            </w:tcBorders>
            <w:shd w:val="clear" w:color="auto" w:fill="auto"/>
          </w:tcPr>
          <w:p w14:paraId="5A5144D7" w14:textId="77777777" w:rsidR="00CD7279" w:rsidRPr="009E60E1" w:rsidRDefault="00CD7279" w:rsidP="00AD2528">
            <w:pPr>
              <w:widowControl w:val="0"/>
              <w:tabs>
                <w:tab w:val="left" w:pos="1565"/>
              </w:tabs>
              <w:autoSpaceDE w:val="0"/>
              <w:autoSpaceDN w:val="0"/>
              <w:spacing w:before="60" w:after="20"/>
              <w:jc w:val="both"/>
              <w:rPr>
                <w:rFonts w:ascii="Verdana" w:hAnsi="Verdana"/>
                <w:sz w:val="20"/>
                <w:szCs w:val="20"/>
              </w:rPr>
            </w:pPr>
          </w:p>
        </w:tc>
      </w:tr>
      <w:tr w:rsidR="00CD7279" w:rsidRPr="00F413E2" w14:paraId="7AEBD886"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1271FB7D"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065B700D" w14:textId="77777777" w:rsidR="00CD7279" w:rsidRDefault="00CD7279" w:rsidP="00AD2528">
            <w:pPr>
              <w:spacing w:before="60" w:after="20"/>
              <w:rPr>
                <w:rFonts w:ascii="Verdana" w:hAnsi="Verdana"/>
                <w:sz w:val="20"/>
                <w:szCs w:val="20"/>
              </w:rPr>
            </w:pPr>
          </w:p>
          <w:p w14:paraId="65EE70C5" w14:textId="77777777" w:rsidR="00CD7279" w:rsidRDefault="00CD7279" w:rsidP="00CD61CE">
            <w:pPr>
              <w:spacing w:before="40" w:after="20"/>
              <w:rPr>
                <w:rFonts w:ascii="Verdana" w:hAnsi="Verdana"/>
                <w:sz w:val="20"/>
                <w:szCs w:val="20"/>
              </w:rPr>
            </w:pPr>
            <w:r w:rsidRPr="00634A4D">
              <w:rPr>
                <w:rFonts w:ascii="Verdana" w:hAnsi="Verdana"/>
                <w:sz w:val="20"/>
                <w:szCs w:val="20"/>
              </w:rPr>
              <w:lastRenderedPageBreak/>
              <w:t>Българска Асоциация Биопро</w:t>
            </w:r>
            <w:r>
              <w:rPr>
                <w:rFonts w:ascii="Verdana" w:hAnsi="Verdana"/>
                <w:sz w:val="20"/>
                <w:szCs w:val="20"/>
              </w:rPr>
              <w:t>изводителите</w:t>
            </w:r>
          </w:p>
          <w:p w14:paraId="39C9B6C3" w14:textId="07692EBB" w:rsidR="00CD7279" w:rsidRPr="00A4071F" w:rsidRDefault="00CD7279" w:rsidP="00CD61CE">
            <w:pPr>
              <w:spacing w:before="40" w:after="20"/>
              <w:rPr>
                <w:rFonts w:ascii="Verdana" w:hAnsi="Verdana"/>
                <w:sz w:val="20"/>
                <w:szCs w:val="20"/>
                <w:lang w:val="en-US"/>
              </w:rPr>
            </w:pPr>
            <w:r>
              <w:rPr>
                <w:rFonts w:ascii="Verdana" w:hAnsi="Verdana"/>
                <w:sz w:val="20"/>
                <w:szCs w:val="20"/>
                <w:lang w:val="en-US"/>
              </w:rPr>
              <w:t>(</w:t>
            </w:r>
            <w:proofErr w:type="gramStart"/>
            <w:r>
              <w:rPr>
                <w:rFonts w:ascii="Verdana" w:hAnsi="Verdana"/>
                <w:sz w:val="20"/>
                <w:szCs w:val="20"/>
              </w:rPr>
              <w:t>писмо</w:t>
            </w:r>
            <w:proofErr w:type="gramEnd"/>
            <w:r w:rsidRPr="005D1127">
              <w:rPr>
                <w:rFonts w:ascii="Verdana" w:hAnsi="Verdana"/>
                <w:sz w:val="20"/>
                <w:szCs w:val="20"/>
              </w:rPr>
              <w:t xml:space="preserve"> № </w:t>
            </w:r>
            <w:r>
              <w:rPr>
                <w:rFonts w:ascii="Verdana" w:hAnsi="Verdana"/>
                <w:sz w:val="20"/>
                <w:szCs w:val="20"/>
                <w:lang w:val="en-US"/>
              </w:rPr>
              <w:t>15-205</w:t>
            </w:r>
            <w:r>
              <w:rPr>
                <w:rFonts w:ascii="Verdana" w:hAnsi="Verdana"/>
                <w:sz w:val="20"/>
                <w:szCs w:val="20"/>
              </w:rPr>
              <w:t xml:space="preserve"> </w:t>
            </w:r>
            <w:r w:rsidRPr="005D1127">
              <w:rPr>
                <w:rFonts w:ascii="Verdana" w:hAnsi="Verdana"/>
                <w:sz w:val="20"/>
                <w:szCs w:val="20"/>
              </w:rPr>
              <w:t xml:space="preserve">от </w:t>
            </w:r>
            <w:r>
              <w:rPr>
                <w:rFonts w:ascii="Verdana" w:hAnsi="Verdana"/>
                <w:sz w:val="20"/>
                <w:szCs w:val="20"/>
              </w:rPr>
              <w:t>1.0</w:t>
            </w:r>
            <w:r>
              <w:rPr>
                <w:rFonts w:ascii="Verdana" w:hAnsi="Verdana"/>
                <w:sz w:val="20"/>
                <w:szCs w:val="20"/>
                <w:lang w:val="en-US"/>
              </w:rPr>
              <w:t>4</w:t>
            </w:r>
            <w:r>
              <w:rPr>
                <w:rFonts w:ascii="Verdana" w:hAnsi="Verdana"/>
                <w:sz w:val="20"/>
                <w:szCs w:val="20"/>
              </w:rPr>
              <w:t>.2022</w:t>
            </w:r>
            <w:r w:rsidRPr="005D1127">
              <w:rPr>
                <w:rFonts w:ascii="Verdana" w:hAnsi="Verdana"/>
                <w:sz w:val="20"/>
                <w:szCs w:val="20"/>
              </w:rPr>
              <w:t xml:space="preserve"> г.</w:t>
            </w:r>
            <w:r>
              <w:rPr>
                <w:rFonts w:ascii="Verdana" w:hAnsi="Verdana"/>
                <w:sz w:val="20"/>
                <w:szCs w:val="20"/>
                <w:lang w:val="en-US"/>
              </w:rPr>
              <w:t>)</w:t>
            </w:r>
          </w:p>
        </w:tc>
        <w:tc>
          <w:tcPr>
            <w:tcW w:w="12433" w:type="dxa"/>
            <w:tcBorders>
              <w:top w:val="single" w:sz="18" w:space="0" w:color="2E74B5"/>
              <w:left w:val="single" w:sz="18" w:space="0" w:color="2E74B5"/>
              <w:bottom w:val="nil"/>
              <w:right w:val="single" w:sz="18" w:space="0" w:color="2E74B5"/>
            </w:tcBorders>
            <w:shd w:val="clear" w:color="auto" w:fill="auto"/>
          </w:tcPr>
          <w:p w14:paraId="4F73C09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lastRenderedPageBreak/>
              <w:t xml:space="preserve">По отношение на : Мярка за устойчиво управление на пасища от Националната екологична мрежа (НЕМ1) чрез </w:t>
            </w:r>
            <w:r w:rsidRPr="00CD61CE">
              <w:rPr>
                <w:rFonts w:ascii="Verdana" w:hAnsi="Verdana"/>
                <w:sz w:val="20"/>
                <w:szCs w:val="20"/>
              </w:rPr>
              <w:lastRenderedPageBreak/>
              <w:t>контролирани практики за регулирана паша  от  Стратегическия План за развитие на земеделието и развитие на селските райони за периода 2023- 2027 г.</w:t>
            </w:r>
          </w:p>
          <w:p w14:paraId="26B1004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При оценката на Стратегическия План (СП), извършена въз основа на представената документация и въз основа на чл. 36, ал.3, от НРЕДБАТА за ОС, въз основа на критериите по чл.16 от същата, е направена преценка от МОСВ за „Вероятна степен на отрицателно въздействие“ като е посочено, че Мярка за устойчиво управление на пасища от Националната екологична мрежа (НЕМ) чрез контролирани практики за регулирана паша   „има вероятност да окаже значително отрицателно въздействие върху природни местообитания, популации и местообитания на видове, предмет на опазване в защитените  зони от екологичната мрежа Натура 2000.“</w:t>
            </w:r>
          </w:p>
          <w:p w14:paraId="6F649B4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В СП е предвидено  разрешително за паша да бъде издавано (от дирекциите на НП Рила, Пирин или Централен Балкан или от друг компетентен орган)  само на земеделски стопани, които притежават тревопасни животни от видовете овце или говеда от местни автохтонни породи. </w:t>
            </w:r>
          </w:p>
          <w:p w14:paraId="01A6CE5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Забележка: Мярка за устойчиво управление на пасища от Националната екологична мрежа (НЕМ), чрез контролирани практики за регулирана паша замества действащата в настоящия програмен период подмярка „Пасторализъм“.</w:t>
            </w:r>
          </w:p>
          <w:p w14:paraId="774597E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Във връзка с горното са налице няколко съществени несъответствия с утвърдени „добри практики“ в държавите членки на ЕС.</w:t>
            </w:r>
          </w:p>
          <w:p w14:paraId="43E20FC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1.Формираните в резултат на традиционния пасторализъм високопланински пасищни хабитати в Европа се характеризират с богато биоразнообразие. В продължение на хилядолетия животновъдите са правили сезонни миграции със стадата си, като по този начин са допринесли за оформянето на характерните високопланински ландшафти и за ограничаването на сукцесията на гората. Традиционните практики на пасищно животновъдство са гръбнакът на икономиката в планинските райони на Европа от векове насам и са допринесли за тяхното и без друго богато биоразнообразие (Sundseth, 2009).  В България високопланинското сезонно животновъдство е практикувано от хилядолетия, в това число и по високопланинските пасища.  През пролетта и лятото  стадата са качвани във високопланинската зона, а през есента стадата са сваляни да зимуват в равнините. </w:t>
            </w:r>
          </w:p>
          <w:p w14:paraId="5285136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През изминалия програмен период подмярката „Пасторализъм“ финансираше реализираната на територията на Националните паркове Рила, Пирин и Централен Балкан като създаването  на подмярката бе продиктувано от нуждата за съхранение на полуестествените екосистеми на пасищата и ливадите, чието опазване и възстановяване остава приоритетно за селскостопанската политика на ЕС и  през следващия програмен период. </w:t>
            </w:r>
          </w:p>
          <w:p w14:paraId="5646076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2.Целта на мярката „Пасторализъм“/ Мярка за устойчиво управление на пасища от Националната екологична мрежа (НЕМ), чрез контролирани практики за регулирана паша е да се насърчава и развива биологичното земеделие;  успешно да се управляват земеделските земи с висока природна стойност;  да бъде поддържан естествения  ландшафт;  да се опазват почвите и водите, и не на последно място- да бъдат опазвани застрашени  от изчезване  местни породи и традиционни практики за сезонна паша. В този смисъл, когато се предвиждат мерки за устойчиво управление на пасищата от НЕМ , следва да бъдат включени не просто „местни автохтонни породи“,  а такива , които са типични за районите и в частност – планински породи, които са подходящи за </w:t>
            </w:r>
            <w:r w:rsidRPr="00CD61CE">
              <w:rPr>
                <w:rFonts w:ascii="Verdana" w:hAnsi="Verdana"/>
                <w:sz w:val="20"/>
                <w:szCs w:val="20"/>
              </w:rPr>
              <w:lastRenderedPageBreak/>
              <w:t>сезонна паша по високопланинските пасища.</w:t>
            </w:r>
          </w:p>
          <w:p w14:paraId="57978C21"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Въз основа на това предлагаме следните промени в  Мярка за устойчиво управление на пасища от Националната екологична мрежа (НЕМ), чрез контролирани практики за регулирана паша</w:t>
            </w:r>
          </w:p>
          <w:p w14:paraId="6BE7BC4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1.По отношение на текста:  „Земеделските стопани, кандидатстващи за подпомагане трябва да притежават тревопасни животни от видовете: овце и/или говеда от местни автохтонни породи и да имат годишно разрешително за паша, издадено от дирекциите на национални паркове Рила, Пирин и/или Централен Балкан или от друг контролен орган компетентен по издаване на разрешителни за паша.“</w:t>
            </w:r>
          </w:p>
          <w:p w14:paraId="342EFE6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Навсякъде , където е записано, че кандидатите  трябва да притежават  местни автохтонни породи, думата  „автохтонни“ да бъде заменена с „планински“. Горното се налага,  тъй като именно планинските породи  животни най-много се доближават по физиологични показатели и поведение  до дивите си прародители. Те имат достатъчно гъста и голяма козина, дебела кожа, здрава костна и мускулна система, здрав копитен рог, добра храносмилателна система за усвояване на бедните на енергия храни, силен майчин инстинкт, инстинкт за самосъхранение, стаден инстинкт, лекота при ражданията, добри средства за защита - рога за говедата и бързи крака за овцете, добро чувство за ориентация и характерен начин на пашуване в планината. Именно поради тази  причина при управлението на планинските екоситеми се дава приоритет на планинските породи, които  по  най-природосъобразен начин подпомагат опазването на екосистемите и биологичното разнообразие  и спомагат  за възстановяването  на  тревните съобщества.</w:t>
            </w:r>
          </w:p>
          <w:p w14:paraId="09E1C28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2. По отношение на текста: ”Земеделският стопанин или гледача на животните (пастир) трябва да извежда животните на определените пасища, най-малко 3 месеца от годината в периода май – октомври (90 дни). Изключения от тези срокове се допускат при изрични разпоредби/разрешение на Дирекциите на националните паркове.“</w:t>
            </w:r>
          </w:p>
          <w:p w14:paraId="34F189F8"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Считаме за подходящо сезонната паша да започва от 20-ти юни  - за местата (пасищата) над 2000 м.н.в. (бел.: в някой райони е подходящо сезонната паша да стартира от началото на м. юли), тъй като преди 20-ти юни зреенето на тревните видове все още не е приключило, а почвата е силно овлажнена.Срока на пашуване трябва да е съобразен с растежа и зреенето на тревата, а до пасищата в трите Национални парка е препоръчително да се допускат само планински породи говеда и овце, които се отглеждат свободно и без кучета – пастири.</w:t>
            </w:r>
          </w:p>
          <w:p w14:paraId="3146B46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3.  Необходими и други подходящи мерки, които биха довели до по-правилно прилагане на мярката, и които биха гарантирали, че при реализирането на сезонната паша ще се избегне вредното въздействие върху околната среда: </w:t>
            </w:r>
          </w:p>
          <w:p w14:paraId="0083ADEF"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а) Пашуването на добитъка в алпийските и субалпийски пасища да се реализира БЕЗ да се отреждат постоянни (оградени) места за това, както и да се премахне  ограничението за  нощуване на добитъка на едно и също място.Така се избягва отъпкването и т.н. „преизпасване“, което се отчита като негативно за екосистемите.</w:t>
            </w:r>
          </w:p>
          <w:p w14:paraId="56B46D7C"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б)При организирането и провеждането на сезонната паша следва да се има предвид, че стадата се придружават от пастири, които е необходимо да бивакуват на територията на Националните паркове. В тази връзка </w:t>
            </w:r>
            <w:r w:rsidRPr="00CD61CE">
              <w:rPr>
                <w:rFonts w:ascii="Verdana" w:hAnsi="Verdana"/>
                <w:sz w:val="20"/>
                <w:szCs w:val="20"/>
              </w:rPr>
              <w:lastRenderedPageBreak/>
              <w:t xml:space="preserve">препоръчваме, да се изготвят типови проекти за заслони на пастирите, които да задоволят техните нужди, но и да се впишат естествено в околната среда. </w:t>
            </w:r>
          </w:p>
          <w:p w14:paraId="62D908B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в)Животновъдите да имат възможност да се кооперират, да обединяват стадата си и да ги местят периодично по пасищата – така, както при естествената миграция на тревопасните видове, които следват наличието на подходяща паша, а не са стационарно разположени в определен район. Така ще се осигури равномерно ползване на тревните ресурси; ще се избегне застояването и струпването в определен район; ще се осигури възможност за възстановяване на тревостоя и ще се избегне т.н. „преизпасване“. Животните  е добре да преминават през пасищата на големи стада - за кратко време, както е при всички диви тревопасни. По този начин тревата се опасва най-равномерно и се възстановява най-бързо, а и самите тревопасни са най-заситени.</w:t>
            </w:r>
          </w:p>
          <w:p w14:paraId="3B300B2E"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Следва да обърнем внимание, че СП предвижда мярката да се реализира, както в ЗТ така и Защитени зони (ЗЗ). В тази връзка обръщаме внимание, че реализирането на мярката в ЗЗ ще е възможно едва след издаването на заповеди за тяхното обявяване, и след разписването на специфични мерки  и цели на опазване. За съжаление към настоящия момент голяма част от заповедите за обявяване на ЗЗ все още не са издадени, а специфични цели и мерки са разписани за много малка част от обявените зони. Горното означава, че на практика би било невъзможно мярката да се реализира в Националната екологична мрежа. Нещо повече, за нито една защитена зона не е разписан План за управление, а органи на управление изобщо не съществуват, тъй като те трябва да бъдат определени с изменение и допълнение на Закона за биологичното разнообразие. </w:t>
            </w:r>
          </w:p>
          <w:p w14:paraId="3D29AE1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        Ето защо считаме, че при разписването на мярката за устойчиво управление на пасищата от НЕМ, следва да се има в предвид, че нейното реализиране  е поставено под въпрос и всъщност е много вероятно да се окаже, че в  следващия програмен период  Р България няма да е в състояние да осигури нейното прилагане, което е пряко и непосредствено свързано с изпълнението на описаните по-горе условия – пряко свързани с управлението на ЗЗ.</w:t>
            </w:r>
          </w:p>
          <w:p w14:paraId="0309768A"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p>
          <w:p w14:paraId="1D15441B"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По отношение на: </w:t>
            </w:r>
          </w:p>
          <w:p w14:paraId="53E28D96"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Интервенция: Насърчаване и подкрепа на схеми за качество и тяхното използване от земеделските производители в  Стратегическия План за развитие на земеделието и развитие на селските райони за периода 2023- 2027 г </w:t>
            </w:r>
          </w:p>
          <w:p w14:paraId="355E92C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Във финалния вариант на интервенцията, представена на работна група в последните дни на обсъждане на Стратегическия план , от допустимите дейности – т.1.1, т.А към раздел 3 „Условия за допустимост“ е отпаднала сертификацията за Биологично производство.</w:t>
            </w:r>
          </w:p>
          <w:p w14:paraId="08329E1D"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Подпомагането на биологичната сертификация присъстваше в първите варианти на плана и беше адмирирана от бранша, тъй като до този момент не е имало никакво подпомагане за тази дейност. </w:t>
            </w:r>
          </w:p>
          <w:p w14:paraId="18E877A2"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 xml:space="preserve">Разходите за сертификация в настоящия програмен период са включени при изчисляването на ставките за подпомагане по мярка 11 „Биологично производство“. Не сме запознати с методиката на изчисляване на ставките за следващия програмен период. Ако този разход отново е включен в компенсаторното плащане,предлагаме изрично да се запише, че земеделски производители, които кандидатстват по интервенция „Биологично </w:t>
            </w:r>
            <w:r w:rsidRPr="00CD61CE">
              <w:rPr>
                <w:rFonts w:ascii="Verdana" w:hAnsi="Verdana"/>
                <w:sz w:val="20"/>
                <w:szCs w:val="20"/>
              </w:rPr>
              <w:lastRenderedPageBreak/>
              <w:t>производство“ нямат право на финансова помощ по отношение на таксата за биологично растениевъдство/животновъдство или пчеларство.</w:t>
            </w:r>
          </w:p>
          <w:p w14:paraId="29424510"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 Схемата за качество могат да бъдат подпомогнати преработвателните дейности, които до този момент не получават никаква подкрепа. Липсата на достатъчно биологично сертифицирани линии в предприятията е една от съществените слабости при развитие на биосектора. Това води до износ на суровини – първична био селскостопанска продукция и след това – внос на преработени, понякога само препакетирани продукти, на много по висока цена. Добавената стойност остава извън страната ни. Много от предприятията не желаят да сертифицират отделни линии за малки количества преработка поради високите такси и нерентабилност.</w:t>
            </w:r>
          </w:p>
          <w:p w14:paraId="6E604E07" w14:textId="77777777" w:rsidR="00CD7279" w:rsidRPr="00CD61CE"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Подобна подкрепа ще насърчи сертификацията на биологични линии за преработка в България. По мярката ще могат да се възползват и земеделски стопани, които по някаква причина не кандидатстват по интервенцията „Биологично производство“.</w:t>
            </w:r>
          </w:p>
          <w:p w14:paraId="0A753434" w14:textId="7F9E4CDD" w:rsidR="00CD7279" w:rsidRPr="009E60E1" w:rsidRDefault="00CD7279" w:rsidP="00CD61CE">
            <w:pPr>
              <w:widowControl w:val="0"/>
              <w:tabs>
                <w:tab w:val="left" w:pos="1565"/>
              </w:tabs>
              <w:autoSpaceDE w:val="0"/>
              <w:autoSpaceDN w:val="0"/>
              <w:spacing w:before="60" w:after="20"/>
              <w:jc w:val="both"/>
              <w:rPr>
                <w:rFonts w:ascii="Verdana" w:hAnsi="Verdana"/>
                <w:sz w:val="20"/>
                <w:szCs w:val="20"/>
              </w:rPr>
            </w:pPr>
            <w:r w:rsidRPr="00CD61CE">
              <w:rPr>
                <w:rFonts w:ascii="Verdana" w:hAnsi="Verdana"/>
                <w:sz w:val="20"/>
                <w:szCs w:val="20"/>
              </w:rPr>
              <w:t>Настояваме Биологичното производство да бъде върнато в т.3, 1.1, т.А, така както беше първоначално планирано и обсъждано на работни групи.</w:t>
            </w:r>
          </w:p>
        </w:tc>
      </w:tr>
      <w:tr w:rsidR="00CD7279" w:rsidRPr="00F413E2" w14:paraId="2DECAD39" w14:textId="77777777" w:rsidTr="00CD7279">
        <w:trPr>
          <w:trHeight w:val="74"/>
          <w:jc w:val="center"/>
        </w:trPr>
        <w:tc>
          <w:tcPr>
            <w:tcW w:w="563" w:type="dxa"/>
            <w:tcBorders>
              <w:top w:val="nil"/>
              <w:left w:val="single" w:sz="24" w:space="0" w:color="2E74B5"/>
              <w:bottom w:val="nil"/>
              <w:right w:val="single" w:sz="18" w:space="0" w:color="2E74B5"/>
            </w:tcBorders>
            <w:shd w:val="clear" w:color="auto" w:fill="auto"/>
          </w:tcPr>
          <w:p w14:paraId="27410273" w14:textId="77777777" w:rsidR="00CD7279" w:rsidRPr="00330507" w:rsidRDefault="00CD7279" w:rsidP="00AD2528">
            <w:pPr>
              <w:tabs>
                <w:tab w:val="left" w:pos="192"/>
              </w:tabs>
              <w:spacing w:before="60" w:after="20"/>
              <w:rPr>
                <w:rFonts w:ascii="Verdana" w:hAnsi="Verdana"/>
                <w:b/>
                <w:color w:val="FF0000"/>
                <w:sz w:val="20"/>
                <w:szCs w:val="20"/>
                <w:lang w:val="en-US"/>
              </w:rPr>
            </w:pPr>
          </w:p>
        </w:tc>
        <w:tc>
          <w:tcPr>
            <w:tcW w:w="2526" w:type="dxa"/>
            <w:tcBorders>
              <w:top w:val="nil"/>
              <w:left w:val="single" w:sz="18" w:space="0" w:color="2E74B5"/>
              <w:bottom w:val="nil"/>
              <w:right w:val="single" w:sz="18" w:space="0" w:color="2E74B5"/>
            </w:tcBorders>
            <w:shd w:val="clear" w:color="auto" w:fill="auto"/>
          </w:tcPr>
          <w:p w14:paraId="0407C2BC" w14:textId="77777777" w:rsidR="00CD7279" w:rsidRDefault="00CD7279" w:rsidP="00AD2528">
            <w:pPr>
              <w:spacing w:before="60" w:after="20"/>
              <w:rPr>
                <w:rFonts w:ascii="Verdana" w:hAnsi="Verdana"/>
                <w:sz w:val="20"/>
                <w:szCs w:val="20"/>
              </w:rPr>
            </w:pPr>
          </w:p>
        </w:tc>
        <w:tc>
          <w:tcPr>
            <w:tcW w:w="12433" w:type="dxa"/>
            <w:tcBorders>
              <w:top w:val="nil"/>
              <w:left w:val="single" w:sz="18" w:space="0" w:color="2E74B5"/>
              <w:bottom w:val="nil"/>
              <w:right w:val="single" w:sz="18" w:space="0" w:color="2E74B5"/>
            </w:tcBorders>
            <w:shd w:val="clear" w:color="auto" w:fill="auto"/>
          </w:tcPr>
          <w:p w14:paraId="38C64851" w14:textId="77777777" w:rsidR="00CD7279" w:rsidRPr="009E60E1" w:rsidRDefault="00CD7279" w:rsidP="00AD2528">
            <w:pPr>
              <w:widowControl w:val="0"/>
              <w:tabs>
                <w:tab w:val="left" w:pos="1565"/>
              </w:tabs>
              <w:autoSpaceDE w:val="0"/>
              <w:autoSpaceDN w:val="0"/>
              <w:spacing w:before="60" w:after="20"/>
              <w:jc w:val="both"/>
              <w:rPr>
                <w:rFonts w:ascii="Verdana" w:hAnsi="Verdana"/>
                <w:sz w:val="20"/>
                <w:szCs w:val="20"/>
              </w:rPr>
            </w:pPr>
          </w:p>
        </w:tc>
      </w:tr>
      <w:tr w:rsidR="00CD7279" w:rsidRPr="00F413E2" w14:paraId="46912BAD" w14:textId="77777777" w:rsidTr="00CD7279">
        <w:trPr>
          <w:trHeight w:val="12"/>
          <w:jc w:val="center"/>
        </w:trPr>
        <w:tc>
          <w:tcPr>
            <w:tcW w:w="563" w:type="dxa"/>
            <w:tcBorders>
              <w:top w:val="nil"/>
              <w:left w:val="single" w:sz="24" w:space="0" w:color="2E74B5"/>
              <w:bottom w:val="single" w:sz="18" w:space="0" w:color="2E74B5"/>
              <w:right w:val="single" w:sz="18" w:space="0" w:color="2E74B5"/>
            </w:tcBorders>
            <w:shd w:val="clear" w:color="auto" w:fill="auto"/>
          </w:tcPr>
          <w:p w14:paraId="675BCD30" w14:textId="77777777" w:rsidR="00CD7279" w:rsidRPr="00330507" w:rsidRDefault="00CD7279" w:rsidP="00AD2528">
            <w:pPr>
              <w:tabs>
                <w:tab w:val="left" w:pos="192"/>
              </w:tabs>
              <w:spacing w:before="60" w:after="20"/>
              <w:rPr>
                <w:rFonts w:ascii="Verdana" w:hAnsi="Verdana"/>
                <w:b/>
                <w:color w:val="FF0000"/>
                <w:sz w:val="20"/>
                <w:szCs w:val="20"/>
                <w:lang w:val="en-US"/>
              </w:rPr>
            </w:pPr>
          </w:p>
        </w:tc>
        <w:tc>
          <w:tcPr>
            <w:tcW w:w="2526" w:type="dxa"/>
            <w:tcBorders>
              <w:top w:val="nil"/>
              <w:left w:val="single" w:sz="18" w:space="0" w:color="2E74B5"/>
              <w:bottom w:val="single" w:sz="18" w:space="0" w:color="2E74B5"/>
              <w:right w:val="single" w:sz="18" w:space="0" w:color="2E74B5"/>
            </w:tcBorders>
            <w:shd w:val="clear" w:color="auto" w:fill="auto"/>
          </w:tcPr>
          <w:p w14:paraId="47DB93B6" w14:textId="77777777" w:rsidR="00CD7279" w:rsidRDefault="00CD7279" w:rsidP="00AD2528">
            <w:pPr>
              <w:spacing w:before="60" w:after="20"/>
              <w:rPr>
                <w:rFonts w:ascii="Verdana" w:hAnsi="Verdana"/>
                <w:sz w:val="20"/>
                <w:szCs w:val="20"/>
              </w:rPr>
            </w:pPr>
          </w:p>
        </w:tc>
        <w:tc>
          <w:tcPr>
            <w:tcW w:w="12433" w:type="dxa"/>
            <w:tcBorders>
              <w:top w:val="nil"/>
              <w:left w:val="single" w:sz="18" w:space="0" w:color="2E74B5"/>
              <w:bottom w:val="single" w:sz="18" w:space="0" w:color="2E74B5"/>
              <w:right w:val="single" w:sz="18" w:space="0" w:color="2E74B5"/>
            </w:tcBorders>
            <w:shd w:val="clear" w:color="auto" w:fill="auto"/>
          </w:tcPr>
          <w:p w14:paraId="4DBE8ED3" w14:textId="77777777" w:rsidR="00CD7279" w:rsidRPr="009E60E1" w:rsidRDefault="00CD7279" w:rsidP="00AD2528">
            <w:pPr>
              <w:widowControl w:val="0"/>
              <w:tabs>
                <w:tab w:val="left" w:pos="1565"/>
              </w:tabs>
              <w:autoSpaceDE w:val="0"/>
              <w:autoSpaceDN w:val="0"/>
              <w:spacing w:before="60" w:after="20"/>
              <w:jc w:val="both"/>
              <w:rPr>
                <w:rFonts w:ascii="Verdana" w:hAnsi="Verdana"/>
                <w:sz w:val="20"/>
                <w:szCs w:val="20"/>
              </w:rPr>
            </w:pPr>
          </w:p>
        </w:tc>
      </w:tr>
      <w:tr w:rsidR="00CD7279" w:rsidRPr="00F413E2" w14:paraId="5BE4BAFE" w14:textId="77777777" w:rsidTr="00CD7279">
        <w:trPr>
          <w:trHeight w:val="74"/>
          <w:jc w:val="center"/>
        </w:trPr>
        <w:tc>
          <w:tcPr>
            <w:tcW w:w="563" w:type="dxa"/>
            <w:tcBorders>
              <w:top w:val="single" w:sz="18" w:space="0" w:color="2E74B5"/>
              <w:left w:val="single" w:sz="24" w:space="0" w:color="2E74B5"/>
              <w:bottom w:val="nil"/>
              <w:right w:val="single" w:sz="18" w:space="0" w:color="2E74B5"/>
            </w:tcBorders>
            <w:shd w:val="clear" w:color="auto" w:fill="auto"/>
          </w:tcPr>
          <w:p w14:paraId="5D63C428" w14:textId="77777777" w:rsidR="00CD7279" w:rsidRPr="00D13E5D" w:rsidRDefault="00CD7279" w:rsidP="00D13E5D">
            <w:pPr>
              <w:numPr>
                <w:ilvl w:val="0"/>
                <w:numId w:val="5"/>
              </w:numPr>
              <w:tabs>
                <w:tab w:val="left" w:pos="192"/>
              </w:tabs>
              <w:spacing w:before="60" w:after="20"/>
              <w:ind w:left="0"/>
              <w:jc w:val="right"/>
              <w:rPr>
                <w:rFonts w:ascii="Verdana" w:hAnsi="Verdana"/>
                <w:color w:val="FF0000"/>
                <w:sz w:val="20"/>
                <w:szCs w:val="20"/>
                <w:lang w:val="en-US"/>
              </w:rPr>
            </w:pPr>
          </w:p>
        </w:tc>
        <w:tc>
          <w:tcPr>
            <w:tcW w:w="2526" w:type="dxa"/>
            <w:tcBorders>
              <w:top w:val="single" w:sz="18" w:space="0" w:color="2E74B5"/>
              <w:left w:val="single" w:sz="18" w:space="0" w:color="2E74B5"/>
              <w:bottom w:val="nil"/>
              <w:right w:val="single" w:sz="18" w:space="0" w:color="2E74B5"/>
            </w:tcBorders>
            <w:shd w:val="clear" w:color="auto" w:fill="auto"/>
          </w:tcPr>
          <w:p w14:paraId="74AACE45" w14:textId="77777777" w:rsidR="00CD7279" w:rsidRPr="00AC0BF0" w:rsidRDefault="00CD7279" w:rsidP="00AC0BF0">
            <w:pPr>
              <w:spacing w:before="40" w:after="20"/>
              <w:rPr>
                <w:rFonts w:ascii="Verdana" w:hAnsi="Verdana"/>
                <w:sz w:val="20"/>
                <w:szCs w:val="20"/>
                <w:lang w:val="en-US"/>
              </w:rPr>
            </w:pPr>
            <w:r w:rsidRPr="00AC0BF0">
              <w:rPr>
                <w:rFonts w:ascii="Verdana" w:hAnsi="Verdana"/>
                <w:sz w:val="20"/>
                <w:szCs w:val="20"/>
                <w:lang w:val="en-US"/>
              </w:rPr>
              <w:t>СДРУЖЕНИЕ ЗА ИЗСЛЕДОВАТЕЛСКИ ПРАКТИКИ  проект “Граждани и експерти за прилагане на зелените закони“</w:t>
            </w:r>
          </w:p>
          <w:p w14:paraId="576924DF" w14:textId="57B830A4" w:rsidR="00CD7279" w:rsidRPr="00A4071F" w:rsidRDefault="00CD7279" w:rsidP="00AC0BF0">
            <w:pPr>
              <w:spacing w:before="40" w:after="20"/>
              <w:rPr>
                <w:rFonts w:ascii="Verdana" w:hAnsi="Verdana"/>
                <w:sz w:val="20"/>
                <w:szCs w:val="20"/>
                <w:lang w:val="en-US"/>
              </w:rPr>
            </w:pPr>
            <w:r w:rsidRPr="00AC0BF0">
              <w:rPr>
                <w:rFonts w:ascii="Verdana" w:hAnsi="Verdana"/>
                <w:sz w:val="20"/>
                <w:szCs w:val="20"/>
                <w:lang w:val="en-US"/>
              </w:rPr>
              <w:t xml:space="preserve"> (</w:t>
            </w:r>
            <w:proofErr w:type="gramStart"/>
            <w:r w:rsidRPr="00AC0BF0">
              <w:rPr>
                <w:rFonts w:ascii="Verdana" w:hAnsi="Verdana"/>
                <w:sz w:val="20"/>
                <w:szCs w:val="20"/>
                <w:lang w:val="en-US"/>
              </w:rPr>
              <w:t>писмо</w:t>
            </w:r>
            <w:proofErr w:type="gramEnd"/>
            <w:r w:rsidRPr="00AC0BF0">
              <w:rPr>
                <w:rFonts w:ascii="Verdana" w:hAnsi="Verdana"/>
                <w:sz w:val="20"/>
                <w:szCs w:val="20"/>
                <w:lang w:val="en-US"/>
              </w:rPr>
              <w:t xml:space="preserve"> вх.№ 15-203 от 01.04.2022г.)</w:t>
            </w:r>
          </w:p>
        </w:tc>
        <w:tc>
          <w:tcPr>
            <w:tcW w:w="12433" w:type="dxa"/>
            <w:tcBorders>
              <w:top w:val="single" w:sz="18" w:space="0" w:color="2E74B5"/>
              <w:left w:val="single" w:sz="18" w:space="0" w:color="2E74B5"/>
              <w:bottom w:val="nil"/>
              <w:right w:val="single" w:sz="18" w:space="0" w:color="2E74B5"/>
            </w:tcBorders>
            <w:shd w:val="clear" w:color="auto" w:fill="auto"/>
          </w:tcPr>
          <w:p w14:paraId="5D0B28FD"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Инициатива „Зелени закони” е подавала многократно становища в процеса на разработка на Стратегическия план за РЗРС. Становищата са приложени в приложенията към публикувания на strategy.bg проект на Стратегическият план. </w:t>
            </w:r>
          </w:p>
          <w:p w14:paraId="27471CE4" w14:textId="2869907B"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Нито едно от становищата на инициатива „Зелени закони” не беше прието, нито пък беше отхвърлено с мотивиран отказ. За нас остава загадка защо инициирате обществени обсъждания, в които събирате становища, които нито отразявате, нито отхвърляте, казвайки защо правите това. Това на практика напълно обезсмисля процесите на публични обсъждания. </w:t>
            </w:r>
          </w:p>
          <w:p w14:paraId="2CA50C37" w14:textId="58FC388E"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За нас е загадка защо се организира обществено обсъждане на един вече приет с решение на Министерски съвет акт, чието одобряване се очаква от Европейската комисия, а страните членки трябва да започнат да го прилагат от 01.01.2023 г. </w:t>
            </w:r>
          </w:p>
          <w:p w14:paraId="6A3FC42C" w14:textId="74D89479"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За нас е загадка и защо Министерски съвет е приел този Стратегически план, въпреки липсата на съгласуване от страна на МОСВ заради липсващата екологична оценка и оценка за съвместимост, както и въпреки забележките от страна на МРРБ. </w:t>
            </w:r>
          </w:p>
          <w:p w14:paraId="12CF7E69" w14:textId="61C667E8"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Pr>
                <w:rFonts w:ascii="Verdana" w:hAnsi="Verdana"/>
                <w:sz w:val="20"/>
                <w:szCs w:val="20"/>
              </w:rPr>
              <w:t xml:space="preserve"> </w:t>
            </w:r>
            <w:r w:rsidRPr="00AC0BF0">
              <w:rPr>
                <w:rFonts w:ascii="Verdana" w:hAnsi="Verdana"/>
                <w:sz w:val="20"/>
                <w:szCs w:val="20"/>
              </w:rPr>
              <w:t>Всичко това прави общественото обсъждане на този етап напълно безсмислено даже и от формална гледна точка.</w:t>
            </w:r>
          </w:p>
          <w:p w14:paraId="3D313505"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Ако МЗХГ и МС желаят Стратегическия план да бъде приет законосъобразно, то след прегледа му от Европейската комисия и след извършването на екологична оценка и оценка за съвместимост, той трябва да бъде подложен на обществено обсъждане и едва след това приет от Министерски съвет. </w:t>
            </w:r>
          </w:p>
          <w:p w14:paraId="23CBE778"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В тази връзка ние обжалваме приемането на Стратегическия план. </w:t>
            </w:r>
          </w:p>
          <w:p w14:paraId="607BBA96" w14:textId="77777777" w:rsidR="00CD7279" w:rsidRPr="00AC0BF0"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lastRenderedPageBreak/>
              <w:t xml:space="preserve">И междувременно с  поредното становище посочваме някои конкретни слабости на Стратегически план  </w:t>
            </w:r>
          </w:p>
          <w:p w14:paraId="14F575EF"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1. По отношение на поставените целеви стойностни към специфична цел 5 „Насърчаване на устойчиво развитие и ефикасно управление на природните ресурси, като вода, почва и въздух, включително чрез намаляване на зависимостта от химически вещества” (стр. 200) считаме, че покриването на площ от 0.62% от използваната земеделска площ (31 232 ха, равняващо се на едва 2/3 от площта на гр. София) съгласно подпомогнатите ангажименти за подобряване на адаптирането към изменението на климата е твърде ниска и реално неоказваща никакъв благотворен бъдещ ефект. Аналогично е с целевата стойност от 0.65% от използваната земеделска площ (32 743 ха) съгласно подпомогнатите ангажименти за подобряване на водния баланс. Предвид климатичните прогнозите за 2030 г. за трайно засушаване на територията на страната посочената целева стойност звучи нереално и напълно неадекватно. Посочените целеви стойности трябва да бъдат увеличени на поне 10% от използваната земеделска площ (503 747 ха), за да имат реален ефект върху ефикасното управление на природните ресурси в земеделските земи. </w:t>
            </w:r>
          </w:p>
          <w:p w14:paraId="261110A8"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2. По отношение на SWOT анализа по специфична цел 6 „Допринасяне за забавянето и възстановяването на намаляването на биоразнообразието, подобряване на екосистемните услуги и съхраняване на местообитанията и ландшафтите” в СИЛНИ страни т. 6 „общо подобряване на природозащитното състояние на местообитанията - намалява делът на местообитанията в неблагоприятно-незадоволително (U1) от 88% до 79%, а се увеличава дела на тези в благоприятно състояние от 11% до 12%.” - информацията се интерпретира превратно – единственото положително е увеличаване на местообитания в благоприятно състояние 3 броя, всичко останало показва влошаване . https://www.eea.europa.eu/themes/biodiversity/state-of-nature-in-the-eu/article-17-national-summarydashboards/conservation-status-and-trends. Същевременно националния доклад по чл. 17 е сериозно критикуван като разработен без теренни проучвания и по тази причина е недостоверен източник на информация. Отново в СИЛНИ страни т. 9 е посочено, че Природозащитният статус на земеделските местообитания (пасища), свързани със селското стопанство е със стабилна тенденция към подобрение – няма изведен такъв извод в научната литература. По-скоро изводите са противоположни на посочените. В СИЛНИ страни т. 10.Защитените територии в България се увеличават, както по отношение на общата площ (SEBI 007), така и като брой защитените територии. - Увеличението е около 0,001% годишно и не би трябвало да бъде въобще коментирано. </w:t>
            </w:r>
          </w:p>
          <w:p w14:paraId="052CC7D2"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3. Определението за поддръжка на Постоянно затревени площи (стр. 300, Permanent grassland) е твърде общо и неточно. В определението не става ясно какво означава предотвратяване на навлизането и разпространението на нежелана растителност. И по-надолу на земеделска площ означена като постоянно затревена площ е възможно само единично/мозаечно разположени дървета или линейно разположени, а храсти единствено в ивици. Посоченото изискване не е адекватно към българската действителност. Разположението на самозасадилите се шипки и други подходящи включително за пчелна паша растения е абсурдно да са позволени само на ивици. </w:t>
            </w:r>
          </w:p>
          <w:p w14:paraId="236E2F10"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4. От интервенция II.А.7 - Традиционни практики за сезонна паша (пасторализъм) от териториалния обхват да отпаднат Националните паркове – Рила, Пирин и Централен Балкан. За следното сме изразявали многократно становища, като включително сме завели дело към МЗХГ за удължаването без Екологична оценка на аналогичната </w:t>
            </w:r>
            <w:r w:rsidRPr="00AC0BF0">
              <w:rPr>
                <w:rFonts w:ascii="Verdana" w:hAnsi="Verdana"/>
                <w:sz w:val="20"/>
                <w:szCs w:val="20"/>
              </w:rPr>
              <w:lastRenderedPageBreak/>
              <w:t xml:space="preserve">мярка за 2021 и 2022 г. от ПРСР 2014-2020 г. </w:t>
            </w:r>
          </w:p>
          <w:p w14:paraId="6BBBBF4E"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5. В интервенция ІІ.А.14 - Подпомагане по Натура 2000 за гори – при съпоставяне на площите предвидени за финансиране по Националната приоритетна рамка за действия в зоните на НАТУРА 2000 в България и заложените в Стратегическия план площи покриват едва 60% от предвидените в Приоритената рамка. Тоест няма съответствие между националните стратегически документи. </w:t>
            </w:r>
          </w:p>
          <w:p w14:paraId="50F02384"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6. Интервенция „Създаване и възстановяване на екологична инфраструктура" е предвидено да покрива площ от 12 672 ха, което е едва 31% от заложените площи по мярка 43 “Поддържане на мозаечния ландшафт в земеделските земи със смесено земеползване запазване на смесеното земеползване на ниво физически блок (за физическите блокове със смесено земеползване) чрез допълнително плащане към основното подпомагане на доходите за устойчивост на земеделските стопани” в Националната приоритетна рамка (40 000 ха). </w:t>
            </w:r>
          </w:p>
          <w:p w14:paraId="4378FC75"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7.  В интервенция II.Г.1 - Инвестиции в земеделските стопанства – не са посочени важните стойности с колко трябва да се намали използването на вода при финансиране на инвестиция в земеделското стопанство „инвестиции, които осигуряват най-малко ХХ% потенциална икономия на вода и ХХ% ефективно намаляване на потреблението на вода” (стр.791). Липсата на информация не дава възможност съответните стойности да бъдат обществено и секторно обсъдени. </w:t>
            </w:r>
          </w:p>
          <w:p w14:paraId="493206B3"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8. В интервенция II.Г.1.1. - Инвестиции в земеделските стопанства насочени към опазване на компонентите на околната среда - Да се увеличи размера на допустимото финансово подпомагане на "Малките земеделски стопанство" на 80%, което е допустимо по Регламент (ЕС) №2021/2115 от 02 декември 2021 година. Така реално малките земеделски стопанства ще се възползват от възможността да финансират дейността си в съответните инвестиции. Посочените 50% съфинансиране са твърде високи за едно „малко земеделско стопанство”.   </w:t>
            </w:r>
          </w:p>
          <w:p w14:paraId="3C58ADE2" w14:textId="77777777" w:rsidR="008D0DCF" w:rsidRDefault="00CD7279" w:rsidP="00AC0BF0">
            <w:pPr>
              <w:widowControl w:val="0"/>
              <w:tabs>
                <w:tab w:val="left" w:pos="1565"/>
              </w:tabs>
              <w:autoSpaceDE w:val="0"/>
              <w:autoSpaceDN w:val="0"/>
              <w:spacing w:before="60" w:after="20"/>
              <w:jc w:val="both"/>
              <w:rPr>
                <w:rFonts w:ascii="Verdana" w:hAnsi="Verdana"/>
                <w:sz w:val="20"/>
                <w:szCs w:val="20"/>
              </w:rPr>
            </w:pPr>
            <w:r w:rsidRPr="00AC0BF0">
              <w:rPr>
                <w:rFonts w:ascii="Verdana" w:hAnsi="Verdana"/>
                <w:sz w:val="20"/>
                <w:szCs w:val="20"/>
              </w:rPr>
              <w:t xml:space="preserve">9. По отношение на т. 7.2 Описание на структурата на мониторинг и докладване – тук е нужно системата за мониторинг да бъде отворена за преглед и от браншови организации, както и от НПО, включително и граждани, а не както е описано само за „институциите и партньорите, ангажирани в управлението на СПРЗСР”. Към момента информационната система на ДФЗ-РА не е “user-friendly”, както и няма достъп до над 90% от информацията. По този начин ДФЗ-РА работи непрозрачно и без възможност за упражняване на граждански контрол. </w:t>
            </w:r>
          </w:p>
          <w:p w14:paraId="77B85FE4" w14:textId="311381E2" w:rsidR="00CD7279" w:rsidRPr="009E60E1" w:rsidRDefault="00CD7279" w:rsidP="00AC0BF0">
            <w:pPr>
              <w:widowControl w:val="0"/>
              <w:tabs>
                <w:tab w:val="left" w:pos="1565"/>
              </w:tabs>
              <w:autoSpaceDE w:val="0"/>
              <w:autoSpaceDN w:val="0"/>
              <w:spacing w:before="60" w:after="20"/>
              <w:jc w:val="both"/>
              <w:rPr>
                <w:rFonts w:ascii="Verdana" w:hAnsi="Verdana"/>
                <w:sz w:val="20"/>
                <w:szCs w:val="20"/>
              </w:rPr>
            </w:pPr>
            <w:bookmarkStart w:id="0" w:name="_GoBack"/>
            <w:bookmarkEnd w:id="0"/>
            <w:r w:rsidRPr="00AC0BF0">
              <w:rPr>
                <w:rFonts w:ascii="Verdana" w:hAnsi="Verdana"/>
                <w:sz w:val="20"/>
                <w:szCs w:val="20"/>
              </w:rPr>
              <w:t>10. Заключението на Оценката на включването на заинтересованите страни (стр. 1108) е неточно. От самото начало МЗХГ не дава пълна информация за процеса на разработване на Стратегическия план и поконкретно – методи на разработване, срокове за разработване, начин на гласуване на включване или изключване на предложенията от заинтересованите страни. Публикуването на информацията за заседанията на Тематичната работна група не означава, че има някаква промяна в Стратегическия план в следствие от представянето и обсъждането му в Тематичната работна група, както и от представените становища на заинтересованите страни.</w:t>
            </w:r>
          </w:p>
        </w:tc>
      </w:tr>
    </w:tbl>
    <w:p w14:paraId="17C521F6" w14:textId="6AB1F989" w:rsidR="00196671" w:rsidRDefault="00196671" w:rsidP="00111875">
      <w:pPr>
        <w:rPr>
          <w:b/>
          <w:bCs/>
          <w:caps/>
          <w:sz w:val="20"/>
          <w:szCs w:val="20"/>
        </w:rPr>
      </w:pPr>
    </w:p>
    <w:p w14:paraId="642CBFE9" w14:textId="72149C10" w:rsidR="00797C76" w:rsidRDefault="00797C76" w:rsidP="00111875">
      <w:pPr>
        <w:rPr>
          <w:rFonts w:ascii="Verdana" w:hAnsi="Verdana"/>
          <w:bCs/>
          <w:smallCaps/>
          <w:sz w:val="18"/>
          <w:szCs w:val="18"/>
        </w:rPr>
      </w:pPr>
    </w:p>
    <w:p w14:paraId="762665D6" w14:textId="1EF24CFA" w:rsidR="00A4071F" w:rsidRDefault="00A4071F" w:rsidP="00111875">
      <w:pPr>
        <w:rPr>
          <w:rFonts w:ascii="Verdana" w:hAnsi="Verdana"/>
          <w:bCs/>
          <w:smallCaps/>
          <w:sz w:val="18"/>
          <w:szCs w:val="18"/>
        </w:rPr>
      </w:pPr>
    </w:p>
    <w:p w14:paraId="43AB7A1C" w14:textId="7F0FC2BA" w:rsidR="0019116E" w:rsidRDefault="0019116E" w:rsidP="00111875">
      <w:pPr>
        <w:rPr>
          <w:rFonts w:ascii="Verdana" w:hAnsi="Verdana"/>
          <w:bCs/>
          <w:smallCaps/>
          <w:sz w:val="18"/>
          <w:szCs w:val="18"/>
        </w:rPr>
      </w:pPr>
    </w:p>
    <w:p w14:paraId="7DE2CD44" w14:textId="77777777" w:rsidR="00126095" w:rsidRDefault="00126095" w:rsidP="00111875">
      <w:pPr>
        <w:rPr>
          <w:rFonts w:ascii="Verdana" w:hAnsi="Verdana"/>
          <w:bCs/>
          <w:smallCaps/>
          <w:sz w:val="18"/>
          <w:szCs w:val="18"/>
        </w:rPr>
      </w:pPr>
    </w:p>
    <w:p w14:paraId="00E9AD6E" w14:textId="77777777" w:rsidR="00126095" w:rsidRDefault="00126095" w:rsidP="00111875">
      <w:pPr>
        <w:rPr>
          <w:rFonts w:ascii="Verdana" w:hAnsi="Verdana"/>
          <w:bCs/>
          <w:smallCaps/>
          <w:sz w:val="18"/>
          <w:szCs w:val="18"/>
        </w:rPr>
      </w:pPr>
    </w:p>
    <w:p w14:paraId="1FAF1507" w14:textId="77777777" w:rsidR="00126095" w:rsidRDefault="00126095" w:rsidP="00111875">
      <w:pPr>
        <w:rPr>
          <w:rFonts w:ascii="Verdana" w:hAnsi="Verdana"/>
          <w:bCs/>
          <w:smallCaps/>
          <w:sz w:val="18"/>
          <w:szCs w:val="18"/>
        </w:rPr>
      </w:pPr>
    </w:p>
    <w:p w14:paraId="1AC66CA3" w14:textId="77777777" w:rsidR="00126095" w:rsidRDefault="00126095" w:rsidP="00111875">
      <w:pPr>
        <w:rPr>
          <w:rFonts w:ascii="Verdana" w:hAnsi="Verdana"/>
          <w:bCs/>
          <w:smallCaps/>
          <w:sz w:val="18"/>
          <w:szCs w:val="18"/>
        </w:rPr>
      </w:pPr>
    </w:p>
    <w:sectPr w:rsidR="00126095" w:rsidSect="006B59D4">
      <w:footerReference w:type="even" r:id="rId13"/>
      <w:footerReference w:type="default" r:id="rId14"/>
      <w:pgSz w:w="16838" w:h="11906" w:orient="landscape" w:code="9"/>
      <w:pgMar w:top="1021" w:right="1021" w:bottom="454" w:left="102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9C806A" w14:textId="77777777" w:rsidR="006D1269" w:rsidRDefault="006D1269">
      <w:r>
        <w:separator/>
      </w:r>
    </w:p>
  </w:endnote>
  <w:endnote w:type="continuationSeparator" w:id="0">
    <w:p w14:paraId="5771BAEE" w14:textId="77777777" w:rsidR="006D1269" w:rsidRDefault="006D12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7CC75" w14:textId="77777777" w:rsidR="00E4190C" w:rsidRDefault="00E4190C" w:rsidP="0044282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9B4D91" w14:textId="77777777" w:rsidR="00E4190C" w:rsidRDefault="00E4190C" w:rsidP="00E9685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2673086"/>
      <w:docPartObj>
        <w:docPartGallery w:val="Page Numbers (Bottom of Page)"/>
        <w:docPartUnique/>
      </w:docPartObj>
    </w:sdtPr>
    <w:sdtEndPr>
      <w:rPr>
        <w:noProof/>
        <w:sz w:val="18"/>
        <w:szCs w:val="18"/>
      </w:rPr>
    </w:sdtEndPr>
    <w:sdtContent>
      <w:p w14:paraId="03CA8827" w14:textId="5F1384F2" w:rsidR="00E4190C" w:rsidRPr="00AF12B7" w:rsidRDefault="00E4190C" w:rsidP="00AF12B7">
        <w:pPr>
          <w:pStyle w:val="Footer"/>
          <w:jc w:val="right"/>
          <w:rPr>
            <w:sz w:val="18"/>
            <w:szCs w:val="18"/>
          </w:rPr>
        </w:pPr>
        <w:r w:rsidRPr="00AF12B7">
          <w:rPr>
            <w:sz w:val="18"/>
            <w:szCs w:val="18"/>
          </w:rPr>
          <w:fldChar w:fldCharType="begin"/>
        </w:r>
        <w:r w:rsidRPr="00AF12B7">
          <w:rPr>
            <w:sz w:val="18"/>
            <w:szCs w:val="18"/>
          </w:rPr>
          <w:instrText xml:space="preserve"> PAGE   \* MERGEFORMAT </w:instrText>
        </w:r>
        <w:r w:rsidRPr="00AF12B7">
          <w:rPr>
            <w:sz w:val="18"/>
            <w:szCs w:val="18"/>
          </w:rPr>
          <w:fldChar w:fldCharType="separate"/>
        </w:r>
        <w:r w:rsidR="008D0DCF">
          <w:rPr>
            <w:noProof/>
            <w:sz w:val="18"/>
            <w:szCs w:val="18"/>
          </w:rPr>
          <w:t>89</w:t>
        </w:r>
        <w:r w:rsidRPr="00AF12B7">
          <w:rPr>
            <w:noProof/>
            <w:sz w:val="18"/>
            <w:szCs w:val="18"/>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76AAA3" w14:textId="77777777" w:rsidR="006D1269" w:rsidRDefault="006D1269">
      <w:r>
        <w:separator/>
      </w:r>
    </w:p>
  </w:footnote>
  <w:footnote w:type="continuationSeparator" w:id="0">
    <w:p w14:paraId="3342A6CC" w14:textId="77777777" w:rsidR="006D1269" w:rsidRDefault="006D12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83891"/>
    <w:multiLevelType w:val="hybridMultilevel"/>
    <w:tmpl w:val="81066A50"/>
    <w:lvl w:ilvl="0" w:tplc="05FABEB8">
      <w:start w:val="1"/>
      <w:numFmt w:val="decimal"/>
      <w:lvlText w:val="%1."/>
      <w:lvlJc w:val="left"/>
      <w:pPr>
        <w:ind w:left="524" w:hanging="756"/>
      </w:pPr>
      <w:rPr>
        <w:rFonts w:ascii="Times New Roman" w:eastAsia="Times New Roman" w:hAnsi="Times New Roman" w:cs="Times New Roman" w:hint="default"/>
        <w:spacing w:val="-24"/>
        <w:w w:val="100"/>
        <w:sz w:val="24"/>
        <w:szCs w:val="24"/>
        <w:lang w:val="bg-BG" w:eastAsia="bg-BG" w:bidi="bg-BG"/>
      </w:rPr>
    </w:lvl>
    <w:lvl w:ilvl="1" w:tplc="0EFAD76C">
      <w:numFmt w:val="bullet"/>
      <w:lvlText w:val="•"/>
      <w:lvlJc w:val="left"/>
      <w:pPr>
        <w:ind w:left="1448" w:hanging="756"/>
      </w:pPr>
      <w:rPr>
        <w:rFonts w:hint="default"/>
        <w:lang w:val="bg-BG" w:eastAsia="bg-BG" w:bidi="bg-BG"/>
      </w:rPr>
    </w:lvl>
    <w:lvl w:ilvl="2" w:tplc="D5665806">
      <w:numFmt w:val="bullet"/>
      <w:lvlText w:val="•"/>
      <w:lvlJc w:val="left"/>
      <w:pPr>
        <w:ind w:left="2369" w:hanging="756"/>
      </w:pPr>
      <w:rPr>
        <w:rFonts w:hint="default"/>
        <w:lang w:val="bg-BG" w:eastAsia="bg-BG" w:bidi="bg-BG"/>
      </w:rPr>
    </w:lvl>
    <w:lvl w:ilvl="3" w:tplc="7672730A">
      <w:numFmt w:val="bullet"/>
      <w:lvlText w:val="•"/>
      <w:lvlJc w:val="left"/>
      <w:pPr>
        <w:ind w:left="3289" w:hanging="756"/>
      </w:pPr>
      <w:rPr>
        <w:rFonts w:hint="default"/>
        <w:lang w:val="bg-BG" w:eastAsia="bg-BG" w:bidi="bg-BG"/>
      </w:rPr>
    </w:lvl>
    <w:lvl w:ilvl="4" w:tplc="C5D282A6">
      <w:numFmt w:val="bullet"/>
      <w:lvlText w:val="•"/>
      <w:lvlJc w:val="left"/>
      <w:pPr>
        <w:ind w:left="4210" w:hanging="756"/>
      </w:pPr>
      <w:rPr>
        <w:rFonts w:hint="default"/>
        <w:lang w:val="bg-BG" w:eastAsia="bg-BG" w:bidi="bg-BG"/>
      </w:rPr>
    </w:lvl>
    <w:lvl w:ilvl="5" w:tplc="B3428474">
      <w:numFmt w:val="bullet"/>
      <w:lvlText w:val="•"/>
      <w:lvlJc w:val="left"/>
      <w:pPr>
        <w:ind w:left="5131" w:hanging="756"/>
      </w:pPr>
      <w:rPr>
        <w:rFonts w:hint="default"/>
        <w:lang w:val="bg-BG" w:eastAsia="bg-BG" w:bidi="bg-BG"/>
      </w:rPr>
    </w:lvl>
    <w:lvl w:ilvl="6" w:tplc="D7B24ADE">
      <w:numFmt w:val="bullet"/>
      <w:lvlText w:val="•"/>
      <w:lvlJc w:val="left"/>
      <w:pPr>
        <w:ind w:left="6051" w:hanging="756"/>
      </w:pPr>
      <w:rPr>
        <w:rFonts w:hint="default"/>
        <w:lang w:val="bg-BG" w:eastAsia="bg-BG" w:bidi="bg-BG"/>
      </w:rPr>
    </w:lvl>
    <w:lvl w:ilvl="7" w:tplc="8A0ED0C8">
      <w:numFmt w:val="bullet"/>
      <w:lvlText w:val="•"/>
      <w:lvlJc w:val="left"/>
      <w:pPr>
        <w:ind w:left="6972" w:hanging="756"/>
      </w:pPr>
      <w:rPr>
        <w:rFonts w:hint="default"/>
        <w:lang w:val="bg-BG" w:eastAsia="bg-BG" w:bidi="bg-BG"/>
      </w:rPr>
    </w:lvl>
    <w:lvl w:ilvl="8" w:tplc="2B5A7966">
      <w:numFmt w:val="bullet"/>
      <w:lvlText w:val="•"/>
      <w:lvlJc w:val="left"/>
      <w:pPr>
        <w:ind w:left="7893" w:hanging="756"/>
      </w:pPr>
      <w:rPr>
        <w:rFonts w:hint="default"/>
        <w:lang w:val="bg-BG" w:eastAsia="bg-BG" w:bidi="bg-BG"/>
      </w:rPr>
    </w:lvl>
  </w:abstractNum>
  <w:abstractNum w:abstractNumId="1">
    <w:nsid w:val="0CA11CFC"/>
    <w:multiLevelType w:val="hybridMultilevel"/>
    <w:tmpl w:val="5C42DA98"/>
    <w:lvl w:ilvl="0" w:tplc="93ACCFFA">
      <w:start w:val="1"/>
      <w:numFmt w:val="decimal"/>
      <w:lvlText w:val="%1."/>
      <w:lvlJc w:val="left"/>
      <w:pPr>
        <w:ind w:left="496" w:hanging="332"/>
      </w:pPr>
      <w:rPr>
        <w:rFonts w:ascii="Times New Roman" w:eastAsia="Times New Roman" w:hAnsi="Times New Roman" w:cs="Times New Roman" w:hint="default"/>
        <w:i/>
        <w:color w:val="006FC0"/>
        <w:w w:val="100"/>
        <w:sz w:val="22"/>
        <w:szCs w:val="22"/>
        <w:lang w:val="bg-BG" w:eastAsia="bg-BG" w:bidi="bg-BG"/>
      </w:rPr>
    </w:lvl>
    <w:lvl w:ilvl="1" w:tplc="67521988">
      <w:numFmt w:val="bullet"/>
      <w:lvlText w:val="•"/>
      <w:lvlJc w:val="left"/>
      <w:pPr>
        <w:ind w:left="1420" w:hanging="332"/>
      </w:pPr>
      <w:rPr>
        <w:rFonts w:hint="default"/>
        <w:lang w:val="bg-BG" w:eastAsia="bg-BG" w:bidi="bg-BG"/>
      </w:rPr>
    </w:lvl>
    <w:lvl w:ilvl="2" w:tplc="D01654DE">
      <w:numFmt w:val="bullet"/>
      <w:lvlText w:val="•"/>
      <w:lvlJc w:val="left"/>
      <w:pPr>
        <w:ind w:left="2341" w:hanging="332"/>
      </w:pPr>
      <w:rPr>
        <w:rFonts w:hint="default"/>
        <w:lang w:val="bg-BG" w:eastAsia="bg-BG" w:bidi="bg-BG"/>
      </w:rPr>
    </w:lvl>
    <w:lvl w:ilvl="3" w:tplc="3C5AD6A2">
      <w:numFmt w:val="bullet"/>
      <w:lvlText w:val="•"/>
      <w:lvlJc w:val="left"/>
      <w:pPr>
        <w:ind w:left="3261" w:hanging="332"/>
      </w:pPr>
      <w:rPr>
        <w:rFonts w:hint="default"/>
        <w:lang w:val="bg-BG" w:eastAsia="bg-BG" w:bidi="bg-BG"/>
      </w:rPr>
    </w:lvl>
    <w:lvl w:ilvl="4" w:tplc="C42E94A8">
      <w:numFmt w:val="bullet"/>
      <w:lvlText w:val="•"/>
      <w:lvlJc w:val="left"/>
      <w:pPr>
        <w:ind w:left="4182" w:hanging="332"/>
      </w:pPr>
      <w:rPr>
        <w:rFonts w:hint="default"/>
        <w:lang w:val="bg-BG" w:eastAsia="bg-BG" w:bidi="bg-BG"/>
      </w:rPr>
    </w:lvl>
    <w:lvl w:ilvl="5" w:tplc="8B8AD2EC">
      <w:numFmt w:val="bullet"/>
      <w:lvlText w:val="•"/>
      <w:lvlJc w:val="left"/>
      <w:pPr>
        <w:ind w:left="5103" w:hanging="332"/>
      </w:pPr>
      <w:rPr>
        <w:rFonts w:hint="default"/>
        <w:lang w:val="bg-BG" w:eastAsia="bg-BG" w:bidi="bg-BG"/>
      </w:rPr>
    </w:lvl>
    <w:lvl w:ilvl="6" w:tplc="62D29858">
      <w:numFmt w:val="bullet"/>
      <w:lvlText w:val="•"/>
      <w:lvlJc w:val="left"/>
      <w:pPr>
        <w:ind w:left="6023" w:hanging="332"/>
      </w:pPr>
      <w:rPr>
        <w:rFonts w:hint="default"/>
        <w:lang w:val="bg-BG" w:eastAsia="bg-BG" w:bidi="bg-BG"/>
      </w:rPr>
    </w:lvl>
    <w:lvl w:ilvl="7" w:tplc="DB34FB80">
      <w:numFmt w:val="bullet"/>
      <w:lvlText w:val="•"/>
      <w:lvlJc w:val="left"/>
      <w:pPr>
        <w:ind w:left="6944" w:hanging="332"/>
      </w:pPr>
      <w:rPr>
        <w:rFonts w:hint="default"/>
        <w:lang w:val="bg-BG" w:eastAsia="bg-BG" w:bidi="bg-BG"/>
      </w:rPr>
    </w:lvl>
    <w:lvl w:ilvl="8" w:tplc="25D2516E">
      <w:numFmt w:val="bullet"/>
      <w:lvlText w:val="•"/>
      <w:lvlJc w:val="left"/>
      <w:pPr>
        <w:ind w:left="7865" w:hanging="332"/>
      </w:pPr>
      <w:rPr>
        <w:rFonts w:hint="default"/>
        <w:lang w:val="bg-BG" w:eastAsia="bg-BG" w:bidi="bg-BG"/>
      </w:rPr>
    </w:lvl>
  </w:abstractNum>
  <w:abstractNum w:abstractNumId="2">
    <w:nsid w:val="14A93B0C"/>
    <w:multiLevelType w:val="hybridMultilevel"/>
    <w:tmpl w:val="E8F6EAC8"/>
    <w:lvl w:ilvl="0" w:tplc="A7D06E9E">
      <w:numFmt w:val="bullet"/>
      <w:lvlText w:val="-"/>
      <w:lvlJc w:val="left"/>
      <w:pPr>
        <w:ind w:left="1564" w:hanging="360"/>
      </w:pPr>
      <w:rPr>
        <w:rFonts w:hint="default"/>
        <w:w w:val="100"/>
        <w:lang w:val="bg-BG" w:eastAsia="bg-BG" w:bidi="bg-BG"/>
      </w:rPr>
    </w:lvl>
    <w:lvl w:ilvl="1" w:tplc="FD52CAE8">
      <w:numFmt w:val="bullet"/>
      <w:lvlText w:val="•"/>
      <w:lvlJc w:val="left"/>
      <w:pPr>
        <w:ind w:left="2374" w:hanging="360"/>
      </w:pPr>
      <w:rPr>
        <w:rFonts w:hint="default"/>
        <w:lang w:val="bg-BG" w:eastAsia="bg-BG" w:bidi="bg-BG"/>
      </w:rPr>
    </w:lvl>
    <w:lvl w:ilvl="2" w:tplc="C3820B34">
      <w:numFmt w:val="bullet"/>
      <w:lvlText w:val="•"/>
      <w:lvlJc w:val="left"/>
      <w:pPr>
        <w:ind w:left="3189" w:hanging="360"/>
      </w:pPr>
      <w:rPr>
        <w:rFonts w:hint="default"/>
        <w:lang w:val="bg-BG" w:eastAsia="bg-BG" w:bidi="bg-BG"/>
      </w:rPr>
    </w:lvl>
    <w:lvl w:ilvl="3" w:tplc="3BE04AFA">
      <w:numFmt w:val="bullet"/>
      <w:lvlText w:val="•"/>
      <w:lvlJc w:val="left"/>
      <w:pPr>
        <w:ind w:left="4003" w:hanging="360"/>
      </w:pPr>
      <w:rPr>
        <w:rFonts w:hint="default"/>
        <w:lang w:val="bg-BG" w:eastAsia="bg-BG" w:bidi="bg-BG"/>
      </w:rPr>
    </w:lvl>
    <w:lvl w:ilvl="4" w:tplc="AD6A67C2">
      <w:numFmt w:val="bullet"/>
      <w:lvlText w:val="•"/>
      <w:lvlJc w:val="left"/>
      <w:pPr>
        <w:ind w:left="4818" w:hanging="360"/>
      </w:pPr>
      <w:rPr>
        <w:rFonts w:hint="default"/>
        <w:lang w:val="bg-BG" w:eastAsia="bg-BG" w:bidi="bg-BG"/>
      </w:rPr>
    </w:lvl>
    <w:lvl w:ilvl="5" w:tplc="0B7039F2">
      <w:numFmt w:val="bullet"/>
      <w:lvlText w:val="•"/>
      <w:lvlJc w:val="left"/>
      <w:pPr>
        <w:ind w:left="5633" w:hanging="360"/>
      </w:pPr>
      <w:rPr>
        <w:rFonts w:hint="default"/>
        <w:lang w:val="bg-BG" w:eastAsia="bg-BG" w:bidi="bg-BG"/>
      </w:rPr>
    </w:lvl>
    <w:lvl w:ilvl="6" w:tplc="8C508052">
      <w:numFmt w:val="bullet"/>
      <w:lvlText w:val="•"/>
      <w:lvlJc w:val="left"/>
      <w:pPr>
        <w:ind w:left="6447" w:hanging="360"/>
      </w:pPr>
      <w:rPr>
        <w:rFonts w:hint="default"/>
        <w:lang w:val="bg-BG" w:eastAsia="bg-BG" w:bidi="bg-BG"/>
      </w:rPr>
    </w:lvl>
    <w:lvl w:ilvl="7" w:tplc="718686FE">
      <w:numFmt w:val="bullet"/>
      <w:lvlText w:val="•"/>
      <w:lvlJc w:val="left"/>
      <w:pPr>
        <w:ind w:left="7262" w:hanging="360"/>
      </w:pPr>
      <w:rPr>
        <w:rFonts w:hint="default"/>
        <w:lang w:val="bg-BG" w:eastAsia="bg-BG" w:bidi="bg-BG"/>
      </w:rPr>
    </w:lvl>
    <w:lvl w:ilvl="8" w:tplc="3D2C1694">
      <w:numFmt w:val="bullet"/>
      <w:lvlText w:val="•"/>
      <w:lvlJc w:val="left"/>
      <w:pPr>
        <w:ind w:left="8077" w:hanging="360"/>
      </w:pPr>
      <w:rPr>
        <w:rFonts w:hint="default"/>
        <w:lang w:val="bg-BG" w:eastAsia="bg-BG" w:bidi="bg-BG"/>
      </w:rPr>
    </w:lvl>
  </w:abstractNum>
  <w:abstractNum w:abstractNumId="3">
    <w:nsid w:val="1BAC4B01"/>
    <w:multiLevelType w:val="hybridMultilevel"/>
    <w:tmpl w:val="14D0CF0A"/>
    <w:lvl w:ilvl="0" w:tplc="49B29C28">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42F4FB3"/>
    <w:multiLevelType w:val="hybridMultilevel"/>
    <w:tmpl w:val="3BAA37CE"/>
    <w:lvl w:ilvl="0" w:tplc="40F445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DA76C2"/>
    <w:multiLevelType w:val="hybridMultilevel"/>
    <w:tmpl w:val="5A9A53A2"/>
    <w:lvl w:ilvl="0" w:tplc="D87E1762">
      <w:start w:val="3"/>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nsid w:val="2F186209"/>
    <w:multiLevelType w:val="hybridMultilevel"/>
    <w:tmpl w:val="6E981C1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nsid w:val="315A12CA"/>
    <w:multiLevelType w:val="hybridMultilevel"/>
    <w:tmpl w:val="E41E11DC"/>
    <w:lvl w:ilvl="0" w:tplc="55AC39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5646B0F"/>
    <w:multiLevelType w:val="hybridMultilevel"/>
    <w:tmpl w:val="438A5282"/>
    <w:lvl w:ilvl="0" w:tplc="23B2AB7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63D750B"/>
    <w:multiLevelType w:val="hybridMultilevel"/>
    <w:tmpl w:val="D2F460A2"/>
    <w:lvl w:ilvl="0" w:tplc="96107DA4">
      <w:start w:val="1"/>
      <w:numFmt w:val="decimal"/>
      <w:lvlText w:val="%1."/>
      <w:lvlJc w:val="left"/>
      <w:pPr>
        <w:ind w:left="496" w:hanging="332"/>
      </w:pPr>
      <w:rPr>
        <w:rFonts w:ascii="Times New Roman" w:eastAsia="Times New Roman" w:hAnsi="Times New Roman" w:cs="Times New Roman" w:hint="default"/>
        <w:i/>
        <w:color w:val="006FC0"/>
        <w:w w:val="100"/>
        <w:sz w:val="22"/>
        <w:szCs w:val="22"/>
        <w:lang w:val="bg-BG" w:eastAsia="bg-BG" w:bidi="bg-BG"/>
      </w:rPr>
    </w:lvl>
    <w:lvl w:ilvl="1" w:tplc="7CFC6E10">
      <w:numFmt w:val="bullet"/>
      <w:lvlText w:val="•"/>
      <w:lvlJc w:val="left"/>
      <w:pPr>
        <w:ind w:left="1420" w:hanging="332"/>
      </w:pPr>
      <w:rPr>
        <w:rFonts w:hint="default"/>
        <w:lang w:val="bg-BG" w:eastAsia="bg-BG" w:bidi="bg-BG"/>
      </w:rPr>
    </w:lvl>
    <w:lvl w:ilvl="2" w:tplc="C76CFBA4">
      <w:numFmt w:val="bullet"/>
      <w:lvlText w:val="•"/>
      <w:lvlJc w:val="left"/>
      <w:pPr>
        <w:ind w:left="2341" w:hanging="332"/>
      </w:pPr>
      <w:rPr>
        <w:rFonts w:hint="default"/>
        <w:lang w:val="bg-BG" w:eastAsia="bg-BG" w:bidi="bg-BG"/>
      </w:rPr>
    </w:lvl>
    <w:lvl w:ilvl="3" w:tplc="7B3C33FE">
      <w:numFmt w:val="bullet"/>
      <w:lvlText w:val="•"/>
      <w:lvlJc w:val="left"/>
      <w:pPr>
        <w:ind w:left="3261" w:hanging="332"/>
      </w:pPr>
      <w:rPr>
        <w:rFonts w:hint="default"/>
        <w:lang w:val="bg-BG" w:eastAsia="bg-BG" w:bidi="bg-BG"/>
      </w:rPr>
    </w:lvl>
    <w:lvl w:ilvl="4" w:tplc="F80226A2">
      <w:numFmt w:val="bullet"/>
      <w:lvlText w:val="•"/>
      <w:lvlJc w:val="left"/>
      <w:pPr>
        <w:ind w:left="4182" w:hanging="332"/>
      </w:pPr>
      <w:rPr>
        <w:rFonts w:hint="default"/>
        <w:lang w:val="bg-BG" w:eastAsia="bg-BG" w:bidi="bg-BG"/>
      </w:rPr>
    </w:lvl>
    <w:lvl w:ilvl="5" w:tplc="64C2F0B0">
      <w:numFmt w:val="bullet"/>
      <w:lvlText w:val="•"/>
      <w:lvlJc w:val="left"/>
      <w:pPr>
        <w:ind w:left="5103" w:hanging="332"/>
      </w:pPr>
      <w:rPr>
        <w:rFonts w:hint="default"/>
        <w:lang w:val="bg-BG" w:eastAsia="bg-BG" w:bidi="bg-BG"/>
      </w:rPr>
    </w:lvl>
    <w:lvl w:ilvl="6" w:tplc="1362010E">
      <w:numFmt w:val="bullet"/>
      <w:lvlText w:val="•"/>
      <w:lvlJc w:val="left"/>
      <w:pPr>
        <w:ind w:left="6023" w:hanging="332"/>
      </w:pPr>
      <w:rPr>
        <w:rFonts w:hint="default"/>
        <w:lang w:val="bg-BG" w:eastAsia="bg-BG" w:bidi="bg-BG"/>
      </w:rPr>
    </w:lvl>
    <w:lvl w:ilvl="7" w:tplc="B276E198">
      <w:numFmt w:val="bullet"/>
      <w:lvlText w:val="•"/>
      <w:lvlJc w:val="left"/>
      <w:pPr>
        <w:ind w:left="6944" w:hanging="332"/>
      </w:pPr>
      <w:rPr>
        <w:rFonts w:hint="default"/>
        <w:lang w:val="bg-BG" w:eastAsia="bg-BG" w:bidi="bg-BG"/>
      </w:rPr>
    </w:lvl>
    <w:lvl w:ilvl="8" w:tplc="FFBC62F6">
      <w:numFmt w:val="bullet"/>
      <w:lvlText w:val="•"/>
      <w:lvlJc w:val="left"/>
      <w:pPr>
        <w:ind w:left="7865" w:hanging="332"/>
      </w:pPr>
      <w:rPr>
        <w:rFonts w:hint="default"/>
        <w:lang w:val="bg-BG" w:eastAsia="bg-BG" w:bidi="bg-BG"/>
      </w:rPr>
    </w:lvl>
  </w:abstractNum>
  <w:abstractNum w:abstractNumId="10">
    <w:nsid w:val="37BF541B"/>
    <w:multiLevelType w:val="hybridMultilevel"/>
    <w:tmpl w:val="A05EA744"/>
    <w:lvl w:ilvl="0" w:tplc="6A06DE4E">
      <w:numFmt w:val="bullet"/>
      <w:lvlText w:val=""/>
      <w:lvlJc w:val="left"/>
      <w:pPr>
        <w:ind w:left="1034" w:hanging="171"/>
      </w:pPr>
      <w:rPr>
        <w:rFonts w:ascii="Symbol" w:eastAsia="Symbol" w:hAnsi="Symbol" w:cs="Symbol" w:hint="default"/>
        <w:color w:val="424242"/>
        <w:w w:val="99"/>
        <w:sz w:val="20"/>
        <w:szCs w:val="20"/>
        <w:lang w:val="bg-BG" w:eastAsia="bg-BG" w:bidi="bg-BG"/>
      </w:rPr>
    </w:lvl>
    <w:lvl w:ilvl="1" w:tplc="116CA2CC">
      <w:numFmt w:val="bullet"/>
      <w:lvlText w:val="•"/>
      <w:lvlJc w:val="left"/>
      <w:pPr>
        <w:ind w:left="1906" w:hanging="171"/>
      </w:pPr>
      <w:rPr>
        <w:rFonts w:hint="default"/>
        <w:lang w:val="bg-BG" w:eastAsia="bg-BG" w:bidi="bg-BG"/>
      </w:rPr>
    </w:lvl>
    <w:lvl w:ilvl="2" w:tplc="1CFEB99C">
      <w:numFmt w:val="bullet"/>
      <w:lvlText w:val="•"/>
      <w:lvlJc w:val="left"/>
      <w:pPr>
        <w:ind w:left="2773" w:hanging="171"/>
      </w:pPr>
      <w:rPr>
        <w:rFonts w:hint="default"/>
        <w:lang w:val="bg-BG" w:eastAsia="bg-BG" w:bidi="bg-BG"/>
      </w:rPr>
    </w:lvl>
    <w:lvl w:ilvl="3" w:tplc="49D018B4">
      <w:numFmt w:val="bullet"/>
      <w:lvlText w:val="•"/>
      <w:lvlJc w:val="left"/>
      <w:pPr>
        <w:ind w:left="3639" w:hanging="171"/>
      </w:pPr>
      <w:rPr>
        <w:rFonts w:hint="default"/>
        <w:lang w:val="bg-BG" w:eastAsia="bg-BG" w:bidi="bg-BG"/>
      </w:rPr>
    </w:lvl>
    <w:lvl w:ilvl="4" w:tplc="F1700988">
      <w:numFmt w:val="bullet"/>
      <w:lvlText w:val="•"/>
      <w:lvlJc w:val="left"/>
      <w:pPr>
        <w:ind w:left="4506" w:hanging="171"/>
      </w:pPr>
      <w:rPr>
        <w:rFonts w:hint="default"/>
        <w:lang w:val="bg-BG" w:eastAsia="bg-BG" w:bidi="bg-BG"/>
      </w:rPr>
    </w:lvl>
    <w:lvl w:ilvl="5" w:tplc="0058AC0E">
      <w:numFmt w:val="bullet"/>
      <w:lvlText w:val="•"/>
      <w:lvlJc w:val="left"/>
      <w:pPr>
        <w:ind w:left="5373" w:hanging="171"/>
      </w:pPr>
      <w:rPr>
        <w:rFonts w:hint="default"/>
        <w:lang w:val="bg-BG" w:eastAsia="bg-BG" w:bidi="bg-BG"/>
      </w:rPr>
    </w:lvl>
    <w:lvl w:ilvl="6" w:tplc="366E91FC">
      <w:numFmt w:val="bullet"/>
      <w:lvlText w:val="•"/>
      <w:lvlJc w:val="left"/>
      <w:pPr>
        <w:ind w:left="6239" w:hanging="171"/>
      </w:pPr>
      <w:rPr>
        <w:rFonts w:hint="default"/>
        <w:lang w:val="bg-BG" w:eastAsia="bg-BG" w:bidi="bg-BG"/>
      </w:rPr>
    </w:lvl>
    <w:lvl w:ilvl="7" w:tplc="DC38ECCC">
      <w:numFmt w:val="bullet"/>
      <w:lvlText w:val="•"/>
      <w:lvlJc w:val="left"/>
      <w:pPr>
        <w:ind w:left="7106" w:hanging="171"/>
      </w:pPr>
      <w:rPr>
        <w:rFonts w:hint="default"/>
        <w:lang w:val="bg-BG" w:eastAsia="bg-BG" w:bidi="bg-BG"/>
      </w:rPr>
    </w:lvl>
    <w:lvl w:ilvl="8" w:tplc="DD3CC764">
      <w:numFmt w:val="bullet"/>
      <w:lvlText w:val="•"/>
      <w:lvlJc w:val="left"/>
      <w:pPr>
        <w:ind w:left="7973" w:hanging="171"/>
      </w:pPr>
      <w:rPr>
        <w:rFonts w:hint="default"/>
        <w:lang w:val="bg-BG" w:eastAsia="bg-BG" w:bidi="bg-BG"/>
      </w:rPr>
    </w:lvl>
  </w:abstractNum>
  <w:abstractNum w:abstractNumId="11">
    <w:nsid w:val="393E2C3A"/>
    <w:multiLevelType w:val="singleLevel"/>
    <w:tmpl w:val="CF882D90"/>
    <w:lvl w:ilvl="0">
      <w:start w:val="1"/>
      <w:numFmt w:val="russianLower"/>
      <w:lvlText w:val="%1)"/>
      <w:lvlJc w:val="left"/>
    </w:lvl>
  </w:abstractNum>
  <w:abstractNum w:abstractNumId="12">
    <w:nsid w:val="3BC37A8C"/>
    <w:multiLevelType w:val="singleLevel"/>
    <w:tmpl w:val="596280AA"/>
    <w:lvl w:ilvl="0">
      <w:start w:val="3"/>
      <w:numFmt w:val="russianLower"/>
      <w:lvlText w:val="%1)"/>
      <w:lvlJc w:val="left"/>
    </w:lvl>
  </w:abstractNum>
  <w:abstractNum w:abstractNumId="13">
    <w:nsid w:val="3C486744"/>
    <w:multiLevelType w:val="hybridMultilevel"/>
    <w:tmpl w:val="F2346DAE"/>
    <w:lvl w:ilvl="0" w:tplc="40F44540">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433636B9"/>
    <w:multiLevelType w:val="hybridMultilevel"/>
    <w:tmpl w:val="3FF6256A"/>
    <w:lvl w:ilvl="0" w:tplc="40F4454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7056EE"/>
    <w:multiLevelType w:val="hybridMultilevel"/>
    <w:tmpl w:val="B34C0A94"/>
    <w:lvl w:ilvl="0" w:tplc="5FCA523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0C55998"/>
    <w:multiLevelType w:val="hybridMultilevel"/>
    <w:tmpl w:val="DA8012C0"/>
    <w:lvl w:ilvl="0" w:tplc="AF56E6E0">
      <w:start w:val="1"/>
      <w:numFmt w:val="decimal"/>
      <w:lvlText w:val="%1."/>
      <w:lvlJc w:val="left"/>
      <w:pPr>
        <w:ind w:left="1456" w:hanging="240"/>
      </w:pPr>
      <w:rPr>
        <w:rFonts w:ascii="Times New Roman" w:eastAsia="Times New Roman" w:hAnsi="Times New Roman" w:cs="Times New Roman" w:hint="default"/>
        <w:spacing w:val="-8"/>
        <w:w w:val="100"/>
        <w:sz w:val="24"/>
        <w:szCs w:val="24"/>
        <w:lang w:val="bg-BG" w:eastAsia="bg-BG" w:bidi="bg-BG"/>
      </w:rPr>
    </w:lvl>
    <w:lvl w:ilvl="1" w:tplc="B636B120">
      <w:numFmt w:val="bullet"/>
      <w:lvlText w:val="•"/>
      <w:lvlJc w:val="left"/>
      <w:pPr>
        <w:ind w:left="2284" w:hanging="240"/>
      </w:pPr>
      <w:rPr>
        <w:rFonts w:hint="default"/>
        <w:lang w:val="bg-BG" w:eastAsia="bg-BG" w:bidi="bg-BG"/>
      </w:rPr>
    </w:lvl>
    <w:lvl w:ilvl="2" w:tplc="C3ECDCAE">
      <w:numFmt w:val="bullet"/>
      <w:lvlText w:val="•"/>
      <w:lvlJc w:val="left"/>
      <w:pPr>
        <w:ind w:left="3109" w:hanging="240"/>
      </w:pPr>
      <w:rPr>
        <w:rFonts w:hint="default"/>
        <w:lang w:val="bg-BG" w:eastAsia="bg-BG" w:bidi="bg-BG"/>
      </w:rPr>
    </w:lvl>
    <w:lvl w:ilvl="3" w:tplc="96D289A4">
      <w:numFmt w:val="bullet"/>
      <w:lvlText w:val="•"/>
      <w:lvlJc w:val="left"/>
      <w:pPr>
        <w:ind w:left="3933" w:hanging="240"/>
      </w:pPr>
      <w:rPr>
        <w:rFonts w:hint="default"/>
        <w:lang w:val="bg-BG" w:eastAsia="bg-BG" w:bidi="bg-BG"/>
      </w:rPr>
    </w:lvl>
    <w:lvl w:ilvl="4" w:tplc="DADEF33C">
      <w:numFmt w:val="bullet"/>
      <w:lvlText w:val="•"/>
      <w:lvlJc w:val="left"/>
      <w:pPr>
        <w:ind w:left="4758" w:hanging="240"/>
      </w:pPr>
      <w:rPr>
        <w:rFonts w:hint="default"/>
        <w:lang w:val="bg-BG" w:eastAsia="bg-BG" w:bidi="bg-BG"/>
      </w:rPr>
    </w:lvl>
    <w:lvl w:ilvl="5" w:tplc="DA78EC82">
      <w:numFmt w:val="bullet"/>
      <w:lvlText w:val="•"/>
      <w:lvlJc w:val="left"/>
      <w:pPr>
        <w:ind w:left="5583" w:hanging="240"/>
      </w:pPr>
      <w:rPr>
        <w:rFonts w:hint="default"/>
        <w:lang w:val="bg-BG" w:eastAsia="bg-BG" w:bidi="bg-BG"/>
      </w:rPr>
    </w:lvl>
    <w:lvl w:ilvl="6" w:tplc="C83650E8">
      <w:numFmt w:val="bullet"/>
      <w:lvlText w:val="•"/>
      <w:lvlJc w:val="left"/>
      <w:pPr>
        <w:ind w:left="6407" w:hanging="240"/>
      </w:pPr>
      <w:rPr>
        <w:rFonts w:hint="default"/>
        <w:lang w:val="bg-BG" w:eastAsia="bg-BG" w:bidi="bg-BG"/>
      </w:rPr>
    </w:lvl>
    <w:lvl w:ilvl="7" w:tplc="48648C56">
      <w:numFmt w:val="bullet"/>
      <w:lvlText w:val="•"/>
      <w:lvlJc w:val="left"/>
      <w:pPr>
        <w:ind w:left="7232" w:hanging="240"/>
      </w:pPr>
      <w:rPr>
        <w:rFonts w:hint="default"/>
        <w:lang w:val="bg-BG" w:eastAsia="bg-BG" w:bidi="bg-BG"/>
      </w:rPr>
    </w:lvl>
    <w:lvl w:ilvl="8" w:tplc="4CD29618">
      <w:numFmt w:val="bullet"/>
      <w:lvlText w:val="•"/>
      <w:lvlJc w:val="left"/>
      <w:pPr>
        <w:ind w:left="8057" w:hanging="240"/>
      </w:pPr>
      <w:rPr>
        <w:rFonts w:hint="default"/>
        <w:lang w:val="bg-BG" w:eastAsia="bg-BG" w:bidi="bg-BG"/>
      </w:rPr>
    </w:lvl>
  </w:abstractNum>
  <w:abstractNum w:abstractNumId="17">
    <w:nsid w:val="54382467"/>
    <w:multiLevelType w:val="hybridMultilevel"/>
    <w:tmpl w:val="D5383E5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nsid w:val="543A0C1B"/>
    <w:multiLevelType w:val="multilevel"/>
    <w:tmpl w:val="D9368260"/>
    <w:lvl w:ilvl="0">
      <w:start w:val="1"/>
      <w:numFmt w:val="decimal"/>
      <w:suff w:val="space"/>
      <w:lvlText w:val="%1."/>
      <w:lvlJc w:val="right"/>
      <w:pPr>
        <w:ind w:left="426" w:firstLine="0"/>
      </w:pPr>
      <w:rPr>
        <w:rFonts w:hint="default"/>
        <w:b/>
        <w:color w:val="auto"/>
      </w:rPr>
    </w:lvl>
    <w:lvl w:ilvl="1">
      <w:start w:val="1"/>
      <w:numFmt w:val="lowerLetter"/>
      <w:lvlText w:val="%2."/>
      <w:lvlJc w:val="left"/>
      <w:pPr>
        <w:ind w:left="1298" w:hanging="360"/>
      </w:pPr>
      <w:rPr>
        <w:rFonts w:hint="default"/>
      </w:rPr>
    </w:lvl>
    <w:lvl w:ilvl="2">
      <w:start w:val="1"/>
      <w:numFmt w:val="lowerRoman"/>
      <w:lvlText w:val="%3."/>
      <w:lvlJc w:val="right"/>
      <w:pPr>
        <w:ind w:left="2018" w:hanging="180"/>
      </w:pPr>
      <w:rPr>
        <w:rFonts w:hint="default"/>
      </w:rPr>
    </w:lvl>
    <w:lvl w:ilvl="3">
      <w:start w:val="1"/>
      <w:numFmt w:val="decimal"/>
      <w:lvlText w:val="%4."/>
      <w:lvlJc w:val="left"/>
      <w:pPr>
        <w:ind w:left="2738" w:hanging="360"/>
      </w:pPr>
      <w:rPr>
        <w:rFonts w:hint="default"/>
      </w:rPr>
    </w:lvl>
    <w:lvl w:ilvl="4">
      <w:start w:val="1"/>
      <w:numFmt w:val="lowerLetter"/>
      <w:lvlText w:val="%5."/>
      <w:lvlJc w:val="left"/>
      <w:pPr>
        <w:ind w:left="3458" w:hanging="360"/>
      </w:pPr>
      <w:rPr>
        <w:rFonts w:hint="default"/>
      </w:rPr>
    </w:lvl>
    <w:lvl w:ilvl="5">
      <w:start w:val="1"/>
      <w:numFmt w:val="lowerRoman"/>
      <w:lvlText w:val="%6."/>
      <w:lvlJc w:val="right"/>
      <w:pPr>
        <w:ind w:left="4178" w:hanging="180"/>
      </w:pPr>
      <w:rPr>
        <w:rFonts w:hint="default"/>
      </w:rPr>
    </w:lvl>
    <w:lvl w:ilvl="6">
      <w:start w:val="1"/>
      <w:numFmt w:val="decimal"/>
      <w:lvlText w:val="%7."/>
      <w:lvlJc w:val="left"/>
      <w:pPr>
        <w:ind w:left="4898" w:hanging="360"/>
      </w:pPr>
      <w:rPr>
        <w:rFonts w:hint="default"/>
      </w:rPr>
    </w:lvl>
    <w:lvl w:ilvl="7">
      <w:start w:val="1"/>
      <w:numFmt w:val="lowerLetter"/>
      <w:lvlText w:val="%8."/>
      <w:lvlJc w:val="left"/>
      <w:pPr>
        <w:ind w:left="5618" w:hanging="360"/>
      </w:pPr>
      <w:rPr>
        <w:rFonts w:hint="default"/>
      </w:rPr>
    </w:lvl>
    <w:lvl w:ilvl="8">
      <w:start w:val="1"/>
      <w:numFmt w:val="lowerRoman"/>
      <w:lvlText w:val="%9."/>
      <w:lvlJc w:val="right"/>
      <w:pPr>
        <w:ind w:left="6338" w:hanging="180"/>
      </w:pPr>
      <w:rPr>
        <w:rFonts w:hint="default"/>
      </w:rPr>
    </w:lvl>
  </w:abstractNum>
  <w:abstractNum w:abstractNumId="19">
    <w:nsid w:val="588B1760"/>
    <w:multiLevelType w:val="hybridMultilevel"/>
    <w:tmpl w:val="EDC2BBFC"/>
    <w:lvl w:ilvl="0" w:tplc="4A3A1212">
      <w:numFmt w:val="bullet"/>
      <w:lvlText w:val=""/>
      <w:lvlJc w:val="left"/>
      <w:pPr>
        <w:ind w:left="386" w:hanging="359"/>
      </w:pPr>
      <w:rPr>
        <w:rFonts w:ascii="Symbol" w:eastAsia="Symbol" w:hAnsi="Symbol" w:cs="Symbol" w:hint="default"/>
        <w:color w:val="333333"/>
        <w:w w:val="99"/>
        <w:sz w:val="20"/>
        <w:szCs w:val="20"/>
        <w:lang w:val="bg-BG" w:eastAsia="bg-BG" w:bidi="bg-BG"/>
      </w:rPr>
    </w:lvl>
    <w:lvl w:ilvl="1" w:tplc="9C2CDD24">
      <w:numFmt w:val="bullet"/>
      <w:lvlText w:val="•"/>
      <w:lvlJc w:val="left"/>
      <w:pPr>
        <w:ind w:left="1290" w:hanging="359"/>
      </w:pPr>
      <w:rPr>
        <w:rFonts w:hint="default"/>
        <w:lang w:val="bg-BG" w:eastAsia="bg-BG" w:bidi="bg-BG"/>
      </w:rPr>
    </w:lvl>
    <w:lvl w:ilvl="2" w:tplc="3064D2AA">
      <w:numFmt w:val="bullet"/>
      <w:lvlText w:val="•"/>
      <w:lvlJc w:val="left"/>
      <w:pPr>
        <w:ind w:left="2201" w:hanging="359"/>
      </w:pPr>
      <w:rPr>
        <w:rFonts w:hint="default"/>
        <w:lang w:val="bg-BG" w:eastAsia="bg-BG" w:bidi="bg-BG"/>
      </w:rPr>
    </w:lvl>
    <w:lvl w:ilvl="3" w:tplc="557006BC">
      <w:numFmt w:val="bullet"/>
      <w:lvlText w:val="•"/>
      <w:lvlJc w:val="left"/>
      <w:pPr>
        <w:ind w:left="3112" w:hanging="359"/>
      </w:pPr>
      <w:rPr>
        <w:rFonts w:hint="default"/>
        <w:lang w:val="bg-BG" w:eastAsia="bg-BG" w:bidi="bg-BG"/>
      </w:rPr>
    </w:lvl>
    <w:lvl w:ilvl="4" w:tplc="B656B7AA">
      <w:numFmt w:val="bullet"/>
      <w:lvlText w:val="•"/>
      <w:lvlJc w:val="left"/>
      <w:pPr>
        <w:ind w:left="4023" w:hanging="359"/>
      </w:pPr>
      <w:rPr>
        <w:rFonts w:hint="default"/>
        <w:lang w:val="bg-BG" w:eastAsia="bg-BG" w:bidi="bg-BG"/>
      </w:rPr>
    </w:lvl>
    <w:lvl w:ilvl="5" w:tplc="714624B4">
      <w:numFmt w:val="bullet"/>
      <w:lvlText w:val="•"/>
      <w:lvlJc w:val="left"/>
      <w:pPr>
        <w:ind w:left="4934" w:hanging="359"/>
      </w:pPr>
      <w:rPr>
        <w:rFonts w:hint="default"/>
        <w:lang w:val="bg-BG" w:eastAsia="bg-BG" w:bidi="bg-BG"/>
      </w:rPr>
    </w:lvl>
    <w:lvl w:ilvl="6" w:tplc="5D783956">
      <w:numFmt w:val="bullet"/>
      <w:lvlText w:val="•"/>
      <w:lvlJc w:val="left"/>
      <w:pPr>
        <w:ind w:left="5845" w:hanging="359"/>
      </w:pPr>
      <w:rPr>
        <w:rFonts w:hint="default"/>
        <w:lang w:val="bg-BG" w:eastAsia="bg-BG" w:bidi="bg-BG"/>
      </w:rPr>
    </w:lvl>
    <w:lvl w:ilvl="7" w:tplc="EC96C4F8">
      <w:numFmt w:val="bullet"/>
      <w:lvlText w:val="•"/>
      <w:lvlJc w:val="left"/>
      <w:pPr>
        <w:ind w:left="6756" w:hanging="359"/>
      </w:pPr>
      <w:rPr>
        <w:rFonts w:hint="default"/>
        <w:lang w:val="bg-BG" w:eastAsia="bg-BG" w:bidi="bg-BG"/>
      </w:rPr>
    </w:lvl>
    <w:lvl w:ilvl="8" w:tplc="EE189BA4">
      <w:numFmt w:val="bullet"/>
      <w:lvlText w:val="•"/>
      <w:lvlJc w:val="left"/>
      <w:pPr>
        <w:ind w:left="7667" w:hanging="359"/>
      </w:pPr>
      <w:rPr>
        <w:rFonts w:hint="default"/>
        <w:lang w:val="bg-BG" w:eastAsia="bg-BG" w:bidi="bg-BG"/>
      </w:rPr>
    </w:lvl>
  </w:abstractNum>
  <w:abstractNum w:abstractNumId="20">
    <w:nsid w:val="5A77475F"/>
    <w:multiLevelType w:val="hybridMultilevel"/>
    <w:tmpl w:val="46CA14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2720E40"/>
    <w:multiLevelType w:val="hybridMultilevel"/>
    <w:tmpl w:val="99827D3C"/>
    <w:lvl w:ilvl="0" w:tplc="DF7C2038">
      <w:start w:val="1"/>
      <w:numFmt w:val="decimal"/>
      <w:lvlText w:val="%1."/>
      <w:lvlJc w:val="left"/>
      <w:pPr>
        <w:ind w:left="496" w:hanging="243"/>
      </w:pPr>
      <w:rPr>
        <w:rFonts w:ascii="Times New Roman" w:eastAsia="Times New Roman" w:hAnsi="Times New Roman" w:cs="Times New Roman" w:hint="default"/>
        <w:w w:val="100"/>
        <w:sz w:val="24"/>
        <w:szCs w:val="24"/>
        <w:lang w:val="bg-BG" w:eastAsia="bg-BG" w:bidi="bg-BG"/>
      </w:rPr>
    </w:lvl>
    <w:lvl w:ilvl="1" w:tplc="85E4185A">
      <w:numFmt w:val="bullet"/>
      <w:lvlText w:val="•"/>
      <w:lvlJc w:val="left"/>
      <w:pPr>
        <w:ind w:left="1420" w:hanging="243"/>
      </w:pPr>
      <w:rPr>
        <w:rFonts w:hint="default"/>
        <w:lang w:val="bg-BG" w:eastAsia="bg-BG" w:bidi="bg-BG"/>
      </w:rPr>
    </w:lvl>
    <w:lvl w:ilvl="2" w:tplc="ADB0DD14">
      <w:numFmt w:val="bullet"/>
      <w:lvlText w:val="•"/>
      <w:lvlJc w:val="left"/>
      <w:pPr>
        <w:ind w:left="2341" w:hanging="243"/>
      </w:pPr>
      <w:rPr>
        <w:rFonts w:hint="default"/>
        <w:lang w:val="bg-BG" w:eastAsia="bg-BG" w:bidi="bg-BG"/>
      </w:rPr>
    </w:lvl>
    <w:lvl w:ilvl="3" w:tplc="EAF4343A">
      <w:numFmt w:val="bullet"/>
      <w:lvlText w:val="•"/>
      <w:lvlJc w:val="left"/>
      <w:pPr>
        <w:ind w:left="3261" w:hanging="243"/>
      </w:pPr>
      <w:rPr>
        <w:rFonts w:hint="default"/>
        <w:lang w:val="bg-BG" w:eastAsia="bg-BG" w:bidi="bg-BG"/>
      </w:rPr>
    </w:lvl>
    <w:lvl w:ilvl="4" w:tplc="F82441B6">
      <w:numFmt w:val="bullet"/>
      <w:lvlText w:val="•"/>
      <w:lvlJc w:val="left"/>
      <w:pPr>
        <w:ind w:left="4182" w:hanging="243"/>
      </w:pPr>
      <w:rPr>
        <w:rFonts w:hint="default"/>
        <w:lang w:val="bg-BG" w:eastAsia="bg-BG" w:bidi="bg-BG"/>
      </w:rPr>
    </w:lvl>
    <w:lvl w:ilvl="5" w:tplc="458469D6">
      <w:numFmt w:val="bullet"/>
      <w:lvlText w:val="•"/>
      <w:lvlJc w:val="left"/>
      <w:pPr>
        <w:ind w:left="5103" w:hanging="243"/>
      </w:pPr>
      <w:rPr>
        <w:rFonts w:hint="default"/>
        <w:lang w:val="bg-BG" w:eastAsia="bg-BG" w:bidi="bg-BG"/>
      </w:rPr>
    </w:lvl>
    <w:lvl w:ilvl="6" w:tplc="A0CA0ED8">
      <w:numFmt w:val="bullet"/>
      <w:lvlText w:val="•"/>
      <w:lvlJc w:val="left"/>
      <w:pPr>
        <w:ind w:left="6023" w:hanging="243"/>
      </w:pPr>
      <w:rPr>
        <w:rFonts w:hint="default"/>
        <w:lang w:val="bg-BG" w:eastAsia="bg-BG" w:bidi="bg-BG"/>
      </w:rPr>
    </w:lvl>
    <w:lvl w:ilvl="7" w:tplc="B426A9EA">
      <w:numFmt w:val="bullet"/>
      <w:lvlText w:val="•"/>
      <w:lvlJc w:val="left"/>
      <w:pPr>
        <w:ind w:left="6944" w:hanging="243"/>
      </w:pPr>
      <w:rPr>
        <w:rFonts w:hint="default"/>
        <w:lang w:val="bg-BG" w:eastAsia="bg-BG" w:bidi="bg-BG"/>
      </w:rPr>
    </w:lvl>
    <w:lvl w:ilvl="8" w:tplc="19A42198">
      <w:numFmt w:val="bullet"/>
      <w:lvlText w:val="•"/>
      <w:lvlJc w:val="left"/>
      <w:pPr>
        <w:ind w:left="7865" w:hanging="243"/>
      </w:pPr>
      <w:rPr>
        <w:rFonts w:hint="default"/>
        <w:lang w:val="bg-BG" w:eastAsia="bg-BG" w:bidi="bg-BG"/>
      </w:rPr>
    </w:lvl>
  </w:abstractNum>
  <w:abstractNum w:abstractNumId="22">
    <w:nsid w:val="65B176FE"/>
    <w:multiLevelType w:val="hybridMultilevel"/>
    <w:tmpl w:val="971A3D4A"/>
    <w:lvl w:ilvl="0" w:tplc="AF4C87B0">
      <w:start w:val="6"/>
      <w:numFmt w:val="decimal"/>
      <w:lvlText w:val="(%1)"/>
      <w:lvlJc w:val="left"/>
      <w:pPr>
        <w:ind w:left="496" w:hanging="365"/>
      </w:pPr>
      <w:rPr>
        <w:rFonts w:ascii="Times New Roman" w:eastAsia="Times New Roman" w:hAnsi="Times New Roman" w:cs="Times New Roman" w:hint="default"/>
        <w:w w:val="100"/>
        <w:sz w:val="24"/>
        <w:szCs w:val="24"/>
        <w:lang w:val="bg-BG" w:eastAsia="bg-BG" w:bidi="bg-BG"/>
      </w:rPr>
    </w:lvl>
    <w:lvl w:ilvl="1" w:tplc="F0CA0020">
      <w:numFmt w:val="bullet"/>
      <w:lvlText w:val="•"/>
      <w:lvlJc w:val="left"/>
      <w:pPr>
        <w:ind w:left="1420" w:hanging="365"/>
      </w:pPr>
      <w:rPr>
        <w:rFonts w:hint="default"/>
        <w:lang w:val="bg-BG" w:eastAsia="bg-BG" w:bidi="bg-BG"/>
      </w:rPr>
    </w:lvl>
    <w:lvl w:ilvl="2" w:tplc="44BEA9E0">
      <w:numFmt w:val="bullet"/>
      <w:lvlText w:val="•"/>
      <w:lvlJc w:val="left"/>
      <w:pPr>
        <w:ind w:left="2341" w:hanging="365"/>
      </w:pPr>
      <w:rPr>
        <w:rFonts w:hint="default"/>
        <w:lang w:val="bg-BG" w:eastAsia="bg-BG" w:bidi="bg-BG"/>
      </w:rPr>
    </w:lvl>
    <w:lvl w:ilvl="3" w:tplc="87428F5A">
      <w:numFmt w:val="bullet"/>
      <w:lvlText w:val="•"/>
      <w:lvlJc w:val="left"/>
      <w:pPr>
        <w:ind w:left="3261" w:hanging="365"/>
      </w:pPr>
      <w:rPr>
        <w:rFonts w:hint="default"/>
        <w:lang w:val="bg-BG" w:eastAsia="bg-BG" w:bidi="bg-BG"/>
      </w:rPr>
    </w:lvl>
    <w:lvl w:ilvl="4" w:tplc="EB56FB76">
      <w:numFmt w:val="bullet"/>
      <w:lvlText w:val="•"/>
      <w:lvlJc w:val="left"/>
      <w:pPr>
        <w:ind w:left="4182" w:hanging="365"/>
      </w:pPr>
      <w:rPr>
        <w:rFonts w:hint="default"/>
        <w:lang w:val="bg-BG" w:eastAsia="bg-BG" w:bidi="bg-BG"/>
      </w:rPr>
    </w:lvl>
    <w:lvl w:ilvl="5" w:tplc="66BEE33E">
      <w:numFmt w:val="bullet"/>
      <w:lvlText w:val="•"/>
      <w:lvlJc w:val="left"/>
      <w:pPr>
        <w:ind w:left="5103" w:hanging="365"/>
      </w:pPr>
      <w:rPr>
        <w:rFonts w:hint="default"/>
        <w:lang w:val="bg-BG" w:eastAsia="bg-BG" w:bidi="bg-BG"/>
      </w:rPr>
    </w:lvl>
    <w:lvl w:ilvl="6" w:tplc="846A4B18">
      <w:numFmt w:val="bullet"/>
      <w:lvlText w:val="•"/>
      <w:lvlJc w:val="left"/>
      <w:pPr>
        <w:ind w:left="6023" w:hanging="365"/>
      </w:pPr>
      <w:rPr>
        <w:rFonts w:hint="default"/>
        <w:lang w:val="bg-BG" w:eastAsia="bg-BG" w:bidi="bg-BG"/>
      </w:rPr>
    </w:lvl>
    <w:lvl w:ilvl="7" w:tplc="67AA6DCC">
      <w:numFmt w:val="bullet"/>
      <w:lvlText w:val="•"/>
      <w:lvlJc w:val="left"/>
      <w:pPr>
        <w:ind w:left="6944" w:hanging="365"/>
      </w:pPr>
      <w:rPr>
        <w:rFonts w:hint="default"/>
        <w:lang w:val="bg-BG" w:eastAsia="bg-BG" w:bidi="bg-BG"/>
      </w:rPr>
    </w:lvl>
    <w:lvl w:ilvl="8" w:tplc="CE98587C">
      <w:numFmt w:val="bullet"/>
      <w:lvlText w:val="•"/>
      <w:lvlJc w:val="left"/>
      <w:pPr>
        <w:ind w:left="7865" w:hanging="365"/>
      </w:pPr>
      <w:rPr>
        <w:rFonts w:hint="default"/>
        <w:lang w:val="bg-BG" w:eastAsia="bg-BG" w:bidi="bg-BG"/>
      </w:rPr>
    </w:lvl>
  </w:abstractNum>
  <w:abstractNum w:abstractNumId="23">
    <w:nsid w:val="75091AE8"/>
    <w:multiLevelType w:val="hybridMultilevel"/>
    <w:tmpl w:val="F90CEBE2"/>
    <w:lvl w:ilvl="0" w:tplc="CC78966E">
      <w:numFmt w:val="bullet"/>
      <w:lvlText w:val=""/>
      <w:lvlJc w:val="left"/>
      <w:pPr>
        <w:ind w:left="1034" w:hanging="284"/>
      </w:pPr>
      <w:rPr>
        <w:rFonts w:ascii="Symbol" w:eastAsia="Symbol" w:hAnsi="Symbol" w:cs="Symbol" w:hint="default"/>
        <w:w w:val="99"/>
        <w:sz w:val="20"/>
        <w:szCs w:val="20"/>
        <w:lang w:val="bg-BG" w:eastAsia="bg-BG" w:bidi="bg-BG"/>
      </w:rPr>
    </w:lvl>
    <w:lvl w:ilvl="1" w:tplc="69F08F3C">
      <w:start w:val="1"/>
      <w:numFmt w:val="decimal"/>
      <w:lvlText w:val="%2."/>
      <w:lvlJc w:val="left"/>
      <w:pPr>
        <w:ind w:left="496" w:hanging="332"/>
      </w:pPr>
      <w:rPr>
        <w:rFonts w:ascii="Times New Roman" w:eastAsia="Times New Roman" w:hAnsi="Times New Roman" w:cs="Times New Roman" w:hint="default"/>
        <w:i/>
        <w:color w:val="006FC0"/>
        <w:w w:val="100"/>
        <w:sz w:val="22"/>
        <w:szCs w:val="22"/>
        <w:lang w:val="bg-BG" w:eastAsia="bg-BG" w:bidi="bg-BG"/>
      </w:rPr>
    </w:lvl>
    <w:lvl w:ilvl="2" w:tplc="82743708">
      <w:numFmt w:val="bullet"/>
      <w:lvlText w:val="•"/>
      <w:lvlJc w:val="left"/>
      <w:pPr>
        <w:ind w:left="2002" w:hanging="332"/>
      </w:pPr>
      <w:rPr>
        <w:rFonts w:hint="default"/>
        <w:lang w:val="bg-BG" w:eastAsia="bg-BG" w:bidi="bg-BG"/>
      </w:rPr>
    </w:lvl>
    <w:lvl w:ilvl="3" w:tplc="799843C4">
      <w:numFmt w:val="bullet"/>
      <w:lvlText w:val="•"/>
      <w:lvlJc w:val="left"/>
      <w:pPr>
        <w:ind w:left="2965" w:hanging="332"/>
      </w:pPr>
      <w:rPr>
        <w:rFonts w:hint="default"/>
        <w:lang w:val="bg-BG" w:eastAsia="bg-BG" w:bidi="bg-BG"/>
      </w:rPr>
    </w:lvl>
    <w:lvl w:ilvl="4" w:tplc="112C4A46">
      <w:numFmt w:val="bullet"/>
      <w:lvlText w:val="•"/>
      <w:lvlJc w:val="left"/>
      <w:pPr>
        <w:ind w:left="3928" w:hanging="332"/>
      </w:pPr>
      <w:rPr>
        <w:rFonts w:hint="default"/>
        <w:lang w:val="bg-BG" w:eastAsia="bg-BG" w:bidi="bg-BG"/>
      </w:rPr>
    </w:lvl>
    <w:lvl w:ilvl="5" w:tplc="F43C3B28">
      <w:numFmt w:val="bullet"/>
      <w:lvlText w:val="•"/>
      <w:lvlJc w:val="left"/>
      <w:pPr>
        <w:ind w:left="4891" w:hanging="332"/>
      </w:pPr>
      <w:rPr>
        <w:rFonts w:hint="default"/>
        <w:lang w:val="bg-BG" w:eastAsia="bg-BG" w:bidi="bg-BG"/>
      </w:rPr>
    </w:lvl>
    <w:lvl w:ilvl="6" w:tplc="EF8EBAEA">
      <w:numFmt w:val="bullet"/>
      <w:lvlText w:val="•"/>
      <w:lvlJc w:val="left"/>
      <w:pPr>
        <w:ind w:left="5854" w:hanging="332"/>
      </w:pPr>
      <w:rPr>
        <w:rFonts w:hint="default"/>
        <w:lang w:val="bg-BG" w:eastAsia="bg-BG" w:bidi="bg-BG"/>
      </w:rPr>
    </w:lvl>
    <w:lvl w:ilvl="7" w:tplc="12B4D31A">
      <w:numFmt w:val="bullet"/>
      <w:lvlText w:val="•"/>
      <w:lvlJc w:val="left"/>
      <w:pPr>
        <w:ind w:left="6817" w:hanging="332"/>
      </w:pPr>
      <w:rPr>
        <w:rFonts w:hint="default"/>
        <w:lang w:val="bg-BG" w:eastAsia="bg-BG" w:bidi="bg-BG"/>
      </w:rPr>
    </w:lvl>
    <w:lvl w:ilvl="8" w:tplc="35902556">
      <w:numFmt w:val="bullet"/>
      <w:lvlText w:val="•"/>
      <w:lvlJc w:val="left"/>
      <w:pPr>
        <w:ind w:left="7780" w:hanging="332"/>
      </w:pPr>
      <w:rPr>
        <w:rFonts w:hint="default"/>
        <w:lang w:val="bg-BG" w:eastAsia="bg-BG" w:bidi="bg-BG"/>
      </w:rPr>
    </w:lvl>
  </w:abstractNum>
  <w:abstractNum w:abstractNumId="24">
    <w:nsid w:val="782C152E"/>
    <w:multiLevelType w:val="hybridMultilevel"/>
    <w:tmpl w:val="F8E04E04"/>
    <w:lvl w:ilvl="0" w:tplc="6FF6C506">
      <w:start w:val="1"/>
      <w:numFmt w:val="decimal"/>
      <w:lvlText w:val="%1."/>
      <w:lvlJc w:val="left"/>
      <w:pPr>
        <w:ind w:left="720" w:hanging="360"/>
      </w:pPr>
      <w:rPr>
        <w:rFonts w:hint="default"/>
        <w:sz w:val="23"/>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7BE31872"/>
    <w:multiLevelType w:val="hybridMultilevel"/>
    <w:tmpl w:val="E6A049BA"/>
    <w:lvl w:ilvl="0" w:tplc="4FFCD31E">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nsid w:val="7EEC6F2A"/>
    <w:multiLevelType w:val="hybridMultilevel"/>
    <w:tmpl w:val="C944C17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17"/>
  </w:num>
  <w:num w:numId="2">
    <w:abstractNumId w:val="6"/>
  </w:num>
  <w:num w:numId="3">
    <w:abstractNumId w:val="24"/>
  </w:num>
  <w:num w:numId="4">
    <w:abstractNumId w:val="26"/>
  </w:num>
  <w:num w:numId="5">
    <w:abstractNumId w:val="18"/>
  </w:num>
  <w:num w:numId="6">
    <w:abstractNumId w:val="8"/>
  </w:num>
  <w:num w:numId="7">
    <w:abstractNumId w:val="20"/>
  </w:num>
  <w:num w:numId="8">
    <w:abstractNumId w:val="25"/>
  </w:num>
  <w:num w:numId="9">
    <w:abstractNumId w:val="5"/>
  </w:num>
  <w:num w:numId="10">
    <w:abstractNumId w:val="11"/>
  </w:num>
  <w:num w:numId="11">
    <w:abstractNumId w:val="12"/>
  </w:num>
  <w:num w:numId="12">
    <w:abstractNumId w:val="7"/>
  </w:num>
  <w:num w:numId="13">
    <w:abstractNumId w:val="4"/>
  </w:num>
  <w:num w:numId="14">
    <w:abstractNumId w:val="13"/>
  </w:num>
  <w:num w:numId="15">
    <w:abstractNumId w:val="14"/>
  </w:num>
  <w:num w:numId="16">
    <w:abstractNumId w:val="23"/>
  </w:num>
  <w:num w:numId="17">
    <w:abstractNumId w:val="1"/>
  </w:num>
  <w:num w:numId="18">
    <w:abstractNumId w:val="9"/>
  </w:num>
  <w:num w:numId="19">
    <w:abstractNumId w:val="21"/>
  </w:num>
  <w:num w:numId="20">
    <w:abstractNumId w:val="16"/>
  </w:num>
  <w:num w:numId="21">
    <w:abstractNumId w:val="2"/>
  </w:num>
  <w:num w:numId="22">
    <w:abstractNumId w:val="22"/>
  </w:num>
  <w:num w:numId="23">
    <w:abstractNumId w:val="0"/>
  </w:num>
  <w:num w:numId="24">
    <w:abstractNumId w:val="10"/>
  </w:num>
  <w:num w:numId="25">
    <w:abstractNumId w:val="19"/>
  </w:num>
  <w:num w:numId="26">
    <w:abstractNumId w:val="3"/>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removePersonalInformation/>
  <w:removeDateAndTime/>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44A4"/>
    <w:rsid w:val="00002A98"/>
    <w:rsid w:val="000042F6"/>
    <w:rsid w:val="0000470F"/>
    <w:rsid w:val="00004862"/>
    <w:rsid w:val="00004AE6"/>
    <w:rsid w:val="00005688"/>
    <w:rsid w:val="00005B26"/>
    <w:rsid w:val="000101A6"/>
    <w:rsid w:val="00010282"/>
    <w:rsid w:val="000115D5"/>
    <w:rsid w:val="00012CAB"/>
    <w:rsid w:val="00016086"/>
    <w:rsid w:val="000200AF"/>
    <w:rsid w:val="00020416"/>
    <w:rsid w:val="00022060"/>
    <w:rsid w:val="00024421"/>
    <w:rsid w:val="0002454D"/>
    <w:rsid w:val="0002513E"/>
    <w:rsid w:val="000252C0"/>
    <w:rsid w:val="0002544E"/>
    <w:rsid w:val="000257AA"/>
    <w:rsid w:val="00025A23"/>
    <w:rsid w:val="00025DD3"/>
    <w:rsid w:val="00027271"/>
    <w:rsid w:val="000279C9"/>
    <w:rsid w:val="00033183"/>
    <w:rsid w:val="00033713"/>
    <w:rsid w:val="000357B4"/>
    <w:rsid w:val="00040AE0"/>
    <w:rsid w:val="00040F76"/>
    <w:rsid w:val="000414AB"/>
    <w:rsid w:val="000414B6"/>
    <w:rsid w:val="00043D50"/>
    <w:rsid w:val="00043ECF"/>
    <w:rsid w:val="000446AF"/>
    <w:rsid w:val="00044E65"/>
    <w:rsid w:val="0004610E"/>
    <w:rsid w:val="00046AB8"/>
    <w:rsid w:val="00046C3E"/>
    <w:rsid w:val="00051CC2"/>
    <w:rsid w:val="00052350"/>
    <w:rsid w:val="0005435E"/>
    <w:rsid w:val="0005470C"/>
    <w:rsid w:val="00055D5F"/>
    <w:rsid w:val="000572CA"/>
    <w:rsid w:val="0006038C"/>
    <w:rsid w:val="0006091E"/>
    <w:rsid w:val="000622EF"/>
    <w:rsid w:val="00062907"/>
    <w:rsid w:val="00062A4B"/>
    <w:rsid w:val="00062ADE"/>
    <w:rsid w:val="00062CE5"/>
    <w:rsid w:val="00062F02"/>
    <w:rsid w:val="000632EC"/>
    <w:rsid w:val="00063709"/>
    <w:rsid w:val="00063E4B"/>
    <w:rsid w:val="000673CE"/>
    <w:rsid w:val="00067C92"/>
    <w:rsid w:val="00070496"/>
    <w:rsid w:val="000708B1"/>
    <w:rsid w:val="000718C7"/>
    <w:rsid w:val="000737E5"/>
    <w:rsid w:val="000741C8"/>
    <w:rsid w:val="00075594"/>
    <w:rsid w:val="000757FC"/>
    <w:rsid w:val="000769B1"/>
    <w:rsid w:val="0008079F"/>
    <w:rsid w:val="00081D6F"/>
    <w:rsid w:val="00082171"/>
    <w:rsid w:val="00084700"/>
    <w:rsid w:val="00086434"/>
    <w:rsid w:val="000902D1"/>
    <w:rsid w:val="00090401"/>
    <w:rsid w:val="000937D4"/>
    <w:rsid w:val="00093F30"/>
    <w:rsid w:val="00094AB2"/>
    <w:rsid w:val="000953A8"/>
    <w:rsid w:val="00096C33"/>
    <w:rsid w:val="00097783"/>
    <w:rsid w:val="000A084C"/>
    <w:rsid w:val="000A1017"/>
    <w:rsid w:val="000A2286"/>
    <w:rsid w:val="000A228F"/>
    <w:rsid w:val="000A3E16"/>
    <w:rsid w:val="000B279A"/>
    <w:rsid w:val="000B298E"/>
    <w:rsid w:val="000B2EB1"/>
    <w:rsid w:val="000B354E"/>
    <w:rsid w:val="000B3D5F"/>
    <w:rsid w:val="000B64C2"/>
    <w:rsid w:val="000B6D57"/>
    <w:rsid w:val="000B7061"/>
    <w:rsid w:val="000B7EFE"/>
    <w:rsid w:val="000C036A"/>
    <w:rsid w:val="000C1697"/>
    <w:rsid w:val="000C46A7"/>
    <w:rsid w:val="000C5247"/>
    <w:rsid w:val="000C5E61"/>
    <w:rsid w:val="000C65D0"/>
    <w:rsid w:val="000D0414"/>
    <w:rsid w:val="000D1E2E"/>
    <w:rsid w:val="000D2F9F"/>
    <w:rsid w:val="000D31EF"/>
    <w:rsid w:val="000D3F6C"/>
    <w:rsid w:val="000D3F7C"/>
    <w:rsid w:val="000D4198"/>
    <w:rsid w:val="000E145B"/>
    <w:rsid w:val="000E3570"/>
    <w:rsid w:val="000E38E0"/>
    <w:rsid w:val="000E6A80"/>
    <w:rsid w:val="000F02C5"/>
    <w:rsid w:val="000F31C8"/>
    <w:rsid w:val="000F3490"/>
    <w:rsid w:val="000F4E61"/>
    <w:rsid w:val="000F5EC8"/>
    <w:rsid w:val="000F73D3"/>
    <w:rsid w:val="000F7A3E"/>
    <w:rsid w:val="001012EC"/>
    <w:rsid w:val="0010283F"/>
    <w:rsid w:val="0010687D"/>
    <w:rsid w:val="00110FB3"/>
    <w:rsid w:val="00111875"/>
    <w:rsid w:val="001143E4"/>
    <w:rsid w:val="001146B4"/>
    <w:rsid w:val="0011484F"/>
    <w:rsid w:val="00115EDD"/>
    <w:rsid w:val="00116995"/>
    <w:rsid w:val="00116FC6"/>
    <w:rsid w:val="001171CC"/>
    <w:rsid w:val="00120ABA"/>
    <w:rsid w:val="00121BA5"/>
    <w:rsid w:val="001251BE"/>
    <w:rsid w:val="00125F9E"/>
    <w:rsid w:val="00126095"/>
    <w:rsid w:val="001311AD"/>
    <w:rsid w:val="00131D33"/>
    <w:rsid w:val="00131DA5"/>
    <w:rsid w:val="00133A14"/>
    <w:rsid w:val="00134E1D"/>
    <w:rsid w:val="001353E6"/>
    <w:rsid w:val="0013629D"/>
    <w:rsid w:val="00140C69"/>
    <w:rsid w:val="00141BFB"/>
    <w:rsid w:val="00144034"/>
    <w:rsid w:val="001440FE"/>
    <w:rsid w:val="0014437A"/>
    <w:rsid w:val="00150E61"/>
    <w:rsid w:val="00152D3A"/>
    <w:rsid w:val="001551C4"/>
    <w:rsid w:val="00155A70"/>
    <w:rsid w:val="00155CAF"/>
    <w:rsid w:val="0016097E"/>
    <w:rsid w:val="00162248"/>
    <w:rsid w:val="001668E1"/>
    <w:rsid w:val="00167D39"/>
    <w:rsid w:val="00167F77"/>
    <w:rsid w:val="00170505"/>
    <w:rsid w:val="00172CCB"/>
    <w:rsid w:val="00175004"/>
    <w:rsid w:val="00177AA6"/>
    <w:rsid w:val="00177CAC"/>
    <w:rsid w:val="00177D2B"/>
    <w:rsid w:val="001808B4"/>
    <w:rsid w:val="00181FAB"/>
    <w:rsid w:val="00182CCD"/>
    <w:rsid w:val="0018509E"/>
    <w:rsid w:val="0019116E"/>
    <w:rsid w:val="0019192E"/>
    <w:rsid w:val="00192D6A"/>
    <w:rsid w:val="001948B0"/>
    <w:rsid w:val="0019522B"/>
    <w:rsid w:val="00195AD0"/>
    <w:rsid w:val="00195DA3"/>
    <w:rsid w:val="00196671"/>
    <w:rsid w:val="001A02C9"/>
    <w:rsid w:val="001A0680"/>
    <w:rsid w:val="001A29AE"/>
    <w:rsid w:val="001A3975"/>
    <w:rsid w:val="001A3D29"/>
    <w:rsid w:val="001B4CD8"/>
    <w:rsid w:val="001C23BF"/>
    <w:rsid w:val="001C5BF3"/>
    <w:rsid w:val="001C6E95"/>
    <w:rsid w:val="001C71E8"/>
    <w:rsid w:val="001D23F0"/>
    <w:rsid w:val="001D2756"/>
    <w:rsid w:val="001D362A"/>
    <w:rsid w:val="001D5899"/>
    <w:rsid w:val="001D60F3"/>
    <w:rsid w:val="001E13F5"/>
    <w:rsid w:val="001E174B"/>
    <w:rsid w:val="001E317C"/>
    <w:rsid w:val="001E33D4"/>
    <w:rsid w:val="001E4FB9"/>
    <w:rsid w:val="001E4FE9"/>
    <w:rsid w:val="001E4FEC"/>
    <w:rsid w:val="001E64F2"/>
    <w:rsid w:val="001F0567"/>
    <w:rsid w:val="001F1BB7"/>
    <w:rsid w:val="001F1F60"/>
    <w:rsid w:val="001F22A3"/>
    <w:rsid w:val="001F2736"/>
    <w:rsid w:val="001F314D"/>
    <w:rsid w:val="001F4710"/>
    <w:rsid w:val="001F6BC2"/>
    <w:rsid w:val="001F718C"/>
    <w:rsid w:val="00200292"/>
    <w:rsid w:val="0020103A"/>
    <w:rsid w:val="00201455"/>
    <w:rsid w:val="00201739"/>
    <w:rsid w:val="0020584E"/>
    <w:rsid w:val="00206678"/>
    <w:rsid w:val="002068A8"/>
    <w:rsid w:val="00210233"/>
    <w:rsid w:val="0021035B"/>
    <w:rsid w:val="00212D43"/>
    <w:rsid w:val="0021436C"/>
    <w:rsid w:val="00214B75"/>
    <w:rsid w:val="00215178"/>
    <w:rsid w:val="00220442"/>
    <w:rsid w:val="00221143"/>
    <w:rsid w:val="002217C0"/>
    <w:rsid w:val="00221B68"/>
    <w:rsid w:val="0022359C"/>
    <w:rsid w:val="00223F2E"/>
    <w:rsid w:val="00224F93"/>
    <w:rsid w:val="00226E69"/>
    <w:rsid w:val="00227D14"/>
    <w:rsid w:val="0023062F"/>
    <w:rsid w:val="00230821"/>
    <w:rsid w:val="00230E0E"/>
    <w:rsid w:val="00231D0F"/>
    <w:rsid w:val="00233C04"/>
    <w:rsid w:val="002348DC"/>
    <w:rsid w:val="00235708"/>
    <w:rsid w:val="002366C8"/>
    <w:rsid w:val="002369C8"/>
    <w:rsid w:val="002375B3"/>
    <w:rsid w:val="00237A17"/>
    <w:rsid w:val="00241F4C"/>
    <w:rsid w:val="00243442"/>
    <w:rsid w:val="002440AF"/>
    <w:rsid w:val="0024444A"/>
    <w:rsid w:val="00245FCD"/>
    <w:rsid w:val="002472CF"/>
    <w:rsid w:val="002500BD"/>
    <w:rsid w:val="00250D26"/>
    <w:rsid w:val="002536A8"/>
    <w:rsid w:val="00254CE4"/>
    <w:rsid w:val="00257983"/>
    <w:rsid w:val="00260F55"/>
    <w:rsid w:val="002632C1"/>
    <w:rsid w:val="00263D5C"/>
    <w:rsid w:val="00263E76"/>
    <w:rsid w:val="002640E1"/>
    <w:rsid w:val="00264B95"/>
    <w:rsid w:val="0027210E"/>
    <w:rsid w:val="00272EE3"/>
    <w:rsid w:val="00273219"/>
    <w:rsid w:val="00273678"/>
    <w:rsid w:val="00273CAC"/>
    <w:rsid w:val="0027620A"/>
    <w:rsid w:val="002804CF"/>
    <w:rsid w:val="002820C6"/>
    <w:rsid w:val="00282A08"/>
    <w:rsid w:val="002854C9"/>
    <w:rsid w:val="002900C5"/>
    <w:rsid w:val="00290725"/>
    <w:rsid w:val="00291E9B"/>
    <w:rsid w:val="002939DA"/>
    <w:rsid w:val="00293CA6"/>
    <w:rsid w:val="0029482B"/>
    <w:rsid w:val="00295B2B"/>
    <w:rsid w:val="002961A2"/>
    <w:rsid w:val="002964C1"/>
    <w:rsid w:val="00297DB0"/>
    <w:rsid w:val="002A0706"/>
    <w:rsid w:val="002A0A9B"/>
    <w:rsid w:val="002A0C5D"/>
    <w:rsid w:val="002A3B76"/>
    <w:rsid w:val="002A59D9"/>
    <w:rsid w:val="002A5A11"/>
    <w:rsid w:val="002A67D5"/>
    <w:rsid w:val="002B2268"/>
    <w:rsid w:val="002C03AF"/>
    <w:rsid w:val="002C1BB7"/>
    <w:rsid w:val="002C2EEA"/>
    <w:rsid w:val="002C3BA2"/>
    <w:rsid w:val="002C475B"/>
    <w:rsid w:val="002C5843"/>
    <w:rsid w:val="002C7F10"/>
    <w:rsid w:val="002D083C"/>
    <w:rsid w:val="002D18C3"/>
    <w:rsid w:val="002D2176"/>
    <w:rsid w:val="002D629F"/>
    <w:rsid w:val="002E0082"/>
    <w:rsid w:val="002E03DD"/>
    <w:rsid w:val="002E4664"/>
    <w:rsid w:val="002E537C"/>
    <w:rsid w:val="002E57D4"/>
    <w:rsid w:val="002E5E3F"/>
    <w:rsid w:val="002E6ADF"/>
    <w:rsid w:val="002E73FF"/>
    <w:rsid w:val="002F0752"/>
    <w:rsid w:val="002F17B9"/>
    <w:rsid w:val="002F33DC"/>
    <w:rsid w:val="002F4AF6"/>
    <w:rsid w:val="002F7912"/>
    <w:rsid w:val="002F7B2A"/>
    <w:rsid w:val="003009B2"/>
    <w:rsid w:val="00300B99"/>
    <w:rsid w:val="00300D63"/>
    <w:rsid w:val="003034CD"/>
    <w:rsid w:val="003039A5"/>
    <w:rsid w:val="00306298"/>
    <w:rsid w:val="00312FB3"/>
    <w:rsid w:val="00314B98"/>
    <w:rsid w:val="00314F63"/>
    <w:rsid w:val="003154C2"/>
    <w:rsid w:val="00316618"/>
    <w:rsid w:val="00321BD0"/>
    <w:rsid w:val="00322547"/>
    <w:rsid w:val="0032394D"/>
    <w:rsid w:val="003246BD"/>
    <w:rsid w:val="00326B58"/>
    <w:rsid w:val="003302BD"/>
    <w:rsid w:val="00330507"/>
    <w:rsid w:val="00330936"/>
    <w:rsid w:val="003336CE"/>
    <w:rsid w:val="00333BD7"/>
    <w:rsid w:val="00340212"/>
    <w:rsid w:val="00344138"/>
    <w:rsid w:val="00345060"/>
    <w:rsid w:val="00345B9F"/>
    <w:rsid w:val="00346856"/>
    <w:rsid w:val="00351063"/>
    <w:rsid w:val="00352461"/>
    <w:rsid w:val="003555CD"/>
    <w:rsid w:val="00356131"/>
    <w:rsid w:val="003628A2"/>
    <w:rsid w:val="003640F0"/>
    <w:rsid w:val="003645F1"/>
    <w:rsid w:val="00367DA5"/>
    <w:rsid w:val="0037191E"/>
    <w:rsid w:val="00371937"/>
    <w:rsid w:val="003737F2"/>
    <w:rsid w:val="00377A96"/>
    <w:rsid w:val="00377FE2"/>
    <w:rsid w:val="00382966"/>
    <w:rsid w:val="00383C33"/>
    <w:rsid w:val="003845BB"/>
    <w:rsid w:val="00384B8B"/>
    <w:rsid w:val="003863D0"/>
    <w:rsid w:val="00387130"/>
    <w:rsid w:val="00387162"/>
    <w:rsid w:val="003903E2"/>
    <w:rsid w:val="00390D8E"/>
    <w:rsid w:val="00395655"/>
    <w:rsid w:val="003A060F"/>
    <w:rsid w:val="003A48EE"/>
    <w:rsid w:val="003A4EAE"/>
    <w:rsid w:val="003B4449"/>
    <w:rsid w:val="003B59A5"/>
    <w:rsid w:val="003B629A"/>
    <w:rsid w:val="003C1F1E"/>
    <w:rsid w:val="003C2DC3"/>
    <w:rsid w:val="003C3996"/>
    <w:rsid w:val="003C557F"/>
    <w:rsid w:val="003C563D"/>
    <w:rsid w:val="003C5C7B"/>
    <w:rsid w:val="003C7D91"/>
    <w:rsid w:val="003D0C7F"/>
    <w:rsid w:val="003D138A"/>
    <w:rsid w:val="003D49CF"/>
    <w:rsid w:val="003D6231"/>
    <w:rsid w:val="003D64DC"/>
    <w:rsid w:val="003D70E0"/>
    <w:rsid w:val="003E111B"/>
    <w:rsid w:val="003E140F"/>
    <w:rsid w:val="003E1677"/>
    <w:rsid w:val="003E361D"/>
    <w:rsid w:val="003F2026"/>
    <w:rsid w:val="003F29BC"/>
    <w:rsid w:val="003F3728"/>
    <w:rsid w:val="003F54C1"/>
    <w:rsid w:val="003F6D22"/>
    <w:rsid w:val="003F7612"/>
    <w:rsid w:val="003F7CD4"/>
    <w:rsid w:val="004027A6"/>
    <w:rsid w:val="0040510D"/>
    <w:rsid w:val="00407815"/>
    <w:rsid w:val="00414D74"/>
    <w:rsid w:val="00414F26"/>
    <w:rsid w:val="00415D7B"/>
    <w:rsid w:val="00417315"/>
    <w:rsid w:val="00420A7D"/>
    <w:rsid w:val="00420F8B"/>
    <w:rsid w:val="004215CE"/>
    <w:rsid w:val="0042418B"/>
    <w:rsid w:val="0042440B"/>
    <w:rsid w:val="00426AC8"/>
    <w:rsid w:val="004275A4"/>
    <w:rsid w:val="00427EF4"/>
    <w:rsid w:val="004300D6"/>
    <w:rsid w:val="00430245"/>
    <w:rsid w:val="00430323"/>
    <w:rsid w:val="00430FB2"/>
    <w:rsid w:val="00435BAC"/>
    <w:rsid w:val="004361F2"/>
    <w:rsid w:val="004376C2"/>
    <w:rsid w:val="004427B2"/>
    <w:rsid w:val="00442824"/>
    <w:rsid w:val="004444E8"/>
    <w:rsid w:val="004444F4"/>
    <w:rsid w:val="00446865"/>
    <w:rsid w:val="00446EC1"/>
    <w:rsid w:val="00450BCC"/>
    <w:rsid w:val="0045180F"/>
    <w:rsid w:val="00452217"/>
    <w:rsid w:val="00453C28"/>
    <w:rsid w:val="00453E7F"/>
    <w:rsid w:val="00453E85"/>
    <w:rsid w:val="004546B0"/>
    <w:rsid w:val="00454BB1"/>
    <w:rsid w:val="00455D0B"/>
    <w:rsid w:val="00456843"/>
    <w:rsid w:val="004604F1"/>
    <w:rsid w:val="004646DE"/>
    <w:rsid w:val="0046759A"/>
    <w:rsid w:val="00467C52"/>
    <w:rsid w:val="00467E05"/>
    <w:rsid w:val="00470D89"/>
    <w:rsid w:val="0047261C"/>
    <w:rsid w:val="004739BA"/>
    <w:rsid w:val="004739E7"/>
    <w:rsid w:val="004741D2"/>
    <w:rsid w:val="00483378"/>
    <w:rsid w:val="00483594"/>
    <w:rsid w:val="00484A2A"/>
    <w:rsid w:val="00487E51"/>
    <w:rsid w:val="00490845"/>
    <w:rsid w:val="00493B7A"/>
    <w:rsid w:val="004942CA"/>
    <w:rsid w:val="0049486D"/>
    <w:rsid w:val="00496618"/>
    <w:rsid w:val="004972E2"/>
    <w:rsid w:val="004A0A82"/>
    <w:rsid w:val="004A207E"/>
    <w:rsid w:val="004A27CC"/>
    <w:rsid w:val="004A285F"/>
    <w:rsid w:val="004A55AC"/>
    <w:rsid w:val="004A5E2A"/>
    <w:rsid w:val="004A6AE4"/>
    <w:rsid w:val="004A70C4"/>
    <w:rsid w:val="004B047B"/>
    <w:rsid w:val="004B290C"/>
    <w:rsid w:val="004B2E13"/>
    <w:rsid w:val="004B413F"/>
    <w:rsid w:val="004B4FC8"/>
    <w:rsid w:val="004B5B51"/>
    <w:rsid w:val="004B735F"/>
    <w:rsid w:val="004C0598"/>
    <w:rsid w:val="004C0606"/>
    <w:rsid w:val="004C0F07"/>
    <w:rsid w:val="004C1080"/>
    <w:rsid w:val="004C2F1C"/>
    <w:rsid w:val="004C420B"/>
    <w:rsid w:val="004C6279"/>
    <w:rsid w:val="004C7869"/>
    <w:rsid w:val="004D24E9"/>
    <w:rsid w:val="004D3191"/>
    <w:rsid w:val="004D5FF9"/>
    <w:rsid w:val="004E0260"/>
    <w:rsid w:val="004E16EE"/>
    <w:rsid w:val="004E3F53"/>
    <w:rsid w:val="004E4897"/>
    <w:rsid w:val="004E6D10"/>
    <w:rsid w:val="004F09FD"/>
    <w:rsid w:val="004F11C4"/>
    <w:rsid w:val="004F17EA"/>
    <w:rsid w:val="004F275F"/>
    <w:rsid w:val="004F2B1B"/>
    <w:rsid w:val="004F4B94"/>
    <w:rsid w:val="004F70FF"/>
    <w:rsid w:val="004F77AB"/>
    <w:rsid w:val="004F7953"/>
    <w:rsid w:val="0050084D"/>
    <w:rsid w:val="00501E0F"/>
    <w:rsid w:val="00501E65"/>
    <w:rsid w:val="00506006"/>
    <w:rsid w:val="005061E4"/>
    <w:rsid w:val="0050754B"/>
    <w:rsid w:val="00507B53"/>
    <w:rsid w:val="005121ED"/>
    <w:rsid w:val="005128EA"/>
    <w:rsid w:val="005130D6"/>
    <w:rsid w:val="00514AC6"/>
    <w:rsid w:val="0051624B"/>
    <w:rsid w:val="00517A62"/>
    <w:rsid w:val="00520109"/>
    <w:rsid w:val="00520903"/>
    <w:rsid w:val="00521850"/>
    <w:rsid w:val="00522F73"/>
    <w:rsid w:val="005236C1"/>
    <w:rsid w:val="00524038"/>
    <w:rsid w:val="0052467D"/>
    <w:rsid w:val="00524AA8"/>
    <w:rsid w:val="00525E65"/>
    <w:rsid w:val="005260B9"/>
    <w:rsid w:val="00527393"/>
    <w:rsid w:val="0053103C"/>
    <w:rsid w:val="00532E4B"/>
    <w:rsid w:val="00534E66"/>
    <w:rsid w:val="005354D0"/>
    <w:rsid w:val="00540693"/>
    <w:rsid w:val="005408A3"/>
    <w:rsid w:val="00540C53"/>
    <w:rsid w:val="00540EEE"/>
    <w:rsid w:val="00541692"/>
    <w:rsid w:val="005424B9"/>
    <w:rsid w:val="00543E05"/>
    <w:rsid w:val="005462B1"/>
    <w:rsid w:val="005516AF"/>
    <w:rsid w:val="005525EA"/>
    <w:rsid w:val="005531AA"/>
    <w:rsid w:val="00554B28"/>
    <w:rsid w:val="00554CC1"/>
    <w:rsid w:val="00560A43"/>
    <w:rsid w:val="00561386"/>
    <w:rsid w:val="00563FA3"/>
    <w:rsid w:val="005644C8"/>
    <w:rsid w:val="00564E98"/>
    <w:rsid w:val="00565E93"/>
    <w:rsid w:val="00566018"/>
    <w:rsid w:val="00572F83"/>
    <w:rsid w:val="00573E06"/>
    <w:rsid w:val="005778C6"/>
    <w:rsid w:val="00577AC1"/>
    <w:rsid w:val="005818DD"/>
    <w:rsid w:val="00583A7E"/>
    <w:rsid w:val="00586A0B"/>
    <w:rsid w:val="00586CF4"/>
    <w:rsid w:val="005913D0"/>
    <w:rsid w:val="00591B69"/>
    <w:rsid w:val="00597BAA"/>
    <w:rsid w:val="00597D5D"/>
    <w:rsid w:val="005A1896"/>
    <w:rsid w:val="005A224A"/>
    <w:rsid w:val="005A338B"/>
    <w:rsid w:val="005A3AC5"/>
    <w:rsid w:val="005A3BFE"/>
    <w:rsid w:val="005A407D"/>
    <w:rsid w:val="005A4A9A"/>
    <w:rsid w:val="005A5DAE"/>
    <w:rsid w:val="005A6A09"/>
    <w:rsid w:val="005A6C42"/>
    <w:rsid w:val="005A7E11"/>
    <w:rsid w:val="005B19E3"/>
    <w:rsid w:val="005B6646"/>
    <w:rsid w:val="005B7002"/>
    <w:rsid w:val="005C2DFD"/>
    <w:rsid w:val="005C43C6"/>
    <w:rsid w:val="005C4BE7"/>
    <w:rsid w:val="005C61F4"/>
    <w:rsid w:val="005C7A87"/>
    <w:rsid w:val="005D0610"/>
    <w:rsid w:val="005D06F0"/>
    <w:rsid w:val="005D094A"/>
    <w:rsid w:val="005D0F46"/>
    <w:rsid w:val="005D1127"/>
    <w:rsid w:val="005D276C"/>
    <w:rsid w:val="005D3B47"/>
    <w:rsid w:val="005D5B4B"/>
    <w:rsid w:val="005D72C5"/>
    <w:rsid w:val="005D733F"/>
    <w:rsid w:val="005E08BD"/>
    <w:rsid w:val="005E0F94"/>
    <w:rsid w:val="005E3261"/>
    <w:rsid w:val="005E36D5"/>
    <w:rsid w:val="005E3A50"/>
    <w:rsid w:val="005E4874"/>
    <w:rsid w:val="005E4C23"/>
    <w:rsid w:val="005E4CF0"/>
    <w:rsid w:val="005E507D"/>
    <w:rsid w:val="005E5B1D"/>
    <w:rsid w:val="005F0236"/>
    <w:rsid w:val="005F0C39"/>
    <w:rsid w:val="005F421E"/>
    <w:rsid w:val="005F53D2"/>
    <w:rsid w:val="005F630F"/>
    <w:rsid w:val="005F69DF"/>
    <w:rsid w:val="0060094C"/>
    <w:rsid w:val="00600B63"/>
    <w:rsid w:val="00601137"/>
    <w:rsid w:val="006040E1"/>
    <w:rsid w:val="006047B5"/>
    <w:rsid w:val="006047CE"/>
    <w:rsid w:val="0060491C"/>
    <w:rsid w:val="00604A61"/>
    <w:rsid w:val="00610231"/>
    <w:rsid w:val="006124CF"/>
    <w:rsid w:val="00617D55"/>
    <w:rsid w:val="00617F06"/>
    <w:rsid w:val="006222B2"/>
    <w:rsid w:val="006222D4"/>
    <w:rsid w:val="006240D8"/>
    <w:rsid w:val="00626132"/>
    <w:rsid w:val="006309A7"/>
    <w:rsid w:val="006310A1"/>
    <w:rsid w:val="006315C2"/>
    <w:rsid w:val="006317AC"/>
    <w:rsid w:val="0063318F"/>
    <w:rsid w:val="00633884"/>
    <w:rsid w:val="00634DDD"/>
    <w:rsid w:val="006361E3"/>
    <w:rsid w:val="00636320"/>
    <w:rsid w:val="0063730A"/>
    <w:rsid w:val="00641DE7"/>
    <w:rsid w:val="00641EF4"/>
    <w:rsid w:val="00642470"/>
    <w:rsid w:val="00642D90"/>
    <w:rsid w:val="00645DFC"/>
    <w:rsid w:val="0064767F"/>
    <w:rsid w:val="0065019C"/>
    <w:rsid w:val="00653E67"/>
    <w:rsid w:val="00656642"/>
    <w:rsid w:val="00656BDA"/>
    <w:rsid w:val="0066109E"/>
    <w:rsid w:val="00661A0C"/>
    <w:rsid w:val="00662188"/>
    <w:rsid w:val="00662BFF"/>
    <w:rsid w:val="006712A6"/>
    <w:rsid w:val="00671910"/>
    <w:rsid w:val="00671E4E"/>
    <w:rsid w:val="00673257"/>
    <w:rsid w:val="0067456E"/>
    <w:rsid w:val="00675133"/>
    <w:rsid w:val="00676037"/>
    <w:rsid w:val="006773A2"/>
    <w:rsid w:val="00677D9A"/>
    <w:rsid w:val="006802C1"/>
    <w:rsid w:val="006818E8"/>
    <w:rsid w:val="00682E63"/>
    <w:rsid w:val="00685E6E"/>
    <w:rsid w:val="00686496"/>
    <w:rsid w:val="0069077B"/>
    <w:rsid w:val="00690FE6"/>
    <w:rsid w:val="00691BD4"/>
    <w:rsid w:val="006940E7"/>
    <w:rsid w:val="00694141"/>
    <w:rsid w:val="006941C8"/>
    <w:rsid w:val="00697863"/>
    <w:rsid w:val="006A0D8A"/>
    <w:rsid w:val="006A343F"/>
    <w:rsid w:val="006A36D7"/>
    <w:rsid w:val="006A3AD5"/>
    <w:rsid w:val="006A512F"/>
    <w:rsid w:val="006A5395"/>
    <w:rsid w:val="006A6452"/>
    <w:rsid w:val="006A70E2"/>
    <w:rsid w:val="006B4070"/>
    <w:rsid w:val="006B59D4"/>
    <w:rsid w:val="006B5E2B"/>
    <w:rsid w:val="006C1729"/>
    <w:rsid w:val="006C1B92"/>
    <w:rsid w:val="006C1FAA"/>
    <w:rsid w:val="006C5DD9"/>
    <w:rsid w:val="006C605F"/>
    <w:rsid w:val="006C6A82"/>
    <w:rsid w:val="006D1269"/>
    <w:rsid w:val="006D1DF2"/>
    <w:rsid w:val="006D1F20"/>
    <w:rsid w:val="006D2BDD"/>
    <w:rsid w:val="006D4254"/>
    <w:rsid w:val="006D5F6F"/>
    <w:rsid w:val="006D6C3E"/>
    <w:rsid w:val="006D6CEA"/>
    <w:rsid w:val="006D70A7"/>
    <w:rsid w:val="006D745F"/>
    <w:rsid w:val="006D7881"/>
    <w:rsid w:val="006D7E56"/>
    <w:rsid w:val="006E01F0"/>
    <w:rsid w:val="006E23DE"/>
    <w:rsid w:val="006E31CC"/>
    <w:rsid w:val="006E32E7"/>
    <w:rsid w:val="006E3D3C"/>
    <w:rsid w:val="006E46A3"/>
    <w:rsid w:val="006E4DC3"/>
    <w:rsid w:val="006E58C1"/>
    <w:rsid w:val="006E7B3B"/>
    <w:rsid w:val="006F282A"/>
    <w:rsid w:val="006F33DD"/>
    <w:rsid w:val="006F35F8"/>
    <w:rsid w:val="006F4526"/>
    <w:rsid w:val="006F5502"/>
    <w:rsid w:val="006F5CE3"/>
    <w:rsid w:val="006F6420"/>
    <w:rsid w:val="00702B18"/>
    <w:rsid w:val="007030A8"/>
    <w:rsid w:val="00704988"/>
    <w:rsid w:val="00705659"/>
    <w:rsid w:val="00707A8E"/>
    <w:rsid w:val="007106FE"/>
    <w:rsid w:val="00712F24"/>
    <w:rsid w:val="0071354E"/>
    <w:rsid w:val="00715FC7"/>
    <w:rsid w:val="007160B3"/>
    <w:rsid w:val="00716B72"/>
    <w:rsid w:val="00717394"/>
    <w:rsid w:val="007201DC"/>
    <w:rsid w:val="00720625"/>
    <w:rsid w:val="0072098B"/>
    <w:rsid w:val="00723D89"/>
    <w:rsid w:val="00724DC0"/>
    <w:rsid w:val="007261CF"/>
    <w:rsid w:val="00731B88"/>
    <w:rsid w:val="00732DEB"/>
    <w:rsid w:val="007362EB"/>
    <w:rsid w:val="00736B76"/>
    <w:rsid w:val="00736C03"/>
    <w:rsid w:val="007377F2"/>
    <w:rsid w:val="00737BC4"/>
    <w:rsid w:val="00737D3E"/>
    <w:rsid w:val="0074014A"/>
    <w:rsid w:val="007423F8"/>
    <w:rsid w:val="007431DE"/>
    <w:rsid w:val="00743EFE"/>
    <w:rsid w:val="00745349"/>
    <w:rsid w:val="0074534D"/>
    <w:rsid w:val="007511D5"/>
    <w:rsid w:val="007516D1"/>
    <w:rsid w:val="00751E85"/>
    <w:rsid w:val="0075213E"/>
    <w:rsid w:val="00753049"/>
    <w:rsid w:val="00756242"/>
    <w:rsid w:val="00756290"/>
    <w:rsid w:val="00756A19"/>
    <w:rsid w:val="0076108C"/>
    <w:rsid w:val="00761B5E"/>
    <w:rsid w:val="0076408A"/>
    <w:rsid w:val="0076526B"/>
    <w:rsid w:val="00773DD9"/>
    <w:rsid w:val="00774BE7"/>
    <w:rsid w:val="00775304"/>
    <w:rsid w:val="00776A84"/>
    <w:rsid w:val="00777754"/>
    <w:rsid w:val="00781306"/>
    <w:rsid w:val="00781635"/>
    <w:rsid w:val="007836C8"/>
    <w:rsid w:val="007934F1"/>
    <w:rsid w:val="00794229"/>
    <w:rsid w:val="00795A1B"/>
    <w:rsid w:val="00796EC0"/>
    <w:rsid w:val="007970F0"/>
    <w:rsid w:val="007971F3"/>
    <w:rsid w:val="00797C76"/>
    <w:rsid w:val="007A1BCA"/>
    <w:rsid w:val="007A30DD"/>
    <w:rsid w:val="007A4157"/>
    <w:rsid w:val="007B1141"/>
    <w:rsid w:val="007B24F7"/>
    <w:rsid w:val="007B3D33"/>
    <w:rsid w:val="007B47A9"/>
    <w:rsid w:val="007B4CFC"/>
    <w:rsid w:val="007B5C10"/>
    <w:rsid w:val="007B6515"/>
    <w:rsid w:val="007B6A2C"/>
    <w:rsid w:val="007B6FFE"/>
    <w:rsid w:val="007C393A"/>
    <w:rsid w:val="007C6C8E"/>
    <w:rsid w:val="007D09DC"/>
    <w:rsid w:val="007D4566"/>
    <w:rsid w:val="007D6B06"/>
    <w:rsid w:val="007D76D7"/>
    <w:rsid w:val="007E11C0"/>
    <w:rsid w:val="007E249E"/>
    <w:rsid w:val="007E4DF7"/>
    <w:rsid w:val="007E5ED7"/>
    <w:rsid w:val="007E6242"/>
    <w:rsid w:val="007E633B"/>
    <w:rsid w:val="007E6AD6"/>
    <w:rsid w:val="007F135A"/>
    <w:rsid w:val="007F4A23"/>
    <w:rsid w:val="007F5275"/>
    <w:rsid w:val="00800079"/>
    <w:rsid w:val="0080232E"/>
    <w:rsid w:val="00803CA0"/>
    <w:rsid w:val="00804C04"/>
    <w:rsid w:val="008053FB"/>
    <w:rsid w:val="008059AC"/>
    <w:rsid w:val="00812789"/>
    <w:rsid w:val="00813EBF"/>
    <w:rsid w:val="00817D17"/>
    <w:rsid w:val="00821662"/>
    <w:rsid w:val="00824BA3"/>
    <w:rsid w:val="00825F4B"/>
    <w:rsid w:val="00826F86"/>
    <w:rsid w:val="00827624"/>
    <w:rsid w:val="00827C86"/>
    <w:rsid w:val="00831124"/>
    <w:rsid w:val="00831D3C"/>
    <w:rsid w:val="00831E9A"/>
    <w:rsid w:val="008327F5"/>
    <w:rsid w:val="00833124"/>
    <w:rsid w:val="0083397B"/>
    <w:rsid w:val="0083418B"/>
    <w:rsid w:val="008360E0"/>
    <w:rsid w:val="0083623B"/>
    <w:rsid w:val="00841854"/>
    <w:rsid w:val="00842C8D"/>
    <w:rsid w:val="008434D2"/>
    <w:rsid w:val="00844CC3"/>
    <w:rsid w:val="0084504F"/>
    <w:rsid w:val="00845BC3"/>
    <w:rsid w:val="00846E8D"/>
    <w:rsid w:val="008476BF"/>
    <w:rsid w:val="00847CFC"/>
    <w:rsid w:val="008508D5"/>
    <w:rsid w:val="0085319B"/>
    <w:rsid w:val="00853C0E"/>
    <w:rsid w:val="00854E7C"/>
    <w:rsid w:val="00855317"/>
    <w:rsid w:val="00855962"/>
    <w:rsid w:val="00855B31"/>
    <w:rsid w:val="00857187"/>
    <w:rsid w:val="00860FE7"/>
    <w:rsid w:val="00861CE5"/>
    <w:rsid w:val="0086226E"/>
    <w:rsid w:val="00864193"/>
    <w:rsid w:val="00864B78"/>
    <w:rsid w:val="0086505F"/>
    <w:rsid w:val="00865EE3"/>
    <w:rsid w:val="0086600C"/>
    <w:rsid w:val="00872A86"/>
    <w:rsid w:val="00873354"/>
    <w:rsid w:val="008742B9"/>
    <w:rsid w:val="00874481"/>
    <w:rsid w:val="00875D88"/>
    <w:rsid w:val="00881967"/>
    <w:rsid w:val="008835B5"/>
    <w:rsid w:val="0088605D"/>
    <w:rsid w:val="00887913"/>
    <w:rsid w:val="00890675"/>
    <w:rsid w:val="0089123B"/>
    <w:rsid w:val="00891BE7"/>
    <w:rsid w:val="00894526"/>
    <w:rsid w:val="00894946"/>
    <w:rsid w:val="0089506D"/>
    <w:rsid w:val="008968DF"/>
    <w:rsid w:val="00897F84"/>
    <w:rsid w:val="008A00BC"/>
    <w:rsid w:val="008A0B79"/>
    <w:rsid w:val="008A1687"/>
    <w:rsid w:val="008A2346"/>
    <w:rsid w:val="008A2DF5"/>
    <w:rsid w:val="008A3A73"/>
    <w:rsid w:val="008A43AD"/>
    <w:rsid w:val="008A4DBD"/>
    <w:rsid w:val="008A52D8"/>
    <w:rsid w:val="008A5E27"/>
    <w:rsid w:val="008A6FF9"/>
    <w:rsid w:val="008A721D"/>
    <w:rsid w:val="008B48E6"/>
    <w:rsid w:val="008B6A6F"/>
    <w:rsid w:val="008C01F4"/>
    <w:rsid w:val="008C0503"/>
    <w:rsid w:val="008C09DD"/>
    <w:rsid w:val="008C4A55"/>
    <w:rsid w:val="008C4E10"/>
    <w:rsid w:val="008C5E5E"/>
    <w:rsid w:val="008D08F5"/>
    <w:rsid w:val="008D0DCF"/>
    <w:rsid w:val="008D0DDB"/>
    <w:rsid w:val="008D2350"/>
    <w:rsid w:val="008D3FD0"/>
    <w:rsid w:val="008D56D6"/>
    <w:rsid w:val="008D579B"/>
    <w:rsid w:val="008D583E"/>
    <w:rsid w:val="008D623A"/>
    <w:rsid w:val="008D7657"/>
    <w:rsid w:val="008E1CC8"/>
    <w:rsid w:val="008E24D8"/>
    <w:rsid w:val="008E2B39"/>
    <w:rsid w:val="008E3970"/>
    <w:rsid w:val="008E3AC0"/>
    <w:rsid w:val="008E51F3"/>
    <w:rsid w:val="008E621C"/>
    <w:rsid w:val="008E6946"/>
    <w:rsid w:val="008E6E39"/>
    <w:rsid w:val="008E7705"/>
    <w:rsid w:val="008E77F4"/>
    <w:rsid w:val="008E7AF3"/>
    <w:rsid w:val="008E7E4D"/>
    <w:rsid w:val="008F1D1A"/>
    <w:rsid w:val="008F3218"/>
    <w:rsid w:val="008F35DB"/>
    <w:rsid w:val="008F39D3"/>
    <w:rsid w:val="008F4969"/>
    <w:rsid w:val="008F5129"/>
    <w:rsid w:val="008F540F"/>
    <w:rsid w:val="008F6393"/>
    <w:rsid w:val="008F6748"/>
    <w:rsid w:val="00901E19"/>
    <w:rsid w:val="00901F49"/>
    <w:rsid w:val="00902FF9"/>
    <w:rsid w:val="009041DC"/>
    <w:rsid w:val="00904B60"/>
    <w:rsid w:val="00905EB8"/>
    <w:rsid w:val="00905F3A"/>
    <w:rsid w:val="009066B0"/>
    <w:rsid w:val="0090679B"/>
    <w:rsid w:val="0090782D"/>
    <w:rsid w:val="00912765"/>
    <w:rsid w:val="0091523F"/>
    <w:rsid w:val="0091558A"/>
    <w:rsid w:val="009167F2"/>
    <w:rsid w:val="00917058"/>
    <w:rsid w:val="00923C45"/>
    <w:rsid w:val="00924F7D"/>
    <w:rsid w:val="0092693D"/>
    <w:rsid w:val="0093024B"/>
    <w:rsid w:val="009303E8"/>
    <w:rsid w:val="00931102"/>
    <w:rsid w:val="009312BE"/>
    <w:rsid w:val="00932D4A"/>
    <w:rsid w:val="00936B7F"/>
    <w:rsid w:val="009415CD"/>
    <w:rsid w:val="0094334A"/>
    <w:rsid w:val="00943E2F"/>
    <w:rsid w:val="00944EC7"/>
    <w:rsid w:val="00946F85"/>
    <w:rsid w:val="00950B10"/>
    <w:rsid w:val="00952D0A"/>
    <w:rsid w:val="00953FD7"/>
    <w:rsid w:val="00954732"/>
    <w:rsid w:val="009551F9"/>
    <w:rsid w:val="00956BD2"/>
    <w:rsid w:val="0096092A"/>
    <w:rsid w:val="00962715"/>
    <w:rsid w:val="00963058"/>
    <w:rsid w:val="00963AE2"/>
    <w:rsid w:val="00963E96"/>
    <w:rsid w:val="00966C16"/>
    <w:rsid w:val="00966D12"/>
    <w:rsid w:val="00972F4C"/>
    <w:rsid w:val="00972F70"/>
    <w:rsid w:val="00975F5E"/>
    <w:rsid w:val="00977612"/>
    <w:rsid w:val="009827FE"/>
    <w:rsid w:val="00983B09"/>
    <w:rsid w:val="0098541A"/>
    <w:rsid w:val="00990860"/>
    <w:rsid w:val="00990FC4"/>
    <w:rsid w:val="00991FDD"/>
    <w:rsid w:val="00992009"/>
    <w:rsid w:val="00992916"/>
    <w:rsid w:val="00994E02"/>
    <w:rsid w:val="0099513B"/>
    <w:rsid w:val="00995D64"/>
    <w:rsid w:val="009965B4"/>
    <w:rsid w:val="00996B48"/>
    <w:rsid w:val="009A1269"/>
    <w:rsid w:val="009A19C4"/>
    <w:rsid w:val="009A453C"/>
    <w:rsid w:val="009B1744"/>
    <w:rsid w:val="009B1EE9"/>
    <w:rsid w:val="009B3DAC"/>
    <w:rsid w:val="009B568A"/>
    <w:rsid w:val="009B6040"/>
    <w:rsid w:val="009C08B5"/>
    <w:rsid w:val="009C4129"/>
    <w:rsid w:val="009C4545"/>
    <w:rsid w:val="009C4DFC"/>
    <w:rsid w:val="009C5041"/>
    <w:rsid w:val="009D0944"/>
    <w:rsid w:val="009D281A"/>
    <w:rsid w:val="009D6D2E"/>
    <w:rsid w:val="009D753B"/>
    <w:rsid w:val="009E0CEB"/>
    <w:rsid w:val="009E206F"/>
    <w:rsid w:val="009E60E1"/>
    <w:rsid w:val="009E6C5E"/>
    <w:rsid w:val="009E7717"/>
    <w:rsid w:val="009E7FF1"/>
    <w:rsid w:val="009F142B"/>
    <w:rsid w:val="009F23CB"/>
    <w:rsid w:val="009F399F"/>
    <w:rsid w:val="009F5722"/>
    <w:rsid w:val="009F7176"/>
    <w:rsid w:val="00A0153C"/>
    <w:rsid w:val="00A02072"/>
    <w:rsid w:val="00A0334B"/>
    <w:rsid w:val="00A04A98"/>
    <w:rsid w:val="00A11D46"/>
    <w:rsid w:val="00A163D9"/>
    <w:rsid w:val="00A16F07"/>
    <w:rsid w:val="00A23007"/>
    <w:rsid w:val="00A23452"/>
    <w:rsid w:val="00A24AF0"/>
    <w:rsid w:val="00A2613D"/>
    <w:rsid w:val="00A26499"/>
    <w:rsid w:val="00A27F81"/>
    <w:rsid w:val="00A30636"/>
    <w:rsid w:val="00A30F0D"/>
    <w:rsid w:val="00A31338"/>
    <w:rsid w:val="00A32258"/>
    <w:rsid w:val="00A3356F"/>
    <w:rsid w:val="00A33B43"/>
    <w:rsid w:val="00A33C15"/>
    <w:rsid w:val="00A34220"/>
    <w:rsid w:val="00A34264"/>
    <w:rsid w:val="00A342A5"/>
    <w:rsid w:val="00A34F9A"/>
    <w:rsid w:val="00A3568B"/>
    <w:rsid w:val="00A377AE"/>
    <w:rsid w:val="00A37AAF"/>
    <w:rsid w:val="00A4071F"/>
    <w:rsid w:val="00A426CE"/>
    <w:rsid w:val="00A428B2"/>
    <w:rsid w:val="00A42D10"/>
    <w:rsid w:val="00A4509D"/>
    <w:rsid w:val="00A450EA"/>
    <w:rsid w:val="00A46303"/>
    <w:rsid w:val="00A50CD4"/>
    <w:rsid w:val="00A52FAE"/>
    <w:rsid w:val="00A53909"/>
    <w:rsid w:val="00A54A4A"/>
    <w:rsid w:val="00A5623C"/>
    <w:rsid w:val="00A57A10"/>
    <w:rsid w:val="00A57F06"/>
    <w:rsid w:val="00A600FC"/>
    <w:rsid w:val="00A6068D"/>
    <w:rsid w:val="00A606F7"/>
    <w:rsid w:val="00A60884"/>
    <w:rsid w:val="00A610CB"/>
    <w:rsid w:val="00A63BA3"/>
    <w:rsid w:val="00A643D6"/>
    <w:rsid w:val="00A64DC1"/>
    <w:rsid w:val="00A6623B"/>
    <w:rsid w:val="00A669EE"/>
    <w:rsid w:val="00A7058C"/>
    <w:rsid w:val="00A70B39"/>
    <w:rsid w:val="00A71585"/>
    <w:rsid w:val="00A72224"/>
    <w:rsid w:val="00A76B61"/>
    <w:rsid w:val="00A85598"/>
    <w:rsid w:val="00A856B0"/>
    <w:rsid w:val="00A8607A"/>
    <w:rsid w:val="00A86D8D"/>
    <w:rsid w:val="00A90530"/>
    <w:rsid w:val="00A917A9"/>
    <w:rsid w:val="00A919EA"/>
    <w:rsid w:val="00A91A2A"/>
    <w:rsid w:val="00A94B87"/>
    <w:rsid w:val="00A95EA9"/>
    <w:rsid w:val="00A9750F"/>
    <w:rsid w:val="00AA138C"/>
    <w:rsid w:val="00AA2754"/>
    <w:rsid w:val="00AA599A"/>
    <w:rsid w:val="00AA5E2F"/>
    <w:rsid w:val="00AB2360"/>
    <w:rsid w:val="00AB33F2"/>
    <w:rsid w:val="00AB4082"/>
    <w:rsid w:val="00AB5812"/>
    <w:rsid w:val="00AB5BFC"/>
    <w:rsid w:val="00AB7845"/>
    <w:rsid w:val="00AC0BF0"/>
    <w:rsid w:val="00AC135D"/>
    <w:rsid w:val="00AC2072"/>
    <w:rsid w:val="00AC40DC"/>
    <w:rsid w:val="00AC4ECB"/>
    <w:rsid w:val="00AD2528"/>
    <w:rsid w:val="00AD3F9D"/>
    <w:rsid w:val="00AD4746"/>
    <w:rsid w:val="00AD5010"/>
    <w:rsid w:val="00AD59CB"/>
    <w:rsid w:val="00AE1375"/>
    <w:rsid w:val="00AE20C4"/>
    <w:rsid w:val="00AE2731"/>
    <w:rsid w:val="00AE3244"/>
    <w:rsid w:val="00AE4C05"/>
    <w:rsid w:val="00AE564E"/>
    <w:rsid w:val="00AE6725"/>
    <w:rsid w:val="00AE6BE8"/>
    <w:rsid w:val="00AE6FA9"/>
    <w:rsid w:val="00AF12B7"/>
    <w:rsid w:val="00AF2498"/>
    <w:rsid w:val="00AF2E1D"/>
    <w:rsid w:val="00AF4D26"/>
    <w:rsid w:val="00AF4F2E"/>
    <w:rsid w:val="00AF73A4"/>
    <w:rsid w:val="00B00BAD"/>
    <w:rsid w:val="00B00DA4"/>
    <w:rsid w:val="00B03860"/>
    <w:rsid w:val="00B04D19"/>
    <w:rsid w:val="00B05A10"/>
    <w:rsid w:val="00B0677C"/>
    <w:rsid w:val="00B0691A"/>
    <w:rsid w:val="00B07C49"/>
    <w:rsid w:val="00B10FCB"/>
    <w:rsid w:val="00B11252"/>
    <w:rsid w:val="00B1153E"/>
    <w:rsid w:val="00B1358E"/>
    <w:rsid w:val="00B145B3"/>
    <w:rsid w:val="00B14813"/>
    <w:rsid w:val="00B152AE"/>
    <w:rsid w:val="00B16649"/>
    <w:rsid w:val="00B17C41"/>
    <w:rsid w:val="00B17FDB"/>
    <w:rsid w:val="00B24B51"/>
    <w:rsid w:val="00B2760F"/>
    <w:rsid w:val="00B31B92"/>
    <w:rsid w:val="00B320D9"/>
    <w:rsid w:val="00B32135"/>
    <w:rsid w:val="00B321D4"/>
    <w:rsid w:val="00B32676"/>
    <w:rsid w:val="00B330B9"/>
    <w:rsid w:val="00B33559"/>
    <w:rsid w:val="00B341A3"/>
    <w:rsid w:val="00B3495F"/>
    <w:rsid w:val="00B34AF6"/>
    <w:rsid w:val="00B34CBF"/>
    <w:rsid w:val="00B36F24"/>
    <w:rsid w:val="00B37C7C"/>
    <w:rsid w:val="00B40DAD"/>
    <w:rsid w:val="00B42361"/>
    <w:rsid w:val="00B429D4"/>
    <w:rsid w:val="00B433E4"/>
    <w:rsid w:val="00B458D2"/>
    <w:rsid w:val="00B46541"/>
    <w:rsid w:val="00B4660F"/>
    <w:rsid w:val="00B5191C"/>
    <w:rsid w:val="00B51F46"/>
    <w:rsid w:val="00B556DA"/>
    <w:rsid w:val="00B56C0F"/>
    <w:rsid w:val="00B5758A"/>
    <w:rsid w:val="00B6338C"/>
    <w:rsid w:val="00B6355E"/>
    <w:rsid w:val="00B64471"/>
    <w:rsid w:val="00B65B84"/>
    <w:rsid w:val="00B7272A"/>
    <w:rsid w:val="00B73133"/>
    <w:rsid w:val="00B74629"/>
    <w:rsid w:val="00B75102"/>
    <w:rsid w:val="00B75F90"/>
    <w:rsid w:val="00B8036D"/>
    <w:rsid w:val="00B803D5"/>
    <w:rsid w:val="00B82C78"/>
    <w:rsid w:val="00B84A5C"/>
    <w:rsid w:val="00B87124"/>
    <w:rsid w:val="00B92D10"/>
    <w:rsid w:val="00B93671"/>
    <w:rsid w:val="00B93841"/>
    <w:rsid w:val="00B948D2"/>
    <w:rsid w:val="00B94908"/>
    <w:rsid w:val="00B95598"/>
    <w:rsid w:val="00B97F39"/>
    <w:rsid w:val="00BA34A2"/>
    <w:rsid w:val="00BA478A"/>
    <w:rsid w:val="00BA66F5"/>
    <w:rsid w:val="00BA726F"/>
    <w:rsid w:val="00BB5958"/>
    <w:rsid w:val="00BC0399"/>
    <w:rsid w:val="00BC09A4"/>
    <w:rsid w:val="00BC2111"/>
    <w:rsid w:val="00BC6272"/>
    <w:rsid w:val="00BD0FA0"/>
    <w:rsid w:val="00BD0FD6"/>
    <w:rsid w:val="00BD284B"/>
    <w:rsid w:val="00BD2B98"/>
    <w:rsid w:val="00BD2F6E"/>
    <w:rsid w:val="00BD7382"/>
    <w:rsid w:val="00BD7BD3"/>
    <w:rsid w:val="00BE0D0E"/>
    <w:rsid w:val="00BE1037"/>
    <w:rsid w:val="00BE379A"/>
    <w:rsid w:val="00BE395D"/>
    <w:rsid w:val="00BE482D"/>
    <w:rsid w:val="00BE5DB7"/>
    <w:rsid w:val="00BE6BFB"/>
    <w:rsid w:val="00BF0159"/>
    <w:rsid w:val="00BF3308"/>
    <w:rsid w:val="00BF5B8B"/>
    <w:rsid w:val="00BF6301"/>
    <w:rsid w:val="00C00CF3"/>
    <w:rsid w:val="00C01B41"/>
    <w:rsid w:val="00C03495"/>
    <w:rsid w:val="00C104FE"/>
    <w:rsid w:val="00C118F2"/>
    <w:rsid w:val="00C11946"/>
    <w:rsid w:val="00C1385A"/>
    <w:rsid w:val="00C20CDA"/>
    <w:rsid w:val="00C20DC3"/>
    <w:rsid w:val="00C216FA"/>
    <w:rsid w:val="00C221F5"/>
    <w:rsid w:val="00C2421A"/>
    <w:rsid w:val="00C27D33"/>
    <w:rsid w:val="00C31286"/>
    <w:rsid w:val="00C31A5B"/>
    <w:rsid w:val="00C32478"/>
    <w:rsid w:val="00C34C0E"/>
    <w:rsid w:val="00C35EF2"/>
    <w:rsid w:val="00C403B4"/>
    <w:rsid w:val="00C406DE"/>
    <w:rsid w:val="00C411FE"/>
    <w:rsid w:val="00C41B61"/>
    <w:rsid w:val="00C434F9"/>
    <w:rsid w:val="00C447AD"/>
    <w:rsid w:val="00C45CC3"/>
    <w:rsid w:val="00C45CCE"/>
    <w:rsid w:val="00C46170"/>
    <w:rsid w:val="00C4634D"/>
    <w:rsid w:val="00C467CA"/>
    <w:rsid w:val="00C467D4"/>
    <w:rsid w:val="00C46941"/>
    <w:rsid w:val="00C47381"/>
    <w:rsid w:val="00C47FAD"/>
    <w:rsid w:val="00C5278E"/>
    <w:rsid w:val="00C538D8"/>
    <w:rsid w:val="00C550EA"/>
    <w:rsid w:val="00C569AB"/>
    <w:rsid w:val="00C57F0D"/>
    <w:rsid w:val="00C63AA7"/>
    <w:rsid w:val="00C666AF"/>
    <w:rsid w:val="00C711DA"/>
    <w:rsid w:val="00C71863"/>
    <w:rsid w:val="00C718DA"/>
    <w:rsid w:val="00C72BBA"/>
    <w:rsid w:val="00C73873"/>
    <w:rsid w:val="00C75FCC"/>
    <w:rsid w:val="00C80322"/>
    <w:rsid w:val="00C8433A"/>
    <w:rsid w:val="00C85C00"/>
    <w:rsid w:val="00C86431"/>
    <w:rsid w:val="00C91224"/>
    <w:rsid w:val="00C9316D"/>
    <w:rsid w:val="00C9387E"/>
    <w:rsid w:val="00C948FD"/>
    <w:rsid w:val="00C975B4"/>
    <w:rsid w:val="00C97FB9"/>
    <w:rsid w:val="00CA031B"/>
    <w:rsid w:val="00CA155E"/>
    <w:rsid w:val="00CA1E20"/>
    <w:rsid w:val="00CA2E10"/>
    <w:rsid w:val="00CA3668"/>
    <w:rsid w:val="00CA3D9D"/>
    <w:rsid w:val="00CA6A60"/>
    <w:rsid w:val="00CA7999"/>
    <w:rsid w:val="00CB14EE"/>
    <w:rsid w:val="00CB28AF"/>
    <w:rsid w:val="00CB4E0C"/>
    <w:rsid w:val="00CB6814"/>
    <w:rsid w:val="00CB7943"/>
    <w:rsid w:val="00CC0DD8"/>
    <w:rsid w:val="00CC233B"/>
    <w:rsid w:val="00CD056E"/>
    <w:rsid w:val="00CD0B50"/>
    <w:rsid w:val="00CD1405"/>
    <w:rsid w:val="00CD518F"/>
    <w:rsid w:val="00CD61CE"/>
    <w:rsid w:val="00CD7279"/>
    <w:rsid w:val="00CE192F"/>
    <w:rsid w:val="00CE2A7F"/>
    <w:rsid w:val="00CE3610"/>
    <w:rsid w:val="00CE5CE6"/>
    <w:rsid w:val="00CE6D32"/>
    <w:rsid w:val="00CF00CF"/>
    <w:rsid w:val="00CF24CD"/>
    <w:rsid w:val="00CF2922"/>
    <w:rsid w:val="00CF3D00"/>
    <w:rsid w:val="00CF4EF2"/>
    <w:rsid w:val="00CF5221"/>
    <w:rsid w:val="00CF5822"/>
    <w:rsid w:val="00CF5841"/>
    <w:rsid w:val="00CF5A9B"/>
    <w:rsid w:val="00CF61A2"/>
    <w:rsid w:val="00CF6672"/>
    <w:rsid w:val="00D01B92"/>
    <w:rsid w:val="00D03A5F"/>
    <w:rsid w:val="00D04F6A"/>
    <w:rsid w:val="00D07E6A"/>
    <w:rsid w:val="00D10174"/>
    <w:rsid w:val="00D11E74"/>
    <w:rsid w:val="00D11FEB"/>
    <w:rsid w:val="00D13DED"/>
    <w:rsid w:val="00D13E5D"/>
    <w:rsid w:val="00D144A4"/>
    <w:rsid w:val="00D20423"/>
    <w:rsid w:val="00D20698"/>
    <w:rsid w:val="00D22308"/>
    <w:rsid w:val="00D22435"/>
    <w:rsid w:val="00D23711"/>
    <w:rsid w:val="00D25823"/>
    <w:rsid w:val="00D2649F"/>
    <w:rsid w:val="00D2742F"/>
    <w:rsid w:val="00D309E0"/>
    <w:rsid w:val="00D34D79"/>
    <w:rsid w:val="00D36CA4"/>
    <w:rsid w:val="00D37896"/>
    <w:rsid w:val="00D400D4"/>
    <w:rsid w:val="00D4181C"/>
    <w:rsid w:val="00D41A30"/>
    <w:rsid w:val="00D469E3"/>
    <w:rsid w:val="00D50A41"/>
    <w:rsid w:val="00D52ABB"/>
    <w:rsid w:val="00D5313C"/>
    <w:rsid w:val="00D532DC"/>
    <w:rsid w:val="00D53C62"/>
    <w:rsid w:val="00D550C0"/>
    <w:rsid w:val="00D57B54"/>
    <w:rsid w:val="00D62F5A"/>
    <w:rsid w:val="00D63557"/>
    <w:rsid w:val="00D63E9B"/>
    <w:rsid w:val="00D71C75"/>
    <w:rsid w:val="00D76AAD"/>
    <w:rsid w:val="00D76DCC"/>
    <w:rsid w:val="00D81E75"/>
    <w:rsid w:val="00D82A70"/>
    <w:rsid w:val="00D82B55"/>
    <w:rsid w:val="00D83702"/>
    <w:rsid w:val="00D838C4"/>
    <w:rsid w:val="00D85B99"/>
    <w:rsid w:val="00D863D3"/>
    <w:rsid w:val="00D9659F"/>
    <w:rsid w:val="00D96656"/>
    <w:rsid w:val="00D96BC4"/>
    <w:rsid w:val="00D96DF5"/>
    <w:rsid w:val="00DA01F4"/>
    <w:rsid w:val="00DA0F8B"/>
    <w:rsid w:val="00DA4C8E"/>
    <w:rsid w:val="00DA704B"/>
    <w:rsid w:val="00DB4FE0"/>
    <w:rsid w:val="00DB5EFB"/>
    <w:rsid w:val="00DB75E1"/>
    <w:rsid w:val="00DC60E2"/>
    <w:rsid w:val="00DC61A2"/>
    <w:rsid w:val="00DD0B73"/>
    <w:rsid w:val="00DD139E"/>
    <w:rsid w:val="00DD4DA6"/>
    <w:rsid w:val="00DD5BC5"/>
    <w:rsid w:val="00DD7AA4"/>
    <w:rsid w:val="00DE1C7B"/>
    <w:rsid w:val="00DE33B8"/>
    <w:rsid w:val="00DE370C"/>
    <w:rsid w:val="00DE3B9C"/>
    <w:rsid w:val="00DE48BE"/>
    <w:rsid w:val="00DE4ACD"/>
    <w:rsid w:val="00DE5489"/>
    <w:rsid w:val="00DF25A4"/>
    <w:rsid w:val="00DF32C0"/>
    <w:rsid w:val="00DF4AC7"/>
    <w:rsid w:val="00DF568A"/>
    <w:rsid w:val="00DF5E31"/>
    <w:rsid w:val="00DF5EF4"/>
    <w:rsid w:val="00DF72F3"/>
    <w:rsid w:val="00E00230"/>
    <w:rsid w:val="00E003B7"/>
    <w:rsid w:val="00E00442"/>
    <w:rsid w:val="00E015B8"/>
    <w:rsid w:val="00E02445"/>
    <w:rsid w:val="00E02F88"/>
    <w:rsid w:val="00E043C4"/>
    <w:rsid w:val="00E047E9"/>
    <w:rsid w:val="00E0521D"/>
    <w:rsid w:val="00E074E3"/>
    <w:rsid w:val="00E108DA"/>
    <w:rsid w:val="00E127D5"/>
    <w:rsid w:val="00E12CA3"/>
    <w:rsid w:val="00E13B7B"/>
    <w:rsid w:val="00E142EC"/>
    <w:rsid w:val="00E158DF"/>
    <w:rsid w:val="00E2037B"/>
    <w:rsid w:val="00E219F5"/>
    <w:rsid w:val="00E2203D"/>
    <w:rsid w:val="00E220AD"/>
    <w:rsid w:val="00E222BB"/>
    <w:rsid w:val="00E22517"/>
    <w:rsid w:val="00E23F30"/>
    <w:rsid w:val="00E26258"/>
    <w:rsid w:val="00E26A33"/>
    <w:rsid w:val="00E27FFC"/>
    <w:rsid w:val="00E335F8"/>
    <w:rsid w:val="00E3454D"/>
    <w:rsid w:val="00E352D8"/>
    <w:rsid w:val="00E36D56"/>
    <w:rsid w:val="00E377AA"/>
    <w:rsid w:val="00E404A7"/>
    <w:rsid w:val="00E41613"/>
    <w:rsid w:val="00E4166F"/>
    <w:rsid w:val="00E4190C"/>
    <w:rsid w:val="00E41BB3"/>
    <w:rsid w:val="00E42966"/>
    <w:rsid w:val="00E47313"/>
    <w:rsid w:val="00E47E16"/>
    <w:rsid w:val="00E52B88"/>
    <w:rsid w:val="00E53B43"/>
    <w:rsid w:val="00E53BC4"/>
    <w:rsid w:val="00E54558"/>
    <w:rsid w:val="00E55296"/>
    <w:rsid w:val="00E603BE"/>
    <w:rsid w:val="00E61C1E"/>
    <w:rsid w:val="00E61E3D"/>
    <w:rsid w:val="00E61F16"/>
    <w:rsid w:val="00E65C58"/>
    <w:rsid w:val="00E6688E"/>
    <w:rsid w:val="00E67755"/>
    <w:rsid w:val="00E67830"/>
    <w:rsid w:val="00E67A45"/>
    <w:rsid w:val="00E721A2"/>
    <w:rsid w:val="00E72CDA"/>
    <w:rsid w:val="00E76BD1"/>
    <w:rsid w:val="00E77098"/>
    <w:rsid w:val="00E7793E"/>
    <w:rsid w:val="00E7794B"/>
    <w:rsid w:val="00E77A8F"/>
    <w:rsid w:val="00E804F0"/>
    <w:rsid w:val="00E8474D"/>
    <w:rsid w:val="00E87046"/>
    <w:rsid w:val="00E87FB2"/>
    <w:rsid w:val="00E932E8"/>
    <w:rsid w:val="00E9569E"/>
    <w:rsid w:val="00E959BD"/>
    <w:rsid w:val="00E96851"/>
    <w:rsid w:val="00EA0351"/>
    <w:rsid w:val="00EA151B"/>
    <w:rsid w:val="00EA1694"/>
    <w:rsid w:val="00EA28DD"/>
    <w:rsid w:val="00EA2ADC"/>
    <w:rsid w:val="00EA3777"/>
    <w:rsid w:val="00EA3B04"/>
    <w:rsid w:val="00EA55C2"/>
    <w:rsid w:val="00EA759A"/>
    <w:rsid w:val="00EA7FE4"/>
    <w:rsid w:val="00EB06DD"/>
    <w:rsid w:val="00EB11E2"/>
    <w:rsid w:val="00EB59D0"/>
    <w:rsid w:val="00EB648A"/>
    <w:rsid w:val="00EB6C95"/>
    <w:rsid w:val="00EB6E90"/>
    <w:rsid w:val="00EB71B3"/>
    <w:rsid w:val="00EC103F"/>
    <w:rsid w:val="00EC10EC"/>
    <w:rsid w:val="00EC18A9"/>
    <w:rsid w:val="00EC1E11"/>
    <w:rsid w:val="00EC2608"/>
    <w:rsid w:val="00EC2DD4"/>
    <w:rsid w:val="00EC2FD2"/>
    <w:rsid w:val="00EC388A"/>
    <w:rsid w:val="00EC3C48"/>
    <w:rsid w:val="00EC4A7C"/>
    <w:rsid w:val="00EC5DBC"/>
    <w:rsid w:val="00EC6B89"/>
    <w:rsid w:val="00ED1496"/>
    <w:rsid w:val="00ED343A"/>
    <w:rsid w:val="00ED364A"/>
    <w:rsid w:val="00ED38DD"/>
    <w:rsid w:val="00ED3FA9"/>
    <w:rsid w:val="00ED3FB1"/>
    <w:rsid w:val="00ED59EE"/>
    <w:rsid w:val="00ED6823"/>
    <w:rsid w:val="00ED68F5"/>
    <w:rsid w:val="00ED7690"/>
    <w:rsid w:val="00EE137A"/>
    <w:rsid w:val="00EE1A08"/>
    <w:rsid w:val="00EE22E1"/>
    <w:rsid w:val="00EE3199"/>
    <w:rsid w:val="00EE34D1"/>
    <w:rsid w:val="00EF142F"/>
    <w:rsid w:val="00EF21BC"/>
    <w:rsid w:val="00EF22DA"/>
    <w:rsid w:val="00EF3802"/>
    <w:rsid w:val="00EF3B04"/>
    <w:rsid w:val="00EF431B"/>
    <w:rsid w:val="00EF4920"/>
    <w:rsid w:val="00EF72B0"/>
    <w:rsid w:val="00EF7E8F"/>
    <w:rsid w:val="00F00C40"/>
    <w:rsid w:val="00F00CD5"/>
    <w:rsid w:val="00F010D9"/>
    <w:rsid w:val="00F01245"/>
    <w:rsid w:val="00F03EE5"/>
    <w:rsid w:val="00F04A79"/>
    <w:rsid w:val="00F05DE8"/>
    <w:rsid w:val="00F06310"/>
    <w:rsid w:val="00F12F9E"/>
    <w:rsid w:val="00F15297"/>
    <w:rsid w:val="00F20732"/>
    <w:rsid w:val="00F21CF6"/>
    <w:rsid w:val="00F228CA"/>
    <w:rsid w:val="00F23427"/>
    <w:rsid w:val="00F26EAA"/>
    <w:rsid w:val="00F30D37"/>
    <w:rsid w:val="00F334DB"/>
    <w:rsid w:val="00F33616"/>
    <w:rsid w:val="00F37E2C"/>
    <w:rsid w:val="00F413E2"/>
    <w:rsid w:val="00F426EE"/>
    <w:rsid w:val="00F43176"/>
    <w:rsid w:val="00F43699"/>
    <w:rsid w:val="00F4413E"/>
    <w:rsid w:val="00F4439D"/>
    <w:rsid w:val="00F44CFD"/>
    <w:rsid w:val="00F456C2"/>
    <w:rsid w:val="00F4570D"/>
    <w:rsid w:val="00F5180C"/>
    <w:rsid w:val="00F51B36"/>
    <w:rsid w:val="00F521F4"/>
    <w:rsid w:val="00F54121"/>
    <w:rsid w:val="00F548F8"/>
    <w:rsid w:val="00F54AC6"/>
    <w:rsid w:val="00F57008"/>
    <w:rsid w:val="00F61E91"/>
    <w:rsid w:val="00F73987"/>
    <w:rsid w:val="00F75DFC"/>
    <w:rsid w:val="00F7694A"/>
    <w:rsid w:val="00F80721"/>
    <w:rsid w:val="00F80CD3"/>
    <w:rsid w:val="00F80FDF"/>
    <w:rsid w:val="00F86B8A"/>
    <w:rsid w:val="00F86FC4"/>
    <w:rsid w:val="00F8787B"/>
    <w:rsid w:val="00F87E94"/>
    <w:rsid w:val="00F910E1"/>
    <w:rsid w:val="00F91229"/>
    <w:rsid w:val="00F916F6"/>
    <w:rsid w:val="00F92145"/>
    <w:rsid w:val="00F93CB3"/>
    <w:rsid w:val="00F94C2A"/>
    <w:rsid w:val="00F94E39"/>
    <w:rsid w:val="00F95CFC"/>
    <w:rsid w:val="00F96E87"/>
    <w:rsid w:val="00F97925"/>
    <w:rsid w:val="00F97DD0"/>
    <w:rsid w:val="00FA15F2"/>
    <w:rsid w:val="00FA26A0"/>
    <w:rsid w:val="00FA2D8D"/>
    <w:rsid w:val="00FA3B4C"/>
    <w:rsid w:val="00FA424D"/>
    <w:rsid w:val="00FA54B3"/>
    <w:rsid w:val="00FA59CF"/>
    <w:rsid w:val="00FA6E4F"/>
    <w:rsid w:val="00FA70A7"/>
    <w:rsid w:val="00FB0D80"/>
    <w:rsid w:val="00FB1992"/>
    <w:rsid w:val="00FB1F67"/>
    <w:rsid w:val="00FB4701"/>
    <w:rsid w:val="00FB4BB4"/>
    <w:rsid w:val="00FB55BD"/>
    <w:rsid w:val="00FC3975"/>
    <w:rsid w:val="00FC4E86"/>
    <w:rsid w:val="00FC53F3"/>
    <w:rsid w:val="00FC6F59"/>
    <w:rsid w:val="00FD0C75"/>
    <w:rsid w:val="00FD0C89"/>
    <w:rsid w:val="00FD125F"/>
    <w:rsid w:val="00FD188C"/>
    <w:rsid w:val="00FD2E83"/>
    <w:rsid w:val="00FD3305"/>
    <w:rsid w:val="00FD49E9"/>
    <w:rsid w:val="00FD6185"/>
    <w:rsid w:val="00FE05A8"/>
    <w:rsid w:val="00FE09D2"/>
    <w:rsid w:val="00FE2373"/>
    <w:rsid w:val="00FE49AA"/>
    <w:rsid w:val="00FE65D1"/>
    <w:rsid w:val="00FF26F3"/>
    <w:rsid w:val="00FF2D34"/>
    <w:rsid w:val="00FF4113"/>
    <w:rsid w:val="00FF4458"/>
    <w:rsid w:val="00FF4652"/>
    <w:rsid w:val="00FF6786"/>
    <w:rsid w:val="00FF6EB2"/>
    <w:rsid w:val="00FF74E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737F8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zh-TW"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79A"/>
    <w:rPr>
      <w:sz w:val="24"/>
      <w:szCs w:val="24"/>
      <w:lang w:eastAsia="bg-BG"/>
    </w:rPr>
  </w:style>
  <w:style w:type="paragraph" w:styleId="Heading1">
    <w:name w:val="heading 1"/>
    <w:basedOn w:val="Normal"/>
    <w:next w:val="Normal"/>
    <w:qFormat/>
    <w:rsid w:val="000B2EB1"/>
    <w:pPr>
      <w:keepNext/>
      <w:ind w:firstLine="3544"/>
      <w:outlineLvl w:val="0"/>
    </w:pPr>
    <w:rPr>
      <w:b/>
      <w:sz w:val="28"/>
      <w:szCs w:val="20"/>
      <w:lang w:eastAsia="en-US"/>
    </w:rPr>
  </w:style>
  <w:style w:type="paragraph" w:styleId="Heading4">
    <w:name w:val="heading 4"/>
    <w:basedOn w:val="Normal"/>
    <w:next w:val="Normal"/>
    <w:link w:val="Heading4Char"/>
    <w:semiHidden/>
    <w:unhideWhenUsed/>
    <w:qFormat/>
    <w:rsid w:val="007B4CF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A94B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E96851"/>
    <w:pPr>
      <w:tabs>
        <w:tab w:val="center" w:pos="4536"/>
        <w:tab w:val="right" w:pos="9072"/>
      </w:tabs>
    </w:pPr>
  </w:style>
  <w:style w:type="character" w:styleId="PageNumber">
    <w:name w:val="page number"/>
    <w:basedOn w:val="DefaultParagraphFont"/>
    <w:rsid w:val="00E96851"/>
  </w:style>
  <w:style w:type="paragraph" w:styleId="Header">
    <w:name w:val="header"/>
    <w:aliases w:val="Header Char,Header Char2 Char,Header Char1 Char1 Char,Header Char Char Char1 Char,Header Char1 Char Char Char Char,Header Char Char Char Char Char Char,Header Char Char1 Char,Header Char1 Char Char1 Char,Header Char Char Char Char1 Char"/>
    <w:basedOn w:val="Normal"/>
    <w:link w:val="HeaderChar1"/>
    <w:rsid w:val="00E96851"/>
    <w:pPr>
      <w:tabs>
        <w:tab w:val="center" w:pos="4536"/>
        <w:tab w:val="right" w:pos="9072"/>
      </w:tabs>
    </w:pPr>
  </w:style>
  <w:style w:type="paragraph" w:styleId="BodyTextIndent">
    <w:name w:val="Body Text Indent"/>
    <w:basedOn w:val="Normal"/>
    <w:rsid w:val="000B2EB1"/>
    <w:pPr>
      <w:ind w:left="720" w:firstLine="720"/>
    </w:pPr>
    <w:rPr>
      <w:szCs w:val="20"/>
      <w:lang w:eastAsia="en-US"/>
    </w:rPr>
  </w:style>
  <w:style w:type="paragraph" w:styleId="Title">
    <w:name w:val="Title"/>
    <w:basedOn w:val="Normal"/>
    <w:qFormat/>
    <w:rsid w:val="000B2EB1"/>
    <w:pPr>
      <w:spacing w:before="240" w:after="60"/>
      <w:jc w:val="center"/>
      <w:outlineLvl w:val="0"/>
    </w:pPr>
    <w:rPr>
      <w:rFonts w:ascii="Arial" w:hAnsi="Arial" w:cs="Arial"/>
      <w:b/>
      <w:bCs/>
      <w:kern w:val="28"/>
      <w:sz w:val="32"/>
      <w:szCs w:val="32"/>
      <w:lang w:eastAsia="en-US"/>
    </w:rPr>
  </w:style>
  <w:style w:type="paragraph" w:styleId="Subtitle">
    <w:name w:val="Subtitle"/>
    <w:basedOn w:val="Normal"/>
    <w:qFormat/>
    <w:rsid w:val="000B2EB1"/>
    <w:pPr>
      <w:spacing w:after="60"/>
      <w:jc w:val="center"/>
      <w:outlineLvl w:val="1"/>
    </w:pPr>
    <w:rPr>
      <w:rFonts w:ascii="Arial" w:hAnsi="Arial" w:cs="Arial"/>
      <w:lang w:eastAsia="en-US"/>
    </w:rPr>
  </w:style>
  <w:style w:type="character" w:styleId="Hyperlink">
    <w:name w:val="Hyperlink"/>
    <w:rsid w:val="006D7E56"/>
    <w:rPr>
      <w:color w:val="0000FF"/>
      <w:u w:val="single"/>
    </w:rPr>
  </w:style>
  <w:style w:type="character" w:customStyle="1" w:styleId="HeaderChar1">
    <w:name w:val="Header Char1"/>
    <w:aliases w:val="Header Char Char,Header Char2 Char Char,Header Char1 Char1 Char Char,Header Char Char Char1 Char Char,Header Char1 Char Char Char Char Char,Header Char Char Char Char Char Char Char,Header Char Char1 Char Char"/>
    <w:link w:val="Header"/>
    <w:locked/>
    <w:rsid w:val="004B2E13"/>
    <w:rPr>
      <w:sz w:val="24"/>
      <w:szCs w:val="24"/>
      <w:lang w:val="bg-BG" w:eastAsia="bg-BG" w:bidi="ar-SA"/>
    </w:rPr>
  </w:style>
  <w:style w:type="paragraph" w:styleId="BalloonText">
    <w:name w:val="Balloon Text"/>
    <w:basedOn w:val="Normal"/>
    <w:semiHidden/>
    <w:rsid w:val="00A32258"/>
    <w:rPr>
      <w:rFonts w:ascii="Tahoma" w:hAnsi="Tahoma" w:cs="Tahoma"/>
      <w:sz w:val="16"/>
      <w:szCs w:val="16"/>
    </w:rPr>
  </w:style>
  <w:style w:type="character" w:customStyle="1" w:styleId="samedocreference1">
    <w:name w:val="samedocreference1"/>
    <w:rsid w:val="00E41613"/>
    <w:rPr>
      <w:i w:val="0"/>
      <w:iCs w:val="0"/>
      <w:color w:val="8B0000"/>
      <w:u w:val="single"/>
    </w:rPr>
  </w:style>
  <w:style w:type="character" w:customStyle="1" w:styleId="newdocreference1">
    <w:name w:val="newdocreference1"/>
    <w:rsid w:val="0076408A"/>
    <w:rPr>
      <w:i w:val="0"/>
      <w:iCs w:val="0"/>
      <w:color w:val="0000FF"/>
      <w:u w:val="single"/>
    </w:rPr>
  </w:style>
  <w:style w:type="paragraph" w:styleId="BodyText">
    <w:name w:val="Body Text"/>
    <w:basedOn w:val="Normal"/>
    <w:link w:val="BodyTextChar"/>
    <w:rsid w:val="000632EC"/>
    <w:pPr>
      <w:spacing w:after="120"/>
    </w:pPr>
  </w:style>
  <w:style w:type="character" w:customStyle="1" w:styleId="BodyTextChar">
    <w:name w:val="Body Text Char"/>
    <w:link w:val="BodyText"/>
    <w:rsid w:val="000632EC"/>
    <w:rPr>
      <w:sz w:val="24"/>
      <w:szCs w:val="24"/>
      <w:lang w:val="bg-BG" w:eastAsia="bg-BG"/>
    </w:rPr>
  </w:style>
  <w:style w:type="character" w:styleId="Strong">
    <w:name w:val="Strong"/>
    <w:uiPriority w:val="22"/>
    <w:qFormat/>
    <w:rsid w:val="005A1896"/>
    <w:rPr>
      <w:b/>
      <w:bCs/>
    </w:rPr>
  </w:style>
  <w:style w:type="character" w:styleId="Emphasis">
    <w:name w:val="Emphasis"/>
    <w:uiPriority w:val="20"/>
    <w:qFormat/>
    <w:rsid w:val="005A1896"/>
    <w:rPr>
      <w:i/>
      <w:iCs/>
    </w:rPr>
  </w:style>
  <w:style w:type="character" w:customStyle="1" w:styleId="ldef1">
    <w:name w:val="ldef1"/>
    <w:rsid w:val="00AE3244"/>
    <w:rPr>
      <w:rFonts w:ascii="Times New Roman" w:hAnsi="Times New Roman" w:cs="Times New Roman" w:hint="default"/>
      <w:color w:val="000000"/>
      <w:sz w:val="24"/>
      <w:szCs w:val="24"/>
    </w:rPr>
  </w:style>
  <w:style w:type="character" w:customStyle="1" w:styleId="FooterChar">
    <w:name w:val="Footer Char"/>
    <w:basedOn w:val="DefaultParagraphFont"/>
    <w:link w:val="Footer"/>
    <w:uiPriority w:val="99"/>
    <w:rsid w:val="00AF12B7"/>
    <w:rPr>
      <w:sz w:val="24"/>
      <w:szCs w:val="24"/>
      <w:lang w:eastAsia="bg-BG"/>
    </w:rPr>
  </w:style>
  <w:style w:type="paragraph" w:styleId="ListParagraph">
    <w:name w:val="List Paragraph"/>
    <w:basedOn w:val="Normal"/>
    <w:uiPriority w:val="1"/>
    <w:qFormat/>
    <w:rsid w:val="00022060"/>
    <w:pPr>
      <w:ind w:left="720"/>
      <w:contextualSpacing/>
    </w:pPr>
  </w:style>
  <w:style w:type="character" w:customStyle="1" w:styleId="Heading4Char">
    <w:name w:val="Heading 4 Char"/>
    <w:basedOn w:val="DefaultParagraphFont"/>
    <w:link w:val="Heading4"/>
    <w:semiHidden/>
    <w:rsid w:val="007B4CFC"/>
    <w:rPr>
      <w:rFonts w:asciiTheme="majorHAnsi" w:eastAsiaTheme="majorEastAsia" w:hAnsiTheme="majorHAnsi" w:cstheme="majorBidi"/>
      <w:b/>
      <w:bCs/>
      <w:i/>
      <w:iCs/>
      <w:color w:val="4F81BD" w:themeColor="accent1"/>
      <w:sz w:val="24"/>
      <w:szCs w:val="24"/>
      <w:lang w:eastAsia="bg-BG"/>
    </w:rPr>
  </w:style>
  <w:style w:type="paragraph" w:styleId="NormalWeb">
    <w:name w:val="Normal (Web)"/>
    <w:basedOn w:val="Normal"/>
    <w:uiPriority w:val="99"/>
    <w:unhideWhenUsed/>
    <w:rsid w:val="004739E7"/>
    <w:pPr>
      <w:spacing w:before="100" w:beforeAutospacing="1" w:after="100" w:afterAutospacing="1"/>
    </w:pPr>
    <w:rPr>
      <w:lang w:val="en-US" w:eastAsia="en-US"/>
    </w:rPr>
  </w:style>
  <w:style w:type="paragraph" w:customStyle="1" w:styleId="TableParagraph">
    <w:name w:val="Table Paragraph"/>
    <w:basedOn w:val="Normal"/>
    <w:uiPriority w:val="1"/>
    <w:qFormat/>
    <w:rsid w:val="00E219F5"/>
    <w:pPr>
      <w:widowControl w:val="0"/>
      <w:autoSpaceDE w:val="0"/>
      <w:autoSpaceDN w:val="0"/>
      <w:spacing w:line="256" w:lineRule="exact"/>
      <w:jc w:val="center"/>
    </w:pPr>
    <w:rPr>
      <w:sz w:val="22"/>
      <w:szCs w:val="22"/>
      <w:lang w:eastAsia="en-US"/>
    </w:rPr>
  </w:style>
  <w:style w:type="character" w:customStyle="1" w:styleId="cursorpointer">
    <w:name w:val="cursorpointer"/>
    <w:basedOn w:val="DefaultParagraphFont"/>
    <w:rsid w:val="00ED1496"/>
  </w:style>
  <w:style w:type="paragraph" w:customStyle="1" w:styleId="Default">
    <w:name w:val="Default"/>
    <w:rsid w:val="00DF32C0"/>
    <w:pPr>
      <w:autoSpaceDE w:val="0"/>
      <w:autoSpaceDN w:val="0"/>
      <w:adjustRightInd w:val="0"/>
    </w:pPr>
    <w:rPr>
      <w:rFonts w:ascii="Calibri" w:hAnsi="Calibri" w:cs="Calibri"/>
      <w:color w:val="000000"/>
      <w:sz w:val="24"/>
      <w:szCs w:val="24"/>
      <w:lang w:val="en-US"/>
    </w:rPr>
  </w:style>
  <w:style w:type="character" w:styleId="CommentReference">
    <w:name w:val="annotation reference"/>
    <w:basedOn w:val="DefaultParagraphFont"/>
    <w:uiPriority w:val="99"/>
    <w:semiHidden/>
    <w:unhideWhenUsed/>
    <w:rsid w:val="0019192E"/>
    <w:rPr>
      <w:sz w:val="16"/>
      <w:szCs w:val="16"/>
    </w:rPr>
  </w:style>
  <w:style w:type="paragraph" w:styleId="CommentText">
    <w:name w:val="annotation text"/>
    <w:basedOn w:val="Normal"/>
    <w:link w:val="CommentTextChar"/>
    <w:uiPriority w:val="99"/>
    <w:unhideWhenUsed/>
    <w:rsid w:val="0019192E"/>
    <w:pPr>
      <w:spacing w:after="160"/>
    </w:pPr>
    <w:rPr>
      <w:rFonts w:asciiTheme="minorHAnsi" w:eastAsiaTheme="minorEastAsia" w:hAnsiTheme="minorHAnsi" w:cstheme="minorBidi"/>
      <w:sz w:val="20"/>
      <w:szCs w:val="20"/>
      <w:lang w:val="en-US" w:eastAsia="en-US"/>
    </w:rPr>
  </w:style>
  <w:style w:type="character" w:customStyle="1" w:styleId="CommentTextChar">
    <w:name w:val="Comment Text Char"/>
    <w:basedOn w:val="DefaultParagraphFont"/>
    <w:link w:val="CommentText"/>
    <w:uiPriority w:val="99"/>
    <w:rsid w:val="0019192E"/>
    <w:rPr>
      <w:rFonts w:asciiTheme="minorHAnsi" w:eastAsiaTheme="minorEastAsia" w:hAnsiTheme="minorHAnsi" w:cstheme="minorBidi"/>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zh-TW"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iPriority="22" w:unhideWhenUsed="0" w:qFormat="1"/>
    <w:lsdException w:name="Emphasis" w:semiHidden="0" w:uiPriority="20" w:unhideWhenUsed="0" w:qFormat="1"/>
    <w:lsdException w:name="Normal (Web)" w:uiPriority="99"/>
    <w:lsdException w:name="Balloon Text" w:semiHidden="0" w:unhideWhenUsed="0"/>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79A"/>
    <w:rPr>
      <w:sz w:val="24"/>
      <w:szCs w:val="24"/>
      <w:lang w:eastAsia="bg-BG"/>
    </w:rPr>
  </w:style>
  <w:style w:type="paragraph" w:styleId="Heading1">
    <w:name w:val="heading 1"/>
    <w:basedOn w:val="Normal"/>
    <w:next w:val="Normal"/>
    <w:qFormat/>
    <w:rsid w:val="000B2EB1"/>
    <w:pPr>
      <w:keepNext/>
      <w:ind w:firstLine="3544"/>
      <w:outlineLvl w:val="0"/>
    </w:pPr>
    <w:rPr>
      <w:b/>
      <w:sz w:val="28"/>
      <w:szCs w:val="20"/>
      <w:lang w:eastAsia="en-US"/>
    </w:rPr>
  </w:style>
  <w:style w:type="paragraph" w:styleId="Heading4">
    <w:name w:val="heading 4"/>
    <w:basedOn w:val="Normal"/>
    <w:next w:val="Normal"/>
    <w:link w:val="Heading4Char"/>
    <w:semiHidden/>
    <w:unhideWhenUsed/>
    <w:qFormat/>
    <w:rsid w:val="007B4CF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A94B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E96851"/>
    <w:pPr>
      <w:tabs>
        <w:tab w:val="center" w:pos="4536"/>
        <w:tab w:val="right" w:pos="9072"/>
      </w:tabs>
    </w:pPr>
  </w:style>
  <w:style w:type="character" w:styleId="PageNumber">
    <w:name w:val="page number"/>
    <w:basedOn w:val="DefaultParagraphFont"/>
    <w:rsid w:val="00E96851"/>
  </w:style>
  <w:style w:type="paragraph" w:styleId="Header">
    <w:name w:val="header"/>
    <w:aliases w:val="Header Char,Header Char2 Char,Header Char1 Char1 Char,Header Char Char Char1 Char,Header Char1 Char Char Char Char,Header Char Char Char Char Char Char,Header Char Char1 Char,Header Char1 Char Char1 Char,Header Char Char Char Char1 Char"/>
    <w:basedOn w:val="Normal"/>
    <w:link w:val="HeaderChar1"/>
    <w:rsid w:val="00E96851"/>
    <w:pPr>
      <w:tabs>
        <w:tab w:val="center" w:pos="4536"/>
        <w:tab w:val="right" w:pos="9072"/>
      </w:tabs>
    </w:pPr>
  </w:style>
  <w:style w:type="paragraph" w:styleId="BodyTextIndent">
    <w:name w:val="Body Text Indent"/>
    <w:basedOn w:val="Normal"/>
    <w:rsid w:val="000B2EB1"/>
    <w:pPr>
      <w:ind w:left="720" w:firstLine="720"/>
    </w:pPr>
    <w:rPr>
      <w:szCs w:val="20"/>
      <w:lang w:eastAsia="en-US"/>
    </w:rPr>
  </w:style>
  <w:style w:type="paragraph" w:styleId="Title">
    <w:name w:val="Title"/>
    <w:basedOn w:val="Normal"/>
    <w:qFormat/>
    <w:rsid w:val="000B2EB1"/>
    <w:pPr>
      <w:spacing w:before="240" w:after="60"/>
      <w:jc w:val="center"/>
      <w:outlineLvl w:val="0"/>
    </w:pPr>
    <w:rPr>
      <w:rFonts w:ascii="Arial" w:hAnsi="Arial" w:cs="Arial"/>
      <w:b/>
      <w:bCs/>
      <w:kern w:val="28"/>
      <w:sz w:val="32"/>
      <w:szCs w:val="32"/>
      <w:lang w:eastAsia="en-US"/>
    </w:rPr>
  </w:style>
  <w:style w:type="paragraph" w:styleId="Subtitle">
    <w:name w:val="Subtitle"/>
    <w:basedOn w:val="Normal"/>
    <w:qFormat/>
    <w:rsid w:val="000B2EB1"/>
    <w:pPr>
      <w:spacing w:after="60"/>
      <w:jc w:val="center"/>
      <w:outlineLvl w:val="1"/>
    </w:pPr>
    <w:rPr>
      <w:rFonts w:ascii="Arial" w:hAnsi="Arial" w:cs="Arial"/>
      <w:lang w:eastAsia="en-US"/>
    </w:rPr>
  </w:style>
  <w:style w:type="character" w:styleId="Hyperlink">
    <w:name w:val="Hyperlink"/>
    <w:rsid w:val="006D7E56"/>
    <w:rPr>
      <w:color w:val="0000FF"/>
      <w:u w:val="single"/>
    </w:rPr>
  </w:style>
  <w:style w:type="character" w:customStyle="1" w:styleId="HeaderChar1">
    <w:name w:val="Header Char1"/>
    <w:aliases w:val="Header Char Char,Header Char2 Char Char,Header Char1 Char1 Char Char,Header Char Char Char1 Char Char,Header Char1 Char Char Char Char Char,Header Char Char Char Char Char Char Char,Header Char Char1 Char Char"/>
    <w:link w:val="Header"/>
    <w:locked/>
    <w:rsid w:val="004B2E13"/>
    <w:rPr>
      <w:sz w:val="24"/>
      <w:szCs w:val="24"/>
      <w:lang w:val="bg-BG" w:eastAsia="bg-BG" w:bidi="ar-SA"/>
    </w:rPr>
  </w:style>
  <w:style w:type="paragraph" w:styleId="BalloonText">
    <w:name w:val="Balloon Text"/>
    <w:basedOn w:val="Normal"/>
    <w:semiHidden/>
    <w:rsid w:val="00A32258"/>
    <w:rPr>
      <w:rFonts w:ascii="Tahoma" w:hAnsi="Tahoma" w:cs="Tahoma"/>
      <w:sz w:val="16"/>
      <w:szCs w:val="16"/>
    </w:rPr>
  </w:style>
  <w:style w:type="character" w:customStyle="1" w:styleId="samedocreference1">
    <w:name w:val="samedocreference1"/>
    <w:rsid w:val="00E41613"/>
    <w:rPr>
      <w:i w:val="0"/>
      <w:iCs w:val="0"/>
      <w:color w:val="8B0000"/>
      <w:u w:val="single"/>
    </w:rPr>
  </w:style>
  <w:style w:type="character" w:customStyle="1" w:styleId="newdocreference1">
    <w:name w:val="newdocreference1"/>
    <w:rsid w:val="0076408A"/>
    <w:rPr>
      <w:i w:val="0"/>
      <w:iCs w:val="0"/>
      <w:color w:val="0000FF"/>
      <w:u w:val="single"/>
    </w:rPr>
  </w:style>
  <w:style w:type="paragraph" w:styleId="BodyText">
    <w:name w:val="Body Text"/>
    <w:basedOn w:val="Normal"/>
    <w:link w:val="BodyTextChar"/>
    <w:rsid w:val="000632EC"/>
    <w:pPr>
      <w:spacing w:after="120"/>
    </w:pPr>
  </w:style>
  <w:style w:type="character" w:customStyle="1" w:styleId="BodyTextChar">
    <w:name w:val="Body Text Char"/>
    <w:link w:val="BodyText"/>
    <w:rsid w:val="000632EC"/>
    <w:rPr>
      <w:sz w:val="24"/>
      <w:szCs w:val="24"/>
      <w:lang w:val="bg-BG" w:eastAsia="bg-BG"/>
    </w:rPr>
  </w:style>
  <w:style w:type="character" w:styleId="Strong">
    <w:name w:val="Strong"/>
    <w:uiPriority w:val="22"/>
    <w:qFormat/>
    <w:rsid w:val="005A1896"/>
    <w:rPr>
      <w:b/>
      <w:bCs/>
    </w:rPr>
  </w:style>
  <w:style w:type="character" w:styleId="Emphasis">
    <w:name w:val="Emphasis"/>
    <w:uiPriority w:val="20"/>
    <w:qFormat/>
    <w:rsid w:val="005A1896"/>
    <w:rPr>
      <w:i/>
      <w:iCs/>
    </w:rPr>
  </w:style>
  <w:style w:type="character" w:customStyle="1" w:styleId="ldef1">
    <w:name w:val="ldef1"/>
    <w:rsid w:val="00AE3244"/>
    <w:rPr>
      <w:rFonts w:ascii="Times New Roman" w:hAnsi="Times New Roman" w:cs="Times New Roman" w:hint="default"/>
      <w:color w:val="000000"/>
      <w:sz w:val="24"/>
      <w:szCs w:val="24"/>
    </w:rPr>
  </w:style>
  <w:style w:type="character" w:customStyle="1" w:styleId="FooterChar">
    <w:name w:val="Footer Char"/>
    <w:basedOn w:val="DefaultParagraphFont"/>
    <w:link w:val="Footer"/>
    <w:uiPriority w:val="99"/>
    <w:rsid w:val="00AF12B7"/>
    <w:rPr>
      <w:sz w:val="24"/>
      <w:szCs w:val="24"/>
      <w:lang w:eastAsia="bg-BG"/>
    </w:rPr>
  </w:style>
  <w:style w:type="paragraph" w:styleId="ListParagraph">
    <w:name w:val="List Paragraph"/>
    <w:basedOn w:val="Normal"/>
    <w:uiPriority w:val="1"/>
    <w:qFormat/>
    <w:rsid w:val="00022060"/>
    <w:pPr>
      <w:ind w:left="720"/>
      <w:contextualSpacing/>
    </w:pPr>
  </w:style>
  <w:style w:type="character" w:customStyle="1" w:styleId="Heading4Char">
    <w:name w:val="Heading 4 Char"/>
    <w:basedOn w:val="DefaultParagraphFont"/>
    <w:link w:val="Heading4"/>
    <w:semiHidden/>
    <w:rsid w:val="007B4CFC"/>
    <w:rPr>
      <w:rFonts w:asciiTheme="majorHAnsi" w:eastAsiaTheme="majorEastAsia" w:hAnsiTheme="majorHAnsi" w:cstheme="majorBidi"/>
      <w:b/>
      <w:bCs/>
      <w:i/>
      <w:iCs/>
      <w:color w:val="4F81BD" w:themeColor="accent1"/>
      <w:sz w:val="24"/>
      <w:szCs w:val="24"/>
      <w:lang w:eastAsia="bg-BG"/>
    </w:rPr>
  </w:style>
  <w:style w:type="paragraph" w:styleId="NormalWeb">
    <w:name w:val="Normal (Web)"/>
    <w:basedOn w:val="Normal"/>
    <w:uiPriority w:val="99"/>
    <w:unhideWhenUsed/>
    <w:rsid w:val="004739E7"/>
    <w:pPr>
      <w:spacing w:before="100" w:beforeAutospacing="1" w:after="100" w:afterAutospacing="1"/>
    </w:pPr>
    <w:rPr>
      <w:lang w:val="en-US" w:eastAsia="en-US"/>
    </w:rPr>
  </w:style>
  <w:style w:type="paragraph" w:customStyle="1" w:styleId="TableParagraph">
    <w:name w:val="Table Paragraph"/>
    <w:basedOn w:val="Normal"/>
    <w:uiPriority w:val="1"/>
    <w:qFormat/>
    <w:rsid w:val="00E219F5"/>
    <w:pPr>
      <w:widowControl w:val="0"/>
      <w:autoSpaceDE w:val="0"/>
      <w:autoSpaceDN w:val="0"/>
      <w:spacing w:line="256" w:lineRule="exact"/>
      <w:jc w:val="center"/>
    </w:pPr>
    <w:rPr>
      <w:sz w:val="22"/>
      <w:szCs w:val="22"/>
      <w:lang w:eastAsia="en-US"/>
    </w:rPr>
  </w:style>
  <w:style w:type="character" w:customStyle="1" w:styleId="cursorpointer">
    <w:name w:val="cursorpointer"/>
    <w:basedOn w:val="DefaultParagraphFont"/>
    <w:rsid w:val="00ED1496"/>
  </w:style>
  <w:style w:type="paragraph" w:customStyle="1" w:styleId="Default">
    <w:name w:val="Default"/>
    <w:rsid w:val="00DF32C0"/>
    <w:pPr>
      <w:autoSpaceDE w:val="0"/>
      <w:autoSpaceDN w:val="0"/>
      <w:adjustRightInd w:val="0"/>
    </w:pPr>
    <w:rPr>
      <w:rFonts w:ascii="Calibri" w:hAnsi="Calibri" w:cs="Calibri"/>
      <w:color w:val="000000"/>
      <w:sz w:val="24"/>
      <w:szCs w:val="24"/>
      <w:lang w:val="en-US"/>
    </w:rPr>
  </w:style>
  <w:style w:type="character" w:styleId="CommentReference">
    <w:name w:val="annotation reference"/>
    <w:basedOn w:val="DefaultParagraphFont"/>
    <w:uiPriority w:val="99"/>
    <w:semiHidden/>
    <w:unhideWhenUsed/>
    <w:rsid w:val="0019192E"/>
    <w:rPr>
      <w:sz w:val="16"/>
      <w:szCs w:val="16"/>
    </w:rPr>
  </w:style>
  <w:style w:type="paragraph" w:styleId="CommentText">
    <w:name w:val="annotation text"/>
    <w:basedOn w:val="Normal"/>
    <w:link w:val="CommentTextChar"/>
    <w:uiPriority w:val="99"/>
    <w:unhideWhenUsed/>
    <w:rsid w:val="0019192E"/>
    <w:pPr>
      <w:spacing w:after="160"/>
    </w:pPr>
    <w:rPr>
      <w:rFonts w:asciiTheme="minorHAnsi" w:eastAsiaTheme="minorEastAsia" w:hAnsiTheme="minorHAnsi" w:cstheme="minorBidi"/>
      <w:sz w:val="20"/>
      <w:szCs w:val="20"/>
      <w:lang w:val="en-US" w:eastAsia="en-US"/>
    </w:rPr>
  </w:style>
  <w:style w:type="character" w:customStyle="1" w:styleId="CommentTextChar">
    <w:name w:val="Comment Text Char"/>
    <w:basedOn w:val="DefaultParagraphFont"/>
    <w:link w:val="CommentText"/>
    <w:uiPriority w:val="99"/>
    <w:rsid w:val="0019192E"/>
    <w:rPr>
      <w:rFonts w:asciiTheme="minorHAnsi" w:eastAsiaTheme="minorEastAsia" w:hAnsiTheme="minorHAnsi" w:cstheme="minorBid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19115">
      <w:bodyDiv w:val="1"/>
      <w:marLeft w:val="0"/>
      <w:marRight w:val="0"/>
      <w:marTop w:val="0"/>
      <w:marBottom w:val="0"/>
      <w:divBdr>
        <w:top w:val="none" w:sz="0" w:space="0" w:color="auto"/>
        <w:left w:val="none" w:sz="0" w:space="0" w:color="auto"/>
        <w:bottom w:val="none" w:sz="0" w:space="0" w:color="auto"/>
        <w:right w:val="none" w:sz="0" w:space="0" w:color="auto"/>
      </w:divBdr>
      <w:divsChild>
        <w:div w:id="1687975567">
          <w:marLeft w:val="0"/>
          <w:marRight w:val="0"/>
          <w:marTop w:val="0"/>
          <w:marBottom w:val="120"/>
          <w:divBdr>
            <w:top w:val="none" w:sz="0" w:space="0" w:color="auto"/>
            <w:left w:val="none" w:sz="0" w:space="0" w:color="auto"/>
            <w:bottom w:val="none" w:sz="0" w:space="0" w:color="auto"/>
            <w:right w:val="none" w:sz="0" w:space="0" w:color="auto"/>
          </w:divBdr>
          <w:divsChild>
            <w:div w:id="898714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99176">
      <w:bodyDiv w:val="1"/>
      <w:marLeft w:val="0"/>
      <w:marRight w:val="0"/>
      <w:marTop w:val="0"/>
      <w:marBottom w:val="0"/>
      <w:divBdr>
        <w:top w:val="none" w:sz="0" w:space="0" w:color="auto"/>
        <w:left w:val="none" w:sz="0" w:space="0" w:color="auto"/>
        <w:bottom w:val="none" w:sz="0" w:space="0" w:color="auto"/>
        <w:right w:val="none" w:sz="0" w:space="0" w:color="auto"/>
      </w:divBdr>
      <w:divsChild>
        <w:div w:id="967053671">
          <w:marLeft w:val="0"/>
          <w:marRight w:val="0"/>
          <w:marTop w:val="0"/>
          <w:marBottom w:val="0"/>
          <w:divBdr>
            <w:top w:val="none" w:sz="0" w:space="0" w:color="auto"/>
            <w:left w:val="none" w:sz="0" w:space="0" w:color="auto"/>
            <w:bottom w:val="none" w:sz="0" w:space="0" w:color="auto"/>
            <w:right w:val="none" w:sz="0" w:space="0" w:color="auto"/>
          </w:divBdr>
        </w:div>
        <w:div w:id="735903870">
          <w:marLeft w:val="0"/>
          <w:marRight w:val="0"/>
          <w:marTop w:val="0"/>
          <w:marBottom w:val="0"/>
          <w:divBdr>
            <w:top w:val="none" w:sz="0" w:space="0" w:color="auto"/>
            <w:left w:val="none" w:sz="0" w:space="0" w:color="auto"/>
            <w:bottom w:val="none" w:sz="0" w:space="0" w:color="auto"/>
            <w:right w:val="none" w:sz="0" w:space="0" w:color="auto"/>
          </w:divBdr>
        </w:div>
        <w:div w:id="2086605958">
          <w:marLeft w:val="0"/>
          <w:marRight w:val="0"/>
          <w:marTop w:val="0"/>
          <w:marBottom w:val="0"/>
          <w:divBdr>
            <w:top w:val="none" w:sz="0" w:space="0" w:color="auto"/>
            <w:left w:val="none" w:sz="0" w:space="0" w:color="auto"/>
            <w:bottom w:val="none" w:sz="0" w:space="0" w:color="auto"/>
            <w:right w:val="none" w:sz="0" w:space="0" w:color="auto"/>
          </w:divBdr>
        </w:div>
        <w:div w:id="1700621787">
          <w:marLeft w:val="0"/>
          <w:marRight w:val="0"/>
          <w:marTop w:val="0"/>
          <w:marBottom w:val="0"/>
          <w:divBdr>
            <w:top w:val="none" w:sz="0" w:space="0" w:color="auto"/>
            <w:left w:val="none" w:sz="0" w:space="0" w:color="auto"/>
            <w:bottom w:val="none" w:sz="0" w:space="0" w:color="auto"/>
            <w:right w:val="none" w:sz="0" w:space="0" w:color="auto"/>
          </w:divBdr>
        </w:div>
        <w:div w:id="141235504">
          <w:marLeft w:val="0"/>
          <w:marRight w:val="0"/>
          <w:marTop w:val="0"/>
          <w:marBottom w:val="0"/>
          <w:divBdr>
            <w:top w:val="none" w:sz="0" w:space="0" w:color="auto"/>
            <w:left w:val="none" w:sz="0" w:space="0" w:color="auto"/>
            <w:bottom w:val="none" w:sz="0" w:space="0" w:color="auto"/>
            <w:right w:val="none" w:sz="0" w:space="0" w:color="auto"/>
          </w:divBdr>
        </w:div>
        <w:div w:id="1486585083">
          <w:marLeft w:val="0"/>
          <w:marRight w:val="0"/>
          <w:marTop w:val="0"/>
          <w:marBottom w:val="0"/>
          <w:divBdr>
            <w:top w:val="none" w:sz="0" w:space="0" w:color="auto"/>
            <w:left w:val="none" w:sz="0" w:space="0" w:color="auto"/>
            <w:bottom w:val="none" w:sz="0" w:space="0" w:color="auto"/>
            <w:right w:val="none" w:sz="0" w:space="0" w:color="auto"/>
          </w:divBdr>
        </w:div>
        <w:div w:id="1155225914">
          <w:marLeft w:val="0"/>
          <w:marRight w:val="0"/>
          <w:marTop w:val="0"/>
          <w:marBottom w:val="0"/>
          <w:divBdr>
            <w:top w:val="none" w:sz="0" w:space="0" w:color="auto"/>
            <w:left w:val="none" w:sz="0" w:space="0" w:color="auto"/>
            <w:bottom w:val="none" w:sz="0" w:space="0" w:color="auto"/>
            <w:right w:val="none" w:sz="0" w:space="0" w:color="auto"/>
          </w:divBdr>
        </w:div>
        <w:div w:id="399907130">
          <w:marLeft w:val="0"/>
          <w:marRight w:val="0"/>
          <w:marTop w:val="0"/>
          <w:marBottom w:val="0"/>
          <w:divBdr>
            <w:top w:val="none" w:sz="0" w:space="0" w:color="auto"/>
            <w:left w:val="none" w:sz="0" w:space="0" w:color="auto"/>
            <w:bottom w:val="none" w:sz="0" w:space="0" w:color="auto"/>
            <w:right w:val="none" w:sz="0" w:space="0" w:color="auto"/>
          </w:divBdr>
        </w:div>
        <w:div w:id="1722317904">
          <w:marLeft w:val="0"/>
          <w:marRight w:val="0"/>
          <w:marTop w:val="0"/>
          <w:marBottom w:val="0"/>
          <w:divBdr>
            <w:top w:val="none" w:sz="0" w:space="0" w:color="auto"/>
            <w:left w:val="none" w:sz="0" w:space="0" w:color="auto"/>
            <w:bottom w:val="none" w:sz="0" w:space="0" w:color="auto"/>
            <w:right w:val="none" w:sz="0" w:space="0" w:color="auto"/>
          </w:divBdr>
        </w:div>
        <w:div w:id="948509823">
          <w:marLeft w:val="0"/>
          <w:marRight w:val="0"/>
          <w:marTop w:val="0"/>
          <w:marBottom w:val="0"/>
          <w:divBdr>
            <w:top w:val="none" w:sz="0" w:space="0" w:color="auto"/>
            <w:left w:val="none" w:sz="0" w:space="0" w:color="auto"/>
            <w:bottom w:val="none" w:sz="0" w:space="0" w:color="auto"/>
            <w:right w:val="none" w:sz="0" w:space="0" w:color="auto"/>
          </w:divBdr>
        </w:div>
        <w:div w:id="1148209473">
          <w:marLeft w:val="0"/>
          <w:marRight w:val="0"/>
          <w:marTop w:val="0"/>
          <w:marBottom w:val="0"/>
          <w:divBdr>
            <w:top w:val="none" w:sz="0" w:space="0" w:color="auto"/>
            <w:left w:val="none" w:sz="0" w:space="0" w:color="auto"/>
            <w:bottom w:val="none" w:sz="0" w:space="0" w:color="auto"/>
            <w:right w:val="none" w:sz="0" w:space="0" w:color="auto"/>
          </w:divBdr>
        </w:div>
        <w:div w:id="1538732719">
          <w:marLeft w:val="0"/>
          <w:marRight w:val="0"/>
          <w:marTop w:val="0"/>
          <w:marBottom w:val="0"/>
          <w:divBdr>
            <w:top w:val="none" w:sz="0" w:space="0" w:color="auto"/>
            <w:left w:val="none" w:sz="0" w:space="0" w:color="auto"/>
            <w:bottom w:val="none" w:sz="0" w:space="0" w:color="auto"/>
            <w:right w:val="none" w:sz="0" w:space="0" w:color="auto"/>
          </w:divBdr>
        </w:div>
        <w:div w:id="2119794530">
          <w:marLeft w:val="0"/>
          <w:marRight w:val="0"/>
          <w:marTop w:val="0"/>
          <w:marBottom w:val="0"/>
          <w:divBdr>
            <w:top w:val="none" w:sz="0" w:space="0" w:color="auto"/>
            <w:left w:val="none" w:sz="0" w:space="0" w:color="auto"/>
            <w:bottom w:val="none" w:sz="0" w:space="0" w:color="auto"/>
            <w:right w:val="none" w:sz="0" w:space="0" w:color="auto"/>
          </w:divBdr>
        </w:div>
        <w:div w:id="1868058019">
          <w:marLeft w:val="0"/>
          <w:marRight w:val="0"/>
          <w:marTop w:val="0"/>
          <w:marBottom w:val="0"/>
          <w:divBdr>
            <w:top w:val="none" w:sz="0" w:space="0" w:color="auto"/>
            <w:left w:val="none" w:sz="0" w:space="0" w:color="auto"/>
            <w:bottom w:val="none" w:sz="0" w:space="0" w:color="auto"/>
            <w:right w:val="none" w:sz="0" w:space="0" w:color="auto"/>
          </w:divBdr>
        </w:div>
        <w:div w:id="2081707230">
          <w:marLeft w:val="0"/>
          <w:marRight w:val="0"/>
          <w:marTop w:val="0"/>
          <w:marBottom w:val="0"/>
          <w:divBdr>
            <w:top w:val="none" w:sz="0" w:space="0" w:color="auto"/>
            <w:left w:val="none" w:sz="0" w:space="0" w:color="auto"/>
            <w:bottom w:val="none" w:sz="0" w:space="0" w:color="auto"/>
            <w:right w:val="none" w:sz="0" w:space="0" w:color="auto"/>
          </w:divBdr>
        </w:div>
        <w:div w:id="1923759429">
          <w:marLeft w:val="0"/>
          <w:marRight w:val="0"/>
          <w:marTop w:val="0"/>
          <w:marBottom w:val="0"/>
          <w:divBdr>
            <w:top w:val="none" w:sz="0" w:space="0" w:color="auto"/>
            <w:left w:val="none" w:sz="0" w:space="0" w:color="auto"/>
            <w:bottom w:val="none" w:sz="0" w:space="0" w:color="auto"/>
            <w:right w:val="none" w:sz="0" w:space="0" w:color="auto"/>
          </w:divBdr>
        </w:div>
        <w:div w:id="464355098">
          <w:marLeft w:val="0"/>
          <w:marRight w:val="0"/>
          <w:marTop w:val="0"/>
          <w:marBottom w:val="0"/>
          <w:divBdr>
            <w:top w:val="none" w:sz="0" w:space="0" w:color="auto"/>
            <w:left w:val="none" w:sz="0" w:space="0" w:color="auto"/>
            <w:bottom w:val="none" w:sz="0" w:space="0" w:color="auto"/>
            <w:right w:val="none" w:sz="0" w:space="0" w:color="auto"/>
          </w:divBdr>
        </w:div>
        <w:div w:id="1230530227">
          <w:marLeft w:val="0"/>
          <w:marRight w:val="0"/>
          <w:marTop w:val="0"/>
          <w:marBottom w:val="0"/>
          <w:divBdr>
            <w:top w:val="none" w:sz="0" w:space="0" w:color="auto"/>
            <w:left w:val="none" w:sz="0" w:space="0" w:color="auto"/>
            <w:bottom w:val="none" w:sz="0" w:space="0" w:color="auto"/>
            <w:right w:val="none" w:sz="0" w:space="0" w:color="auto"/>
          </w:divBdr>
        </w:div>
      </w:divsChild>
    </w:div>
    <w:div w:id="65802792">
      <w:bodyDiv w:val="1"/>
      <w:marLeft w:val="0"/>
      <w:marRight w:val="0"/>
      <w:marTop w:val="0"/>
      <w:marBottom w:val="0"/>
      <w:divBdr>
        <w:top w:val="none" w:sz="0" w:space="0" w:color="auto"/>
        <w:left w:val="none" w:sz="0" w:space="0" w:color="auto"/>
        <w:bottom w:val="none" w:sz="0" w:space="0" w:color="auto"/>
        <w:right w:val="none" w:sz="0" w:space="0" w:color="auto"/>
      </w:divBdr>
    </w:div>
    <w:div w:id="134640021">
      <w:bodyDiv w:val="1"/>
      <w:marLeft w:val="0"/>
      <w:marRight w:val="0"/>
      <w:marTop w:val="0"/>
      <w:marBottom w:val="0"/>
      <w:divBdr>
        <w:top w:val="none" w:sz="0" w:space="0" w:color="auto"/>
        <w:left w:val="none" w:sz="0" w:space="0" w:color="auto"/>
        <w:bottom w:val="none" w:sz="0" w:space="0" w:color="auto"/>
        <w:right w:val="none" w:sz="0" w:space="0" w:color="auto"/>
      </w:divBdr>
    </w:div>
    <w:div w:id="151222705">
      <w:bodyDiv w:val="1"/>
      <w:marLeft w:val="0"/>
      <w:marRight w:val="0"/>
      <w:marTop w:val="0"/>
      <w:marBottom w:val="0"/>
      <w:divBdr>
        <w:top w:val="none" w:sz="0" w:space="0" w:color="auto"/>
        <w:left w:val="none" w:sz="0" w:space="0" w:color="auto"/>
        <w:bottom w:val="none" w:sz="0" w:space="0" w:color="auto"/>
        <w:right w:val="none" w:sz="0" w:space="0" w:color="auto"/>
      </w:divBdr>
    </w:div>
    <w:div w:id="176119055">
      <w:bodyDiv w:val="1"/>
      <w:marLeft w:val="0"/>
      <w:marRight w:val="0"/>
      <w:marTop w:val="0"/>
      <w:marBottom w:val="0"/>
      <w:divBdr>
        <w:top w:val="none" w:sz="0" w:space="0" w:color="auto"/>
        <w:left w:val="none" w:sz="0" w:space="0" w:color="auto"/>
        <w:bottom w:val="none" w:sz="0" w:space="0" w:color="auto"/>
        <w:right w:val="none" w:sz="0" w:space="0" w:color="auto"/>
      </w:divBdr>
    </w:div>
    <w:div w:id="271474486">
      <w:bodyDiv w:val="1"/>
      <w:marLeft w:val="0"/>
      <w:marRight w:val="0"/>
      <w:marTop w:val="0"/>
      <w:marBottom w:val="0"/>
      <w:divBdr>
        <w:top w:val="none" w:sz="0" w:space="0" w:color="auto"/>
        <w:left w:val="none" w:sz="0" w:space="0" w:color="auto"/>
        <w:bottom w:val="none" w:sz="0" w:space="0" w:color="auto"/>
        <w:right w:val="none" w:sz="0" w:space="0" w:color="auto"/>
      </w:divBdr>
    </w:div>
    <w:div w:id="284654660">
      <w:bodyDiv w:val="1"/>
      <w:marLeft w:val="0"/>
      <w:marRight w:val="0"/>
      <w:marTop w:val="0"/>
      <w:marBottom w:val="0"/>
      <w:divBdr>
        <w:top w:val="none" w:sz="0" w:space="0" w:color="auto"/>
        <w:left w:val="none" w:sz="0" w:space="0" w:color="auto"/>
        <w:bottom w:val="none" w:sz="0" w:space="0" w:color="auto"/>
        <w:right w:val="none" w:sz="0" w:space="0" w:color="auto"/>
      </w:divBdr>
    </w:div>
    <w:div w:id="338583921">
      <w:bodyDiv w:val="1"/>
      <w:marLeft w:val="0"/>
      <w:marRight w:val="0"/>
      <w:marTop w:val="0"/>
      <w:marBottom w:val="0"/>
      <w:divBdr>
        <w:top w:val="none" w:sz="0" w:space="0" w:color="auto"/>
        <w:left w:val="none" w:sz="0" w:space="0" w:color="auto"/>
        <w:bottom w:val="none" w:sz="0" w:space="0" w:color="auto"/>
        <w:right w:val="none" w:sz="0" w:space="0" w:color="auto"/>
      </w:divBdr>
    </w:div>
    <w:div w:id="348483733">
      <w:bodyDiv w:val="1"/>
      <w:marLeft w:val="0"/>
      <w:marRight w:val="0"/>
      <w:marTop w:val="0"/>
      <w:marBottom w:val="0"/>
      <w:divBdr>
        <w:top w:val="none" w:sz="0" w:space="0" w:color="auto"/>
        <w:left w:val="none" w:sz="0" w:space="0" w:color="auto"/>
        <w:bottom w:val="none" w:sz="0" w:space="0" w:color="auto"/>
        <w:right w:val="none" w:sz="0" w:space="0" w:color="auto"/>
      </w:divBdr>
    </w:div>
    <w:div w:id="369456756">
      <w:bodyDiv w:val="1"/>
      <w:marLeft w:val="0"/>
      <w:marRight w:val="0"/>
      <w:marTop w:val="0"/>
      <w:marBottom w:val="0"/>
      <w:divBdr>
        <w:top w:val="none" w:sz="0" w:space="0" w:color="auto"/>
        <w:left w:val="none" w:sz="0" w:space="0" w:color="auto"/>
        <w:bottom w:val="none" w:sz="0" w:space="0" w:color="auto"/>
        <w:right w:val="none" w:sz="0" w:space="0" w:color="auto"/>
      </w:divBdr>
    </w:div>
    <w:div w:id="430319929">
      <w:bodyDiv w:val="1"/>
      <w:marLeft w:val="0"/>
      <w:marRight w:val="0"/>
      <w:marTop w:val="0"/>
      <w:marBottom w:val="0"/>
      <w:divBdr>
        <w:top w:val="none" w:sz="0" w:space="0" w:color="auto"/>
        <w:left w:val="none" w:sz="0" w:space="0" w:color="auto"/>
        <w:bottom w:val="none" w:sz="0" w:space="0" w:color="auto"/>
        <w:right w:val="none" w:sz="0" w:space="0" w:color="auto"/>
      </w:divBdr>
    </w:div>
    <w:div w:id="431046404">
      <w:bodyDiv w:val="1"/>
      <w:marLeft w:val="0"/>
      <w:marRight w:val="0"/>
      <w:marTop w:val="0"/>
      <w:marBottom w:val="0"/>
      <w:divBdr>
        <w:top w:val="none" w:sz="0" w:space="0" w:color="auto"/>
        <w:left w:val="none" w:sz="0" w:space="0" w:color="auto"/>
        <w:bottom w:val="none" w:sz="0" w:space="0" w:color="auto"/>
        <w:right w:val="none" w:sz="0" w:space="0" w:color="auto"/>
      </w:divBdr>
      <w:divsChild>
        <w:div w:id="1625575616">
          <w:marLeft w:val="0"/>
          <w:marRight w:val="0"/>
          <w:marTop w:val="0"/>
          <w:marBottom w:val="0"/>
          <w:divBdr>
            <w:top w:val="none" w:sz="0" w:space="0" w:color="auto"/>
            <w:left w:val="none" w:sz="0" w:space="0" w:color="auto"/>
            <w:bottom w:val="none" w:sz="0" w:space="0" w:color="auto"/>
            <w:right w:val="none" w:sz="0" w:space="0" w:color="auto"/>
          </w:divBdr>
        </w:div>
        <w:div w:id="2128041191">
          <w:marLeft w:val="0"/>
          <w:marRight w:val="0"/>
          <w:marTop w:val="0"/>
          <w:marBottom w:val="0"/>
          <w:divBdr>
            <w:top w:val="none" w:sz="0" w:space="0" w:color="auto"/>
            <w:left w:val="none" w:sz="0" w:space="0" w:color="auto"/>
            <w:bottom w:val="none" w:sz="0" w:space="0" w:color="auto"/>
            <w:right w:val="none" w:sz="0" w:space="0" w:color="auto"/>
          </w:divBdr>
        </w:div>
        <w:div w:id="1150057405">
          <w:marLeft w:val="0"/>
          <w:marRight w:val="0"/>
          <w:marTop w:val="0"/>
          <w:marBottom w:val="0"/>
          <w:divBdr>
            <w:top w:val="none" w:sz="0" w:space="0" w:color="auto"/>
            <w:left w:val="none" w:sz="0" w:space="0" w:color="auto"/>
            <w:bottom w:val="none" w:sz="0" w:space="0" w:color="auto"/>
            <w:right w:val="none" w:sz="0" w:space="0" w:color="auto"/>
          </w:divBdr>
        </w:div>
        <w:div w:id="1086652428">
          <w:marLeft w:val="0"/>
          <w:marRight w:val="0"/>
          <w:marTop w:val="0"/>
          <w:marBottom w:val="0"/>
          <w:divBdr>
            <w:top w:val="none" w:sz="0" w:space="0" w:color="auto"/>
            <w:left w:val="none" w:sz="0" w:space="0" w:color="auto"/>
            <w:bottom w:val="none" w:sz="0" w:space="0" w:color="auto"/>
            <w:right w:val="none" w:sz="0" w:space="0" w:color="auto"/>
          </w:divBdr>
        </w:div>
        <w:div w:id="1275669647">
          <w:marLeft w:val="0"/>
          <w:marRight w:val="0"/>
          <w:marTop w:val="0"/>
          <w:marBottom w:val="0"/>
          <w:divBdr>
            <w:top w:val="none" w:sz="0" w:space="0" w:color="auto"/>
            <w:left w:val="none" w:sz="0" w:space="0" w:color="auto"/>
            <w:bottom w:val="none" w:sz="0" w:space="0" w:color="auto"/>
            <w:right w:val="none" w:sz="0" w:space="0" w:color="auto"/>
          </w:divBdr>
        </w:div>
        <w:div w:id="79105314">
          <w:marLeft w:val="0"/>
          <w:marRight w:val="0"/>
          <w:marTop w:val="0"/>
          <w:marBottom w:val="0"/>
          <w:divBdr>
            <w:top w:val="none" w:sz="0" w:space="0" w:color="auto"/>
            <w:left w:val="none" w:sz="0" w:space="0" w:color="auto"/>
            <w:bottom w:val="none" w:sz="0" w:space="0" w:color="auto"/>
            <w:right w:val="none" w:sz="0" w:space="0" w:color="auto"/>
          </w:divBdr>
        </w:div>
        <w:div w:id="1621523021">
          <w:marLeft w:val="0"/>
          <w:marRight w:val="0"/>
          <w:marTop w:val="0"/>
          <w:marBottom w:val="0"/>
          <w:divBdr>
            <w:top w:val="none" w:sz="0" w:space="0" w:color="auto"/>
            <w:left w:val="none" w:sz="0" w:space="0" w:color="auto"/>
            <w:bottom w:val="none" w:sz="0" w:space="0" w:color="auto"/>
            <w:right w:val="none" w:sz="0" w:space="0" w:color="auto"/>
          </w:divBdr>
        </w:div>
        <w:div w:id="84615497">
          <w:marLeft w:val="0"/>
          <w:marRight w:val="0"/>
          <w:marTop w:val="0"/>
          <w:marBottom w:val="0"/>
          <w:divBdr>
            <w:top w:val="none" w:sz="0" w:space="0" w:color="auto"/>
            <w:left w:val="none" w:sz="0" w:space="0" w:color="auto"/>
            <w:bottom w:val="none" w:sz="0" w:space="0" w:color="auto"/>
            <w:right w:val="none" w:sz="0" w:space="0" w:color="auto"/>
          </w:divBdr>
        </w:div>
        <w:div w:id="2101443519">
          <w:marLeft w:val="0"/>
          <w:marRight w:val="0"/>
          <w:marTop w:val="0"/>
          <w:marBottom w:val="0"/>
          <w:divBdr>
            <w:top w:val="none" w:sz="0" w:space="0" w:color="auto"/>
            <w:left w:val="none" w:sz="0" w:space="0" w:color="auto"/>
            <w:bottom w:val="none" w:sz="0" w:space="0" w:color="auto"/>
            <w:right w:val="none" w:sz="0" w:space="0" w:color="auto"/>
          </w:divBdr>
        </w:div>
        <w:div w:id="1983269076">
          <w:marLeft w:val="0"/>
          <w:marRight w:val="0"/>
          <w:marTop w:val="0"/>
          <w:marBottom w:val="0"/>
          <w:divBdr>
            <w:top w:val="none" w:sz="0" w:space="0" w:color="auto"/>
            <w:left w:val="none" w:sz="0" w:space="0" w:color="auto"/>
            <w:bottom w:val="none" w:sz="0" w:space="0" w:color="auto"/>
            <w:right w:val="none" w:sz="0" w:space="0" w:color="auto"/>
          </w:divBdr>
        </w:div>
        <w:div w:id="27071229">
          <w:marLeft w:val="0"/>
          <w:marRight w:val="0"/>
          <w:marTop w:val="0"/>
          <w:marBottom w:val="0"/>
          <w:divBdr>
            <w:top w:val="none" w:sz="0" w:space="0" w:color="auto"/>
            <w:left w:val="none" w:sz="0" w:space="0" w:color="auto"/>
            <w:bottom w:val="none" w:sz="0" w:space="0" w:color="auto"/>
            <w:right w:val="none" w:sz="0" w:space="0" w:color="auto"/>
          </w:divBdr>
        </w:div>
        <w:div w:id="129828551">
          <w:marLeft w:val="0"/>
          <w:marRight w:val="0"/>
          <w:marTop w:val="0"/>
          <w:marBottom w:val="0"/>
          <w:divBdr>
            <w:top w:val="none" w:sz="0" w:space="0" w:color="auto"/>
            <w:left w:val="none" w:sz="0" w:space="0" w:color="auto"/>
            <w:bottom w:val="none" w:sz="0" w:space="0" w:color="auto"/>
            <w:right w:val="none" w:sz="0" w:space="0" w:color="auto"/>
          </w:divBdr>
        </w:div>
        <w:div w:id="388117018">
          <w:marLeft w:val="0"/>
          <w:marRight w:val="0"/>
          <w:marTop w:val="0"/>
          <w:marBottom w:val="0"/>
          <w:divBdr>
            <w:top w:val="none" w:sz="0" w:space="0" w:color="auto"/>
            <w:left w:val="none" w:sz="0" w:space="0" w:color="auto"/>
            <w:bottom w:val="none" w:sz="0" w:space="0" w:color="auto"/>
            <w:right w:val="none" w:sz="0" w:space="0" w:color="auto"/>
          </w:divBdr>
        </w:div>
        <w:div w:id="675765026">
          <w:marLeft w:val="0"/>
          <w:marRight w:val="0"/>
          <w:marTop w:val="0"/>
          <w:marBottom w:val="0"/>
          <w:divBdr>
            <w:top w:val="none" w:sz="0" w:space="0" w:color="auto"/>
            <w:left w:val="none" w:sz="0" w:space="0" w:color="auto"/>
            <w:bottom w:val="none" w:sz="0" w:space="0" w:color="auto"/>
            <w:right w:val="none" w:sz="0" w:space="0" w:color="auto"/>
          </w:divBdr>
        </w:div>
        <w:div w:id="1518041836">
          <w:marLeft w:val="0"/>
          <w:marRight w:val="0"/>
          <w:marTop w:val="0"/>
          <w:marBottom w:val="0"/>
          <w:divBdr>
            <w:top w:val="none" w:sz="0" w:space="0" w:color="auto"/>
            <w:left w:val="none" w:sz="0" w:space="0" w:color="auto"/>
            <w:bottom w:val="none" w:sz="0" w:space="0" w:color="auto"/>
            <w:right w:val="none" w:sz="0" w:space="0" w:color="auto"/>
          </w:divBdr>
        </w:div>
        <w:div w:id="1606964175">
          <w:marLeft w:val="0"/>
          <w:marRight w:val="0"/>
          <w:marTop w:val="0"/>
          <w:marBottom w:val="0"/>
          <w:divBdr>
            <w:top w:val="none" w:sz="0" w:space="0" w:color="auto"/>
            <w:left w:val="none" w:sz="0" w:space="0" w:color="auto"/>
            <w:bottom w:val="none" w:sz="0" w:space="0" w:color="auto"/>
            <w:right w:val="none" w:sz="0" w:space="0" w:color="auto"/>
          </w:divBdr>
        </w:div>
        <w:div w:id="1445882555">
          <w:marLeft w:val="0"/>
          <w:marRight w:val="0"/>
          <w:marTop w:val="0"/>
          <w:marBottom w:val="0"/>
          <w:divBdr>
            <w:top w:val="none" w:sz="0" w:space="0" w:color="auto"/>
            <w:left w:val="none" w:sz="0" w:space="0" w:color="auto"/>
            <w:bottom w:val="none" w:sz="0" w:space="0" w:color="auto"/>
            <w:right w:val="none" w:sz="0" w:space="0" w:color="auto"/>
          </w:divBdr>
        </w:div>
        <w:div w:id="1044209960">
          <w:marLeft w:val="0"/>
          <w:marRight w:val="0"/>
          <w:marTop w:val="0"/>
          <w:marBottom w:val="0"/>
          <w:divBdr>
            <w:top w:val="none" w:sz="0" w:space="0" w:color="auto"/>
            <w:left w:val="none" w:sz="0" w:space="0" w:color="auto"/>
            <w:bottom w:val="none" w:sz="0" w:space="0" w:color="auto"/>
            <w:right w:val="none" w:sz="0" w:space="0" w:color="auto"/>
          </w:divBdr>
        </w:div>
        <w:div w:id="1910264918">
          <w:marLeft w:val="0"/>
          <w:marRight w:val="0"/>
          <w:marTop w:val="0"/>
          <w:marBottom w:val="0"/>
          <w:divBdr>
            <w:top w:val="none" w:sz="0" w:space="0" w:color="auto"/>
            <w:left w:val="none" w:sz="0" w:space="0" w:color="auto"/>
            <w:bottom w:val="none" w:sz="0" w:space="0" w:color="auto"/>
            <w:right w:val="none" w:sz="0" w:space="0" w:color="auto"/>
          </w:divBdr>
        </w:div>
        <w:div w:id="42826605">
          <w:marLeft w:val="0"/>
          <w:marRight w:val="0"/>
          <w:marTop w:val="0"/>
          <w:marBottom w:val="0"/>
          <w:divBdr>
            <w:top w:val="none" w:sz="0" w:space="0" w:color="auto"/>
            <w:left w:val="none" w:sz="0" w:space="0" w:color="auto"/>
            <w:bottom w:val="none" w:sz="0" w:space="0" w:color="auto"/>
            <w:right w:val="none" w:sz="0" w:space="0" w:color="auto"/>
          </w:divBdr>
        </w:div>
        <w:div w:id="830410926">
          <w:marLeft w:val="0"/>
          <w:marRight w:val="0"/>
          <w:marTop w:val="0"/>
          <w:marBottom w:val="0"/>
          <w:divBdr>
            <w:top w:val="none" w:sz="0" w:space="0" w:color="auto"/>
            <w:left w:val="none" w:sz="0" w:space="0" w:color="auto"/>
            <w:bottom w:val="none" w:sz="0" w:space="0" w:color="auto"/>
            <w:right w:val="none" w:sz="0" w:space="0" w:color="auto"/>
          </w:divBdr>
        </w:div>
        <w:div w:id="2065643816">
          <w:marLeft w:val="0"/>
          <w:marRight w:val="0"/>
          <w:marTop w:val="0"/>
          <w:marBottom w:val="0"/>
          <w:divBdr>
            <w:top w:val="none" w:sz="0" w:space="0" w:color="auto"/>
            <w:left w:val="none" w:sz="0" w:space="0" w:color="auto"/>
            <w:bottom w:val="none" w:sz="0" w:space="0" w:color="auto"/>
            <w:right w:val="none" w:sz="0" w:space="0" w:color="auto"/>
          </w:divBdr>
        </w:div>
        <w:div w:id="1071152030">
          <w:marLeft w:val="0"/>
          <w:marRight w:val="0"/>
          <w:marTop w:val="0"/>
          <w:marBottom w:val="0"/>
          <w:divBdr>
            <w:top w:val="none" w:sz="0" w:space="0" w:color="auto"/>
            <w:left w:val="none" w:sz="0" w:space="0" w:color="auto"/>
            <w:bottom w:val="none" w:sz="0" w:space="0" w:color="auto"/>
            <w:right w:val="none" w:sz="0" w:space="0" w:color="auto"/>
          </w:divBdr>
        </w:div>
        <w:div w:id="271015714">
          <w:marLeft w:val="0"/>
          <w:marRight w:val="0"/>
          <w:marTop w:val="0"/>
          <w:marBottom w:val="0"/>
          <w:divBdr>
            <w:top w:val="none" w:sz="0" w:space="0" w:color="auto"/>
            <w:left w:val="none" w:sz="0" w:space="0" w:color="auto"/>
            <w:bottom w:val="none" w:sz="0" w:space="0" w:color="auto"/>
            <w:right w:val="none" w:sz="0" w:space="0" w:color="auto"/>
          </w:divBdr>
        </w:div>
        <w:div w:id="1017538739">
          <w:marLeft w:val="0"/>
          <w:marRight w:val="0"/>
          <w:marTop w:val="0"/>
          <w:marBottom w:val="0"/>
          <w:divBdr>
            <w:top w:val="none" w:sz="0" w:space="0" w:color="auto"/>
            <w:left w:val="none" w:sz="0" w:space="0" w:color="auto"/>
            <w:bottom w:val="none" w:sz="0" w:space="0" w:color="auto"/>
            <w:right w:val="none" w:sz="0" w:space="0" w:color="auto"/>
          </w:divBdr>
        </w:div>
        <w:div w:id="1146124114">
          <w:marLeft w:val="0"/>
          <w:marRight w:val="0"/>
          <w:marTop w:val="0"/>
          <w:marBottom w:val="0"/>
          <w:divBdr>
            <w:top w:val="none" w:sz="0" w:space="0" w:color="auto"/>
            <w:left w:val="none" w:sz="0" w:space="0" w:color="auto"/>
            <w:bottom w:val="none" w:sz="0" w:space="0" w:color="auto"/>
            <w:right w:val="none" w:sz="0" w:space="0" w:color="auto"/>
          </w:divBdr>
        </w:div>
        <w:div w:id="545139258">
          <w:marLeft w:val="0"/>
          <w:marRight w:val="0"/>
          <w:marTop w:val="0"/>
          <w:marBottom w:val="0"/>
          <w:divBdr>
            <w:top w:val="none" w:sz="0" w:space="0" w:color="auto"/>
            <w:left w:val="none" w:sz="0" w:space="0" w:color="auto"/>
            <w:bottom w:val="none" w:sz="0" w:space="0" w:color="auto"/>
            <w:right w:val="none" w:sz="0" w:space="0" w:color="auto"/>
          </w:divBdr>
        </w:div>
        <w:div w:id="1994524623">
          <w:marLeft w:val="0"/>
          <w:marRight w:val="0"/>
          <w:marTop w:val="0"/>
          <w:marBottom w:val="0"/>
          <w:divBdr>
            <w:top w:val="none" w:sz="0" w:space="0" w:color="auto"/>
            <w:left w:val="none" w:sz="0" w:space="0" w:color="auto"/>
            <w:bottom w:val="none" w:sz="0" w:space="0" w:color="auto"/>
            <w:right w:val="none" w:sz="0" w:space="0" w:color="auto"/>
          </w:divBdr>
        </w:div>
        <w:div w:id="400565172">
          <w:marLeft w:val="0"/>
          <w:marRight w:val="0"/>
          <w:marTop w:val="0"/>
          <w:marBottom w:val="0"/>
          <w:divBdr>
            <w:top w:val="none" w:sz="0" w:space="0" w:color="auto"/>
            <w:left w:val="none" w:sz="0" w:space="0" w:color="auto"/>
            <w:bottom w:val="none" w:sz="0" w:space="0" w:color="auto"/>
            <w:right w:val="none" w:sz="0" w:space="0" w:color="auto"/>
          </w:divBdr>
        </w:div>
        <w:div w:id="1283271293">
          <w:marLeft w:val="0"/>
          <w:marRight w:val="0"/>
          <w:marTop w:val="0"/>
          <w:marBottom w:val="0"/>
          <w:divBdr>
            <w:top w:val="none" w:sz="0" w:space="0" w:color="auto"/>
            <w:left w:val="none" w:sz="0" w:space="0" w:color="auto"/>
            <w:bottom w:val="none" w:sz="0" w:space="0" w:color="auto"/>
            <w:right w:val="none" w:sz="0" w:space="0" w:color="auto"/>
          </w:divBdr>
        </w:div>
        <w:div w:id="426733282">
          <w:marLeft w:val="0"/>
          <w:marRight w:val="0"/>
          <w:marTop w:val="0"/>
          <w:marBottom w:val="0"/>
          <w:divBdr>
            <w:top w:val="none" w:sz="0" w:space="0" w:color="auto"/>
            <w:left w:val="none" w:sz="0" w:space="0" w:color="auto"/>
            <w:bottom w:val="none" w:sz="0" w:space="0" w:color="auto"/>
            <w:right w:val="none" w:sz="0" w:space="0" w:color="auto"/>
          </w:divBdr>
        </w:div>
        <w:div w:id="236942402">
          <w:marLeft w:val="0"/>
          <w:marRight w:val="0"/>
          <w:marTop w:val="0"/>
          <w:marBottom w:val="0"/>
          <w:divBdr>
            <w:top w:val="none" w:sz="0" w:space="0" w:color="auto"/>
            <w:left w:val="none" w:sz="0" w:space="0" w:color="auto"/>
            <w:bottom w:val="none" w:sz="0" w:space="0" w:color="auto"/>
            <w:right w:val="none" w:sz="0" w:space="0" w:color="auto"/>
          </w:divBdr>
        </w:div>
        <w:div w:id="957681216">
          <w:marLeft w:val="0"/>
          <w:marRight w:val="0"/>
          <w:marTop w:val="0"/>
          <w:marBottom w:val="0"/>
          <w:divBdr>
            <w:top w:val="none" w:sz="0" w:space="0" w:color="auto"/>
            <w:left w:val="none" w:sz="0" w:space="0" w:color="auto"/>
            <w:bottom w:val="none" w:sz="0" w:space="0" w:color="auto"/>
            <w:right w:val="none" w:sz="0" w:space="0" w:color="auto"/>
          </w:divBdr>
        </w:div>
        <w:div w:id="996417686">
          <w:marLeft w:val="0"/>
          <w:marRight w:val="0"/>
          <w:marTop w:val="0"/>
          <w:marBottom w:val="0"/>
          <w:divBdr>
            <w:top w:val="none" w:sz="0" w:space="0" w:color="auto"/>
            <w:left w:val="none" w:sz="0" w:space="0" w:color="auto"/>
            <w:bottom w:val="none" w:sz="0" w:space="0" w:color="auto"/>
            <w:right w:val="none" w:sz="0" w:space="0" w:color="auto"/>
          </w:divBdr>
        </w:div>
        <w:div w:id="559363966">
          <w:marLeft w:val="0"/>
          <w:marRight w:val="0"/>
          <w:marTop w:val="0"/>
          <w:marBottom w:val="0"/>
          <w:divBdr>
            <w:top w:val="none" w:sz="0" w:space="0" w:color="auto"/>
            <w:left w:val="none" w:sz="0" w:space="0" w:color="auto"/>
            <w:bottom w:val="none" w:sz="0" w:space="0" w:color="auto"/>
            <w:right w:val="none" w:sz="0" w:space="0" w:color="auto"/>
          </w:divBdr>
        </w:div>
        <w:div w:id="1915815225">
          <w:marLeft w:val="0"/>
          <w:marRight w:val="0"/>
          <w:marTop w:val="0"/>
          <w:marBottom w:val="0"/>
          <w:divBdr>
            <w:top w:val="none" w:sz="0" w:space="0" w:color="auto"/>
            <w:left w:val="none" w:sz="0" w:space="0" w:color="auto"/>
            <w:bottom w:val="none" w:sz="0" w:space="0" w:color="auto"/>
            <w:right w:val="none" w:sz="0" w:space="0" w:color="auto"/>
          </w:divBdr>
        </w:div>
        <w:div w:id="1868055993">
          <w:marLeft w:val="0"/>
          <w:marRight w:val="0"/>
          <w:marTop w:val="0"/>
          <w:marBottom w:val="0"/>
          <w:divBdr>
            <w:top w:val="none" w:sz="0" w:space="0" w:color="auto"/>
            <w:left w:val="none" w:sz="0" w:space="0" w:color="auto"/>
            <w:bottom w:val="none" w:sz="0" w:space="0" w:color="auto"/>
            <w:right w:val="none" w:sz="0" w:space="0" w:color="auto"/>
          </w:divBdr>
        </w:div>
        <w:div w:id="2030637776">
          <w:marLeft w:val="0"/>
          <w:marRight w:val="0"/>
          <w:marTop w:val="0"/>
          <w:marBottom w:val="0"/>
          <w:divBdr>
            <w:top w:val="none" w:sz="0" w:space="0" w:color="auto"/>
            <w:left w:val="none" w:sz="0" w:space="0" w:color="auto"/>
            <w:bottom w:val="none" w:sz="0" w:space="0" w:color="auto"/>
            <w:right w:val="none" w:sz="0" w:space="0" w:color="auto"/>
          </w:divBdr>
        </w:div>
        <w:div w:id="1051152130">
          <w:marLeft w:val="0"/>
          <w:marRight w:val="0"/>
          <w:marTop w:val="0"/>
          <w:marBottom w:val="0"/>
          <w:divBdr>
            <w:top w:val="none" w:sz="0" w:space="0" w:color="auto"/>
            <w:left w:val="none" w:sz="0" w:space="0" w:color="auto"/>
            <w:bottom w:val="none" w:sz="0" w:space="0" w:color="auto"/>
            <w:right w:val="none" w:sz="0" w:space="0" w:color="auto"/>
          </w:divBdr>
        </w:div>
      </w:divsChild>
    </w:div>
    <w:div w:id="484706813">
      <w:bodyDiv w:val="1"/>
      <w:marLeft w:val="0"/>
      <w:marRight w:val="0"/>
      <w:marTop w:val="0"/>
      <w:marBottom w:val="0"/>
      <w:divBdr>
        <w:top w:val="none" w:sz="0" w:space="0" w:color="auto"/>
        <w:left w:val="none" w:sz="0" w:space="0" w:color="auto"/>
        <w:bottom w:val="none" w:sz="0" w:space="0" w:color="auto"/>
        <w:right w:val="none" w:sz="0" w:space="0" w:color="auto"/>
      </w:divBdr>
    </w:div>
    <w:div w:id="635452561">
      <w:bodyDiv w:val="1"/>
      <w:marLeft w:val="0"/>
      <w:marRight w:val="0"/>
      <w:marTop w:val="0"/>
      <w:marBottom w:val="0"/>
      <w:divBdr>
        <w:top w:val="none" w:sz="0" w:space="0" w:color="auto"/>
        <w:left w:val="none" w:sz="0" w:space="0" w:color="auto"/>
        <w:bottom w:val="none" w:sz="0" w:space="0" w:color="auto"/>
        <w:right w:val="none" w:sz="0" w:space="0" w:color="auto"/>
      </w:divBdr>
    </w:div>
    <w:div w:id="675040072">
      <w:bodyDiv w:val="1"/>
      <w:marLeft w:val="0"/>
      <w:marRight w:val="0"/>
      <w:marTop w:val="0"/>
      <w:marBottom w:val="0"/>
      <w:divBdr>
        <w:top w:val="none" w:sz="0" w:space="0" w:color="auto"/>
        <w:left w:val="none" w:sz="0" w:space="0" w:color="auto"/>
        <w:bottom w:val="none" w:sz="0" w:space="0" w:color="auto"/>
        <w:right w:val="none" w:sz="0" w:space="0" w:color="auto"/>
      </w:divBdr>
    </w:div>
    <w:div w:id="675379622">
      <w:bodyDiv w:val="1"/>
      <w:marLeft w:val="0"/>
      <w:marRight w:val="0"/>
      <w:marTop w:val="0"/>
      <w:marBottom w:val="0"/>
      <w:divBdr>
        <w:top w:val="none" w:sz="0" w:space="0" w:color="auto"/>
        <w:left w:val="none" w:sz="0" w:space="0" w:color="auto"/>
        <w:bottom w:val="none" w:sz="0" w:space="0" w:color="auto"/>
        <w:right w:val="none" w:sz="0" w:space="0" w:color="auto"/>
      </w:divBdr>
    </w:div>
    <w:div w:id="727187598">
      <w:bodyDiv w:val="1"/>
      <w:marLeft w:val="0"/>
      <w:marRight w:val="0"/>
      <w:marTop w:val="0"/>
      <w:marBottom w:val="0"/>
      <w:divBdr>
        <w:top w:val="none" w:sz="0" w:space="0" w:color="auto"/>
        <w:left w:val="none" w:sz="0" w:space="0" w:color="auto"/>
        <w:bottom w:val="none" w:sz="0" w:space="0" w:color="auto"/>
        <w:right w:val="none" w:sz="0" w:space="0" w:color="auto"/>
      </w:divBdr>
    </w:div>
    <w:div w:id="843281963">
      <w:bodyDiv w:val="1"/>
      <w:marLeft w:val="0"/>
      <w:marRight w:val="0"/>
      <w:marTop w:val="0"/>
      <w:marBottom w:val="0"/>
      <w:divBdr>
        <w:top w:val="none" w:sz="0" w:space="0" w:color="auto"/>
        <w:left w:val="none" w:sz="0" w:space="0" w:color="auto"/>
        <w:bottom w:val="none" w:sz="0" w:space="0" w:color="auto"/>
        <w:right w:val="none" w:sz="0" w:space="0" w:color="auto"/>
      </w:divBdr>
    </w:div>
    <w:div w:id="971054714">
      <w:bodyDiv w:val="1"/>
      <w:marLeft w:val="0"/>
      <w:marRight w:val="0"/>
      <w:marTop w:val="0"/>
      <w:marBottom w:val="0"/>
      <w:divBdr>
        <w:top w:val="none" w:sz="0" w:space="0" w:color="auto"/>
        <w:left w:val="none" w:sz="0" w:space="0" w:color="auto"/>
        <w:bottom w:val="none" w:sz="0" w:space="0" w:color="auto"/>
        <w:right w:val="none" w:sz="0" w:space="0" w:color="auto"/>
      </w:divBdr>
    </w:div>
    <w:div w:id="1065840786">
      <w:bodyDiv w:val="1"/>
      <w:marLeft w:val="0"/>
      <w:marRight w:val="0"/>
      <w:marTop w:val="0"/>
      <w:marBottom w:val="0"/>
      <w:divBdr>
        <w:top w:val="none" w:sz="0" w:space="0" w:color="auto"/>
        <w:left w:val="none" w:sz="0" w:space="0" w:color="auto"/>
        <w:bottom w:val="none" w:sz="0" w:space="0" w:color="auto"/>
        <w:right w:val="none" w:sz="0" w:space="0" w:color="auto"/>
      </w:divBdr>
    </w:div>
    <w:div w:id="1079250217">
      <w:bodyDiv w:val="1"/>
      <w:marLeft w:val="0"/>
      <w:marRight w:val="0"/>
      <w:marTop w:val="0"/>
      <w:marBottom w:val="0"/>
      <w:divBdr>
        <w:top w:val="none" w:sz="0" w:space="0" w:color="auto"/>
        <w:left w:val="none" w:sz="0" w:space="0" w:color="auto"/>
        <w:bottom w:val="none" w:sz="0" w:space="0" w:color="auto"/>
        <w:right w:val="none" w:sz="0" w:space="0" w:color="auto"/>
      </w:divBdr>
      <w:divsChild>
        <w:div w:id="894320457">
          <w:marLeft w:val="0"/>
          <w:marRight w:val="0"/>
          <w:marTop w:val="0"/>
          <w:marBottom w:val="0"/>
          <w:divBdr>
            <w:top w:val="none" w:sz="0" w:space="0" w:color="auto"/>
            <w:left w:val="none" w:sz="0" w:space="0" w:color="auto"/>
            <w:bottom w:val="none" w:sz="0" w:space="0" w:color="auto"/>
            <w:right w:val="none" w:sz="0" w:space="0" w:color="auto"/>
          </w:divBdr>
        </w:div>
        <w:div w:id="1903825521">
          <w:marLeft w:val="0"/>
          <w:marRight w:val="0"/>
          <w:marTop w:val="0"/>
          <w:marBottom w:val="0"/>
          <w:divBdr>
            <w:top w:val="none" w:sz="0" w:space="0" w:color="auto"/>
            <w:left w:val="none" w:sz="0" w:space="0" w:color="auto"/>
            <w:bottom w:val="none" w:sz="0" w:space="0" w:color="auto"/>
            <w:right w:val="none" w:sz="0" w:space="0" w:color="auto"/>
          </w:divBdr>
        </w:div>
        <w:div w:id="1963076639">
          <w:marLeft w:val="0"/>
          <w:marRight w:val="0"/>
          <w:marTop w:val="0"/>
          <w:marBottom w:val="0"/>
          <w:divBdr>
            <w:top w:val="none" w:sz="0" w:space="0" w:color="auto"/>
            <w:left w:val="none" w:sz="0" w:space="0" w:color="auto"/>
            <w:bottom w:val="none" w:sz="0" w:space="0" w:color="auto"/>
            <w:right w:val="none" w:sz="0" w:space="0" w:color="auto"/>
          </w:divBdr>
        </w:div>
        <w:div w:id="693772418">
          <w:marLeft w:val="0"/>
          <w:marRight w:val="0"/>
          <w:marTop w:val="0"/>
          <w:marBottom w:val="0"/>
          <w:divBdr>
            <w:top w:val="none" w:sz="0" w:space="0" w:color="auto"/>
            <w:left w:val="none" w:sz="0" w:space="0" w:color="auto"/>
            <w:bottom w:val="none" w:sz="0" w:space="0" w:color="auto"/>
            <w:right w:val="none" w:sz="0" w:space="0" w:color="auto"/>
          </w:divBdr>
        </w:div>
        <w:div w:id="579296203">
          <w:marLeft w:val="0"/>
          <w:marRight w:val="0"/>
          <w:marTop w:val="0"/>
          <w:marBottom w:val="0"/>
          <w:divBdr>
            <w:top w:val="none" w:sz="0" w:space="0" w:color="auto"/>
            <w:left w:val="none" w:sz="0" w:space="0" w:color="auto"/>
            <w:bottom w:val="none" w:sz="0" w:space="0" w:color="auto"/>
            <w:right w:val="none" w:sz="0" w:space="0" w:color="auto"/>
          </w:divBdr>
        </w:div>
        <w:div w:id="706179224">
          <w:marLeft w:val="0"/>
          <w:marRight w:val="0"/>
          <w:marTop w:val="0"/>
          <w:marBottom w:val="0"/>
          <w:divBdr>
            <w:top w:val="none" w:sz="0" w:space="0" w:color="auto"/>
            <w:left w:val="none" w:sz="0" w:space="0" w:color="auto"/>
            <w:bottom w:val="none" w:sz="0" w:space="0" w:color="auto"/>
            <w:right w:val="none" w:sz="0" w:space="0" w:color="auto"/>
          </w:divBdr>
        </w:div>
        <w:div w:id="675889475">
          <w:marLeft w:val="0"/>
          <w:marRight w:val="0"/>
          <w:marTop w:val="0"/>
          <w:marBottom w:val="0"/>
          <w:divBdr>
            <w:top w:val="none" w:sz="0" w:space="0" w:color="auto"/>
            <w:left w:val="none" w:sz="0" w:space="0" w:color="auto"/>
            <w:bottom w:val="none" w:sz="0" w:space="0" w:color="auto"/>
            <w:right w:val="none" w:sz="0" w:space="0" w:color="auto"/>
          </w:divBdr>
        </w:div>
        <w:div w:id="855072614">
          <w:marLeft w:val="0"/>
          <w:marRight w:val="0"/>
          <w:marTop w:val="0"/>
          <w:marBottom w:val="0"/>
          <w:divBdr>
            <w:top w:val="none" w:sz="0" w:space="0" w:color="auto"/>
            <w:left w:val="none" w:sz="0" w:space="0" w:color="auto"/>
            <w:bottom w:val="none" w:sz="0" w:space="0" w:color="auto"/>
            <w:right w:val="none" w:sz="0" w:space="0" w:color="auto"/>
          </w:divBdr>
        </w:div>
        <w:div w:id="2003774655">
          <w:marLeft w:val="0"/>
          <w:marRight w:val="0"/>
          <w:marTop w:val="0"/>
          <w:marBottom w:val="0"/>
          <w:divBdr>
            <w:top w:val="none" w:sz="0" w:space="0" w:color="auto"/>
            <w:left w:val="none" w:sz="0" w:space="0" w:color="auto"/>
            <w:bottom w:val="none" w:sz="0" w:space="0" w:color="auto"/>
            <w:right w:val="none" w:sz="0" w:space="0" w:color="auto"/>
          </w:divBdr>
        </w:div>
        <w:div w:id="1055659098">
          <w:marLeft w:val="0"/>
          <w:marRight w:val="0"/>
          <w:marTop w:val="0"/>
          <w:marBottom w:val="0"/>
          <w:divBdr>
            <w:top w:val="none" w:sz="0" w:space="0" w:color="auto"/>
            <w:left w:val="none" w:sz="0" w:space="0" w:color="auto"/>
            <w:bottom w:val="none" w:sz="0" w:space="0" w:color="auto"/>
            <w:right w:val="none" w:sz="0" w:space="0" w:color="auto"/>
          </w:divBdr>
        </w:div>
        <w:div w:id="1558975330">
          <w:marLeft w:val="0"/>
          <w:marRight w:val="0"/>
          <w:marTop w:val="0"/>
          <w:marBottom w:val="0"/>
          <w:divBdr>
            <w:top w:val="none" w:sz="0" w:space="0" w:color="auto"/>
            <w:left w:val="none" w:sz="0" w:space="0" w:color="auto"/>
            <w:bottom w:val="none" w:sz="0" w:space="0" w:color="auto"/>
            <w:right w:val="none" w:sz="0" w:space="0" w:color="auto"/>
          </w:divBdr>
        </w:div>
        <w:div w:id="827747340">
          <w:marLeft w:val="0"/>
          <w:marRight w:val="0"/>
          <w:marTop w:val="0"/>
          <w:marBottom w:val="0"/>
          <w:divBdr>
            <w:top w:val="none" w:sz="0" w:space="0" w:color="auto"/>
            <w:left w:val="none" w:sz="0" w:space="0" w:color="auto"/>
            <w:bottom w:val="none" w:sz="0" w:space="0" w:color="auto"/>
            <w:right w:val="none" w:sz="0" w:space="0" w:color="auto"/>
          </w:divBdr>
        </w:div>
        <w:div w:id="1041175312">
          <w:marLeft w:val="0"/>
          <w:marRight w:val="0"/>
          <w:marTop w:val="0"/>
          <w:marBottom w:val="0"/>
          <w:divBdr>
            <w:top w:val="none" w:sz="0" w:space="0" w:color="auto"/>
            <w:left w:val="none" w:sz="0" w:space="0" w:color="auto"/>
            <w:bottom w:val="none" w:sz="0" w:space="0" w:color="auto"/>
            <w:right w:val="none" w:sz="0" w:space="0" w:color="auto"/>
          </w:divBdr>
        </w:div>
        <w:div w:id="1805731593">
          <w:marLeft w:val="0"/>
          <w:marRight w:val="0"/>
          <w:marTop w:val="0"/>
          <w:marBottom w:val="0"/>
          <w:divBdr>
            <w:top w:val="none" w:sz="0" w:space="0" w:color="auto"/>
            <w:left w:val="none" w:sz="0" w:space="0" w:color="auto"/>
            <w:bottom w:val="none" w:sz="0" w:space="0" w:color="auto"/>
            <w:right w:val="none" w:sz="0" w:space="0" w:color="auto"/>
          </w:divBdr>
        </w:div>
        <w:div w:id="1304578326">
          <w:marLeft w:val="0"/>
          <w:marRight w:val="0"/>
          <w:marTop w:val="0"/>
          <w:marBottom w:val="0"/>
          <w:divBdr>
            <w:top w:val="none" w:sz="0" w:space="0" w:color="auto"/>
            <w:left w:val="none" w:sz="0" w:space="0" w:color="auto"/>
            <w:bottom w:val="none" w:sz="0" w:space="0" w:color="auto"/>
            <w:right w:val="none" w:sz="0" w:space="0" w:color="auto"/>
          </w:divBdr>
        </w:div>
        <w:div w:id="1831484167">
          <w:marLeft w:val="0"/>
          <w:marRight w:val="0"/>
          <w:marTop w:val="0"/>
          <w:marBottom w:val="0"/>
          <w:divBdr>
            <w:top w:val="none" w:sz="0" w:space="0" w:color="auto"/>
            <w:left w:val="none" w:sz="0" w:space="0" w:color="auto"/>
            <w:bottom w:val="none" w:sz="0" w:space="0" w:color="auto"/>
            <w:right w:val="none" w:sz="0" w:space="0" w:color="auto"/>
          </w:divBdr>
        </w:div>
        <w:div w:id="99381011">
          <w:marLeft w:val="0"/>
          <w:marRight w:val="0"/>
          <w:marTop w:val="0"/>
          <w:marBottom w:val="0"/>
          <w:divBdr>
            <w:top w:val="none" w:sz="0" w:space="0" w:color="auto"/>
            <w:left w:val="none" w:sz="0" w:space="0" w:color="auto"/>
            <w:bottom w:val="none" w:sz="0" w:space="0" w:color="auto"/>
            <w:right w:val="none" w:sz="0" w:space="0" w:color="auto"/>
          </w:divBdr>
        </w:div>
        <w:div w:id="1179545521">
          <w:marLeft w:val="0"/>
          <w:marRight w:val="0"/>
          <w:marTop w:val="0"/>
          <w:marBottom w:val="0"/>
          <w:divBdr>
            <w:top w:val="none" w:sz="0" w:space="0" w:color="auto"/>
            <w:left w:val="none" w:sz="0" w:space="0" w:color="auto"/>
            <w:bottom w:val="none" w:sz="0" w:space="0" w:color="auto"/>
            <w:right w:val="none" w:sz="0" w:space="0" w:color="auto"/>
          </w:divBdr>
        </w:div>
        <w:div w:id="1910268089">
          <w:marLeft w:val="0"/>
          <w:marRight w:val="0"/>
          <w:marTop w:val="0"/>
          <w:marBottom w:val="0"/>
          <w:divBdr>
            <w:top w:val="none" w:sz="0" w:space="0" w:color="auto"/>
            <w:left w:val="none" w:sz="0" w:space="0" w:color="auto"/>
            <w:bottom w:val="none" w:sz="0" w:space="0" w:color="auto"/>
            <w:right w:val="none" w:sz="0" w:space="0" w:color="auto"/>
          </w:divBdr>
        </w:div>
        <w:div w:id="1043864354">
          <w:marLeft w:val="0"/>
          <w:marRight w:val="0"/>
          <w:marTop w:val="0"/>
          <w:marBottom w:val="0"/>
          <w:divBdr>
            <w:top w:val="none" w:sz="0" w:space="0" w:color="auto"/>
            <w:left w:val="none" w:sz="0" w:space="0" w:color="auto"/>
            <w:bottom w:val="none" w:sz="0" w:space="0" w:color="auto"/>
            <w:right w:val="none" w:sz="0" w:space="0" w:color="auto"/>
          </w:divBdr>
        </w:div>
        <w:div w:id="1767382554">
          <w:marLeft w:val="0"/>
          <w:marRight w:val="0"/>
          <w:marTop w:val="0"/>
          <w:marBottom w:val="0"/>
          <w:divBdr>
            <w:top w:val="none" w:sz="0" w:space="0" w:color="auto"/>
            <w:left w:val="none" w:sz="0" w:space="0" w:color="auto"/>
            <w:bottom w:val="none" w:sz="0" w:space="0" w:color="auto"/>
            <w:right w:val="none" w:sz="0" w:space="0" w:color="auto"/>
          </w:divBdr>
        </w:div>
        <w:div w:id="1429694466">
          <w:marLeft w:val="0"/>
          <w:marRight w:val="0"/>
          <w:marTop w:val="0"/>
          <w:marBottom w:val="0"/>
          <w:divBdr>
            <w:top w:val="none" w:sz="0" w:space="0" w:color="auto"/>
            <w:left w:val="none" w:sz="0" w:space="0" w:color="auto"/>
            <w:bottom w:val="none" w:sz="0" w:space="0" w:color="auto"/>
            <w:right w:val="none" w:sz="0" w:space="0" w:color="auto"/>
          </w:divBdr>
        </w:div>
        <w:div w:id="703484481">
          <w:marLeft w:val="0"/>
          <w:marRight w:val="0"/>
          <w:marTop w:val="0"/>
          <w:marBottom w:val="0"/>
          <w:divBdr>
            <w:top w:val="none" w:sz="0" w:space="0" w:color="auto"/>
            <w:left w:val="none" w:sz="0" w:space="0" w:color="auto"/>
            <w:bottom w:val="none" w:sz="0" w:space="0" w:color="auto"/>
            <w:right w:val="none" w:sz="0" w:space="0" w:color="auto"/>
          </w:divBdr>
        </w:div>
        <w:div w:id="510679333">
          <w:marLeft w:val="0"/>
          <w:marRight w:val="0"/>
          <w:marTop w:val="0"/>
          <w:marBottom w:val="0"/>
          <w:divBdr>
            <w:top w:val="none" w:sz="0" w:space="0" w:color="auto"/>
            <w:left w:val="none" w:sz="0" w:space="0" w:color="auto"/>
            <w:bottom w:val="none" w:sz="0" w:space="0" w:color="auto"/>
            <w:right w:val="none" w:sz="0" w:space="0" w:color="auto"/>
          </w:divBdr>
        </w:div>
        <w:div w:id="211842714">
          <w:marLeft w:val="0"/>
          <w:marRight w:val="0"/>
          <w:marTop w:val="0"/>
          <w:marBottom w:val="0"/>
          <w:divBdr>
            <w:top w:val="none" w:sz="0" w:space="0" w:color="auto"/>
            <w:left w:val="none" w:sz="0" w:space="0" w:color="auto"/>
            <w:bottom w:val="none" w:sz="0" w:space="0" w:color="auto"/>
            <w:right w:val="none" w:sz="0" w:space="0" w:color="auto"/>
          </w:divBdr>
        </w:div>
        <w:div w:id="799303889">
          <w:marLeft w:val="0"/>
          <w:marRight w:val="0"/>
          <w:marTop w:val="0"/>
          <w:marBottom w:val="0"/>
          <w:divBdr>
            <w:top w:val="none" w:sz="0" w:space="0" w:color="auto"/>
            <w:left w:val="none" w:sz="0" w:space="0" w:color="auto"/>
            <w:bottom w:val="none" w:sz="0" w:space="0" w:color="auto"/>
            <w:right w:val="none" w:sz="0" w:space="0" w:color="auto"/>
          </w:divBdr>
        </w:div>
        <w:div w:id="1209024178">
          <w:marLeft w:val="0"/>
          <w:marRight w:val="0"/>
          <w:marTop w:val="0"/>
          <w:marBottom w:val="0"/>
          <w:divBdr>
            <w:top w:val="none" w:sz="0" w:space="0" w:color="auto"/>
            <w:left w:val="none" w:sz="0" w:space="0" w:color="auto"/>
            <w:bottom w:val="none" w:sz="0" w:space="0" w:color="auto"/>
            <w:right w:val="none" w:sz="0" w:space="0" w:color="auto"/>
          </w:divBdr>
        </w:div>
        <w:div w:id="1331173616">
          <w:marLeft w:val="0"/>
          <w:marRight w:val="0"/>
          <w:marTop w:val="0"/>
          <w:marBottom w:val="0"/>
          <w:divBdr>
            <w:top w:val="none" w:sz="0" w:space="0" w:color="auto"/>
            <w:left w:val="none" w:sz="0" w:space="0" w:color="auto"/>
            <w:bottom w:val="none" w:sz="0" w:space="0" w:color="auto"/>
            <w:right w:val="none" w:sz="0" w:space="0" w:color="auto"/>
          </w:divBdr>
        </w:div>
        <w:div w:id="1269121697">
          <w:marLeft w:val="0"/>
          <w:marRight w:val="0"/>
          <w:marTop w:val="0"/>
          <w:marBottom w:val="0"/>
          <w:divBdr>
            <w:top w:val="none" w:sz="0" w:space="0" w:color="auto"/>
            <w:left w:val="none" w:sz="0" w:space="0" w:color="auto"/>
            <w:bottom w:val="none" w:sz="0" w:space="0" w:color="auto"/>
            <w:right w:val="none" w:sz="0" w:space="0" w:color="auto"/>
          </w:divBdr>
        </w:div>
      </w:divsChild>
    </w:div>
    <w:div w:id="1118909655">
      <w:bodyDiv w:val="1"/>
      <w:marLeft w:val="0"/>
      <w:marRight w:val="0"/>
      <w:marTop w:val="0"/>
      <w:marBottom w:val="0"/>
      <w:divBdr>
        <w:top w:val="none" w:sz="0" w:space="0" w:color="auto"/>
        <w:left w:val="none" w:sz="0" w:space="0" w:color="auto"/>
        <w:bottom w:val="none" w:sz="0" w:space="0" w:color="auto"/>
        <w:right w:val="none" w:sz="0" w:space="0" w:color="auto"/>
      </w:divBdr>
      <w:divsChild>
        <w:div w:id="705721262">
          <w:marLeft w:val="0"/>
          <w:marRight w:val="0"/>
          <w:marTop w:val="0"/>
          <w:marBottom w:val="0"/>
          <w:divBdr>
            <w:top w:val="none" w:sz="0" w:space="0" w:color="auto"/>
            <w:left w:val="none" w:sz="0" w:space="0" w:color="auto"/>
            <w:bottom w:val="none" w:sz="0" w:space="0" w:color="auto"/>
            <w:right w:val="none" w:sz="0" w:space="0" w:color="auto"/>
          </w:divBdr>
        </w:div>
        <w:div w:id="2003462298">
          <w:marLeft w:val="0"/>
          <w:marRight w:val="0"/>
          <w:marTop w:val="0"/>
          <w:marBottom w:val="0"/>
          <w:divBdr>
            <w:top w:val="none" w:sz="0" w:space="0" w:color="auto"/>
            <w:left w:val="none" w:sz="0" w:space="0" w:color="auto"/>
            <w:bottom w:val="none" w:sz="0" w:space="0" w:color="auto"/>
            <w:right w:val="none" w:sz="0" w:space="0" w:color="auto"/>
          </w:divBdr>
        </w:div>
        <w:div w:id="205144251">
          <w:marLeft w:val="0"/>
          <w:marRight w:val="0"/>
          <w:marTop w:val="0"/>
          <w:marBottom w:val="0"/>
          <w:divBdr>
            <w:top w:val="none" w:sz="0" w:space="0" w:color="auto"/>
            <w:left w:val="none" w:sz="0" w:space="0" w:color="auto"/>
            <w:bottom w:val="none" w:sz="0" w:space="0" w:color="auto"/>
            <w:right w:val="none" w:sz="0" w:space="0" w:color="auto"/>
          </w:divBdr>
        </w:div>
        <w:div w:id="1769352129">
          <w:marLeft w:val="0"/>
          <w:marRight w:val="0"/>
          <w:marTop w:val="0"/>
          <w:marBottom w:val="0"/>
          <w:divBdr>
            <w:top w:val="none" w:sz="0" w:space="0" w:color="auto"/>
            <w:left w:val="none" w:sz="0" w:space="0" w:color="auto"/>
            <w:bottom w:val="none" w:sz="0" w:space="0" w:color="auto"/>
            <w:right w:val="none" w:sz="0" w:space="0" w:color="auto"/>
          </w:divBdr>
        </w:div>
        <w:div w:id="457526697">
          <w:marLeft w:val="0"/>
          <w:marRight w:val="0"/>
          <w:marTop w:val="0"/>
          <w:marBottom w:val="0"/>
          <w:divBdr>
            <w:top w:val="none" w:sz="0" w:space="0" w:color="auto"/>
            <w:left w:val="none" w:sz="0" w:space="0" w:color="auto"/>
            <w:bottom w:val="none" w:sz="0" w:space="0" w:color="auto"/>
            <w:right w:val="none" w:sz="0" w:space="0" w:color="auto"/>
          </w:divBdr>
        </w:div>
        <w:div w:id="1638607633">
          <w:marLeft w:val="0"/>
          <w:marRight w:val="0"/>
          <w:marTop w:val="0"/>
          <w:marBottom w:val="0"/>
          <w:divBdr>
            <w:top w:val="none" w:sz="0" w:space="0" w:color="auto"/>
            <w:left w:val="none" w:sz="0" w:space="0" w:color="auto"/>
            <w:bottom w:val="none" w:sz="0" w:space="0" w:color="auto"/>
            <w:right w:val="none" w:sz="0" w:space="0" w:color="auto"/>
          </w:divBdr>
        </w:div>
        <w:div w:id="1062412359">
          <w:marLeft w:val="0"/>
          <w:marRight w:val="0"/>
          <w:marTop w:val="0"/>
          <w:marBottom w:val="0"/>
          <w:divBdr>
            <w:top w:val="none" w:sz="0" w:space="0" w:color="auto"/>
            <w:left w:val="none" w:sz="0" w:space="0" w:color="auto"/>
            <w:bottom w:val="none" w:sz="0" w:space="0" w:color="auto"/>
            <w:right w:val="none" w:sz="0" w:space="0" w:color="auto"/>
          </w:divBdr>
        </w:div>
        <w:div w:id="1394112222">
          <w:marLeft w:val="0"/>
          <w:marRight w:val="0"/>
          <w:marTop w:val="0"/>
          <w:marBottom w:val="0"/>
          <w:divBdr>
            <w:top w:val="none" w:sz="0" w:space="0" w:color="auto"/>
            <w:left w:val="none" w:sz="0" w:space="0" w:color="auto"/>
            <w:bottom w:val="none" w:sz="0" w:space="0" w:color="auto"/>
            <w:right w:val="none" w:sz="0" w:space="0" w:color="auto"/>
          </w:divBdr>
        </w:div>
        <w:div w:id="1287808352">
          <w:marLeft w:val="0"/>
          <w:marRight w:val="0"/>
          <w:marTop w:val="0"/>
          <w:marBottom w:val="0"/>
          <w:divBdr>
            <w:top w:val="none" w:sz="0" w:space="0" w:color="auto"/>
            <w:left w:val="none" w:sz="0" w:space="0" w:color="auto"/>
            <w:bottom w:val="none" w:sz="0" w:space="0" w:color="auto"/>
            <w:right w:val="none" w:sz="0" w:space="0" w:color="auto"/>
          </w:divBdr>
        </w:div>
        <w:div w:id="1204445215">
          <w:marLeft w:val="0"/>
          <w:marRight w:val="0"/>
          <w:marTop w:val="0"/>
          <w:marBottom w:val="0"/>
          <w:divBdr>
            <w:top w:val="none" w:sz="0" w:space="0" w:color="auto"/>
            <w:left w:val="none" w:sz="0" w:space="0" w:color="auto"/>
            <w:bottom w:val="none" w:sz="0" w:space="0" w:color="auto"/>
            <w:right w:val="none" w:sz="0" w:space="0" w:color="auto"/>
          </w:divBdr>
        </w:div>
        <w:div w:id="804158564">
          <w:marLeft w:val="0"/>
          <w:marRight w:val="0"/>
          <w:marTop w:val="0"/>
          <w:marBottom w:val="0"/>
          <w:divBdr>
            <w:top w:val="none" w:sz="0" w:space="0" w:color="auto"/>
            <w:left w:val="none" w:sz="0" w:space="0" w:color="auto"/>
            <w:bottom w:val="none" w:sz="0" w:space="0" w:color="auto"/>
            <w:right w:val="none" w:sz="0" w:space="0" w:color="auto"/>
          </w:divBdr>
        </w:div>
        <w:div w:id="815145569">
          <w:marLeft w:val="0"/>
          <w:marRight w:val="0"/>
          <w:marTop w:val="0"/>
          <w:marBottom w:val="0"/>
          <w:divBdr>
            <w:top w:val="none" w:sz="0" w:space="0" w:color="auto"/>
            <w:left w:val="none" w:sz="0" w:space="0" w:color="auto"/>
            <w:bottom w:val="none" w:sz="0" w:space="0" w:color="auto"/>
            <w:right w:val="none" w:sz="0" w:space="0" w:color="auto"/>
          </w:divBdr>
        </w:div>
        <w:div w:id="1701080132">
          <w:marLeft w:val="0"/>
          <w:marRight w:val="0"/>
          <w:marTop w:val="0"/>
          <w:marBottom w:val="0"/>
          <w:divBdr>
            <w:top w:val="none" w:sz="0" w:space="0" w:color="auto"/>
            <w:left w:val="none" w:sz="0" w:space="0" w:color="auto"/>
            <w:bottom w:val="none" w:sz="0" w:space="0" w:color="auto"/>
            <w:right w:val="none" w:sz="0" w:space="0" w:color="auto"/>
          </w:divBdr>
        </w:div>
        <w:div w:id="527378879">
          <w:marLeft w:val="0"/>
          <w:marRight w:val="0"/>
          <w:marTop w:val="0"/>
          <w:marBottom w:val="0"/>
          <w:divBdr>
            <w:top w:val="none" w:sz="0" w:space="0" w:color="auto"/>
            <w:left w:val="none" w:sz="0" w:space="0" w:color="auto"/>
            <w:bottom w:val="none" w:sz="0" w:space="0" w:color="auto"/>
            <w:right w:val="none" w:sz="0" w:space="0" w:color="auto"/>
          </w:divBdr>
        </w:div>
        <w:div w:id="297683259">
          <w:marLeft w:val="0"/>
          <w:marRight w:val="0"/>
          <w:marTop w:val="0"/>
          <w:marBottom w:val="0"/>
          <w:divBdr>
            <w:top w:val="none" w:sz="0" w:space="0" w:color="auto"/>
            <w:left w:val="none" w:sz="0" w:space="0" w:color="auto"/>
            <w:bottom w:val="none" w:sz="0" w:space="0" w:color="auto"/>
            <w:right w:val="none" w:sz="0" w:space="0" w:color="auto"/>
          </w:divBdr>
        </w:div>
        <w:div w:id="2140025000">
          <w:marLeft w:val="0"/>
          <w:marRight w:val="0"/>
          <w:marTop w:val="0"/>
          <w:marBottom w:val="0"/>
          <w:divBdr>
            <w:top w:val="none" w:sz="0" w:space="0" w:color="auto"/>
            <w:left w:val="none" w:sz="0" w:space="0" w:color="auto"/>
            <w:bottom w:val="none" w:sz="0" w:space="0" w:color="auto"/>
            <w:right w:val="none" w:sz="0" w:space="0" w:color="auto"/>
          </w:divBdr>
        </w:div>
        <w:div w:id="1034817494">
          <w:marLeft w:val="0"/>
          <w:marRight w:val="0"/>
          <w:marTop w:val="0"/>
          <w:marBottom w:val="0"/>
          <w:divBdr>
            <w:top w:val="none" w:sz="0" w:space="0" w:color="auto"/>
            <w:left w:val="none" w:sz="0" w:space="0" w:color="auto"/>
            <w:bottom w:val="none" w:sz="0" w:space="0" w:color="auto"/>
            <w:right w:val="none" w:sz="0" w:space="0" w:color="auto"/>
          </w:divBdr>
        </w:div>
        <w:div w:id="350768887">
          <w:marLeft w:val="0"/>
          <w:marRight w:val="0"/>
          <w:marTop w:val="0"/>
          <w:marBottom w:val="0"/>
          <w:divBdr>
            <w:top w:val="none" w:sz="0" w:space="0" w:color="auto"/>
            <w:left w:val="none" w:sz="0" w:space="0" w:color="auto"/>
            <w:bottom w:val="none" w:sz="0" w:space="0" w:color="auto"/>
            <w:right w:val="none" w:sz="0" w:space="0" w:color="auto"/>
          </w:divBdr>
        </w:div>
        <w:div w:id="1797523342">
          <w:marLeft w:val="0"/>
          <w:marRight w:val="0"/>
          <w:marTop w:val="0"/>
          <w:marBottom w:val="0"/>
          <w:divBdr>
            <w:top w:val="none" w:sz="0" w:space="0" w:color="auto"/>
            <w:left w:val="none" w:sz="0" w:space="0" w:color="auto"/>
            <w:bottom w:val="none" w:sz="0" w:space="0" w:color="auto"/>
            <w:right w:val="none" w:sz="0" w:space="0" w:color="auto"/>
          </w:divBdr>
        </w:div>
        <w:div w:id="1871839731">
          <w:marLeft w:val="0"/>
          <w:marRight w:val="0"/>
          <w:marTop w:val="0"/>
          <w:marBottom w:val="0"/>
          <w:divBdr>
            <w:top w:val="none" w:sz="0" w:space="0" w:color="auto"/>
            <w:left w:val="none" w:sz="0" w:space="0" w:color="auto"/>
            <w:bottom w:val="none" w:sz="0" w:space="0" w:color="auto"/>
            <w:right w:val="none" w:sz="0" w:space="0" w:color="auto"/>
          </w:divBdr>
        </w:div>
        <w:div w:id="1621952678">
          <w:marLeft w:val="0"/>
          <w:marRight w:val="0"/>
          <w:marTop w:val="0"/>
          <w:marBottom w:val="0"/>
          <w:divBdr>
            <w:top w:val="none" w:sz="0" w:space="0" w:color="auto"/>
            <w:left w:val="none" w:sz="0" w:space="0" w:color="auto"/>
            <w:bottom w:val="none" w:sz="0" w:space="0" w:color="auto"/>
            <w:right w:val="none" w:sz="0" w:space="0" w:color="auto"/>
          </w:divBdr>
        </w:div>
        <w:div w:id="1496610304">
          <w:marLeft w:val="0"/>
          <w:marRight w:val="0"/>
          <w:marTop w:val="0"/>
          <w:marBottom w:val="0"/>
          <w:divBdr>
            <w:top w:val="none" w:sz="0" w:space="0" w:color="auto"/>
            <w:left w:val="none" w:sz="0" w:space="0" w:color="auto"/>
            <w:bottom w:val="none" w:sz="0" w:space="0" w:color="auto"/>
            <w:right w:val="none" w:sz="0" w:space="0" w:color="auto"/>
          </w:divBdr>
        </w:div>
        <w:div w:id="329069331">
          <w:marLeft w:val="0"/>
          <w:marRight w:val="0"/>
          <w:marTop w:val="0"/>
          <w:marBottom w:val="0"/>
          <w:divBdr>
            <w:top w:val="none" w:sz="0" w:space="0" w:color="auto"/>
            <w:left w:val="none" w:sz="0" w:space="0" w:color="auto"/>
            <w:bottom w:val="none" w:sz="0" w:space="0" w:color="auto"/>
            <w:right w:val="none" w:sz="0" w:space="0" w:color="auto"/>
          </w:divBdr>
        </w:div>
        <w:div w:id="1793281068">
          <w:marLeft w:val="0"/>
          <w:marRight w:val="0"/>
          <w:marTop w:val="0"/>
          <w:marBottom w:val="0"/>
          <w:divBdr>
            <w:top w:val="none" w:sz="0" w:space="0" w:color="auto"/>
            <w:left w:val="none" w:sz="0" w:space="0" w:color="auto"/>
            <w:bottom w:val="none" w:sz="0" w:space="0" w:color="auto"/>
            <w:right w:val="none" w:sz="0" w:space="0" w:color="auto"/>
          </w:divBdr>
        </w:div>
        <w:div w:id="1221330449">
          <w:marLeft w:val="0"/>
          <w:marRight w:val="0"/>
          <w:marTop w:val="0"/>
          <w:marBottom w:val="0"/>
          <w:divBdr>
            <w:top w:val="none" w:sz="0" w:space="0" w:color="auto"/>
            <w:left w:val="none" w:sz="0" w:space="0" w:color="auto"/>
            <w:bottom w:val="none" w:sz="0" w:space="0" w:color="auto"/>
            <w:right w:val="none" w:sz="0" w:space="0" w:color="auto"/>
          </w:divBdr>
        </w:div>
        <w:div w:id="1157651520">
          <w:marLeft w:val="0"/>
          <w:marRight w:val="0"/>
          <w:marTop w:val="0"/>
          <w:marBottom w:val="0"/>
          <w:divBdr>
            <w:top w:val="none" w:sz="0" w:space="0" w:color="auto"/>
            <w:left w:val="none" w:sz="0" w:space="0" w:color="auto"/>
            <w:bottom w:val="none" w:sz="0" w:space="0" w:color="auto"/>
            <w:right w:val="none" w:sz="0" w:space="0" w:color="auto"/>
          </w:divBdr>
        </w:div>
        <w:div w:id="333850036">
          <w:marLeft w:val="0"/>
          <w:marRight w:val="0"/>
          <w:marTop w:val="0"/>
          <w:marBottom w:val="0"/>
          <w:divBdr>
            <w:top w:val="none" w:sz="0" w:space="0" w:color="auto"/>
            <w:left w:val="none" w:sz="0" w:space="0" w:color="auto"/>
            <w:bottom w:val="none" w:sz="0" w:space="0" w:color="auto"/>
            <w:right w:val="none" w:sz="0" w:space="0" w:color="auto"/>
          </w:divBdr>
        </w:div>
        <w:div w:id="222833806">
          <w:marLeft w:val="0"/>
          <w:marRight w:val="0"/>
          <w:marTop w:val="0"/>
          <w:marBottom w:val="0"/>
          <w:divBdr>
            <w:top w:val="none" w:sz="0" w:space="0" w:color="auto"/>
            <w:left w:val="none" w:sz="0" w:space="0" w:color="auto"/>
            <w:bottom w:val="none" w:sz="0" w:space="0" w:color="auto"/>
            <w:right w:val="none" w:sz="0" w:space="0" w:color="auto"/>
          </w:divBdr>
        </w:div>
        <w:div w:id="1519999694">
          <w:marLeft w:val="0"/>
          <w:marRight w:val="0"/>
          <w:marTop w:val="0"/>
          <w:marBottom w:val="0"/>
          <w:divBdr>
            <w:top w:val="none" w:sz="0" w:space="0" w:color="auto"/>
            <w:left w:val="none" w:sz="0" w:space="0" w:color="auto"/>
            <w:bottom w:val="none" w:sz="0" w:space="0" w:color="auto"/>
            <w:right w:val="none" w:sz="0" w:space="0" w:color="auto"/>
          </w:divBdr>
        </w:div>
      </w:divsChild>
    </w:div>
    <w:div w:id="1145973190">
      <w:bodyDiv w:val="1"/>
      <w:marLeft w:val="0"/>
      <w:marRight w:val="0"/>
      <w:marTop w:val="0"/>
      <w:marBottom w:val="0"/>
      <w:divBdr>
        <w:top w:val="none" w:sz="0" w:space="0" w:color="auto"/>
        <w:left w:val="none" w:sz="0" w:space="0" w:color="auto"/>
        <w:bottom w:val="none" w:sz="0" w:space="0" w:color="auto"/>
        <w:right w:val="none" w:sz="0" w:space="0" w:color="auto"/>
      </w:divBdr>
      <w:divsChild>
        <w:div w:id="1991053337">
          <w:marLeft w:val="0"/>
          <w:marRight w:val="0"/>
          <w:marTop w:val="0"/>
          <w:marBottom w:val="0"/>
          <w:divBdr>
            <w:top w:val="none" w:sz="0" w:space="0" w:color="auto"/>
            <w:left w:val="none" w:sz="0" w:space="0" w:color="auto"/>
            <w:bottom w:val="none" w:sz="0" w:space="0" w:color="auto"/>
            <w:right w:val="none" w:sz="0" w:space="0" w:color="auto"/>
          </w:divBdr>
        </w:div>
        <w:div w:id="658459810">
          <w:marLeft w:val="0"/>
          <w:marRight w:val="0"/>
          <w:marTop w:val="0"/>
          <w:marBottom w:val="0"/>
          <w:divBdr>
            <w:top w:val="none" w:sz="0" w:space="0" w:color="auto"/>
            <w:left w:val="none" w:sz="0" w:space="0" w:color="auto"/>
            <w:bottom w:val="none" w:sz="0" w:space="0" w:color="auto"/>
            <w:right w:val="none" w:sz="0" w:space="0" w:color="auto"/>
          </w:divBdr>
        </w:div>
        <w:div w:id="220483859">
          <w:marLeft w:val="0"/>
          <w:marRight w:val="0"/>
          <w:marTop w:val="0"/>
          <w:marBottom w:val="0"/>
          <w:divBdr>
            <w:top w:val="none" w:sz="0" w:space="0" w:color="auto"/>
            <w:left w:val="none" w:sz="0" w:space="0" w:color="auto"/>
            <w:bottom w:val="none" w:sz="0" w:space="0" w:color="auto"/>
            <w:right w:val="none" w:sz="0" w:space="0" w:color="auto"/>
          </w:divBdr>
        </w:div>
        <w:div w:id="1901862278">
          <w:marLeft w:val="0"/>
          <w:marRight w:val="0"/>
          <w:marTop w:val="0"/>
          <w:marBottom w:val="0"/>
          <w:divBdr>
            <w:top w:val="none" w:sz="0" w:space="0" w:color="auto"/>
            <w:left w:val="none" w:sz="0" w:space="0" w:color="auto"/>
            <w:bottom w:val="none" w:sz="0" w:space="0" w:color="auto"/>
            <w:right w:val="none" w:sz="0" w:space="0" w:color="auto"/>
          </w:divBdr>
        </w:div>
        <w:div w:id="1080903520">
          <w:marLeft w:val="0"/>
          <w:marRight w:val="0"/>
          <w:marTop w:val="0"/>
          <w:marBottom w:val="0"/>
          <w:divBdr>
            <w:top w:val="none" w:sz="0" w:space="0" w:color="auto"/>
            <w:left w:val="none" w:sz="0" w:space="0" w:color="auto"/>
            <w:bottom w:val="none" w:sz="0" w:space="0" w:color="auto"/>
            <w:right w:val="none" w:sz="0" w:space="0" w:color="auto"/>
          </w:divBdr>
        </w:div>
      </w:divsChild>
    </w:div>
    <w:div w:id="1288925930">
      <w:bodyDiv w:val="1"/>
      <w:marLeft w:val="0"/>
      <w:marRight w:val="0"/>
      <w:marTop w:val="0"/>
      <w:marBottom w:val="0"/>
      <w:divBdr>
        <w:top w:val="none" w:sz="0" w:space="0" w:color="auto"/>
        <w:left w:val="none" w:sz="0" w:space="0" w:color="auto"/>
        <w:bottom w:val="none" w:sz="0" w:space="0" w:color="auto"/>
        <w:right w:val="none" w:sz="0" w:space="0" w:color="auto"/>
      </w:divBdr>
    </w:div>
    <w:div w:id="1307857367">
      <w:bodyDiv w:val="1"/>
      <w:marLeft w:val="0"/>
      <w:marRight w:val="0"/>
      <w:marTop w:val="0"/>
      <w:marBottom w:val="0"/>
      <w:divBdr>
        <w:top w:val="none" w:sz="0" w:space="0" w:color="auto"/>
        <w:left w:val="none" w:sz="0" w:space="0" w:color="auto"/>
        <w:bottom w:val="none" w:sz="0" w:space="0" w:color="auto"/>
        <w:right w:val="none" w:sz="0" w:space="0" w:color="auto"/>
      </w:divBdr>
      <w:divsChild>
        <w:div w:id="750078764">
          <w:marLeft w:val="0"/>
          <w:marRight w:val="0"/>
          <w:marTop w:val="0"/>
          <w:marBottom w:val="0"/>
          <w:divBdr>
            <w:top w:val="none" w:sz="0" w:space="0" w:color="auto"/>
            <w:left w:val="none" w:sz="0" w:space="0" w:color="auto"/>
            <w:bottom w:val="none" w:sz="0" w:space="0" w:color="auto"/>
            <w:right w:val="none" w:sz="0" w:space="0" w:color="auto"/>
          </w:divBdr>
        </w:div>
        <w:div w:id="45179152">
          <w:marLeft w:val="0"/>
          <w:marRight w:val="0"/>
          <w:marTop w:val="0"/>
          <w:marBottom w:val="0"/>
          <w:divBdr>
            <w:top w:val="none" w:sz="0" w:space="0" w:color="auto"/>
            <w:left w:val="none" w:sz="0" w:space="0" w:color="auto"/>
            <w:bottom w:val="none" w:sz="0" w:space="0" w:color="auto"/>
            <w:right w:val="none" w:sz="0" w:space="0" w:color="auto"/>
          </w:divBdr>
        </w:div>
        <w:div w:id="1335106037">
          <w:marLeft w:val="0"/>
          <w:marRight w:val="0"/>
          <w:marTop w:val="0"/>
          <w:marBottom w:val="0"/>
          <w:divBdr>
            <w:top w:val="none" w:sz="0" w:space="0" w:color="auto"/>
            <w:left w:val="none" w:sz="0" w:space="0" w:color="auto"/>
            <w:bottom w:val="none" w:sz="0" w:space="0" w:color="auto"/>
            <w:right w:val="none" w:sz="0" w:space="0" w:color="auto"/>
          </w:divBdr>
        </w:div>
        <w:div w:id="1380057928">
          <w:marLeft w:val="0"/>
          <w:marRight w:val="0"/>
          <w:marTop w:val="0"/>
          <w:marBottom w:val="0"/>
          <w:divBdr>
            <w:top w:val="none" w:sz="0" w:space="0" w:color="auto"/>
            <w:left w:val="none" w:sz="0" w:space="0" w:color="auto"/>
            <w:bottom w:val="none" w:sz="0" w:space="0" w:color="auto"/>
            <w:right w:val="none" w:sz="0" w:space="0" w:color="auto"/>
          </w:divBdr>
        </w:div>
        <w:div w:id="1804538356">
          <w:marLeft w:val="0"/>
          <w:marRight w:val="0"/>
          <w:marTop w:val="0"/>
          <w:marBottom w:val="0"/>
          <w:divBdr>
            <w:top w:val="none" w:sz="0" w:space="0" w:color="auto"/>
            <w:left w:val="none" w:sz="0" w:space="0" w:color="auto"/>
            <w:bottom w:val="none" w:sz="0" w:space="0" w:color="auto"/>
            <w:right w:val="none" w:sz="0" w:space="0" w:color="auto"/>
          </w:divBdr>
        </w:div>
        <w:div w:id="1515195121">
          <w:marLeft w:val="0"/>
          <w:marRight w:val="0"/>
          <w:marTop w:val="0"/>
          <w:marBottom w:val="0"/>
          <w:divBdr>
            <w:top w:val="none" w:sz="0" w:space="0" w:color="auto"/>
            <w:left w:val="none" w:sz="0" w:space="0" w:color="auto"/>
            <w:bottom w:val="none" w:sz="0" w:space="0" w:color="auto"/>
            <w:right w:val="none" w:sz="0" w:space="0" w:color="auto"/>
          </w:divBdr>
        </w:div>
        <w:div w:id="1460879356">
          <w:marLeft w:val="0"/>
          <w:marRight w:val="0"/>
          <w:marTop w:val="0"/>
          <w:marBottom w:val="0"/>
          <w:divBdr>
            <w:top w:val="none" w:sz="0" w:space="0" w:color="auto"/>
            <w:left w:val="none" w:sz="0" w:space="0" w:color="auto"/>
            <w:bottom w:val="none" w:sz="0" w:space="0" w:color="auto"/>
            <w:right w:val="none" w:sz="0" w:space="0" w:color="auto"/>
          </w:divBdr>
        </w:div>
        <w:div w:id="1248928174">
          <w:marLeft w:val="0"/>
          <w:marRight w:val="0"/>
          <w:marTop w:val="0"/>
          <w:marBottom w:val="0"/>
          <w:divBdr>
            <w:top w:val="none" w:sz="0" w:space="0" w:color="auto"/>
            <w:left w:val="none" w:sz="0" w:space="0" w:color="auto"/>
            <w:bottom w:val="none" w:sz="0" w:space="0" w:color="auto"/>
            <w:right w:val="none" w:sz="0" w:space="0" w:color="auto"/>
          </w:divBdr>
        </w:div>
        <w:div w:id="435558289">
          <w:marLeft w:val="0"/>
          <w:marRight w:val="0"/>
          <w:marTop w:val="0"/>
          <w:marBottom w:val="0"/>
          <w:divBdr>
            <w:top w:val="none" w:sz="0" w:space="0" w:color="auto"/>
            <w:left w:val="none" w:sz="0" w:space="0" w:color="auto"/>
            <w:bottom w:val="none" w:sz="0" w:space="0" w:color="auto"/>
            <w:right w:val="none" w:sz="0" w:space="0" w:color="auto"/>
          </w:divBdr>
        </w:div>
        <w:div w:id="392435822">
          <w:marLeft w:val="0"/>
          <w:marRight w:val="0"/>
          <w:marTop w:val="0"/>
          <w:marBottom w:val="0"/>
          <w:divBdr>
            <w:top w:val="none" w:sz="0" w:space="0" w:color="auto"/>
            <w:left w:val="none" w:sz="0" w:space="0" w:color="auto"/>
            <w:bottom w:val="none" w:sz="0" w:space="0" w:color="auto"/>
            <w:right w:val="none" w:sz="0" w:space="0" w:color="auto"/>
          </w:divBdr>
        </w:div>
        <w:div w:id="814956539">
          <w:marLeft w:val="0"/>
          <w:marRight w:val="0"/>
          <w:marTop w:val="0"/>
          <w:marBottom w:val="0"/>
          <w:divBdr>
            <w:top w:val="none" w:sz="0" w:space="0" w:color="auto"/>
            <w:left w:val="none" w:sz="0" w:space="0" w:color="auto"/>
            <w:bottom w:val="none" w:sz="0" w:space="0" w:color="auto"/>
            <w:right w:val="none" w:sz="0" w:space="0" w:color="auto"/>
          </w:divBdr>
        </w:div>
        <w:div w:id="308942659">
          <w:marLeft w:val="0"/>
          <w:marRight w:val="0"/>
          <w:marTop w:val="0"/>
          <w:marBottom w:val="0"/>
          <w:divBdr>
            <w:top w:val="none" w:sz="0" w:space="0" w:color="auto"/>
            <w:left w:val="none" w:sz="0" w:space="0" w:color="auto"/>
            <w:bottom w:val="none" w:sz="0" w:space="0" w:color="auto"/>
            <w:right w:val="none" w:sz="0" w:space="0" w:color="auto"/>
          </w:divBdr>
        </w:div>
        <w:div w:id="1641613182">
          <w:marLeft w:val="0"/>
          <w:marRight w:val="0"/>
          <w:marTop w:val="0"/>
          <w:marBottom w:val="0"/>
          <w:divBdr>
            <w:top w:val="none" w:sz="0" w:space="0" w:color="auto"/>
            <w:left w:val="none" w:sz="0" w:space="0" w:color="auto"/>
            <w:bottom w:val="none" w:sz="0" w:space="0" w:color="auto"/>
            <w:right w:val="none" w:sz="0" w:space="0" w:color="auto"/>
          </w:divBdr>
        </w:div>
        <w:div w:id="133302690">
          <w:marLeft w:val="0"/>
          <w:marRight w:val="0"/>
          <w:marTop w:val="0"/>
          <w:marBottom w:val="0"/>
          <w:divBdr>
            <w:top w:val="none" w:sz="0" w:space="0" w:color="auto"/>
            <w:left w:val="none" w:sz="0" w:space="0" w:color="auto"/>
            <w:bottom w:val="none" w:sz="0" w:space="0" w:color="auto"/>
            <w:right w:val="none" w:sz="0" w:space="0" w:color="auto"/>
          </w:divBdr>
        </w:div>
        <w:div w:id="126435634">
          <w:marLeft w:val="0"/>
          <w:marRight w:val="0"/>
          <w:marTop w:val="0"/>
          <w:marBottom w:val="0"/>
          <w:divBdr>
            <w:top w:val="none" w:sz="0" w:space="0" w:color="auto"/>
            <w:left w:val="none" w:sz="0" w:space="0" w:color="auto"/>
            <w:bottom w:val="none" w:sz="0" w:space="0" w:color="auto"/>
            <w:right w:val="none" w:sz="0" w:space="0" w:color="auto"/>
          </w:divBdr>
        </w:div>
        <w:div w:id="738095386">
          <w:marLeft w:val="0"/>
          <w:marRight w:val="0"/>
          <w:marTop w:val="0"/>
          <w:marBottom w:val="0"/>
          <w:divBdr>
            <w:top w:val="none" w:sz="0" w:space="0" w:color="auto"/>
            <w:left w:val="none" w:sz="0" w:space="0" w:color="auto"/>
            <w:bottom w:val="none" w:sz="0" w:space="0" w:color="auto"/>
            <w:right w:val="none" w:sz="0" w:space="0" w:color="auto"/>
          </w:divBdr>
        </w:div>
        <w:div w:id="739909434">
          <w:marLeft w:val="0"/>
          <w:marRight w:val="0"/>
          <w:marTop w:val="0"/>
          <w:marBottom w:val="0"/>
          <w:divBdr>
            <w:top w:val="none" w:sz="0" w:space="0" w:color="auto"/>
            <w:left w:val="none" w:sz="0" w:space="0" w:color="auto"/>
            <w:bottom w:val="none" w:sz="0" w:space="0" w:color="auto"/>
            <w:right w:val="none" w:sz="0" w:space="0" w:color="auto"/>
          </w:divBdr>
        </w:div>
        <w:div w:id="13849562">
          <w:marLeft w:val="0"/>
          <w:marRight w:val="0"/>
          <w:marTop w:val="0"/>
          <w:marBottom w:val="0"/>
          <w:divBdr>
            <w:top w:val="none" w:sz="0" w:space="0" w:color="auto"/>
            <w:left w:val="none" w:sz="0" w:space="0" w:color="auto"/>
            <w:bottom w:val="none" w:sz="0" w:space="0" w:color="auto"/>
            <w:right w:val="none" w:sz="0" w:space="0" w:color="auto"/>
          </w:divBdr>
        </w:div>
        <w:div w:id="2125146153">
          <w:marLeft w:val="0"/>
          <w:marRight w:val="0"/>
          <w:marTop w:val="0"/>
          <w:marBottom w:val="0"/>
          <w:divBdr>
            <w:top w:val="none" w:sz="0" w:space="0" w:color="auto"/>
            <w:left w:val="none" w:sz="0" w:space="0" w:color="auto"/>
            <w:bottom w:val="none" w:sz="0" w:space="0" w:color="auto"/>
            <w:right w:val="none" w:sz="0" w:space="0" w:color="auto"/>
          </w:divBdr>
        </w:div>
        <w:div w:id="942804847">
          <w:marLeft w:val="0"/>
          <w:marRight w:val="0"/>
          <w:marTop w:val="0"/>
          <w:marBottom w:val="0"/>
          <w:divBdr>
            <w:top w:val="none" w:sz="0" w:space="0" w:color="auto"/>
            <w:left w:val="none" w:sz="0" w:space="0" w:color="auto"/>
            <w:bottom w:val="none" w:sz="0" w:space="0" w:color="auto"/>
            <w:right w:val="none" w:sz="0" w:space="0" w:color="auto"/>
          </w:divBdr>
        </w:div>
        <w:div w:id="789974291">
          <w:marLeft w:val="0"/>
          <w:marRight w:val="0"/>
          <w:marTop w:val="0"/>
          <w:marBottom w:val="0"/>
          <w:divBdr>
            <w:top w:val="none" w:sz="0" w:space="0" w:color="auto"/>
            <w:left w:val="none" w:sz="0" w:space="0" w:color="auto"/>
            <w:bottom w:val="none" w:sz="0" w:space="0" w:color="auto"/>
            <w:right w:val="none" w:sz="0" w:space="0" w:color="auto"/>
          </w:divBdr>
        </w:div>
        <w:div w:id="487139742">
          <w:marLeft w:val="0"/>
          <w:marRight w:val="0"/>
          <w:marTop w:val="0"/>
          <w:marBottom w:val="0"/>
          <w:divBdr>
            <w:top w:val="none" w:sz="0" w:space="0" w:color="auto"/>
            <w:left w:val="none" w:sz="0" w:space="0" w:color="auto"/>
            <w:bottom w:val="none" w:sz="0" w:space="0" w:color="auto"/>
            <w:right w:val="none" w:sz="0" w:space="0" w:color="auto"/>
          </w:divBdr>
        </w:div>
        <w:div w:id="795149579">
          <w:marLeft w:val="0"/>
          <w:marRight w:val="0"/>
          <w:marTop w:val="0"/>
          <w:marBottom w:val="0"/>
          <w:divBdr>
            <w:top w:val="none" w:sz="0" w:space="0" w:color="auto"/>
            <w:left w:val="none" w:sz="0" w:space="0" w:color="auto"/>
            <w:bottom w:val="none" w:sz="0" w:space="0" w:color="auto"/>
            <w:right w:val="none" w:sz="0" w:space="0" w:color="auto"/>
          </w:divBdr>
        </w:div>
        <w:div w:id="2105375579">
          <w:marLeft w:val="0"/>
          <w:marRight w:val="0"/>
          <w:marTop w:val="0"/>
          <w:marBottom w:val="0"/>
          <w:divBdr>
            <w:top w:val="none" w:sz="0" w:space="0" w:color="auto"/>
            <w:left w:val="none" w:sz="0" w:space="0" w:color="auto"/>
            <w:bottom w:val="none" w:sz="0" w:space="0" w:color="auto"/>
            <w:right w:val="none" w:sz="0" w:space="0" w:color="auto"/>
          </w:divBdr>
        </w:div>
        <w:div w:id="2043822368">
          <w:marLeft w:val="0"/>
          <w:marRight w:val="0"/>
          <w:marTop w:val="0"/>
          <w:marBottom w:val="0"/>
          <w:divBdr>
            <w:top w:val="none" w:sz="0" w:space="0" w:color="auto"/>
            <w:left w:val="none" w:sz="0" w:space="0" w:color="auto"/>
            <w:bottom w:val="none" w:sz="0" w:space="0" w:color="auto"/>
            <w:right w:val="none" w:sz="0" w:space="0" w:color="auto"/>
          </w:divBdr>
        </w:div>
        <w:div w:id="1996453931">
          <w:marLeft w:val="0"/>
          <w:marRight w:val="0"/>
          <w:marTop w:val="0"/>
          <w:marBottom w:val="0"/>
          <w:divBdr>
            <w:top w:val="none" w:sz="0" w:space="0" w:color="auto"/>
            <w:left w:val="none" w:sz="0" w:space="0" w:color="auto"/>
            <w:bottom w:val="none" w:sz="0" w:space="0" w:color="auto"/>
            <w:right w:val="none" w:sz="0" w:space="0" w:color="auto"/>
          </w:divBdr>
        </w:div>
        <w:div w:id="1215461020">
          <w:marLeft w:val="0"/>
          <w:marRight w:val="0"/>
          <w:marTop w:val="0"/>
          <w:marBottom w:val="0"/>
          <w:divBdr>
            <w:top w:val="none" w:sz="0" w:space="0" w:color="auto"/>
            <w:left w:val="none" w:sz="0" w:space="0" w:color="auto"/>
            <w:bottom w:val="none" w:sz="0" w:space="0" w:color="auto"/>
            <w:right w:val="none" w:sz="0" w:space="0" w:color="auto"/>
          </w:divBdr>
        </w:div>
        <w:div w:id="1564365558">
          <w:marLeft w:val="0"/>
          <w:marRight w:val="0"/>
          <w:marTop w:val="0"/>
          <w:marBottom w:val="0"/>
          <w:divBdr>
            <w:top w:val="none" w:sz="0" w:space="0" w:color="auto"/>
            <w:left w:val="none" w:sz="0" w:space="0" w:color="auto"/>
            <w:bottom w:val="none" w:sz="0" w:space="0" w:color="auto"/>
            <w:right w:val="none" w:sz="0" w:space="0" w:color="auto"/>
          </w:divBdr>
        </w:div>
        <w:div w:id="1422877471">
          <w:marLeft w:val="0"/>
          <w:marRight w:val="0"/>
          <w:marTop w:val="0"/>
          <w:marBottom w:val="0"/>
          <w:divBdr>
            <w:top w:val="none" w:sz="0" w:space="0" w:color="auto"/>
            <w:left w:val="none" w:sz="0" w:space="0" w:color="auto"/>
            <w:bottom w:val="none" w:sz="0" w:space="0" w:color="auto"/>
            <w:right w:val="none" w:sz="0" w:space="0" w:color="auto"/>
          </w:divBdr>
        </w:div>
        <w:div w:id="878591852">
          <w:marLeft w:val="0"/>
          <w:marRight w:val="0"/>
          <w:marTop w:val="0"/>
          <w:marBottom w:val="0"/>
          <w:divBdr>
            <w:top w:val="none" w:sz="0" w:space="0" w:color="auto"/>
            <w:left w:val="none" w:sz="0" w:space="0" w:color="auto"/>
            <w:bottom w:val="none" w:sz="0" w:space="0" w:color="auto"/>
            <w:right w:val="none" w:sz="0" w:space="0" w:color="auto"/>
          </w:divBdr>
        </w:div>
        <w:div w:id="752439202">
          <w:marLeft w:val="0"/>
          <w:marRight w:val="0"/>
          <w:marTop w:val="0"/>
          <w:marBottom w:val="0"/>
          <w:divBdr>
            <w:top w:val="none" w:sz="0" w:space="0" w:color="auto"/>
            <w:left w:val="none" w:sz="0" w:space="0" w:color="auto"/>
            <w:bottom w:val="none" w:sz="0" w:space="0" w:color="auto"/>
            <w:right w:val="none" w:sz="0" w:space="0" w:color="auto"/>
          </w:divBdr>
        </w:div>
        <w:div w:id="492917626">
          <w:marLeft w:val="0"/>
          <w:marRight w:val="0"/>
          <w:marTop w:val="0"/>
          <w:marBottom w:val="0"/>
          <w:divBdr>
            <w:top w:val="none" w:sz="0" w:space="0" w:color="auto"/>
            <w:left w:val="none" w:sz="0" w:space="0" w:color="auto"/>
            <w:bottom w:val="none" w:sz="0" w:space="0" w:color="auto"/>
            <w:right w:val="none" w:sz="0" w:space="0" w:color="auto"/>
          </w:divBdr>
        </w:div>
        <w:div w:id="83848444">
          <w:marLeft w:val="0"/>
          <w:marRight w:val="0"/>
          <w:marTop w:val="0"/>
          <w:marBottom w:val="0"/>
          <w:divBdr>
            <w:top w:val="none" w:sz="0" w:space="0" w:color="auto"/>
            <w:left w:val="none" w:sz="0" w:space="0" w:color="auto"/>
            <w:bottom w:val="none" w:sz="0" w:space="0" w:color="auto"/>
            <w:right w:val="none" w:sz="0" w:space="0" w:color="auto"/>
          </w:divBdr>
        </w:div>
        <w:div w:id="407265770">
          <w:marLeft w:val="0"/>
          <w:marRight w:val="0"/>
          <w:marTop w:val="0"/>
          <w:marBottom w:val="0"/>
          <w:divBdr>
            <w:top w:val="none" w:sz="0" w:space="0" w:color="auto"/>
            <w:left w:val="none" w:sz="0" w:space="0" w:color="auto"/>
            <w:bottom w:val="none" w:sz="0" w:space="0" w:color="auto"/>
            <w:right w:val="none" w:sz="0" w:space="0" w:color="auto"/>
          </w:divBdr>
        </w:div>
        <w:div w:id="46727437">
          <w:marLeft w:val="0"/>
          <w:marRight w:val="0"/>
          <w:marTop w:val="0"/>
          <w:marBottom w:val="0"/>
          <w:divBdr>
            <w:top w:val="none" w:sz="0" w:space="0" w:color="auto"/>
            <w:left w:val="none" w:sz="0" w:space="0" w:color="auto"/>
            <w:bottom w:val="none" w:sz="0" w:space="0" w:color="auto"/>
            <w:right w:val="none" w:sz="0" w:space="0" w:color="auto"/>
          </w:divBdr>
        </w:div>
      </w:divsChild>
    </w:div>
    <w:div w:id="1338121678">
      <w:bodyDiv w:val="1"/>
      <w:marLeft w:val="0"/>
      <w:marRight w:val="0"/>
      <w:marTop w:val="0"/>
      <w:marBottom w:val="0"/>
      <w:divBdr>
        <w:top w:val="none" w:sz="0" w:space="0" w:color="auto"/>
        <w:left w:val="none" w:sz="0" w:space="0" w:color="auto"/>
        <w:bottom w:val="none" w:sz="0" w:space="0" w:color="auto"/>
        <w:right w:val="none" w:sz="0" w:space="0" w:color="auto"/>
      </w:divBdr>
    </w:div>
    <w:div w:id="1487555988">
      <w:bodyDiv w:val="1"/>
      <w:marLeft w:val="0"/>
      <w:marRight w:val="0"/>
      <w:marTop w:val="0"/>
      <w:marBottom w:val="0"/>
      <w:divBdr>
        <w:top w:val="none" w:sz="0" w:space="0" w:color="auto"/>
        <w:left w:val="none" w:sz="0" w:space="0" w:color="auto"/>
        <w:bottom w:val="none" w:sz="0" w:space="0" w:color="auto"/>
        <w:right w:val="none" w:sz="0" w:space="0" w:color="auto"/>
      </w:divBdr>
    </w:div>
    <w:div w:id="1511287030">
      <w:bodyDiv w:val="1"/>
      <w:marLeft w:val="0"/>
      <w:marRight w:val="0"/>
      <w:marTop w:val="0"/>
      <w:marBottom w:val="0"/>
      <w:divBdr>
        <w:top w:val="none" w:sz="0" w:space="0" w:color="auto"/>
        <w:left w:val="none" w:sz="0" w:space="0" w:color="auto"/>
        <w:bottom w:val="none" w:sz="0" w:space="0" w:color="auto"/>
        <w:right w:val="none" w:sz="0" w:space="0" w:color="auto"/>
      </w:divBdr>
      <w:divsChild>
        <w:div w:id="1733655640">
          <w:marLeft w:val="0"/>
          <w:marRight w:val="0"/>
          <w:marTop w:val="0"/>
          <w:marBottom w:val="0"/>
          <w:divBdr>
            <w:top w:val="none" w:sz="0" w:space="0" w:color="auto"/>
            <w:left w:val="none" w:sz="0" w:space="0" w:color="auto"/>
            <w:bottom w:val="none" w:sz="0" w:space="0" w:color="auto"/>
            <w:right w:val="none" w:sz="0" w:space="0" w:color="auto"/>
          </w:divBdr>
        </w:div>
        <w:div w:id="2036493130">
          <w:marLeft w:val="0"/>
          <w:marRight w:val="0"/>
          <w:marTop w:val="0"/>
          <w:marBottom w:val="0"/>
          <w:divBdr>
            <w:top w:val="none" w:sz="0" w:space="0" w:color="auto"/>
            <w:left w:val="none" w:sz="0" w:space="0" w:color="auto"/>
            <w:bottom w:val="none" w:sz="0" w:space="0" w:color="auto"/>
            <w:right w:val="none" w:sz="0" w:space="0" w:color="auto"/>
          </w:divBdr>
        </w:div>
        <w:div w:id="569661640">
          <w:marLeft w:val="0"/>
          <w:marRight w:val="0"/>
          <w:marTop w:val="0"/>
          <w:marBottom w:val="0"/>
          <w:divBdr>
            <w:top w:val="none" w:sz="0" w:space="0" w:color="auto"/>
            <w:left w:val="none" w:sz="0" w:space="0" w:color="auto"/>
            <w:bottom w:val="none" w:sz="0" w:space="0" w:color="auto"/>
            <w:right w:val="none" w:sz="0" w:space="0" w:color="auto"/>
          </w:divBdr>
        </w:div>
        <w:div w:id="381681882">
          <w:marLeft w:val="0"/>
          <w:marRight w:val="0"/>
          <w:marTop w:val="0"/>
          <w:marBottom w:val="0"/>
          <w:divBdr>
            <w:top w:val="none" w:sz="0" w:space="0" w:color="auto"/>
            <w:left w:val="none" w:sz="0" w:space="0" w:color="auto"/>
            <w:bottom w:val="none" w:sz="0" w:space="0" w:color="auto"/>
            <w:right w:val="none" w:sz="0" w:space="0" w:color="auto"/>
          </w:divBdr>
        </w:div>
        <w:div w:id="1060859767">
          <w:marLeft w:val="0"/>
          <w:marRight w:val="0"/>
          <w:marTop w:val="0"/>
          <w:marBottom w:val="0"/>
          <w:divBdr>
            <w:top w:val="none" w:sz="0" w:space="0" w:color="auto"/>
            <w:left w:val="none" w:sz="0" w:space="0" w:color="auto"/>
            <w:bottom w:val="none" w:sz="0" w:space="0" w:color="auto"/>
            <w:right w:val="none" w:sz="0" w:space="0" w:color="auto"/>
          </w:divBdr>
        </w:div>
        <w:div w:id="1261715466">
          <w:marLeft w:val="0"/>
          <w:marRight w:val="0"/>
          <w:marTop w:val="0"/>
          <w:marBottom w:val="0"/>
          <w:divBdr>
            <w:top w:val="none" w:sz="0" w:space="0" w:color="auto"/>
            <w:left w:val="none" w:sz="0" w:space="0" w:color="auto"/>
            <w:bottom w:val="none" w:sz="0" w:space="0" w:color="auto"/>
            <w:right w:val="none" w:sz="0" w:space="0" w:color="auto"/>
          </w:divBdr>
        </w:div>
        <w:div w:id="1248227562">
          <w:marLeft w:val="0"/>
          <w:marRight w:val="0"/>
          <w:marTop w:val="0"/>
          <w:marBottom w:val="0"/>
          <w:divBdr>
            <w:top w:val="none" w:sz="0" w:space="0" w:color="auto"/>
            <w:left w:val="none" w:sz="0" w:space="0" w:color="auto"/>
            <w:bottom w:val="none" w:sz="0" w:space="0" w:color="auto"/>
            <w:right w:val="none" w:sz="0" w:space="0" w:color="auto"/>
          </w:divBdr>
        </w:div>
        <w:div w:id="1535654307">
          <w:marLeft w:val="0"/>
          <w:marRight w:val="0"/>
          <w:marTop w:val="0"/>
          <w:marBottom w:val="0"/>
          <w:divBdr>
            <w:top w:val="none" w:sz="0" w:space="0" w:color="auto"/>
            <w:left w:val="none" w:sz="0" w:space="0" w:color="auto"/>
            <w:bottom w:val="none" w:sz="0" w:space="0" w:color="auto"/>
            <w:right w:val="none" w:sz="0" w:space="0" w:color="auto"/>
          </w:divBdr>
        </w:div>
        <w:div w:id="976102986">
          <w:marLeft w:val="0"/>
          <w:marRight w:val="0"/>
          <w:marTop w:val="0"/>
          <w:marBottom w:val="0"/>
          <w:divBdr>
            <w:top w:val="none" w:sz="0" w:space="0" w:color="auto"/>
            <w:left w:val="none" w:sz="0" w:space="0" w:color="auto"/>
            <w:bottom w:val="none" w:sz="0" w:space="0" w:color="auto"/>
            <w:right w:val="none" w:sz="0" w:space="0" w:color="auto"/>
          </w:divBdr>
        </w:div>
        <w:div w:id="1728450027">
          <w:marLeft w:val="0"/>
          <w:marRight w:val="0"/>
          <w:marTop w:val="0"/>
          <w:marBottom w:val="0"/>
          <w:divBdr>
            <w:top w:val="none" w:sz="0" w:space="0" w:color="auto"/>
            <w:left w:val="none" w:sz="0" w:space="0" w:color="auto"/>
            <w:bottom w:val="none" w:sz="0" w:space="0" w:color="auto"/>
            <w:right w:val="none" w:sz="0" w:space="0" w:color="auto"/>
          </w:divBdr>
        </w:div>
        <w:div w:id="2110195207">
          <w:marLeft w:val="0"/>
          <w:marRight w:val="0"/>
          <w:marTop w:val="0"/>
          <w:marBottom w:val="0"/>
          <w:divBdr>
            <w:top w:val="none" w:sz="0" w:space="0" w:color="auto"/>
            <w:left w:val="none" w:sz="0" w:space="0" w:color="auto"/>
            <w:bottom w:val="none" w:sz="0" w:space="0" w:color="auto"/>
            <w:right w:val="none" w:sz="0" w:space="0" w:color="auto"/>
          </w:divBdr>
        </w:div>
        <w:div w:id="1432239681">
          <w:marLeft w:val="0"/>
          <w:marRight w:val="0"/>
          <w:marTop w:val="0"/>
          <w:marBottom w:val="0"/>
          <w:divBdr>
            <w:top w:val="none" w:sz="0" w:space="0" w:color="auto"/>
            <w:left w:val="none" w:sz="0" w:space="0" w:color="auto"/>
            <w:bottom w:val="none" w:sz="0" w:space="0" w:color="auto"/>
            <w:right w:val="none" w:sz="0" w:space="0" w:color="auto"/>
          </w:divBdr>
        </w:div>
        <w:div w:id="1580754907">
          <w:marLeft w:val="0"/>
          <w:marRight w:val="0"/>
          <w:marTop w:val="0"/>
          <w:marBottom w:val="0"/>
          <w:divBdr>
            <w:top w:val="none" w:sz="0" w:space="0" w:color="auto"/>
            <w:left w:val="none" w:sz="0" w:space="0" w:color="auto"/>
            <w:bottom w:val="none" w:sz="0" w:space="0" w:color="auto"/>
            <w:right w:val="none" w:sz="0" w:space="0" w:color="auto"/>
          </w:divBdr>
        </w:div>
        <w:div w:id="1718315768">
          <w:marLeft w:val="0"/>
          <w:marRight w:val="0"/>
          <w:marTop w:val="0"/>
          <w:marBottom w:val="0"/>
          <w:divBdr>
            <w:top w:val="none" w:sz="0" w:space="0" w:color="auto"/>
            <w:left w:val="none" w:sz="0" w:space="0" w:color="auto"/>
            <w:bottom w:val="none" w:sz="0" w:space="0" w:color="auto"/>
            <w:right w:val="none" w:sz="0" w:space="0" w:color="auto"/>
          </w:divBdr>
        </w:div>
        <w:div w:id="1546217875">
          <w:marLeft w:val="0"/>
          <w:marRight w:val="0"/>
          <w:marTop w:val="0"/>
          <w:marBottom w:val="0"/>
          <w:divBdr>
            <w:top w:val="none" w:sz="0" w:space="0" w:color="auto"/>
            <w:left w:val="none" w:sz="0" w:space="0" w:color="auto"/>
            <w:bottom w:val="none" w:sz="0" w:space="0" w:color="auto"/>
            <w:right w:val="none" w:sz="0" w:space="0" w:color="auto"/>
          </w:divBdr>
        </w:div>
      </w:divsChild>
    </w:div>
    <w:div w:id="1551915449">
      <w:bodyDiv w:val="1"/>
      <w:marLeft w:val="0"/>
      <w:marRight w:val="0"/>
      <w:marTop w:val="0"/>
      <w:marBottom w:val="0"/>
      <w:divBdr>
        <w:top w:val="none" w:sz="0" w:space="0" w:color="auto"/>
        <w:left w:val="none" w:sz="0" w:space="0" w:color="auto"/>
        <w:bottom w:val="none" w:sz="0" w:space="0" w:color="auto"/>
        <w:right w:val="none" w:sz="0" w:space="0" w:color="auto"/>
      </w:divBdr>
    </w:div>
    <w:div w:id="1579512424">
      <w:bodyDiv w:val="1"/>
      <w:marLeft w:val="0"/>
      <w:marRight w:val="0"/>
      <w:marTop w:val="0"/>
      <w:marBottom w:val="0"/>
      <w:divBdr>
        <w:top w:val="none" w:sz="0" w:space="0" w:color="auto"/>
        <w:left w:val="none" w:sz="0" w:space="0" w:color="auto"/>
        <w:bottom w:val="none" w:sz="0" w:space="0" w:color="auto"/>
        <w:right w:val="none" w:sz="0" w:space="0" w:color="auto"/>
      </w:divBdr>
    </w:div>
    <w:div w:id="1635788003">
      <w:bodyDiv w:val="1"/>
      <w:marLeft w:val="0"/>
      <w:marRight w:val="0"/>
      <w:marTop w:val="0"/>
      <w:marBottom w:val="0"/>
      <w:divBdr>
        <w:top w:val="none" w:sz="0" w:space="0" w:color="auto"/>
        <w:left w:val="none" w:sz="0" w:space="0" w:color="auto"/>
        <w:bottom w:val="none" w:sz="0" w:space="0" w:color="auto"/>
        <w:right w:val="none" w:sz="0" w:space="0" w:color="auto"/>
      </w:divBdr>
      <w:divsChild>
        <w:div w:id="1190799876">
          <w:marLeft w:val="0"/>
          <w:marRight w:val="0"/>
          <w:marTop w:val="0"/>
          <w:marBottom w:val="0"/>
          <w:divBdr>
            <w:top w:val="none" w:sz="0" w:space="0" w:color="auto"/>
            <w:left w:val="none" w:sz="0" w:space="0" w:color="auto"/>
            <w:bottom w:val="none" w:sz="0" w:space="0" w:color="auto"/>
            <w:right w:val="none" w:sz="0" w:space="0" w:color="auto"/>
          </w:divBdr>
        </w:div>
        <w:div w:id="1946379624">
          <w:marLeft w:val="0"/>
          <w:marRight w:val="0"/>
          <w:marTop w:val="0"/>
          <w:marBottom w:val="0"/>
          <w:divBdr>
            <w:top w:val="none" w:sz="0" w:space="0" w:color="auto"/>
            <w:left w:val="none" w:sz="0" w:space="0" w:color="auto"/>
            <w:bottom w:val="none" w:sz="0" w:space="0" w:color="auto"/>
            <w:right w:val="none" w:sz="0" w:space="0" w:color="auto"/>
          </w:divBdr>
        </w:div>
      </w:divsChild>
    </w:div>
    <w:div w:id="1675064924">
      <w:bodyDiv w:val="1"/>
      <w:marLeft w:val="0"/>
      <w:marRight w:val="0"/>
      <w:marTop w:val="0"/>
      <w:marBottom w:val="0"/>
      <w:divBdr>
        <w:top w:val="none" w:sz="0" w:space="0" w:color="auto"/>
        <w:left w:val="none" w:sz="0" w:space="0" w:color="auto"/>
        <w:bottom w:val="none" w:sz="0" w:space="0" w:color="auto"/>
        <w:right w:val="none" w:sz="0" w:space="0" w:color="auto"/>
      </w:divBdr>
    </w:div>
    <w:div w:id="1779525592">
      <w:bodyDiv w:val="1"/>
      <w:marLeft w:val="0"/>
      <w:marRight w:val="0"/>
      <w:marTop w:val="0"/>
      <w:marBottom w:val="0"/>
      <w:divBdr>
        <w:top w:val="none" w:sz="0" w:space="0" w:color="auto"/>
        <w:left w:val="none" w:sz="0" w:space="0" w:color="auto"/>
        <w:bottom w:val="none" w:sz="0" w:space="0" w:color="auto"/>
        <w:right w:val="none" w:sz="0" w:space="0" w:color="auto"/>
      </w:divBdr>
    </w:div>
    <w:div w:id="1797336325">
      <w:bodyDiv w:val="1"/>
      <w:marLeft w:val="0"/>
      <w:marRight w:val="0"/>
      <w:marTop w:val="0"/>
      <w:marBottom w:val="0"/>
      <w:divBdr>
        <w:top w:val="none" w:sz="0" w:space="0" w:color="auto"/>
        <w:left w:val="none" w:sz="0" w:space="0" w:color="auto"/>
        <w:bottom w:val="none" w:sz="0" w:space="0" w:color="auto"/>
        <w:right w:val="none" w:sz="0" w:space="0" w:color="auto"/>
      </w:divBdr>
    </w:div>
    <w:div w:id="1798178828">
      <w:bodyDiv w:val="1"/>
      <w:marLeft w:val="0"/>
      <w:marRight w:val="0"/>
      <w:marTop w:val="0"/>
      <w:marBottom w:val="0"/>
      <w:divBdr>
        <w:top w:val="none" w:sz="0" w:space="0" w:color="auto"/>
        <w:left w:val="none" w:sz="0" w:space="0" w:color="auto"/>
        <w:bottom w:val="none" w:sz="0" w:space="0" w:color="auto"/>
        <w:right w:val="none" w:sz="0" w:space="0" w:color="auto"/>
      </w:divBdr>
    </w:div>
    <w:div w:id="1827168746">
      <w:bodyDiv w:val="1"/>
      <w:marLeft w:val="0"/>
      <w:marRight w:val="0"/>
      <w:marTop w:val="0"/>
      <w:marBottom w:val="0"/>
      <w:divBdr>
        <w:top w:val="none" w:sz="0" w:space="0" w:color="auto"/>
        <w:left w:val="none" w:sz="0" w:space="0" w:color="auto"/>
        <w:bottom w:val="none" w:sz="0" w:space="0" w:color="auto"/>
        <w:right w:val="none" w:sz="0" w:space="0" w:color="auto"/>
      </w:divBdr>
    </w:div>
    <w:div w:id="1835099727">
      <w:bodyDiv w:val="1"/>
      <w:marLeft w:val="0"/>
      <w:marRight w:val="0"/>
      <w:marTop w:val="0"/>
      <w:marBottom w:val="0"/>
      <w:divBdr>
        <w:top w:val="none" w:sz="0" w:space="0" w:color="auto"/>
        <w:left w:val="none" w:sz="0" w:space="0" w:color="auto"/>
        <w:bottom w:val="none" w:sz="0" w:space="0" w:color="auto"/>
        <w:right w:val="none" w:sz="0" w:space="0" w:color="auto"/>
      </w:divBdr>
    </w:div>
    <w:div w:id="1860385747">
      <w:bodyDiv w:val="1"/>
      <w:marLeft w:val="0"/>
      <w:marRight w:val="0"/>
      <w:marTop w:val="0"/>
      <w:marBottom w:val="0"/>
      <w:divBdr>
        <w:top w:val="none" w:sz="0" w:space="0" w:color="auto"/>
        <w:left w:val="none" w:sz="0" w:space="0" w:color="auto"/>
        <w:bottom w:val="none" w:sz="0" w:space="0" w:color="auto"/>
        <w:right w:val="none" w:sz="0" w:space="0" w:color="auto"/>
      </w:divBdr>
    </w:div>
    <w:div w:id="2040278074">
      <w:bodyDiv w:val="1"/>
      <w:marLeft w:val="0"/>
      <w:marRight w:val="0"/>
      <w:marTop w:val="0"/>
      <w:marBottom w:val="0"/>
      <w:divBdr>
        <w:top w:val="none" w:sz="0" w:space="0" w:color="auto"/>
        <w:left w:val="none" w:sz="0" w:space="0" w:color="auto"/>
        <w:bottom w:val="none" w:sz="0" w:space="0" w:color="auto"/>
        <w:right w:val="none" w:sz="0" w:space="0" w:color="auto"/>
      </w:divBdr>
      <w:divsChild>
        <w:div w:id="650673770">
          <w:marLeft w:val="0"/>
          <w:marRight w:val="0"/>
          <w:marTop w:val="0"/>
          <w:marBottom w:val="0"/>
          <w:divBdr>
            <w:top w:val="none" w:sz="0" w:space="0" w:color="auto"/>
            <w:left w:val="none" w:sz="0" w:space="0" w:color="auto"/>
            <w:bottom w:val="none" w:sz="0" w:space="0" w:color="auto"/>
            <w:right w:val="none" w:sz="0" w:space="0" w:color="auto"/>
          </w:divBdr>
        </w:div>
        <w:div w:id="1278949875">
          <w:marLeft w:val="0"/>
          <w:marRight w:val="0"/>
          <w:marTop w:val="0"/>
          <w:marBottom w:val="0"/>
          <w:divBdr>
            <w:top w:val="none" w:sz="0" w:space="0" w:color="auto"/>
            <w:left w:val="none" w:sz="0" w:space="0" w:color="auto"/>
            <w:bottom w:val="none" w:sz="0" w:space="0" w:color="auto"/>
            <w:right w:val="none" w:sz="0" w:space="0" w:color="auto"/>
          </w:divBdr>
        </w:div>
        <w:div w:id="864516758">
          <w:marLeft w:val="0"/>
          <w:marRight w:val="0"/>
          <w:marTop w:val="0"/>
          <w:marBottom w:val="0"/>
          <w:divBdr>
            <w:top w:val="none" w:sz="0" w:space="0" w:color="auto"/>
            <w:left w:val="none" w:sz="0" w:space="0" w:color="auto"/>
            <w:bottom w:val="none" w:sz="0" w:space="0" w:color="auto"/>
            <w:right w:val="none" w:sz="0" w:space="0" w:color="auto"/>
          </w:divBdr>
        </w:div>
        <w:div w:id="148790956">
          <w:marLeft w:val="0"/>
          <w:marRight w:val="0"/>
          <w:marTop w:val="0"/>
          <w:marBottom w:val="0"/>
          <w:divBdr>
            <w:top w:val="none" w:sz="0" w:space="0" w:color="auto"/>
            <w:left w:val="none" w:sz="0" w:space="0" w:color="auto"/>
            <w:bottom w:val="none" w:sz="0" w:space="0" w:color="auto"/>
            <w:right w:val="none" w:sz="0" w:space="0" w:color="auto"/>
          </w:divBdr>
        </w:div>
        <w:div w:id="440611310">
          <w:marLeft w:val="0"/>
          <w:marRight w:val="0"/>
          <w:marTop w:val="0"/>
          <w:marBottom w:val="0"/>
          <w:divBdr>
            <w:top w:val="none" w:sz="0" w:space="0" w:color="auto"/>
            <w:left w:val="none" w:sz="0" w:space="0" w:color="auto"/>
            <w:bottom w:val="none" w:sz="0" w:space="0" w:color="auto"/>
            <w:right w:val="none" w:sz="0" w:space="0" w:color="auto"/>
          </w:divBdr>
        </w:div>
        <w:div w:id="389302818">
          <w:marLeft w:val="0"/>
          <w:marRight w:val="0"/>
          <w:marTop w:val="0"/>
          <w:marBottom w:val="0"/>
          <w:divBdr>
            <w:top w:val="none" w:sz="0" w:space="0" w:color="auto"/>
            <w:left w:val="none" w:sz="0" w:space="0" w:color="auto"/>
            <w:bottom w:val="none" w:sz="0" w:space="0" w:color="auto"/>
            <w:right w:val="none" w:sz="0" w:space="0" w:color="auto"/>
          </w:divBdr>
        </w:div>
        <w:div w:id="458114003">
          <w:marLeft w:val="0"/>
          <w:marRight w:val="0"/>
          <w:marTop w:val="0"/>
          <w:marBottom w:val="0"/>
          <w:divBdr>
            <w:top w:val="none" w:sz="0" w:space="0" w:color="auto"/>
            <w:left w:val="none" w:sz="0" w:space="0" w:color="auto"/>
            <w:bottom w:val="none" w:sz="0" w:space="0" w:color="auto"/>
            <w:right w:val="none" w:sz="0" w:space="0" w:color="auto"/>
          </w:divBdr>
        </w:div>
        <w:div w:id="534192785">
          <w:marLeft w:val="0"/>
          <w:marRight w:val="0"/>
          <w:marTop w:val="0"/>
          <w:marBottom w:val="0"/>
          <w:divBdr>
            <w:top w:val="none" w:sz="0" w:space="0" w:color="auto"/>
            <w:left w:val="none" w:sz="0" w:space="0" w:color="auto"/>
            <w:bottom w:val="none" w:sz="0" w:space="0" w:color="auto"/>
            <w:right w:val="none" w:sz="0" w:space="0" w:color="auto"/>
          </w:divBdr>
        </w:div>
        <w:div w:id="927889323">
          <w:marLeft w:val="0"/>
          <w:marRight w:val="0"/>
          <w:marTop w:val="0"/>
          <w:marBottom w:val="0"/>
          <w:divBdr>
            <w:top w:val="none" w:sz="0" w:space="0" w:color="auto"/>
            <w:left w:val="none" w:sz="0" w:space="0" w:color="auto"/>
            <w:bottom w:val="none" w:sz="0" w:space="0" w:color="auto"/>
            <w:right w:val="none" w:sz="0" w:space="0" w:color="auto"/>
          </w:divBdr>
        </w:div>
      </w:divsChild>
    </w:div>
    <w:div w:id="2083982996">
      <w:bodyDiv w:val="1"/>
      <w:marLeft w:val="0"/>
      <w:marRight w:val="0"/>
      <w:marTop w:val="0"/>
      <w:marBottom w:val="0"/>
      <w:divBdr>
        <w:top w:val="none" w:sz="0" w:space="0" w:color="auto"/>
        <w:left w:val="none" w:sz="0" w:space="0" w:color="auto"/>
        <w:bottom w:val="none" w:sz="0" w:space="0" w:color="auto"/>
        <w:right w:val="none" w:sz="0" w:space="0" w:color="auto"/>
      </w:divBdr>
    </w:div>
    <w:div w:id="2122675626">
      <w:bodyDiv w:val="1"/>
      <w:marLeft w:val="0"/>
      <w:marRight w:val="0"/>
      <w:marTop w:val="0"/>
      <w:marBottom w:val="0"/>
      <w:divBdr>
        <w:top w:val="none" w:sz="0" w:space="0" w:color="auto"/>
        <w:left w:val="none" w:sz="0" w:space="0" w:color="auto"/>
        <w:bottom w:val="none" w:sz="0" w:space="0" w:color="auto"/>
        <w:right w:val="none" w:sz="0" w:space="0" w:color="auto"/>
      </w:divBdr>
      <w:divsChild>
        <w:div w:id="1432974534">
          <w:marLeft w:val="0"/>
          <w:marRight w:val="0"/>
          <w:marTop w:val="0"/>
          <w:marBottom w:val="120"/>
          <w:divBdr>
            <w:top w:val="none" w:sz="0" w:space="0" w:color="auto"/>
            <w:left w:val="none" w:sz="0" w:space="0" w:color="auto"/>
            <w:bottom w:val="none" w:sz="0" w:space="0" w:color="auto"/>
            <w:right w:val="none" w:sz="0" w:space="0" w:color="auto"/>
          </w:divBdr>
          <w:divsChild>
            <w:div w:id="302932184">
              <w:marLeft w:val="0"/>
              <w:marRight w:val="0"/>
              <w:marTop w:val="0"/>
              <w:marBottom w:val="0"/>
              <w:divBdr>
                <w:top w:val="none" w:sz="0" w:space="0" w:color="auto"/>
                <w:left w:val="none" w:sz="0" w:space="0" w:color="auto"/>
                <w:bottom w:val="none" w:sz="0" w:space="0" w:color="auto"/>
                <w:right w:val="none" w:sz="0" w:space="0" w:color="auto"/>
              </w:divBdr>
            </w:div>
            <w:div w:id="1641228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941867">
      <w:bodyDiv w:val="1"/>
      <w:marLeft w:val="0"/>
      <w:marRight w:val="0"/>
      <w:marTop w:val="0"/>
      <w:marBottom w:val="0"/>
      <w:divBdr>
        <w:top w:val="none" w:sz="0" w:space="0" w:color="auto"/>
        <w:left w:val="none" w:sz="0" w:space="0" w:color="auto"/>
        <w:bottom w:val="none" w:sz="0" w:space="0" w:color="auto"/>
        <w:right w:val="none" w:sz="0" w:space="0" w:color="auto"/>
      </w:divBdr>
      <w:divsChild>
        <w:div w:id="1714501561">
          <w:marLeft w:val="0"/>
          <w:marRight w:val="0"/>
          <w:marTop w:val="0"/>
          <w:marBottom w:val="0"/>
          <w:divBdr>
            <w:top w:val="none" w:sz="0" w:space="0" w:color="auto"/>
            <w:left w:val="none" w:sz="0" w:space="0" w:color="auto"/>
            <w:bottom w:val="none" w:sz="0" w:space="0" w:color="auto"/>
            <w:right w:val="none" w:sz="0" w:space="0" w:color="auto"/>
          </w:divBdr>
        </w:div>
        <w:div w:id="1577477690">
          <w:marLeft w:val="0"/>
          <w:marRight w:val="0"/>
          <w:marTop w:val="0"/>
          <w:marBottom w:val="0"/>
          <w:divBdr>
            <w:top w:val="none" w:sz="0" w:space="0" w:color="auto"/>
            <w:left w:val="none" w:sz="0" w:space="0" w:color="auto"/>
            <w:bottom w:val="none" w:sz="0" w:space="0" w:color="auto"/>
            <w:right w:val="none" w:sz="0" w:space="0" w:color="auto"/>
          </w:divBdr>
        </w:div>
        <w:div w:id="1441993565">
          <w:marLeft w:val="0"/>
          <w:marRight w:val="0"/>
          <w:marTop w:val="0"/>
          <w:marBottom w:val="0"/>
          <w:divBdr>
            <w:top w:val="none" w:sz="0" w:space="0" w:color="auto"/>
            <w:left w:val="none" w:sz="0" w:space="0" w:color="auto"/>
            <w:bottom w:val="none" w:sz="0" w:space="0" w:color="auto"/>
            <w:right w:val="none" w:sz="0" w:space="0" w:color="auto"/>
          </w:divBdr>
        </w:div>
        <w:div w:id="1957834300">
          <w:marLeft w:val="0"/>
          <w:marRight w:val="0"/>
          <w:marTop w:val="0"/>
          <w:marBottom w:val="0"/>
          <w:divBdr>
            <w:top w:val="none" w:sz="0" w:space="0" w:color="auto"/>
            <w:left w:val="none" w:sz="0" w:space="0" w:color="auto"/>
            <w:bottom w:val="none" w:sz="0" w:space="0" w:color="auto"/>
            <w:right w:val="none" w:sz="0" w:space="0" w:color="auto"/>
          </w:divBdr>
        </w:div>
        <w:div w:id="1365599542">
          <w:marLeft w:val="0"/>
          <w:marRight w:val="0"/>
          <w:marTop w:val="0"/>
          <w:marBottom w:val="0"/>
          <w:divBdr>
            <w:top w:val="none" w:sz="0" w:space="0" w:color="auto"/>
            <w:left w:val="none" w:sz="0" w:space="0" w:color="auto"/>
            <w:bottom w:val="none" w:sz="0" w:space="0" w:color="auto"/>
            <w:right w:val="none" w:sz="0" w:space="0" w:color="auto"/>
          </w:divBdr>
        </w:div>
        <w:div w:id="1757903558">
          <w:marLeft w:val="0"/>
          <w:marRight w:val="0"/>
          <w:marTop w:val="0"/>
          <w:marBottom w:val="0"/>
          <w:divBdr>
            <w:top w:val="none" w:sz="0" w:space="0" w:color="auto"/>
            <w:left w:val="none" w:sz="0" w:space="0" w:color="auto"/>
            <w:bottom w:val="none" w:sz="0" w:space="0" w:color="auto"/>
            <w:right w:val="none" w:sz="0" w:space="0" w:color="auto"/>
          </w:divBdr>
        </w:div>
        <w:div w:id="507445677">
          <w:marLeft w:val="0"/>
          <w:marRight w:val="0"/>
          <w:marTop w:val="0"/>
          <w:marBottom w:val="0"/>
          <w:divBdr>
            <w:top w:val="none" w:sz="0" w:space="0" w:color="auto"/>
            <w:left w:val="none" w:sz="0" w:space="0" w:color="auto"/>
            <w:bottom w:val="none" w:sz="0" w:space="0" w:color="auto"/>
            <w:right w:val="none" w:sz="0" w:space="0" w:color="auto"/>
          </w:divBdr>
        </w:div>
        <w:div w:id="1218710113">
          <w:marLeft w:val="0"/>
          <w:marRight w:val="0"/>
          <w:marTop w:val="0"/>
          <w:marBottom w:val="0"/>
          <w:divBdr>
            <w:top w:val="none" w:sz="0" w:space="0" w:color="auto"/>
            <w:left w:val="none" w:sz="0" w:space="0" w:color="auto"/>
            <w:bottom w:val="none" w:sz="0" w:space="0" w:color="auto"/>
            <w:right w:val="none" w:sz="0" w:space="0" w:color="auto"/>
          </w:divBdr>
        </w:div>
        <w:div w:id="702831261">
          <w:marLeft w:val="0"/>
          <w:marRight w:val="0"/>
          <w:marTop w:val="0"/>
          <w:marBottom w:val="0"/>
          <w:divBdr>
            <w:top w:val="none" w:sz="0" w:space="0" w:color="auto"/>
            <w:left w:val="none" w:sz="0" w:space="0" w:color="auto"/>
            <w:bottom w:val="none" w:sz="0" w:space="0" w:color="auto"/>
            <w:right w:val="none" w:sz="0" w:space="0" w:color="auto"/>
          </w:divBdr>
        </w:div>
        <w:div w:id="1379281189">
          <w:marLeft w:val="0"/>
          <w:marRight w:val="0"/>
          <w:marTop w:val="0"/>
          <w:marBottom w:val="0"/>
          <w:divBdr>
            <w:top w:val="none" w:sz="0" w:space="0" w:color="auto"/>
            <w:left w:val="none" w:sz="0" w:space="0" w:color="auto"/>
            <w:bottom w:val="none" w:sz="0" w:space="0" w:color="auto"/>
            <w:right w:val="none" w:sz="0" w:space="0" w:color="auto"/>
          </w:divBdr>
        </w:div>
        <w:div w:id="1915239171">
          <w:marLeft w:val="0"/>
          <w:marRight w:val="0"/>
          <w:marTop w:val="0"/>
          <w:marBottom w:val="0"/>
          <w:divBdr>
            <w:top w:val="none" w:sz="0" w:space="0" w:color="auto"/>
            <w:left w:val="none" w:sz="0" w:space="0" w:color="auto"/>
            <w:bottom w:val="none" w:sz="0" w:space="0" w:color="auto"/>
            <w:right w:val="none" w:sz="0" w:space="0" w:color="auto"/>
          </w:divBdr>
        </w:div>
        <w:div w:id="2050955082">
          <w:marLeft w:val="0"/>
          <w:marRight w:val="0"/>
          <w:marTop w:val="0"/>
          <w:marBottom w:val="0"/>
          <w:divBdr>
            <w:top w:val="none" w:sz="0" w:space="0" w:color="auto"/>
            <w:left w:val="none" w:sz="0" w:space="0" w:color="auto"/>
            <w:bottom w:val="none" w:sz="0" w:space="0" w:color="auto"/>
            <w:right w:val="none" w:sz="0" w:space="0" w:color="auto"/>
          </w:divBdr>
        </w:div>
        <w:div w:id="2039504817">
          <w:marLeft w:val="0"/>
          <w:marRight w:val="0"/>
          <w:marTop w:val="0"/>
          <w:marBottom w:val="0"/>
          <w:divBdr>
            <w:top w:val="none" w:sz="0" w:space="0" w:color="auto"/>
            <w:left w:val="none" w:sz="0" w:space="0" w:color="auto"/>
            <w:bottom w:val="none" w:sz="0" w:space="0" w:color="auto"/>
            <w:right w:val="none" w:sz="0" w:space="0" w:color="auto"/>
          </w:divBdr>
        </w:div>
        <w:div w:id="709259206">
          <w:marLeft w:val="0"/>
          <w:marRight w:val="0"/>
          <w:marTop w:val="0"/>
          <w:marBottom w:val="0"/>
          <w:divBdr>
            <w:top w:val="none" w:sz="0" w:space="0" w:color="auto"/>
            <w:left w:val="none" w:sz="0" w:space="0" w:color="auto"/>
            <w:bottom w:val="none" w:sz="0" w:space="0" w:color="auto"/>
            <w:right w:val="none" w:sz="0" w:space="0" w:color="auto"/>
          </w:divBdr>
        </w:div>
        <w:div w:id="787234290">
          <w:marLeft w:val="0"/>
          <w:marRight w:val="0"/>
          <w:marTop w:val="0"/>
          <w:marBottom w:val="0"/>
          <w:divBdr>
            <w:top w:val="none" w:sz="0" w:space="0" w:color="auto"/>
            <w:left w:val="none" w:sz="0" w:space="0" w:color="auto"/>
            <w:bottom w:val="none" w:sz="0" w:space="0" w:color="auto"/>
            <w:right w:val="none" w:sz="0" w:space="0" w:color="auto"/>
          </w:divBdr>
        </w:div>
        <w:div w:id="210965563">
          <w:marLeft w:val="0"/>
          <w:marRight w:val="0"/>
          <w:marTop w:val="0"/>
          <w:marBottom w:val="0"/>
          <w:divBdr>
            <w:top w:val="none" w:sz="0" w:space="0" w:color="auto"/>
            <w:left w:val="none" w:sz="0" w:space="0" w:color="auto"/>
            <w:bottom w:val="none" w:sz="0" w:space="0" w:color="auto"/>
            <w:right w:val="none" w:sz="0" w:space="0" w:color="auto"/>
          </w:divBdr>
        </w:div>
        <w:div w:id="485246200">
          <w:marLeft w:val="0"/>
          <w:marRight w:val="0"/>
          <w:marTop w:val="0"/>
          <w:marBottom w:val="0"/>
          <w:divBdr>
            <w:top w:val="none" w:sz="0" w:space="0" w:color="auto"/>
            <w:left w:val="none" w:sz="0" w:space="0" w:color="auto"/>
            <w:bottom w:val="none" w:sz="0" w:space="0" w:color="auto"/>
            <w:right w:val="none" w:sz="0" w:space="0" w:color="auto"/>
          </w:divBdr>
        </w:div>
        <w:div w:id="15809026">
          <w:marLeft w:val="0"/>
          <w:marRight w:val="0"/>
          <w:marTop w:val="0"/>
          <w:marBottom w:val="0"/>
          <w:divBdr>
            <w:top w:val="none" w:sz="0" w:space="0" w:color="auto"/>
            <w:left w:val="none" w:sz="0" w:space="0" w:color="auto"/>
            <w:bottom w:val="none" w:sz="0" w:space="0" w:color="auto"/>
            <w:right w:val="none" w:sz="0" w:space="0" w:color="auto"/>
          </w:divBdr>
        </w:div>
        <w:div w:id="113063287">
          <w:marLeft w:val="0"/>
          <w:marRight w:val="0"/>
          <w:marTop w:val="0"/>
          <w:marBottom w:val="0"/>
          <w:divBdr>
            <w:top w:val="none" w:sz="0" w:space="0" w:color="auto"/>
            <w:left w:val="none" w:sz="0" w:space="0" w:color="auto"/>
            <w:bottom w:val="none" w:sz="0" w:space="0" w:color="auto"/>
            <w:right w:val="none" w:sz="0" w:space="0" w:color="auto"/>
          </w:divBdr>
        </w:div>
        <w:div w:id="1001472394">
          <w:marLeft w:val="0"/>
          <w:marRight w:val="0"/>
          <w:marTop w:val="0"/>
          <w:marBottom w:val="0"/>
          <w:divBdr>
            <w:top w:val="none" w:sz="0" w:space="0" w:color="auto"/>
            <w:left w:val="none" w:sz="0" w:space="0" w:color="auto"/>
            <w:bottom w:val="none" w:sz="0" w:space="0" w:color="auto"/>
            <w:right w:val="none" w:sz="0" w:space="0" w:color="auto"/>
          </w:divBdr>
        </w:div>
        <w:div w:id="1953901509">
          <w:marLeft w:val="0"/>
          <w:marRight w:val="0"/>
          <w:marTop w:val="0"/>
          <w:marBottom w:val="0"/>
          <w:divBdr>
            <w:top w:val="none" w:sz="0" w:space="0" w:color="auto"/>
            <w:left w:val="none" w:sz="0" w:space="0" w:color="auto"/>
            <w:bottom w:val="none" w:sz="0" w:space="0" w:color="auto"/>
            <w:right w:val="none" w:sz="0" w:space="0" w:color="auto"/>
          </w:divBdr>
        </w:div>
        <w:div w:id="949700113">
          <w:marLeft w:val="0"/>
          <w:marRight w:val="0"/>
          <w:marTop w:val="0"/>
          <w:marBottom w:val="0"/>
          <w:divBdr>
            <w:top w:val="none" w:sz="0" w:space="0" w:color="auto"/>
            <w:left w:val="none" w:sz="0" w:space="0" w:color="auto"/>
            <w:bottom w:val="none" w:sz="0" w:space="0" w:color="auto"/>
            <w:right w:val="none" w:sz="0" w:space="0" w:color="auto"/>
          </w:divBdr>
        </w:div>
        <w:div w:id="139158219">
          <w:marLeft w:val="0"/>
          <w:marRight w:val="0"/>
          <w:marTop w:val="0"/>
          <w:marBottom w:val="0"/>
          <w:divBdr>
            <w:top w:val="none" w:sz="0" w:space="0" w:color="auto"/>
            <w:left w:val="none" w:sz="0" w:space="0" w:color="auto"/>
            <w:bottom w:val="none" w:sz="0" w:space="0" w:color="auto"/>
            <w:right w:val="none" w:sz="0" w:space="0" w:color="auto"/>
          </w:divBdr>
        </w:div>
        <w:div w:id="924338788">
          <w:marLeft w:val="0"/>
          <w:marRight w:val="0"/>
          <w:marTop w:val="0"/>
          <w:marBottom w:val="0"/>
          <w:divBdr>
            <w:top w:val="none" w:sz="0" w:space="0" w:color="auto"/>
            <w:left w:val="none" w:sz="0" w:space="0" w:color="auto"/>
            <w:bottom w:val="none" w:sz="0" w:space="0" w:color="auto"/>
            <w:right w:val="none" w:sz="0" w:space="0" w:color="auto"/>
          </w:divBdr>
        </w:div>
        <w:div w:id="1964845807">
          <w:marLeft w:val="0"/>
          <w:marRight w:val="0"/>
          <w:marTop w:val="0"/>
          <w:marBottom w:val="0"/>
          <w:divBdr>
            <w:top w:val="none" w:sz="0" w:space="0" w:color="auto"/>
            <w:left w:val="none" w:sz="0" w:space="0" w:color="auto"/>
            <w:bottom w:val="none" w:sz="0" w:space="0" w:color="auto"/>
            <w:right w:val="none" w:sz="0" w:space="0" w:color="auto"/>
          </w:divBdr>
        </w:div>
        <w:div w:id="901260069">
          <w:marLeft w:val="0"/>
          <w:marRight w:val="0"/>
          <w:marTop w:val="0"/>
          <w:marBottom w:val="0"/>
          <w:divBdr>
            <w:top w:val="none" w:sz="0" w:space="0" w:color="auto"/>
            <w:left w:val="none" w:sz="0" w:space="0" w:color="auto"/>
            <w:bottom w:val="none" w:sz="0" w:space="0" w:color="auto"/>
            <w:right w:val="none" w:sz="0" w:space="0" w:color="auto"/>
          </w:divBdr>
        </w:div>
        <w:div w:id="1223253417">
          <w:marLeft w:val="0"/>
          <w:marRight w:val="0"/>
          <w:marTop w:val="0"/>
          <w:marBottom w:val="0"/>
          <w:divBdr>
            <w:top w:val="none" w:sz="0" w:space="0" w:color="auto"/>
            <w:left w:val="none" w:sz="0" w:space="0" w:color="auto"/>
            <w:bottom w:val="none" w:sz="0" w:space="0" w:color="auto"/>
            <w:right w:val="none" w:sz="0" w:space="0" w:color="auto"/>
          </w:divBdr>
        </w:div>
        <w:div w:id="1235353785">
          <w:marLeft w:val="0"/>
          <w:marRight w:val="0"/>
          <w:marTop w:val="0"/>
          <w:marBottom w:val="0"/>
          <w:divBdr>
            <w:top w:val="none" w:sz="0" w:space="0" w:color="auto"/>
            <w:left w:val="none" w:sz="0" w:space="0" w:color="auto"/>
            <w:bottom w:val="none" w:sz="0" w:space="0" w:color="auto"/>
            <w:right w:val="none" w:sz="0" w:space="0" w:color="auto"/>
          </w:divBdr>
        </w:div>
        <w:div w:id="1231429301">
          <w:marLeft w:val="0"/>
          <w:marRight w:val="0"/>
          <w:marTop w:val="0"/>
          <w:marBottom w:val="0"/>
          <w:divBdr>
            <w:top w:val="none" w:sz="0" w:space="0" w:color="auto"/>
            <w:left w:val="none" w:sz="0" w:space="0" w:color="auto"/>
            <w:bottom w:val="none" w:sz="0" w:space="0" w:color="auto"/>
            <w:right w:val="none" w:sz="0" w:space="0" w:color="auto"/>
          </w:divBdr>
        </w:div>
        <w:div w:id="369038756">
          <w:marLeft w:val="0"/>
          <w:marRight w:val="0"/>
          <w:marTop w:val="0"/>
          <w:marBottom w:val="0"/>
          <w:divBdr>
            <w:top w:val="none" w:sz="0" w:space="0" w:color="auto"/>
            <w:left w:val="none" w:sz="0" w:space="0" w:color="auto"/>
            <w:bottom w:val="none" w:sz="0" w:space="0" w:color="auto"/>
            <w:right w:val="none" w:sz="0" w:space="0" w:color="auto"/>
          </w:divBdr>
        </w:div>
        <w:div w:id="1171408095">
          <w:marLeft w:val="0"/>
          <w:marRight w:val="0"/>
          <w:marTop w:val="0"/>
          <w:marBottom w:val="0"/>
          <w:divBdr>
            <w:top w:val="none" w:sz="0" w:space="0" w:color="auto"/>
            <w:left w:val="none" w:sz="0" w:space="0" w:color="auto"/>
            <w:bottom w:val="none" w:sz="0" w:space="0" w:color="auto"/>
            <w:right w:val="none" w:sz="0" w:space="0" w:color="auto"/>
          </w:divBdr>
        </w:div>
        <w:div w:id="812255415">
          <w:marLeft w:val="0"/>
          <w:marRight w:val="0"/>
          <w:marTop w:val="0"/>
          <w:marBottom w:val="0"/>
          <w:divBdr>
            <w:top w:val="none" w:sz="0" w:space="0" w:color="auto"/>
            <w:left w:val="none" w:sz="0" w:space="0" w:color="auto"/>
            <w:bottom w:val="none" w:sz="0" w:space="0" w:color="auto"/>
            <w:right w:val="none" w:sz="0" w:space="0" w:color="auto"/>
          </w:divBdr>
        </w:div>
        <w:div w:id="1854757394">
          <w:marLeft w:val="0"/>
          <w:marRight w:val="0"/>
          <w:marTop w:val="0"/>
          <w:marBottom w:val="0"/>
          <w:divBdr>
            <w:top w:val="none" w:sz="0" w:space="0" w:color="auto"/>
            <w:left w:val="none" w:sz="0" w:space="0" w:color="auto"/>
            <w:bottom w:val="none" w:sz="0" w:space="0" w:color="auto"/>
            <w:right w:val="none" w:sz="0" w:space="0" w:color="auto"/>
          </w:divBdr>
        </w:div>
        <w:div w:id="103959561">
          <w:marLeft w:val="0"/>
          <w:marRight w:val="0"/>
          <w:marTop w:val="0"/>
          <w:marBottom w:val="0"/>
          <w:divBdr>
            <w:top w:val="none" w:sz="0" w:space="0" w:color="auto"/>
            <w:left w:val="none" w:sz="0" w:space="0" w:color="auto"/>
            <w:bottom w:val="none" w:sz="0" w:space="0" w:color="auto"/>
            <w:right w:val="none" w:sz="0" w:space="0" w:color="auto"/>
          </w:divBdr>
        </w:div>
        <w:div w:id="587740566">
          <w:marLeft w:val="0"/>
          <w:marRight w:val="0"/>
          <w:marTop w:val="0"/>
          <w:marBottom w:val="0"/>
          <w:divBdr>
            <w:top w:val="none" w:sz="0" w:space="0" w:color="auto"/>
            <w:left w:val="none" w:sz="0" w:space="0" w:color="auto"/>
            <w:bottom w:val="none" w:sz="0" w:space="0" w:color="auto"/>
            <w:right w:val="none" w:sz="0" w:space="0" w:color="auto"/>
          </w:divBdr>
        </w:div>
        <w:div w:id="1714111898">
          <w:marLeft w:val="0"/>
          <w:marRight w:val="0"/>
          <w:marTop w:val="0"/>
          <w:marBottom w:val="0"/>
          <w:divBdr>
            <w:top w:val="none" w:sz="0" w:space="0" w:color="auto"/>
            <w:left w:val="none" w:sz="0" w:space="0" w:color="auto"/>
            <w:bottom w:val="none" w:sz="0" w:space="0" w:color="auto"/>
            <w:right w:val="none" w:sz="0" w:space="0" w:color="auto"/>
          </w:divBdr>
        </w:div>
        <w:div w:id="1041590437">
          <w:marLeft w:val="0"/>
          <w:marRight w:val="0"/>
          <w:marTop w:val="0"/>
          <w:marBottom w:val="0"/>
          <w:divBdr>
            <w:top w:val="none" w:sz="0" w:space="0" w:color="auto"/>
            <w:left w:val="none" w:sz="0" w:space="0" w:color="auto"/>
            <w:bottom w:val="none" w:sz="0" w:space="0" w:color="auto"/>
            <w:right w:val="none" w:sz="0" w:space="0" w:color="auto"/>
          </w:divBdr>
        </w:div>
        <w:div w:id="372122803">
          <w:marLeft w:val="0"/>
          <w:marRight w:val="0"/>
          <w:marTop w:val="0"/>
          <w:marBottom w:val="0"/>
          <w:divBdr>
            <w:top w:val="none" w:sz="0" w:space="0" w:color="auto"/>
            <w:left w:val="none" w:sz="0" w:space="0" w:color="auto"/>
            <w:bottom w:val="none" w:sz="0" w:space="0" w:color="auto"/>
            <w:right w:val="none" w:sz="0" w:space="0" w:color="auto"/>
          </w:divBdr>
        </w:div>
        <w:div w:id="2019386414">
          <w:marLeft w:val="0"/>
          <w:marRight w:val="0"/>
          <w:marTop w:val="0"/>
          <w:marBottom w:val="0"/>
          <w:divBdr>
            <w:top w:val="none" w:sz="0" w:space="0" w:color="auto"/>
            <w:left w:val="none" w:sz="0" w:space="0" w:color="auto"/>
            <w:bottom w:val="none" w:sz="0" w:space="0" w:color="auto"/>
            <w:right w:val="none" w:sz="0" w:space="0" w:color="auto"/>
          </w:divBdr>
        </w:div>
        <w:div w:id="1870752468">
          <w:marLeft w:val="0"/>
          <w:marRight w:val="0"/>
          <w:marTop w:val="0"/>
          <w:marBottom w:val="0"/>
          <w:divBdr>
            <w:top w:val="none" w:sz="0" w:space="0" w:color="auto"/>
            <w:left w:val="none" w:sz="0" w:space="0" w:color="auto"/>
            <w:bottom w:val="none" w:sz="0" w:space="0" w:color="auto"/>
            <w:right w:val="none" w:sz="0" w:space="0" w:color="auto"/>
          </w:divBdr>
        </w:div>
        <w:div w:id="11539344">
          <w:marLeft w:val="0"/>
          <w:marRight w:val="0"/>
          <w:marTop w:val="0"/>
          <w:marBottom w:val="0"/>
          <w:divBdr>
            <w:top w:val="none" w:sz="0" w:space="0" w:color="auto"/>
            <w:left w:val="none" w:sz="0" w:space="0" w:color="auto"/>
            <w:bottom w:val="none" w:sz="0" w:space="0" w:color="auto"/>
            <w:right w:val="none" w:sz="0" w:space="0" w:color="auto"/>
          </w:divBdr>
        </w:div>
        <w:div w:id="330331402">
          <w:marLeft w:val="0"/>
          <w:marRight w:val="0"/>
          <w:marTop w:val="0"/>
          <w:marBottom w:val="0"/>
          <w:divBdr>
            <w:top w:val="none" w:sz="0" w:space="0" w:color="auto"/>
            <w:left w:val="none" w:sz="0" w:space="0" w:color="auto"/>
            <w:bottom w:val="none" w:sz="0" w:space="0" w:color="auto"/>
            <w:right w:val="none" w:sz="0" w:space="0" w:color="auto"/>
          </w:divBdr>
        </w:div>
        <w:div w:id="935789679">
          <w:marLeft w:val="0"/>
          <w:marRight w:val="0"/>
          <w:marTop w:val="0"/>
          <w:marBottom w:val="0"/>
          <w:divBdr>
            <w:top w:val="none" w:sz="0" w:space="0" w:color="auto"/>
            <w:left w:val="none" w:sz="0" w:space="0" w:color="auto"/>
            <w:bottom w:val="none" w:sz="0" w:space="0" w:color="auto"/>
            <w:right w:val="none" w:sz="0" w:space="0" w:color="auto"/>
          </w:divBdr>
        </w:div>
        <w:div w:id="460538197">
          <w:marLeft w:val="0"/>
          <w:marRight w:val="0"/>
          <w:marTop w:val="0"/>
          <w:marBottom w:val="0"/>
          <w:divBdr>
            <w:top w:val="none" w:sz="0" w:space="0" w:color="auto"/>
            <w:left w:val="none" w:sz="0" w:space="0" w:color="auto"/>
            <w:bottom w:val="none" w:sz="0" w:space="0" w:color="auto"/>
            <w:right w:val="none" w:sz="0" w:space="0" w:color="auto"/>
          </w:divBdr>
        </w:div>
        <w:div w:id="1808627508">
          <w:marLeft w:val="0"/>
          <w:marRight w:val="0"/>
          <w:marTop w:val="0"/>
          <w:marBottom w:val="0"/>
          <w:divBdr>
            <w:top w:val="none" w:sz="0" w:space="0" w:color="auto"/>
            <w:left w:val="none" w:sz="0" w:space="0" w:color="auto"/>
            <w:bottom w:val="none" w:sz="0" w:space="0" w:color="auto"/>
            <w:right w:val="none" w:sz="0" w:space="0" w:color="auto"/>
          </w:divBdr>
        </w:div>
        <w:div w:id="7450335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EE0E5B-23F0-4373-9765-43F03A8409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89</Pages>
  <Words>40820</Words>
  <Characters>232679</Characters>
  <Application>Microsoft Office Word</Application>
  <DocSecurity>0</DocSecurity>
  <Lines>1938</Lines>
  <Paragraphs>545</Paragraphs>
  <ScaleCrop>false</ScaleCrop>
  <HeadingPairs>
    <vt:vector size="2" baseType="variant">
      <vt:variant>
        <vt:lpstr>Title</vt:lpstr>
      </vt:variant>
      <vt:variant>
        <vt:i4>1</vt:i4>
      </vt:variant>
    </vt:vector>
  </HeadingPairs>
  <TitlesOfParts>
    <vt:vector size="1" baseType="lpstr">
      <vt:lpstr>Справка за отразяване на постъпилите предложения от обществените консултации</vt:lpstr>
    </vt:vector>
  </TitlesOfParts>
  <LinksUpToDate>false</LinksUpToDate>
  <CharactersWithSpaces>272954</CharactersWithSpaces>
  <SharedDoc>false</SharedDoc>
  <HLinks>
    <vt:vector size="6" baseType="variant">
      <vt:variant>
        <vt:i4>6946915</vt:i4>
      </vt:variant>
      <vt:variant>
        <vt:i4>0</vt:i4>
      </vt:variant>
      <vt:variant>
        <vt:i4>0</vt:i4>
      </vt:variant>
      <vt:variant>
        <vt:i4>5</vt:i4>
      </vt:variant>
      <vt:variant>
        <vt:lpwstr>https://eur-lex.europa.eu/legal-content/AUTO/?uri=CELEX:32016R0679&amp;qid=1532525037562&amp;rid=1</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Справка за отразяване на постъпилите предложения от обществените консултации</dc:title>
  <dc:creator/>
  <cp:lastModifiedBy/>
  <cp:revision>1</cp:revision>
  <dcterms:created xsi:type="dcterms:W3CDTF">2022-06-07T08:17:00Z</dcterms:created>
  <dcterms:modified xsi:type="dcterms:W3CDTF">2022-06-07T09:18:00Z</dcterms:modified>
</cp:coreProperties>
</file>