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B911359" w14:textId="0634CA57" w:rsidR="00D06AEE" w:rsidRPr="00937D97" w:rsidRDefault="00937D97">
      <w:pPr>
        <w:rPr>
          <w:b/>
          <w:bCs/>
          <w:sz w:val="24"/>
          <w:szCs w:val="24"/>
          <w:lang w:val="bg-BG"/>
        </w:rPr>
      </w:pPr>
      <w:bookmarkStart w:id="0" w:name="_GoBack"/>
      <w:bookmarkEnd w:id="0"/>
      <w:r w:rsidRPr="00937D97">
        <w:rPr>
          <w:b/>
          <w:bCs/>
          <w:sz w:val="24"/>
          <w:szCs w:val="24"/>
          <w:lang w:val="bg-BG"/>
        </w:rPr>
        <w:t xml:space="preserve">Приложение Таблица с допълнителни бележки и препоръки по </w:t>
      </w:r>
      <w:r w:rsidRPr="00937D97">
        <w:rPr>
          <w:rFonts w:cstheme="minorHAnsi"/>
          <w:b/>
          <w:bCs/>
          <w:sz w:val="24"/>
          <w:szCs w:val="24"/>
          <w:lang w:val="bg-BG"/>
        </w:rPr>
        <w:t>СПРЗСР 2023-2027</w:t>
      </w: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700"/>
        <w:gridCol w:w="5395"/>
        <w:gridCol w:w="4111"/>
        <w:gridCol w:w="2976"/>
      </w:tblGrid>
      <w:tr w:rsidR="00D504A5" w:rsidRPr="00937D97" w14:paraId="1E74AB54" w14:textId="77777777" w:rsidTr="00D504A5">
        <w:trPr>
          <w:trHeight w:val="600"/>
        </w:trPr>
        <w:tc>
          <w:tcPr>
            <w:tcW w:w="988" w:type="dxa"/>
            <w:shd w:val="clear" w:color="FEF2CB" w:fill="FEF2CB"/>
            <w:vAlign w:val="bottom"/>
            <w:hideMark/>
          </w:tcPr>
          <w:p w14:paraId="19239A17" w14:textId="77777777" w:rsidR="00937D97" w:rsidRPr="00937D97" w:rsidRDefault="00937D97" w:rsidP="00937D97">
            <w:pPr>
              <w:spacing w:after="0" w:line="240" w:lineRule="auto"/>
              <w:rPr>
                <w:rFonts w:eastAsia="Times New Roman" w:cstheme="minorHAnsi"/>
                <w:b/>
                <w:bCs/>
                <w:color w:val="000000"/>
                <w:sz w:val="18"/>
                <w:szCs w:val="18"/>
                <w:lang w:val="bg-BG"/>
              </w:rPr>
            </w:pPr>
            <w:r w:rsidRPr="00937D97">
              <w:rPr>
                <w:rFonts w:eastAsia="Times New Roman" w:cstheme="minorHAnsi"/>
                <w:b/>
                <w:bCs/>
                <w:color w:val="000000"/>
                <w:sz w:val="18"/>
                <w:szCs w:val="18"/>
                <w:lang w:val="bg-BG"/>
              </w:rPr>
              <w:t>тема, която се коментира</w:t>
            </w:r>
          </w:p>
        </w:tc>
        <w:tc>
          <w:tcPr>
            <w:tcW w:w="700" w:type="dxa"/>
            <w:shd w:val="clear" w:color="FEF2CB" w:fill="FEF2CB"/>
            <w:noWrap/>
            <w:vAlign w:val="bottom"/>
            <w:hideMark/>
          </w:tcPr>
          <w:p w14:paraId="41679577" w14:textId="77777777" w:rsidR="00937D97" w:rsidRPr="00937D97" w:rsidRDefault="00937D97" w:rsidP="00937D97">
            <w:pPr>
              <w:spacing w:after="0" w:line="240" w:lineRule="auto"/>
              <w:rPr>
                <w:rFonts w:eastAsia="Times New Roman" w:cstheme="minorHAnsi"/>
                <w:b/>
                <w:bCs/>
                <w:color w:val="000000"/>
                <w:sz w:val="18"/>
                <w:szCs w:val="18"/>
                <w:lang w:val="bg-BG"/>
              </w:rPr>
            </w:pPr>
            <w:r w:rsidRPr="00937D97">
              <w:rPr>
                <w:rFonts w:eastAsia="Times New Roman" w:cstheme="minorHAnsi"/>
                <w:b/>
                <w:bCs/>
                <w:color w:val="000000"/>
                <w:sz w:val="18"/>
                <w:szCs w:val="18"/>
                <w:lang w:val="bg-BG"/>
              </w:rPr>
              <w:t>страница</w:t>
            </w:r>
          </w:p>
        </w:tc>
        <w:tc>
          <w:tcPr>
            <w:tcW w:w="5395" w:type="dxa"/>
            <w:shd w:val="clear" w:color="FEF2CB" w:fill="FEF2CB"/>
            <w:vAlign w:val="bottom"/>
            <w:hideMark/>
          </w:tcPr>
          <w:p w14:paraId="3DDDC9ED" w14:textId="77777777" w:rsidR="00937D97" w:rsidRPr="00937D97" w:rsidRDefault="00937D97" w:rsidP="00937D97">
            <w:pPr>
              <w:spacing w:after="0" w:line="240" w:lineRule="auto"/>
              <w:rPr>
                <w:rFonts w:eastAsia="Times New Roman" w:cstheme="minorHAnsi"/>
                <w:b/>
                <w:bCs/>
                <w:color w:val="000000"/>
                <w:sz w:val="18"/>
                <w:szCs w:val="18"/>
                <w:lang w:val="bg-BG"/>
              </w:rPr>
            </w:pPr>
            <w:r w:rsidRPr="00937D97">
              <w:rPr>
                <w:rFonts w:eastAsia="Times New Roman" w:cstheme="minorHAnsi"/>
                <w:b/>
                <w:bCs/>
                <w:color w:val="000000"/>
                <w:sz w:val="18"/>
                <w:szCs w:val="18"/>
                <w:lang w:val="bg-BG"/>
              </w:rPr>
              <w:t>текст който се коментира (ако може да се резюмира, копира или напише цитат)</w:t>
            </w:r>
          </w:p>
        </w:tc>
        <w:tc>
          <w:tcPr>
            <w:tcW w:w="4111" w:type="dxa"/>
            <w:shd w:val="clear" w:color="FEF2CB" w:fill="FEF2CB"/>
            <w:vAlign w:val="bottom"/>
            <w:hideMark/>
          </w:tcPr>
          <w:p w14:paraId="00985ED2" w14:textId="77777777" w:rsidR="00937D97" w:rsidRPr="00937D97" w:rsidRDefault="00937D97" w:rsidP="00937D97">
            <w:pPr>
              <w:spacing w:after="0" w:line="240" w:lineRule="auto"/>
              <w:rPr>
                <w:rFonts w:eastAsia="Times New Roman" w:cstheme="minorHAnsi"/>
                <w:b/>
                <w:bCs/>
                <w:color w:val="000000"/>
                <w:sz w:val="18"/>
                <w:szCs w:val="18"/>
                <w:lang w:val="bg-BG"/>
              </w:rPr>
            </w:pPr>
            <w:r w:rsidRPr="00937D97">
              <w:rPr>
                <w:rFonts w:eastAsia="Times New Roman" w:cstheme="minorHAnsi"/>
                <w:b/>
                <w:bCs/>
                <w:color w:val="000000"/>
                <w:sz w:val="18"/>
                <w:szCs w:val="18"/>
                <w:lang w:val="bg-BG"/>
              </w:rPr>
              <w:t>коментар/проблем</w:t>
            </w:r>
          </w:p>
        </w:tc>
        <w:tc>
          <w:tcPr>
            <w:tcW w:w="2976" w:type="dxa"/>
            <w:shd w:val="clear" w:color="FEF2CB" w:fill="FEF2CB"/>
            <w:vAlign w:val="bottom"/>
            <w:hideMark/>
          </w:tcPr>
          <w:p w14:paraId="707A49F8" w14:textId="77777777" w:rsidR="00937D97" w:rsidRPr="00937D97" w:rsidRDefault="00937D97" w:rsidP="00937D97">
            <w:pPr>
              <w:spacing w:after="0" w:line="240" w:lineRule="auto"/>
              <w:rPr>
                <w:rFonts w:eastAsia="Times New Roman" w:cstheme="minorHAnsi"/>
                <w:b/>
                <w:bCs/>
                <w:color w:val="000000"/>
                <w:sz w:val="18"/>
                <w:szCs w:val="18"/>
                <w:lang w:val="bg-BG"/>
              </w:rPr>
            </w:pPr>
            <w:r w:rsidRPr="00937D97">
              <w:rPr>
                <w:rFonts w:eastAsia="Times New Roman" w:cstheme="minorHAnsi"/>
                <w:b/>
                <w:bCs/>
                <w:color w:val="000000"/>
                <w:sz w:val="18"/>
                <w:szCs w:val="18"/>
                <w:lang w:val="bg-BG"/>
              </w:rPr>
              <w:t>становище/препоръка</w:t>
            </w:r>
          </w:p>
        </w:tc>
      </w:tr>
      <w:tr w:rsidR="00D504A5" w:rsidRPr="00937D97" w14:paraId="3B197C3E" w14:textId="77777777" w:rsidTr="00D504A5">
        <w:trPr>
          <w:trHeight w:val="735"/>
        </w:trPr>
        <w:tc>
          <w:tcPr>
            <w:tcW w:w="988" w:type="dxa"/>
            <w:shd w:val="clear" w:color="auto" w:fill="auto"/>
            <w:vAlign w:val="bottom"/>
            <w:hideMark/>
          </w:tcPr>
          <w:p w14:paraId="7CDD7AA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биоразнообразие</w:t>
            </w:r>
          </w:p>
        </w:tc>
        <w:tc>
          <w:tcPr>
            <w:tcW w:w="700" w:type="dxa"/>
            <w:shd w:val="clear" w:color="auto" w:fill="auto"/>
            <w:noWrap/>
            <w:vAlign w:val="bottom"/>
            <w:hideMark/>
          </w:tcPr>
          <w:p w14:paraId="4A9B20A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34</w:t>
            </w:r>
          </w:p>
        </w:tc>
        <w:tc>
          <w:tcPr>
            <w:tcW w:w="5395" w:type="dxa"/>
            <w:shd w:val="clear" w:color="auto" w:fill="auto"/>
            <w:vAlign w:val="bottom"/>
            <w:hideMark/>
          </w:tcPr>
          <w:p w14:paraId="3C40682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Общата  селскостопанска политика ще насърчава устойчиви земеделски практики, които са насочени към  справяне с климатичните изменения и опазване на околната среда. </w:t>
            </w:r>
          </w:p>
        </w:tc>
        <w:tc>
          <w:tcPr>
            <w:tcW w:w="4111" w:type="dxa"/>
            <w:shd w:val="clear" w:color="auto" w:fill="auto"/>
            <w:vAlign w:val="bottom"/>
            <w:hideMark/>
          </w:tcPr>
          <w:p w14:paraId="0DE896E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Важна за нас част от декларацията, която ще проследим как е спазена в самия план. В декларацията не с е споменава Натура 2000 и връзка с НПРД</w:t>
            </w:r>
          </w:p>
        </w:tc>
        <w:tc>
          <w:tcPr>
            <w:tcW w:w="2976" w:type="dxa"/>
            <w:shd w:val="clear" w:color="auto" w:fill="auto"/>
            <w:vAlign w:val="bottom"/>
            <w:hideMark/>
          </w:tcPr>
          <w:p w14:paraId="2EF2FE7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41926E7" w14:textId="77777777" w:rsidTr="00D504A5">
        <w:trPr>
          <w:trHeight w:val="6015"/>
        </w:trPr>
        <w:tc>
          <w:tcPr>
            <w:tcW w:w="988" w:type="dxa"/>
            <w:shd w:val="clear" w:color="auto" w:fill="auto"/>
            <w:vAlign w:val="bottom"/>
            <w:hideMark/>
          </w:tcPr>
          <w:p w14:paraId="5BC01BE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10BB42B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35-40</w:t>
            </w:r>
          </w:p>
        </w:tc>
        <w:tc>
          <w:tcPr>
            <w:tcW w:w="5395" w:type="dxa"/>
            <w:shd w:val="clear" w:color="auto" w:fill="auto"/>
            <w:vAlign w:val="bottom"/>
            <w:hideMark/>
          </w:tcPr>
          <w:p w14:paraId="7AFC4E0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 Оценки на нуждите и стратегия за интервенция - таблицата: С най-висок приоритет са определени: увеличаването на СО2 в почвата, култури и сортове съобразени с климата, устойчивото управление на горите; "Продължаване на  прилагане на оптимизирана и устойчива употреба на  ПРЗ, минерални и  органични торове"; генетичното разнообразие сред породите и сортовете (П.6.7); разширяване на биологичното земеделие (П6.5); опрашителния потенциал (6.8); подкрепа за млади фермери и модернизация на фермите им; професионално квалификационно развитие, потребление на биологични продукти; подобряване отглеждането на животни; намаляване употребата на антимикробни средства, подобряване използването на торове и ПРЗ! Сред високите приоритети са всички свързани с конкурентноспособност, подпомагане доходите на стопанствата, финансиране, подобряване на здравни и социални услуги; сред високите приоритет си качеството на почвите,  водите, елементите на ландшафта и биоразнообразието в горите; сред средните приоритети, равностойни на биоразнообразието са оптимизиране на напояването, производителност, модернизация, подобравяне на достъпа до фиансиране, ВЕИ, износ на продукция, производство на биомаса. Има само 3 аспекта с нисък приоритет, които не са анализирани в плана</w:t>
            </w:r>
          </w:p>
        </w:tc>
        <w:tc>
          <w:tcPr>
            <w:tcW w:w="4111" w:type="dxa"/>
            <w:shd w:val="clear" w:color="auto" w:fill="auto"/>
            <w:vAlign w:val="bottom"/>
            <w:hideMark/>
          </w:tcPr>
          <w:p w14:paraId="3C4B89E3" w14:textId="043FA5B9"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П.5.5 и П9.8  - относно торове и пестициди ми изглеждат доста идентични; анализирайки таблицата в цялост, стигам до извода че всичко което е </w:t>
            </w:r>
            <w:r w:rsidR="00D504A5" w:rsidRPr="00937D97">
              <w:rPr>
                <w:rFonts w:eastAsia="Times New Roman" w:cstheme="minorHAnsi"/>
                <w:color w:val="000000"/>
                <w:sz w:val="18"/>
                <w:szCs w:val="18"/>
                <w:lang w:val="bg-BG"/>
              </w:rPr>
              <w:t>посочено</w:t>
            </w:r>
            <w:r w:rsidRPr="00937D97">
              <w:rPr>
                <w:rFonts w:eastAsia="Times New Roman" w:cstheme="minorHAnsi"/>
                <w:color w:val="000000"/>
                <w:sz w:val="18"/>
                <w:szCs w:val="18"/>
                <w:lang w:val="bg-BG"/>
              </w:rPr>
              <w:t xml:space="preserve"> като среден приоритет на практика е най-ниския приоритет в програмата, т.е. опазването на дивата флора и фауна в земеделските земи е на дъното в приоритетите; опазването на биоразнообразието в горите е с по-висок приоритет, което вероятно се дължи на факта, че повечето са държавни, но пък трябва да се отчете факта, че досега вече два планови периода горски мерки просто не са тръгвали.</w:t>
            </w:r>
          </w:p>
        </w:tc>
        <w:tc>
          <w:tcPr>
            <w:tcW w:w="2976" w:type="dxa"/>
            <w:shd w:val="clear" w:color="auto" w:fill="auto"/>
            <w:vAlign w:val="bottom"/>
            <w:hideMark/>
          </w:tcPr>
          <w:p w14:paraId="38F5ADC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9C8C7F4" w14:textId="77777777" w:rsidTr="00D504A5">
        <w:trPr>
          <w:trHeight w:val="3116"/>
        </w:trPr>
        <w:tc>
          <w:tcPr>
            <w:tcW w:w="988" w:type="dxa"/>
            <w:shd w:val="clear" w:color="auto" w:fill="auto"/>
            <w:vAlign w:val="bottom"/>
            <w:hideMark/>
          </w:tcPr>
          <w:p w14:paraId="13F643D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7648CB0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41</w:t>
            </w:r>
          </w:p>
        </w:tc>
        <w:tc>
          <w:tcPr>
            <w:tcW w:w="5395" w:type="dxa"/>
            <w:shd w:val="clear" w:color="auto" w:fill="auto"/>
            <w:vAlign w:val="bottom"/>
            <w:hideMark/>
          </w:tcPr>
          <w:p w14:paraId="61A2031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П.1.1.Необходимост от подпомагане на доходите на земеделските стопани, с цел сближаването им със средното равнище на доходи в другите сектори в икономиката: В България, за периода 2007-2016 г. полученият факторен доход на час вложен труд в селското стопанство показва трайно изоставане, в сравнение със средното равнище в страната и с други икономически дейности. ... Причините за недостатъчната доходност трябва да се търсят в преобладаващия дял на продукция с ниска добавена стойност, по-ниска производителност, екстензивно производство, по-ниска ефективност....Ролята на субсидиите по ОСП продължава да е важна за подпомагане на доходите на фермите. Съществува тенденция на намаляване на средната норма на рентабилност на земеделските стопанства със и без субсидии, като във втория случай е в по-голяма степен.</w:t>
            </w:r>
          </w:p>
        </w:tc>
        <w:tc>
          <w:tcPr>
            <w:tcW w:w="4111" w:type="dxa"/>
            <w:shd w:val="clear" w:color="auto" w:fill="auto"/>
            <w:vAlign w:val="bottom"/>
            <w:hideMark/>
          </w:tcPr>
          <w:p w14:paraId="1F5E70A4" w14:textId="210A905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Този текст би трябвало да обоснове нуждата от субсидии в земеделието, но като го чета си </w:t>
            </w:r>
            <w:r w:rsidR="00D504A5">
              <w:rPr>
                <w:rFonts w:eastAsia="Times New Roman" w:cstheme="minorHAnsi"/>
                <w:color w:val="000000"/>
                <w:sz w:val="18"/>
                <w:szCs w:val="18"/>
                <w:lang w:val="bg-BG"/>
              </w:rPr>
              <w:t>з</w:t>
            </w:r>
            <w:r w:rsidRPr="00937D97">
              <w:rPr>
                <w:rFonts w:eastAsia="Times New Roman" w:cstheme="minorHAnsi"/>
                <w:color w:val="000000"/>
                <w:sz w:val="18"/>
                <w:szCs w:val="18"/>
                <w:lang w:val="bg-BG"/>
              </w:rPr>
              <w:t xml:space="preserve">адавам въпроса тази форма на субсидиране дали е на практика правилната, след като се прилага вече два периода, но въпреки това земеделието е зле.  Според мен (не е нещо ново) формата на хоризонтално субсидиране, </w:t>
            </w:r>
            <w:r w:rsidR="00D504A5" w:rsidRPr="00937D97">
              <w:rPr>
                <w:rFonts w:eastAsia="Times New Roman" w:cstheme="minorHAnsi"/>
                <w:color w:val="000000"/>
                <w:sz w:val="18"/>
                <w:szCs w:val="18"/>
                <w:lang w:val="bg-BG"/>
              </w:rPr>
              <w:t>където</w:t>
            </w:r>
            <w:r w:rsidRPr="00937D97">
              <w:rPr>
                <w:rFonts w:eastAsia="Times New Roman" w:cstheme="minorHAnsi"/>
                <w:color w:val="000000"/>
                <w:sz w:val="18"/>
                <w:szCs w:val="18"/>
                <w:lang w:val="bg-BG"/>
              </w:rPr>
              <w:t xml:space="preserve"> се раздават един пари, а индикаторите са само колко пари са раздадени, като няма изискване за резултат и ефект е доста порочна практика. Причините за лошото състояние трябва да се търсят в самия подход на стимулиране. В текста няма обосновка защо въпреки много субсидии нещата се влошават!</w:t>
            </w:r>
          </w:p>
        </w:tc>
        <w:tc>
          <w:tcPr>
            <w:tcW w:w="2976" w:type="dxa"/>
            <w:shd w:val="clear" w:color="auto" w:fill="auto"/>
            <w:vAlign w:val="bottom"/>
            <w:hideMark/>
          </w:tcPr>
          <w:p w14:paraId="0513F5C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търсят по-ориентирани към дълготраен резултат и ефект стимули ... </w:t>
            </w:r>
          </w:p>
        </w:tc>
      </w:tr>
      <w:tr w:rsidR="00D504A5" w:rsidRPr="00937D97" w14:paraId="6FBFB1AA" w14:textId="77777777" w:rsidTr="00D504A5">
        <w:trPr>
          <w:trHeight w:val="1935"/>
        </w:trPr>
        <w:tc>
          <w:tcPr>
            <w:tcW w:w="988" w:type="dxa"/>
            <w:shd w:val="clear" w:color="auto" w:fill="auto"/>
            <w:vAlign w:val="bottom"/>
            <w:hideMark/>
          </w:tcPr>
          <w:p w14:paraId="56ABD4B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161955D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42</w:t>
            </w:r>
          </w:p>
        </w:tc>
        <w:tc>
          <w:tcPr>
            <w:tcW w:w="5395" w:type="dxa"/>
            <w:shd w:val="clear" w:color="auto" w:fill="auto"/>
            <w:vAlign w:val="bottom"/>
            <w:hideMark/>
          </w:tcPr>
          <w:p w14:paraId="64FF838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П.1.2.Повишаване на ефективността на подкрепата и увеличаване на икономическия потенциал на малките и средни стопанства: Идентифицирани са редица слабости при малките стопанства, ... За постигане на по-справедливо подпомагане е необходимо да продължи използването на възможностите на инструментите на Общата селскостопанска политика, като по този начин се повиши ефективността на подкрепата,</w:t>
            </w:r>
          </w:p>
        </w:tc>
        <w:tc>
          <w:tcPr>
            <w:tcW w:w="4111" w:type="dxa"/>
            <w:shd w:val="clear" w:color="auto" w:fill="auto"/>
            <w:vAlign w:val="bottom"/>
            <w:hideMark/>
          </w:tcPr>
          <w:p w14:paraId="3966C5F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продължавам да си задавам въпроса дали подпомагането на малките стопанства е реален приоритет и как ще успеят да насърчат малките стопанства да се възползват от тази подкрепа, след като два програмни периода не са успели; малките стопанства са най-уязвимите и най-недоверчивите, но са среден приоритет </w:t>
            </w:r>
          </w:p>
        </w:tc>
        <w:tc>
          <w:tcPr>
            <w:tcW w:w="2976" w:type="dxa"/>
            <w:shd w:val="clear" w:color="auto" w:fill="auto"/>
            <w:vAlign w:val="bottom"/>
            <w:hideMark/>
          </w:tcPr>
          <w:p w14:paraId="36C647DD"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5903EEDB" w14:textId="77777777" w:rsidTr="00D504A5">
        <w:trPr>
          <w:trHeight w:val="1695"/>
        </w:trPr>
        <w:tc>
          <w:tcPr>
            <w:tcW w:w="988" w:type="dxa"/>
            <w:shd w:val="clear" w:color="auto" w:fill="auto"/>
            <w:vAlign w:val="bottom"/>
            <w:hideMark/>
          </w:tcPr>
          <w:p w14:paraId="280FB26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284AEBD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43</w:t>
            </w:r>
          </w:p>
        </w:tc>
        <w:tc>
          <w:tcPr>
            <w:tcW w:w="5395" w:type="dxa"/>
            <w:shd w:val="clear" w:color="auto" w:fill="auto"/>
            <w:vAlign w:val="bottom"/>
            <w:hideMark/>
          </w:tcPr>
          <w:p w14:paraId="5D46E0B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П.1.3. Потребност от подпомагане на земеделските стопанства в секторите зеленчуци, трайни насаждения и преживни животни за увеличаване на икономическия им потенциал: За преодоляването на тези разлики се налага потребността от увеличаване на икономическия потенциал на земеделските стопанства, приоритетно в секторите зеленчуци, трайни насаждения и преживни животни.</w:t>
            </w:r>
          </w:p>
        </w:tc>
        <w:tc>
          <w:tcPr>
            <w:tcW w:w="4111" w:type="dxa"/>
            <w:shd w:val="clear" w:color="auto" w:fill="auto"/>
            <w:vAlign w:val="bottom"/>
            <w:hideMark/>
          </w:tcPr>
          <w:p w14:paraId="032884A3" w14:textId="1F544A0B"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провери как тази потребност е обвързана и с </w:t>
            </w:r>
            <w:r w:rsidR="00D504A5" w:rsidRPr="00937D97">
              <w:rPr>
                <w:rFonts w:eastAsia="Times New Roman" w:cstheme="minorHAnsi"/>
                <w:color w:val="000000"/>
                <w:sz w:val="18"/>
                <w:szCs w:val="18"/>
                <w:lang w:val="bg-BG"/>
              </w:rPr>
              <w:t>устойчивото</w:t>
            </w:r>
            <w:r w:rsidRPr="00937D97">
              <w:rPr>
                <w:rFonts w:eastAsia="Times New Roman" w:cstheme="minorHAnsi"/>
                <w:color w:val="000000"/>
                <w:sz w:val="18"/>
                <w:szCs w:val="18"/>
                <w:lang w:val="bg-BG"/>
              </w:rPr>
              <w:t xml:space="preserve"> земеделие</w:t>
            </w:r>
          </w:p>
        </w:tc>
        <w:tc>
          <w:tcPr>
            <w:tcW w:w="2976" w:type="dxa"/>
            <w:shd w:val="clear" w:color="auto" w:fill="auto"/>
            <w:vAlign w:val="bottom"/>
            <w:hideMark/>
          </w:tcPr>
          <w:p w14:paraId="447509C0"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A9280AE" w14:textId="77777777" w:rsidTr="00D504A5">
        <w:trPr>
          <w:trHeight w:val="315"/>
        </w:trPr>
        <w:tc>
          <w:tcPr>
            <w:tcW w:w="988" w:type="dxa"/>
            <w:shd w:val="clear" w:color="auto" w:fill="auto"/>
            <w:vAlign w:val="bottom"/>
            <w:hideMark/>
          </w:tcPr>
          <w:p w14:paraId="06EF2BD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1C9392C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43</w:t>
            </w:r>
          </w:p>
        </w:tc>
        <w:tc>
          <w:tcPr>
            <w:tcW w:w="5395" w:type="dxa"/>
            <w:shd w:val="clear" w:color="auto" w:fill="auto"/>
            <w:vAlign w:val="bottom"/>
            <w:hideMark/>
          </w:tcPr>
          <w:p w14:paraId="64721EC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П.1.4. Укрепване жизнеспособността на земеделските стопанства в районите с природни и други ограничения: Комбинацията или натрупването на ограничаващи фактора води до еквивалентно ограничение (неравнопоставеност) между земеделските стопани. В стопанствата с планинско земеделие през 2010 г. е произведена 2,2 пъти по-малко БП, в сравнение с всички стопанства в направените извади (през 2013 г. тази разлика е 4,6 пъти, а за 2016 г., съответно – 3,5 пъти). Субсидиите имат съществена роля при формиране на доходите, особено при земеделските стопанства с природни и други ограничения. През 2013 и 2016 година нетният доход без субсидии е с тенденция към намаление и е отрицателна величина, което прави подпомагането на тези стопанства жизнено важно.</w:t>
            </w:r>
          </w:p>
        </w:tc>
        <w:tc>
          <w:tcPr>
            <w:tcW w:w="4111" w:type="dxa"/>
            <w:shd w:val="clear" w:color="auto" w:fill="auto"/>
            <w:vAlign w:val="bottom"/>
            <w:hideMark/>
          </w:tcPr>
          <w:p w14:paraId="09138D44" w14:textId="3116E32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 хубаво, но не виждам обосновка как </w:t>
            </w:r>
            <w:r w:rsidR="00D504A5" w:rsidRPr="00937D97">
              <w:rPr>
                <w:rFonts w:eastAsia="Times New Roman" w:cstheme="minorHAnsi"/>
                <w:color w:val="000000"/>
                <w:sz w:val="18"/>
                <w:szCs w:val="18"/>
                <w:lang w:val="bg-BG"/>
              </w:rPr>
              <w:t>всъщност</w:t>
            </w:r>
            <w:r w:rsidRPr="00937D97">
              <w:rPr>
                <w:rFonts w:eastAsia="Times New Roman" w:cstheme="minorHAnsi"/>
                <w:color w:val="000000"/>
                <w:sz w:val="18"/>
                <w:szCs w:val="18"/>
                <w:lang w:val="bg-BG"/>
              </w:rPr>
              <w:t xml:space="preserve"> субсидиите са допринесли за укрепването на жизнеспособността в предходните периоди и защо е толкова важно да продължат. "без субсидии" ... не е достатъчно като аргумент</w:t>
            </w:r>
          </w:p>
        </w:tc>
        <w:tc>
          <w:tcPr>
            <w:tcW w:w="2976" w:type="dxa"/>
            <w:shd w:val="clear" w:color="auto" w:fill="auto"/>
            <w:vAlign w:val="bottom"/>
            <w:hideMark/>
          </w:tcPr>
          <w:p w14:paraId="4E1F1C6E"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0C33E367" w14:textId="77777777" w:rsidTr="00D504A5">
        <w:trPr>
          <w:trHeight w:val="315"/>
        </w:trPr>
        <w:tc>
          <w:tcPr>
            <w:tcW w:w="988" w:type="dxa"/>
            <w:shd w:val="clear" w:color="auto" w:fill="auto"/>
            <w:vAlign w:val="bottom"/>
            <w:hideMark/>
          </w:tcPr>
          <w:p w14:paraId="015F491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6F0399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44</w:t>
            </w:r>
          </w:p>
        </w:tc>
        <w:tc>
          <w:tcPr>
            <w:tcW w:w="5395" w:type="dxa"/>
            <w:shd w:val="clear" w:color="auto" w:fill="auto"/>
            <w:vAlign w:val="bottom"/>
            <w:hideMark/>
          </w:tcPr>
          <w:p w14:paraId="38DD2EF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П.1.5.Надграждане и диверсифициране на системата за управление на риска и управление на кризите в земеделието: Един от основните проблеми за постигане на максимална ефективност на настоящата градозащита е системното недофинансиране на извършваните дейности, поради </w:t>
            </w:r>
            <w:r w:rsidRPr="00937D97">
              <w:rPr>
                <w:rFonts w:eastAsia="Times New Roman" w:cstheme="minorHAnsi"/>
                <w:color w:val="000000"/>
                <w:sz w:val="18"/>
                <w:szCs w:val="18"/>
                <w:lang w:val="bg-BG"/>
              </w:rPr>
              <w:lastRenderedPageBreak/>
              <w:t>ограниченията на държавния бюджет. ...</w:t>
            </w:r>
          </w:p>
        </w:tc>
        <w:tc>
          <w:tcPr>
            <w:tcW w:w="4111" w:type="dxa"/>
            <w:shd w:val="clear" w:color="auto" w:fill="auto"/>
            <w:vAlign w:val="bottom"/>
            <w:hideMark/>
          </w:tcPr>
          <w:p w14:paraId="18608C69" w14:textId="5D436BA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принципно искаме европейски средства за прилагане на този план, които да са </w:t>
            </w:r>
            <w:r w:rsidR="00D504A5">
              <w:rPr>
                <w:rFonts w:eastAsia="Times New Roman" w:cstheme="minorHAnsi"/>
                <w:color w:val="000000"/>
                <w:sz w:val="18"/>
                <w:szCs w:val="18"/>
                <w:lang w:val="bg-BG"/>
              </w:rPr>
              <w:t>насочени</w:t>
            </w:r>
            <w:r w:rsidRPr="00937D97">
              <w:rPr>
                <w:rFonts w:eastAsia="Times New Roman" w:cstheme="minorHAnsi"/>
                <w:color w:val="000000"/>
                <w:sz w:val="18"/>
                <w:szCs w:val="18"/>
                <w:lang w:val="bg-BG"/>
              </w:rPr>
              <w:t xml:space="preserve"> към стопанствата/фермерите; като няма държавен бюджет за градозащита, редно ли е ЕС да ни решава този проблем се питам. Всъщност от </w:t>
            </w:r>
            <w:r w:rsidRPr="00937D97">
              <w:rPr>
                <w:rFonts w:eastAsia="Times New Roman" w:cstheme="minorHAnsi"/>
                <w:color w:val="000000"/>
                <w:sz w:val="18"/>
                <w:szCs w:val="18"/>
                <w:lang w:val="bg-BG"/>
              </w:rPr>
              <w:lastRenderedPageBreak/>
              <w:t xml:space="preserve">всичко писано за тази </w:t>
            </w:r>
            <w:r w:rsidR="00D504A5" w:rsidRPr="00937D97">
              <w:rPr>
                <w:rFonts w:eastAsia="Times New Roman" w:cstheme="minorHAnsi"/>
                <w:color w:val="000000"/>
                <w:sz w:val="18"/>
                <w:szCs w:val="18"/>
                <w:lang w:val="bg-BG"/>
              </w:rPr>
              <w:t>потребност</w:t>
            </w:r>
            <w:r w:rsidRPr="00937D97">
              <w:rPr>
                <w:rFonts w:eastAsia="Times New Roman" w:cstheme="minorHAnsi"/>
                <w:color w:val="000000"/>
                <w:sz w:val="18"/>
                <w:szCs w:val="18"/>
                <w:lang w:val="bg-BG"/>
              </w:rPr>
              <w:t xml:space="preserve"> не ми </w:t>
            </w:r>
            <w:r w:rsidR="00D504A5" w:rsidRPr="00937D97">
              <w:rPr>
                <w:rFonts w:eastAsia="Times New Roman" w:cstheme="minorHAnsi"/>
                <w:color w:val="000000"/>
                <w:sz w:val="18"/>
                <w:szCs w:val="18"/>
                <w:lang w:val="bg-BG"/>
              </w:rPr>
              <w:t>става</w:t>
            </w:r>
            <w:r w:rsidRPr="00937D97">
              <w:rPr>
                <w:rFonts w:eastAsia="Times New Roman" w:cstheme="minorHAnsi"/>
                <w:color w:val="000000"/>
                <w:sz w:val="18"/>
                <w:szCs w:val="18"/>
                <w:lang w:val="bg-BG"/>
              </w:rPr>
              <w:t xml:space="preserve"> ясно какви са изводите и къде е фокусът</w:t>
            </w:r>
          </w:p>
        </w:tc>
        <w:tc>
          <w:tcPr>
            <w:tcW w:w="2976" w:type="dxa"/>
            <w:shd w:val="clear" w:color="auto" w:fill="auto"/>
            <w:vAlign w:val="bottom"/>
            <w:hideMark/>
          </w:tcPr>
          <w:p w14:paraId="4AF74C38"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098DA9CF" w14:textId="77777777" w:rsidTr="00D504A5">
        <w:trPr>
          <w:trHeight w:val="315"/>
        </w:trPr>
        <w:tc>
          <w:tcPr>
            <w:tcW w:w="988" w:type="dxa"/>
            <w:shd w:val="clear" w:color="auto" w:fill="auto"/>
            <w:vAlign w:val="bottom"/>
            <w:hideMark/>
          </w:tcPr>
          <w:p w14:paraId="3DA79ED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340CBF7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46</w:t>
            </w:r>
          </w:p>
        </w:tc>
        <w:tc>
          <w:tcPr>
            <w:tcW w:w="5395" w:type="dxa"/>
            <w:shd w:val="clear" w:color="auto" w:fill="auto"/>
            <w:vAlign w:val="bottom"/>
            <w:hideMark/>
          </w:tcPr>
          <w:p w14:paraId="6819D2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П.10.1 Осигуряване на ефективни методи за събиране, систематизиране и анализ на цялостна и представителна информация за състоянието и развитието на Системата за споделяне на знания и иновации и цифровизация в селското стопанство /ССЗИСС/, включително чрез укрепване на взаимовръзките между участниците, подобряване функционирането на ССЗИСС (AKIS) и насърчаване разпространението на знания и иновации в селското стопанство: Въпреки това не е налице адекватна система за събиране на данни и мониторинг за този тип дейност в областта на селското стопанство.</w:t>
            </w:r>
          </w:p>
        </w:tc>
        <w:tc>
          <w:tcPr>
            <w:tcW w:w="4111" w:type="dxa"/>
            <w:shd w:val="clear" w:color="auto" w:fill="auto"/>
            <w:vAlign w:val="bottom"/>
            <w:hideMark/>
          </w:tcPr>
          <w:p w14:paraId="41AB9C0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въпросната констатация важи навсякъде</w:t>
            </w:r>
          </w:p>
        </w:tc>
        <w:tc>
          <w:tcPr>
            <w:tcW w:w="2976" w:type="dxa"/>
            <w:shd w:val="clear" w:color="auto" w:fill="auto"/>
            <w:vAlign w:val="bottom"/>
            <w:hideMark/>
          </w:tcPr>
          <w:p w14:paraId="6F8CD9D5"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0F93C07" w14:textId="77777777" w:rsidTr="00D504A5">
        <w:trPr>
          <w:trHeight w:val="315"/>
        </w:trPr>
        <w:tc>
          <w:tcPr>
            <w:tcW w:w="988" w:type="dxa"/>
            <w:shd w:val="clear" w:color="auto" w:fill="auto"/>
            <w:vAlign w:val="bottom"/>
            <w:hideMark/>
          </w:tcPr>
          <w:p w14:paraId="1AB80D3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7EDC92C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48</w:t>
            </w:r>
          </w:p>
        </w:tc>
        <w:tc>
          <w:tcPr>
            <w:tcW w:w="5395" w:type="dxa"/>
            <w:shd w:val="clear" w:color="auto" w:fill="auto"/>
            <w:vAlign w:val="bottom"/>
            <w:hideMark/>
          </w:tcPr>
          <w:p w14:paraId="6EF70B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П.10.3 Повишаване на професионалната квалификация на предприемачите и заетите лица в селскостопанския отрасъл чрез адаптиране на формите за трансфер на знания към специфичните секторни особености.</w:t>
            </w:r>
          </w:p>
        </w:tc>
        <w:tc>
          <w:tcPr>
            <w:tcW w:w="4111" w:type="dxa"/>
            <w:shd w:val="clear" w:color="auto" w:fill="auto"/>
            <w:vAlign w:val="bottom"/>
            <w:hideMark/>
          </w:tcPr>
          <w:p w14:paraId="167C0EC3" w14:textId="49BCF11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добре е представена нуждата от обучения за БР; няма достатъчно капацитет за обучения по отношение биоразнообразие и </w:t>
            </w:r>
            <w:r w:rsidR="00D504A5" w:rsidRPr="00937D97">
              <w:rPr>
                <w:rFonts w:eastAsia="Times New Roman" w:cstheme="minorHAnsi"/>
                <w:color w:val="000000"/>
                <w:sz w:val="18"/>
                <w:szCs w:val="18"/>
                <w:lang w:val="bg-BG"/>
              </w:rPr>
              <w:t>природосъобразни</w:t>
            </w:r>
            <w:r w:rsidRPr="00937D97">
              <w:rPr>
                <w:rFonts w:eastAsia="Times New Roman" w:cstheme="minorHAnsi"/>
                <w:color w:val="000000"/>
                <w:sz w:val="18"/>
                <w:szCs w:val="18"/>
                <w:lang w:val="bg-BG"/>
              </w:rPr>
              <w:t xml:space="preserve"> земеделски практики; текстът не се чете до края</w:t>
            </w:r>
          </w:p>
        </w:tc>
        <w:tc>
          <w:tcPr>
            <w:tcW w:w="2976" w:type="dxa"/>
            <w:shd w:val="clear" w:color="auto" w:fill="auto"/>
            <w:vAlign w:val="bottom"/>
            <w:hideMark/>
          </w:tcPr>
          <w:p w14:paraId="304EFAD3"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5E0DD88" w14:textId="77777777" w:rsidTr="00D504A5">
        <w:trPr>
          <w:trHeight w:val="315"/>
        </w:trPr>
        <w:tc>
          <w:tcPr>
            <w:tcW w:w="988" w:type="dxa"/>
            <w:shd w:val="clear" w:color="auto" w:fill="auto"/>
            <w:vAlign w:val="bottom"/>
            <w:hideMark/>
          </w:tcPr>
          <w:p w14:paraId="5480CE6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4E8FA8E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51</w:t>
            </w:r>
          </w:p>
        </w:tc>
        <w:tc>
          <w:tcPr>
            <w:tcW w:w="5395" w:type="dxa"/>
            <w:shd w:val="clear" w:color="auto" w:fill="auto"/>
            <w:vAlign w:val="bottom"/>
            <w:hideMark/>
          </w:tcPr>
          <w:p w14:paraId="7850736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П.2.1. - Повишаване на конкурентоспособността на стопанствата в секторите производство на зеленчуци, плодо - за зеленчукопроизводството: Основната причина за това е разпокъсаното и сравнително дребно производство, неспособно да постигне по-висока производителност, проблеми с напояването,...; за овощарството: Причините за по-ниските добиви в сравнение с ЕС са степента на агротехника, която се прилага у нас (преобладаващата част от насажденията са от екстензивен тип), както и недоброто състояние на част от насажденията и сортовете..</w:t>
            </w:r>
          </w:p>
        </w:tc>
        <w:tc>
          <w:tcPr>
            <w:tcW w:w="4111" w:type="dxa"/>
            <w:shd w:val="clear" w:color="auto" w:fill="auto"/>
            <w:vAlign w:val="bottom"/>
            <w:hideMark/>
          </w:tcPr>
          <w:p w14:paraId="4168E295" w14:textId="5D6159BC"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според това, излиза, че да се реши проблемът на тези сектори ще трябва да се уедри и </w:t>
            </w:r>
            <w:r w:rsidR="00D504A5" w:rsidRPr="00937D97">
              <w:rPr>
                <w:rFonts w:eastAsia="Times New Roman" w:cstheme="minorHAnsi"/>
                <w:color w:val="000000"/>
                <w:sz w:val="18"/>
                <w:szCs w:val="18"/>
                <w:lang w:val="bg-BG"/>
              </w:rPr>
              <w:t>интензифицира</w:t>
            </w:r>
            <w:r w:rsidRPr="00937D97">
              <w:rPr>
                <w:rFonts w:eastAsia="Times New Roman" w:cstheme="minorHAnsi"/>
                <w:color w:val="000000"/>
                <w:sz w:val="18"/>
                <w:szCs w:val="18"/>
                <w:lang w:val="bg-BG"/>
              </w:rPr>
              <w:t xml:space="preserve"> отглеждането на зеленчуци и плодове, което от своя страна ще означава по-голям натиск върху биоразнообразието и ползването на водни ресурси.</w:t>
            </w:r>
          </w:p>
        </w:tc>
        <w:tc>
          <w:tcPr>
            <w:tcW w:w="2976" w:type="dxa"/>
            <w:shd w:val="clear" w:color="auto" w:fill="auto"/>
            <w:vAlign w:val="bottom"/>
            <w:hideMark/>
          </w:tcPr>
          <w:p w14:paraId="6FC93AC7"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46BCA4C" w14:textId="77777777" w:rsidTr="00D504A5">
        <w:trPr>
          <w:trHeight w:val="315"/>
        </w:trPr>
        <w:tc>
          <w:tcPr>
            <w:tcW w:w="988" w:type="dxa"/>
            <w:shd w:val="clear" w:color="auto" w:fill="auto"/>
            <w:vAlign w:val="bottom"/>
            <w:hideMark/>
          </w:tcPr>
          <w:p w14:paraId="6E9F59F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68959B2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51</w:t>
            </w:r>
          </w:p>
        </w:tc>
        <w:tc>
          <w:tcPr>
            <w:tcW w:w="5395" w:type="dxa"/>
            <w:shd w:val="clear" w:color="auto" w:fill="auto"/>
            <w:vAlign w:val="bottom"/>
            <w:hideMark/>
          </w:tcPr>
          <w:p w14:paraId="4E6E164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П.2.1. - Повишаване на конкурентоспособността на стопанствата- "а повечето от предназначените за клане животни са отделени за ремонт."</w:t>
            </w:r>
          </w:p>
        </w:tc>
        <w:tc>
          <w:tcPr>
            <w:tcW w:w="4111" w:type="dxa"/>
            <w:shd w:val="clear" w:color="auto" w:fill="auto"/>
            <w:vAlign w:val="bottom"/>
            <w:hideMark/>
          </w:tcPr>
          <w:p w14:paraId="7059D6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какво означава, че са отделени за ремонт?</w:t>
            </w:r>
          </w:p>
        </w:tc>
        <w:tc>
          <w:tcPr>
            <w:tcW w:w="2976" w:type="dxa"/>
            <w:shd w:val="clear" w:color="auto" w:fill="auto"/>
            <w:vAlign w:val="bottom"/>
            <w:hideMark/>
          </w:tcPr>
          <w:p w14:paraId="418D4A65"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1ED0566" w14:textId="77777777" w:rsidTr="00D504A5">
        <w:trPr>
          <w:trHeight w:val="315"/>
        </w:trPr>
        <w:tc>
          <w:tcPr>
            <w:tcW w:w="988" w:type="dxa"/>
            <w:shd w:val="clear" w:color="auto" w:fill="auto"/>
            <w:vAlign w:val="bottom"/>
            <w:hideMark/>
          </w:tcPr>
          <w:p w14:paraId="163CBC0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61BE3D8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57</w:t>
            </w:r>
          </w:p>
        </w:tc>
        <w:tc>
          <w:tcPr>
            <w:tcW w:w="5395" w:type="dxa"/>
            <w:shd w:val="clear" w:color="auto" w:fill="auto"/>
            <w:vAlign w:val="bottom"/>
            <w:hideMark/>
          </w:tcPr>
          <w:p w14:paraId="5A4A8E1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П.2.7.Гарантиране на по-добри условия за устойчиво развитие на сектор пчеларство и повишаване на доходите на стопанствата, повишаване на тяхната устойчивост и конкурентоспособност чрез модернизация на стопанствата, използване на цифровизацията, както и по-широкото прилагане на подвижното пчеларство.</w:t>
            </w:r>
          </w:p>
        </w:tc>
        <w:tc>
          <w:tcPr>
            <w:tcW w:w="4111" w:type="dxa"/>
            <w:shd w:val="clear" w:color="auto" w:fill="auto"/>
            <w:vAlign w:val="bottom"/>
            <w:hideMark/>
          </w:tcPr>
          <w:p w14:paraId="793A482B" w14:textId="7FADDBE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въпреки, че сред основните проблеми в пчеларството с посочват "промяната в климата (студена зима, къса и нетипична пролет, сухо и горещо лято), намаляващите площи с</w:t>
            </w:r>
            <w:r w:rsidR="00D504A5">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медоносна растителност и монокултурно земеделие, в т.ч липсата на разнообразен прашец, и о употребата на пестициди при провеждане на растителнозащитните мероприятия.", както и отравянията на пчели с ПРЗ,  заключението в тази потребност е </w:t>
            </w:r>
            <w:r w:rsidR="00D504A5" w:rsidRPr="00937D97">
              <w:rPr>
                <w:rFonts w:eastAsia="Times New Roman" w:cstheme="minorHAnsi"/>
                <w:color w:val="000000"/>
                <w:sz w:val="18"/>
                <w:szCs w:val="18"/>
                <w:lang w:val="bg-BG"/>
              </w:rPr>
              <w:t>насочено</w:t>
            </w:r>
            <w:r w:rsidRPr="00937D97">
              <w:rPr>
                <w:rFonts w:eastAsia="Times New Roman" w:cstheme="minorHAnsi"/>
                <w:color w:val="000000"/>
                <w:sz w:val="18"/>
                <w:szCs w:val="18"/>
                <w:lang w:val="bg-BG"/>
              </w:rPr>
              <w:t xml:space="preserve"> към въвеждане на повече технологии и модернизиране, но няма насоченост към създаване на благоприятни условия за живота и дейността на пчелите</w:t>
            </w:r>
          </w:p>
        </w:tc>
        <w:tc>
          <w:tcPr>
            <w:tcW w:w="2976" w:type="dxa"/>
            <w:shd w:val="clear" w:color="auto" w:fill="auto"/>
            <w:vAlign w:val="bottom"/>
            <w:hideMark/>
          </w:tcPr>
          <w:p w14:paraId="4BEF99D3"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A35A0F1" w14:textId="77777777" w:rsidTr="00D504A5">
        <w:trPr>
          <w:trHeight w:val="315"/>
        </w:trPr>
        <w:tc>
          <w:tcPr>
            <w:tcW w:w="988" w:type="dxa"/>
            <w:shd w:val="clear" w:color="auto" w:fill="auto"/>
            <w:vAlign w:val="bottom"/>
            <w:hideMark/>
          </w:tcPr>
          <w:p w14:paraId="3CF4FA6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Оценка и Приорити</w:t>
            </w:r>
            <w:r w:rsidRPr="00937D97">
              <w:rPr>
                <w:rFonts w:eastAsia="Times New Roman" w:cstheme="minorHAnsi"/>
                <w:color w:val="000000"/>
                <w:sz w:val="18"/>
                <w:szCs w:val="18"/>
                <w:lang w:val="bg-BG"/>
              </w:rPr>
              <w:lastRenderedPageBreak/>
              <w:t xml:space="preserve">зиране потребности </w:t>
            </w:r>
          </w:p>
        </w:tc>
        <w:tc>
          <w:tcPr>
            <w:tcW w:w="700" w:type="dxa"/>
            <w:shd w:val="clear" w:color="auto" w:fill="auto"/>
            <w:noWrap/>
            <w:vAlign w:val="bottom"/>
            <w:hideMark/>
          </w:tcPr>
          <w:p w14:paraId="7501192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63</w:t>
            </w:r>
          </w:p>
        </w:tc>
        <w:tc>
          <w:tcPr>
            <w:tcW w:w="5395" w:type="dxa"/>
            <w:shd w:val="clear" w:color="auto" w:fill="auto"/>
            <w:vAlign w:val="bottom"/>
            <w:hideMark/>
          </w:tcPr>
          <w:p w14:paraId="462F28B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П.4.1.Намаляване на емисиите на парникови газове от селското стопанство: Връзка със Стратегически документи: Регламент (ЕС) </w:t>
            </w:r>
            <w:r w:rsidRPr="00937D97">
              <w:rPr>
                <w:rFonts w:eastAsia="Times New Roman" w:cstheme="minorHAnsi"/>
                <w:color w:val="000000"/>
                <w:sz w:val="18"/>
                <w:szCs w:val="18"/>
                <w:lang w:val="bg-BG"/>
              </w:rPr>
              <w:lastRenderedPageBreak/>
              <w:t>2018/842 на Европейския Парламент и на СЪВЕТА от 30 май 2018 година за задължителните годишни намаления на емисиите на парникови газове за държавите членки през периода 2021—2030 г., допринасящи за действията в областта на климата в изпълнение на задълженията, поети по Парижкото споразумение, и за изменение на Регламент (ЕС) № 525/2013 Национална стратегия за адаптация към изменението на климата Интегриран план в областта на енергетиката и климата на Република България 2021 – 2030 г. – за сектор селското стопанство се определени основни цели.</w:t>
            </w:r>
          </w:p>
        </w:tc>
        <w:tc>
          <w:tcPr>
            <w:tcW w:w="4111" w:type="dxa"/>
            <w:shd w:val="clear" w:color="auto" w:fill="auto"/>
            <w:vAlign w:val="bottom"/>
            <w:hideMark/>
          </w:tcPr>
          <w:p w14:paraId="1A39C0D6" w14:textId="63CDB51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Целият </w:t>
            </w:r>
            <w:r w:rsidR="00D504A5" w:rsidRPr="00937D97">
              <w:rPr>
                <w:rFonts w:eastAsia="Times New Roman" w:cstheme="minorHAnsi"/>
                <w:color w:val="000000"/>
                <w:sz w:val="18"/>
                <w:szCs w:val="18"/>
                <w:lang w:val="bg-BG"/>
              </w:rPr>
              <w:t>цитиран</w:t>
            </w:r>
            <w:r w:rsidRPr="00937D97">
              <w:rPr>
                <w:rFonts w:eastAsia="Times New Roman" w:cstheme="minorHAnsi"/>
                <w:color w:val="000000"/>
                <w:sz w:val="18"/>
                <w:szCs w:val="18"/>
                <w:lang w:val="bg-BG"/>
              </w:rPr>
              <w:t xml:space="preserve"> текст е неясен - като има връзка, каква е и какви основни цели са определени - </w:t>
            </w:r>
            <w:r w:rsidRPr="00937D97">
              <w:rPr>
                <w:rFonts w:eastAsia="Times New Roman" w:cstheme="minorHAnsi"/>
                <w:color w:val="000000"/>
                <w:sz w:val="18"/>
                <w:szCs w:val="18"/>
                <w:lang w:val="bg-BG"/>
              </w:rPr>
              <w:lastRenderedPageBreak/>
              <w:t>стои като пришит</w:t>
            </w:r>
          </w:p>
        </w:tc>
        <w:tc>
          <w:tcPr>
            <w:tcW w:w="2976" w:type="dxa"/>
            <w:shd w:val="clear" w:color="auto" w:fill="auto"/>
            <w:vAlign w:val="bottom"/>
            <w:hideMark/>
          </w:tcPr>
          <w:p w14:paraId="34A788BE"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7552FD23" w14:textId="77777777" w:rsidTr="00D504A5">
        <w:trPr>
          <w:trHeight w:val="315"/>
        </w:trPr>
        <w:tc>
          <w:tcPr>
            <w:tcW w:w="988" w:type="dxa"/>
            <w:shd w:val="clear" w:color="auto" w:fill="auto"/>
            <w:vAlign w:val="bottom"/>
            <w:hideMark/>
          </w:tcPr>
          <w:p w14:paraId="166BEEB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3E3923C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63</w:t>
            </w:r>
          </w:p>
        </w:tc>
        <w:tc>
          <w:tcPr>
            <w:tcW w:w="5395" w:type="dxa"/>
            <w:shd w:val="clear" w:color="auto" w:fill="auto"/>
            <w:vAlign w:val="bottom"/>
            <w:hideMark/>
          </w:tcPr>
          <w:p w14:paraId="311DB2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П.4.2.Увеличаване на органичния въглерод в почвата</w:t>
            </w:r>
          </w:p>
        </w:tc>
        <w:tc>
          <w:tcPr>
            <w:tcW w:w="4111" w:type="dxa"/>
            <w:shd w:val="clear" w:color="auto" w:fill="auto"/>
            <w:vAlign w:val="bottom"/>
            <w:hideMark/>
          </w:tcPr>
          <w:p w14:paraId="5B53D1F9" w14:textId="28BE348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Потребност с много висок приоритет; малко разпиляно </w:t>
            </w:r>
            <w:r w:rsidR="00D504A5" w:rsidRPr="00937D97">
              <w:rPr>
                <w:rFonts w:eastAsia="Times New Roman" w:cstheme="minorHAnsi"/>
                <w:color w:val="000000"/>
                <w:sz w:val="18"/>
                <w:szCs w:val="18"/>
                <w:lang w:val="bg-BG"/>
              </w:rPr>
              <w:t>структурирана</w:t>
            </w:r>
            <w:r w:rsidRPr="00937D97">
              <w:rPr>
                <w:rFonts w:eastAsia="Times New Roman" w:cstheme="minorHAnsi"/>
                <w:color w:val="000000"/>
                <w:sz w:val="18"/>
                <w:szCs w:val="18"/>
                <w:lang w:val="bg-BG"/>
              </w:rPr>
              <w:t>, но може да се заключи, че за да се увеличи ОВ в почвата трябва да се "поддържа с практики, като възстановяване на тревни площи, минимални и нулеви обработки на почвата, подходящи сеитбообращения с азотофиксиращи култури, покривни култури, зелено торене и други" - "естествена растителност (например горски, тревни площи, влажни зони, торф)" , да се прилага екстензивна паша  и "Добрите практики за управление на пасищата (вкл. неприлагането на пестициди и торове, животинските единици и интензивността на пашата)" - да проследя как това е залегнало в мерките и индикаторите</w:t>
            </w:r>
          </w:p>
        </w:tc>
        <w:tc>
          <w:tcPr>
            <w:tcW w:w="2976" w:type="dxa"/>
            <w:shd w:val="clear" w:color="auto" w:fill="auto"/>
            <w:vAlign w:val="bottom"/>
            <w:hideMark/>
          </w:tcPr>
          <w:p w14:paraId="39AB2263"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9D3A835" w14:textId="77777777" w:rsidTr="00D504A5">
        <w:trPr>
          <w:trHeight w:val="315"/>
        </w:trPr>
        <w:tc>
          <w:tcPr>
            <w:tcW w:w="988" w:type="dxa"/>
            <w:shd w:val="clear" w:color="auto" w:fill="auto"/>
            <w:vAlign w:val="bottom"/>
            <w:hideMark/>
          </w:tcPr>
          <w:p w14:paraId="0BC62B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FE14A3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64</w:t>
            </w:r>
          </w:p>
        </w:tc>
        <w:tc>
          <w:tcPr>
            <w:tcW w:w="5395" w:type="dxa"/>
            <w:shd w:val="clear" w:color="auto" w:fill="auto"/>
            <w:vAlign w:val="bottom"/>
            <w:hideMark/>
          </w:tcPr>
          <w:p w14:paraId="50E96E6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П.4.4.Потребност от използването на култури и сортове, приспособени към климата - "В случая на зърнените култури се очакват по-нататъшно свиване на междуфазовите периоди от цъфтежа до узряването. По-краткият репродуктивен период също би означавал по-малко време за пълнене на зърното, което би имало отрицателно въздействие върху добивите. Необходимо е насърчава отглеждане на култури, изискващи по-малко напояване в райони с недостиг на вода и с риск от засушаване."</w:t>
            </w:r>
          </w:p>
        </w:tc>
        <w:tc>
          <w:tcPr>
            <w:tcW w:w="4111" w:type="dxa"/>
            <w:shd w:val="clear" w:color="auto" w:fill="auto"/>
            <w:vAlign w:val="bottom"/>
            <w:hideMark/>
          </w:tcPr>
          <w:p w14:paraId="263D75BB" w14:textId="0A3945C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Много висок приоритет Добро и ясно изложение, но доколкото помня съответната мярка не е точно съобразена с представената потребност </w:t>
            </w:r>
            <w:r w:rsidR="00E122D2">
              <w:rPr>
                <w:rFonts w:eastAsia="Times New Roman" w:cstheme="minorHAnsi"/>
                <w:color w:val="000000"/>
                <w:sz w:val="18"/>
                <w:szCs w:val="18"/>
                <w:lang w:val="bg-BG"/>
              </w:rPr>
              <w:t xml:space="preserve"> и може да е рискова за биологичното разнообразие</w:t>
            </w:r>
          </w:p>
        </w:tc>
        <w:tc>
          <w:tcPr>
            <w:tcW w:w="2976" w:type="dxa"/>
            <w:shd w:val="clear" w:color="auto" w:fill="auto"/>
            <w:vAlign w:val="bottom"/>
            <w:hideMark/>
          </w:tcPr>
          <w:p w14:paraId="1EDA5AA1"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81D1586" w14:textId="77777777" w:rsidTr="00D504A5">
        <w:trPr>
          <w:trHeight w:val="315"/>
        </w:trPr>
        <w:tc>
          <w:tcPr>
            <w:tcW w:w="988" w:type="dxa"/>
            <w:shd w:val="clear" w:color="auto" w:fill="auto"/>
            <w:vAlign w:val="bottom"/>
            <w:hideMark/>
          </w:tcPr>
          <w:p w14:paraId="07E8CB4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19C7FE1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67</w:t>
            </w:r>
          </w:p>
        </w:tc>
        <w:tc>
          <w:tcPr>
            <w:tcW w:w="5395" w:type="dxa"/>
            <w:shd w:val="clear" w:color="auto" w:fill="auto"/>
            <w:vAlign w:val="bottom"/>
            <w:hideMark/>
          </w:tcPr>
          <w:p w14:paraId="286B85F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П.4.9. Устойчиво управление на горите, включително увеличаване на залесените площи в страната, опазване на горските местообитания, биоразнообразието и екосистемните услуги от горите</w:t>
            </w:r>
          </w:p>
        </w:tc>
        <w:tc>
          <w:tcPr>
            <w:tcW w:w="4111" w:type="dxa"/>
            <w:shd w:val="clear" w:color="auto" w:fill="auto"/>
            <w:vAlign w:val="bottom"/>
            <w:hideMark/>
          </w:tcPr>
          <w:p w14:paraId="3FFFCEE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Добра обосновка, но липсва адресирането на самата потребност - в какво се състои потребността ...</w:t>
            </w:r>
          </w:p>
        </w:tc>
        <w:tc>
          <w:tcPr>
            <w:tcW w:w="2976" w:type="dxa"/>
            <w:shd w:val="clear" w:color="auto" w:fill="auto"/>
            <w:vAlign w:val="bottom"/>
            <w:hideMark/>
          </w:tcPr>
          <w:p w14:paraId="53B1D3F4" w14:textId="7CC8182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адресира в какво точно се </w:t>
            </w:r>
            <w:r w:rsidR="00E122D2" w:rsidRPr="00937D97">
              <w:rPr>
                <w:rFonts w:eastAsia="Times New Roman" w:cstheme="minorHAnsi"/>
                <w:color w:val="000000"/>
                <w:sz w:val="18"/>
                <w:szCs w:val="18"/>
                <w:lang w:val="bg-BG"/>
              </w:rPr>
              <w:t>изразява</w:t>
            </w:r>
            <w:r w:rsidRPr="00937D97">
              <w:rPr>
                <w:rFonts w:eastAsia="Times New Roman" w:cstheme="minorHAnsi"/>
                <w:color w:val="000000"/>
                <w:sz w:val="18"/>
                <w:szCs w:val="18"/>
                <w:lang w:val="bg-BG"/>
              </w:rPr>
              <w:t xml:space="preserve"> потребността</w:t>
            </w:r>
          </w:p>
        </w:tc>
      </w:tr>
      <w:tr w:rsidR="00D504A5" w:rsidRPr="00937D97" w14:paraId="10CC753D" w14:textId="77777777" w:rsidTr="00D504A5">
        <w:trPr>
          <w:trHeight w:val="315"/>
        </w:trPr>
        <w:tc>
          <w:tcPr>
            <w:tcW w:w="988" w:type="dxa"/>
            <w:shd w:val="clear" w:color="auto" w:fill="auto"/>
            <w:vAlign w:val="bottom"/>
            <w:hideMark/>
          </w:tcPr>
          <w:p w14:paraId="3ECFA65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72E095F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68</w:t>
            </w:r>
          </w:p>
        </w:tc>
        <w:tc>
          <w:tcPr>
            <w:tcW w:w="5395" w:type="dxa"/>
            <w:shd w:val="clear" w:color="auto" w:fill="auto"/>
            <w:vAlign w:val="bottom"/>
            <w:hideMark/>
          </w:tcPr>
          <w:p w14:paraId="2CE57F0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П.5.3. Поддържане на добър баланс на запасеност на почвите с органично вещество</w:t>
            </w:r>
          </w:p>
        </w:tc>
        <w:tc>
          <w:tcPr>
            <w:tcW w:w="4111" w:type="dxa"/>
            <w:shd w:val="clear" w:color="auto" w:fill="auto"/>
            <w:vAlign w:val="bottom"/>
            <w:hideMark/>
          </w:tcPr>
          <w:p w14:paraId="7B4794E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от изложението се вижда, че същността на тази потребност е много сходна с  П.4.1. и П.4.5. ;</w:t>
            </w:r>
          </w:p>
        </w:tc>
        <w:tc>
          <w:tcPr>
            <w:tcW w:w="2976" w:type="dxa"/>
            <w:shd w:val="clear" w:color="auto" w:fill="auto"/>
            <w:vAlign w:val="bottom"/>
            <w:hideMark/>
          </w:tcPr>
          <w:p w14:paraId="04281579" w14:textId="4C9BDF9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би било по-ясно и </w:t>
            </w:r>
            <w:r w:rsidR="00E122D2" w:rsidRPr="00937D97">
              <w:rPr>
                <w:rFonts w:eastAsia="Times New Roman" w:cstheme="minorHAnsi"/>
                <w:color w:val="000000"/>
                <w:sz w:val="18"/>
                <w:szCs w:val="18"/>
                <w:lang w:val="bg-BG"/>
              </w:rPr>
              <w:t>логично</w:t>
            </w:r>
            <w:r w:rsidRPr="00937D97">
              <w:rPr>
                <w:rFonts w:eastAsia="Times New Roman" w:cstheme="minorHAnsi"/>
                <w:color w:val="000000"/>
                <w:sz w:val="18"/>
                <w:szCs w:val="18"/>
                <w:lang w:val="bg-BG"/>
              </w:rPr>
              <w:t>, ако потребностите не се повтарят с леки вариации няколко пъти, а потребността да се посочи веднъж и да се структурират различните й аспекти, които да се адресират; пиша тук, но се отнася и до други сходни потребности</w:t>
            </w:r>
          </w:p>
        </w:tc>
      </w:tr>
      <w:tr w:rsidR="00D504A5" w:rsidRPr="00937D97" w14:paraId="20C756BE" w14:textId="77777777" w:rsidTr="00D504A5">
        <w:trPr>
          <w:trHeight w:val="315"/>
        </w:trPr>
        <w:tc>
          <w:tcPr>
            <w:tcW w:w="988" w:type="dxa"/>
            <w:shd w:val="clear" w:color="auto" w:fill="auto"/>
            <w:vAlign w:val="bottom"/>
            <w:hideMark/>
          </w:tcPr>
          <w:p w14:paraId="0EBA541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Оценка и Приорити</w:t>
            </w:r>
            <w:r w:rsidRPr="00937D97">
              <w:rPr>
                <w:rFonts w:eastAsia="Times New Roman" w:cstheme="minorHAnsi"/>
                <w:color w:val="000000"/>
                <w:sz w:val="18"/>
                <w:szCs w:val="18"/>
                <w:lang w:val="bg-BG"/>
              </w:rPr>
              <w:lastRenderedPageBreak/>
              <w:t xml:space="preserve">зиране потребности </w:t>
            </w:r>
          </w:p>
        </w:tc>
        <w:tc>
          <w:tcPr>
            <w:tcW w:w="700" w:type="dxa"/>
            <w:shd w:val="clear" w:color="auto" w:fill="auto"/>
            <w:noWrap/>
            <w:vAlign w:val="bottom"/>
            <w:hideMark/>
          </w:tcPr>
          <w:p w14:paraId="036A408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69</w:t>
            </w:r>
          </w:p>
        </w:tc>
        <w:tc>
          <w:tcPr>
            <w:tcW w:w="5395" w:type="dxa"/>
            <w:shd w:val="clear" w:color="auto" w:fill="auto"/>
            <w:vAlign w:val="bottom"/>
            <w:hideMark/>
          </w:tcPr>
          <w:p w14:paraId="1E3A326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П.5.6.Намаляване на емисиите на амоняк от селското стопанство</w:t>
            </w:r>
          </w:p>
        </w:tc>
        <w:tc>
          <w:tcPr>
            <w:tcW w:w="4111" w:type="dxa"/>
            <w:shd w:val="clear" w:color="auto" w:fill="auto"/>
            <w:vAlign w:val="bottom"/>
            <w:hideMark/>
          </w:tcPr>
          <w:p w14:paraId="39ACEF4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От една страна не е уместно да се подчертава като положително, че в България емисиите на </w:t>
            </w:r>
            <w:r w:rsidRPr="00937D97">
              <w:rPr>
                <w:rFonts w:eastAsia="Times New Roman" w:cstheme="minorHAnsi"/>
                <w:color w:val="000000"/>
                <w:sz w:val="18"/>
                <w:szCs w:val="18"/>
                <w:lang w:val="bg-BG"/>
              </w:rPr>
              <w:lastRenderedPageBreak/>
              <w:t xml:space="preserve">амоняк са само с 8% по-ниски от средните за Европа, където се счита че е сериозен проблем; от друга страна от изложението не става ясно защо след като сме изпълнили ангажиментите си и сме постигнали добри резултати, тази потребност е с висок, а не със среден приоритет </w:t>
            </w:r>
          </w:p>
        </w:tc>
        <w:tc>
          <w:tcPr>
            <w:tcW w:w="2976" w:type="dxa"/>
            <w:shd w:val="clear" w:color="auto" w:fill="auto"/>
            <w:vAlign w:val="bottom"/>
            <w:hideMark/>
          </w:tcPr>
          <w:p w14:paraId="3A63C69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да се редактира тази потребност като се идентифицира ясно  и </w:t>
            </w:r>
            <w:r w:rsidRPr="00937D97">
              <w:rPr>
                <w:rFonts w:eastAsia="Times New Roman" w:cstheme="minorHAnsi"/>
                <w:color w:val="000000"/>
                <w:sz w:val="18"/>
                <w:szCs w:val="18"/>
                <w:lang w:val="bg-BG"/>
              </w:rPr>
              <w:lastRenderedPageBreak/>
              <w:t>еднозначно проблема, който се адресира. Ако има вече създадени механизми и трайни тенденции, по-добре е да се промени приоритета от висок на среден, за сметка на други потребности, където няма такъм осезаем напредък</w:t>
            </w:r>
          </w:p>
        </w:tc>
      </w:tr>
      <w:tr w:rsidR="00D504A5" w:rsidRPr="00937D97" w14:paraId="250EB2B5" w14:textId="77777777" w:rsidTr="00D504A5">
        <w:trPr>
          <w:trHeight w:val="1935"/>
        </w:trPr>
        <w:tc>
          <w:tcPr>
            <w:tcW w:w="988" w:type="dxa"/>
            <w:shd w:val="clear" w:color="auto" w:fill="auto"/>
            <w:vAlign w:val="bottom"/>
            <w:hideMark/>
          </w:tcPr>
          <w:p w14:paraId="1A578B7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0C9DAB4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74</w:t>
            </w:r>
          </w:p>
        </w:tc>
        <w:tc>
          <w:tcPr>
            <w:tcW w:w="5395" w:type="dxa"/>
            <w:shd w:val="clear" w:color="auto" w:fill="auto"/>
            <w:vAlign w:val="bottom"/>
            <w:hideMark/>
          </w:tcPr>
          <w:p w14:paraId="17C029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П.6.3. Съхраняване и възстановяване на елементи на ландшафта и постигане на благоприятен природозащитен статус на постоянно затревените площи.</w:t>
            </w:r>
          </w:p>
        </w:tc>
        <w:tc>
          <w:tcPr>
            <w:tcW w:w="4111" w:type="dxa"/>
            <w:shd w:val="clear" w:color="auto" w:fill="auto"/>
            <w:vAlign w:val="bottom"/>
            <w:hideMark/>
          </w:tcPr>
          <w:p w14:paraId="41FDEB8E" w14:textId="35B19B4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добро изложение, но трябва да се отчете, че тук се говори за значимо намаляване на земите с ВПС, докато в потребностите от 1.2 до 1.4 извеждат като </w:t>
            </w:r>
            <w:r w:rsidR="00E122D2" w:rsidRPr="00937D97">
              <w:rPr>
                <w:rFonts w:eastAsia="Times New Roman" w:cstheme="minorHAnsi"/>
                <w:color w:val="000000"/>
                <w:sz w:val="18"/>
                <w:szCs w:val="18"/>
                <w:lang w:val="bg-BG"/>
              </w:rPr>
              <w:t>проблем</w:t>
            </w:r>
            <w:r w:rsidRPr="00937D97">
              <w:rPr>
                <w:rFonts w:eastAsia="Times New Roman" w:cstheme="minorHAnsi"/>
                <w:color w:val="000000"/>
                <w:sz w:val="18"/>
                <w:szCs w:val="18"/>
                <w:lang w:val="bg-BG"/>
              </w:rPr>
              <w:t xml:space="preserve"> екстензивното земеделие; Тук виждам конфликт между въпросните потребности  - ако се насърчи екстензивното земеделие ще се спрат негативните </w:t>
            </w:r>
            <w:r w:rsidR="00E122D2" w:rsidRPr="00937D97">
              <w:rPr>
                <w:rFonts w:eastAsia="Times New Roman" w:cstheme="minorHAnsi"/>
                <w:color w:val="000000"/>
                <w:sz w:val="18"/>
                <w:szCs w:val="18"/>
                <w:lang w:val="bg-BG"/>
              </w:rPr>
              <w:t>тенденции</w:t>
            </w:r>
            <w:r w:rsidRPr="00937D97">
              <w:rPr>
                <w:rFonts w:eastAsia="Times New Roman" w:cstheme="minorHAnsi"/>
                <w:color w:val="000000"/>
                <w:sz w:val="18"/>
                <w:szCs w:val="18"/>
                <w:lang w:val="bg-BG"/>
              </w:rPr>
              <w:t xml:space="preserve"> тук, но ще се задълбочат тези ,свързани с принадената стойност; ако се наблегне на интензификацията, проблема с намаляване на ВПС ще се задълбочи. Тук са важни мащаба и обхвата и от него може да се прогнозира кое ще вземе превес и коя от двете потребности няма да бъде постигната</w:t>
            </w:r>
          </w:p>
        </w:tc>
        <w:tc>
          <w:tcPr>
            <w:tcW w:w="2976" w:type="dxa"/>
            <w:shd w:val="clear" w:color="auto" w:fill="auto"/>
            <w:vAlign w:val="bottom"/>
            <w:hideMark/>
          </w:tcPr>
          <w:p w14:paraId="45428C57"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3D13AE8" w14:textId="77777777" w:rsidTr="00D504A5">
        <w:trPr>
          <w:trHeight w:val="1455"/>
        </w:trPr>
        <w:tc>
          <w:tcPr>
            <w:tcW w:w="988" w:type="dxa"/>
            <w:shd w:val="clear" w:color="auto" w:fill="auto"/>
            <w:vAlign w:val="bottom"/>
            <w:hideMark/>
          </w:tcPr>
          <w:p w14:paraId="3FEAA01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750C65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74</w:t>
            </w:r>
          </w:p>
        </w:tc>
        <w:tc>
          <w:tcPr>
            <w:tcW w:w="5395" w:type="dxa"/>
            <w:shd w:val="clear" w:color="auto" w:fill="auto"/>
            <w:vAlign w:val="bottom"/>
            <w:hideMark/>
          </w:tcPr>
          <w:p w14:paraId="40D6740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П.6.4.Насърчаване на извършването на земеделски дейности в райони с природни и други специфични ограничения. В много случаи, изоставените маргинални площи в полупланинските и планински райони довеждат до загуба на биологично разнообразие, особено при дребните земеделски стопанства.</w:t>
            </w:r>
          </w:p>
        </w:tc>
        <w:tc>
          <w:tcPr>
            <w:tcW w:w="4111" w:type="dxa"/>
            <w:shd w:val="clear" w:color="auto" w:fill="auto"/>
            <w:vAlign w:val="bottom"/>
            <w:hideMark/>
          </w:tcPr>
          <w:p w14:paraId="7E2E7B72" w14:textId="77777777" w:rsidR="00937D97" w:rsidRPr="00937D97" w:rsidRDefault="00937D97" w:rsidP="00937D97">
            <w:pPr>
              <w:spacing w:after="0" w:line="240" w:lineRule="auto"/>
              <w:rPr>
                <w:rFonts w:eastAsia="Times New Roman" w:cstheme="minorHAnsi"/>
                <w:color w:val="000000"/>
                <w:sz w:val="18"/>
                <w:szCs w:val="18"/>
                <w:lang w:val="bg-BG"/>
              </w:rPr>
            </w:pPr>
          </w:p>
        </w:tc>
        <w:tc>
          <w:tcPr>
            <w:tcW w:w="2976" w:type="dxa"/>
            <w:shd w:val="clear" w:color="auto" w:fill="auto"/>
            <w:vAlign w:val="bottom"/>
            <w:hideMark/>
          </w:tcPr>
          <w:p w14:paraId="5842C01F" w14:textId="3E248B4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w:t>
            </w:r>
            <w:r w:rsidR="00E122D2" w:rsidRPr="00937D97">
              <w:rPr>
                <w:rFonts w:eastAsia="Times New Roman" w:cstheme="minorHAnsi"/>
                <w:color w:val="000000"/>
                <w:sz w:val="18"/>
                <w:szCs w:val="18"/>
                <w:lang w:val="bg-BG"/>
              </w:rPr>
              <w:t>трябва</w:t>
            </w:r>
            <w:r w:rsidRPr="00937D97">
              <w:rPr>
                <w:rFonts w:eastAsia="Times New Roman" w:cstheme="minorHAnsi"/>
                <w:color w:val="000000"/>
                <w:sz w:val="18"/>
                <w:szCs w:val="18"/>
                <w:lang w:val="bg-BG"/>
              </w:rPr>
              <w:t xml:space="preserve"> да се поясни, че става въпрос за загуба на биологично </w:t>
            </w:r>
            <w:r w:rsidR="00E122D2" w:rsidRPr="00937D97">
              <w:rPr>
                <w:rFonts w:eastAsia="Times New Roman" w:cstheme="minorHAnsi"/>
                <w:color w:val="000000"/>
                <w:sz w:val="18"/>
                <w:szCs w:val="18"/>
                <w:lang w:val="bg-BG"/>
              </w:rPr>
              <w:t>разнообразие</w:t>
            </w:r>
            <w:r w:rsidRPr="00937D97">
              <w:rPr>
                <w:rFonts w:eastAsia="Times New Roman" w:cstheme="minorHAnsi"/>
                <w:color w:val="000000"/>
                <w:sz w:val="18"/>
                <w:szCs w:val="18"/>
                <w:lang w:val="bg-BG"/>
              </w:rPr>
              <w:t>, зависещо от полуестествените екстензивни земеделски дейности</w:t>
            </w:r>
          </w:p>
        </w:tc>
      </w:tr>
      <w:tr w:rsidR="00D504A5" w:rsidRPr="00937D97" w14:paraId="582B4C96" w14:textId="77777777" w:rsidTr="00D504A5">
        <w:trPr>
          <w:trHeight w:val="975"/>
        </w:trPr>
        <w:tc>
          <w:tcPr>
            <w:tcW w:w="988" w:type="dxa"/>
            <w:shd w:val="clear" w:color="auto" w:fill="auto"/>
            <w:vAlign w:val="bottom"/>
            <w:hideMark/>
          </w:tcPr>
          <w:p w14:paraId="5CCDA15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44C3BC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75</w:t>
            </w:r>
          </w:p>
        </w:tc>
        <w:tc>
          <w:tcPr>
            <w:tcW w:w="5395" w:type="dxa"/>
            <w:shd w:val="clear" w:color="auto" w:fill="auto"/>
            <w:vAlign w:val="bottom"/>
            <w:hideMark/>
          </w:tcPr>
          <w:p w14:paraId="6B9D2C4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П.6.5.Насърчаване на практиките за разширяване биологично земеделие - Високият темп на нарастване на площите с биологичното земеделие в успешно съчетаване с агроекологичните мерки </w:t>
            </w:r>
          </w:p>
        </w:tc>
        <w:tc>
          <w:tcPr>
            <w:tcW w:w="4111" w:type="dxa"/>
            <w:shd w:val="clear" w:color="auto" w:fill="auto"/>
            <w:vAlign w:val="bottom"/>
            <w:hideMark/>
          </w:tcPr>
          <w:p w14:paraId="07B7D55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дали на практика биологичното земеделие се комбинира с агроекологични схеми?</w:t>
            </w:r>
          </w:p>
        </w:tc>
        <w:tc>
          <w:tcPr>
            <w:tcW w:w="2976" w:type="dxa"/>
            <w:shd w:val="clear" w:color="auto" w:fill="auto"/>
            <w:vAlign w:val="bottom"/>
            <w:hideMark/>
          </w:tcPr>
          <w:p w14:paraId="327F4949"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03B715CD" w14:textId="77777777" w:rsidTr="00D504A5">
        <w:trPr>
          <w:trHeight w:val="3135"/>
        </w:trPr>
        <w:tc>
          <w:tcPr>
            <w:tcW w:w="988" w:type="dxa"/>
            <w:shd w:val="clear" w:color="auto" w:fill="auto"/>
            <w:vAlign w:val="bottom"/>
            <w:hideMark/>
          </w:tcPr>
          <w:p w14:paraId="1025F2E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23D210E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75</w:t>
            </w:r>
          </w:p>
        </w:tc>
        <w:tc>
          <w:tcPr>
            <w:tcW w:w="5395" w:type="dxa"/>
            <w:shd w:val="clear" w:color="auto" w:fill="auto"/>
            <w:vAlign w:val="bottom"/>
            <w:hideMark/>
          </w:tcPr>
          <w:p w14:paraId="4CDEFC2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Прилагането на практиките на биологичното производството влияе индиректно за подобряване или поддържане на доброто природозащитно състояние на природни местообитания и видове от Натура 2000.</w:t>
            </w:r>
          </w:p>
        </w:tc>
        <w:tc>
          <w:tcPr>
            <w:tcW w:w="4111" w:type="dxa"/>
            <w:shd w:val="clear" w:color="auto" w:fill="auto"/>
            <w:vAlign w:val="bottom"/>
            <w:hideMark/>
          </w:tcPr>
          <w:p w14:paraId="217C51A4" w14:textId="14FD102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за пръв път се прави връзка между </w:t>
            </w:r>
            <w:r w:rsidR="00E122D2" w:rsidRPr="00937D97">
              <w:rPr>
                <w:rFonts w:eastAsia="Times New Roman" w:cstheme="minorHAnsi"/>
                <w:color w:val="000000"/>
                <w:sz w:val="18"/>
                <w:szCs w:val="18"/>
                <w:lang w:val="bg-BG"/>
              </w:rPr>
              <w:t>земеделски</w:t>
            </w:r>
            <w:r w:rsidRPr="00937D97">
              <w:rPr>
                <w:rFonts w:eastAsia="Times New Roman" w:cstheme="minorHAnsi"/>
                <w:color w:val="000000"/>
                <w:sz w:val="18"/>
                <w:szCs w:val="18"/>
                <w:lang w:val="bg-BG"/>
              </w:rPr>
              <w:t xml:space="preserve"> практики и Натура 2000. Въпросът е, че влиянието е индиректно - само чрез подобряване качеството на водите и почвите заради неприлагане на определени химикали - торове и ПРЗ. Трябва много добре да се запомни, че тези индиректни ползи са важни, но в повечето случаи не са достатъчни за опазване на местообитанията; също трябва да се отчита, че интензивното биологично земеделие може да има обратен ефект върху местообитанията основно поради водочерпенето, но не само. Затова биологичното земеделие само по себе си не може да замени целенасочените управленски мерки и за да е по-насочено към опазване на </w:t>
            </w:r>
            <w:r w:rsidRPr="00937D97">
              <w:rPr>
                <w:rFonts w:eastAsia="Times New Roman" w:cstheme="minorHAnsi"/>
                <w:color w:val="000000"/>
                <w:sz w:val="18"/>
                <w:szCs w:val="18"/>
                <w:lang w:val="bg-BG"/>
              </w:rPr>
              <w:lastRenderedPageBreak/>
              <w:t>местообитанията е нужно да включва допълнителни изисквания. също така биологичното земеделие е подход, потребност, по-тясно свързана с намаляване употребата на торове и пестициди и подобряване качеството на водите и почвите и е по подходящо да е там.</w:t>
            </w:r>
          </w:p>
        </w:tc>
        <w:tc>
          <w:tcPr>
            <w:tcW w:w="2976" w:type="dxa"/>
            <w:shd w:val="clear" w:color="auto" w:fill="auto"/>
            <w:vAlign w:val="bottom"/>
            <w:hideMark/>
          </w:tcPr>
          <w:p w14:paraId="3954C284"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D231036" w14:textId="77777777" w:rsidTr="00D504A5">
        <w:trPr>
          <w:trHeight w:val="1215"/>
        </w:trPr>
        <w:tc>
          <w:tcPr>
            <w:tcW w:w="988" w:type="dxa"/>
            <w:shd w:val="clear" w:color="auto" w:fill="auto"/>
            <w:vAlign w:val="bottom"/>
            <w:hideMark/>
          </w:tcPr>
          <w:p w14:paraId="21CC16C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5AEF4E5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77</w:t>
            </w:r>
          </w:p>
        </w:tc>
        <w:tc>
          <w:tcPr>
            <w:tcW w:w="5395" w:type="dxa"/>
            <w:shd w:val="clear" w:color="auto" w:fill="auto"/>
            <w:vAlign w:val="bottom"/>
            <w:hideMark/>
          </w:tcPr>
          <w:p w14:paraId="299D5EE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П.6.8. Подобряване на опрашителния потенциал на екосистемите и наличието на подходящи растения.</w:t>
            </w:r>
          </w:p>
        </w:tc>
        <w:tc>
          <w:tcPr>
            <w:tcW w:w="4111" w:type="dxa"/>
            <w:shd w:val="clear" w:color="auto" w:fill="auto"/>
            <w:noWrap/>
            <w:vAlign w:val="bottom"/>
            <w:hideMark/>
          </w:tcPr>
          <w:p w14:paraId="154EDB6D" w14:textId="77777777" w:rsidR="00937D97" w:rsidRPr="00937D97" w:rsidRDefault="00937D97" w:rsidP="00937D97">
            <w:pPr>
              <w:spacing w:after="0" w:line="240" w:lineRule="auto"/>
              <w:rPr>
                <w:rFonts w:eastAsia="Times New Roman" w:cstheme="minorHAnsi"/>
                <w:color w:val="000000"/>
                <w:sz w:val="18"/>
                <w:szCs w:val="18"/>
                <w:lang w:val="bg-BG"/>
              </w:rPr>
            </w:pPr>
          </w:p>
        </w:tc>
        <w:tc>
          <w:tcPr>
            <w:tcW w:w="2976" w:type="dxa"/>
            <w:shd w:val="clear" w:color="auto" w:fill="auto"/>
            <w:vAlign w:val="bottom"/>
            <w:hideMark/>
          </w:tcPr>
          <w:p w14:paraId="0D44A2B7" w14:textId="7D01B24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към мерките за </w:t>
            </w:r>
            <w:r w:rsidR="00E122D2" w:rsidRPr="00937D97">
              <w:rPr>
                <w:rFonts w:eastAsia="Times New Roman" w:cstheme="minorHAnsi"/>
                <w:color w:val="000000"/>
                <w:sz w:val="18"/>
                <w:szCs w:val="18"/>
                <w:lang w:val="bg-BG"/>
              </w:rPr>
              <w:t>подобряване</w:t>
            </w:r>
            <w:r w:rsidRPr="00937D97">
              <w:rPr>
                <w:rFonts w:eastAsia="Times New Roman" w:cstheme="minorHAnsi"/>
                <w:color w:val="000000"/>
                <w:sz w:val="18"/>
                <w:szCs w:val="18"/>
                <w:lang w:val="bg-BG"/>
              </w:rPr>
              <w:t xml:space="preserve"> на опрашителния </w:t>
            </w:r>
            <w:r w:rsidR="00E122D2" w:rsidRPr="00937D97">
              <w:rPr>
                <w:rFonts w:eastAsia="Times New Roman" w:cstheme="minorHAnsi"/>
                <w:color w:val="000000"/>
                <w:sz w:val="18"/>
                <w:szCs w:val="18"/>
                <w:lang w:val="bg-BG"/>
              </w:rPr>
              <w:t>потенциал</w:t>
            </w:r>
            <w:r w:rsidRPr="00937D97">
              <w:rPr>
                <w:rFonts w:eastAsia="Times New Roman" w:cstheme="minorHAnsi"/>
                <w:color w:val="000000"/>
                <w:sz w:val="18"/>
                <w:szCs w:val="18"/>
                <w:lang w:val="bg-BG"/>
              </w:rPr>
              <w:t xml:space="preserve"> е необходимо да се включат и ливади и пасища с висока степен на  разнотревие - т.е. </w:t>
            </w:r>
            <w:r w:rsidR="00E122D2" w:rsidRPr="00937D97">
              <w:rPr>
                <w:rFonts w:eastAsia="Times New Roman" w:cstheme="minorHAnsi"/>
                <w:color w:val="000000"/>
                <w:sz w:val="18"/>
                <w:szCs w:val="18"/>
                <w:lang w:val="bg-BG"/>
              </w:rPr>
              <w:t>трябва да</w:t>
            </w:r>
            <w:r w:rsidRPr="00937D97">
              <w:rPr>
                <w:rFonts w:eastAsia="Times New Roman" w:cstheme="minorHAnsi"/>
                <w:color w:val="000000"/>
                <w:sz w:val="18"/>
                <w:szCs w:val="18"/>
                <w:lang w:val="bg-BG"/>
              </w:rPr>
              <w:t xml:space="preserve"> се отметат и ВПС като значими за опрашителите</w:t>
            </w:r>
          </w:p>
        </w:tc>
      </w:tr>
      <w:tr w:rsidR="00D504A5" w:rsidRPr="00937D97" w14:paraId="55A0E7AA" w14:textId="77777777" w:rsidTr="00D504A5">
        <w:trPr>
          <w:trHeight w:val="975"/>
        </w:trPr>
        <w:tc>
          <w:tcPr>
            <w:tcW w:w="988" w:type="dxa"/>
            <w:shd w:val="clear" w:color="auto" w:fill="auto"/>
            <w:vAlign w:val="bottom"/>
            <w:hideMark/>
          </w:tcPr>
          <w:p w14:paraId="6531B74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F9B919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78</w:t>
            </w:r>
          </w:p>
        </w:tc>
        <w:tc>
          <w:tcPr>
            <w:tcW w:w="5395" w:type="dxa"/>
            <w:shd w:val="clear" w:color="auto" w:fill="auto"/>
            <w:vAlign w:val="bottom"/>
            <w:hideMark/>
          </w:tcPr>
          <w:p w14:paraId="5E2DCF4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П.7.1.Ускоряване на модернизацията на земеделските стопанства на младите стопани; П.7.1. - Намаляване диспропорциите в земеделската заетост на младите стопани между различните райони исектори</w:t>
            </w:r>
          </w:p>
        </w:tc>
        <w:tc>
          <w:tcPr>
            <w:tcW w:w="4111" w:type="dxa"/>
            <w:shd w:val="clear" w:color="auto" w:fill="auto"/>
            <w:vAlign w:val="bottom"/>
            <w:hideMark/>
          </w:tcPr>
          <w:p w14:paraId="1E76E80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две потребности с една и съща номерация</w:t>
            </w:r>
          </w:p>
        </w:tc>
        <w:tc>
          <w:tcPr>
            <w:tcW w:w="2976" w:type="dxa"/>
            <w:shd w:val="clear" w:color="auto" w:fill="auto"/>
            <w:vAlign w:val="bottom"/>
            <w:hideMark/>
          </w:tcPr>
          <w:p w14:paraId="52B06F0B"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5374B96" w14:textId="77777777" w:rsidTr="00D504A5">
        <w:trPr>
          <w:trHeight w:val="1455"/>
        </w:trPr>
        <w:tc>
          <w:tcPr>
            <w:tcW w:w="988" w:type="dxa"/>
            <w:shd w:val="clear" w:color="auto" w:fill="auto"/>
            <w:vAlign w:val="bottom"/>
            <w:hideMark/>
          </w:tcPr>
          <w:p w14:paraId="18E4497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A49A22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80</w:t>
            </w:r>
          </w:p>
        </w:tc>
        <w:tc>
          <w:tcPr>
            <w:tcW w:w="5395" w:type="dxa"/>
            <w:shd w:val="clear" w:color="auto" w:fill="auto"/>
            <w:vAlign w:val="bottom"/>
            <w:hideMark/>
          </w:tcPr>
          <w:p w14:paraId="45DE69F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Потребността от увеличаване подкрепата за младите стопани и на фермерския доход се обуславят от: в основата на мотивацията за стартиране на агробизнес е необходимият първоначален капитал, с който по-голяма част от младите лица не разполагат; ниският размер на фермерския доход.</w:t>
            </w:r>
          </w:p>
        </w:tc>
        <w:tc>
          <w:tcPr>
            <w:tcW w:w="4111" w:type="dxa"/>
            <w:shd w:val="clear" w:color="auto" w:fill="auto"/>
            <w:vAlign w:val="bottom"/>
            <w:hideMark/>
          </w:tcPr>
          <w:p w14:paraId="0094F51E" w14:textId="1E31E621"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 това изречение има някаква грешка в </w:t>
            </w:r>
            <w:r w:rsidR="00E122D2" w:rsidRPr="00937D97">
              <w:rPr>
                <w:rFonts w:eastAsia="Times New Roman" w:cstheme="minorHAnsi"/>
                <w:color w:val="000000"/>
                <w:sz w:val="18"/>
                <w:szCs w:val="18"/>
                <w:lang w:val="bg-BG"/>
              </w:rPr>
              <w:t>израза</w:t>
            </w:r>
            <w:r w:rsidRPr="00937D97">
              <w:rPr>
                <w:rFonts w:eastAsia="Times New Roman" w:cstheme="minorHAnsi"/>
                <w:color w:val="000000"/>
                <w:sz w:val="18"/>
                <w:szCs w:val="18"/>
                <w:lang w:val="bg-BG"/>
              </w:rPr>
              <w:t xml:space="preserve"> е необходимо да се редактира</w:t>
            </w:r>
          </w:p>
        </w:tc>
        <w:tc>
          <w:tcPr>
            <w:tcW w:w="2976" w:type="dxa"/>
            <w:shd w:val="clear" w:color="auto" w:fill="auto"/>
            <w:vAlign w:val="bottom"/>
            <w:hideMark/>
          </w:tcPr>
          <w:p w14:paraId="6D8C2A15"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586F3C86" w14:textId="77777777" w:rsidTr="00D504A5">
        <w:trPr>
          <w:trHeight w:val="735"/>
        </w:trPr>
        <w:tc>
          <w:tcPr>
            <w:tcW w:w="988" w:type="dxa"/>
            <w:shd w:val="clear" w:color="auto" w:fill="auto"/>
            <w:vAlign w:val="bottom"/>
            <w:hideMark/>
          </w:tcPr>
          <w:p w14:paraId="255B845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4E9417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80</w:t>
            </w:r>
          </w:p>
        </w:tc>
        <w:tc>
          <w:tcPr>
            <w:tcW w:w="5395" w:type="dxa"/>
            <w:shd w:val="clear" w:color="auto" w:fill="auto"/>
            <w:vAlign w:val="bottom"/>
            <w:hideMark/>
          </w:tcPr>
          <w:p w14:paraId="7381DBB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П.7.2.Увеличаване подкрепата за младите стопани и на фермерския доход и улесняване стартирането на стопанство</w:t>
            </w:r>
          </w:p>
        </w:tc>
        <w:tc>
          <w:tcPr>
            <w:tcW w:w="4111" w:type="dxa"/>
            <w:shd w:val="clear" w:color="auto" w:fill="auto"/>
            <w:vAlign w:val="bottom"/>
            <w:hideMark/>
          </w:tcPr>
          <w:p w14:paraId="57D688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текстът не се чете до края</w:t>
            </w:r>
          </w:p>
        </w:tc>
        <w:tc>
          <w:tcPr>
            <w:tcW w:w="2976" w:type="dxa"/>
            <w:shd w:val="clear" w:color="auto" w:fill="auto"/>
            <w:vAlign w:val="bottom"/>
            <w:hideMark/>
          </w:tcPr>
          <w:p w14:paraId="5C37817B"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246F11CC" w14:textId="77777777" w:rsidTr="00D504A5">
        <w:trPr>
          <w:trHeight w:val="1215"/>
        </w:trPr>
        <w:tc>
          <w:tcPr>
            <w:tcW w:w="988" w:type="dxa"/>
            <w:shd w:val="clear" w:color="auto" w:fill="auto"/>
            <w:vAlign w:val="bottom"/>
            <w:hideMark/>
          </w:tcPr>
          <w:p w14:paraId="3E71CFA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F9FD57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82</w:t>
            </w:r>
          </w:p>
        </w:tc>
        <w:tc>
          <w:tcPr>
            <w:tcW w:w="5395" w:type="dxa"/>
            <w:shd w:val="clear" w:color="auto" w:fill="auto"/>
            <w:vAlign w:val="bottom"/>
            <w:hideMark/>
          </w:tcPr>
          <w:p w14:paraId="01CD216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П.7.6.Стимулиране на иновативни или технологично интензивни производства и развиване на дейности в секторите на индустрията и на информационните услуги, които да допринасят за повишаване на добавената стойност</w:t>
            </w:r>
          </w:p>
        </w:tc>
        <w:tc>
          <w:tcPr>
            <w:tcW w:w="4111" w:type="dxa"/>
            <w:shd w:val="clear" w:color="auto" w:fill="auto"/>
            <w:vAlign w:val="bottom"/>
            <w:hideMark/>
          </w:tcPr>
          <w:p w14:paraId="35865656" w14:textId="36CA395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Кратък, неясен текст. Нито е ясно каква е точно потребността, нито как планират да я </w:t>
            </w:r>
            <w:r w:rsidR="00E122D2" w:rsidRPr="00937D97">
              <w:rPr>
                <w:rFonts w:eastAsia="Times New Roman" w:cstheme="minorHAnsi"/>
                <w:color w:val="000000"/>
                <w:sz w:val="18"/>
                <w:szCs w:val="18"/>
                <w:lang w:val="bg-BG"/>
              </w:rPr>
              <w:t>адресират</w:t>
            </w:r>
            <w:r w:rsidRPr="00937D97">
              <w:rPr>
                <w:rFonts w:eastAsia="Times New Roman" w:cstheme="minorHAnsi"/>
                <w:color w:val="000000"/>
                <w:sz w:val="18"/>
                <w:szCs w:val="18"/>
                <w:lang w:val="bg-BG"/>
              </w:rPr>
              <w:t>. Може да включва всички и нищо. До известна степен прилича на потребност 2.4  има подобие и с 2.3 и 2.5</w:t>
            </w:r>
          </w:p>
        </w:tc>
        <w:tc>
          <w:tcPr>
            <w:tcW w:w="2976" w:type="dxa"/>
            <w:shd w:val="clear" w:color="auto" w:fill="auto"/>
            <w:vAlign w:val="bottom"/>
            <w:hideMark/>
          </w:tcPr>
          <w:p w14:paraId="7DAB01C0" w14:textId="4A65EECB"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Тази потребност да отпадне и да се </w:t>
            </w:r>
            <w:r w:rsidR="00E122D2" w:rsidRPr="00937D97">
              <w:rPr>
                <w:rFonts w:eastAsia="Times New Roman" w:cstheme="minorHAnsi"/>
                <w:color w:val="000000"/>
                <w:sz w:val="18"/>
                <w:szCs w:val="18"/>
                <w:lang w:val="bg-BG"/>
              </w:rPr>
              <w:t>интегрира</w:t>
            </w:r>
            <w:r w:rsidRPr="00937D97">
              <w:rPr>
                <w:rFonts w:eastAsia="Times New Roman" w:cstheme="minorHAnsi"/>
                <w:color w:val="000000"/>
                <w:sz w:val="18"/>
                <w:szCs w:val="18"/>
                <w:lang w:val="bg-BG"/>
              </w:rPr>
              <w:t xml:space="preserve"> смисълът и в </w:t>
            </w:r>
            <w:r w:rsidR="00E122D2" w:rsidRPr="00937D97">
              <w:rPr>
                <w:rFonts w:eastAsia="Times New Roman" w:cstheme="minorHAnsi"/>
                <w:color w:val="000000"/>
                <w:sz w:val="18"/>
                <w:szCs w:val="18"/>
                <w:lang w:val="bg-BG"/>
              </w:rPr>
              <w:t>някоя</w:t>
            </w:r>
            <w:r w:rsidRPr="00937D97">
              <w:rPr>
                <w:rFonts w:eastAsia="Times New Roman" w:cstheme="minorHAnsi"/>
                <w:color w:val="000000"/>
                <w:sz w:val="18"/>
                <w:szCs w:val="18"/>
                <w:lang w:val="bg-BG"/>
              </w:rPr>
              <w:t xml:space="preserve"> от потребностите 2.3, 2.4 или 2.5</w:t>
            </w:r>
          </w:p>
        </w:tc>
      </w:tr>
      <w:tr w:rsidR="00D504A5" w:rsidRPr="00937D97" w14:paraId="01FB2858" w14:textId="77777777" w:rsidTr="00D504A5">
        <w:trPr>
          <w:trHeight w:val="1455"/>
        </w:trPr>
        <w:tc>
          <w:tcPr>
            <w:tcW w:w="988" w:type="dxa"/>
            <w:shd w:val="clear" w:color="auto" w:fill="auto"/>
            <w:vAlign w:val="bottom"/>
            <w:hideMark/>
          </w:tcPr>
          <w:p w14:paraId="540A7A1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080C9FB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82 и 83</w:t>
            </w:r>
          </w:p>
        </w:tc>
        <w:tc>
          <w:tcPr>
            <w:tcW w:w="5395" w:type="dxa"/>
            <w:shd w:val="clear" w:color="auto" w:fill="auto"/>
            <w:vAlign w:val="bottom"/>
            <w:hideMark/>
          </w:tcPr>
          <w:p w14:paraId="6757FCC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П.7.5.Улесняване развитието на стопанска дейност в селските райони и създаване и подпомагане на стартирането на стопански и неземеделски дейности и П.8.1.Диверсификация на икономическата дейност. Стимулиране на нови производства в областта на биоикономиката и кръговата икономика. </w:t>
            </w:r>
          </w:p>
        </w:tc>
        <w:tc>
          <w:tcPr>
            <w:tcW w:w="4111" w:type="dxa"/>
            <w:shd w:val="clear" w:color="auto" w:fill="auto"/>
            <w:vAlign w:val="bottom"/>
            <w:hideMark/>
          </w:tcPr>
          <w:p w14:paraId="358A560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двете потребности по същество са едни и същи, като аспектите, които разглеждат се допълват и макар 7.5 да е вероятно основно за млади фермери, а 8.1 за всички, то е по-смислено да се обединят</w:t>
            </w:r>
          </w:p>
        </w:tc>
        <w:tc>
          <w:tcPr>
            <w:tcW w:w="2976" w:type="dxa"/>
            <w:shd w:val="clear" w:color="auto" w:fill="auto"/>
            <w:vAlign w:val="bottom"/>
            <w:hideMark/>
          </w:tcPr>
          <w:p w14:paraId="17145485"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57AB29B9" w14:textId="77777777" w:rsidTr="00D504A5">
        <w:trPr>
          <w:trHeight w:val="2895"/>
        </w:trPr>
        <w:tc>
          <w:tcPr>
            <w:tcW w:w="988" w:type="dxa"/>
            <w:shd w:val="clear" w:color="auto" w:fill="auto"/>
            <w:vAlign w:val="bottom"/>
            <w:hideMark/>
          </w:tcPr>
          <w:p w14:paraId="1B476A0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00F4E7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83</w:t>
            </w:r>
          </w:p>
        </w:tc>
        <w:tc>
          <w:tcPr>
            <w:tcW w:w="5395" w:type="dxa"/>
            <w:shd w:val="clear" w:color="auto" w:fill="auto"/>
            <w:vAlign w:val="bottom"/>
            <w:hideMark/>
          </w:tcPr>
          <w:p w14:paraId="5641E94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Основната употреба на дървения материал е за енергийни цели (42% от обемите), при 24% за дъскорезниците, 17% за хартиената промишленост и 12% за производството на дървесни плоскости и др. Около половината от потреблението на възобновяема енергия в ЕС е от дървесни източници.</w:t>
            </w:r>
          </w:p>
        </w:tc>
        <w:tc>
          <w:tcPr>
            <w:tcW w:w="4111" w:type="dxa"/>
            <w:shd w:val="clear" w:color="auto" w:fill="auto"/>
            <w:vAlign w:val="bottom"/>
            <w:hideMark/>
          </w:tcPr>
          <w:p w14:paraId="399EE531" w14:textId="456C1B7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Трябва да се обърне внимание на този цитат, защото начинът по който се ползват горите противоречи на принципа за нулеви емисии и на ползването на горите като дългосрочен </w:t>
            </w:r>
            <w:r w:rsidR="00E122D2" w:rsidRPr="00937D97">
              <w:rPr>
                <w:rFonts w:eastAsia="Times New Roman" w:cstheme="minorHAnsi"/>
                <w:color w:val="000000"/>
                <w:sz w:val="18"/>
                <w:szCs w:val="18"/>
                <w:lang w:val="bg-BG"/>
              </w:rPr>
              <w:t>механизъм</w:t>
            </w:r>
            <w:r w:rsidRPr="00937D97">
              <w:rPr>
                <w:rFonts w:eastAsia="Times New Roman" w:cstheme="minorHAnsi"/>
                <w:color w:val="000000"/>
                <w:sz w:val="18"/>
                <w:szCs w:val="18"/>
                <w:lang w:val="bg-BG"/>
              </w:rPr>
              <w:t xml:space="preserve"> за задържане на въглерод; също така не е вярно че половината ВЕ в Европа е от горски източници...</w:t>
            </w:r>
          </w:p>
        </w:tc>
        <w:tc>
          <w:tcPr>
            <w:tcW w:w="2976" w:type="dxa"/>
            <w:shd w:val="clear" w:color="auto" w:fill="auto"/>
            <w:vAlign w:val="bottom"/>
            <w:hideMark/>
          </w:tcPr>
          <w:p w14:paraId="1FCB5C93" w14:textId="49B67D4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цитираният текст </w:t>
            </w:r>
            <w:r w:rsidR="00E122D2" w:rsidRPr="00937D97">
              <w:rPr>
                <w:rFonts w:eastAsia="Times New Roman" w:cstheme="minorHAnsi"/>
                <w:color w:val="000000"/>
                <w:sz w:val="18"/>
                <w:szCs w:val="18"/>
                <w:lang w:val="bg-BG"/>
              </w:rPr>
              <w:t>трябва</w:t>
            </w:r>
            <w:r w:rsidRPr="00937D97">
              <w:rPr>
                <w:rFonts w:eastAsia="Times New Roman" w:cstheme="minorHAnsi"/>
                <w:color w:val="000000"/>
                <w:sz w:val="18"/>
                <w:szCs w:val="18"/>
                <w:lang w:val="bg-BG"/>
              </w:rPr>
              <w:t xml:space="preserve"> да се </w:t>
            </w:r>
            <w:r w:rsidR="00E122D2" w:rsidRPr="00937D97">
              <w:rPr>
                <w:rFonts w:eastAsia="Times New Roman" w:cstheme="minorHAnsi"/>
                <w:color w:val="000000"/>
                <w:sz w:val="18"/>
                <w:szCs w:val="18"/>
                <w:lang w:val="bg-BG"/>
              </w:rPr>
              <w:t>интерпретира</w:t>
            </w:r>
            <w:r w:rsidRPr="00937D97">
              <w:rPr>
                <w:rFonts w:eastAsia="Times New Roman" w:cstheme="minorHAnsi"/>
                <w:color w:val="000000"/>
                <w:sz w:val="18"/>
                <w:szCs w:val="18"/>
                <w:lang w:val="bg-BG"/>
              </w:rPr>
              <w:t xml:space="preserve"> в светлината на необходимостта от опазване на горите и намаляване на емисиите от ползването им за енергийни нужди. необходимо е да се посочи че </w:t>
            </w:r>
            <w:r w:rsidR="00E122D2" w:rsidRPr="00937D97">
              <w:rPr>
                <w:rFonts w:eastAsia="Times New Roman" w:cstheme="minorHAnsi"/>
                <w:color w:val="000000"/>
                <w:sz w:val="18"/>
                <w:szCs w:val="18"/>
                <w:lang w:val="bg-BG"/>
              </w:rPr>
              <w:t>първостепенната</w:t>
            </w:r>
            <w:r w:rsidRPr="00937D97">
              <w:rPr>
                <w:rFonts w:eastAsia="Times New Roman" w:cstheme="minorHAnsi"/>
                <w:color w:val="000000"/>
                <w:sz w:val="18"/>
                <w:szCs w:val="18"/>
                <w:lang w:val="bg-BG"/>
              </w:rPr>
              <w:t xml:space="preserve"> роля на горите в съвременната обстановка е да служат като резервоар за задържане на въглерод, за </w:t>
            </w:r>
            <w:r w:rsidR="00E122D2" w:rsidRPr="00937D97">
              <w:rPr>
                <w:rFonts w:eastAsia="Times New Roman" w:cstheme="minorHAnsi"/>
                <w:color w:val="000000"/>
                <w:sz w:val="18"/>
                <w:szCs w:val="18"/>
                <w:lang w:val="bg-BG"/>
              </w:rPr>
              <w:t>осигуряване</w:t>
            </w:r>
            <w:r w:rsidRPr="00937D97">
              <w:rPr>
                <w:rFonts w:eastAsia="Times New Roman" w:cstheme="minorHAnsi"/>
                <w:color w:val="000000"/>
                <w:sz w:val="18"/>
                <w:szCs w:val="18"/>
                <w:lang w:val="bg-BG"/>
              </w:rPr>
              <w:t xml:space="preserve"> на вода и кислород; употребата им за енергийни нужди е необходимо да се редуцира максимално и да не се разглеждат като </w:t>
            </w:r>
            <w:r w:rsidR="00E122D2" w:rsidRPr="00937D97">
              <w:rPr>
                <w:rFonts w:eastAsia="Times New Roman" w:cstheme="minorHAnsi"/>
                <w:color w:val="000000"/>
                <w:sz w:val="18"/>
                <w:szCs w:val="18"/>
                <w:lang w:val="bg-BG"/>
              </w:rPr>
              <w:t>възобновяема</w:t>
            </w:r>
            <w:r w:rsidRPr="00937D97">
              <w:rPr>
                <w:rFonts w:eastAsia="Times New Roman" w:cstheme="minorHAnsi"/>
                <w:color w:val="000000"/>
                <w:sz w:val="18"/>
                <w:szCs w:val="18"/>
                <w:lang w:val="bg-BG"/>
              </w:rPr>
              <w:t xml:space="preserve"> енергия, тъй като </w:t>
            </w:r>
            <w:r w:rsidR="00E122D2" w:rsidRPr="00937D97">
              <w:rPr>
                <w:rFonts w:eastAsia="Times New Roman" w:cstheme="minorHAnsi"/>
                <w:color w:val="000000"/>
                <w:sz w:val="18"/>
                <w:szCs w:val="18"/>
                <w:lang w:val="bg-BG"/>
              </w:rPr>
              <w:t>са необходими</w:t>
            </w:r>
            <w:r w:rsidRPr="00937D97">
              <w:rPr>
                <w:rFonts w:eastAsia="Times New Roman" w:cstheme="minorHAnsi"/>
                <w:color w:val="000000"/>
                <w:sz w:val="18"/>
                <w:szCs w:val="18"/>
                <w:lang w:val="bg-BG"/>
              </w:rPr>
              <w:t xml:space="preserve"> поне 80 години за да се възобнови едно</w:t>
            </w:r>
            <w:r w:rsidR="00E122D2">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дърво на мястото на друго отсечено ... </w:t>
            </w:r>
          </w:p>
        </w:tc>
      </w:tr>
      <w:tr w:rsidR="00D504A5" w:rsidRPr="00937D97" w14:paraId="79CD77F0" w14:textId="77777777" w:rsidTr="00D504A5">
        <w:trPr>
          <w:trHeight w:val="735"/>
        </w:trPr>
        <w:tc>
          <w:tcPr>
            <w:tcW w:w="988" w:type="dxa"/>
            <w:shd w:val="clear" w:color="auto" w:fill="auto"/>
            <w:vAlign w:val="bottom"/>
            <w:hideMark/>
          </w:tcPr>
          <w:p w14:paraId="5C6C927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57ABADB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83</w:t>
            </w:r>
          </w:p>
        </w:tc>
        <w:tc>
          <w:tcPr>
            <w:tcW w:w="5395" w:type="dxa"/>
            <w:shd w:val="clear" w:color="auto" w:fill="auto"/>
            <w:vAlign w:val="bottom"/>
            <w:hideMark/>
          </w:tcPr>
          <w:p w14:paraId="70338B6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П.8.1.Диверсификация на икономическата дейност. Стимулиране на нови производства в областта на биоикономиката и кръговата икономика. </w:t>
            </w:r>
          </w:p>
        </w:tc>
        <w:tc>
          <w:tcPr>
            <w:tcW w:w="4111" w:type="dxa"/>
            <w:shd w:val="clear" w:color="auto" w:fill="auto"/>
            <w:vAlign w:val="bottom"/>
            <w:hideMark/>
          </w:tcPr>
          <w:p w14:paraId="04781DC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текстът не се чете до края;  не става много ясно как се предвижда са се адресира този приоритет</w:t>
            </w:r>
          </w:p>
        </w:tc>
        <w:tc>
          <w:tcPr>
            <w:tcW w:w="2976" w:type="dxa"/>
            <w:shd w:val="clear" w:color="auto" w:fill="auto"/>
            <w:vAlign w:val="bottom"/>
            <w:hideMark/>
          </w:tcPr>
          <w:p w14:paraId="0F1A2A17"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4E4EA54" w14:textId="77777777" w:rsidTr="00D504A5">
        <w:trPr>
          <w:trHeight w:val="1455"/>
        </w:trPr>
        <w:tc>
          <w:tcPr>
            <w:tcW w:w="988" w:type="dxa"/>
            <w:shd w:val="clear" w:color="auto" w:fill="auto"/>
            <w:vAlign w:val="bottom"/>
            <w:hideMark/>
          </w:tcPr>
          <w:p w14:paraId="5A7F2C3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05F7E63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84</w:t>
            </w:r>
          </w:p>
        </w:tc>
        <w:tc>
          <w:tcPr>
            <w:tcW w:w="5395" w:type="dxa"/>
            <w:shd w:val="clear" w:color="auto" w:fill="auto"/>
            <w:vAlign w:val="bottom"/>
            <w:hideMark/>
          </w:tcPr>
          <w:p w14:paraId="124810D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П.8.2.Подобряване на здравните и социалните услуги.</w:t>
            </w:r>
          </w:p>
        </w:tc>
        <w:tc>
          <w:tcPr>
            <w:tcW w:w="4111" w:type="dxa"/>
            <w:shd w:val="clear" w:color="auto" w:fill="auto"/>
            <w:vAlign w:val="bottom"/>
            <w:hideMark/>
          </w:tcPr>
          <w:p w14:paraId="71BA0248" w14:textId="4746DFF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Кратък, неясен текст. Нито е ясно каква е точно потребността в контекста на земеделието и селските райони, нито как планират да я </w:t>
            </w:r>
            <w:r w:rsidR="00E122D2" w:rsidRPr="00937D97">
              <w:rPr>
                <w:rFonts w:eastAsia="Times New Roman" w:cstheme="minorHAnsi"/>
                <w:color w:val="000000"/>
                <w:sz w:val="18"/>
                <w:szCs w:val="18"/>
                <w:lang w:val="bg-BG"/>
              </w:rPr>
              <w:t>адресират</w:t>
            </w:r>
            <w:r w:rsidRPr="00937D97">
              <w:rPr>
                <w:rFonts w:eastAsia="Times New Roman" w:cstheme="minorHAnsi"/>
                <w:color w:val="000000"/>
                <w:sz w:val="18"/>
                <w:szCs w:val="18"/>
                <w:lang w:val="bg-BG"/>
              </w:rPr>
              <w:t xml:space="preserve">. Тук вероятно съществува демаркация с други политики, но не се вижда. В противовес на определения висок приоритет, изложението за тази потребност не съдържа нито ясно адресиране на </w:t>
            </w:r>
            <w:r w:rsidR="00E122D2" w:rsidRPr="00937D97">
              <w:rPr>
                <w:rFonts w:eastAsia="Times New Roman" w:cstheme="minorHAnsi"/>
                <w:color w:val="000000"/>
                <w:sz w:val="18"/>
                <w:szCs w:val="18"/>
                <w:lang w:val="bg-BG"/>
              </w:rPr>
              <w:t>проблема, нито</w:t>
            </w:r>
            <w:r w:rsidRPr="00937D97">
              <w:rPr>
                <w:rFonts w:eastAsia="Times New Roman" w:cstheme="minorHAnsi"/>
                <w:color w:val="000000"/>
                <w:sz w:val="18"/>
                <w:szCs w:val="18"/>
                <w:lang w:val="bg-BG"/>
              </w:rPr>
              <w:t xml:space="preserve"> как се предвижда да бъде разрешен, нито пък конкретни аргументи</w:t>
            </w:r>
          </w:p>
        </w:tc>
        <w:tc>
          <w:tcPr>
            <w:tcW w:w="2976" w:type="dxa"/>
            <w:shd w:val="clear" w:color="auto" w:fill="auto"/>
            <w:vAlign w:val="bottom"/>
            <w:hideMark/>
          </w:tcPr>
          <w:p w14:paraId="07F674A1"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698CDA9" w14:textId="77777777" w:rsidTr="00D504A5">
        <w:trPr>
          <w:trHeight w:val="1935"/>
        </w:trPr>
        <w:tc>
          <w:tcPr>
            <w:tcW w:w="988" w:type="dxa"/>
            <w:shd w:val="clear" w:color="auto" w:fill="auto"/>
            <w:vAlign w:val="bottom"/>
            <w:hideMark/>
          </w:tcPr>
          <w:p w14:paraId="2CFE67F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CB3068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85</w:t>
            </w:r>
          </w:p>
        </w:tc>
        <w:tc>
          <w:tcPr>
            <w:tcW w:w="5395" w:type="dxa"/>
            <w:shd w:val="clear" w:color="auto" w:fill="auto"/>
            <w:vAlign w:val="bottom"/>
            <w:hideMark/>
          </w:tcPr>
          <w:p w14:paraId="3B0E033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Въпреки, че през програмния период 2007 - 2013 г. и 2014 – 2020 г. създаването и обновяването на публичната и техническата инфраструктура (пътища, водоснабдяване, канализация, улици, тротоари, паркове, градини, спортна, общинска и социална инфраструктура и др.) в селските райони беше финансирано от ЕЗФРСР, тя е все още слабо развита и забавя социално-икономическото развитие на селските райони.</w:t>
            </w:r>
          </w:p>
        </w:tc>
        <w:tc>
          <w:tcPr>
            <w:tcW w:w="4111" w:type="dxa"/>
            <w:shd w:val="clear" w:color="auto" w:fill="auto"/>
            <w:vAlign w:val="bottom"/>
            <w:hideMark/>
          </w:tcPr>
          <w:p w14:paraId="239D57B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е посочено какво е постигнато за предишните два периода на програмата (дори обобщена справка за двата периода), а също така текстът не се вижда целият</w:t>
            </w:r>
          </w:p>
        </w:tc>
        <w:tc>
          <w:tcPr>
            <w:tcW w:w="2976" w:type="dxa"/>
            <w:shd w:val="clear" w:color="auto" w:fill="auto"/>
            <w:vAlign w:val="bottom"/>
            <w:hideMark/>
          </w:tcPr>
          <w:p w14:paraId="663A5341" w14:textId="01217F4B"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вместо да се формулира така представеният текст е важно да се цитират факти - за двата предходни периода колко инфраструктура и т.н. е била създадена по линия на този фонд, какъв % е тя от селищата, нуждаещи се от тази помощ и каква част от селищата все още разчитат на нея - това би </w:t>
            </w:r>
            <w:r w:rsidRPr="00937D97">
              <w:rPr>
                <w:rFonts w:eastAsia="Times New Roman" w:cstheme="minorHAnsi"/>
                <w:color w:val="000000"/>
                <w:sz w:val="18"/>
                <w:szCs w:val="18"/>
                <w:lang w:val="bg-BG"/>
              </w:rPr>
              <w:lastRenderedPageBreak/>
              <w:t xml:space="preserve">било информативно и аргумент за продължаващо </w:t>
            </w:r>
            <w:r w:rsidR="00E122D2" w:rsidRPr="00937D97">
              <w:rPr>
                <w:rFonts w:eastAsia="Times New Roman" w:cstheme="minorHAnsi"/>
                <w:color w:val="000000"/>
                <w:sz w:val="18"/>
                <w:szCs w:val="18"/>
                <w:lang w:val="bg-BG"/>
              </w:rPr>
              <w:t>финансиране</w:t>
            </w:r>
            <w:r w:rsidRPr="00937D97">
              <w:rPr>
                <w:rFonts w:eastAsia="Times New Roman" w:cstheme="minorHAnsi"/>
                <w:color w:val="000000"/>
                <w:sz w:val="18"/>
                <w:szCs w:val="18"/>
                <w:lang w:val="bg-BG"/>
              </w:rPr>
              <w:t xml:space="preserve"> </w:t>
            </w:r>
          </w:p>
        </w:tc>
      </w:tr>
      <w:tr w:rsidR="00D504A5" w:rsidRPr="00937D97" w14:paraId="3DF81F85" w14:textId="77777777" w:rsidTr="00D504A5">
        <w:trPr>
          <w:trHeight w:val="1695"/>
        </w:trPr>
        <w:tc>
          <w:tcPr>
            <w:tcW w:w="988" w:type="dxa"/>
            <w:shd w:val="clear" w:color="auto" w:fill="auto"/>
            <w:vAlign w:val="bottom"/>
            <w:hideMark/>
          </w:tcPr>
          <w:p w14:paraId="0F16BF9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33132D0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86</w:t>
            </w:r>
          </w:p>
        </w:tc>
        <w:tc>
          <w:tcPr>
            <w:tcW w:w="5395" w:type="dxa"/>
            <w:shd w:val="clear" w:color="auto" w:fill="auto"/>
            <w:vAlign w:val="bottom"/>
            <w:hideMark/>
          </w:tcPr>
          <w:p w14:paraId="01B33F6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П.8.4.Подобряване на обектите за развитие на традициите и на културно-историческите обекти; П.8.5. Подобряване на състоянието на образователната инфраструктура с цел увеличаване на дела на населението, което има достъп до подобрени услуги</w:t>
            </w:r>
          </w:p>
        </w:tc>
        <w:tc>
          <w:tcPr>
            <w:tcW w:w="4111" w:type="dxa"/>
            <w:shd w:val="clear" w:color="auto" w:fill="auto"/>
            <w:vAlign w:val="bottom"/>
            <w:hideMark/>
          </w:tcPr>
          <w:p w14:paraId="5493644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на мен лично не ми е ясно защо тези потребности се финансират по този пран, както и предходната; няма ли конкретни фондове за това? </w:t>
            </w:r>
          </w:p>
        </w:tc>
        <w:tc>
          <w:tcPr>
            <w:tcW w:w="2976" w:type="dxa"/>
            <w:shd w:val="clear" w:color="auto" w:fill="auto"/>
            <w:vAlign w:val="bottom"/>
            <w:hideMark/>
          </w:tcPr>
          <w:p w14:paraId="357AAAD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Тук трябва по-добра обосновка и обвързаност със земеделието, както и какво е постигнато чрез подпомагането досега. Важно е във всяка потребност ясно да се посочва какъв е бил приносът (като резултат и ефект) от използването на европейското финансиране - да се покаже защо именно тези средства ,трябва да се ползват именно за това</w:t>
            </w:r>
          </w:p>
        </w:tc>
      </w:tr>
      <w:tr w:rsidR="00D504A5" w:rsidRPr="00937D97" w14:paraId="6EEF86CB" w14:textId="77777777" w:rsidTr="00D504A5">
        <w:trPr>
          <w:trHeight w:val="1215"/>
        </w:trPr>
        <w:tc>
          <w:tcPr>
            <w:tcW w:w="988" w:type="dxa"/>
            <w:shd w:val="clear" w:color="auto" w:fill="auto"/>
            <w:vAlign w:val="bottom"/>
            <w:hideMark/>
          </w:tcPr>
          <w:p w14:paraId="72DDF40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7442072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87</w:t>
            </w:r>
          </w:p>
        </w:tc>
        <w:tc>
          <w:tcPr>
            <w:tcW w:w="5395" w:type="dxa"/>
            <w:shd w:val="clear" w:color="auto" w:fill="auto"/>
            <w:vAlign w:val="bottom"/>
            <w:hideMark/>
          </w:tcPr>
          <w:p w14:paraId="2418C49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П.8.6. Запазване на многофондовото финансиране, разширяване на териториалното прилагане и опростяване на прилагането на подхода ЛИДЕР/ВОМР―.</w:t>
            </w:r>
          </w:p>
        </w:tc>
        <w:tc>
          <w:tcPr>
            <w:tcW w:w="4111" w:type="dxa"/>
            <w:shd w:val="clear" w:color="auto" w:fill="auto"/>
            <w:vAlign w:val="bottom"/>
            <w:hideMark/>
          </w:tcPr>
          <w:p w14:paraId="653AF739" w14:textId="2BB9CBA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за толкова мащабно прилагана дейност би следвало да се дадат ясни резултати от </w:t>
            </w:r>
            <w:r w:rsidR="00E122D2" w:rsidRPr="00937D97">
              <w:rPr>
                <w:rFonts w:eastAsia="Times New Roman" w:cstheme="minorHAnsi"/>
                <w:color w:val="000000"/>
                <w:sz w:val="18"/>
                <w:szCs w:val="18"/>
                <w:lang w:val="bg-BG"/>
              </w:rPr>
              <w:t>прилагането</w:t>
            </w:r>
            <w:r w:rsidRPr="00937D97">
              <w:rPr>
                <w:rFonts w:eastAsia="Times New Roman" w:cstheme="minorHAnsi"/>
                <w:color w:val="000000"/>
                <w:sz w:val="18"/>
                <w:szCs w:val="18"/>
                <w:lang w:val="bg-BG"/>
              </w:rPr>
              <w:t xml:space="preserve"> и приноса за селските райони и на тази база да се обоснове още какво липсва, къде и как трябва да се </w:t>
            </w:r>
            <w:r w:rsidR="00E122D2" w:rsidRPr="00937D97">
              <w:rPr>
                <w:rFonts w:eastAsia="Times New Roman" w:cstheme="minorHAnsi"/>
                <w:color w:val="000000"/>
                <w:sz w:val="18"/>
                <w:szCs w:val="18"/>
                <w:lang w:val="bg-BG"/>
              </w:rPr>
              <w:t>разширява</w:t>
            </w:r>
            <w:r w:rsidRPr="00937D97">
              <w:rPr>
                <w:rFonts w:eastAsia="Times New Roman" w:cstheme="minorHAnsi"/>
                <w:color w:val="000000"/>
                <w:sz w:val="18"/>
                <w:szCs w:val="18"/>
                <w:lang w:val="bg-BG"/>
              </w:rPr>
              <w:t xml:space="preserve"> подхода; пак са общи приказки; къде да се разширява подхода? в какви аспекти? накъде да е насочен? кои са точно проблемните области? къде трябва да се допринесе повече ....</w:t>
            </w:r>
          </w:p>
        </w:tc>
        <w:tc>
          <w:tcPr>
            <w:tcW w:w="2976" w:type="dxa"/>
            <w:shd w:val="clear" w:color="auto" w:fill="auto"/>
            <w:vAlign w:val="bottom"/>
            <w:hideMark/>
          </w:tcPr>
          <w:p w14:paraId="222B3727"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A635528" w14:textId="77777777" w:rsidTr="00D504A5">
        <w:trPr>
          <w:trHeight w:val="1455"/>
        </w:trPr>
        <w:tc>
          <w:tcPr>
            <w:tcW w:w="988" w:type="dxa"/>
            <w:shd w:val="clear" w:color="auto" w:fill="auto"/>
            <w:vAlign w:val="bottom"/>
            <w:hideMark/>
          </w:tcPr>
          <w:p w14:paraId="7612F95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5EA3654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88</w:t>
            </w:r>
          </w:p>
        </w:tc>
        <w:tc>
          <w:tcPr>
            <w:tcW w:w="5395" w:type="dxa"/>
            <w:shd w:val="clear" w:color="auto" w:fill="auto"/>
            <w:vAlign w:val="bottom"/>
            <w:hideMark/>
          </w:tcPr>
          <w:p w14:paraId="3D722D0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BG 88 BG</w:t>
            </w:r>
            <w:r w:rsidRPr="00937D97">
              <w:rPr>
                <w:rFonts w:eastAsia="Times New Roman" w:cstheme="minorHAnsi"/>
                <w:color w:val="000000"/>
                <w:sz w:val="18"/>
                <w:szCs w:val="18"/>
                <w:lang w:val="bg-BG"/>
              </w:rPr>
              <w:br/>
              <w:t>П.9.1.Насърчаване и подпомагане на биологичното земеделие, както и на научните изследвания в тази посока - Статистиката показва, че биологичното производство (БП) пряко реагира на помощите под формата на субсидии за неговото развитие.</w:t>
            </w:r>
          </w:p>
        </w:tc>
        <w:tc>
          <w:tcPr>
            <w:tcW w:w="4111" w:type="dxa"/>
            <w:shd w:val="clear" w:color="auto" w:fill="auto"/>
            <w:vAlign w:val="bottom"/>
            <w:hideMark/>
          </w:tcPr>
          <w:p w14:paraId="6035B77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къде е тази статистика? Не може ли да се цитира? и тази потребност е представена твърде общо</w:t>
            </w:r>
          </w:p>
        </w:tc>
        <w:tc>
          <w:tcPr>
            <w:tcW w:w="2976" w:type="dxa"/>
            <w:shd w:val="clear" w:color="auto" w:fill="auto"/>
            <w:vAlign w:val="bottom"/>
            <w:hideMark/>
          </w:tcPr>
          <w:p w14:paraId="07CC0EE0"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5B789135" w14:textId="77777777" w:rsidTr="00D504A5">
        <w:trPr>
          <w:trHeight w:val="1935"/>
        </w:trPr>
        <w:tc>
          <w:tcPr>
            <w:tcW w:w="988" w:type="dxa"/>
            <w:shd w:val="clear" w:color="auto" w:fill="auto"/>
            <w:vAlign w:val="bottom"/>
            <w:hideMark/>
          </w:tcPr>
          <w:p w14:paraId="0FC6B8B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381E827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89</w:t>
            </w:r>
          </w:p>
        </w:tc>
        <w:tc>
          <w:tcPr>
            <w:tcW w:w="5395" w:type="dxa"/>
            <w:shd w:val="clear" w:color="auto" w:fill="auto"/>
            <w:vAlign w:val="bottom"/>
            <w:hideMark/>
          </w:tcPr>
          <w:p w14:paraId="057F40A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П.9.2.Подобряване на контрола (лабораторна дейност), пазарна организация, реализация и маркетинг в конвенционалното и биологичното производство и П.9.3.Насърчаване потреблението на биологични продукти чрез повишаване доверието на потребителите и включването им като задължителен елемент от веригата на предлагане на храни в частни и обществени заведения, в детски градини, училища, социални и здравни заведения.</w:t>
            </w:r>
          </w:p>
        </w:tc>
        <w:tc>
          <w:tcPr>
            <w:tcW w:w="4111" w:type="dxa"/>
            <w:shd w:val="clear" w:color="auto" w:fill="auto"/>
            <w:vAlign w:val="bottom"/>
            <w:hideMark/>
          </w:tcPr>
          <w:p w14:paraId="7DDF4BEF" w14:textId="584DA99C"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Двете потребности частично се припокриват. П.9.2 отначало говори за лаборатории и </w:t>
            </w:r>
            <w:r w:rsidR="00E122D2" w:rsidRPr="00937D97">
              <w:rPr>
                <w:rFonts w:eastAsia="Times New Roman" w:cstheme="minorHAnsi"/>
                <w:color w:val="000000"/>
                <w:sz w:val="18"/>
                <w:szCs w:val="18"/>
                <w:lang w:val="bg-BG"/>
              </w:rPr>
              <w:t>контрол</w:t>
            </w:r>
            <w:r w:rsidRPr="00937D97">
              <w:rPr>
                <w:rFonts w:eastAsia="Times New Roman" w:cstheme="minorHAnsi"/>
                <w:color w:val="000000"/>
                <w:sz w:val="18"/>
                <w:szCs w:val="18"/>
                <w:lang w:val="bg-BG"/>
              </w:rPr>
              <w:t xml:space="preserve">, но после преминава към промотиране реализацията на биопродукти. П.9.3 е фокусирано върху </w:t>
            </w:r>
            <w:r w:rsidR="00E122D2" w:rsidRPr="00937D97">
              <w:rPr>
                <w:rFonts w:eastAsia="Times New Roman" w:cstheme="minorHAnsi"/>
                <w:color w:val="000000"/>
                <w:sz w:val="18"/>
                <w:szCs w:val="18"/>
                <w:lang w:val="bg-BG"/>
              </w:rPr>
              <w:t>реализирането на</w:t>
            </w:r>
            <w:r w:rsidRPr="00937D97">
              <w:rPr>
                <w:rFonts w:eastAsia="Times New Roman" w:cstheme="minorHAnsi"/>
                <w:color w:val="000000"/>
                <w:sz w:val="18"/>
                <w:szCs w:val="18"/>
                <w:lang w:val="bg-BG"/>
              </w:rPr>
              <w:t xml:space="preserve"> биопродукти и промотирането им -</w:t>
            </w:r>
          </w:p>
        </w:tc>
        <w:tc>
          <w:tcPr>
            <w:tcW w:w="2976" w:type="dxa"/>
            <w:shd w:val="clear" w:color="auto" w:fill="auto"/>
            <w:vAlign w:val="bottom"/>
            <w:hideMark/>
          </w:tcPr>
          <w:p w14:paraId="7A70FBCB" w14:textId="0665B60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реализирането на биопродукти и промотирането им да </w:t>
            </w:r>
            <w:r w:rsidR="00E122D2" w:rsidRPr="00937D97">
              <w:rPr>
                <w:rFonts w:eastAsia="Times New Roman" w:cstheme="minorHAnsi"/>
                <w:color w:val="000000"/>
                <w:sz w:val="18"/>
                <w:szCs w:val="18"/>
                <w:lang w:val="bg-BG"/>
              </w:rPr>
              <w:t>остане само</w:t>
            </w:r>
            <w:r w:rsidRPr="00937D97">
              <w:rPr>
                <w:rFonts w:eastAsia="Times New Roman" w:cstheme="minorHAnsi"/>
                <w:color w:val="000000"/>
                <w:sz w:val="18"/>
                <w:szCs w:val="18"/>
                <w:lang w:val="bg-BG"/>
              </w:rPr>
              <w:t xml:space="preserve"> в П.9.3</w:t>
            </w:r>
          </w:p>
        </w:tc>
      </w:tr>
      <w:tr w:rsidR="00D504A5" w:rsidRPr="00937D97" w14:paraId="5444D07D" w14:textId="77777777" w:rsidTr="00D504A5">
        <w:trPr>
          <w:trHeight w:val="1215"/>
        </w:trPr>
        <w:tc>
          <w:tcPr>
            <w:tcW w:w="988" w:type="dxa"/>
            <w:shd w:val="clear" w:color="auto" w:fill="auto"/>
            <w:vAlign w:val="bottom"/>
            <w:hideMark/>
          </w:tcPr>
          <w:p w14:paraId="3B677ED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 xml:space="preserve">Оценка и Приоритизиране потребности </w:t>
            </w:r>
          </w:p>
        </w:tc>
        <w:tc>
          <w:tcPr>
            <w:tcW w:w="700" w:type="dxa"/>
            <w:shd w:val="clear" w:color="auto" w:fill="auto"/>
            <w:noWrap/>
            <w:vAlign w:val="bottom"/>
            <w:hideMark/>
          </w:tcPr>
          <w:p w14:paraId="3464C9E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90</w:t>
            </w:r>
          </w:p>
        </w:tc>
        <w:tc>
          <w:tcPr>
            <w:tcW w:w="5395" w:type="dxa"/>
            <w:shd w:val="clear" w:color="auto" w:fill="auto"/>
            <w:vAlign w:val="bottom"/>
            <w:hideMark/>
          </w:tcPr>
          <w:p w14:paraId="19A186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П.9.4.Подобряване качеството на храните, насърчаване консумацията на здравословна храна, повишаване информираността на потребителите, относно етикетиране на храните и засилване контрола при внос на суровини и храни.</w:t>
            </w:r>
          </w:p>
        </w:tc>
        <w:tc>
          <w:tcPr>
            <w:tcW w:w="4111" w:type="dxa"/>
            <w:shd w:val="clear" w:color="auto" w:fill="auto"/>
            <w:vAlign w:val="bottom"/>
            <w:hideMark/>
          </w:tcPr>
          <w:p w14:paraId="64AAB980" w14:textId="3CB91D9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твърде кратко и общо</w:t>
            </w:r>
            <w:r w:rsidR="00E122D2">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представена потребност, без да е представено как се адресира чрез плана</w:t>
            </w:r>
          </w:p>
        </w:tc>
        <w:tc>
          <w:tcPr>
            <w:tcW w:w="2976" w:type="dxa"/>
            <w:shd w:val="clear" w:color="auto" w:fill="auto"/>
            <w:vAlign w:val="bottom"/>
            <w:hideMark/>
          </w:tcPr>
          <w:p w14:paraId="049B48CF"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1D2EEBA" w14:textId="77777777" w:rsidTr="00D504A5">
        <w:trPr>
          <w:trHeight w:val="975"/>
        </w:trPr>
        <w:tc>
          <w:tcPr>
            <w:tcW w:w="988" w:type="dxa"/>
            <w:shd w:val="clear" w:color="auto" w:fill="auto"/>
            <w:vAlign w:val="bottom"/>
            <w:hideMark/>
          </w:tcPr>
          <w:p w14:paraId="6EFF3A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4D401B4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91</w:t>
            </w:r>
          </w:p>
        </w:tc>
        <w:tc>
          <w:tcPr>
            <w:tcW w:w="5395" w:type="dxa"/>
            <w:shd w:val="clear" w:color="auto" w:fill="auto"/>
            <w:vAlign w:val="bottom"/>
            <w:hideMark/>
          </w:tcPr>
          <w:p w14:paraId="2F627F1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П.9.7.Намаляване употребата на антимикробни средства в селското стопанство.</w:t>
            </w:r>
          </w:p>
        </w:tc>
        <w:tc>
          <w:tcPr>
            <w:tcW w:w="4111" w:type="dxa"/>
            <w:shd w:val="clear" w:color="auto" w:fill="auto"/>
            <w:noWrap/>
            <w:vAlign w:val="bottom"/>
            <w:hideMark/>
          </w:tcPr>
          <w:p w14:paraId="70B2F743" w14:textId="77777777" w:rsidR="00937D97" w:rsidRPr="00937D97" w:rsidRDefault="00937D97" w:rsidP="00937D97">
            <w:pPr>
              <w:spacing w:after="0" w:line="240" w:lineRule="auto"/>
              <w:rPr>
                <w:rFonts w:eastAsia="Times New Roman" w:cstheme="minorHAnsi"/>
                <w:color w:val="000000"/>
                <w:sz w:val="18"/>
                <w:szCs w:val="18"/>
                <w:lang w:val="bg-BG"/>
              </w:rPr>
            </w:pPr>
          </w:p>
        </w:tc>
        <w:tc>
          <w:tcPr>
            <w:tcW w:w="2976" w:type="dxa"/>
            <w:shd w:val="clear" w:color="auto" w:fill="auto"/>
            <w:vAlign w:val="bottom"/>
            <w:hideMark/>
          </w:tcPr>
          <w:p w14:paraId="1CC4B7F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тук е добре да се добавят и контрола върху нестероидните противовъзпалителни, които остават в животните и представляват опасност за околната среда, в частност лешоядите</w:t>
            </w:r>
          </w:p>
        </w:tc>
      </w:tr>
      <w:tr w:rsidR="00D504A5" w:rsidRPr="00937D97" w14:paraId="6B41E905" w14:textId="77777777" w:rsidTr="00D504A5">
        <w:trPr>
          <w:trHeight w:val="975"/>
        </w:trPr>
        <w:tc>
          <w:tcPr>
            <w:tcW w:w="988" w:type="dxa"/>
            <w:shd w:val="clear" w:color="auto" w:fill="auto"/>
            <w:vAlign w:val="bottom"/>
            <w:hideMark/>
          </w:tcPr>
          <w:p w14:paraId="541D278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Оценка и Приоритизиране потребности </w:t>
            </w:r>
          </w:p>
        </w:tc>
        <w:tc>
          <w:tcPr>
            <w:tcW w:w="700" w:type="dxa"/>
            <w:shd w:val="clear" w:color="auto" w:fill="auto"/>
            <w:noWrap/>
            <w:vAlign w:val="bottom"/>
            <w:hideMark/>
          </w:tcPr>
          <w:p w14:paraId="1E34DCC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92</w:t>
            </w:r>
          </w:p>
        </w:tc>
        <w:tc>
          <w:tcPr>
            <w:tcW w:w="5395" w:type="dxa"/>
            <w:shd w:val="clear" w:color="auto" w:fill="auto"/>
            <w:vAlign w:val="bottom"/>
            <w:hideMark/>
          </w:tcPr>
          <w:p w14:paraId="6D074B5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П.9.8.Интервенции за подобряване използването на торове и продукти за растителна защита в земеделието и повишаване ефективността на контрола на пазара и контрола върху употребата на ПРЗ и торове</w:t>
            </w:r>
          </w:p>
        </w:tc>
        <w:tc>
          <w:tcPr>
            <w:tcW w:w="4111" w:type="dxa"/>
            <w:shd w:val="clear" w:color="auto" w:fill="auto"/>
            <w:vAlign w:val="bottom"/>
            <w:hideMark/>
          </w:tcPr>
          <w:p w14:paraId="4BE2ECAD" w14:textId="7A0BE31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припокрива се с </w:t>
            </w:r>
            <w:r w:rsidR="00E122D2" w:rsidRPr="00937D97">
              <w:rPr>
                <w:rFonts w:eastAsia="Times New Roman" w:cstheme="minorHAnsi"/>
                <w:color w:val="000000"/>
                <w:sz w:val="18"/>
                <w:szCs w:val="18"/>
                <w:lang w:val="bg-BG"/>
              </w:rPr>
              <w:t>потребност</w:t>
            </w:r>
            <w:r w:rsidRPr="00937D97">
              <w:rPr>
                <w:rFonts w:eastAsia="Times New Roman" w:cstheme="minorHAnsi"/>
                <w:color w:val="000000"/>
                <w:sz w:val="18"/>
                <w:szCs w:val="18"/>
                <w:lang w:val="bg-BG"/>
              </w:rPr>
              <w:t xml:space="preserve"> П.5.5, поне като се чете съдържанието</w:t>
            </w:r>
          </w:p>
        </w:tc>
        <w:tc>
          <w:tcPr>
            <w:tcW w:w="2976" w:type="dxa"/>
            <w:shd w:val="clear" w:color="auto" w:fill="auto"/>
            <w:vAlign w:val="bottom"/>
            <w:hideMark/>
          </w:tcPr>
          <w:p w14:paraId="5B9E842F"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9D7ABFA" w14:textId="77777777" w:rsidTr="00D504A5">
        <w:trPr>
          <w:trHeight w:val="735"/>
        </w:trPr>
        <w:tc>
          <w:tcPr>
            <w:tcW w:w="988" w:type="dxa"/>
            <w:shd w:val="clear" w:color="auto" w:fill="auto"/>
            <w:vAlign w:val="bottom"/>
            <w:hideMark/>
          </w:tcPr>
          <w:p w14:paraId="5A955EE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цел1</w:t>
            </w:r>
          </w:p>
        </w:tc>
        <w:tc>
          <w:tcPr>
            <w:tcW w:w="700" w:type="dxa"/>
            <w:shd w:val="clear" w:color="auto" w:fill="auto"/>
            <w:noWrap/>
            <w:vAlign w:val="bottom"/>
            <w:hideMark/>
          </w:tcPr>
          <w:p w14:paraId="65E583A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130</w:t>
            </w:r>
          </w:p>
        </w:tc>
        <w:tc>
          <w:tcPr>
            <w:tcW w:w="5395" w:type="dxa"/>
            <w:shd w:val="clear" w:color="auto" w:fill="auto"/>
            <w:vAlign w:val="bottom"/>
            <w:hideMark/>
          </w:tcPr>
          <w:p w14:paraId="30F7D5F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6.Подобренаструктура на земеделските стопанства и уедряване на стопанствата с по-ускорени темпове в сравнение със средното равнище в ЕС.</w:t>
            </w:r>
          </w:p>
        </w:tc>
        <w:tc>
          <w:tcPr>
            <w:tcW w:w="4111" w:type="dxa"/>
            <w:shd w:val="clear" w:color="auto" w:fill="auto"/>
            <w:vAlign w:val="bottom"/>
            <w:hideMark/>
          </w:tcPr>
          <w:p w14:paraId="2ED81EBA" w14:textId="58C42AA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трябва да се има предвид, че уедряването на </w:t>
            </w:r>
            <w:r w:rsidR="00E122D2" w:rsidRPr="00937D97">
              <w:rPr>
                <w:rFonts w:eastAsia="Times New Roman" w:cstheme="minorHAnsi"/>
                <w:color w:val="000000"/>
                <w:sz w:val="18"/>
                <w:szCs w:val="18"/>
                <w:lang w:val="bg-BG"/>
              </w:rPr>
              <w:t>стопанствата</w:t>
            </w:r>
            <w:r w:rsidRPr="00937D97">
              <w:rPr>
                <w:rFonts w:eastAsia="Times New Roman" w:cstheme="minorHAnsi"/>
                <w:color w:val="000000"/>
                <w:sz w:val="18"/>
                <w:szCs w:val="18"/>
                <w:lang w:val="bg-BG"/>
              </w:rPr>
              <w:t xml:space="preserve"> и то с бързи темпове е заплаха за биоразнообразието - т.е.  това което се </w:t>
            </w:r>
            <w:r w:rsidR="00E122D2" w:rsidRPr="00937D97">
              <w:rPr>
                <w:rFonts w:eastAsia="Times New Roman" w:cstheme="minorHAnsi"/>
                <w:color w:val="000000"/>
                <w:sz w:val="18"/>
                <w:szCs w:val="18"/>
                <w:lang w:val="bg-BG"/>
              </w:rPr>
              <w:t>посочва</w:t>
            </w:r>
            <w:r w:rsidRPr="00937D97">
              <w:rPr>
                <w:rFonts w:eastAsia="Times New Roman" w:cstheme="minorHAnsi"/>
                <w:color w:val="000000"/>
                <w:sz w:val="18"/>
                <w:szCs w:val="18"/>
                <w:lang w:val="bg-BG"/>
              </w:rPr>
              <w:t xml:space="preserve"> тук като силна страна, на практика е </w:t>
            </w:r>
            <w:r w:rsidR="00E122D2" w:rsidRPr="00937D97">
              <w:rPr>
                <w:rFonts w:eastAsia="Times New Roman" w:cstheme="minorHAnsi"/>
                <w:color w:val="000000"/>
                <w:sz w:val="18"/>
                <w:szCs w:val="18"/>
                <w:lang w:val="bg-BG"/>
              </w:rPr>
              <w:t>проблем</w:t>
            </w:r>
            <w:r w:rsidRPr="00937D97">
              <w:rPr>
                <w:rFonts w:eastAsia="Times New Roman" w:cstheme="minorHAnsi"/>
                <w:color w:val="000000"/>
                <w:sz w:val="18"/>
                <w:szCs w:val="18"/>
                <w:lang w:val="bg-BG"/>
              </w:rPr>
              <w:t xml:space="preserve"> по отношение на екологичните цели</w:t>
            </w:r>
          </w:p>
        </w:tc>
        <w:tc>
          <w:tcPr>
            <w:tcW w:w="2976" w:type="dxa"/>
            <w:shd w:val="clear" w:color="auto" w:fill="auto"/>
            <w:vAlign w:val="bottom"/>
            <w:hideMark/>
          </w:tcPr>
          <w:p w14:paraId="341F8FA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намери балансиран подход за избягване прекомерното уедряване</w:t>
            </w:r>
          </w:p>
        </w:tc>
      </w:tr>
      <w:tr w:rsidR="00D504A5" w:rsidRPr="00937D97" w14:paraId="0ABDFBDD" w14:textId="77777777" w:rsidTr="00D504A5">
        <w:trPr>
          <w:trHeight w:val="495"/>
        </w:trPr>
        <w:tc>
          <w:tcPr>
            <w:tcW w:w="988" w:type="dxa"/>
            <w:shd w:val="clear" w:color="auto" w:fill="auto"/>
            <w:vAlign w:val="bottom"/>
            <w:hideMark/>
          </w:tcPr>
          <w:p w14:paraId="21ED5E4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цел1</w:t>
            </w:r>
          </w:p>
        </w:tc>
        <w:tc>
          <w:tcPr>
            <w:tcW w:w="700" w:type="dxa"/>
            <w:shd w:val="clear" w:color="auto" w:fill="auto"/>
            <w:noWrap/>
            <w:vAlign w:val="bottom"/>
            <w:hideMark/>
          </w:tcPr>
          <w:p w14:paraId="70F806E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130</w:t>
            </w:r>
          </w:p>
        </w:tc>
        <w:tc>
          <w:tcPr>
            <w:tcW w:w="5395" w:type="dxa"/>
            <w:shd w:val="clear" w:color="auto" w:fill="auto"/>
            <w:vAlign w:val="bottom"/>
            <w:hideMark/>
          </w:tcPr>
          <w:p w14:paraId="762EC2D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8. По-малки размери и по-ниски доходи на земеделските стопанства в планинските райони.</w:t>
            </w:r>
          </w:p>
        </w:tc>
        <w:tc>
          <w:tcPr>
            <w:tcW w:w="4111" w:type="dxa"/>
            <w:shd w:val="clear" w:color="auto" w:fill="auto"/>
            <w:vAlign w:val="bottom"/>
            <w:hideMark/>
          </w:tcPr>
          <w:p w14:paraId="7AF6490F" w14:textId="61210B1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трябва да се има предвид, че по-малките </w:t>
            </w:r>
            <w:r w:rsidR="00E122D2" w:rsidRPr="00937D97">
              <w:rPr>
                <w:rFonts w:eastAsia="Times New Roman" w:cstheme="minorHAnsi"/>
                <w:color w:val="000000"/>
                <w:sz w:val="18"/>
                <w:szCs w:val="18"/>
                <w:lang w:val="bg-BG"/>
              </w:rPr>
              <w:t>стопанства</w:t>
            </w:r>
            <w:r w:rsidRPr="00937D97">
              <w:rPr>
                <w:rFonts w:eastAsia="Times New Roman" w:cstheme="minorHAnsi"/>
                <w:color w:val="000000"/>
                <w:sz w:val="18"/>
                <w:szCs w:val="18"/>
                <w:lang w:val="bg-BG"/>
              </w:rPr>
              <w:t xml:space="preserve"> може да са по благоприятни за биоразнообразието като </w:t>
            </w:r>
          </w:p>
        </w:tc>
        <w:tc>
          <w:tcPr>
            <w:tcW w:w="2976" w:type="dxa"/>
            <w:shd w:val="clear" w:color="auto" w:fill="auto"/>
            <w:vAlign w:val="bottom"/>
            <w:hideMark/>
          </w:tcPr>
          <w:p w14:paraId="555DCE3E" w14:textId="324E146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търси подобряване </w:t>
            </w:r>
            <w:r w:rsidR="00E122D2" w:rsidRPr="00937D97">
              <w:rPr>
                <w:rFonts w:eastAsia="Times New Roman" w:cstheme="minorHAnsi"/>
                <w:color w:val="000000"/>
                <w:sz w:val="18"/>
                <w:szCs w:val="18"/>
                <w:lang w:val="bg-BG"/>
              </w:rPr>
              <w:t>ефективността</w:t>
            </w:r>
            <w:r w:rsidRPr="00937D97">
              <w:rPr>
                <w:rFonts w:eastAsia="Times New Roman" w:cstheme="minorHAnsi"/>
                <w:color w:val="000000"/>
                <w:sz w:val="18"/>
                <w:szCs w:val="18"/>
                <w:lang w:val="bg-BG"/>
              </w:rPr>
              <w:t xml:space="preserve"> без да се насърчава уедряването</w:t>
            </w:r>
          </w:p>
        </w:tc>
      </w:tr>
      <w:tr w:rsidR="00D504A5" w:rsidRPr="00937D97" w14:paraId="3AC85663" w14:textId="77777777" w:rsidTr="00D504A5">
        <w:trPr>
          <w:trHeight w:val="735"/>
        </w:trPr>
        <w:tc>
          <w:tcPr>
            <w:tcW w:w="988" w:type="dxa"/>
            <w:shd w:val="clear" w:color="auto" w:fill="auto"/>
            <w:vAlign w:val="bottom"/>
            <w:hideMark/>
          </w:tcPr>
          <w:p w14:paraId="357410D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цел1</w:t>
            </w:r>
          </w:p>
        </w:tc>
        <w:tc>
          <w:tcPr>
            <w:tcW w:w="700" w:type="dxa"/>
            <w:shd w:val="clear" w:color="auto" w:fill="auto"/>
            <w:noWrap/>
            <w:vAlign w:val="bottom"/>
            <w:hideMark/>
          </w:tcPr>
          <w:p w14:paraId="70190B7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133</w:t>
            </w:r>
          </w:p>
        </w:tc>
        <w:tc>
          <w:tcPr>
            <w:tcW w:w="5395" w:type="dxa"/>
            <w:shd w:val="clear" w:color="auto" w:fill="auto"/>
            <w:vAlign w:val="bottom"/>
            <w:hideMark/>
          </w:tcPr>
          <w:p w14:paraId="0BD9F30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RD - ASD(72) - Специфични за района неблагоприятни аспекти, произтичащи от някои задължителни изисквания - II.В.1. - Плащания за земеделски земи в зони от Натура 2000 </w:t>
            </w:r>
          </w:p>
        </w:tc>
        <w:tc>
          <w:tcPr>
            <w:tcW w:w="4111" w:type="dxa"/>
            <w:shd w:val="clear" w:color="auto" w:fill="auto"/>
            <w:vAlign w:val="bottom"/>
            <w:hideMark/>
          </w:tcPr>
          <w:p w14:paraId="434C434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Тук в цел 1 са посочени плащания за Натура 2000 - правилно ли е?</w:t>
            </w:r>
          </w:p>
        </w:tc>
        <w:tc>
          <w:tcPr>
            <w:tcW w:w="2976" w:type="dxa"/>
            <w:shd w:val="clear" w:color="auto" w:fill="auto"/>
            <w:vAlign w:val="bottom"/>
            <w:hideMark/>
          </w:tcPr>
          <w:p w14:paraId="5FBEEE4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63A7059" w14:textId="77777777" w:rsidTr="00D504A5">
        <w:trPr>
          <w:trHeight w:val="2655"/>
        </w:trPr>
        <w:tc>
          <w:tcPr>
            <w:tcW w:w="988" w:type="dxa"/>
            <w:shd w:val="clear" w:color="auto" w:fill="auto"/>
            <w:vAlign w:val="bottom"/>
            <w:hideMark/>
          </w:tcPr>
          <w:p w14:paraId="32A6F51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цел1</w:t>
            </w:r>
          </w:p>
        </w:tc>
        <w:tc>
          <w:tcPr>
            <w:tcW w:w="700" w:type="dxa"/>
            <w:shd w:val="clear" w:color="auto" w:fill="auto"/>
            <w:noWrap/>
            <w:vAlign w:val="bottom"/>
            <w:hideMark/>
          </w:tcPr>
          <w:p w14:paraId="13D6790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135</w:t>
            </w:r>
          </w:p>
        </w:tc>
        <w:tc>
          <w:tcPr>
            <w:tcW w:w="5395" w:type="dxa"/>
            <w:shd w:val="clear" w:color="auto" w:fill="auto"/>
            <w:vAlign w:val="bottom"/>
            <w:hideMark/>
          </w:tcPr>
          <w:p w14:paraId="25ED34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обосновка на интервенция за напояване "Чрез интервенцията ще се подкрепят инвестициите за напояване в рамките на земеделските стопанства, чрез което се цели насърчаване и развитие на поливното земеделие. Също така ще спомогне за преодоляване на климатичните изменения, свързани с дълги периоди на засушаване."</w:t>
            </w:r>
          </w:p>
        </w:tc>
        <w:tc>
          <w:tcPr>
            <w:tcW w:w="4111" w:type="dxa"/>
            <w:shd w:val="clear" w:color="auto" w:fill="auto"/>
            <w:vAlign w:val="bottom"/>
            <w:hideMark/>
          </w:tcPr>
          <w:p w14:paraId="17FBF0AC" w14:textId="189FF0A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Високо рискова от екологична гледна точка. насърчаването на поливното земеделие може да е екологичен проблем, тъй като изисква повече водни ресурси, които няма откъде да бъдат взети в условия на засушаване; също така увеличаването на водоч</w:t>
            </w:r>
            <w:r w:rsidR="00E122D2">
              <w:rPr>
                <w:rFonts w:eastAsia="Times New Roman" w:cstheme="minorHAnsi"/>
                <w:color w:val="000000"/>
                <w:sz w:val="18"/>
                <w:szCs w:val="18"/>
                <w:lang w:val="bg-BG"/>
              </w:rPr>
              <w:t>ерпене</w:t>
            </w:r>
            <w:r w:rsidRPr="00937D97">
              <w:rPr>
                <w:rFonts w:eastAsia="Times New Roman" w:cstheme="minorHAnsi"/>
                <w:color w:val="000000"/>
                <w:sz w:val="18"/>
                <w:szCs w:val="18"/>
                <w:lang w:val="bg-BG"/>
              </w:rPr>
              <w:t xml:space="preserve"> в условия на засушаване не е път към преодоляване на климатичните промени;</w:t>
            </w:r>
          </w:p>
        </w:tc>
        <w:tc>
          <w:tcPr>
            <w:tcW w:w="2976" w:type="dxa"/>
            <w:shd w:val="clear" w:color="auto" w:fill="auto"/>
            <w:vAlign w:val="bottom"/>
            <w:hideMark/>
          </w:tcPr>
          <w:p w14:paraId="374CBEA4" w14:textId="595900D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проверя и самото съдържание пак, но като цяло се върви в грешна посока; нужна е екологична оценка и ясни параметри и изисквания, а също така и целенасочени мерки за опазване и </w:t>
            </w:r>
            <w:r w:rsidR="00E122D2" w:rsidRPr="00937D97">
              <w:rPr>
                <w:rFonts w:eastAsia="Times New Roman" w:cstheme="minorHAnsi"/>
                <w:color w:val="000000"/>
                <w:sz w:val="18"/>
                <w:szCs w:val="18"/>
                <w:lang w:val="bg-BG"/>
              </w:rPr>
              <w:t>генериране</w:t>
            </w:r>
            <w:r w:rsidRPr="00937D97">
              <w:rPr>
                <w:rFonts w:eastAsia="Times New Roman" w:cstheme="minorHAnsi"/>
                <w:color w:val="000000"/>
                <w:sz w:val="18"/>
                <w:szCs w:val="18"/>
                <w:lang w:val="bg-BG"/>
              </w:rPr>
              <w:t xml:space="preserve"> на водни ресурси , като </w:t>
            </w:r>
            <w:r w:rsidR="00E122D2" w:rsidRPr="00937D97">
              <w:rPr>
                <w:rFonts w:eastAsia="Times New Roman" w:cstheme="minorHAnsi"/>
                <w:color w:val="000000"/>
                <w:sz w:val="18"/>
                <w:szCs w:val="18"/>
                <w:lang w:val="bg-BG"/>
              </w:rPr>
              <w:t>влажни</w:t>
            </w:r>
            <w:r w:rsidRPr="00937D97">
              <w:rPr>
                <w:rFonts w:eastAsia="Times New Roman" w:cstheme="minorHAnsi"/>
                <w:color w:val="000000"/>
                <w:sz w:val="18"/>
                <w:szCs w:val="18"/>
                <w:lang w:val="bg-BG"/>
              </w:rPr>
              <w:t xml:space="preserve"> зони, крайречно залесяване, възстановяване на старици - природни решения имат комбинирано действие както за осигуряване на водни количества, така и за справяне с климатичните промени; също така повишаване на ефективността и намаляване на загубите - повече контрол</w:t>
            </w:r>
          </w:p>
        </w:tc>
      </w:tr>
      <w:tr w:rsidR="00D504A5" w:rsidRPr="00937D97" w14:paraId="0CA3488B" w14:textId="77777777" w:rsidTr="00D504A5">
        <w:trPr>
          <w:trHeight w:val="1215"/>
        </w:trPr>
        <w:tc>
          <w:tcPr>
            <w:tcW w:w="988" w:type="dxa"/>
            <w:shd w:val="clear" w:color="auto" w:fill="auto"/>
            <w:vAlign w:val="bottom"/>
            <w:hideMark/>
          </w:tcPr>
          <w:p w14:paraId="5AF4C6D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SWOT aнализ цел1</w:t>
            </w:r>
          </w:p>
        </w:tc>
        <w:tc>
          <w:tcPr>
            <w:tcW w:w="700" w:type="dxa"/>
            <w:shd w:val="clear" w:color="auto" w:fill="auto"/>
            <w:noWrap/>
            <w:vAlign w:val="bottom"/>
            <w:hideMark/>
          </w:tcPr>
          <w:p w14:paraId="0D753C6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136</w:t>
            </w:r>
          </w:p>
        </w:tc>
        <w:tc>
          <w:tcPr>
            <w:tcW w:w="5395" w:type="dxa"/>
            <w:shd w:val="clear" w:color="auto" w:fill="auto"/>
            <w:vAlign w:val="bottom"/>
            <w:hideMark/>
          </w:tcPr>
          <w:p w14:paraId="659A17F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индикаторите за резултат по цел 1</w:t>
            </w:r>
          </w:p>
        </w:tc>
        <w:tc>
          <w:tcPr>
            <w:tcW w:w="4111" w:type="dxa"/>
            <w:shd w:val="clear" w:color="auto" w:fill="auto"/>
            <w:vAlign w:val="bottom"/>
            <w:hideMark/>
          </w:tcPr>
          <w:p w14:paraId="63978BC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нито един от представените индикатори няма базова стойност! за един от индикаторите има стойност над 100% без да е ясно какво точно означава това. Няма индикатор за резултат за мярката Натура 2000, която е поставена тук! На повечето от интервенциите тук въобще няма индикатор за резултат!</w:t>
            </w:r>
          </w:p>
        </w:tc>
        <w:tc>
          <w:tcPr>
            <w:tcW w:w="2976" w:type="dxa"/>
            <w:shd w:val="clear" w:color="auto" w:fill="auto"/>
            <w:vAlign w:val="bottom"/>
            <w:hideMark/>
          </w:tcPr>
          <w:p w14:paraId="47D9E14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попълнят базовите стойности, да се коригират неточностите и да се допълни индикатор за резултат по отношение Натура 2000 с базова и референтна стойност; да се допълнят кратки обяснения към индикаторите</w:t>
            </w:r>
          </w:p>
        </w:tc>
      </w:tr>
      <w:tr w:rsidR="00D504A5" w:rsidRPr="00937D97" w14:paraId="06EB2EE4" w14:textId="77777777" w:rsidTr="00D504A5">
        <w:trPr>
          <w:trHeight w:val="495"/>
        </w:trPr>
        <w:tc>
          <w:tcPr>
            <w:tcW w:w="988" w:type="dxa"/>
            <w:shd w:val="clear" w:color="auto" w:fill="auto"/>
            <w:vAlign w:val="bottom"/>
            <w:hideMark/>
          </w:tcPr>
          <w:p w14:paraId="6F22AC5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цел1</w:t>
            </w:r>
          </w:p>
        </w:tc>
        <w:tc>
          <w:tcPr>
            <w:tcW w:w="700" w:type="dxa"/>
            <w:shd w:val="clear" w:color="auto" w:fill="auto"/>
            <w:noWrap/>
            <w:vAlign w:val="bottom"/>
            <w:hideMark/>
          </w:tcPr>
          <w:p w14:paraId="2E8EB1C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136</w:t>
            </w:r>
          </w:p>
        </w:tc>
        <w:tc>
          <w:tcPr>
            <w:tcW w:w="5395" w:type="dxa"/>
            <w:shd w:val="clear" w:color="auto" w:fill="auto"/>
            <w:vAlign w:val="bottom"/>
            <w:hideMark/>
          </w:tcPr>
          <w:p w14:paraId="3346E97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42779A0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015DCF6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242A0B8A" w14:textId="77777777" w:rsidTr="00D504A5">
        <w:trPr>
          <w:trHeight w:val="495"/>
        </w:trPr>
        <w:tc>
          <w:tcPr>
            <w:tcW w:w="988" w:type="dxa"/>
            <w:shd w:val="clear" w:color="auto" w:fill="auto"/>
            <w:vAlign w:val="bottom"/>
            <w:hideMark/>
          </w:tcPr>
          <w:p w14:paraId="07728D5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649F586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138-140</w:t>
            </w:r>
          </w:p>
        </w:tc>
        <w:tc>
          <w:tcPr>
            <w:tcW w:w="5395" w:type="dxa"/>
            <w:shd w:val="clear" w:color="auto" w:fill="auto"/>
            <w:vAlign w:val="bottom"/>
            <w:hideMark/>
          </w:tcPr>
          <w:p w14:paraId="50106C7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4111" w:type="dxa"/>
            <w:shd w:val="clear" w:color="auto" w:fill="auto"/>
            <w:vAlign w:val="bottom"/>
            <w:hideMark/>
          </w:tcPr>
          <w:p w14:paraId="211D2E4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 от I.Б.1 до I.Б.19 включително се повтарят тук, че допринасят и за цел 2</w:t>
            </w:r>
          </w:p>
        </w:tc>
        <w:tc>
          <w:tcPr>
            <w:tcW w:w="2976" w:type="dxa"/>
            <w:shd w:val="clear" w:color="auto" w:fill="auto"/>
            <w:vAlign w:val="bottom"/>
            <w:hideMark/>
          </w:tcPr>
          <w:p w14:paraId="7784291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602BE97" w14:textId="77777777" w:rsidTr="00D504A5">
        <w:trPr>
          <w:trHeight w:val="735"/>
        </w:trPr>
        <w:tc>
          <w:tcPr>
            <w:tcW w:w="988" w:type="dxa"/>
            <w:shd w:val="clear" w:color="auto" w:fill="auto"/>
            <w:vAlign w:val="bottom"/>
            <w:hideMark/>
          </w:tcPr>
          <w:p w14:paraId="7C09640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168F9A5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141</w:t>
            </w:r>
          </w:p>
        </w:tc>
        <w:tc>
          <w:tcPr>
            <w:tcW w:w="5395" w:type="dxa"/>
            <w:shd w:val="clear" w:color="auto" w:fill="auto"/>
            <w:vAlign w:val="bottom"/>
            <w:hideMark/>
          </w:tcPr>
          <w:p w14:paraId="1E2067F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Sectoral - Вино - RESTRVINEY(58(1)(a)) - преструктуриране и преобразуване на лозовите масиви - преструктуриране и преобразуване на лозовите масиви</w:t>
            </w:r>
          </w:p>
        </w:tc>
        <w:tc>
          <w:tcPr>
            <w:tcW w:w="4111" w:type="dxa"/>
            <w:shd w:val="clear" w:color="auto" w:fill="auto"/>
            <w:vAlign w:val="bottom"/>
            <w:hideMark/>
          </w:tcPr>
          <w:p w14:paraId="5C41A50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потенциално рискова за биоразнообразието интервенция - в самата интервенция се вижда че е рискова</w:t>
            </w:r>
          </w:p>
        </w:tc>
        <w:tc>
          <w:tcPr>
            <w:tcW w:w="2976" w:type="dxa"/>
            <w:shd w:val="clear" w:color="auto" w:fill="auto"/>
            <w:vAlign w:val="bottom"/>
            <w:hideMark/>
          </w:tcPr>
          <w:p w14:paraId="5D64FB1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45B169F" w14:textId="77777777" w:rsidTr="00D504A5">
        <w:trPr>
          <w:trHeight w:val="975"/>
        </w:trPr>
        <w:tc>
          <w:tcPr>
            <w:tcW w:w="988" w:type="dxa"/>
            <w:shd w:val="clear" w:color="auto" w:fill="auto"/>
            <w:vAlign w:val="bottom"/>
            <w:hideMark/>
          </w:tcPr>
          <w:p w14:paraId="325650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1941DEB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141</w:t>
            </w:r>
          </w:p>
        </w:tc>
        <w:tc>
          <w:tcPr>
            <w:tcW w:w="5395" w:type="dxa"/>
            <w:shd w:val="clear" w:color="auto" w:fill="auto"/>
            <w:vAlign w:val="bottom"/>
            <w:hideMark/>
          </w:tcPr>
          <w:p w14:paraId="0F09FD1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Sectoral - Вино - INVWINESUST(58(1)(m)) - investments in tangible and intangible assets aiming to enhance the sustainability of wine production - I.Д.5 - Инвестиции в екологични съоръжения</w:t>
            </w:r>
          </w:p>
        </w:tc>
        <w:tc>
          <w:tcPr>
            <w:tcW w:w="4111" w:type="dxa"/>
            <w:shd w:val="clear" w:color="auto" w:fill="auto"/>
            <w:vAlign w:val="bottom"/>
            <w:hideMark/>
          </w:tcPr>
          <w:p w14:paraId="0D3FBA7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2976" w:type="dxa"/>
            <w:shd w:val="clear" w:color="auto" w:fill="auto"/>
            <w:vAlign w:val="bottom"/>
            <w:hideMark/>
          </w:tcPr>
          <w:p w14:paraId="60E24AC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2EA4EFD9" w14:textId="77777777" w:rsidTr="00D504A5">
        <w:trPr>
          <w:trHeight w:val="735"/>
        </w:trPr>
        <w:tc>
          <w:tcPr>
            <w:tcW w:w="988" w:type="dxa"/>
            <w:shd w:val="clear" w:color="auto" w:fill="auto"/>
            <w:vAlign w:val="bottom"/>
            <w:hideMark/>
          </w:tcPr>
          <w:p w14:paraId="157FAE4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048FDED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142-143</w:t>
            </w:r>
          </w:p>
        </w:tc>
        <w:tc>
          <w:tcPr>
            <w:tcW w:w="5395" w:type="dxa"/>
            <w:shd w:val="clear" w:color="auto" w:fill="auto"/>
            <w:vAlign w:val="bottom"/>
            <w:hideMark/>
          </w:tcPr>
          <w:p w14:paraId="1E652CE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II.Г.1 - Инвестиции в земеделските стопанства</w:t>
            </w:r>
          </w:p>
        </w:tc>
        <w:tc>
          <w:tcPr>
            <w:tcW w:w="4111" w:type="dxa"/>
            <w:shd w:val="clear" w:color="auto" w:fill="auto"/>
            <w:vAlign w:val="bottom"/>
            <w:hideMark/>
          </w:tcPr>
          <w:p w14:paraId="2A78A6B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II.Г.1 - Инвестиции в земеделските стопанства е представена че допринася за три потребности на цел 2, но също е посочено че допринася и за цел 1 - за нопаяване вероятно</w:t>
            </w:r>
          </w:p>
        </w:tc>
        <w:tc>
          <w:tcPr>
            <w:tcW w:w="2976" w:type="dxa"/>
            <w:shd w:val="clear" w:color="auto" w:fill="auto"/>
            <w:vAlign w:val="bottom"/>
            <w:hideMark/>
          </w:tcPr>
          <w:p w14:paraId="71A0533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276BEDD6" w14:textId="77777777" w:rsidTr="00D504A5">
        <w:trPr>
          <w:trHeight w:val="495"/>
        </w:trPr>
        <w:tc>
          <w:tcPr>
            <w:tcW w:w="988" w:type="dxa"/>
            <w:shd w:val="clear" w:color="auto" w:fill="auto"/>
            <w:vAlign w:val="bottom"/>
            <w:hideMark/>
          </w:tcPr>
          <w:p w14:paraId="0892185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51A5B9E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145</w:t>
            </w:r>
          </w:p>
        </w:tc>
        <w:tc>
          <w:tcPr>
            <w:tcW w:w="5395" w:type="dxa"/>
            <w:shd w:val="clear" w:color="auto" w:fill="auto"/>
            <w:vAlign w:val="bottom"/>
            <w:hideMark/>
          </w:tcPr>
          <w:p w14:paraId="5DD8AF6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"...ще осигури постигането на специфични цели б) и e) като..."</w:t>
            </w:r>
          </w:p>
        </w:tc>
        <w:tc>
          <w:tcPr>
            <w:tcW w:w="4111" w:type="dxa"/>
            <w:shd w:val="clear" w:color="auto" w:fill="auto"/>
            <w:vAlign w:val="bottom"/>
            <w:hideMark/>
          </w:tcPr>
          <w:p w14:paraId="5CCEB56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кои са специфични цели  б) и е)?</w:t>
            </w:r>
          </w:p>
        </w:tc>
        <w:tc>
          <w:tcPr>
            <w:tcW w:w="2976" w:type="dxa"/>
            <w:shd w:val="clear" w:color="auto" w:fill="auto"/>
            <w:vAlign w:val="bottom"/>
            <w:hideMark/>
          </w:tcPr>
          <w:p w14:paraId="0111EAD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поясни</w:t>
            </w:r>
          </w:p>
        </w:tc>
      </w:tr>
      <w:tr w:rsidR="00D504A5" w:rsidRPr="00937D97" w14:paraId="75360BB4" w14:textId="77777777" w:rsidTr="00D504A5">
        <w:trPr>
          <w:trHeight w:val="2655"/>
        </w:trPr>
        <w:tc>
          <w:tcPr>
            <w:tcW w:w="988" w:type="dxa"/>
            <w:shd w:val="clear" w:color="auto" w:fill="auto"/>
            <w:vAlign w:val="bottom"/>
            <w:hideMark/>
          </w:tcPr>
          <w:p w14:paraId="7290048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цел2</w:t>
            </w:r>
          </w:p>
        </w:tc>
        <w:tc>
          <w:tcPr>
            <w:tcW w:w="700" w:type="dxa"/>
            <w:shd w:val="clear" w:color="auto" w:fill="auto"/>
            <w:noWrap/>
            <w:vAlign w:val="bottom"/>
            <w:hideMark/>
          </w:tcPr>
          <w:p w14:paraId="03E7F93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147</w:t>
            </w:r>
          </w:p>
        </w:tc>
        <w:tc>
          <w:tcPr>
            <w:tcW w:w="5395" w:type="dxa"/>
            <w:shd w:val="clear" w:color="auto" w:fill="auto"/>
            <w:vAlign w:val="bottom"/>
            <w:hideMark/>
          </w:tcPr>
          <w:p w14:paraId="7551385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индикаторите за резултат по цел 3</w:t>
            </w:r>
          </w:p>
        </w:tc>
        <w:tc>
          <w:tcPr>
            <w:tcW w:w="4111" w:type="dxa"/>
            <w:shd w:val="clear" w:color="auto" w:fill="auto"/>
            <w:vAlign w:val="bottom"/>
            <w:hideMark/>
          </w:tcPr>
          <w:p w14:paraId="47EADDEF" w14:textId="5440B8F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за нито един от представените индикатори няма базова стойност! Представен е индикатор R.5 - Risk management Дял на стопанствата с подпомогнати инструменти за управление на риска по ОСП, но е ясно към какво се отнася; Също не </w:t>
            </w:r>
            <w:r w:rsidR="0098677B" w:rsidRPr="00937D97">
              <w:rPr>
                <w:rFonts w:eastAsia="Times New Roman" w:cstheme="minorHAnsi"/>
                <w:color w:val="000000"/>
                <w:sz w:val="18"/>
                <w:szCs w:val="18"/>
                <w:lang w:val="bg-BG"/>
              </w:rPr>
              <w:t>може</w:t>
            </w:r>
            <w:r w:rsidRPr="00937D97">
              <w:rPr>
                <w:rFonts w:eastAsia="Times New Roman" w:cstheme="minorHAnsi"/>
                <w:color w:val="000000"/>
                <w:sz w:val="18"/>
                <w:szCs w:val="18"/>
                <w:lang w:val="bg-BG"/>
              </w:rPr>
              <w:t xml:space="preserve"> да се прецени към кои интервенции и </w:t>
            </w:r>
            <w:r w:rsidR="0098677B" w:rsidRPr="00937D97">
              <w:rPr>
                <w:rFonts w:eastAsia="Times New Roman" w:cstheme="minorHAnsi"/>
                <w:color w:val="000000"/>
                <w:sz w:val="18"/>
                <w:szCs w:val="18"/>
                <w:lang w:val="bg-BG"/>
              </w:rPr>
              <w:t>потребности</w:t>
            </w:r>
            <w:r w:rsidRPr="00937D97">
              <w:rPr>
                <w:rFonts w:eastAsia="Times New Roman" w:cstheme="minorHAnsi"/>
                <w:color w:val="000000"/>
                <w:sz w:val="18"/>
                <w:szCs w:val="18"/>
                <w:lang w:val="bg-BG"/>
              </w:rPr>
              <w:t xml:space="preserve"> се отнасят индикаторите R.10 CU PR - Подобряване на организацията на веригата на доставките Share of farms participating in producer groups, producer organisations, local markets, short supply chain circuits and quality schemes supported by the CAP и R.39 CU - Развитие на икономиката в селските райони Брой на селскостопанските предприятия, включително предприятия от сферата на биоикономиката, развити с подпомагане по ОСП; На повечето от интервенциите тук въобще няма индикатор за резултат!</w:t>
            </w:r>
          </w:p>
        </w:tc>
        <w:tc>
          <w:tcPr>
            <w:tcW w:w="2976" w:type="dxa"/>
            <w:shd w:val="clear" w:color="auto" w:fill="auto"/>
            <w:vAlign w:val="bottom"/>
            <w:hideMark/>
          </w:tcPr>
          <w:p w14:paraId="1850F79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попълнят базовите стойности, да се допълнят липсващите индикатори</w:t>
            </w:r>
          </w:p>
        </w:tc>
      </w:tr>
      <w:tr w:rsidR="00D504A5" w:rsidRPr="00937D97" w14:paraId="0DEA62BC" w14:textId="77777777" w:rsidTr="00D504A5">
        <w:trPr>
          <w:trHeight w:val="495"/>
        </w:trPr>
        <w:tc>
          <w:tcPr>
            <w:tcW w:w="988" w:type="dxa"/>
            <w:shd w:val="clear" w:color="auto" w:fill="auto"/>
            <w:vAlign w:val="bottom"/>
            <w:hideMark/>
          </w:tcPr>
          <w:p w14:paraId="356BE1A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aнализ </w:t>
            </w:r>
            <w:r w:rsidRPr="00937D97">
              <w:rPr>
                <w:rFonts w:eastAsia="Times New Roman" w:cstheme="minorHAnsi"/>
                <w:color w:val="000000"/>
                <w:sz w:val="18"/>
                <w:szCs w:val="18"/>
                <w:lang w:val="bg-BG"/>
              </w:rPr>
              <w:lastRenderedPageBreak/>
              <w:t>цел2</w:t>
            </w:r>
          </w:p>
        </w:tc>
        <w:tc>
          <w:tcPr>
            <w:tcW w:w="700" w:type="dxa"/>
            <w:shd w:val="clear" w:color="auto" w:fill="auto"/>
            <w:noWrap/>
            <w:vAlign w:val="bottom"/>
            <w:hideMark/>
          </w:tcPr>
          <w:p w14:paraId="1F63418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148</w:t>
            </w:r>
          </w:p>
        </w:tc>
        <w:tc>
          <w:tcPr>
            <w:tcW w:w="5395" w:type="dxa"/>
            <w:shd w:val="clear" w:color="auto" w:fill="auto"/>
            <w:vAlign w:val="bottom"/>
            <w:hideMark/>
          </w:tcPr>
          <w:p w14:paraId="3DD6626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648A4C1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289597B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0F2397BE" w14:textId="77777777" w:rsidTr="00D504A5">
        <w:trPr>
          <w:trHeight w:val="1455"/>
        </w:trPr>
        <w:tc>
          <w:tcPr>
            <w:tcW w:w="988" w:type="dxa"/>
            <w:shd w:val="clear" w:color="auto" w:fill="auto"/>
            <w:vAlign w:val="bottom"/>
            <w:hideMark/>
          </w:tcPr>
          <w:p w14:paraId="73DA878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lastRenderedPageBreak/>
              <w:t>SWOT aнализ цел2</w:t>
            </w:r>
          </w:p>
        </w:tc>
        <w:tc>
          <w:tcPr>
            <w:tcW w:w="700" w:type="dxa"/>
            <w:shd w:val="clear" w:color="auto" w:fill="auto"/>
            <w:noWrap/>
            <w:vAlign w:val="bottom"/>
            <w:hideMark/>
          </w:tcPr>
          <w:p w14:paraId="139B735F"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148</w:t>
            </w:r>
          </w:p>
        </w:tc>
        <w:tc>
          <w:tcPr>
            <w:tcW w:w="5395" w:type="dxa"/>
            <w:shd w:val="clear" w:color="auto" w:fill="auto"/>
            <w:vAlign w:val="bottom"/>
            <w:hideMark/>
          </w:tcPr>
          <w:p w14:paraId="4DA5B18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условно е насочен финансов ресурс, в размер на 1,218 млрд. евро публични средства (тези интервенции, които допринасят до повече от една специфична цел, са отнесени в пълен размер с определения си бюджет във всички СЦ, в които допринасят)</w:t>
            </w:r>
          </w:p>
        </w:tc>
        <w:tc>
          <w:tcPr>
            <w:tcW w:w="4111" w:type="dxa"/>
            <w:shd w:val="clear" w:color="auto" w:fill="auto"/>
            <w:vAlign w:val="bottom"/>
            <w:hideMark/>
          </w:tcPr>
          <w:p w14:paraId="68980305" w14:textId="1ECC62D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Текстът в скобите какво означава? - че бюджетът на повтарящите се интервенции се репликира в пълния си</w:t>
            </w:r>
            <w:r w:rsidR="0098677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размер </w:t>
            </w:r>
            <w:r w:rsidR="0098677B" w:rsidRPr="00937D97">
              <w:rPr>
                <w:rFonts w:eastAsia="Times New Roman" w:cstheme="minorHAnsi"/>
                <w:color w:val="000000"/>
                <w:sz w:val="18"/>
                <w:szCs w:val="18"/>
                <w:lang w:val="bg-BG"/>
              </w:rPr>
              <w:t>във</w:t>
            </w:r>
            <w:r w:rsidRPr="00937D97">
              <w:rPr>
                <w:rFonts w:eastAsia="Times New Roman" w:cstheme="minorHAnsi"/>
                <w:color w:val="000000"/>
                <w:sz w:val="18"/>
                <w:szCs w:val="18"/>
                <w:lang w:val="bg-BG"/>
              </w:rPr>
              <w:t xml:space="preserve"> всички цели ли? Например бюджетът на II.Г.1 е посочен и в цел 1 и в цел 2 с пълния си размер - това коректно ли е? Как се отдиференцира каква част от бюджета отива за постигане на едната цел и каква - за другата; ако става въпрос за едни и същи неща, защо са в различни цели.... това как се обосновава?</w:t>
            </w:r>
          </w:p>
        </w:tc>
        <w:tc>
          <w:tcPr>
            <w:tcW w:w="2976" w:type="dxa"/>
            <w:shd w:val="clear" w:color="auto" w:fill="auto"/>
            <w:vAlign w:val="bottom"/>
            <w:hideMark/>
          </w:tcPr>
          <w:p w14:paraId="2AB8D08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42A67EB" w14:textId="77777777" w:rsidTr="00D504A5">
        <w:trPr>
          <w:trHeight w:val="735"/>
        </w:trPr>
        <w:tc>
          <w:tcPr>
            <w:tcW w:w="988" w:type="dxa"/>
            <w:shd w:val="clear" w:color="auto" w:fill="auto"/>
            <w:vAlign w:val="bottom"/>
            <w:hideMark/>
          </w:tcPr>
          <w:p w14:paraId="6381144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3</w:t>
            </w:r>
          </w:p>
        </w:tc>
        <w:tc>
          <w:tcPr>
            <w:tcW w:w="700" w:type="dxa"/>
            <w:shd w:val="clear" w:color="auto" w:fill="auto"/>
            <w:noWrap/>
            <w:vAlign w:val="bottom"/>
            <w:hideMark/>
          </w:tcPr>
          <w:p w14:paraId="7A35ABA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151 - 155</w:t>
            </w:r>
          </w:p>
        </w:tc>
        <w:tc>
          <w:tcPr>
            <w:tcW w:w="5395" w:type="dxa"/>
            <w:shd w:val="clear" w:color="auto" w:fill="auto"/>
            <w:vAlign w:val="bottom"/>
            <w:hideMark/>
          </w:tcPr>
          <w:p w14:paraId="7807F3C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II.Ж.4 - Популяризиране и подкрепа на схеми за качество, признати от Съюза или от държавите членки, както и тяхното използване от земеделските производители</w:t>
            </w:r>
          </w:p>
        </w:tc>
        <w:tc>
          <w:tcPr>
            <w:tcW w:w="4111" w:type="dxa"/>
            <w:shd w:val="clear" w:color="auto" w:fill="auto"/>
            <w:vAlign w:val="bottom"/>
            <w:hideMark/>
          </w:tcPr>
          <w:p w14:paraId="641FCA5E" w14:textId="56D76909"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Тази </w:t>
            </w:r>
            <w:r w:rsidR="0098677B" w:rsidRPr="00937D97">
              <w:rPr>
                <w:rFonts w:eastAsia="Times New Roman" w:cstheme="minorHAnsi"/>
                <w:color w:val="000000"/>
                <w:sz w:val="18"/>
                <w:szCs w:val="18"/>
                <w:lang w:val="bg-BG"/>
              </w:rPr>
              <w:t>интервенция</w:t>
            </w:r>
            <w:r w:rsidRPr="00937D97">
              <w:rPr>
                <w:rFonts w:eastAsia="Times New Roman" w:cstheme="minorHAnsi"/>
                <w:color w:val="000000"/>
                <w:sz w:val="18"/>
                <w:szCs w:val="18"/>
                <w:lang w:val="bg-BG"/>
              </w:rPr>
              <w:t xml:space="preserve"> е посочена в списъка, но не е обяснено за коя потребност допринася</w:t>
            </w:r>
          </w:p>
        </w:tc>
        <w:tc>
          <w:tcPr>
            <w:tcW w:w="2976" w:type="dxa"/>
            <w:shd w:val="clear" w:color="auto" w:fill="auto"/>
            <w:vAlign w:val="bottom"/>
            <w:hideMark/>
          </w:tcPr>
          <w:p w14:paraId="32A377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4D549F74" w14:textId="77777777" w:rsidTr="00D504A5">
        <w:trPr>
          <w:trHeight w:val="735"/>
        </w:trPr>
        <w:tc>
          <w:tcPr>
            <w:tcW w:w="988" w:type="dxa"/>
            <w:shd w:val="clear" w:color="auto" w:fill="auto"/>
            <w:vAlign w:val="bottom"/>
            <w:hideMark/>
          </w:tcPr>
          <w:p w14:paraId="29E186D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3</w:t>
            </w:r>
          </w:p>
        </w:tc>
        <w:tc>
          <w:tcPr>
            <w:tcW w:w="700" w:type="dxa"/>
            <w:shd w:val="clear" w:color="auto" w:fill="auto"/>
            <w:noWrap/>
            <w:vAlign w:val="bottom"/>
            <w:hideMark/>
          </w:tcPr>
          <w:p w14:paraId="15EBADC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151 - 155</w:t>
            </w:r>
          </w:p>
        </w:tc>
        <w:tc>
          <w:tcPr>
            <w:tcW w:w="5395" w:type="dxa"/>
            <w:shd w:val="clear" w:color="auto" w:fill="auto"/>
            <w:vAlign w:val="bottom"/>
            <w:hideMark/>
          </w:tcPr>
          <w:p w14:paraId="0D75557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обосновка на връзката между интервенции и потребности</w:t>
            </w:r>
          </w:p>
        </w:tc>
        <w:tc>
          <w:tcPr>
            <w:tcW w:w="4111" w:type="dxa"/>
            <w:shd w:val="clear" w:color="auto" w:fill="auto"/>
            <w:vAlign w:val="bottom"/>
            <w:hideMark/>
          </w:tcPr>
          <w:p w14:paraId="695BE72E" w14:textId="1A67F6F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доста объркано и повтарящо се; възниква въпросът защо </w:t>
            </w:r>
            <w:r w:rsidR="0098677B" w:rsidRPr="00937D97">
              <w:rPr>
                <w:rFonts w:eastAsia="Times New Roman" w:cstheme="minorHAnsi"/>
                <w:color w:val="000000"/>
                <w:sz w:val="18"/>
                <w:szCs w:val="18"/>
                <w:lang w:val="bg-BG"/>
              </w:rPr>
              <w:t>първата</w:t>
            </w:r>
            <w:r w:rsidRPr="00937D97">
              <w:rPr>
                <w:rFonts w:eastAsia="Times New Roman" w:cstheme="minorHAnsi"/>
                <w:color w:val="000000"/>
                <w:sz w:val="18"/>
                <w:szCs w:val="18"/>
                <w:lang w:val="bg-BG"/>
              </w:rPr>
              <w:t xml:space="preserve"> и втората </w:t>
            </w:r>
            <w:r w:rsidR="0098677B" w:rsidRPr="00937D97">
              <w:rPr>
                <w:rFonts w:eastAsia="Times New Roman" w:cstheme="minorHAnsi"/>
                <w:color w:val="000000"/>
                <w:sz w:val="18"/>
                <w:szCs w:val="18"/>
                <w:lang w:val="bg-BG"/>
              </w:rPr>
              <w:t>потребност</w:t>
            </w:r>
            <w:r w:rsidRPr="00937D97">
              <w:rPr>
                <w:rFonts w:eastAsia="Times New Roman" w:cstheme="minorHAnsi"/>
                <w:color w:val="000000"/>
                <w:sz w:val="18"/>
                <w:szCs w:val="18"/>
                <w:lang w:val="bg-BG"/>
              </w:rPr>
              <w:t xml:space="preserve"> към тази цел не се обединят в една потребност - интервенциите се повтарят</w:t>
            </w:r>
          </w:p>
        </w:tc>
        <w:tc>
          <w:tcPr>
            <w:tcW w:w="2976" w:type="dxa"/>
            <w:shd w:val="clear" w:color="auto" w:fill="auto"/>
            <w:vAlign w:val="bottom"/>
            <w:hideMark/>
          </w:tcPr>
          <w:p w14:paraId="05C0B7B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B256FC9" w14:textId="77777777" w:rsidTr="00D504A5">
        <w:trPr>
          <w:trHeight w:val="495"/>
        </w:trPr>
        <w:tc>
          <w:tcPr>
            <w:tcW w:w="988" w:type="dxa"/>
            <w:shd w:val="clear" w:color="auto" w:fill="auto"/>
            <w:vAlign w:val="bottom"/>
            <w:hideMark/>
          </w:tcPr>
          <w:p w14:paraId="4275F2E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3</w:t>
            </w:r>
          </w:p>
        </w:tc>
        <w:tc>
          <w:tcPr>
            <w:tcW w:w="700" w:type="dxa"/>
            <w:shd w:val="clear" w:color="auto" w:fill="auto"/>
            <w:noWrap/>
            <w:vAlign w:val="bottom"/>
            <w:hideMark/>
          </w:tcPr>
          <w:p w14:paraId="6BB5768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155</w:t>
            </w:r>
          </w:p>
        </w:tc>
        <w:tc>
          <w:tcPr>
            <w:tcW w:w="5395" w:type="dxa"/>
            <w:shd w:val="clear" w:color="auto" w:fill="auto"/>
            <w:vAlign w:val="bottom"/>
            <w:hideMark/>
          </w:tcPr>
          <w:p w14:paraId="2B91DDD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индикаторите за резултат по цел 2</w:t>
            </w:r>
          </w:p>
        </w:tc>
        <w:tc>
          <w:tcPr>
            <w:tcW w:w="4111" w:type="dxa"/>
            <w:shd w:val="clear" w:color="auto" w:fill="auto"/>
            <w:vAlign w:val="bottom"/>
            <w:hideMark/>
          </w:tcPr>
          <w:p w14:paraId="15F9044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нито един от представените индикатори няма базова стойност! На повечето от интервенциите тук въобще няма индикатор за резултат!</w:t>
            </w:r>
          </w:p>
        </w:tc>
        <w:tc>
          <w:tcPr>
            <w:tcW w:w="2976" w:type="dxa"/>
            <w:shd w:val="clear" w:color="auto" w:fill="auto"/>
            <w:vAlign w:val="bottom"/>
            <w:hideMark/>
          </w:tcPr>
          <w:p w14:paraId="0D26235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допълни и разпише</w:t>
            </w:r>
          </w:p>
        </w:tc>
      </w:tr>
      <w:tr w:rsidR="00D504A5" w:rsidRPr="00937D97" w14:paraId="70D9766F" w14:textId="77777777" w:rsidTr="00D504A5">
        <w:trPr>
          <w:trHeight w:val="495"/>
        </w:trPr>
        <w:tc>
          <w:tcPr>
            <w:tcW w:w="988" w:type="dxa"/>
            <w:shd w:val="clear" w:color="auto" w:fill="auto"/>
            <w:vAlign w:val="bottom"/>
            <w:hideMark/>
          </w:tcPr>
          <w:p w14:paraId="363E1C9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3</w:t>
            </w:r>
          </w:p>
        </w:tc>
        <w:tc>
          <w:tcPr>
            <w:tcW w:w="700" w:type="dxa"/>
            <w:shd w:val="clear" w:color="auto" w:fill="auto"/>
            <w:noWrap/>
            <w:vAlign w:val="bottom"/>
            <w:hideMark/>
          </w:tcPr>
          <w:p w14:paraId="0054879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155</w:t>
            </w:r>
          </w:p>
        </w:tc>
        <w:tc>
          <w:tcPr>
            <w:tcW w:w="5395" w:type="dxa"/>
            <w:shd w:val="clear" w:color="auto" w:fill="auto"/>
            <w:vAlign w:val="bottom"/>
            <w:hideMark/>
          </w:tcPr>
          <w:p w14:paraId="45E2E6F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2CC2E77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4C36E41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7B8FFCE7" w14:textId="77777777" w:rsidTr="00D504A5">
        <w:trPr>
          <w:trHeight w:val="975"/>
        </w:trPr>
        <w:tc>
          <w:tcPr>
            <w:tcW w:w="988" w:type="dxa"/>
            <w:shd w:val="clear" w:color="auto" w:fill="auto"/>
            <w:vAlign w:val="bottom"/>
            <w:hideMark/>
          </w:tcPr>
          <w:p w14:paraId="61A17AF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60E765D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156</w:t>
            </w:r>
          </w:p>
        </w:tc>
        <w:tc>
          <w:tcPr>
            <w:tcW w:w="5395" w:type="dxa"/>
            <w:shd w:val="clear" w:color="auto" w:fill="auto"/>
            <w:vAlign w:val="bottom"/>
            <w:hideMark/>
          </w:tcPr>
          <w:p w14:paraId="283A712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слабости "1.Увеличение на интензивността на земеползването. Земеделските земи за отчетния период са с високо ниво на междугодишна променливост."</w:t>
            </w:r>
          </w:p>
        </w:tc>
        <w:tc>
          <w:tcPr>
            <w:tcW w:w="4111" w:type="dxa"/>
            <w:shd w:val="clear" w:color="auto" w:fill="auto"/>
            <w:vAlign w:val="bottom"/>
            <w:hideMark/>
          </w:tcPr>
          <w:p w14:paraId="65129CCF" w14:textId="1C32DDCC"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има предвид, че тук интензивността на земеделието се изтъква като слабост, докато в цел 1 екстензивността на земеделието се </w:t>
            </w:r>
            <w:r w:rsidR="0098677B" w:rsidRPr="00937D97">
              <w:rPr>
                <w:rFonts w:eastAsia="Times New Roman" w:cstheme="minorHAnsi"/>
                <w:color w:val="000000"/>
                <w:sz w:val="18"/>
                <w:szCs w:val="18"/>
                <w:lang w:val="bg-BG"/>
              </w:rPr>
              <w:t>третира</w:t>
            </w:r>
            <w:r w:rsidRPr="00937D97">
              <w:rPr>
                <w:rFonts w:eastAsia="Times New Roman" w:cstheme="minorHAnsi"/>
                <w:color w:val="000000"/>
                <w:sz w:val="18"/>
                <w:szCs w:val="18"/>
                <w:lang w:val="bg-BG"/>
              </w:rPr>
              <w:t xml:space="preserve"> като слабост - тук има конфликт между екологични и икономически цели и това трябва да се има предвид при стимулиране на </w:t>
            </w:r>
            <w:r w:rsidR="0098677B" w:rsidRPr="00937D97">
              <w:rPr>
                <w:rFonts w:eastAsia="Times New Roman" w:cstheme="minorHAnsi"/>
                <w:color w:val="000000"/>
                <w:sz w:val="18"/>
                <w:szCs w:val="18"/>
                <w:lang w:val="bg-BG"/>
              </w:rPr>
              <w:t>интензификацията</w:t>
            </w:r>
            <w:r w:rsidRPr="00937D97">
              <w:rPr>
                <w:rFonts w:eastAsia="Times New Roman" w:cstheme="minorHAnsi"/>
                <w:color w:val="000000"/>
                <w:sz w:val="18"/>
                <w:szCs w:val="18"/>
                <w:lang w:val="bg-BG"/>
              </w:rPr>
              <w:t xml:space="preserve"> по цел 1</w:t>
            </w:r>
          </w:p>
        </w:tc>
        <w:tc>
          <w:tcPr>
            <w:tcW w:w="2976" w:type="dxa"/>
            <w:shd w:val="clear" w:color="auto" w:fill="auto"/>
            <w:vAlign w:val="bottom"/>
            <w:hideMark/>
          </w:tcPr>
          <w:p w14:paraId="1616964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11DF82F" w14:textId="77777777" w:rsidTr="00D504A5">
        <w:trPr>
          <w:trHeight w:val="1215"/>
        </w:trPr>
        <w:tc>
          <w:tcPr>
            <w:tcW w:w="988" w:type="dxa"/>
            <w:shd w:val="clear" w:color="auto" w:fill="auto"/>
            <w:vAlign w:val="bottom"/>
            <w:hideMark/>
          </w:tcPr>
          <w:p w14:paraId="5DE6255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732DE91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157</w:t>
            </w:r>
          </w:p>
        </w:tc>
        <w:tc>
          <w:tcPr>
            <w:tcW w:w="5395" w:type="dxa"/>
            <w:shd w:val="clear" w:color="auto" w:fill="auto"/>
            <w:vAlign w:val="bottom"/>
            <w:hideMark/>
          </w:tcPr>
          <w:p w14:paraId="4353A31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възможност "Стимулиране на консервационни земеделски практики - технология за зърнено-житни и др. култури: намалени почвообработки – минимални или нулеви и директна сеитба , заравяне на растителни остатъци, прихващане на С-емисии"</w:t>
            </w:r>
          </w:p>
        </w:tc>
        <w:tc>
          <w:tcPr>
            <w:tcW w:w="4111" w:type="dxa"/>
            <w:shd w:val="clear" w:color="auto" w:fill="auto"/>
            <w:vAlign w:val="bottom"/>
            <w:hideMark/>
          </w:tcPr>
          <w:p w14:paraId="7AA5A3A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проверя какво точно означава и доколко е добра или рискова за биоразнообразието</w:t>
            </w:r>
          </w:p>
        </w:tc>
        <w:tc>
          <w:tcPr>
            <w:tcW w:w="2976" w:type="dxa"/>
            <w:shd w:val="clear" w:color="auto" w:fill="auto"/>
            <w:vAlign w:val="bottom"/>
            <w:hideMark/>
          </w:tcPr>
          <w:p w14:paraId="3F84B4E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08F326C" w14:textId="77777777" w:rsidTr="00D504A5">
        <w:trPr>
          <w:trHeight w:val="735"/>
        </w:trPr>
        <w:tc>
          <w:tcPr>
            <w:tcW w:w="988" w:type="dxa"/>
            <w:shd w:val="clear" w:color="auto" w:fill="auto"/>
            <w:vAlign w:val="bottom"/>
            <w:hideMark/>
          </w:tcPr>
          <w:p w14:paraId="55C7083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67E8581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158</w:t>
            </w:r>
          </w:p>
        </w:tc>
        <w:tc>
          <w:tcPr>
            <w:tcW w:w="5395" w:type="dxa"/>
            <w:shd w:val="clear" w:color="auto" w:fill="auto"/>
            <w:vAlign w:val="bottom"/>
            <w:hideMark/>
          </w:tcPr>
          <w:p w14:paraId="57884AC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текстът на страницата преди заплахите  по цел 4 (от "1.Разписване ..." до "широко приложение от строителство до лекарства и храни"</w:t>
            </w:r>
          </w:p>
        </w:tc>
        <w:tc>
          <w:tcPr>
            <w:tcW w:w="4111" w:type="dxa"/>
            <w:shd w:val="clear" w:color="auto" w:fill="auto"/>
            <w:vAlign w:val="bottom"/>
            <w:hideMark/>
          </w:tcPr>
          <w:p w14:paraId="22A9F875" w14:textId="7B8512E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Не е ясно този текст за какво се отнася - може би възможностите в горския сектор!? -  но ако е така не всичко там е възможности; има и слабости сред тях - например </w:t>
            </w:r>
            <w:r w:rsidR="0098677B" w:rsidRPr="00937D97">
              <w:rPr>
                <w:rFonts w:eastAsia="Times New Roman" w:cstheme="minorHAnsi"/>
                <w:color w:val="000000"/>
                <w:sz w:val="18"/>
                <w:szCs w:val="18"/>
                <w:lang w:val="bg-BG"/>
              </w:rPr>
              <w:t>неразвитата</w:t>
            </w:r>
            <w:r w:rsidRPr="00937D97">
              <w:rPr>
                <w:rFonts w:eastAsia="Times New Roman" w:cstheme="minorHAnsi"/>
                <w:color w:val="000000"/>
                <w:sz w:val="18"/>
                <w:szCs w:val="18"/>
                <w:lang w:val="bg-BG"/>
              </w:rPr>
              <w:t xml:space="preserve"> географска информационна система</w:t>
            </w:r>
          </w:p>
        </w:tc>
        <w:tc>
          <w:tcPr>
            <w:tcW w:w="2976" w:type="dxa"/>
            <w:shd w:val="clear" w:color="auto" w:fill="auto"/>
            <w:vAlign w:val="bottom"/>
            <w:hideMark/>
          </w:tcPr>
          <w:p w14:paraId="6DAD688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прецизира  и да се съотнесат всички текстове съответно към горите и отделно към земеделските земи по тази цел</w:t>
            </w:r>
          </w:p>
        </w:tc>
      </w:tr>
      <w:tr w:rsidR="00D504A5" w:rsidRPr="00937D97" w14:paraId="4A3540E8" w14:textId="77777777" w:rsidTr="00D504A5">
        <w:trPr>
          <w:trHeight w:val="1215"/>
        </w:trPr>
        <w:tc>
          <w:tcPr>
            <w:tcW w:w="988" w:type="dxa"/>
            <w:shd w:val="clear" w:color="auto" w:fill="auto"/>
            <w:vAlign w:val="bottom"/>
            <w:hideMark/>
          </w:tcPr>
          <w:p w14:paraId="008E21F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04A65EB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159</w:t>
            </w:r>
          </w:p>
        </w:tc>
        <w:tc>
          <w:tcPr>
            <w:tcW w:w="5395" w:type="dxa"/>
            <w:shd w:val="clear" w:color="auto" w:fill="auto"/>
            <w:vAlign w:val="bottom"/>
            <w:hideMark/>
          </w:tcPr>
          <w:p w14:paraId="7D8CB03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заплахите за горите</w:t>
            </w:r>
          </w:p>
        </w:tc>
        <w:tc>
          <w:tcPr>
            <w:tcW w:w="4111" w:type="dxa"/>
            <w:shd w:val="clear" w:color="auto" w:fill="auto"/>
            <w:vAlign w:val="bottom"/>
            <w:hideMark/>
          </w:tcPr>
          <w:p w14:paraId="1950A2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 Критичен фактор, ограничаващ конкурентоспособността на горския сектор е липсата на работна ръка;</w:t>
            </w:r>
            <w:r w:rsidRPr="00937D97">
              <w:rPr>
                <w:rFonts w:eastAsia="Times New Roman" w:cstheme="minorHAnsi"/>
                <w:color w:val="000000"/>
                <w:sz w:val="18"/>
                <w:szCs w:val="18"/>
                <w:lang w:val="bg-BG"/>
              </w:rPr>
              <w:br/>
              <w:t>2.Спрямо останалите икономически подсектори (като земеделие и селски туризъм), използващи природни ресурси, горският сектор предлага най-ниска доходност;" - са слабости</w:t>
            </w:r>
          </w:p>
        </w:tc>
        <w:tc>
          <w:tcPr>
            <w:tcW w:w="2976" w:type="dxa"/>
            <w:shd w:val="clear" w:color="auto" w:fill="auto"/>
            <w:vAlign w:val="bottom"/>
            <w:hideMark/>
          </w:tcPr>
          <w:p w14:paraId="456EE43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0796DE7" w14:textId="77777777" w:rsidTr="00D504A5">
        <w:trPr>
          <w:trHeight w:val="1215"/>
        </w:trPr>
        <w:tc>
          <w:tcPr>
            <w:tcW w:w="988" w:type="dxa"/>
            <w:shd w:val="clear" w:color="auto" w:fill="auto"/>
            <w:vAlign w:val="bottom"/>
            <w:hideMark/>
          </w:tcPr>
          <w:p w14:paraId="7807EFF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C96483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160</w:t>
            </w:r>
          </w:p>
        </w:tc>
        <w:tc>
          <w:tcPr>
            <w:tcW w:w="5395" w:type="dxa"/>
            <w:shd w:val="clear" w:color="auto" w:fill="auto"/>
            <w:vAlign w:val="bottom"/>
            <w:hideMark/>
          </w:tcPr>
          <w:p w14:paraId="6C5C5A7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2.1.SO4.3 Identification of the relevant (elements of) national plans emanating from the legislative instruments referred to in Annex XI of the CAP plan Regulation that have been taken intoaccount in the CAP plans‘ needs assessment for this specific objective</w:t>
            </w:r>
          </w:p>
        </w:tc>
        <w:tc>
          <w:tcPr>
            <w:tcW w:w="4111" w:type="dxa"/>
            <w:shd w:val="clear" w:color="auto" w:fill="auto"/>
            <w:vAlign w:val="bottom"/>
            <w:hideMark/>
          </w:tcPr>
          <w:p w14:paraId="2E0758D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Тази точка за пръв път се проявява в цел 4, като в цели от 1 до 3 включително я няма. </w:t>
            </w:r>
          </w:p>
        </w:tc>
        <w:tc>
          <w:tcPr>
            <w:tcW w:w="2976" w:type="dxa"/>
            <w:shd w:val="clear" w:color="auto" w:fill="auto"/>
            <w:vAlign w:val="bottom"/>
            <w:hideMark/>
          </w:tcPr>
          <w:p w14:paraId="6AE78F8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48C73F8" w14:textId="77777777" w:rsidTr="00D504A5">
        <w:trPr>
          <w:trHeight w:val="735"/>
        </w:trPr>
        <w:tc>
          <w:tcPr>
            <w:tcW w:w="988" w:type="dxa"/>
            <w:shd w:val="clear" w:color="auto" w:fill="auto"/>
            <w:vAlign w:val="bottom"/>
            <w:hideMark/>
          </w:tcPr>
          <w:p w14:paraId="5D7A248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5C66225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160</w:t>
            </w:r>
          </w:p>
        </w:tc>
        <w:tc>
          <w:tcPr>
            <w:tcW w:w="5395" w:type="dxa"/>
            <w:shd w:val="clear" w:color="auto" w:fill="auto"/>
            <w:vAlign w:val="bottom"/>
            <w:hideMark/>
          </w:tcPr>
          <w:p w14:paraId="553FD4E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Национална стратегия за борба с използването на отрови и отровни примамки 2020 – 2029 г</w:t>
            </w:r>
          </w:p>
        </w:tc>
        <w:tc>
          <w:tcPr>
            <w:tcW w:w="4111" w:type="dxa"/>
            <w:shd w:val="clear" w:color="auto" w:fill="auto"/>
            <w:vAlign w:val="bottom"/>
            <w:hideMark/>
          </w:tcPr>
          <w:p w14:paraId="0CD82480" w14:textId="7EF03691"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проследя дали действително този документ е отразен в плана, както и другите изброени планове и стратегии, </w:t>
            </w:r>
            <w:r w:rsidR="0098677B" w:rsidRPr="00937D97">
              <w:rPr>
                <w:rFonts w:eastAsia="Times New Roman" w:cstheme="minorHAnsi"/>
                <w:color w:val="000000"/>
                <w:sz w:val="18"/>
                <w:szCs w:val="18"/>
                <w:lang w:val="bg-BG"/>
              </w:rPr>
              <w:t>конкретно</w:t>
            </w:r>
            <w:r w:rsidRPr="00937D97">
              <w:rPr>
                <w:rFonts w:eastAsia="Times New Roman" w:cstheme="minorHAnsi"/>
                <w:color w:val="000000"/>
                <w:sz w:val="18"/>
                <w:szCs w:val="18"/>
                <w:lang w:val="bg-BG"/>
              </w:rPr>
              <w:t xml:space="preserve"> ПУ за защитени територии и зони, Стратегията за влажните зони, ПУРБ ПУРН</w:t>
            </w:r>
          </w:p>
        </w:tc>
        <w:tc>
          <w:tcPr>
            <w:tcW w:w="2976" w:type="dxa"/>
            <w:shd w:val="clear" w:color="auto" w:fill="auto"/>
            <w:vAlign w:val="bottom"/>
            <w:hideMark/>
          </w:tcPr>
          <w:p w14:paraId="5AFCEFE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2B31B107" w14:textId="77777777" w:rsidTr="00D504A5">
        <w:trPr>
          <w:trHeight w:val="1455"/>
        </w:trPr>
        <w:tc>
          <w:tcPr>
            <w:tcW w:w="988" w:type="dxa"/>
            <w:shd w:val="clear" w:color="auto" w:fill="auto"/>
            <w:vAlign w:val="bottom"/>
            <w:hideMark/>
          </w:tcPr>
          <w:p w14:paraId="0B49BF0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432C90E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160-161</w:t>
            </w:r>
          </w:p>
        </w:tc>
        <w:tc>
          <w:tcPr>
            <w:tcW w:w="5395" w:type="dxa"/>
            <w:shd w:val="clear" w:color="auto" w:fill="auto"/>
            <w:vAlign w:val="bottom"/>
            <w:hideMark/>
          </w:tcPr>
          <w:p w14:paraId="1FC01A0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стратегически документи взети в предвид</w:t>
            </w:r>
          </w:p>
        </w:tc>
        <w:tc>
          <w:tcPr>
            <w:tcW w:w="4111" w:type="dxa"/>
            <w:shd w:val="clear" w:color="auto" w:fill="auto"/>
            <w:vAlign w:val="bottom"/>
            <w:hideMark/>
          </w:tcPr>
          <w:p w14:paraId="27B3612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са посочени националните и международните планове за действие за опазване на видове, които обитават земеделски земи и гори, както и влажни зони, които са засегнати от земеделските дейности</w:t>
            </w:r>
          </w:p>
        </w:tc>
        <w:tc>
          <w:tcPr>
            <w:tcW w:w="2976" w:type="dxa"/>
            <w:shd w:val="clear" w:color="auto" w:fill="auto"/>
            <w:vAlign w:val="bottom"/>
            <w:hideMark/>
          </w:tcPr>
          <w:p w14:paraId="27A2CA25" w14:textId="288A139F" w:rsidR="00937D97" w:rsidRPr="00937D97" w:rsidRDefault="000B2BC7" w:rsidP="00937D97">
            <w:pPr>
              <w:spacing w:after="0" w:line="240" w:lineRule="auto"/>
              <w:rPr>
                <w:rFonts w:eastAsia="Times New Roman" w:cstheme="minorHAnsi"/>
                <w:color w:val="000000"/>
                <w:sz w:val="18"/>
                <w:szCs w:val="18"/>
                <w:u w:val="single"/>
                <w:lang w:val="bg-BG"/>
              </w:rPr>
            </w:pPr>
            <w:hyperlink r:id="rId5" w:history="1">
              <w:r w:rsidR="0098677B" w:rsidRPr="00937D97">
                <w:rPr>
                  <w:rStyle w:val="Hyperlink"/>
                  <w:rFonts w:eastAsia="Times New Roman" w:cstheme="minorHAnsi"/>
                  <w:sz w:val="18"/>
                  <w:szCs w:val="18"/>
                  <w:lang w:val="bg-BG"/>
                </w:rPr>
                <w:t>да се добавят и да се вземат в предвид - списъкът на одобрени такива планове е публичен на интернет страницата на МОСВ -  https://www.moew.government.bg/bg/priroda/biologichno-raznoobrazie/zastiteni-vidove/planove-za-dejstvie/</w:t>
              </w:r>
              <w:r w:rsidR="0098677B" w:rsidRPr="002F7875">
                <w:rPr>
                  <w:rStyle w:val="Hyperlink"/>
                  <w:rFonts w:eastAsia="Times New Roman" w:cstheme="minorHAnsi"/>
                  <w:sz w:val="18"/>
                  <w:szCs w:val="18"/>
                  <w:lang w:val="bg-BG"/>
                </w:rPr>
                <w:t xml:space="preserve"> </w:t>
              </w:r>
              <w:r w:rsidR="0098677B" w:rsidRPr="00937D97">
                <w:rPr>
                  <w:rStyle w:val="Hyperlink"/>
                  <w:rFonts w:eastAsia="Times New Roman" w:cstheme="minorHAnsi"/>
                  <w:sz w:val="18"/>
                  <w:szCs w:val="18"/>
                  <w:lang w:val="bg-BG"/>
                </w:rPr>
                <w:t xml:space="preserve"> </w:t>
              </w:r>
            </w:hyperlink>
            <w:r w:rsidR="0098677B">
              <w:rPr>
                <w:rFonts w:eastAsia="Times New Roman" w:cstheme="minorHAnsi"/>
                <w:color w:val="000000"/>
                <w:sz w:val="18"/>
                <w:szCs w:val="18"/>
                <w:u w:val="single"/>
                <w:lang w:val="bg-BG"/>
              </w:rPr>
              <w:t xml:space="preserve"> </w:t>
            </w:r>
          </w:p>
        </w:tc>
      </w:tr>
      <w:tr w:rsidR="00D504A5" w:rsidRPr="00937D97" w14:paraId="58552026" w14:textId="77777777" w:rsidTr="00D504A5">
        <w:trPr>
          <w:trHeight w:val="495"/>
        </w:trPr>
        <w:tc>
          <w:tcPr>
            <w:tcW w:w="988" w:type="dxa"/>
            <w:shd w:val="clear" w:color="auto" w:fill="auto"/>
            <w:vAlign w:val="bottom"/>
            <w:hideMark/>
          </w:tcPr>
          <w:p w14:paraId="2C612D3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5EA553C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160-161</w:t>
            </w:r>
          </w:p>
        </w:tc>
        <w:tc>
          <w:tcPr>
            <w:tcW w:w="5395" w:type="dxa"/>
            <w:shd w:val="clear" w:color="auto" w:fill="auto"/>
            <w:vAlign w:val="bottom"/>
            <w:hideMark/>
          </w:tcPr>
          <w:p w14:paraId="078C1BE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Списък на законодателните документи в областта на околната среда и климата</w:t>
            </w:r>
          </w:p>
        </w:tc>
        <w:tc>
          <w:tcPr>
            <w:tcW w:w="4111" w:type="dxa"/>
            <w:shd w:val="clear" w:color="auto" w:fill="auto"/>
            <w:vAlign w:val="bottom"/>
            <w:hideMark/>
          </w:tcPr>
          <w:p w14:paraId="2516B37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Изброените документи са стратегически, а не законодателни; освен това са изброени два пъти</w:t>
            </w:r>
          </w:p>
        </w:tc>
        <w:tc>
          <w:tcPr>
            <w:tcW w:w="2976" w:type="dxa"/>
            <w:shd w:val="clear" w:color="auto" w:fill="auto"/>
            <w:vAlign w:val="bottom"/>
            <w:hideMark/>
          </w:tcPr>
          <w:p w14:paraId="72EF106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36D82E7" w14:textId="77777777" w:rsidTr="00D504A5">
        <w:trPr>
          <w:trHeight w:val="735"/>
        </w:trPr>
        <w:tc>
          <w:tcPr>
            <w:tcW w:w="988" w:type="dxa"/>
            <w:shd w:val="clear" w:color="auto" w:fill="auto"/>
            <w:vAlign w:val="bottom"/>
            <w:hideMark/>
          </w:tcPr>
          <w:p w14:paraId="54BF3ED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12AB867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162</w:t>
            </w:r>
          </w:p>
        </w:tc>
        <w:tc>
          <w:tcPr>
            <w:tcW w:w="5395" w:type="dxa"/>
            <w:shd w:val="clear" w:color="auto" w:fill="auto"/>
            <w:vAlign w:val="bottom"/>
            <w:hideMark/>
          </w:tcPr>
          <w:p w14:paraId="595131B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ЗАКОН за опазване на околната среда (</w:t>
            </w:r>
          </w:p>
        </w:tc>
        <w:tc>
          <w:tcPr>
            <w:tcW w:w="4111" w:type="dxa"/>
            <w:shd w:val="clear" w:color="auto" w:fill="auto"/>
            <w:vAlign w:val="bottom"/>
            <w:hideMark/>
          </w:tcPr>
          <w:p w14:paraId="1AEDB1DF" w14:textId="271EFFC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 текст описващ че ЗЖЖС включва превантивната защита - ОВОС и ЕО, които процедури играят съществена роля при прилагане на голяма част от </w:t>
            </w:r>
            <w:r w:rsidR="0098677B" w:rsidRPr="00937D97">
              <w:rPr>
                <w:rFonts w:eastAsia="Times New Roman" w:cstheme="minorHAnsi"/>
                <w:color w:val="000000"/>
                <w:sz w:val="18"/>
                <w:szCs w:val="18"/>
                <w:lang w:val="bg-BG"/>
              </w:rPr>
              <w:t>интервенциите</w:t>
            </w:r>
          </w:p>
        </w:tc>
        <w:tc>
          <w:tcPr>
            <w:tcW w:w="2976" w:type="dxa"/>
            <w:shd w:val="clear" w:color="auto" w:fill="auto"/>
            <w:vAlign w:val="bottom"/>
            <w:hideMark/>
          </w:tcPr>
          <w:p w14:paraId="2BCD70C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допълни</w:t>
            </w:r>
          </w:p>
        </w:tc>
      </w:tr>
      <w:tr w:rsidR="00D504A5" w:rsidRPr="00937D97" w14:paraId="102591C3" w14:textId="77777777" w:rsidTr="00D504A5">
        <w:trPr>
          <w:trHeight w:val="1455"/>
        </w:trPr>
        <w:tc>
          <w:tcPr>
            <w:tcW w:w="988" w:type="dxa"/>
            <w:shd w:val="clear" w:color="auto" w:fill="auto"/>
            <w:vAlign w:val="bottom"/>
            <w:hideMark/>
          </w:tcPr>
          <w:p w14:paraId="1B43994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460415F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161-169</w:t>
            </w:r>
          </w:p>
        </w:tc>
        <w:tc>
          <w:tcPr>
            <w:tcW w:w="5395" w:type="dxa"/>
            <w:shd w:val="clear" w:color="auto" w:fill="auto"/>
            <w:vAlign w:val="bottom"/>
            <w:hideMark/>
          </w:tcPr>
          <w:p w14:paraId="25CAD21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анализ на законодателството</w:t>
            </w:r>
          </w:p>
        </w:tc>
        <w:tc>
          <w:tcPr>
            <w:tcW w:w="4111" w:type="dxa"/>
            <w:shd w:val="clear" w:color="auto" w:fill="auto"/>
            <w:vAlign w:val="bottom"/>
            <w:hideMark/>
          </w:tcPr>
          <w:p w14:paraId="70EA626B" w14:textId="1EAAA5D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Текстът  има друг формат и не се чете напълно Също така липсва описание на Бернската и Рамсарската конвенция - по първата имаме задължения да опазваме местообитания на </w:t>
            </w:r>
            <w:r w:rsidR="0098677B" w:rsidRPr="00937D97">
              <w:rPr>
                <w:rFonts w:eastAsia="Times New Roman" w:cstheme="minorHAnsi"/>
                <w:color w:val="000000"/>
                <w:sz w:val="18"/>
                <w:szCs w:val="18"/>
                <w:lang w:val="bg-BG"/>
              </w:rPr>
              <w:t>застрашените</w:t>
            </w:r>
            <w:r w:rsidRPr="00937D97">
              <w:rPr>
                <w:rFonts w:eastAsia="Times New Roman" w:cstheme="minorHAnsi"/>
                <w:color w:val="000000"/>
                <w:sz w:val="18"/>
                <w:szCs w:val="18"/>
                <w:lang w:val="bg-BG"/>
              </w:rPr>
              <w:t xml:space="preserve"> видове, а по втората - влажни зони и тяхното биоразнообразие; Липсва изцяло представянето на Зелената сделка, като ключов </w:t>
            </w:r>
            <w:r w:rsidR="0098677B" w:rsidRPr="00937D97">
              <w:rPr>
                <w:rFonts w:eastAsia="Times New Roman" w:cstheme="minorHAnsi"/>
                <w:color w:val="000000"/>
                <w:sz w:val="18"/>
                <w:szCs w:val="18"/>
                <w:lang w:val="bg-BG"/>
              </w:rPr>
              <w:t>стратегически документ</w:t>
            </w:r>
            <w:r w:rsidRPr="00937D97">
              <w:rPr>
                <w:rFonts w:eastAsia="Times New Roman" w:cstheme="minorHAnsi"/>
                <w:color w:val="000000"/>
                <w:sz w:val="18"/>
                <w:szCs w:val="18"/>
                <w:lang w:val="bg-BG"/>
              </w:rPr>
              <w:t>, и важните цели, за постигането на които настоящият план ТРЯБВА да допринесе</w:t>
            </w:r>
          </w:p>
        </w:tc>
        <w:tc>
          <w:tcPr>
            <w:tcW w:w="2976" w:type="dxa"/>
            <w:shd w:val="clear" w:color="auto" w:fill="auto"/>
            <w:vAlign w:val="bottom"/>
            <w:hideMark/>
          </w:tcPr>
          <w:p w14:paraId="6ACE873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15BBB87" w14:textId="77777777" w:rsidTr="00D504A5">
        <w:trPr>
          <w:trHeight w:val="975"/>
        </w:trPr>
        <w:tc>
          <w:tcPr>
            <w:tcW w:w="988" w:type="dxa"/>
            <w:shd w:val="clear" w:color="auto" w:fill="auto"/>
            <w:vAlign w:val="bottom"/>
            <w:hideMark/>
          </w:tcPr>
          <w:p w14:paraId="0C559E6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7A5DDB0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165</w:t>
            </w:r>
          </w:p>
        </w:tc>
        <w:tc>
          <w:tcPr>
            <w:tcW w:w="5395" w:type="dxa"/>
            <w:shd w:val="clear" w:color="auto" w:fill="auto"/>
            <w:vAlign w:val="bottom"/>
            <w:hideMark/>
          </w:tcPr>
          <w:p w14:paraId="7DA8CFF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Европейска стратегия за биологично разнообразие до 2020 г.</w:t>
            </w:r>
          </w:p>
        </w:tc>
        <w:tc>
          <w:tcPr>
            <w:tcW w:w="4111" w:type="dxa"/>
            <w:shd w:val="clear" w:color="auto" w:fill="auto"/>
            <w:vAlign w:val="bottom"/>
            <w:hideMark/>
          </w:tcPr>
          <w:p w14:paraId="503F45EB" w14:textId="2C402F21"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е цитирана  стратегията до 2020 г., а би следвало да е цитирана стратегията до 2030; също така трябва да се посочат и целите, които имат някаква връзка със земеделието - цели с които Плана трябва да се </w:t>
            </w:r>
            <w:r w:rsidR="0098677B" w:rsidRPr="00937D97">
              <w:rPr>
                <w:rFonts w:eastAsia="Times New Roman" w:cstheme="minorHAnsi"/>
                <w:color w:val="000000"/>
                <w:sz w:val="18"/>
                <w:szCs w:val="18"/>
                <w:lang w:val="bg-BG"/>
              </w:rPr>
              <w:t>съобрази</w:t>
            </w:r>
            <w:r w:rsidRPr="00937D97">
              <w:rPr>
                <w:rFonts w:eastAsia="Times New Roman" w:cstheme="minorHAnsi"/>
                <w:color w:val="000000"/>
                <w:sz w:val="18"/>
                <w:szCs w:val="18"/>
                <w:lang w:val="bg-BG"/>
              </w:rPr>
              <w:t xml:space="preserve"> и да допринесе</w:t>
            </w:r>
          </w:p>
        </w:tc>
        <w:tc>
          <w:tcPr>
            <w:tcW w:w="2976" w:type="dxa"/>
            <w:shd w:val="clear" w:color="auto" w:fill="auto"/>
            <w:vAlign w:val="bottom"/>
            <w:hideMark/>
          </w:tcPr>
          <w:p w14:paraId="266A26B5" w14:textId="42E3AA7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би следвало да е цитирана стратегията до 2030; също така трябва да се посочат и целите, които имат някаква връзка със земеделието - цели с които Плана трябва да се </w:t>
            </w:r>
            <w:r w:rsidR="0098677B" w:rsidRPr="00937D97">
              <w:rPr>
                <w:rFonts w:eastAsia="Times New Roman" w:cstheme="minorHAnsi"/>
                <w:color w:val="000000"/>
                <w:sz w:val="18"/>
                <w:szCs w:val="18"/>
                <w:lang w:val="bg-BG"/>
              </w:rPr>
              <w:t>съобрази</w:t>
            </w:r>
            <w:r w:rsidRPr="00937D97">
              <w:rPr>
                <w:rFonts w:eastAsia="Times New Roman" w:cstheme="minorHAnsi"/>
                <w:color w:val="000000"/>
                <w:sz w:val="18"/>
                <w:szCs w:val="18"/>
                <w:lang w:val="bg-BG"/>
              </w:rPr>
              <w:t xml:space="preserve"> и да допринесе</w:t>
            </w:r>
          </w:p>
        </w:tc>
      </w:tr>
      <w:tr w:rsidR="00D504A5" w:rsidRPr="00937D97" w14:paraId="676DA268" w14:textId="77777777" w:rsidTr="00D504A5">
        <w:trPr>
          <w:trHeight w:val="2415"/>
        </w:trPr>
        <w:tc>
          <w:tcPr>
            <w:tcW w:w="988" w:type="dxa"/>
            <w:shd w:val="clear" w:color="auto" w:fill="auto"/>
            <w:vAlign w:val="bottom"/>
            <w:hideMark/>
          </w:tcPr>
          <w:p w14:paraId="473618B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03070E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166</w:t>
            </w:r>
          </w:p>
        </w:tc>
        <w:tc>
          <w:tcPr>
            <w:tcW w:w="5395" w:type="dxa"/>
            <w:shd w:val="clear" w:color="auto" w:fill="auto"/>
            <w:vAlign w:val="bottom"/>
            <w:hideMark/>
          </w:tcPr>
          <w:p w14:paraId="4D68F76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Закон за биологичното разнобразие в България</w:t>
            </w:r>
          </w:p>
        </w:tc>
        <w:tc>
          <w:tcPr>
            <w:tcW w:w="4111" w:type="dxa"/>
            <w:shd w:val="clear" w:color="auto" w:fill="auto"/>
            <w:vAlign w:val="bottom"/>
            <w:hideMark/>
          </w:tcPr>
          <w:p w14:paraId="4EE7544A" w14:textId="54831A8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 представянето на няколко стратегически документа, особено важни за постигане на целите на закона и имащи отношение към земеделската политика - Стратегията за борба с отровите, Националните планове за действие за видове, Стратегията за влажните зони, ПУ за управление на </w:t>
            </w:r>
            <w:r w:rsidR="0098677B" w:rsidRPr="00937D97">
              <w:rPr>
                <w:rFonts w:eastAsia="Times New Roman" w:cstheme="minorHAnsi"/>
                <w:color w:val="000000"/>
                <w:sz w:val="18"/>
                <w:szCs w:val="18"/>
                <w:lang w:val="bg-BG"/>
              </w:rPr>
              <w:t>защитени</w:t>
            </w:r>
            <w:r w:rsidRPr="00937D97">
              <w:rPr>
                <w:rFonts w:eastAsia="Times New Roman" w:cstheme="minorHAnsi"/>
                <w:color w:val="000000"/>
                <w:sz w:val="18"/>
                <w:szCs w:val="18"/>
                <w:lang w:val="bg-BG"/>
              </w:rPr>
              <w:t xml:space="preserve"> територии</w:t>
            </w:r>
          </w:p>
        </w:tc>
        <w:tc>
          <w:tcPr>
            <w:tcW w:w="2976" w:type="dxa"/>
            <w:shd w:val="clear" w:color="auto" w:fill="auto"/>
            <w:vAlign w:val="bottom"/>
            <w:hideMark/>
          </w:tcPr>
          <w:p w14:paraId="1B996969" w14:textId="5000538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По отношение ЗБР и съответните към него стратегически документи трябва да се подчертае, че той урежда НЕМ, която </w:t>
            </w:r>
            <w:r w:rsidR="0098677B" w:rsidRPr="00937D97">
              <w:rPr>
                <w:rFonts w:eastAsia="Times New Roman" w:cstheme="minorHAnsi"/>
                <w:color w:val="000000"/>
                <w:sz w:val="18"/>
                <w:szCs w:val="18"/>
                <w:lang w:val="bg-BG"/>
              </w:rPr>
              <w:t>включва</w:t>
            </w:r>
            <w:r w:rsidRPr="00937D97">
              <w:rPr>
                <w:rFonts w:eastAsia="Times New Roman" w:cstheme="minorHAnsi"/>
                <w:color w:val="000000"/>
                <w:sz w:val="18"/>
                <w:szCs w:val="18"/>
                <w:lang w:val="bg-BG"/>
              </w:rPr>
              <w:t xml:space="preserve"> Натура 2000 и защитените територии, че за тези територии има заповеди ПУ, които определят режими, а за ЗТ има режими и в самия ЗЗТ; да се представят целите на съответните стратегии (за отровите - връзка с ПРЗ; за </w:t>
            </w:r>
            <w:r w:rsidR="0098677B" w:rsidRPr="00937D97">
              <w:rPr>
                <w:rFonts w:eastAsia="Times New Roman" w:cstheme="minorHAnsi"/>
                <w:color w:val="000000"/>
                <w:sz w:val="18"/>
                <w:szCs w:val="18"/>
                <w:lang w:val="bg-BG"/>
              </w:rPr>
              <w:t>влажните</w:t>
            </w:r>
            <w:r w:rsidRPr="00937D97">
              <w:rPr>
                <w:rFonts w:eastAsia="Times New Roman" w:cstheme="minorHAnsi"/>
                <w:color w:val="000000"/>
                <w:sz w:val="18"/>
                <w:szCs w:val="18"/>
                <w:lang w:val="bg-BG"/>
              </w:rPr>
              <w:t xml:space="preserve"> зони), да се представи </w:t>
            </w:r>
            <w:r w:rsidR="0098677B" w:rsidRPr="00937D97">
              <w:rPr>
                <w:rFonts w:eastAsia="Times New Roman" w:cstheme="minorHAnsi"/>
                <w:color w:val="000000"/>
                <w:sz w:val="18"/>
                <w:szCs w:val="18"/>
                <w:lang w:val="bg-BG"/>
              </w:rPr>
              <w:t>обобщено</w:t>
            </w:r>
            <w:r w:rsidRPr="00937D97">
              <w:rPr>
                <w:rFonts w:eastAsia="Times New Roman" w:cstheme="minorHAnsi"/>
                <w:color w:val="000000"/>
                <w:sz w:val="18"/>
                <w:szCs w:val="18"/>
                <w:lang w:val="bg-BG"/>
              </w:rPr>
              <w:t xml:space="preserve"> логиката и целите на НПД и ПУ и да се посочи за кои видове и кои ЗТ има съответни документи</w:t>
            </w:r>
          </w:p>
        </w:tc>
      </w:tr>
      <w:tr w:rsidR="00D504A5" w:rsidRPr="00937D97" w14:paraId="672F90D1" w14:textId="77777777" w:rsidTr="00D504A5">
        <w:trPr>
          <w:trHeight w:val="2175"/>
        </w:trPr>
        <w:tc>
          <w:tcPr>
            <w:tcW w:w="988" w:type="dxa"/>
            <w:shd w:val="clear" w:color="auto" w:fill="auto"/>
            <w:vAlign w:val="bottom"/>
            <w:hideMark/>
          </w:tcPr>
          <w:p w14:paraId="73FC51A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4954001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166</w:t>
            </w:r>
          </w:p>
        </w:tc>
        <w:tc>
          <w:tcPr>
            <w:tcW w:w="5395" w:type="dxa"/>
            <w:shd w:val="clear" w:color="auto" w:fill="auto"/>
            <w:vAlign w:val="bottom"/>
            <w:hideMark/>
          </w:tcPr>
          <w:p w14:paraId="3694494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относно двете природозащитни директиви Директива 2009/147/ЕО и Директива 92/43/ЕИО</w:t>
            </w:r>
          </w:p>
        </w:tc>
        <w:tc>
          <w:tcPr>
            <w:tcW w:w="4111" w:type="dxa"/>
            <w:shd w:val="clear" w:color="auto" w:fill="auto"/>
            <w:vAlign w:val="bottom"/>
            <w:hideMark/>
          </w:tcPr>
          <w:p w14:paraId="71CBD0E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непълно представяне на двете природозащитни директиви</w:t>
            </w:r>
          </w:p>
        </w:tc>
        <w:tc>
          <w:tcPr>
            <w:tcW w:w="2976" w:type="dxa"/>
            <w:shd w:val="clear" w:color="auto" w:fill="auto"/>
            <w:vAlign w:val="bottom"/>
            <w:hideMark/>
          </w:tcPr>
          <w:p w14:paraId="33192866" w14:textId="670AC27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освен натура 2000 трябва да се посочат целите им за опазване на видове, особено а птиците, защото птиците са защитени на територията на цялата страна и за тях се изисква опазване на популациите им; </w:t>
            </w:r>
            <w:r w:rsidR="0098677B" w:rsidRPr="00937D97">
              <w:rPr>
                <w:rFonts w:eastAsia="Times New Roman" w:cstheme="minorHAnsi"/>
                <w:color w:val="000000"/>
                <w:sz w:val="18"/>
                <w:szCs w:val="18"/>
                <w:lang w:val="bg-BG"/>
              </w:rPr>
              <w:t>също</w:t>
            </w:r>
            <w:r w:rsidRPr="00937D97">
              <w:rPr>
                <w:rFonts w:eastAsia="Times New Roman" w:cstheme="minorHAnsi"/>
                <w:color w:val="000000"/>
                <w:sz w:val="18"/>
                <w:szCs w:val="18"/>
                <w:lang w:val="bg-BG"/>
              </w:rPr>
              <w:t xml:space="preserve"> така трябва да се поясни и Оценката за съвместимост като</w:t>
            </w:r>
            <w:r w:rsidR="0098677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задължителен </w:t>
            </w:r>
            <w:r w:rsidR="0098677B" w:rsidRPr="00937D97">
              <w:rPr>
                <w:rFonts w:eastAsia="Times New Roman" w:cstheme="minorHAnsi"/>
                <w:color w:val="000000"/>
                <w:sz w:val="18"/>
                <w:szCs w:val="18"/>
                <w:lang w:val="bg-BG"/>
              </w:rPr>
              <w:t>механизъм</w:t>
            </w:r>
            <w:r w:rsidRPr="00937D97">
              <w:rPr>
                <w:rFonts w:eastAsia="Times New Roman" w:cstheme="minorHAnsi"/>
                <w:color w:val="000000"/>
                <w:sz w:val="18"/>
                <w:szCs w:val="18"/>
                <w:lang w:val="bg-BG"/>
              </w:rPr>
              <w:t xml:space="preserve"> за превантивна защита, който играе важна роля за прилагането на всички интервенции в и около Натура 2000</w:t>
            </w:r>
          </w:p>
        </w:tc>
      </w:tr>
      <w:tr w:rsidR="00D504A5" w:rsidRPr="00937D97" w14:paraId="1CC6CBF4" w14:textId="77777777" w:rsidTr="00D504A5">
        <w:trPr>
          <w:trHeight w:val="975"/>
        </w:trPr>
        <w:tc>
          <w:tcPr>
            <w:tcW w:w="988" w:type="dxa"/>
            <w:shd w:val="clear" w:color="auto" w:fill="auto"/>
            <w:vAlign w:val="bottom"/>
            <w:hideMark/>
          </w:tcPr>
          <w:p w14:paraId="26D391D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2A0738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167</w:t>
            </w:r>
          </w:p>
        </w:tc>
        <w:tc>
          <w:tcPr>
            <w:tcW w:w="5395" w:type="dxa"/>
            <w:shd w:val="clear" w:color="auto" w:fill="auto"/>
            <w:vAlign w:val="bottom"/>
            <w:hideMark/>
          </w:tcPr>
          <w:p w14:paraId="507C323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ПРСР е сързана с прилагането на закона, чрез мерките 1, 10, 11, 12 и други ....</w:t>
            </w:r>
          </w:p>
        </w:tc>
        <w:tc>
          <w:tcPr>
            <w:tcW w:w="4111" w:type="dxa"/>
            <w:shd w:val="clear" w:color="auto" w:fill="auto"/>
            <w:vAlign w:val="bottom"/>
            <w:hideMark/>
          </w:tcPr>
          <w:p w14:paraId="47A0639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важен текст, който обаче е само тук</w:t>
            </w:r>
          </w:p>
        </w:tc>
        <w:tc>
          <w:tcPr>
            <w:tcW w:w="2976" w:type="dxa"/>
            <w:shd w:val="clear" w:color="auto" w:fill="auto"/>
            <w:vAlign w:val="bottom"/>
            <w:hideMark/>
          </w:tcPr>
          <w:p w14:paraId="6F1892DB" w14:textId="2321BE6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аналогично за всички разглеждани стратегически </w:t>
            </w:r>
            <w:r w:rsidR="0098677B" w:rsidRPr="00937D97">
              <w:rPr>
                <w:rFonts w:eastAsia="Times New Roman" w:cstheme="minorHAnsi"/>
                <w:color w:val="000000"/>
                <w:sz w:val="18"/>
                <w:szCs w:val="18"/>
                <w:lang w:val="bg-BG"/>
              </w:rPr>
              <w:t>документи</w:t>
            </w:r>
            <w:r w:rsidRPr="00937D97">
              <w:rPr>
                <w:rFonts w:eastAsia="Times New Roman" w:cstheme="minorHAnsi"/>
                <w:color w:val="000000"/>
                <w:sz w:val="18"/>
                <w:szCs w:val="18"/>
                <w:lang w:val="bg-BG"/>
              </w:rPr>
              <w:t xml:space="preserve"> е необходимо да се цитира връзката на плана (неговите конкретни интервенции) със съответния стратегически документ</w:t>
            </w:r>
          </w:p>
        </w:tc>
      </w:tr>
      <w:tr w:rsidR="00D504A5" w:rsidRPr="00937D97" w14:paraId="52A5DAA0" w14:textId="77777777" w:rsidTr="00D504A5">
        <w:trPr>
          <w:trHeight w:val="495"/>
        </w:trPr>
        <w:tc>
          <w:tcPr>
            <w:tcW w:w="988" w:type="dxa"/>
            <w:shd w:val="clear" w:color="auto" w:fill="auto"/>
            <w:vAlign w:val="bottom"/>
            <w:hideMark/>
          </w:tcPr>
          <w:p w14:paraId="118B14C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4F92C3A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167</w:t>
            </w:r>
          </w:p>
        </w:tc>
        <w:tc>
          <w:tcPr>
            <w:tcW w:w="5395" w:type="dxa"/>
            <w:shd w:val="clear" w:color="auto" w:fill="auto"/>
            <w:vAlign w:val="bottom"/>
            <w:hideMark/>
          </w:tcPr>
          <w:p w14:paraId="4C67AB0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НАРЕДБА за критериите за устойчивост на биогоривата и течните горива от биомаса</w:t>
            </w:r>
          </w:p>
        </w:tc>
        <w:tc>
          <w:tcPr>
            <w:tcW w:w="4111" w:type="dxa"/>
            <w:shd w:val="clear" w:color="auto" w:fill="auto"/>
            <w:vAlign w:val="bottom"/>
            <w:hideMark/>
          </w:tcPr>
          <w:p w14:paraId="4019774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не е на правилното място </w:t>
            </w:r>
          </w:p>
        </w:tc>
        <w:tc>
          <w:tcPr>
            <w:tcW w:w="2976" w:type="dxa"/>
            <w:shd w:val="clear" w:color="auto" w:fill="auto"/>
            <w:vAlign w:val="bottom"/>
            <w:hideMark/>
          </w:tcPr>
          <w:p w14:paraId="2C018DB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би трябвало да се разглежда в секцията за климата</w:t>
            </w:r>
          </w:p>
        </w:tc>
      </w:tr>
      <w:tr w:rsidR="00D504A5" w:rsidRPr="00937D97" w14:paraId="4A2E2251" w14:textId="77777777" w:rsidTr="00D504A5">
        <w:trPr>
          <w:trHeight w:val="1455"/>
        </w:trPr>
        <w:tc>
          <w:tcPr>
            <w:tcW w:w="988" w:type="dxa"/>
            <w:shd w:val="clear" w:color="auto" w:fill="auto"/>
            <w:vAlign w:val="bottom"/>
            <w:hideMark/>
          </w:tcPr>
          <w:p w14:paraId="3FC11AB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7E432A8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170-171</w:t>
            </w:r>
          </w:p>
        </w:tc>
        <w:tc>
          <w:tcPr>
            <w:tcW w:w="5395" w:type="dxa"/>
            <w:shd w:val="clear" w:color="auto" w:fill="auto"/>
            <w:vAlign w:val="bottom"/>
            <w:hideMark/>
          </w:tcPr>
          <w:p w14:paraId="71C319B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Пояснение на  "1. Намаляване на емисиите на парникови газове от селското стопанство."</w:t>
            </w:r>
          </w:p>
        </w:tc>
        <w:tc>
          <w:tcPr>
            <w:tcW w:w="4111" w:type="dxa"/>
            <w:shd w:val="clear" w:color="auto" w:fill="auto"/>
            <w:vAlign w:val="bottom"/>
            <w:hideMark/>
          </w:tcPr>
          <w:p w14:paraId="64BF5760" w14:textId="731EAA9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Има обяснение какви мерки принципно адресират тази потребност, но са посочени само две интервенции конкретно, докато в обясненията се засягат </w:t>
            </w:r>
            <w:r w:rsidR="0098677B" w:rsidRPr="00937D97">
              <w:rPr>
                <w:rFonts w:eastAsia="Times New Roman" w:cstheme="minorHAnsi"/>
                <w:color w:val="000000"/>
                <w:sz w:val="18"/>
                <w:szCs w:val="18"/>
                <w:lang w:val="bg-BG"/>
              </w:rPr>
              <w:t>индиректно</w:t>
            </w:r>
            <w:r w:rsidRPr="00937D97">
              <w:rPr>
                <w:rFonts w:eastAsia="Times New Roman" w:cstheme="minorHAnsi"/>
                <w:color w:val="000000"/>
                <w:sz w:val="18"/>
                <w:szCs w:val="18"/>
                <w:lang w:val="bg-BG"/>
              </w:rPr>
              <w:t xml:space="preserve"> повече; При това са посочени две интервенции (виж по-долу, които липсват в </w:t>
            </w:r>
            <w:r w:rsidR="0098677B" w:rsidRPr="00937D97">
              <w:rPr>
                <w:rFonts w:eastAsia="Times New Roman" w:cstheme="minorHAnsi"/>
                <w:color w:val="000000"/>
                <w:sz w:val="18"/>
                <w:szCs w:val="18"/>
                <w:lang w:val="bg-BG"/>
              </w:rPr>
              <w:t>списъка с</w:t>
            </w:r>
            <w:r w:rsidRPr="00937D97">
              <w:rPr>
                <w:rFonts w:eastAsia="Times New Roman" w:cstheme="minorHAnsi"/>
                <w:color w:val="000000"/>
                <w:sz w:val="18"/>
                <w:szCs w:val="18"/>
                <w:lang w:val="bg-BG"/>
              </w:rPr>
              <w:t xml:space="preserve"> интервенции за тази цел. Тъй като цяло в плана и към тази цел се посочват интервенции със сходно съдържание не е възможно да се прецени кои точно интервенции се имат предвид, че подпомагат тази потребност</w:t>
            </w:r>
          </w:p>
        </w:tc>
        <w:tc>
          <w:tcPr>
            <w:tcW w:w="2976" w:type="dxa"/>
            <w:shd w:val="clear" w:color="auto" w:fill="auto"/>
            <w:vAlign w:val="bottom"/>
            <w:hideMark/>
          </w:tcPr>
          <w:p w14:paraId="1B87F77C" w14:textId="107E3DE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посочи кои интервенции, свързани с поддържане на постоянно затревени площи, намаляване употребата на торове и ПРЗ и ползване на адаптирани към климата култури се предвижда да </w:t>
            </w:r>
            <w:r w:rsidR="0098677B" w:rsidRPr="00937D97">
              <w:rPr>
                <w:rFonts w:eastAsia="Times New Roman" w:cstheme="minorHAnsi"/>
                <w:color w:val="000000"/>
                <w:sz w:val="18"/>
                <w:szCs w:val="18"/>
                <w:lang w:val="bg-BG"/>
              </w:rPr>
              <w:t>адресират</w:t>
            </w:r>
            <w:r w:rsidRPr="00937D97">
              <w:rPr>
                <w:rFonts w:eastAsia="Times New Roman" w:cstheme="minorHAnsi"/>
                <w:color w:val="000000"/>
                <w:sz w:val="18"/>
                <w:szCs w:val="18"/>
                <w:lang w:val="bg-BG"/>
              </w:rPr>
              <w:t xml:space="preserve"> тази потребност</w:t>
            </w:r>
          </w:p>
        </w:tc>
      </w:tr>
      <w:tr w:rsidR="00D504A5" w:rsidRPr="00937D97" w14:paraId="5DF770CB" w14:textId="77777777" w:rsidTr="00D504A5">
        <w:trPr>
          <w:trHeight w:val="1455"/>
        </w:trPr>
        <w:tc>
          <w:tcPr>
            <w:tcW w:w="988" w:type="dxa"/>
            <w:shd w:val="clear" w:color="auto" w:fill="auto"/>
            <w:vAlign w:val="bottom"/>
            <w:hideMark/>
          </w:tcPr>
          <w:p w14:paraId="66E7683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6CAC08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171</w:t>
            </w:r>
          </w:p>
        </w:tc>
        <w:tc>
          <w:tcPr>
            <w:tcW w:w="5395" w:type="dxa"/>
            <w:shd w:val="clear" w:color="auto" w:fill="auto"/>
            <w:vAlign w:val="bottom"/>
            <w:hideMark/>
          </w:tcPr>
          <w:p w14:paraId="1B49DDC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"Предвидени са интервенции „Консултанстки услуги и повишаване на консултантския капацитет― и „Професионално обучение и придобиване на знания са имат принос към постигане на специфичната цел―, чрез насочване на знания, иновации и обучения по теми, свързани с намляване на емисиите от парникови газове."</w:t>
            </w:r>
          </w:p>
        </w:tc>
        <w:tc>
          <w:tcPr>
            <w:tcW w:w="4111" w:type="dxa"/>
            <w:shd w:val="clear" w:color="auto" w:fill="auto"/>
            <w:vAlign w:val="bottom"/>
            <w:hideMark/>
          </w:tcPr>
          <w:p w14:paraId="7BCD0A9A" w14:textId="2E281BF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 "</w:t>
            </w:r>
            <w:r w:rsidR="0098677B" w:rsidRPr="00937D97">
              <w:rPr>
                <w:rFonts w:eastAsia="Times New Roman" w:cstheme="minorHAnsi"/>
                <w:color w:val="000000"/>
                <w:sz w:val="18"/>
                <w:szCs w:val="18"/>
                <w:lang w:val="bg-BG"/>
              </w:rPr>
              <w:t>Консултантски</w:t>
            </w:r>
            <w:r w:rsidRPr="00937D97">
              <w:rPr>
                <w:rFonts w:eastAsia="Times New Roman" w:cstheme="minorHAnsi"/>
                <w:color w:val="000000"/>
                <w:sz w:val="18"/>
                <w:szCs w:val="18"/>
                <w:lang w:val="bg-BG"/>
              </w:rPr>
              <w:t xml:space="preserve"> услуги и повишаване на консултантския капацитет" и „Професионално обучение и придобиване на знания не са посочен в списъка от интервенции за постигане на  потребност 4.1 от цел 4 и въобще не са посочени за цел 4</w:t>
            </w:r>
          </w:p>
        </w:tc>
        <w:tc>
          <w:tcPr>
            <w:tcW w:w="2976" w:type="dxa"/>
            <w:shd w:val="clear" w:color="auto" w:fill="auto"/>
            <w:vAlign w:val="bottom"/>
            <w:hideMark/>
          </w:tcPr>
          <w:p w14:paraId="041CBFD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BBC55D0" w14:textId="77777777" w:rsidTr="00D504A5">
        <w:trPr>
          <w:trHeight w:val="1935"/>
        </w:trPr>
        <w:tc>
          <w:tcPr>
            <w:tcW w:w="988" w:type="dxa"/>
            <w:shd w:val="clear" w:color="auto" w:fill="auto"/>
            <w:vAlign w:val="bottom"/>
            <w:hideMark/>
          </w:tcPr>
          <w:p w14:paraId="78AEFA9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47DAD46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172</w:t>
            </w:r>
          </w:p>
        </w:tc>
        <w:tc>
          <w:tcPr>
            <w:tcW w:w="5395" w:type="dxa"/>
            <w:shd w:val="clear" w:color="auto" w:fill="auto"/>
            <w:vAlign w:val="bottom"/>
            <w:hideMark/>
          </w:tcPr>
          <w:p w14:paraId="3113151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 Увеличаване на органичния въглерод в почвата. - "Интервенция „Плащания за земеделски земи в зони от Натура 2000― – член 72."</w:t>
            </w:r>
          </w:p>
        </w:tc>
        <w:tc>
          <w:tcPr>
            <w:tcW w:w="4111" w:type="dxa"/>
            <w:shd w:val="clear" w:color="auto" w:fill="auto"/>
            <w:vAlign w:val="bottom"/>
            <w:hideMark/>
          </w:tcPr>
          <w:p w14:paraId="441BCFA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Интервенцията "Плащания за земеделски земи в зони от Натура 2000" е посочена в обясненията към адресиране на потребност 2. Увеличаване на органичния въглерод в почвата., но не е посочена в списъка с интервенции за цел 4; също така трябва да се има предвид, че мярката Натура включва единствено спазване на режими и не предвижда активни действия, така че приносът на тези плащания към тази потребност може да е само индиректен и това ясно трябва да се покаже.</w:t>
            </w:r>
          </w:p>
        </w:tc>
        <w:tc>
          <w:tcPr>
            <w:tcW w:w="2976" w:type="dxa"/>
            <w:shd w:val="clear" w:color="auto" w:fill="auto"/>
            <w:vAlign w:val="bottom"/>
            <w:hideMark/>
          </w:tcPr>
          <w:p w14:paraId="79F9B5B2" w14:textId="127963A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Ако тази интервенция е част от интервенциите адресиращи цел 4, то тя трябва да бъде включена в списъка и за нея да се предвиди индикатор за отчитане на резултата и ефекта; важно е да се разбере в </w:t>
            </w:r>
            <w:r w:rsidR="0098677B" w:rsidRPr="00937D97">
              <w:rPr>
                <w:rFonts w:eastAsia="Times New Roman" w:cstheme="minorHAnsi"/>
                <w:color w:val="000000"/>
                <w:sz w:val="18"/>
                <w:szCs w:val="18"/>
                <w:lang w:val="bg-BG"/>
              </w:rPr>
              <w:t>действителност</w:t>
            </w:r>
            <w:r w:rsidRPr="00937D97">
              <w:rPr>
                <w:rFonts w:eastAsia="Times New Roman" w:cstheme="minorHAnsi"/>
                <w:color w:val="000000"/>
                <w:sz w:val="18"/>
                <w:szCs w:val="18"/>
                <w:lang w:val="bg-BG"/>
              </w:rPr>
              <w:t xml:space="preserve"> до колко спазването на режимите в Натура 2000 и компенсирането за това допринася за постигането на тази </w:t>
            </w:r>
            <w:r w:rsidR="0098677B" w:rsidRPr="00937D97">
              <w:rPr>
                <w:rFonts w:eastAsia="Times New Roman" w:cstheme="minorHAnsi"/>
                <w:color w:val="000000"/>
                <w:sz w:val="18"/>
                <w:szCs w:val="18"/>
                <w:lang w:val="bg-BG"/>
              </w:rPr>
              <w:t>потребност</w:t>
            </w:r>
            <w:r w:rsidRPr="00937D97">
              <w:rPr>
                <w:rFonts w:eastAsia="Times New Roman" w:cstheme="minorHAnsi"/>
                <w:color w:val="000000"/>
                <w:sz w:val="18"/>
                <w:szCs w:val="18"/>
                <w:lang w:val="bg-BG"/>
              </w:rPr>
              <w:t xml:space="preserve"> - т.е. следва да има целенасочен мониторинг</w:t>
            </w:r>
          </w:p>
        </w:tc>
      </w:tr>
      <w:tr w:rsidR="00D504A5" w:rsidRPr="00937D97" w14:paraId="37B8CFC4" w14:textId="77777777" w:rsidTr="00D504A5">
        <w:trPr>
          <w:trHeight w:val="735"/>
        </w:trPr>
        <w:tc>
          <w:tcPr>
            <w:tcW w:w="988" w:type="dxa"/>
            <w:shd w:val="clear" w:color="auto" w:fill="auto"/>
            <w:vAlign w:val="bottom"/>
            <w:hideMark/>
          </w:tcPr>
          <w:p w14:paraId="0334F8F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2689F38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173</w:t>
            </w:r>
          </w:p>
        </w:tc>
        <w:tc>
          <w:tcPr>
            <w:tcW w:w="5395" w:type="dxa"/>
            <w:shd w:val="clear" w:color="auto" w:fill="auto"/>
            <w:vAlign w:val="bottom"/>
            <w:hideMark/>
          </w:tcPr>
          <w:p w14:paraId="154F66C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Чрез интервенцията за „Професионално обучение и придобиване на знания― се предвижда ....</w:t>
            </w:r>
          </w:p>
        </w:tc>
        <w:tc>
          <w:tcPr>
            <w:tcW w:w="4111" w:type="dxa"/>
            <w:shd w:val="clear" w:color="auto" w:fill="auto"/>
            <w:vAlign w:val="bottom"/>
            <w:hideMark/>
          </w:tcPr>
          <w:p w14:paraId="222745C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Професионално обучение и придобиване на знания не са посочена в списъка от интервенции за постигане на  потребност 4.2 от цел 4 и въобще не е посочена за цел 4</w:t>
            </w:r>
          </w:p>
        </w:tc>
        <w:tc>
          <w:tcPr>
            <w:tcW w:w="2976" w:type="dxa"/>
            <w:shd w:val="clear" w:color="auto" w:fill="auto"/>
            <w:vAlign w:val="bottom"/>
            <w:hideMark/>
          </w:tcPr>
          <w:p w14:paraId="57AD8AF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CEA3D72" w14:textId="77777777" w:rsidTr="00D504A5">
        <w:trPr>
          <w:trHeight w:val="1455"/>
        </w:trPr>
        <w:tc>
          <w:tcPr>
            <w:tcW w:w="988" w:type="dxa"/>
            <w:shd w:val="clear" w:color="auto" w:fill="auto"/>
            <w:vAlign w:val="bottom"/>
            <w:hideMark/>
          </w:tcPr>
          <w:p w14:paraId="4807683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99A681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173</w:t>
            </w:r>
          </w:p>
        </w:tc>
        <w:tc>
          <w:tcPr>
            <w:tcW w:w="5395" w:type="dxa"/>
            <w:shd w:val="clear" w:color="auto" w:fill="auto"/>
            <w:vAlign w:val="bottom"/>
            <w:hideMark/>
          </w:tcPr>
          <w:p w14:paraId="7397F57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ефективно постигане на тази потребност, ще бъдат прилагани дейности по придобиване на знания чрез консултации, обмен на знания по интервенции „Консултантски услуги и повишаване на консултантския капацитет― и „Професиоанлно обучение и придобиване на знания―.</w:t>
            </w:r>
          </w:p>
        </w:tc>
        <w:tc>
          <w:tcPr>
            <w:tcW w:w="4111" w:type="dxa"/>
            <w:shd w:val="clear" w:color="auto" w:fill="auto"/>
            <w:vAlign w:val="bottom"/>
            <w:hideMark/>
          </w:tcPr>
          <w:p w14:paraId="27B108DC" w14:textId="43514A1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 "</w:t>
            </w:r>
            <w:r w:rsidR="0098677B" w:rsidRPr="00937D97">
              <w:rPr>
                <w:rFonts w:eastAsia="Times New Roman" w:cstheme="minorHAnsi"/>
                <w:color w:val="000000"/>
                <w:sz w:val="18"/>
                <w:szCs w:val="18"/>
                <w:lang w:val="bg-BG"/>
              </w:rPr>
              <w:t>Консултантски</w:t>
            </w:r>
            <w:r w:rsidRPr="00937D97">
              <w:rPr>
                <w:rFonts w:eastAsia="Times New Roman" w:cstheme="minorHAnsi"/>
                <w:color w:val="000000"/>
                <w:sz w:val="18"/>
                <w:szCs w:val="18"/>
                <w:lang w:val="bg-BG"/>
              </w:rPr>
              <w:t xml:space="preserve"> услуги и повишаване на консултантския капацитет" и „Професионално обучение и придобиване на знания не са посочен в списъка от интервенции за постигане на  потребност 4.3 от цел 4 и въобще не са посочени за цел 4</w:t>
            </w:r>
          </w:p>
        </w:tc>
        <w:tc>
          <w:tcPr>
            <w:tcW w:w="2976" w:type="dxa"/>
            <w:shd w:val="clear" w:color="auto" w:fill="auto"/>
            <w:vAlign w:val="bottom"/>
            <w:hideMark/>
          </w:tcPr>
          <w:p w14:paraId="4DADBAF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4A27CD5" w14:textId="77777777" w:rsidTr="00D504A5">
        <w:trPr>
          <w:trHeight w:val="975"/>
        </w:trPr>
        <w:tc>
          <w:tcPr>
            <w:tcW w:w="988" w:type="dxa"/>
            <w:shd w:val="clear" w:color="auto" w:fill="auto"/>
            <w:vAlign w:val="bottom"/>
            <w:hideMark/>
          </w:tcPr>
          <w:p w14:paraId="6143FC3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3CD3E1C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176</w:t>
            </w:r>
          </w:p>
        </w:tc>
        <w:tc>
          <w:tcPr>
            <w:tcW w:w="5395" w:type="dxa"/>
            <w:shd w:val="clear" w:color="auto" w:fill="auto"/>
            <w:vAlign w:val="bottom"/>
            <w:hideMark/>
          </w:tcPr>
          <w:p w14:paraId="278A510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„Насърчаване използването на култури и сортове, устойчиви към климатичните условия</w:t>
            </w:r>
          </w:p>
        </w:tc>
        <w:tc>
          <w:tcPr>
            <w:tcW w:w="4111" w:type="dxa"/>
            <w:shd w:val="clear" w:color="auto" w:fill="auto"/>
            <w:vAlign w:val="bottom"/>
            <w:hideMark/>
          </w:tcPr>
          <w:p w14:paraId="00539EC4" w14:textId="7506674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тази интервенция е посочена като допринасяща за потребност 4.5, но отглеждането на  култури, устойчиви към климатичните условия не може да се отъждестви с "нискоинтензивни земеделски практики" - трябва да прегледам самата мярка и да преценя дали мястото и е </w:t>
            </w:r>
            <w:r w:rsidR="0098677B" w:rsidRPr="00937D97">
              <w:rPr>
                <w:rFonts w:eastAsia="Times New Roman" w:cstheme="minorHAnsi"/>
                <w:color w:val="000000"/>
                <w:sz w:val="18"/>
                <w:szCs w:val="18"/>
                <w:lang w:val="bg-BG"/>
              </w:rPr>
              <w:t>въобще</w:t>
            </w:r>
            <w:r w:rsidRPr="00937D97">
              <w:rPr>
                <w:rFonts w:eastAsia="Times New Roman" w:cstheme="minorHAnsi"/>
                <w:color w:val="000000"/>
                <w:sz w:val="18"/>
                <w:szCs w:val="18"/>
                <w:lang w:val="bg-BG"/>
              </w:rPr>
              <w:t xml:space="preserve"> в тази потребност</w:t>
            </w:r>
          </w:p>
        </w:tc>
        <w:tc>
          <w:tcPr>
            <w:tcW w:w="2976" w:type="dxa"/>
            <w:shd w:val="clear" w:color="auto" w:fill="auto"/>
            <w:vAlign w:val="bottom"/>
            <w:hideMark/>
          </w:tcPr>
          <w:p w14:paraId="22FE662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A599F2F" w14:textId="77777777" w:rsidTr="00D504A5">
        <w:trPr>
          <w:trHeight w:val="1455"/>
        </w:trPr>
        <w:tc>
          <w:tcPr>
            <w:tcW w:w="988" w:type="dxa"/>
            <w:shd w:val="clear" w:color="auto" w:fill="auto"/>
            <w:vAlign w:val="bottom"/>
            <w:hideMark/>
          </w:tcPr>
          <w:p w14:paraId="389BA6E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2102759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176 и  177</w:t>
            </w:r>
          </w:p>
        </w:tc>
        <w:tc>
          <w:tcPr>
            <w:tcW w:w="5395" w:type="dxa"/>
            <w:shd w:val="clear" w:color="auto" w:fill="auto"/>
            <w:vAlign w:val="bottom"/>
            <w:hideMark/>
          </w:tcPr>
          <w:p w14:paraId="76670F2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ефективно адресиране на тази потребност, ще бъдат прилагани дейности по придобиване на знания чрез консултации, обмен на знания и иновации по интервенции „Консултантски услуги и повишаване на консултантския капацитет― и „Професиоанлно обучение и придобиване на знания―.</w:t>
            </w:r>
          </w:p>
        </w:tc>
        <w:tc>
          <w:tcPr>
            <w:tcW w:w="4111" w:type="dxa"/>
            <w:shd w:val="clear" w:color="auto" w:fill="auto"/>
            <w:vAlign w:val="bottom"/>
            <w:hideMark/>
          </w:tcPr>
          <w:p w14:paraId="6ABC51EF" w14:textId="6375CA39"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 "</w:t>
            </w:r>
            <w:r w:rsidR="0098677B" w:rsidRPr="00937D97">
              <w:rPr>
                <w:rFonts w:eastAsia="Times New Roman" w:cstheme="minorHAnsi"/>
                <w:color w:val="000000"/>
                <w:sz w:val="18"/>
                <w:szCs w:val="18"/>
                <w:lang w:val="bg-BG"/>
              </w:rPr>
              <w:t>Консултантски</w:t>
            </w:r>
            <w:r w:rsidRPr="00937D97">
              <w:rPr>
                <w:rFonts w:eastAsia="Times New Roman" w:cstheme="minorHAnsi"/>
                <w:color w:val="000000"/>
                <w:sz w:val="18"/>
                <w:szCs w:val="18"/>
                <w:lang w:val="bg-BG"/>
              </w:rPr>
              <w:t xml:space="preserve"> услуги и повишаване на консултантския капацитет" и „Професионално обучение и придобиване на знания не са посочен в списъка от интервенции за постигане на  потребност 4.5 и 4.6 от цел 4 и въобще не са посочени за цел 4</w:t>
            </w:r>
          </w:p>
        </w:tc>
        <w:tc>
          <w:tcPr>
            <w:tcW w:w="2976" w:type="dxa"/>
            <w:shd w:val="clear" w:color="auto" w:fill="auto"/>
            <w:vAlign w:val="bottom"/>
            <w:hideMark/>
          </w:tcPr>
          <w:p w14:paraId="55A01BD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8839DEC" w14:textId="77777777" w:rsidTr="00D504A5">
        <w:trPr>
          <w:trHeight w:val="1695"/>
        </w:trPr>
        <w:tc>
          <w:tcPr>
            <w:tcW w:w="988" w:type="dxa"/>
            <w:shd w:val="clear" w:color="auto" w:fill="auto"/>
            <w:vAlign w:val="bottom"/>
            <w:hideMark/>
          </w:tcPr>
          <w:p w14:paraId="5B3CCD3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1EFF030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168 - 178</w:t>
            </w:r>
          </w:p>
        </w:tc>
        <w:tc>
          <w:tcPr>
            <w:tcW w:w="5395" w:type="dxa"/>
            <w:shd w:val="clear" w:color="auto" w:fill="auto"/>
            <w:vAlign w:val="bottom"/>
            <w:hideMark/>
          </w:tcPr>
          <w:p w14:paraId="3823C20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интервенции, адресиращи потребностите на цел 4</w:t>
            </w:r>
          </w:p>
        </w:tc>
        <w:tc>
          <w:tcPr>
            <w:tcW w:w="4111" w:type="dxa"/>
            <w:shd w:val="clear" w:color="auto" w:fill="auto"/>
            <w:vAlign w:val="bottom"/>
            <w:hideMark/>
          </w:tcPr>
          <w:p w14:paraId="4ED7D0B3" w14:textId="629ED78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Има значително разминаване между списъка с посочени интервенции, </w:t>
            </w:r>
            <w:r w:rsidR="0098677B" w:rsidRPr="00937D97">
              <w:rPr>
                <w:rFonts w:eastAsia="Times New Roman" w:cstheme="minorHAnsi"/>
                <w:color w:val="000000"/>
                <w:sz w:val="18"/>
                <w:szCs w:val="18"/>
                <w:lang w:val="bg-BG"/>
              </w:rPr>
              <w:t>адресиращи</w:t>
            </w:r>
            <w:r w:rsidRPr="00937D97">
              <w:rPr>
                <w:rFonts w:eastAsia="Times New Roman" w:cstheme="minorHAnsi"/>
                <w:color w:val="000000"/>
                <w:sz w:val="18"/>
                <w:szCs w:val="18"/>
                <w:lang w:val="bg-BG"/>
              </w:rPr>
              <w:t xml:space="preserve"> потребностите на цел 4. В списъка има 9 интервенции, които   не присъстват в поясненията за това как се адресират потребностите, но в същото време в тези пояснения са посочени поне 5 интервенции, които не са посочени в списъка; има и неподходящи за съответните потребности интервенции. Тези несъответствия объркват читателя е не дават ясна рамка за това как ще бъдат точно постигната цел 4 и как ще бъдат адресиране потребностите</w:t>
            </w:r>
          </w:p>
        </w:tc>
        <w:tc>
          <w:tcPr>
            <w:tcW w:w="2976" w:type="dxa"/>
            <w:shd w:val="clear" w:color="auto" w:fill="auto"/>
            <w:vAlign w:val="bottom"/>
            <w:hideMark/>
          </w:tcPr>
          <w:p w14:paraId="486E3F6A" w14:textId="66F9AE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цялата тази част трябва да се преработи като се </w:t>
            </w:r>
            <w:r w:rsidR="0098677B" w:rsidRPr="00937D97">
              <w:rPr>
                <w:rFonts w:eastAsia="Times New Roman" w:cstheme="minorHAnsi"/>
                <w:color w:val="000000"/>
                <w:sz w:val="18"/>
                <w:szCs w:val="18"/>
                <w:lang w:val="bg-BG"/>
              </w:rPr>
              <w:t>направи</w:t>
            </w:r>
            <w:r w:rsidRPr="00937D97">
              <w:rPr>
                <w:rFonts w:eastAsia="Times New Roman" w:cstheme="minorHAnsi"/>
                <w:color w:val="000000"/>
                <w:sz w:val="18"/>
                <w:szCs w:val="18"/>
                <w:lang w:val="bg-BG"/>
              </w:rPr>
              <w:t xml:space="preserve"> едн</w:t>
            </w:r>
            <w:r w:rsidR="0098677B">
              <w:rPr>
                <w:rFonts w:eastAsia="Times New Roman" w:cstheme="minorHAnsi"/>
                <w:color w:val="000000"/>
                <w:sz w:val="18"/>
                <w:szCs w:val="18"/>
                <w:lang w:val="bg-BG"/>
              </w:rPr>
              <w:t>о</w:t>
            </w:r>
            <w:r w:rsidRPr="00937D97">
              <w:rPr>
                <w:rFonts w:eastAsia="Times New Roman" w:cstheme="minorHAnsi"/>
                <w:color w:val="000000"/>
                <w:sz w:val="18"/>
                <w:szCs w:val="18"/>
                <w:lang w:val="bg-BG"/>
              </w:rPr>
              <w:t xml:space="preserve"> логическо и структуриране представяне на правилните интервенции за тази цел</w:t>
            </w:r>
          </w:p>
        </w:tc>
      </w:tr>
      <w:tr w:rsidR="00D504A5" w:rsidRPr="00937D97" w14:paraId="53808FE8" w14:textId="77777777" w:rsidTr="00D504A5">
        <w:trPr>
          <w:trHeight w:val="1455"/>
        </w:trPr>
        <w:tc>
          <w:tcPr>
            <w:tcW w:w="988" w:type="dxa"/>
            <w:shd w:val="clear" w:color="auto" w:fill="auto"/>
            <w:vAlign w:val="bottom"/>
            <w:hideMark/>
          </w:tcPr>
          <w:p w14:paraId="7C4E4D7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58EDECA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179</w:t>
            </w:r>
          </w:p>
        </w:tc>
        <w:tc>
          <w:tcPr>
            <w:tcW w:w="5395" w:type="dxa"/>
            <w:shd w:val="clear" w:color="auto" w:fill="auto"/>
            <w:vAlign w:val="bottom"/>
            <w:hideMark/>
          </w:tcPr>
          <w:p w14:paraId="3A9BF91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индикаторите за резултат по цел 4</w:t>
            </w:r>
          </w:p>
        </w:tc>
        <w:tc>
          <w:tcPr>
            <w:tcW w:w="4111" w:type="dxa"/>
            <w:shd w:val="clear" w:color="auto" w:fill="auto"/>
            <w:vAlign w:val="bottom"/>
            <w:hideMark/>
          </w:tcPr>
          <w:p w14:paraId="0CAFB2F6" w14:textId="5A830C9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за нито един от представените индикатори няма базова стойност! На повечето от интервенциите тук въобще няма индикатор за резултат! Целевите стойности са твърде </w:t>
            </w:r>
            <w:r w:rsidR="0098677B" w:rsidRPr="00937D97">
              <w:rPr>
                <w:rFonts w:eastAsia="Times New Roman" w:cstheme="minorHAnsi"/>
                <w:color w:val="000000"/>
                <w:sz w:val="18"/>
                <w:szCs w:val="18"/>
                <w:lang w:val="bg-BG"/>
              </w:rPr>
              <w:t>неамбициозни</w:t>
            </w:r>
            <w:r w:rsidRPr="00937D97">
              <w:rPr>
                <w:rFonts w:eastAsia="Times New Roman" w:cstheme="minorHAnsi"/>
                <w:color w:val="000000"/>
                <w:sz w:val="18"/>
                <w:szCs w:val="18"/>
                <w:lang w:val="bg-BG"/>
              </w:rPr>
              <w:t xml:space="preserve"> за значението което би следвало да има плана за </w:t>
            </w:r>
            <w:r w:rsidR="0098677B" w:rsidRPr="00937D97">
              <w:rPr>
                <w:rFonts w:eastAsia="Times New Roman" w:cstheme="minorHAnsi"/>
                <w:color w:val="000000"/>
                <w:sz w:val="18"/>
                <w:szCs w:val="18"/>
                <w:lang w:val="bg-BG"/>
              </w:rPr>
              <w:t>справяне с</w:t>
            </w:r>
            <w:r w:rsidRPr="00937D97">
              <w:rPr>
                <w:rFonts w:eastAsia="Times New Roman" w:cstheme="minorHAnsi"/>
                <w:color w:val="000000"/>
                <w:sz w:val="18"/>
                <w:szCs w:val="18"/>
                <w:lang w:val="bg-BG"/>
              </w:rPr>
              <w:t xml:space="preserve"> </w:t>
            </w:r>
            <w:r w:rsidR="0098677B" w:rsidRPr="00937D97">
              <w:rPr>
                <w:rFonts w:eastAsia="Times New Roman" w:cstheme="minorHAnsi"/>
                <w:color w:val="000000"/>
                <w:sz w:val="18"/>
                <w:szCs w:val="18"/>
                <w:lang w:val="bg-BG"/>
              </w:rPr>
              <w:t>климатичните</w:t>
            </w:r>
            <w:r w:rsidRPr="00937D97">
              <w:rPr>
                <w:rFonts w:eastAsia="Times New Roman" w:cstheme="minorHAnsi"/>
                <w:color w:val="000000"/>
                <w:sz w:val="18"/>
                <w:szCs w:val="18"/>
                <w:lang w:val="bg-BG"/>
              </w:rPr>
              <w:t xml:space="preserve"> промени, особено що се касае до броя  инвестиции свързани с климата в селските райони - за 5 години в зялата страна - само 20</w:t>
            </w:r>
          </w:p>
        </w:tc>
        <w:tc>
          <w:tcPr>
            <w:tcW w:w="2976" w:type="dxa"/>
            <w:shd w:val="clear" w:color="auto" w:fill="auto"/>
            <w:vAlign w:val="bottom"/>
            <w:hideMark/>
          </w:tcPr>
          <w:p w14:paraId="4B714568" w14:textId="599A55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Би следвало да се посочат базовите стойности, да се допълнят индикаторите за резултат съобразно предвидените интервенции, така че да съответстват на предвидените интервенции и да се преработят целевите стойности, за да отразят реалната нужда от справяне с </w:t>
            </w:r>
            <w:r w:rsidR="0098677B" w:rsidRPr="00937D97">
              <w:rPr>
                <w:rFonts w:eastAsia="Times New Roman" w:cstheme="minorHAnsi"/>
                <w:color w:val="000000"/>
                <w:sz w:val="18"/>
                <w:szCs w:val="18"/>
                <w:lang w:val="bg-BG"/>
              </w:rPr>
              <w:t>климатичните</w:t>
            </w:r>
            <w:r w:rsidRPr="00937D97">
              <w:rPr>
                <w:rFonts w:eastAsia="Times New Roman" w:cstheme="minorHAnsi"/>
                <w:color w:val="000000"/>
                <w:sz w:val="18"/>
                <w:szCs w:val="18"/>
                <w:lang w:val="bg-BG"/>
              </w:rPr>
              <w:t xml:space="preserve"> промени</w:t>
            </w:r>
          </w:p>
        </w:tc>
      </w:tr>
      <w:tr w:rsidR="00D504A5" w:rsidRPr="00937D97" w14:paraId="607001A7" w14:textId="77777777" w:rsidTr="00D504A5">
        <w:trPr>
          <w:trHeight w:val="495"/>
        </w:trPr>
        <w:tc>
          <w:tcPr>
            <w:tcW w:w="988" w:type="dxa"/>
            <w:shd w:val="clear" w:color="auto" w:fill="auto"/>
            <w:vAlign w:val="bottom"/>
            <w:hideMark/>
          </w:tcPr>
          <w:p w14:paraId="061D8B0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7408E01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179</w:t>
            </w:r>
          </w:p>
        </w:tc>
        <w:tc>
          <w:tcPr>
            <w:tcW w:w="5395" w:type="dxa"/>
            <w:shd w:val="clear" w:color="auto" w:fill="auto"/>
            <w:vAlign w:val="bottom"/>
            <w:hideMark/>
          </w:tcPr>
          <w:p w14:paraId="1388E8C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06571D3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5707C72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52FF6DCD" w14:textId="77777777" w:rsidTr="00D504A5">
        <w:trPr>
          <w:trHeight w:val="495"/>
        </w:trPr>
        <w:tc>
          <w:tcPr>
            <w:tcW w:w="988" w:type="dxa"/>
            <w:shd w:val="clear" w:color="auto" w:fill="auto"/>
            <w:vAlign w:val="bottom"/>
            <w:hideMark/>
          </w:tcPr>
          <w:p w14:paraId="43FC3F6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SWOT aнализ цел 4</w:t>
            </w:r>
          </w:p>
        </w:tc>
        <w:tc>
          <w:tcPr>
            <w:tcW w:w="700" w:type="dxa"/>
            <w:shd w:val="clear" w:color="auto" w:fill="auto"/>
            <w:noWrap/>
            <w:vAlign w:val="bottom"/>
            <w:hideMark/>
          </w:tcPr>
          <w:p w14:paraId="2328293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179-180</w:t>
            </w:r>
          </w:p>
        </w:tc>
        <w:tc>
          <w:tcPr>
            <w:tcW w:w="5395" w:type="dxa"/>
            <w:shd w:val="clear" w:color="auto" w:fill="auto"/>
            <w:vAlign w:val="bottom"/>
            <w:hideMark/>
          </w:tcPr>
          <w:p w14:paraId="56C1D43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Финансовото разпределение за интервенциите, програмирани по Цел 4,</w:t>
            </w:r>
          </w:p>
        </w:tc>
        <w:tc>
          <w:tcPr>
            <w:tcW w:w="4111" w:type="dxa"/>
            <w:shd w:val="clear" w:color="auto" w:fill="auto"/>
            <w:vAlign w:val="bottom"/>
            <w:hideMark/>
          </w:tcPr>
          <w:p w14:paraId="64F6DC0E" w14:textId="231CC98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от обосновката</w:t>
            </w:r>
            <w:r w:rsidR="0098677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се вижда, че средствата </w:t>
            </w:r>
            <w:r w:rsidR="0098677B" w:rsidRPr="00937D97">
              <w:rPr>
                <w:rFonts w:eastAsia="Times New Roman" w:cstheme="minorHAnsi"/>
                <w:color w:val="000000"/>
                <w:sz w:val="18"/>
                <w:szCs w:val="18"/>
                <w:lang w:val="bg-BG"/>
              </w:rPr>
              <w:t>съответстват</w:t>
            </w:r>
            <w:r w:rsidRPr="00937D97">
              <w:rPr>
                <w:rFonts w:eastAsia="Times New Roman" w:cstheme="minorHAnsi"/>
                <w:color w:val="000000"/>
                <w:sz w:val="18"/>
                <w:szCs w:val="18"/>
                <w:lang w:val="bg-BG"/>
              </w:rPr>
              <w:t xml:space="preserve"> на възможностите и амбициите, но </w:t>
            </w:r>
            <w:r w:rsidR="0098677B" w:rsidRPr="00937D97">
              <w:rPr>
                <w:rFonts w:eastAsia="Times New Roman" w:cstheme="minorHAnsi"/>
                <w:color w:val="000000"/>
                <w:sz w:val="18"/>
                <w:szCs w:val="18"/>
                <w:lang w:val="bg-BG"/>
              </w:rPr>
              <w:t>ам</w:t>
            </w:r>
            <w:r w:rsidR="0098677B">
              <w:rPr>
                <w:rFonts w:eastAsia="Times New Roman" w:cstheme="minorHAnsi"/>
                <w:color w:val="000000"/>
                <w:sz w:val="18"/>
                <w:szCs w:val="18"/>
                <w:lang w:val="bg-BG"/>
              </w:rPr>
              <w:t>б</w:t>
            </w:r>
            <w:r w:rsidR="0098677B" w:rsidRPr="00937D97">
              <w:rPr>
                <w:rFonts w:eastAsia="Times New Roman" w:cstheme="minorHAnsi"/>
                <w:color w:val="000000"/>
                <w:sz w:val="18"/>
                <w:szCs w:val="18"/>
                <w:lang w:val="bg-BG"/>
              </w:rPr>
              <w:t>ициите</w:t>
            </w:r>
            <w:r w:rsidRPr="00937D97">
              <w:rPr>
                <w:rFonts w:eastAsia="Times New Roman" w:cstheme="minorHAnsi"/>
                <w:color w:val="000000"/>
                <w:sz w:val="18"/>
                <w:szCs w:val="18"/>
                <w:lang w:val="bg-BG"/>
              </w:rPr>
              <w:t xml:space="preserve"> са твърде малки, както е посочено по-горе</w:t>
            </w:r>
          </w:p>
        </w:tc>
        <w:tc>
          <w:tcPr>
            <w:tcW w:w="2976" w:type="dxa"/>
            <w:shd w:val="clear" w:color="auto" w:fill="auto"/>
            <w:vAlign w:val="bottom"/>
            <w:hideMark/>
          </w:tcPr>
          <w:p w14:paraId="6D64E70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75541E5" w14:textId="77777777" w:rsidTr="00D504A5">
        <w:trPr>
          <w:trHeight w:val="1455"/>
        </w:trPr>
        <w:tc>
          <w:tcPr>
            <w:tcW w:w="988" w:type="dxa"/>
            <w:shd w:val="clear" w:color="auto" w:fill="auto"/>
            <w:vAlign w:val="bottom"/>
            <w:hideMark/>
          </w:tcPr>
          <w:p w14:paraId="2C243A4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39E758D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181</w:t>
            </w:r>
          </w:p>
        </w:tc>
        <w:tc>
          <w:tcPr>
            <w:tcW w:w="5395" w:type="dxa"/>
            <w:shd w:val="clear" w:color="auto" w:fill="auto"/>
            <w:vAlign w:val="bottom"/>
            <w:hideMark/>
          </w:tcPr>
          <w:p w14:paraId="7B473CB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3.Нивото на употреба на пестициди е под европейските равнища</w:t>
            </w:r>
          </w:p>
        </w:tc>
        <w:tc>
          <w:tcPr>
            <w:tcW w:w="4111" w:type="dxa"/>
            <w:shd w:val="clear" w:color="auto" w:fill="auto"/>
            <w:vAlign w:val="bottom"/>
            <w:hideMark/>
          </w:tcPr>
          <w:p w14:paraId="76F11CC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това не е силна страна, защото фактът че нивата на употреба на пестициди са под европейските равнища не означава че нивата са ниски и е силна страна, като нивата може да са също прекомерни високи. Силна страна би било липсата или силно ограничената употреба на пестициди, но не и сравнително по-ниската употреба в сравнение с Европа, защото се знае, че в Европа има много високи нива на употреба на пестициди!</w:t>
            </w:r>
          </w:p>
        </w:tc>
        <w:tc>
          <w:tcPr>
            <w:tcW w:w="2976" w:type="dxa"/>
            <w:shd w:val="clear" w:color="auto" w:fill="auto"/>
            <w:vAlign w:val="bottom"/>
            <w:hideMark/>
          </w:tcPr>
          <w:p w14:paraId="1AEB136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отпадне тази силна страна от списъка</w:t>
            </w:r>
          </w:p>
        </w:tc>
      </w:tr>
      <w:tr w:rsidR="00D504A5" w:rsidRPr="00937D97" w14:paraId="1BA1C5E3" w14:textId="77777777" w:rsidTr="00D504A5">
        <w:trPr>
          <w:trHeight w:val="1215"/>
        </w:trPr>
        <w:tc>
          <w:tcPr>
            <w:tcW w:w="988" w:type="dxa"/>
            <w:shd w:val="clear" w:color="auto" w:fill="auto"/>
            <w:vAlign w:val="bottom"/>
            <w:hideMark/>
          </w:tcPr>
          <w:p w14:paraId="2CCDCD5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6B93E16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181</w:t>
            </w:r>
          </w:p>
        </w:tc>
        <w:tc>
          <w:tcPr>
            <w:tcW w:w="5395" w:type="dxa"/>
            <w:shd w:val="clear" w:color="auto" w:fill="auto"/>
            <w:vAlign w:val="bottom"/>
            <w:hideMark/>
          </w:tcPr>
          <w:p w14:paraId="233AA22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4.Все още нисък азотен и фосфорен отпечатък в почвите. България все още е сред страните с най-нисък излишък на азот и отрицателен излишък на фосфор.</w:t>
            </w:r>
          </w:p>
        </w:tc>
        <w:tc>
          <w:tcPr>
            <w:tcW w:w="4111" w:type="dxa"/>
            <w:shd w:val="clear" w:color="auto" w:fill="auto"/>
            <w:vAlign w:val="bottom"/>
            <w:hideMark/>
          </w:tcPr>
          <w:p w14:paraId="1B6B9081" w14:textId="346CF73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Това би било по-скоро възможност </w:t>
            </w:r>
            <w:r w:rsidR="0098677B" w:rsidRPr="00937D97">
              <w:rPr>
                <w:rFonts w:eastAsia="Times New Roman" w:cstheme="minorHAnsi"/>
                <w:color w:val="000000"/>
                <w:sz w:val="18"/>
                <w:szCs w:val="18"/>
                <w:lang w:val="bg-BG"/>
              </w:rPr>
              <w:t>отколкото</w:t>
            </w:r>
            <w:r w:rsidRPr="00937D97">
              <w:rPr>
                <w:rFonts w:eastAsia="Times New Roman" w:cstheme="minorHAnsi"/>
                <w:color w:val="000000"/>
                <w:sz w:val="18"/>
                <w:szCs w:val="18"/>
                <w:lang w:val="bg-BG"/>
              </w:rPr>
              <w:t xml:space="preserve"> силна страна. Пак </w:t>
            </w:r>
            <w:r w:rsidR="0098677B" w:rsidRPr="00937D97">
              <w:rPr>
                <w:rFonts w:eastAsia="Times New Roman" w:cstheme="minorHAnsi"/>
                <w:color w:val="000000"/>
                <w:sz w:val="18"/>
                <w:szCs w:val="18"/>
                <w:lang w:val="bg-BG"/>
              </w:rPr>
              <w:t>неправилно</w:t>
            </w:r>
            <w:r w:rsidRPr="00937D97">
              <w:rPr>
                <w:rFonts w:eastAsia="Times New Roman" w:cstheme="minorHAnsi"/>
                <w:color w:val="000000"/>
                <w:sz w:val="18"/>
                <w:szCs w:val="18"/>
                <w:lang w:val="bg-BG"/>
              </w:rPr>
              <w:t xml:space="preserve"> се формулира "все още нисък". Спрямо какво? Каква е целевата или референтната стойност с която</w:t>
            </w:r>
            <w:r w:rsidR="0098677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се сравнява и се прави този извод. Представянето в "Слабости", че тенденцията в азотния и фосфорен отпечатък е нарастване (т.3), е още един аргумент, че този аспект не е силна страна, а по-скоро възможност</w:t>
            </w:r>
          </w:p>
        </w:tc>
        <w:tc>
          <w:tcPr>
            <w:tcW w:w="2976" w:type="dxa"/>
            <w:shd w:val="clear" w:color="auto" w:fill="auto"/>
            <w:vAlign w:val="bottom"/>
            <w:hideMark/>
          </w:tcPr>
          <w:p w14:paraId="089372A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си прецизира текста и да бъде преместен във "възможности"</w:t>
            </w:r>
          </w:p>
        </w:tc>
      </w:tr>
      <w:tr w:rsidR="00D504A5" w:rsidRPr="00937D97" w14:paraId="4BDCCE2D" w14:textId="77777777" w:rsidTr="00D504A5">
        <w:trPr>
          <w:trHeight w:val="735"/>
        </w:trPr>
        <w:tc>
          <w:tcPr>
            <w:tcW w:w="988" w:type="dxa"/>
            <w:shd w:val="clear" w:color="auto" w:fill="auto"/>
            <w:vAlign w:val="bottom"/>
            <w:hideMark/>
          </w:tcPr>
          <w:p w14:paraId="283153C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5E11B93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181</w:t>
            </w:r>
          </w:p>
        </w:tc>
        <w:tc>
          <w:tcPr>
            <w:tcW w:w="5395" w:type="dxa"/>
            <w:shd w:val="clear" w:color="auto" w:fill="auto"/>
            <w:vAlign w:val="bottom"/>
            <w:hideMark/>
          </w:tcPr>
          <w:p w14:paraId="68FC5DB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5.Запазване на тенденцията за подобряване на качеството на повърхностните води и подобряване на състоянието на подземните води.</w:t>
            </w:r>
          </w:p>
        </w:tc>
        <w:tc>
          <w:tcPr>
            <w:tcW w:w="4111" w:type="dxa"/>
            <w:shd w:val="clear" w:color="auto" w:fill="auto"/>
            <w:vAlign w:val="bottom"/>
            <w:hideMark/>
          </w:tcPr>
          <w:p w14:paraId="34A3CEF5" w14:textId="5BF99891"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се посочено и тук спрямо какъв период е тази тен</w:t>
            </w:r>
            <w:r w:rsidR="0098677B">
              <w:rPr>
                <w:rFonts w:eastAsia="Times New Roman" w:cstheme="minorHAnsi"/>
                <w:color w:val="000000"/>
                <w:sz w:val="18"/>
                <w:szCs w:val="18"/>
                <w:lang w:val="bg-BG"/>
              </w:rPr>
              <w:t>де</w:t>
            </w:r>
            <w:r w:rsidRPr="00937D97">
              <w:rPr>
                <w:rFonts w:eastAsia="Times New Roman" w:cstheme="minorHAnsi"/>
                <w:color w:val="000000"/>
                <w:sz w:val="18"/>
                <w:szCs w:val="18"/>
                <w:lang w:val="bg-BG"/>
              </w:rPr>
              <w:t>нция</w:t>
            </w:r>
          </w:p>
        </w:tc>
        <w:tc>
          <w:tcPr>
            <w:tcW w:w="2976" w:type="dxa"/>
            <w:shd w:val="clear" w:color="auto" w:fill="auto"/>
            <w:vAlign w:val="bottom"/>
            <w:hideMark/>
          </w:tcPr>
          <w:p w14:paraId="0B475D8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добави в текста  "спрямо ..." и да се посочи годината от която започва тази тенденция</w:t>
            </w:r>
          </w:p>
        </w:tc>
      </w:tr>
      <w:tr w:rsidR="00D504A5" w:rsidRPr="00937D97" w14:paraId="60D44335" w14:textId="77777777" w:rsidTr="00D504A5">
        <w:trPr>
          <w:trHeight w:val="975"/>
        </w:trPr>
        <w:tc>
          <w:tcPr>
            <w:tcW w:w="988" w:type="dxa"/>
            <w:shd w:val="clear" w:color="auto" w:fill="auto"/>
            <w:vAlign w:val="bottom"/>
            <w:hideMark/>
          </w:tcPr>
          <w:p w14:paraId="70DE7A0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6117DB4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181</w:t>
            </w:r>
          </w:p>
        </w:tc>
        <w:tc>
          <w:tcPr>
            <w:tcW w:w="5395" w:type="dxa"/>
            <w:shd w:val="clear" w:color="auto" w:fill="auto"/>
            <w:vAlign w:val="bottom"/>
            <w:hideMark/>
          </w:tcPr>
          <w:p w14:paraId="6B44629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Възможности: 7.Модернизиране на системите за напояване, което да подпомогне ефективно използване на водите, осигуряване на непрекъснотост на реките, намаляване на разходите и спирането на загубите на вода.</w:t>
            </w:r>
          </w:p>
        </w:tc>
        <w:tc>
          <w:tcPr>
            <w:tcW w:w="4111" w:type="dxa"/>
            <w:shd w:val="clear" w:color="auto" w:fill="auto"/>
            <w:vAlign w:val="bottom"/>
            <w:hideMark/>
          </w:tcPr>
          <w:p w14:paraId="3986803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2976" w:type="dxa"/>
            <w:shd w:val="clear" w:color="auto" w:fill="auto"/>
            <w:vAlign w:val="bottom"/>
            <w:hideMark/>
          </w:tcPr>
          <w:p w14:paraId="77F082B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проверя дали предвижданията в плана отговарят на допускането че това е възможност - поне да се търси да стане такава</w:t>
            </w:r>
          </w:p>
        </w:tc>
      </w:tr>
      <w:tr w:rsidR="00D504A5" w:rsidRPr="00937D97" w14:paraId="7D26FAA9" w14:textId="77777777" w:rsidTr="00D504A5">
        <w:trPr>
          <w:trHeight w:val="735"/>
        </w:trPr>
        <w:tc>
          <w:tcPr>
            <w:tcW w:w="988" w:type="dxa"/>
            <w:shd w:val="clear" w:color="auto" w:fill="auto"/>
            <w:vAlign w:val="bottom"/>
            <w:hideMark/>
          </w:tcPr>
          <w:p w14:paraId="4A232B1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147FAC9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182</w:t>
            </w:r>
          </w:p>
        </w:tc>
        <w:tc>
          <w:tcPr>
            <w:tcW w:w="5395" w:type="dxa"/>
            <w:shd w:val="clear" w:color="auto" w:fill="auto"/>
            <w:vAlign w:val="bottom"/>
            <w:hideMark/>
          </w:tcPr>
          <w:p w14:paraId="010D3E6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Възможности: 8.Прилагане на действия за смекчаване и/или възстановяване на водните тела, за да постигнат целта на Рамковата директива за водите.</w:t>
            </w:r>
          </w:p>
        </w:tc>
        <w:tc>
          <w:tcPr>
            <w:tcW w:w="4111" w:type="dxa"/>
            <w:shd w:val="clear" w:color="auto" w:fill="auto"/>
            <w:vAlign w:val="bottom"/>
            <w:hideMark/>
          </w:tcPr>
          <w:p w14:paraId="741FC09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тази точка се появява в цел 4 и тук</w:t>
            </w:r>
          </w:p>
        </w:tc>
        <w:tc>
          <w:tcPr>
            <w:tcW w:w="2976" w:type="dxa"/>
            <w:shd w:val="clear" w:color="auto" w:fill="auto"/>
            <w:vAlign w:val="bottom"/>
            <w:hideMark/>
          </w:tcPr>
          <w:p w14:paraId="012B820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проверя дали предвижданията в плана отговарят на допускането че това е възможност - поне да се търси да стане такава</w:t>
            </w:r>
          </w:p>
        </w:tc>
      </w:tr>
      <w:tr w:rsidR="00D504A5" w:rsidRPr="00937D97" w14:paraId="7EFBDA5C" w14:textId="77777777" w:rsidTr="00D504A5">
        <w:trPr>
          <w:trHeight w:val="1695"/>
        </w:trPr>
        <w:tc>
          <w:tcPr>
            <w:tcW w:w="988" w:type="dxa"/>
            <w:shd w:val="clear" w:color="auto" w:fill="auto"/>
            <w:vAlign w:val="bottom"/>
            <w:hideMark/>
          </w:tcPr>
          <w:p w14:paraId="5B6B1C3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6B36FEC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182</w:t>
            </w:r>
          </w:p>
        </w:tc>
        <w:tc>
          <w:tcPr>
            <w:tcW w:w="5395" w:type="dxa"/>
            <w:shd w:val="clear" w:color="auto" w:fill="auto"/>
            <w:vAlign w:val="bottom"/>
            <w:hideMark/>
          </w:tcPr>
          <w:p w14:paraId="37D80968" w14:textId="77777777" w:rsidR="00937D97" w:rsidRPr="00937D97" w:rsidRDefault="00937D97" w:rsidP="00937D97">
            <w:pPr>
              <w:spacing w:after="24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 частта Заплахи (Threats)</w:t>
            </w:r>
            <w:r w:rsidRPr="00937D97">
              <w:rPr>
                <w:rFonts w:eastAsia="Times New Roman" w:cstheme="minorHAnsi"/>
                <w:color w:val="000000"/>
                <w:sz w:val="18"/>
                <w:szCs w:val="18"/>
                <w:lang w:val="bg-BG"/>
              </w:rPr>
              <w:br/>
              <w:t>1. Намаляването на земеделските земи в периода 2007-2017 г. и риска от самозалесяването им, което основно засяга неизползвани земи в районите с природни и други ограничения.</w:t>
            </w:r>
          </w:p>
        </w:tc>
        <w:tc>
          <w:tcPr>
            <w:tcW w:w="4111" w:type="dxa"/>
            <w:shd w:val="clear" w:color="auto" w:fill="auto"/>
            <w:vAlign w:val="bottom"/>
            <w:hideMark/>
          </w:tcPr>
          <w:p w14:paraId="75EDA5C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Това не е заплаха, а </w:t>
            </w:r>
            <w:r w:rsidRPr="00937D97">
              <w:rPr>
                <w:rFonts w:eastAsia="Times New Roman" w:cstheme="minorHAnsi"/>
                <w:b/>
                <w:bCs/>
                <w:color w:val="000000"/>
                <w:sz w:val="18"/>
                <w:szCs w:val="18"/>
                <w:lang w:val="bg-BG"/>
              </w:rPr>
              <w:t>Възможност (Opportunities)</w:t>
            </w:r>
            <w:r w:rsidRPr="00937D97">
              <w:rPr>
                <w:rFonts w:eastAsia="Times New Roman" w:cstheme="minorHAnsi"/>
                <w:color w:val="000000"/>
                <w:sz w:val="18"/>
                <w:szCs w:val="18"/>
                <w:lang w:val="bg-BG"/>
              </w:rPr>
              <w:t xml:space="preserve">. Странно е в СП да се финансират залесявания, предвид, че има вече такива. 2/3 от самозелесилите се територии са общинска собственост върху пасища. </w:t>
            </w:r>
          </w:p>
        </w:tc>
        <w:tc>
          <w:tcPr>
            <w:tcW w:w="2976" w:type="dxa"/>
            <w:shd w:val="clear" w:color="auto" w:fill="auto"/>
            <w:vAlign w:val="bottom"/>
            <w:hideMark/>
          </w:tcPr>
          <w:p w14:paraId="38FDE30A" w14:textId="77777777" w:rsidR="00937D97" w:rsidRPr="00937D97" w:rsidRDefault="000B2BC7" w:rsidP="00937D97">
            <w:pPr>
              <w:spacing w:after="0" w:line="240" w:lineRule="auto"/>
              <w:rPr>
                <w:rFonts w:eastAsia="Times New Roman" w:cstheme="minorHAnsi"/>
                <w:color w:val="000000"/>
                <w:sz w:val="18"/>
                <w:szCs w:val="18"/>
                <w:u w:val="single"/>
                <w:lang w:val="bg-BG"/>
              </w:rPr>
            </w:pPr>
            <w:hyperlink r:id="rId6" w:history="1">
              <w:r w:rsidR="00937D97" w:rsidRPr="00937D97">
                <w:rPr>
                  <w:rFonts w:eastAsia="Times New Roman" w:cstheme="minorHAnsi"/>
                  <w:color w:val="000000"/>
                  <w:sz w:val="18"/>
                  <w:szCs w:val="18"/>
                  <w:lang w:val="bg-BG"/>
                </w:rPr>
                <w:t xml:space="preserve">Подробен анализ за самозалесилите се земи - разположение, собстевност, видов състав и възраст + препоръки може да се прочетат на линка: </w:t>
              </w:r>
              <w:r w:rsidR="00937D97" w:rsidRPr="00937D97">
                <w:rPr>
                  <w:rFonts w:eastAsia="Times New Roman" w:cstheme="minorHAnsi"/>
                  <w:color w:val="000000"/>
                  <w:sz w:val="18"/>
                  <w:szCs w:val="18"/>
                  <w:u w:val="single"/>
                  <w:lang w:val="bg-BG"/>
                </w:rPr>
                <w:t>https://www.zelenizakoni.com/sites/default/files/attachments/analiz_na_zeleni_zakoni_otnosno_opasnostta_ot_izsichaneto_na_gorite_vrhu_zemedelski_zemi_08.02.2021.pdf</w:t>
              </w:r>
            </w:hyperlink>
          </w:p>
        </w:tc>
      </w:tr>
      <w:tr w:rsidR="00D504A5" w:rsidRPr="00937D97" w14:paraId="5C4F4DFE" w14:textId="77777777" w:rsidTr="00D504A5">
        <w:trPr>
          <w:trHeight w:val="975"/>
        </w:trPr>
        <w:tc>
          <w:tcPr>
            <w:tcW w:w="988" w:type="dxa"/>
            <w:shd w:val="clear" w:color="auto" w:fill="auto"/>
            <w:vAlign w:val="bottom"/>
            <w:hideMark/>
          </w:tcPr>
          <w:p w14:paraId="1EF4F28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3F10F07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182-190</w:t>
            </w:r>
          </w:p>
        </w:tc>
        <w:tc>
          <w:tcPr>
            <w:tcW w:w="5395" w:type="dxa"/>
            <w:shd w:val="clear" w:color="auto" w:fill="auto"/>
            <w:vAlign w:val="bottom"/>
            <w:hideMark/>
          </w:tcPr>
          <w:p w14:paraId="07E610F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2.1.SO5.3 Identification of the relevant (elements of) national plans emanating from the legislative instruments referred to in Annex XI of the CAP plan Regulation</w:t>
            </w:r>
          </w:p>
        </w:tc>
        <w:tc>
          <w:tcPr>
            <w:tcW w:w="4111" w:type="dxa"/>
            <w:shd w:val="clear" w:color="auto" w:fill="auto"/>
            <w:vAlign w:val="bottom"/>
            <w:hideMark/>
          </w:tcPr>
          <w:p w14:paraId="2025F11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този аспект се разглежда в цел 4 и тук, като дадената информация тук е абсолютно същата като в цел 4 и бележките, които са посочени там са релевантни и тук.</w:t>
            </w:r>
          </w:p>
        </w:tc>
        <w:tc>
          <w:tcPr>
            <w:tcW w:w="2976" w:type="dxa"/>
            <w:shd w:val="clear" w:color="auto" w:fill="auto"/>
            <w:vAlign w:val="bottom"/>
            <w:hideMark/>
          </w:tcPr>
          <w:p w14:paraId="6A9E773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Принципно е подходящо да се даде релевантното законодателство веднъж, а не да се повтаря едно и също, или ако се дава във всяка цел, то трябва да се дава по-целенасочено и фокусирано</w:t>
            </w:r>
          </w:p>
        </w:tc>
      </w:tr>
      <w:tr w:rsidR="00D504A5" w:rsidRPr="00937D97" w14:paraId="18EF6D50" w14:textId="77777777" w:rsidTr="00D504A5">
        <w:trPr>
          <w:trHeight w:val="495"/>
        </w:trPr>
        <w:tc>
          <w:tcPr>
            <w:tcW w:w="988" w:type="dxa"/>
            <w:shd w:val="clear" w:color="auto" w:fill="auto"/>
            <w:vAlign w:val="bottom"/>
            <w:hideMark/>
          </w:tcPr>
          <w:p w14:paraId="696FF62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26DA57E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193</w:t>
            </w:r>
          </w:p>
        </w:tc>
        <w:tc>
          <w:tcPr>
            <w:tcW w:w="5395" w:type="dxa"/>
            <w:shd w:val="clear" w:color="auto" w:fill="auto"/>
            <w:noWrap/>
            <w:vAlign w:val="bottom"/>
            <w:hideMark/>
          </w:tcPr>
          <w:p w14:paraId="2169E6A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„Създаване и възстановяване на екологична инфраструктура― –</w:t>
            </w:r>
          </w:p>
        </w:tc>
        <w:tc>
          <w:tcPr>
            <w:tcW w:w="4111" w:type="dxa"/>
            <w:shd w:val="clear" w:color="auto" w:fill="auto"/>
            <w:vAlign w:val="bottom"/>
            <w:hideMark/>
          </w:tcPr>
          <w:p w14:paraId="76C3141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тази интервенция не е посочена в списъка от интервенции на стр. 190-192</w:t>
            </w:r>
          </w:p>
        </w:tc>
        <w:tc>
          <w:tcPr>
            <w:tcW w:w="2976" w:type="dxa"/>
            <w:shd w:val="clear" w:color="auto" w:fill="auto"/>
            <w:vAlign w:val="bottom"/>
            <w:hideMark/>
          </w:tcPr>
          <w:p w14:paraId="34E6E51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3F3CACCF" w14:textId="77777777" w:rsidTr="00D504A5">
        <w:trPr>
          <w:trHeight w:val="495"/>
        </w:trPr>
        <w:tc>
          <w:tcPr>
            <w:tcW w:w="988" w:type="dxa"/>
            <w:shd w:val="clear" w:color="auto" w:fill="auto"/>
            <w:vAlign w:val="bottom"/>
            <w:hideMark/>
          </w:tcPr>
          <w:p w14:paraId="3441544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39AD529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193</w:t>
            </w:r>
          </w:p>
        </w:tc>
        <w:tc>
          <w:tcPr>
            <w:tcW w:w="5395" w:type="dxa"/>
            <w:shd w:val="clear" w:color="auto" w:fill="auto"/>
            <w:noWrap/>
            <w:vAlign w:val="bottom"/>
            <w:hideMark/>
          </w:tcPr>
          <w:p w14:paraId="4946484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„Плащания за земеделски земи в зони от Натура 2000 - ... Осигуряване на висок дял на земеделските площи в Натура 2000</w:t>
            </w:r>
          </w:p>
        </w:tc>
        <w:tc>
          <w:tcPr>
            <w:tcW w:w="4111" w:type="dxa"/>
            <w:shd w:val="clear" w:color="auto" w:fill="auto"/>
            <w:vAlign w:val="bottom"/>
            <w:hideMark/>
          </w:tcPr>
          <w:p w14:paraId="28502C2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тази интервенция не е посочена в списъка от интервенции на стр. 190-192</w:t>
            </w:r>
          </w:p>
        </w:tc>
        <w:tc>
          <w:tcPr>
            <w:tcW w:w="2976" w:type="dxa"/>
            <w:shd w:val="clear" w:color="auto" w:fill="auto"/>
            <w:vAlign w:val="bottom"/>
            <w:hideMark/>
          </w:tcPr>
          <w:p w14:paraId="26B9C16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7EFDFE02" w14:textId="77777777" w:rsidTr="00D504A5">
        <w:trPr>
          <w:trHeight w:val="975"/>
        </w:trPr>
        <w:tc>
          <w:tcPr>
            <w:tcW w:w="988" w:type="dxa"/>
            <w:shd w:val="clear" w:color="auto" w:fill="auto"/>
            <w:vAlign w:val="bottom"/>
            <w:hideMark/>
          </w:tcPr>
          <w:p w14:paraId="15BE63B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5</w:t>
            </w:r>
          </w:p>
        </w:tc>
        <w:tc>
          <w:tcPr>
            <w:tcW w:w="700" w:type="dxa"/>
            <w:shd w:val="clear" w:color="auto" w:fill="auto"/>
            <w:noWrap/>
            <w:vAlign w:val="bottom"/>
            <w:hideMark/>
          </w:tcPr>
          <w:p w14:paraId="07DE650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193</w:t>
            </w:r>
          </w:p>
        </w:tc>
        <w:tc>
          <w:tcPr>
            <w:tcW w:w="5395" w:type="dxa"/>
            <w:shd w:val="clear" w:color="auto" w:fill="auto"/>
            <w:noWrap/>
            <w:vAlign w:val="bottom"/>
            <w:hideMark/>
          </w:tcPr>
          <w:p w14:paraId="79D72A5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 Поддържане на подходящ баланс на земеделските площи според вида на земеползване и поддържане на разнообразие на културите</w:t>
            </w:r>
          </w:p>
        </w:tc>
        <w:tc>
          <w:tcPr>
            <w:tcW w:w="4111" w:type="dxa"/>
            <w:shd w:val="clear" w:color="auto" w:fill="auto"/>
            <w:vAlign w:val="bottom"/>
            <w:hideMark/>
          </w:tcPr>
          <w:p w14:paraId="4E7F3EA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Тази потребност е изведена на първо място в тази стратегическа цел. Считаме, че най-подходящо за поддържане на този баланс е въвеждане на екосхема за запазване на смесените земеделски системи. Схемата е част от НПРД под номер 43</w:t>
            </w:r>
          </w:p>
        </w:tc>
        <w:tc>
          <w:tcPr>
            <w:tcW w:w="2976" w:type="dxa"/>
            <w:shd w:val="clear" w:color="auto" w:fill="auto"/>
            <w:vAlign w:val="bottom"/>
            <w:hideMark/>
          </w:tcPr>
          <w:p w14:paraId="0293E67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включи предлаганата еко-схема в НПРД ) 43</w:t>
            </w:r>
          </w:p>
        </w:tc>
      </w:tr>
      <w:tr w:rsidR="00D504A5" w:rsidRPr="00937D97" w14:paraId="31810E64" w14:textId="77777777" w:rsidTr="00D504A5">
        <w:trPr>
          <w:trHeight w:val="1695"/>
        </w:trPr>
        <w:tc>
          <w:tcPr>
            <w:tcW w:w="988" w:type="dxa"/>
            <w:shd w:val="clear" w:color="auto" w:fill="auto"/>
            <w:vAlign w:val="bottom"/>
            <w:hideMark/>
          </w:tcPr>
          <w:p w14:paraId="7106803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06B8AF7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194</w:t>
            </w:r>
          </w:p>
        </w:tc>
        <w:tc>
          <w:tcPr>
            <w:tcW w:w="5395" w:type="dxa"/>
            <w:shd w:val="clear" w:color="auto" w:fill="auto"/>
            <w:vAlign w:val="bottom"/>
            <w:hideMark/>
          </w:tcPr>
          <w:p w14:paraId="762F93D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Насочена е и интервенция „Възстановяване и поддържане на деградирали пасищни територии – ... Прилагането на практики по повърхностно подобряване без механична обработка има за цел да допринесе за възстановяването и поддържането на пасищни територии, които са деградирали и не са били подхранвани и подобрявани в течение на години.</w:t>
            </w:r>
          </w:p>
        </w:tc>
        <w:tc>
          <w:tcPr>
            <w:tcW w:w="4111" w:type="dxa"/>
            <w:shd w:val="clear" w:color="auto" w:fill="auto"/>
            <w:vAlign w:val="bottom"/>
            <w:hideMark/>
          </w:tcPr>
          <w:p w14:paraId="1A484AE5" w14:textId="77777777" w:rsidR="00937D97" w:rsidRPr="00937D97" w:rsidRDefault="00937D97" w:rsidP="00937D97">
            <w:pPr>
              <w:spacing w:after="0" w:line="240" w:lineRule="auto"/>
              <w:rPr>
                <w:rFonts w:eastAsia="Times New Roman" w:cstheme="minorHAnsi"/>
                <w:color w:val="000000"/>
                <w:sz w:val="18"/>
                <w:szCs w:val="18"/>
                <w:lang w:val="bg-BG"/>
              </w:rPr>
            </w:pPr>
          </w:p>
        </w:tc>
        <w:tc>
          <w:tcPr>
            <w:tcW w:w="2976" w:type="dxa"/>
            <w:shd w:val="clear" w:color="auto" w:fill="auto"/>
            <w:vAlign w:val="bottom"/>
            <w:hideMark/>
          </w:tcPr>
          <w:p w14:paraId="626E034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внимателно трябва да се провери и дефинира тази интервенция, тъй като прилагането и може да доведе до промяна на тревните местообитания</w:t>
            </w:r>
          </w:p>
        </w:tc>
      </w:tr>
      <w:tr w:rsidR="00D504A5" w:rsidRPr="00937D97" w14:paraId="50DDE49C" w14:textId="77777777" w:rsidTr="00D504A5">
        <w:trPr>
          <w:trHeight w:val="495"/>
        </w:trPr>
        <w:tc>
          <w:tcPr>
            <w:tcW w:w="988" w:type="dxa"/>
            <w:shd w:val="clear" w:color="auto" w:fill="auto"/>
            <w:vAlign w:val="bottom"/>
            <w:hideMark/>
          </w:tcPr>
          <w:p w14:paraId="3F11EA5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4ABDCC4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196</w:t>
            </w:r>
          </w:p>
        </w:tc>
        <w:tc>
          <w:tcPr>
            <w:tcW w:w="5395" w:type="dxa"/>
            <w:shd w:val="clear" w:color="auto" w:fill="auto"/>
            <w:vAlign w:val="bottom"/>
            <w:hideMark/>
          </w:tcPr>
          <w:p w14:paraId="6E51EB9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„Биологично производство"</w:t>
            </w:r>
          </w:p>
        </w:tc>
        <w:tc>
          <w:tcPr>
            <w:tcW w:w="4111" w:type="dxa"/>
            <w:shd w:val="clear" w:color="auto" w:fill="auto"/>
            <w:vAlign w:val="bottom"/>
            <w:hideMark/>
          </w:tcPr>
          <w:p w14:paraId="57C739F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тази интервенция не е посочена в списъка от интервенции на стр. 190-192</w:t>
            </w:r>
          </w:p>
        </w:tc>
        <w:tc>
          <w:tcPr>
            <w:tcW w:w="2976" w:type="dxa"/>
            <w:shd w:val="clear" w:color="auto" w:fill="auto"/>
            <w:vAlign w:val="bottom"/>
            <w:hideMark/>
          </w:tcPr>
          <w:p w14:paraId="1106E72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6BF550CF" w14:textId="77777777" w:rsidTr="00D504A5">
        <w:trPr>
          <w:trHeight w:val="975"/>
        </w:trPr>
        <w:tc>
          <w:tcPr>
            <w:tcW w:w="988" w:type="dxa"/>
            <w:shd w:val="clear" w:color="auto" w:fill="auto"/>
            <w:vAlign w:val="bottom"/>
            <w:hideMark/>
          </w:tcPr>
          <w:p w14:paraId="6B9805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2136D9A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199</w:t>
            </w:r>
          </w:p>
        </w:tc>
        <w:tc>
          <w:tcPr>
            <w:tcW w:w="5395" w:type="dxa"/>
            <w:shd w:val="clear" w:color="auto" w:fill="auto"/>
            <w:vAlign w:val="bottom"/>
            <w:hideMark/>
          </w:tcPr>
          <w:p w14:paraId="5047E43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"Предвидени са интервенции „Консултанстки услуги и повишаване на консултантския капацитет― и „Професионално обучение и придобиване на знания</w:t>
            </w:r>
          </w:p>
        </w:tc>
        <w:tc>
          <w:tcPr>
            <w:tcW w:w="4111" w:type="dxa"/>
            <w:shd w:val="clear" w:color="auto" w:fill="auto"/>
            <w:vAlign w:val="bottom"/>
            <w:hideMark/>
          </w:tcPr>
          <w:p w14:paraId="710B971A" w14:textId="00650CC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 "</w:t>
            </w:r>
            <w:r w:rsidR="0098677B" w:rsidRPr="00937D97">
              <w:rPr>
                <w:rFonts w:eastAsia="Times New Roman" w:cstheme="minorHAnsi"/>
                <w:color w:val="000000"/>
                <w:sz w:val="18"/>
                <w:szCs w:val="18"/>
                <w:lang w:val="bg-BG"/>
              </w:rPr>
              <w:t>Консултантски</w:t>
            </w:r>
            <w:r w:rsidRPr="00937D97">
              <w:rPr>
                <w:rFonts w:eastAsia="Times New Roman" w:cstheme="minorHAnsi"/>
                <w:color w:val="000000"/>
                <w:sz w:val="18"/>
                <w:szCs w:val="18"/>
                <w:lang w:val="bg-BG"/>
              </w:rPr>
              <w:t xml:space="preserve"> услуги и повишаване на консултантския капацитет" и „Професионално обучение и придобиване на знания не са посочен в списъка от интервенции за постигане на  потребност 5.7 от цел 5 и въобще не са посочени за цел 5</w:t>
            </w:r>
          </w:p>
        </w:tc>
        <w:tc>
          <w:tcPr>
            <w:tcW w:w="2976" w:type="dxa"/>
            <w:shd w:val="clear" w:color="auto" w:fill="auto"/>
            <w:vAlign w:val="bottom"/>
            <w:hideMark/>
          </w:tcPr>
          <w:p w14:paraId="64B0C1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638696D0" w14:textId="77777777" w:rsidTr="00D504A5">
        <w:trPr>
          <w:trHeight w:val="975"/>
        </w:trPr>
        <w:tc>
          <w:tcPr>
            <w:tcW w:w="988" w:type="dxa"/>
            <w:shd w:val="clear" w:color="auto" w:fill="auto"/>
            <w:vAlign w:val="bottom"/>
            <w:hideMark/>
          </w:tcPr>
          <w:p w14:paraId="3D2A163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2591B24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199</w:t>
            </w:r>
          </w:p>
        </w:tc>
        <w:tc>
          <w:tcPr>
            <w:tcW w:w="5395" w:type="dxa"/>
            <w:shd w:val="clear" w:color="auto" w:fill="auto"/>
            <w:vAlign w:val="bottom"/>
            <w:hideMark/>
          </w:tcPr>
          <w:p w14:paraId="6171649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2.1.SO5.5 Where relevant, a justification for the use of InvestEU, including the amount and its expected contribution to the Specific Objective/Cross-Cutting Objective</w:t>
            </w:r>
          </w:p>
        </w:tc>
        <w:tc>
          <w:tcPr>
            <w:tcW w:w="4111" w:type="dxa"/>
            <w:shd w:val="clear" w:color="auto" w:fill="auto"/>
            <w:vAlign w:val="bottom"/>
            <w:hideMark/>
          </w:tcPr>
          <w:p w14:paraId="562E1A4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е попълнено</w:t>
            </w:r>
          </w:p>
        </w:tc>
        <w:tc>
          <w:tcPr>
            <w:tcW w:w="2976" w:type="dxa"/>
            <w:shd w:val="clear" w:color="auto" w:fill="auto"/>
            <w:vAlign w:val="bottom"/>
            <w:hideMark/>
          </w:tcPr>
          <w:p w14:paraId="41B1F81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3B6CA57C" w14:textId="77777777" w:rsidTr="00D504A5">
        <w:trPr>
          <w:trHeight w:val="1455"/>
        </w:trPr>
        <w:tc>
          <w:tcPr>
            <w:tcW w:w="988" w:type="dxa"/>
            <w:shd w:val="clear" w:color="auto" w:fill="auto"/>
            <w:vAlign w:val="bottom"/>
            <w:hideMark/>
          </w:tcPr>
          <w:p w14:paraId="3D54A6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2B3884C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200</w:t>
            </w:r>
          </w:p>
        </w:tc>
        <w:tc>
          <w:tcPr>
            <w:tcW w:w="5395" w:type="dxa"/>
            <w:shd w:val="clear" w:color="auto" w:fill="auto"/>
            <w:vAlign w:val="bottom"/>
            <w:hideMark/>
          </w:tcPr>
          <w:p w14:paraId="324B432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индикаторите за резултат по цел 5</w:t>
            </w:r>
          </w:p>
        </w:tc>
        <w:tc>
          <w:tcPr>
            <w:tcW w:w="4111" w:type="dxa"/>
            <w:shd w:val="clear" w:color="auto" w:fill="auto"/>
            <w:vAlign w:val="bottom"/>
            <w:hideMark/>
          </w:tcPr>
          <w:p w14:paraId="0C5CF09D" w14:textId="0FCD5A4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за нито един от представените индикатори няма базова стойност! На повечето от интервенциите тук въобще няма индикатор за резултат! Целевите стойности са твърде </w:t>
            </w:r>
            <w:r w:rsidR="0098677B" w:rsidRPr="00937D97">
              <w:rPr>
                <w:rFonts w:eastAsia="Times New Roman" w:cstheme="minorHAnsi"/>
                <w:color w:val="000000"/>
                <w:sz w:val="18"/>
                <w:szCs w:val="18"/>
                <w:lang w:val="bg-BG"/>
              </w:rPr>
              <w:t>неамбициозни</w:t>
            </w:r>
            <w:r w:rsidRPr="00937D97">
              <w:rPr>
                <w:rFonts w:eastAsia="Times New Roman" w:cstheme="minorHAnsi"/>
                <w:color w:val="000000"/>
                <w:sz w:val="18"/>
                <w:szCs w:val="18"/>
                <w:lang w:val="bg-BG"/>
              </w:rPr>
              <w:t xml:space="preserve"> за значението което би следвало да има плана за устойчивото управление на природните ресурси</w:t>
            </w:r>
          </w:p>
        </w:tc>
        <w:tc>
          <w:tcPr>
            <w:tcW w:w="2976" w:type="dxa"/>
            <w:shd w:val="clear" w:color="auto" w:fill="auto"/>
            <w:vAlign w:val="bottom"/>
            <w:hideMark/>
          </w:tcPr>
          <w:p w14:paraId="648773A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Би следвало да се посочат базовите стойности, да се допълнят индикаторите за резултат съобразно предвидените интервенции, така че да съответстват на предвидените интервенции и да се преработят целевите стойности, за да отразят реалната нужда от устойчиво управление на природните ресурси</w:t>
            </w:r>
          </w:p>
        </w:tc>
      </w:tr>
      <w:tr w:rsidR="00D504A5" w:rsidRPr="00937D97" w14:paraId="69E3CC25" w14:textId="77777777" w:rsidTr="00D504A5">
        <w:trPr>
          <w:trHeight w:val="495"/>
        </w:trPr>
        <w:tc>
          <w:tcPr>
            <w:tcW w:w="988" w:type="dxa"/>
            <w:shd w:val="clear" w:color="auto" w:fill="auto"/>
            <w:vAlign w:val="bottom"/>
            <w:hideMark/>
          </w:tcPr>
          <w:p w14:paraId="52155B6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31439BA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200</w:t>
            </w:r>
          </w:p>
        </w:tc>
        <w:tc>
          <w:tcPr>
            <w:tcW w:w="5395" w:type="dxa"/>
            <w:shd w:val="clear" w:color="auto" w:fill="auto"/>
            <w:vAlign w:val="bottom"/>
            <w:hideMark/>
          </w:tcPr>
          <w:p w14:paraId="09B7A6D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658971E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64E2BFC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4C930804" w14:textId="77777777" w:rsidTr="00D504A5">
        <w:trPr>
          <w:trHeight w:val="495"/>
        </w:trPr>
        <w:tc>
          <w:tcPr>
            <w:tcW w:w="988" w:type="dxa"/>
            <w:shd w:val="clear" w:color="auto" w:fill="auto"/>
            <w:vAlign w:val="bottom"/>
            <w:hideMark/>
          </w:tcPr>
          <w:p w14:paraId="631B90A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1FFA01F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200</w:t>
            </w:r>
          </w:p>
        </w:tc>
        <w:tc>
          <w:tcPr>
            <w:tcW w:w="5395" w:type="dxa"/>
            <w:shd w:val="clear" w:color="auto" w:fill="auto"/>
            <w:vAlign w:val="bottom"/>
            <w:hideMark/>
          </w:tcPr>
          <w:p w14:paraId="552B3B9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Финансовото разпределение за интервенциите, програмирани по Цел 5,</w:t>
            </w:r>
          </w:p>
        </w:tc>
        <w:tc>
          <w:tcPr>
            <w:tcW w:w="4111" w:type="dxa"/>
            <w:shd w:val="clear" w:color="auto" w:fill="auto"/>
            <w:vAlign w:val="bottom"/>
            <w:hideMark/>
          </w:tcPr>
          <w:p w14:paraId="7699491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w:t>
            </w:r>
          </w:p>
        </w:tc>
        <w:tc>
          <w:tcPr>
            <w:tcW w:w="2976" w:type="dxa"/>
            <w:shd w:val="clear" w:color="auto" w:fill="auto"/>
            <w:vAlign w:val="bottom"/>
            <w:hideMark/>
          </w:tcPr>
          <w:p w14:paraId="7197187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55CDEDE" w14:textId="77777777" w:rsidTr="00D504A5">
        <w:trPr>
          <w:trHeight w:val="1215"/>
        </w:trPr>
        <w:tc>
          <w:tcPr>
            <w:tcW w:w="988" w:type="dxa"/>
            <w:shd w:val="clear" w:color="auto" w:fill="auto"/>
            <w:vAlign w:val="bottom"/>
            <w:hideMark/>
          </w:tcPr>
          <w:p w14:paraId="3FA7597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SWOT анализ по цел 5 </w:t>
            </w:r>
          </w:p>
        </w:tc>
        <w:tc>
          <w:tcPr>
            <w:tcW w:w="700" w:type="dxa"/>
            <w:shd w:val="clear" w:color="auto" w:fill="auto"/>
            <w:noWrap/>
            <w:vAlign w:val="bottom"/>
            <w:hideMark/>
          </w:tcPr>
          <w:p w14:paraId="1BFCAC6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190 - 199</w:t>
            </w:r>
          </w:p>
        </w:tc>
        <w:tc>
          <w:tcPr>
            <w:tcW w:w="5395" w:type="dxa"/>
            <w:shd w:val="clear" w:color="auto" w:fill="auto"/>
            <w:vAlign w:val="bottom"/>
            <w:hideMark/>
          </w:tcPr>
          <w:p w14:paraId="476E173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Представяне на интервенции, адресиращи потребностите на цел 5</w:t>
            </w:r>
          </w:p>
        </w:tc>
        <w:tc>
          <w:tcPr>
            <w:tcW w:w="4111" w:type="dxa"/>
            <w:shd w:val="clear" w:color="auto" w:fill="auto"/>
            <w:vAlign w:val="bottom"/>
            <w:hideMark/>
          </w:tcPr>
          <w:p w14:paraId="657CD312" w14:textId="766AB8C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Има разминаване между списъка с посочени интервенции, </w:t>
            </w:r>
            <w:r w:rsidR="0098677B" w:rsidRPr="00937D97">
              <w:rPr>
                <w:rFonts w:eastAsia="Times New Roman" w:cstheme="minorHAnsi"/>
                <w:color w:val="000000"/>
                <w:sz w:val="18"/>
                <w:szCs w:val="18"/>
                <w:lang w:val="bg-BG"/>
              </w:rPr>
              <w:t>адресиращи</w:t>
            </w:r>
            <w:r w:rsidRPr="00937D97">
              <w:rPr>
                <w:rFonts w:eastAsia="Times New Roman" w:cstheme="minorHAnsi"/>
                <w:color w:val="000000"/>
                <w:sz w:val="18"/>
                <w:szCs w:val="18"/>
                <w:lang w:val="bg-BG"/>
              </w:rPr>
              <w:t xml:space="preserve"> потребностите на цел 5. В списъка има 4 интервенции, които не са посочени в списъка; има и неподходящи за съответните потребности интервенции. Тези несъответствия объркват читателя и не дават ясна рамка за това как ще бъдат точно постигната цел 5 и как ще бъдат адресирани потребностите</w:t>
            </w:r>
          </w:p>
        </w:tc>
        <w:tc>
          <w:tcPr>
            <w:tcW w:w="2976" w:type="dxa"/>
            <w:shd w:val="clear" w:color="auto" w:fill="auto"/>
            <w:vAlign w:val="bottom"/>
            <w:hideMark/>
          </w:tcPr>
          <w:p w14:paraId="00BA47B0" w14:textId="0E694AF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цялата тази част трябва да се преработи като се </w:t>
            </w:r>
            <w:r w:rsidR="0098677B" w:rsidRPr="00937D97">
              <w:rPr>
                <w:rFonts w:eastAsia="Times New Roman" w:cstheme="minorHAnsi"/>
                <w:color w:val="000000"/>
                <w:sz w:val="18"/>
                <w:szCs w:val="18"/>
                <w:lang w:val="bg-BG"/>
              </w:rPr>
              <w:t>направи</w:t>
            </w:r>
            <w:r w:rsidRPr="00937D97">
              <w:rPr>
                <w:rFonts w:eastAsia="Times New Roman" w:cstheme="minorHAnsi"/>
                <w:color w:val="000000"/>
                <w:sz w:val="18"/>
                <w:szCs w:val="18"/>
                <w:lang w:val="bg-BG"/>
              </w:rPr>
              <w:t xml:space="preserve"> една логическо и структуриране представяне на правилните интервенции за тази цел</w:t>
            </w:r>
          </w:p>
        </w:tc>
      </w:tr>
      <w:tr w:rsidR="00D504A5" w:rsidRPr="00937D97" w14:paraId="6B6C2CE6" w14:textId="77777777" w:rsidTr="00D504A5">
        <w:trPr>
          <w:trHeight w:val="735"/>
        </w:trPr>
        <w:tc>
          <w:tcPr>
            <w:tcW w:w="988" w:type="dxa"/>
            <w:shd w:val="clear" w:color="auto" w:fill="auto"/>
            <w:vAlign w:val="bottom"/>
            <w:hideMark/>
          </w:tcPr>
          <w:p w14:paraId="56DE996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Интервенционна логика по всички цели</w:t>
            </w:r>
          </w:p>
        </w:tc>
        <w:tc>
          <w:tcPr>
            <w:tcW w:w="700" w:type="dxa"/>
            <w:shd w:val="clear" w:color="auto" w:fill="auto"/>
            <w:noWrap/>
            <w:vAlign w:val="bottom"/>
            <w:hideMark/>
          </w:tcPr>
          <w:p w14:paraId="5DA1531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5395" w:type="dxa"/>
            <w:shd w:val="clear" w:color="auto" w:fill="auto"/>
            <w:vAlign w:val="bottom"/>
            <w:hideMark/>
          </w:tcPr>
          <w:p w14:paraId="10FC930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4111" w:type="dxa"/>
            <w:shd w:val="clear" w:color="auto" w:fill="auto"/>
            <w:vAlign w:val="bottom"/>
            <w:hideMark/>
          </w:tcPr>
          <w:p w14:paraId="44A099C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Липсват конкретни остойностени цели в интервенционната логика. Те са показани само като индикатори за резултата</w:t>
            </w:r>
          </w:p>
        </w:tc>
        <w:tc>
          <w:tcPr>
            <w:tcW w:w="2976" w:type="dxa"/>
            <w:shd w:val="clear" w:color="auto" w:fill="auto"/>
            <w:vAlign w:val="bottom"/>
            <w:hideMark/>
          </w:tcPr>
          <w:p w14:paraId="6038504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опишат целите и приноса на всяка цел (измерим) към европейските и национални стратегии</w:t>
            </w:r>
          </w:p>
        </w:tc>
      </w:tr>
      <w:tr w:rsidR="00D504A5" w:rsidRPr="00937D97" w14:paraId="1B2C6AC5" w14:textId="77777777" w:rsidTr="00D504A5">
        <w:trPr>
          <w:trHeight w:val="3855"/>
        </w:trPr>
        <w:tc>
          <w:tcPr>
            <w:tcW w:w="988" w:type="dxa"/>
            <w:shd w:val="clear" w:color="auto" w:fill="auto"/>
            <w:vAlign w:val="bottom"/>
            <w:hideMark/>
          </w:tcPr>
          <w:p w14:paraId="3003587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70A2F9D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201</w:t>
            </w:r>
          </w:p>
        </w:tc>
        <w:tc>
          <w:tcPr>
            <w:tcW w:w="5395" w:type="dxa"/>
            <w:shd w:val="clear" w:color="auto" w:fill="auto"/>
            <w:vAlign w:val="bottom"/>
            <w:hideMark/>
          </w:tcPr>
          <w:p w14:paraId="37586E7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Силна страна 7. Делът (в %) на видове/популации на птици, размножаващи се в България, с намаляващ или стабилен статус остава относително постоянен при краткосрочната и при дългосрочната тенденция. Отчита се положителната тенденция на запазване при популациите със увеличаващ се статус.</w:t>
            </w:r>
          </w:p>
        </w:tc>
        <w:tc>
          <w:tcPr>
            <w:tcW w:w="4111" w:type="dxa"/>
            <w:shd w:val="clear" w:color="auto" w:fill="auto"/>
            <w:vAlign w:val="bottom"/>
            <w:hideMark/>
          </w:tcPr>
          <w:p w14:paraId="5692F40B" w14:textId="6C8FBBD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Така представения текст е неточен и подвеждащ. Представената графика в SWOT анализа (стр. 73, фигура 6,28) е неправилно интерпретирана в анализа спрямо първоизточника. При </w:t>
            </w:r>
            <w:r w:rsidR="00A30CDB" w:rsidRPr="00937D97">
              <w:rPr>
                <w:rFonts w:eastAsia="Times New Roman" w:cstheme="minorHAnsi"/>
                <w:color w:val="000000"/>
                <w:sz w:val="18"/>
                <w:szCs w:val="18"/>
                <w:lang w:val="bg-BG"/>
              </w:rPr>
              <w:t>в</w:t>
            </w:r>
            <w:r w:rsidR="00A30CDB">
              <w:rPr>
                <w:rFonts w:eastAsia="Times New Roman" w:cstheme="minorHAnsi"/>
                <w:color w:val="000000"/>
                <w:sz w:val="18"/>
                <w:szCs w:val="18"/>
                <w:lang w:val="bg-BG"/>
              </w:rPr>
              <w:t>н</w:t>
            </w:r>
            <w:r w:rsidR="00A30CDB" w:rsidRPr="00937D97">
              <w:rPr>
                <w:rFonts w:eastAsia="Times New Roman" w:cstheme="minorHAnsi"/>
                <w:color w:val="000000"/>
                <w:sz w:val="18"/>
                <w:szCs w:val="18"/>
                <w:lang w:val="bg-BG"/>
              </w:rPr>
              <w:t>имателен</w:t>
            </w:r>
            <w:r w:rsidRPr="00937D97">
              <w:rPr>
                <w:rFonts w:eastAsia="Times New Roman" w:cstheme="minorHAnsi"/>
                <w:color w:val="000000"/>
                <w:sz w:val="18"/>
                <w:szCs w:val="18"/>
                <w:lang w:val="bg-BG"/>
              </w:rPr>
              <w:t xml:space="preserve"> </w:t>
            </w:r>
            <w:r w:rsidR="00A30CDB" w:rsidRPr="00937D97">
              <w:rPr>
                <w:rFonts w:eastAsia="Times New Roman" w:cstheme="minorHAnsi"/>
                <w:color w:val="000000"/>
                <w:sz w:val="18"/>
                <w:szCs w:val="18"/>
                <w:lang w:val="bg-BG"/>
              </w:rPr>
              <w:t>преглед</w:t>
            </w:r>
            <w:r w:rsidRPr="00937D97">
              <w:rPr>
                <w:rFonts w:eastAsia="Times New Roman" w:cstheme="minorHAnsi"/>
                <w:color w:val="000000"/>
                <w:sz w:val="18"/>
                <w:szCs w:val="18"/>
                <w:lang w:val="bg-BG"/>
              </w:rPr>
              <w:t xml:space="preserve"> на графиката се вижда, че по отношение на краткосрочните тенденции видовете птици с намаляващи популации са се увеличили с 4% спрямо предходния период, като този спад не може да се класифицира като "без изменение" или  "слабо/незначително изменение". Измененията в процентното отношение между различните категории при запазва не постоянен процент на видовете в благоприятно природозащитно състояние, като при това дела на видовете в неблагоприятно природозащитно състояние се увеличава е ясна индикация за нестабилността в тенденциите на популациите на видовете като цяло и случващи се промени, които не допринасят за </w:t>
            </w:r>
            <w:r w:rsidR="00A30CDB" w:rsidRPr="00937D97">
              <w:rPr>
                <w:rFonts w:eastAsia="Times New Roman" w:cstheme="minorHAnsi"/>
                <w:color w:val="000000"/>
                <w:sz w:val="18"/>
                <w:szCs w:val="18"/>
                <w:lang w:val="bg-BG"/>
              </w:rPr>
              <w:t>благоприятното</w:t>
            </w:r>
            <w:r w:rsidRPr="00937D97">
              <w:rPr>
                <w:rFonts w:eastAsia="Times New Roman" w:cstheme="minorHAnsi"/>
                <w:color w:val="000000"/>
                <w:sz w:val="18"/>
                <w:szCs w:val="18"/>
                <w:lang w:val="bg-BG"/>
              </w:rPr>
              <w:t xml:space="preserve"> природозащитно състояние на видовете.  Анализът следва ясно да отчете тези тенденции, които доказват недостатъчност на усилията и да се категоризира този аспект като слабост. Трябва да се отчете и факта, че има значителен процент видове с неизвестен статус, което се дължи основно на прилагането на мониторинг.</w:t>
            </w:r>
          </w:p>
        </w:tc>
        <w:tc>
          <w:tcPr>
            <w:tcW w:w="2976" w:type="dxa"/>
            <w:shd w:val="clear" w:color="auto" w:fill="auto"/>
            <w:vAlign w:val="bottom"/>
            <w:hideMark/>
          </w:tcPr>
          <w:p w14:paraId="5EA92CE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коригира текстът като се интерпретира коректно информацията от първоизточника  и да се отнесе този аспект в раздел "слабости"</w:t>
            </w:r>
          </w:p>
        </w:tc>
      </w:tr>
      <w:tr w:rsidR="00D504A5" w:rsidRPr="00937D97" w14:paraId="0FF57B8D" w14:textId="77777777" w:rsidTr="00D504A5">
        <w:trPr>
          <w:trHeight w:val="1935"/>
        </w:trPr>
        <w:tc>
          <w:tcPr>
            <w:tcW w:w="988" w:type="dxa"/>
            <w:shd w:val="clear" w:color="auto" w:fill="auto"/>
            <w:vAlign w:val="bottom"/>
            <w:hideMark/>
          </w:tcPr>
          <w:p w14:paraId="1208BAA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0D9B761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201</w:t>
            </w:r>
          </w:p>
        </w:tc>
        <w:tc>
          <w:tcPr>
            <w:tcW w:w="5395" w:type="dxa"/>
            <w:shd w:val="clear" w:color="auto" w:fill="auto"/>
            <w:vAlign w:val="bottom"/>
            <w:hideMark/>
          </w:tcPr>
          <w:p w14:paraId="200CE9C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Силна страна 9: Природозащитният статус на земеделските местообитания (пасища), свързани със селското стопанство със стабилни или нарастващи тенденции</w:t>
            </w:r>
          </w:p>
        </w:tc>
        <w:tc>
          <w:tcPr>
            <w:tcW w:w="4111" w:type="dxa"/>
            <w:shd w:val="clear" w:color="auto" w:fill="auto"/>
            <w:vAlign w:val="bottom"/>
            <w:hideMark/>
          </w:tcPr>
          <w:p w14:paraId="2A723AD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Така представения текст е неточен и подвеждащ . Точният текст от анализа по цел 6 (стр. 120, точка 14) посочва: “Природозащитния статус на земеделските местообитания (пасища) (ОРМО Контекст-индикатор C.36 Conservation status of agricultural habitats (grassland), от интерес за Общността (Член 17 от Директивата за Хабитатите (Article 17, Habitats Directive 92/43/EEC), свързани със селското стопанство със стабилни или нарастващи тенденции показва, че в България само 15,4% са в благоприятен статус. Около 84,6% от тревните площи имат неблагоприятно-неадекватен природозащитен статус.“.</w:t>
            </w:r>
          </w:p>
        </w:tc>
        <w:tc>
          <w:tcPr>
            <w:tcW w:w="2976" w:type="dxa"/>
            <w:shd w:val="clear" w:color="auto" w:fill="auto"/>
            <w:vAlign w:val="bottom"/>
            <w:hideMark/>
          </w:tcPr>
          <w:p w14:paraId="7B47E3A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Предлагаме текстът да отпадне </w:t>
            </w:r>
          </w:p>
        </w:tc>
      </w:tr>
      <w:tr w:rsidR="00D504A5" w:rsidRPr="00937D97" w14:paraId="7A856114" w14:textId="77777777" w:rsidTr="00D504A5">
        <w:trPr>
          <w:trHeight w:val="3615"/>
        </w:trPr>
        <w:tc>
          <w:tcPr>
            <w:tcW w:w="988" w:type="dxa"/>
            <w:shd w:val="clear" w:color="auto" w:fill="auto"/>
            <w:vAlign w:val="bottom"/>
            <w:hideMark/>
          </w:tcPr>
          <w:p w14:paraId="579189B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3CDE32A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201</w:t>
            </w:r>
          </w:p>
        </w:tc>
        <w:tc>
          <w:tcPr>
            <w:tcW w:w="5395" w:type="dxa"/>
            <w:shd w:val="clear" w:color="auto" w:fill="auto"/>
            <w:vAlign w:val="bottom"/>
            <w:hideMark/>
          </w:tcPr>
          <w:p w14:paraId="334AB6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Силна страна 10.Защитените територии в България се увеличават, както по отношение на общата площ (SEBI 007), така и като брой защитените територии.</w:t>
            </w:r>
          </w:p>
        </w:tc>
        <w:tc>
          <w:tcPr>
            <w:tcW w:w="4111" w:type="dxa"/>
            <w:shd w:val="clear" w:color="auto" w:fill="auto"/>
            <w:vAlign w:val="bottom"/>
            <w:hideMark/>
          </w:tcPr>
          <w:p w14:paraId="5441265A" w14:textId="1D4C5B5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Неподходящо дефинирана силна страна. Защитените територии в България заемат едва около 5% от територията на </w:t>
            </w:r>
            <w:r w:rsidR="00A30CDB" w:rsidRPr="00937D97">
              <w:rPr>
                <w:rFonts w:eastAsia="Times New Roman" w:cstheme="minorHAnsi"/>
                <w:color w:val="000000"/>
                <w:sz w:val="18"/>
                <w:szCs w:val="18"/>
                <w:lang w:val="bg-BG"/>
              </w:rPr>
              <w:t>страната и</w:t>
            </w:r>
            <w:r w:rsidRPr="00937D97">
              <w:rPr>
                <w:rFonts w:eastAsia="Times New Roman" w:cstheme="minorHAnsi"/>
                <w:color w:val="000000"/>
                <w:sz w:val="18"/>
                <w:szCs w:val="18"/>
                <w:lang w:val="bg-BG"/>
              </w:rPr>
              <w:t xml:space="preserve"> по-голямата част от тях са гори. Според представения първоизточник в SWOT анализа (стр. 93, фиг. 6.31) е видно, че наистина за периода 2004 - 2017 г. броят и площта на защитените територии се увеличава, но в действителност в периода 2013-2017 г. площта не се изменя, а броят се променя едва забележимо. Изводът тук следва</w:t>
            </w:r>
            <w:r w:rsidR="00A30CD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 xml:space="preserve">да бъде че  броят и площта на защитените територии в страната е стабилно нисък и ако се анализира по-дълбоко - крайно недостатъчен, за да се защити адекватно биоразнообразието.  Изхождайки от целите на Европейската стратегия за биологично разнообразие 2030, където е необходимо да постигнем 10% строго защитени територии е видно, че предизвикателството пред България е голямо, особено отчитайки темповете на нарастване досега. В този смисъл и отчитайки високия % Натура 2000 и важни за биоразнообразието територии, по-логично е на тази база да се поставят защитените </w:t>
            </w:r>
            <w:r w:rsidR="00A30CDB" w:rsidRPr="00937D97">
              <w:rPr>
                <w:rFonts w:eastAsia="Times New Roman" w:cstheme="minorHAnsi"/>
                <w:color w:val="000000"/>
                <w:sz w:val="18"/>
                <w:szCs w:val="18"/>
                <w:lang w:val="bg-BG"/>
              </w:rPr>
              <w:t>територии</w:t>
            </w:r>
            <w:r w:rsidRPr="00937D97">
              <w:rPr>
                <w:rFonts w:eastAsia="Times New Roman" w:cstheme="minorHAnsi"/>
                <w:color w:val="000000"/>
                <w:sz w:val="18"/>
                <w:szCs w:val="18"/>
                <w:lang w:val="bg-BG"/>
              </w:rPr>
              <w:t xml:space="preserve"> като</w:t>
            </w:r>
            <w:r w:rsidR="00A30CD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възможност, а не като силна страна</w:t>
            </w:r>
          </w:p>
        </w:tc>
        <w:tc>
          <w:tcPr>
            <w:tcW w:w="2976" w:type="dxa"/>
            <w:shd w:val="clear" w:color="auto" w:fill="auto"/>
            <w:vAlign w:val="bottom"/>
            <w:hideMark/>
          </w:tcPr>
          <w:p w14:paraId="62693E3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отрази коректно в SWOT анализа и да се премести в раздел "възможности"</w:t>
            </w:r>
          </w:p>
        </w:tc>
      </w:tr>
      <w:tr w:rsidR="00D504A5" w:rsidRPr="00937D97" w14:paraId="31CA779F" w14:textId="77777777" w:rsidTr="00D504A5">
        <w:trPr>
          <w:trHeight w:val="315"/>
        </w:trPr>
        <w:tc>
          <w:tcPr>
            <w:tcW w:w="988" w:type="dxa"/>
            <w:shd w:val="clear" w:color="auto" w:fill="auto"/>
            <w:vAlign w:val="bottom"/>
            <w:hideMark/>
          </w:tcPr>
          <w:p w14:paraId="347C87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510377C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201</w:t>
            </w:r>
          </w:p>
        </w:tc>
        <w:tc>
          <w:tcPr>
            <w:tcW w:w="5395" w:type="dxa"/>
            <w:shd w:val="clear" w:color="auto" w:fill="auto"/>
            <w:vAlign w:val="bottom"/>
            <w:hideMark/>
          </w:tcPr>
          <w:p w14:paraId="0D17B92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3.Запазва се неблагоприятната тенденция на намаляване на видовете птици, обитаващи земеделските земи (-27%) в сравнение с ЕС (-32%).</w:t>
            </w:r>
          </w:p>
        </w:tc>
        <w:tc>
          <w:tcPr>
            <w:tcW w:w="4111" w:type="dxa"/>
            <w:shd w:val="clear" w:color="auto" w:fill="auto"/>
            <w:vAlign w:val="bottom"/>
            <w:hideMark/>
          </w:tcPr>
          <w:p w14:paraId="62270A8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Текстът не е коректен. По-горе е даден коментар. </w:t>
            </w:r>
          </w:p>
        </w:tc>
        <w:tc>
          <w:tcPr>
            <w:tcW w:w="2976" w:type="dxa"/>
            <w:shd w:val="clear" w:color="auto" w:fill="auto"/>
            <w:vAlign w:val="bottom"/>
            <w:hideMark/>
          </w:tcPr>
          <w:p w14:paraId="0ECB8C1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Необходимо е да се допълни и да се редактира текстът в смисъл, че се запазва негативна тенденция за птиците, обитаващи земеделските земи (не въобще на птиците), аналогично на европейските тенденции ( а не в сравнение с тях)</w:t>
            </w:r>
          </w:p>
        </w:tc>
      </w:tr>
      <w:tr w:rsidR="00D504A5" w:rsidRPr="00937D97" w14:paraId="16F0BFDE" w14:textId="77777777" w:rsidTr="00D504A5">
        <w:trPr>
          <w:trHeight w:val="315"/>
        </w:trPr>
        <w:tc>
          <w:tcPr>
            <w:tcW w:w="988" w:type="dxa"/>
            <w:shd w:val="clear" w:color="auto" w:fill="auto"/>
            <w:vAlign w:val="bottom"/>
            <w:hideMark/>
          </w:tcPr>
          <w:p w14:paraId="3821BD9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1901C7D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203</w:t>
            </w:r>
          </w:p>
        </w:tc>
        <w:tc>
          <w:tcPr>
            <w:tcW w:w="5395" w:type="dxa"/>
            <w:shd w:val="clear" w:color="auto" w:fill="auto"/>
            <w:vAlign w:val="bottom"/>
            <w:hideMark/>
          </w:tcPr>
          <w:p w14:paraId="745CECE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2.1.SO6.3 Identification of the relevant (elements of) national plans emanating from the legislative instruments referred to in Annex XI of the CAP plan Regulation that have been taken intoaccount in the CAP plans‘ needs assessment for this specific objective</w:t>
            </w:r>
          </w:p>
        </w:tc>
        <w:tc>
          <w:tcPr>
            <w:tcW w:w="4111" w:type="dxa"/>
            <w:shd w:val="clear" w:color="auto" w:fill="auto"/>
            <w:vAlign w:val="bottom"/>
            <w:hideMark/>
          </w:tcPr>
          <w:p w14:paraId="2BF874A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Тук текстът е по-фокусиран на отново липсват важни стратегически документи, посочени н коментарите по съответните секции по-горе</w:t>
            </w:r>
          </w:p>
        </w:tc>
        <w:tc>
          <w:tcPr>
            <w:tcW w:w="2976" w:type="dxa"/>
            <w:shd w:val="clear" w:color="auto" w:fill="auto"/>
            <w:vAlign w:val="bottom"/>
            <w:hideMark/>
          </w:tcPr>
          <w:p w14:paraId="75A0051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допълнят липсващите документи и пояснения към тях</w:t>
            </w:r>
          </w:p>
        </w:tc>
      </w:tr>
      <w:tr w:rsidR="00D504A5" w:rsidRPr="00937D97" w14:paraId="73BDF8DF" w14:textId="77777777" w:rsidTr="00D504A5">
        <w:trPr>
          <w:trHeight w:val="315"/>
        </w:trPr>
        <w:tc>
          <w:tcPr>
            <w:tcW w:w="988" w:type="dxa"/>
            <w:shd w:val="clear" w:color="auto" w:fill="auto"/>
            <w:vAlign w:val="bottom"/>
            <w:hideMark/>
          </w:tcPr>
          <w:p w14:paraId="2CFD603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1C9BD99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206</w:t>
            </w:r>
          </w:p>
        </w:tc>
        <w:tc>
          <w:tcPr>
            <w:tcW w:w="5395" w:type="dxa"/>
            <w:shd w:val="clear" w:color="auto" w:fill="auto"/>
            <w:vAlign w:val="bottom"/>
            <w:hideMark/>
          </w:tcPr>
          <w:p w14:paraId="21F6510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Забрана за преобразуване или разораване на постоянно затревените площи, определени като екологично чувствителни в зоните по НАТУРА 2000.</w:t>
            </w:r>
          </w:p>
        </w:tc>
        <w:tc>
          <w:tcPr>
            <w:tcW w:w="4111" w:type="dxa"/>
            <w:shd w:val="clear" w:color="auto" w:fill="auto"/>
            <w:vAlign w:val="bottom"/>
            <w:hideMark/>
          </w:tcPr>
          <w:p w14:paraId="018EC8E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как се определя кои са екологично чувствителни?</w:t>
            </w:r>
          </w:p>
        </w:tc>
        <w:tc>
          <w:tcPr>
            <w:tcW w:w="2976" w:type="dxa"/>
            <w:shd w:val="clear" w:color="auto" w:fill="auto"/>
            <w:vAlign w:val="bottom"/>
            <w:hideMark/>
          </w:tcPr>
          <w:p w14:paraId="5DBE974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8734781" w14:textId="77777777" w:rsidTr="00D504A5">
        <w:trPr>
          <w:trHeight w:val="315"/>
        </w:trPr>
        <w:tc>
          <w:tcPr>
            <w:tcW w:w="988" w:type="dxa"/>
            <w:shd w:val="clear" w:color="auto" w:fill="auto"/>
            <w:vAlign w:val="bottom"/>
            <w:hideMark/>
          </w:tcPr>
          <w:p w14:paraId="5A01814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интервенционна логика</w:t>
            </w:r>
          </w:p>
        </w:tc>
        <w:tc>
          <w:tcPr>
            <w:tcW w:w="700" w:type="dxa"/>
            <w:shd w:val="clear" w:color="auto" w:fill="auto"/>
            <w:noWrap/>
            <w:vAlign w:val="bottom"/>
            <w:hideMark/>
          </w:tcPr>
          <w:p w14:paraId="64C94CC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206</w:t>
            </w:r>
          </w:p>
        </w:tc>
        <w:tc>
          <w:tcPr>
            <w:tcW w:w="5395" w:type="dxa"/>
            <w:shd w:val="clear" w:color="auto" w:fill="auto"/>
            <w:vAlign w:val="bottom"/>
            <w:hideMark/>
          </w:tcPr>
          <w:p w14:paraId="1993084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 ПРСР 2014-2020 г. подпомагането в зони по Натура 2000 е базирано на компенсаторни плащания по чл. 30 от Регламент 1305 от 2013 г. В новия програмен период и във връзка с задълженията, произтичащи от Националната рамка за приоритетни действия, могат да се финансират дейности по интервенции от стратегическия документ, които надграждат въведените забрани и ограничения в системата от предварителни условия, които целят запазване на благоприятния статус и подобряването на състоянието на местообитанията и видовете. Потребността може да бъде адресирана чрез интервенция по чл. 65/67 от РСП, като включва избор на подходящи мерки и дейности, предвидени в Националната рамка за приоритетни действия 2021- 2027 г., като териториалният обхват на интервенцията и дейностите съответстват и отразяват ограничения в конкретни зони от мрежата Натура 2000 и Планове за действия на МОСВ за опазване на видове.</w:t>
            </w:r>
          </w:p>
        </w:tc>
        <w:tc>
          <w:tcPr>
            <w:tcW w:w="4111" w:type="dxa"/>
            <w:shd w:val="clear" w:color="auto" w:fill="auto"/>
            <w:vAlign w:val="bottom"/>
            <w:hideMark/>
          </w:tcPr>
          <w:p w14:paraId="38B2003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Текстът е пожелателен и  би следвало да се опишат кои точно дейности и мерки от НПРД ще се изпълняват и как</w:t>
            </w:r>
          </w:p>
        </w:tc>
        <w:tc>
          <w:tcPr>
            <w:tcW w:w="2976" w:type="dxa"/>
            <w:shd w:val="clear" w:color="auto" w:fill="auto"/>
            <w:vAlign w:val="bottom"/>
            <w:hideMark/>
          </w:tcPr>
          <w:p w14:paraId="1FBEDEB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прецизира текстът</w:t>
            </w:r>
          </w:p>
        </w:tc>
      </w:tr>
      <w:tr w:rsidR="00D504A5" w:rsidRPr="00937D97" w14:paraId="21D707D4" w14:textId="77777777" w:rsidTr="00D504A5">
        <w:trPr>
          <w:trHeight w:val="315"/>
        </w:trPr>
        <w:tc>
          <w:tcPr>
            <w:tcW w:w="988" w:type="dxa"/>
            <w:shd w:val="clear" w:color="auto" w:fill="auto"/>
            <w:vAlign w:val="bottom"/>
            <w:hideMark/>
          </w:tcPr>
          <w:p w14:paraId="798B1A1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интервенционна логика и потребности</w:t>
            </w:r>
          </w:p>
        </w:tc>
        <w:tc>
          <w:tcPr>
            <w:tcW w:w="700" w:type="dxa"/>
            <w:shd w:val="clear" w:color="auto" w:fill="auto"/>
            <w:noWrap/>
            <w:vAlign w:val="bottom"/>
            <w:hideMark/>
          </w:tcPr>
          <w:p w14:paraId="466E0FE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206</w:t>
            </w:r>
          </w:p>
        </w:tc>
        <w:tc>
          <w:tcPr>
            <w:tcW w:w="5395" w:type="dxa"/>
            <w:shd w:val="clear" w:color="auto" w:fill="auto"/>
            <w:vAlign w:val="bottom"/>
            <w:hideMark/>
          </w:tcPr>
          <w:p w14:paraId="07655D7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 Опазване и подобряване на природозащитното състояние на естествените и полуестествените местообитания, и на дивата флора и фауна от Европейски интерес</w:t>
            </w:r>
          </w:p>
        </w:tc>
        <w:tc>
          <w:tcPr>
            <w:tcW w:w="4111" w:type="dxa"/>
            <w:shd w:val="clear" w:color="auto" w:fill="auto"/>
            <w:vAlign w:val="bottom"/>
            <w:hideMark/>
          </w:tcPr>
          <w:p w14:paraId="56BFC0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2976" w:type="dxa"/>
            <w:shd w:val="clear" w:color="auto" w:fill="auto"/>
            <w:vAlign w:val="bottom"/>
            <w:hideMark/>
          </w:tcPr>
          <w:p w14:paraId="153B5FC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-Предлагаме в текста на потребността да се допълни – Опазване и подобряване на природозащитното състояние на естествените и полу-естествените местообитания (включително затревените площи с ВПС) и на дивата флора и фауна от Европейски интерес. Мотиви: Посочената слаба страна за значително намаляване на площите с ВПС в България</w:t>
            </w:r>
          </w:p>
        </w:tc>
      </w:tr>
      <w:tr w:rsidR="00D504A5" w:rsidRPr="00937D97" w14:paraId="3128C68D" w14:textId="77777777" w:rsidTr="00D504A5">
        <w:trPr>
          <w:trHeight w:val="315"/>
        </w:trPr>
        <w:tc>
          <w:tcPr>
            <w:tcW w:w="988" w:type="dxa"/>
            <w:shd w:val="clear" w:color="auto" w:fill="auto"/>
            <w:vAlign w:val="bottom"/>
            <w:hideMark/>
          </w:tcPr>
          <w:p w14:paraId="5154070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074EC1A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206</w:t>
            </w:r>
          </w:p>
        </w:tc>
        <w:tc>
          <w:tcPr>
            <w:tcW w:w="5395" w:type="dxa"/>
            <w:shd w:val="clear" w:color="auto" w:fill="auto"/>
            <w:vAlign w:val="bottom"/>
            <w:hideMark/>
          </w:tcPr>
          <w:p w14:paraId="7368769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Приносът на интервенцията за опазването на биологичното разнообразие в България, чрез опазването на видовете и местообитанията в естествената им среда е от съществено значение. Устойчивите екосистеми в добро състояние притежават голям потенциал за смекчаване на последиците от изменението на климата и приспособяването към тях. Придобиване на знания и умения за прилагане на природосъобразни практики върху земите, попадащи в обхвата на мрежата Натура 2000, допринася за стабилна тенденция на природозащитният статус на земеделските местообитания, свързани със селското стопанство. Осигуряване на висок дял на земеделските площи в Натура 2000.</w:t>
            </w:r>
          </w:p>
        </w:tc>
        <w:tc>
          <w:tcPr>
            <w:tcW w:w="4111" w:type="dxa"/>
            <w:shd w:val="clear" w:color="auto" w:fill="auto"/>
            <w:vAlign w:val="bottom"/>
            <w:hideMark/>
          </w:tcPr>
          <w:p w14:paraId="099A64E9" w14:textId="70B8595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как ще стане това, ако плащанията са само и единствено за спазването на ограниченията? и </w:t>
            </w:r>
            <w:r w:rsidR="00A30CDB" w:rsidRPr="00937D97">
              <w:rPr>
                <w:rFonts w:eastAsia="Times New Roman" w:cstheme="minorHAnsi"/>
                <w:color w:val="000000"/>
                <w:sz w:val="18"/>
                <w:szCs w:val="18"/>
                <w:lang w:val="bg-BG"/>
              </w:rPr>
              <w:t>как</w:t>
            </w:r>
            <w:r w:rsidRPr="00937D97">
              <w:rPr>
                <w:rFonts w:eastAsia="Times New Roman" w:cstheme="minorHAnsi"/>
                <w:color w:val="000000"/>
                <w:sz w:val="18"/>
                <w:szCs w:val="18"/>
                <w:lang w:val="bg-BG"/>
              </w:rPr>
              <w:t xml:space="preserve"> ще се придобият знания и учения?</w:t>
            </w:r>
          </w:p>
        </w:tc>
        <w:tc>
          <w:tcPr>
            <w:tcW w:w="2976" w:type="dxa"/>
            <w:shd w:val="clear" w:color="auto" w:fill="auto"/>
            <w:vAlign w:val="bottom"/>
            <w:hideMark/>
          </w:tcPr>
          <w:p w14:paraId="031E0169" w14:textId="2A5FE27D" w:rsidR="00937D97" w:rsidRPr="00937D97" w:rsidRDefault="00A30CDB"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или</w:t>
            </w:r>
            <w:r w:rsidR="00937D97" w:rsidRPr="00937D97">
              <w:rPr>
                <w:rFonts w:eastAsia="Times New Roman" w:cstheme="minorHAnsi"/>
                <w:color w:val="000000"/>
                <w:sz w:val="18"/>
                <w:szCs w:val="18"/>
                <w:lang w:val="bg-BG"/>
              </w:rPr>
              <w:t xml:space="preserve"> очакванията трябва да се прецизират или мярката да се промени</w:t>
            </w:r>
          </w:p>
        </w:tc>
      </w:tr>
      <w:tr w:rsidR="00D504A5" w:rsidRPr="00937D97" w14:paraId="59332D5C" w14:textId="77777777" w:rsidTr="00D504A5">
        <w:trPr>
          <w:trHeight w:val="975"/>
        </w:trPr>
        <w:tc>
          <w:tcPr>
            <w:tcW w:w="988" w:type="dxa"/>
            <w:shd w:val="clear" w:color="auto" w:fill="auto"/>
            <w:vAlign w:val="bottom"/>
            <w:hideMark/>
          </w:tcPr>
          <w:p w14:paraId="0455EBE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6 - SWOT</w:t>
            </w:r>
          </w:p>
        </w:tc>
        <w:tc>
          <w:tcPr>
            <w:tcW w:w="700" w:type="dxa"/>
            <w:shd w:val="clear" w:color="auto" w:fill="auto"/>
            <w:noWrap/>
            <w:vAlign w:val="bottom"/>
            <w:hideMark/>
          </w:tcPr>
          <w:p w14:paraId="3F2F8A9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211</w:t>
            </w:r>
          </w:p>
        </w:tc>
        <w:tc>
          <w:tcPr>
            <w:tcW w:w="5395" w:type="dxa"/>
            <w:shd w:val="clear" w:color="auto" w:fill="auto"/>
            <w:vAlign w:val="bottom"/>
            <w:hideMark/>
          </w:tcPr>
          <w:p w14:paraId="1DE42D3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2.1.SO5.5 Where relevant, a justification for the use of InvestEU, including the amount and its expected contribution to the Specific Objective/Cross-Cutting Objective</w:t>
            </w:r>
          </w:p>
        </w:tc>
        <w:tc>
          <w:tcPr>
            <w:tcW w:w="4111" w:type="dxa"/>
            <w:shd w:val="clear" w:color="auto" w:fill="auto"/>
            <w:vAlign w:val="bottom"/>
            <w:hideMark/>
          </w:tcPr>
          <w:p w14:paraId="55A6EAC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е попълнено</w:t>
            </w:r>
          </w:p>
        </w:tc>
        <w:tc>
          <w:tcPr>
            <w:tcW w:w="2976" w:type="dxa"/>
            <w:shd w:val="clear" w:color="auto" w:fill="auto"/>
            <w:vAlign w:val="bottom"/>
            <w:hideMark/>
          </w:tcPr>
          <w:p w14:paraId="7F8981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да се добави</w:t>
            </w:r>
          </w:p>
        </w:tc>
      </w:tr>
      <w:tr w:rsidR="00D504A5" w:rsidRPr="00937D97" w14:paraId="0D5F2CB5" w14:textId="77777777" w:rsidTr="00D504A5">
        <w:trPr>
          <w:trHeight w:val="315"/>
        </w:trPr>
        <w:tc>
          <w:tcPr>
            <w:tcW w:w="988" w:type="dxa"/>
            <w:shd w:val="clear" w:color="auto" w:fill="auto"/>
            <w:vAlign w:val="bottom"/>
            <w:hideMark/>
          </w:tcPr>
          <w:p w14:paraId="1B6004F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7 - SWOT</w:t>
            </w:r>
          </w:p>
        </w:tc>
        <w:tc>
          <w:tcPr>
            <w:tcW w:w="700" w:type="dxa"/>
            <w:shd w:val="clear" w:color="auto" w:fill="auto"/>
            <w:noWrap/>
            <w:vAlign w:val="bottom"/>
            <w:hideMark/>
          </w:tcPr>
          <w:p w14:paraId="2E540FC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213</w:t>
            </w:r>
          </w:p>
        </w:tc>
        <w:tc>
          <w:tcPr>
            <w:tcW w:w="5395" w:type="dxa"/>
            <w:shd w:val="clear" w:color="auto" w:fill="auto"/>
            <w:vAlign w:val="bottom"/>
            <w:hideMark/>
          </w:tcPr>
          <w:p w14:paraId="69EED86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2.1.SO7.1.1 Strengths</w:t>
            </w:r>
          </w:p>
        </w:tc>
        <w:tc>
          <w:tcPr>
            <w:tcW w:w="4111" w:type="dxa"/>
            <w:shd w:val="clear" w:color="auto" w:fill="auto"/>
            <w:vAlign w:val="bottom"/>
            <w:hideMark/>
          </w:tcPr>
          <w:p w14:paraId="0AF1CD34" w14:textId="37E55BAD"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 отново какво е постигнато със </w:t>
            </w:r>
            <w:r w:rsidR="00A30CDB" w:rsidRPr="00937D97">
              <w:rPr>
                <w:rFonts w:eastAsia="Times New Roman" w:cstheme="minorHAnsi"/>
                <w:color w:val="000000"/>
                <w:sz w:val="18"/>
                <w:szCs w:val="18"/>
                <w:lang w:val="bg-BG"/>
              </w:rPr>
              <w:t>средствата</w:t>
            </w:r>
            <w:r w:rsidRPr="00937D97">
              <w:rPr>
                <w:rFonts w:eastAsia="Times New Roman" w:cstheme="minorHAnsi"/>
                <w:color w:val="000000"/>
                <w:sz w:val="18"/>
                <w:szCs w:val="18"/>
                <w:lang w:val="bg-BG"/>
              </w:rPr>
              <w:t xml:space="preserve"> </w:t>
            </w:r>
            <w:r w:rsidR="00A30CDB" w:rsidRPr="00937D97">
              <w:rPr>
                <w:rFonts w:eastAsia="Times New Roman" w:cstheme="minorHAnsi"/>
                <w:color w:val="000000"/>
                <w:sz w:val="18"/>
                <w:szCs w:val="18"/>
                <w:lang w:val="bg-BG"/>
              </w:rPr>
              <w:t>вложени</w:t>
            </w:r>
            <w:r w:rsidRPr="00937D97">
              <w:rPr>
                <w:rFonts w:eastAsia="Times New Roman" w:cstheme="minorHAnsi"/>
                <w:color w:val="000000"/>
                <w:sz w:val="18"/>
                <w:szCs w:val="18"/>
                <w:lang w:val="bg-BG"/>
              </w:rPr>
              <w:t xml:space="preserve"> в предходните периоди както и някакво цифрово изражение на твърденията "по-висок ..." и т.н., които биха служили и като базови стойности за постигнатото през следващия планов период; като виждам ка</w:t>
            </w:r>
            <w:r w:rsidR="00A30CDB">
              <w:rPr>
                <w:rFonts w:eastAsia="Times New Roman" w:cstheme="minorHAnsi"/>
                <w:color w:val="000000"/>
                <w:sz w:val="18"/>
                <w:szCs w:val="18"/>
                <w:lang w:val="bg-BG"/>
              </w:rPr>
              <w:t>к</w:t>
            </w:r>
            <w:r w:rsidRPr="00937D97">
              <w:rPr>
                <w:rFonts w:eastAsia="Times New Roman" w:cstheme="minorHAnsi"/>
                <w:color w:val="000000"/>
                <w:sz w:val="18"/>
                <w:szCs w:val="18"/>
                <w:lang w:val="bg-BG"/>
              </w:rPr>
              <w:t xml:space="preserve"> избирателно и некоректно е правен анализа за цел 6 - </w:t>
            </w:r>
            <w:r w:rsidR="00A30CDB" w:rsidRPr="00937D97">
              <w:rPr>
                <w:rFonts w:eastAsia="Times New Roman" w:cstheme="minorHAnsi"/>
                <w:color w:val="000000"/>
                <w:sz w:val="18"/>
                <w:szCs w:val="18"/>
                <w:lang w:val="bg-BG"/>
              </w:rPr>
              <w:t>трябва</w:t>
            </w:r>
            <w:r w:rsidRPr="00937D97">
              <w:rPr>
                <w:rFonts w:eastAsia="Times New Roman" w:cstheme="minorHAnsi"/>
                <w:color w:val="000000"/>
                <w:sz w:val="18"/>
                <w:szCs w:val="18"/>
                <w:lang w:val="bg-BG"/>
              </w:rPr>
              <w:t xml:space="preserve"> д</w:t>
            </w:r>
            <w:r w:rsidR="00A30CDB">
              <w:rPr>
                <w:rFonts w:eastAsia="Times New Roman" w:cstheme="minorHAnsi"/>
                <w:color w:val="000000"/>
                <w:sz w:val="18"/>
                <w:szCs w:val="18"/>
                <w:lang w:val="bg-BG"/>
              </w:rPr>
              <w:t>а</w:t>
            </w:r>
            <w:r w:rsidRPr="00937D97">
              <w:rPr>
                <w:rFonts w:eastAsia="Times New Roman" w:cstheme="minorHAnsi"/>
                <w:color w:val="000000"/>
                <w:sz w:val="18"/>
                <w:szCs w:val="18"/>
                <w:lang w:val="bg-BG"/>
              </w:rPr>
              <w:t xml:space="preserve"> </w:t>
            </w:r>
            <w:r w:rsidR="00A30CDB">
              <w:rPr>
                <w:rFonts w:eastAsia="Times New Roman" w:cstheme="minorHAnsi"/>
                <w:color w:val="000000"/>
                <w:sz w:val="18"/>
                <w:szCs w:val="18"/>
                <w:lang w:val="bg-BG"/>
              </w:rPr>
              <w:t>се</w:t>
            </w:r>
            <w:r w:rsidRPr="00937D97">
              <w:rPr>
                <w:rFonts w:eastAsia="Times New Roman" w:cstheme="minorHAnsi"/>
                <w:color w:val="000000"/>
                <w:sz w:val="18"/>
                <w:szCs w:val="18"/>
                <w:lang w:val="bg-BG"/>
              </w:rPr>
              <w:t xml:space="preserve"> провери отново дали информацията тук е коректно отразена</w:t>
            </w:r>
          </w:p>
        </w:tc>
        <w:tc>
          <w:tcPr>
            <w:tcW w:w="2976" w:type="dxa"/>
            <w:shd w:val="clear" w:color="auto" w:fill="auto"/>
            <w:vAlign w:val="bottom"/>
            <w:hideMark/>
          </w:tcPr>
          <w:p w14:paraId="795A042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E733654" w14:textId="77777777" w:rsidTr="00D504A5">
        <w:trPr>
          <w:trHeight w:val="315"/>
        </w:trPr>
        <w:tc>
          <w:tcPr>
            <w:tcW w:w="988" w:type="dxa"/>
            <w:shd w:val="clear" w:color="auto" w:fill="auto"/>
            <w:vAlign w:val="bottom"/>
            <w:hideMark/>
          </w:tcPr>
          <w:p w14:paraId="1742E70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7 - SWOT</w:t>
            </w:r>
          </w:p>
        </w:tc>
        <w:tc>
          <w:tcPr>
            <w:tcW w:w="700" w:type="dxa"/>
            <w:shd w:val="clear" w:color="auto" w:fill="auto"/>
            <w:noWrap/>
            <w:vAlign w:val="bottom"/>
            <w:hideMark/>
          </w:tcPr>
          <w:p w14:paraId="2BC45A6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213</w:t>
            </w:r>
          </w:p>
        </w:tc>
        <w:tc>
          <w:tcPr>
            <w:tcW w:w="5395" w:type="dxa"/>
            <w:shd w:val="clear" w:color="auto" w:fill="auto"/>
            <w:vAlign w:val="bottom"/>
            <w:hideMark/>
          </w:tcPr>
          <w:p w14:paraId="26CE004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2.1.SO7.1.2 Weaknesses</w:t>
            </w:r>
          </w:p>
        </w:tc>
        <w:tc>
          <w:tcPr>
            <w:tcW w:w="4111" w:type="dxa"/>
            <w:shd w:val="clear" w:color="auto" w:fill="auto"/>
            <w:vAlign w:val="bottom"/>
            <w:hideMark/>
          </w:tcPr>
          <w:p w14:paraId="47EEA214" w14:textId="570CA54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Като се описват слабите страни, не е ясно </w:t>
            </w:r>
            <w:r w:rsidR="00A30CDB" w:rsidRPr="00937D97">
              <w:rPr>
                <w:rFonts w:eastAsia="Times New Roman" w:cstheme="minorHAnsi"/>
                <w:color w:val="000000"/>
                <w:sz w:val="18"/>
                <w:szCs w:val="18"/>
                <w:lang w:val="bg-BG"/>
              </w:rPr>
              <w:t>всъщност</w:t>
            </w:r>
            <w:r w:rsidRPr="00937D97">
              <w:rPr>
                <w:rFonts w:eastAsia="Times New Roman" w:cstheme="minorHAnsi"/>
                <w:color w:val="000000"/>
                <w:sz w:val="18"/>
                <w:szCs w:val="18"/>
                <w:lang w:val="bg-BG"/>
              </w:rPr>
              <w:t xml:space="preserve"> какво са допринесли еврофондовете досега</w:t>
            </w:r>
          </w:p>
        </w:tc>
        <w:tc>
          <w:tcPr>
            <w:tcW w:w="2976" w:type="dxa"/>
            <w:shd w:val="clear" w:color="auto" w:fill="auto"/>
            <w:vAlign w:val="bottom"/>
            <w:hideMark/>
          </w:tcPr>
          <w:p w14:paraId="28CCA8C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535504E" w14:textId="77777777" w:rsidTr="00D504A5">
        <w:trPr>
          <w:trHeight w:val="315"/>
        </w:trPr>
        <w:tc>
          <w:tcPr>
            <w:tcW w:w="988" w:type="dxa"/>
            <w:shd w:val="clear" w:color="auto" w:fill="auto"/>
            <w:vAlign w:val="bottom"/>
            <w:hideMark/>
          </w:tcPr>
          <w:p w14:paraId="34F8072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7 - SWOT</w:t>
            </w:r>
          </w:p>
        </w:tc>
        <w:tc>
          <w:tcPr>
            <w:tcW w:w="700" w:type="dxa"/>
            <w:shd w:val="clear" w:color="auto" w:fill="auto"/>
            <w:noWrap/>
            <w:vAlign w:val="bottom"/>
            <w:hideMark/>
          </w:tcPr>
          <w:p w14:paraId="31AE4BD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216</w:t>
            </w:r>
          </w:p>
        </w:tc>
        <w:tc>
          <w:tcPr>
            <w:tcW w:w="5395" w:type="dxa"/>
            <w:shd w:val="clear" w:color="auto" w:fill="auto"/>
            <w:vAlign w:val="bottom"/>
            <w:hideMark/>
          </w:tcPr>
          <w:p w14:paraId="069F87E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Избор на показатели за резултатите за тази специфична цел</w:t>
            </w:r>
          </w:p>
        </w:tc>
        <w:tc>
          <w:tcPr>
            <w:tcW w:w="4111" w:type="dxa"/>
            <w:shd w:val="clear" w:color="auto" w:fill="auto"/>
            <w:vAlign w:val="bottom"/>
            <w:hideMark/>
          </w:tcPr>
          <w:p w14:paraId="312DE09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 тук няма базова стойност на единствения индикатор. За четири интервенции има само един индикатор за резултат</w:t>
            </w:r>
          </w:p>
        </w:tc>
        <w:tc>
          <w:tcPr>
            <w:tcW w:w="2976" w:type="dxa"/>
            <w:shd w:val="clear" w:color="auto" w:fill="auto"/>
            <w:vAlign w:val="bottom"/>
            <w:hideMark/>
          </w:tcPr>
          <w:p w14:paraId="480CFC3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7C460B0" w14:textId="77777777" w:rsidTr="00D504A5">
        <w:trPr>
          <w:trHeight w:val="315"/>
        </w:trPr>
        <w:tc>
          <w:tcPr>
            <w:tcW w:w="988" w:type="dxa"/>
            <w:shd w:val="clear" w:color="auto" w:fill="auto"/>
            <w:vAlign w:val="bottom"/>
            <w:hideMark/>
          </w:tcPr>
          <w:p w14:paraId="5956974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067FB17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218 и т.н</w:t>
            </w:r>
          </w:p>
        </w:tc>
        <w:tc>
          <w:tcPr>
            <w:tcW w:w="5395" w:type="dxa"/>
            <w:shd w:val="clear" w:color="auto" w:fill="auto"/>
            <w:vAlign w:val="bottom"/>
            <w:hideMark/>
          </w:tcPr>
          <w:p w14:paraId="6BC82E9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Promote employment, growth, gender equality, including the participation of women in farming, social inclusion and local development in rural areas, including the circular bio-economy and sustainable forestry</w:t>
            </w:r>
          </w:p>
        </w:tc>
        <w:tc>
          <w:tcPr>
            <w:tcW w:w="4111" w:type="dxa"/>
            <w:shd w:val="clear" w:color="auto" w:fill="auto"/>
            <w:vAlign w:val="bottom"/>
            <w:hideMark/>
          </w:tcPr>
          <w:p w14:paraId="79AF790B" w14:textId="3413A449"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 интервенционната политика не е заложени </w:t>
            </w:r>
            <w:r w:rsidR="00A30CDB" w:rsidRPr="00937D97">
              <w:rPr>
                <w:rFonts w:eastAsia="Times New Roman" w:cstheme="minorHAnsi"/>
                <w:color w:val="000000"/>
                <w:sz w:val="18"/>
                <w:szCs w:val="18"/>
                <w:lang w:val="bg-BG"/>
              </w:rPr>
              <w:t>нищо</w:t>
            </w:r>
            <w:r w:rsidRPr="00937D97">
              <w:rPr>
                <w:rFonts w:eastAsia="Times New Roman" w:cstheme="minorHAnsi"/>
                <w:color w:val="000000"/>
                <w:sz w:val="18"/>
                <w:szCs w:val="18"/>
                <w:lang w:val="bg-BG"/>
              </w:rPr>
              <w:t xml:space="preserve"> за равнопоставеност на половете и за ангажирането на жените!!! -  и</w:t>
            </w:r>
            <w:r w:rsidR="00A30CDB">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в SWOTa не се засяга въпроса</w:t>
            </w:r>
          </w:p>
        </w:tc>
        <w:tc>
          <w:tcPr>
            <w:tcW w:w="2976" w:type="dxa"/>
            <w:shd w:val="clear" w:color="auto" w:fill="auto"/>
            <w:vAlign w:val="bottom"/>
            <w:hideMark/>
          </w:tcPr>
          <w:p w14:paraId="5BC38B5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643ED81" w14:textId="77777777" w:rsidTr="00D504A5">
        <w:trPr>
          <w:trHeight w:val="315"/>
        </w:trPr>
        <w:tc>
          <w:tcPr>
            <w:tcW w:w="988" w:type="dxa"/>
            <w:shd w:val="clear" w:color="auto" w:fill="auto"/>
            <w:vAlign w:val="bottom"/>
            <w:hideMark/>
          </w:tcPr>
          <w:p w14:paraId="43BE3DF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0C773E0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219</w:t>
            </w:r>
          </w:p>
        </w:tc>
        <w:tc>
          <w:tcPr>
            <w:tcW w:w="5395" w:type="dxa"/>
            <w:shd w:val="clear" w:color="auto" w:fill="auto"/>
            <w:vAlign w:val="bottom"/>
            <w:hideMark/>
          </w:tcPr>
          <w:p w14:paraId="55945A5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9.Създаване на индустриални зони в общини с подходящи терени</w:t>
            </w:r>
          </w:p>
        </w:tc>
        <w:tc>
          <w:tcPr>
            <w:tcW w:w="4111" w:type="dxa"/>
            <w:shd w:val="clear" w:color="auto" w:fill="auto"/>
            <w:vAlign w:val="bottom"/>
            <w:hideMark/>
          </w:tcPr>
          <w:p w14:paraId="375B228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рискова възможност от гледна точка биоразнообразие</w:t>
            </w:r>
          </w:p>
        </w:tc>
        <w:tc>
          <w:tcPr>
            <w:tcW w:w="2976" w:type="dxa"/>
            <w:shd w:val="clear" w:color="auto" w:fill="auto"/>
            <w:vAlign w:val="bottom"/>
            <w:hideMark/>
          </w:tcPr>
          <w:p w14:paraId="3E48B49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0788F26" w14:textId="77777777" w:rsidTr="00D504A5">
        <w:trPr>
          <w:trHeight w:val="315"/>
        </w:trPr>
        <w:tc>
          <w:tcPr>
            <w:tcW w:w="988" w:type="dxa"/>
            <w:shd w:val="clear" w:color="auto" w:fill="auto"/>
            <w:vAlign w:val="bottom"/>
            <w:hideMark/>
          </w:tcPr>
          <w:p w14:paraId="76FB24A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2FA2288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219</w:t>
            </w:r>
          </w:p>
        </w:tc>
        <w:tc>
          <w:tcPr>
            <w:tcW w:w="5395" w:type="dxa"/>
            <w:shd w:val="clear" w:color="auto" w:fill="auto"/>
            <w:vAlign w:val="bottom"/>
            <w:hideMark/>
          </w:tcPr>
          <w:p w14:paraId="7AF962F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10. Развитие на алтернативен туризъм в селските райони, където има съчетание на запазен горски фонд, исторически и културни забележителности, разнообразна флора и фауна. Дигитализация на туристическият сектор и въвеждане на иновативни технологии</w:t>
            </w:r>
          </w:p>
        </w:tc>
        <w:tc>
          <w:tcPr>
            <w:tcW w:w="4111" w:type="dxa"/>
            <w:shd w:val="clear" w:color="auto" w:fill="auto"/>
            <w:vAlign w:val="bottom"/>
            <w:hideMark/>
          </w:tcPr>
          <w:p w14:paraId="4C565FB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добра възможност</w:t>
            </w:r>
          </w:p>
        </w:tc>
        <w:tc>
          <w:tcPr>
            <w:tcW w:w="2976" w:type="dxa"/>
            <w:shd w:val="clear" w:color="auto" w:fill="auto"/>
            <w:vAlign w:val="bottom"/>
            <w:hideMark/>
          </w:tcPr>
          <w:p w14:paraId="28A3D6E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D0307AE" w14:textId="77777777" w:rsidTr="00D504A5">
        <w:trPr>
          <w:trHeight w:val="315"/>
        </w:trPr>
        <w:tc>
          <w:tcPr>
            <w:tcW w:w="988" w:type="dxa"/>
            <w:shd w:val="clear" w:color="auto" w:fill="auto"/>
            <w:vAlign w:val="bottom"/>
            <w:hideMark/>
          </w:tcPr>
          <w:p w14:paraId="1C186AD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780D9A4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219</w:t>
            </w:r>
          </w:p>
        </w:tc>
        <w:tc>
          <w:tcPr>
            <w:tcW w:w="5395" w:type="dxa"/>
            <w:shd w:val="clear" w:color="auto" w:fill="auto"/>
            <w:vAlign w:val="bottom"/>
            <w:hideMark/>
          </w:tcPr>
          <w:p w14:paraId="3CE4E7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21.Подобряване на водоснабдяването и изграждане на допълнителни водоизточници в населените места с недостиг и режим на вода.</w:t>
            </w:r>
          </w:p>
        </w:tc>
        <w:tc>
          <w:tcPr>
            <w:tcW w:w="4111" w:type="dxa"/>
            <w:shd w:val="clear" w:color="auto" w:fill="auto"/>
            <w:vAlign w:val="bottom"/>
            <w:hideMark/>
          </w:tcPr>
          <w:p w14:paraId="348CDCF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рискова възможност от гледна точка биоразнообразие</w:t>
            </w:r>
          </w:p>
        </w:tc>
        <w:tc>
          <w:tcPr>
            <w:tcW w:w="2976" w:type="dxa"/>
            <w:shd w:val="clear" w:color="auto" w:fill="auto"/>
            <w:vAlign w:val="bottom"/>
            <w:hideMark/>
          </w:tcPr>
          <w:p w14:paraId="1B04AA3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8DD3E93" w14:textId="77777777" w:rsidTr="00D504A5">
        <w:trPr>
          <w:trHeight w:val="315"/>
        </w:trPr>
        <w:tc>
          <w:tcPr>
            <w:tcW w:w="988" w:type="dxa"/>
            <w:shd w:val="clear" w:color="auto" w:fill="auto"/>
            <w:vAlign w:val="bottom"/>
            <w:hideMark/>
          </w:tcPr>
          <w:p w14:paraId="184A4FD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63ED48C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219</w:t>
            </w:r>
          </w:p>
        </w:tc>
        <w:tc>
          <w:tcPr>
            <w:tcW w:w="5395" w:type="dxa"/>
            <w:shd w:val="clear" w:color="auto" w:fill="auto"/>
            <w:vAlign w:val="bottom"/>
            <w:hideMark/>
          </w:tcPr>
          <w:p w14:paraId="210E7EF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22.Реконструкция и/или рехабилитация на водоснабдителни системи и съоръжения и намаляване на загубите на вода;</w:t>
            </w:r>
          </w:p>
        </w:tc>
        <w:tc>
          <w:tcPr>
            <w:tcW w:w="4111" w:type="dxa"/>
            <w:shd w:val="clear" w:color="auto" w:fill="auto"/>
            <w:vAlign w:val="bottom"/>
            <w:hideMark/>
          </w:tcPr>
          <w:p w14:paraId="4429C72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рискова възможност от гледна точка биоразнообразие</w:t>
            </w:r>
          </w:p>
        </w:tc>
        <w:tc>
          <w:tcPr>
            <w:tcW w:w="2976" w:type="dxa"/>
            <w:shd w:val="clear" w:color="auto" w:fill="auto"/>
            <w:vAlign w:val="bottom"/>
            <w:hideMark/>
          </w:tcPr>
          <w:p w14:paraId="11CA4C4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C6DF785" w14:textId="77777777" w:rsidTr="00D504A5">
        <w:trPr>
          <w:trHeight w:val="315"/>
        </w:trPr>
        <w:tc>
          <w:tcPr>
            <w:tcW w:w="988" w:type="dxa"/>
            <w:shd w:val="clear" w:color="auto" w:fill="auto"/>
            <w:vAlign w:val="bottom"/>
            <w:hideMark/>
          </w:tcPr>
          <w:p w14:paraId="7AB64DC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2101BFE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226</w:t>
            </w:r>
          </w:p>
        </w:tc>
        <w:tc>
          <w:tcPr>
            <w:tcW w:w="5395" w:type="dxa"/>
            <w:shd w:val="clear" w:color="auto" w:fill="auto"/>
            <w:vAlign w:val="bottom"/>
            <w:hideMark/>
          </w:tcPr>
          <w:p w14:paraId="5B2AEA9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2.1.SO8.8 Selection of the result indicator(s)</w:t>
            </w:r>
          </w:p>
        </w:tc>
        <w:tc>
          <w:tcPr>
            <w:tcW w:w="4111" w:type="dxa"/>
            <w:shd w:val="clear" w:color="auto" w:fill="auto"/>
            <w:vAlign w:val="bottom"/>
            <w:hideMark/>
          </w:tcPr>
          <w:p w14:paraId="187754A4" w14:textId="7929503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прави впечатление че тук има по-добра </w:t>
            </w:r>
            <w:r w:rsidR="00A30CDB" w:rsidRPr="00937D97">
              <w:rPr>
                <w:rFonts w:eastAsia="Times New Roman" w:cstheme="minorHAnsi"/>
                <w:color w:val="000000"/>
                <w:sz w:val="18"/>
                <w:szCs w:val="18"/>
                <w:lang w:val="bg-BG"/>
              </w:rPr>
              <w:t>затъпеност</w:t>
            </w:r>
            <w:r w:rsidRPr="00937D97">
              <w:rPr>
                <w:rFonts w:eastAsia="Times New Roman" w:cstheme="minorHAnsi"/>
                <w:color w:val="000000"/>
                <w:sz w:val="18"/>
                <w:szCs w:val="18"/>
                <w:lang w:val="bg-BG"/>
              </w:rPr>
              <w:t xml:space="preserve"> на индикатори за резултат; в същото време за два от индикаторите и ма целеви стойности </w:t>
            </w:r>
            <w:r w:rsidR="00A30CDB" w:rsidRPr="00937D97">
              <w:rPr>
                <w:rFonts w:eastAsia="Times New Roman" w:cstheme="minorHAnsi"/>
                <w:color w:val="000000"/>
                <w:sz w:val="18"/>
                <w:szCs w:val="18"/>
                <w:lang w:val="bg-BG"/>
              </w:rPr>
              <w:t>много</w:t>
            </w:r>
            <w:r w:rsidRPr="00937D97">
              <w:rPr>
                <w:rFonts w:eastAsia="Times New Roman" w:cstheme="minorHAnsi"/>
                <w:color w:val="000000"/>
                <w:sz w:val="18"/>
                <w:szCs w:val="18"/>
                <w:lang w:val="bg-BG"/>
              </w:rPr>
              <w:t xml:space="preserve"> над 100%. Учудващо е как в природозащитните цели са с много ниска амбиция - в повечето случаи дори под 20%, </w:t>
            </w:r>
            <w:r w:rsidR="00A30CDB">
              <w:rPr>
                <w:rFonts w:eastAsia="Times New Roman" w:cstheme="minorHAnsi"/>
                <w:color w:val="000000"/>
                <w:sz w:val="18"/>
                <w:szCs w:val="18"/>
                <w:lang w:val="bg-BG"/>
              </w:rPr>
              <w:t xml:space="preserve">докато във </w:t>
            </w:r>
            <w:r w:rsidRPr="00937D97">
              <w:rPr>
                <w:rFonts w:eastAsia="Times New Roman" w:cstheme="minorHAnsi"/>
                <w:color w:val="000000"/>
                <w:sz w:val="18"/>
                <w:szCs w:val="18"/>
                <w:lang w:val="bg-BG"/>
              </w:rPr>
              <w:t>всички други цели амбициите наближават 100%, а в някои случаи и над 100%. Проблем и тук е липсата на базови стойности</w:t>
            </w:r>
          </w:p>
        </w:tc>
        <w:tc>
          <w:tcPr>
            <w:tcW w:w="2976" w:type="dxa"/>
            <w:shd w:val="clear" w:color="auto" w:fill="auto"/>
            <w:vAlign w:val="bottom"/>
            <w:hideMark/>
          </w:tcPr>
          <w:p w14:paraId="34F6D59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F135AA6" w14:textId="77777777" w:rsidTr="00D504A5">
        <w:trPr>
          <w:trHeight w:val="315"/>
        </w:trPr>
        <w:tc>
          <w:tcPr>
            <w:tcW w:w="988" w:type="dxa"/>
            <w:shd w:val="clear" w:color="auto" w:fill="auto"/>
            <w:vAlign w:val="bottom"/>
            <w:hideMark/>
          </w:tcPr>
          <w:p w14:paraId="21BDA3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08DF15E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226</w:t>
            </w:r>
          </w:p>
        </w:tc>
        <w:tc>
          <w:tcPr>
            <w:tcW w:w="5395" w:type="dxa"/>
            <w:shd w:val="clear" w:color="auto" w:fill="auto"/>
            <w:vAlign w:val="bottom"/>
            <w:hideMark/>
          </w:tcPr>
          <w:p w14:paraId="7157E68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5434C9C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082E30D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45CDB54A" w14:textId="77777777" w:rsidTr="00D504A5">
        <w:trPr>
          <w:trHeight w:val="315"/>
        </w:trPr>
        <w:tc>
          <w:tcPr>
            <w:tcW w:w="988" w:type="dxa"/>
            <w:shd w:val="clear" w:color="auto" w:fill="auto"/>
            <w:vAlign w:val="bottom"/>
            <w:hideMark/>
          </w:tcPr>
          <w:p w14:paraId="5489904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8 - SWOT</w:t>
            </w:r>
          </w:p>
        </w:tc>
        <w:tc>
          <w:tcPr>
            <w:tcW w:w="700" w:type="dxa"/>
            <w:shd w:val="clear" w:color="auto" w:fill="auto"/>
            <w:noWrap/>
            <w:vAlign w:val="bottom"/>
            <w:hideMark/>
          </w:tcPr>
          <w:p w14:paraId="33C3061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226</w:t>
            </w:r>
          </w:p>
        </w:tc>
        <w:tc>
          <w:tcPr>
            <w:tcW w:w="5395" w:type="dxa"/>
            <w:shd w:val="clear" w:color="auto" w:fill="auto"/>
            <w:vAlign w:val="bottom"/>
            <w:hideMark/>
          </w:tcPr>
          <w:p w14:paraId="5BCDABF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Финансовото разпределение за интервенциите, програмирани по Цел 8,</w:t>
            </w:r>
          </w:p>
        </w:tc>
        <w:tc>
          <w:tcPr>
            <w:tcW w:w="4111" w:type="dxa"/>
            <w:shd w:val="clear" w:color="auto" w:fill="auto"/>
            <w:vAlign w:val="bottom"/>
            <w:hideMark/>
          </w:tcPr>
          <w:p w14:paraId="7C4A4BF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обща финансова обосновка</w:t>
            </w:r>
          </w:p>
        </w:tc>
        <w:tc>
          <w:tcPr>
            <w:tcW w:w="2976" w:type="dxa"/>
            <w:shd w:val="clear" w:color="auto" w:fill="auto"/>
            <w:vAlign w:val="bottom"/>
            <w:hideMark/>
          </w:tcPr>
          <w:p w14:paraId="49510F8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9773FB7" w14:textId="77777777" w:rsidTr="00D504A5">
        <w:trPr>
          <w:trHeight w:val="315"/>
        </w:trPr>
        <w:tc>
          <w:tcPr>
            <w:tcW w:w="988" w:type="dxa"/>
            <w:shd w:val="clear" w:color="auto" w:fill="auto"/>
            <w:vAlign w:val="bottom"/>
            <w:hideMark/>
          </w:tcPr>
          <w:p w14:paraId="7FB0AC6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2B454DF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228</w:t>
            </w:r>
          </w:p>
        </w:tc>
        <w:tc>
          <w:tcPr>
            <w:tcW w:w="5395" w:type="dxa"/>
            <w:shd w:val="clear" w:color="auto" w:fill="auto"/>
            <w:vAlign w:val="bottom"/>
            <w:hideMark/>
          </w:tcPr>
          <w:p w14:paraId="1CCCDDB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2.1.SO9.1.1 Strengths</w:t>
            </w:r>
          </w:p>
        </w:tc>
        <w:tc>
          <w:tcPr>
            <w:tcW w:w="4111" w:type="dxa"/>
            <w:shd w:val="clear" w:color="auto" w:fill="auto"/>
            <w:vAlign w:val="bottom"/>
            <w:hideMark/>
          </w:tcPr>
          <w:p w14:paraId="7A61846C" w14:textId="3B69D8D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има силни страни, свързани с биологичното </w:t>
            </w:r>
            <w:r w:rsidR="00A30CDB">
              <w:rPr>
                <w:rFonts w:eastAsia="Times New Roman" w:cstheme="minorHAnsi"/>
                <w:color w:val="000000"/>
                <w:sz w:val="18"/>
                <w:szCs w:val="18"/>
                <w:lang w:val="bg-BG"/>
              </w:rPr>
              <w:t>з</w:t>
            </w:r>
            <w:r w:rsidR="00A30CDB" w:rsidRPr="00937D97">
              <w:rPr>
                <w:rFonts w:eastAsia="Times New Roman" w:cstheme="minorHAnsi"/>
                <w:color w:val="000000"/>
                <w:sz w:val="18"/>
                <w:szCs w:val="18"/>
                <w:lang w:val="bg-BG"/>
              </w:rPr>
              <w:t>емеделие</w:t>
            </w:r>
            <w:r w:rsidRPr="00937D97">
              <w:rPr>
                <w:rFonts w:eastAsia="Times New Roman" w:cstheme="minorHAnsi"/>
                <w:color w:val="000000"/>
                <w:sz w:val="18"/>
                <w:szCs w:val="18"/>
                <w:lang w:val="bg-BG"/>
              </w:rPr>
              <w:t xml:space="preserve"> и производство, които биха били подходящи и в целта за климата и околна среда</w:t>
            </w:r>
          </w:p>
        </w:tc>
        <w:tc>
          <w:tcPr>
            <w:tcW w:w="2976" w:type="dxa"/>
            <w:shd w:val="clear" w:color="auto" w:fill="auto"/>
            <w:vAlign w:val="bottom"/>
            <w:hideMark/>
          </w:tcPr>
          <w:p w14:paraId="0A221B2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D17AA0B" w14:textId="77777777" w:rsidTr="00D504A5">
        <w:trPr>
          <w:trHeight w:val="315"/>
        </w:trPr>
        <w:tc>
          <w:tcPr>
            <w:tcW w:w="988" w:type="dxa"/>
            <w:shd w:val="clear" w:color="auto" w:fill="auto"/>
            <w:vAlign w:val="bottom"/>
            <w:hideMark/>
          </w:tcPr>
          <w:p w14:paraId="4ED425F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68B7EB2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229</w:t>
            </w:r>
          </w:p>
        </w:tc>
        <w:tc>
          <w:tcPr>
            <w:tcW w:w="5395" w:type="dxa"/>
            <w:shd w:val="clear" w:color="auto" w:fill="auto"/>
            <w:vAlign w:val="bottom"/>
            <w:hideMark/>
          </w:tcPr>
          <w:p w14:paraId="72C6011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2.1.SO9.1.2 Weaknesses - 1. Макар и под средните европейски равнища, нивото на използвани продукти за растителна защита показва тенденция за нарастване в последните години.; 4.Увеличението на използваните азотни торове на единица площ, създава риск от замърсяване на водите с нитрати.</w:t>
            </w:r>
          </w:p>
        </w:tc>
        <w:tc>
          <w:tcPr>
            <w:tcW w:w="4111" w:type="dxa"/>
            <w:shd w:val="clear" w:color="auto" w:fill="auto"/>
            <w:vAlign w:val="bottom"/>
            <w:hideMark/>
          </w:tcPr>
          <w:p w14:paraId="31242D0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трябва да се има това твърдение, когато по-ниската употреба на ПРЗ спрямо европейския съюз се представя като силна страна</w:t>
            </w:r>
          </w:p>
        </w:tc>
        <w:tc>
          <w:tcPr>
            <w:tcW w:w="2976" w:type="dxa"/>
            <w:shd w:val="clear" w:color="auto" w:fill="auto"/>
            <w:vAlign w:val="bottom"/>
            <w:hideMark/>
          </w:tcPr>
          <w:p w14:paraId="53E0AB4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D9230EA" w14:textId="77777777" w:rsidTr="00D504A5">
        <w:trPr>
          <w:trHeight w:val="315"/>
        </w:trPr>
        <w:tc>
          <w:tcPr>
            <w:tcW w:w="988" w:type="dxa"/>
            <w:shd w:val="clear" w:color="auto" w:fill="auto"/>
            <w:vAlign w:val="bottom"/>
            <w:hideMark/>
          </w:tcPr>
          <w:p w14:paraId="3FE34D6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69E6CEE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229</w:t>
            </w:r>
          </w:p>
        </w:tc>
        <w:tc>
          <w:tcPr>
            <w:tcW w:w="5395" w:type="dxa"/>
            <w:shd w:val="clear" w:color="auto" w:fill="auto"/>
            <w:vAlign w:val="bottom"/>
            <w:hideMark/>
          </w:tcPr>
          <w:p w14:paraId="569D5DE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5.Растат количествата на продадените и вероятно използвани ветеринарни антимикробни средства на животинска единица и превишението е два пъти над средното за ЕС.</w:t>
            </w:r>
          </w:p>
        </w:tc>
        <w:tc>
          <w:tcPr>
            <w:tcW w:w="4111" w:type="dxa"/>
            <w:shd w:val="clear" w:color="auto" w:fill="auto"/>
            <w:vAlign w:val="bottom"/>
            <w:hideMark/>
          </w:tcPr>
          <w:p w14:paraId="6E28076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тревожна тенденция</w:t>
            </w:r>
          </w:p>
        </w:tc>
        <w:tc>
          <w:tcPr>
            <w:tcW w:w="2976" w:type="dxa"/>
            <w:shd w:val="clear" w:color="auto" w:fill="auto"/>
            <w:vAlign w:val="bottom"/>
            <w:hideMark/>
          </w:tcPr>
          <w:p w14:paraId="10B2271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0D4CC8A4" w14:textId="77777777" w:rsidTr="00D504A5">
        <w:trPr>
          <w:trHeight w:val="315"/>
        </w:trPr>
        <w:tc>
          <w:tcPr>
            <w:tcW w:w="988" w:type="dxa"/>
            <w:shd w:val="clear" w:color="auto" w:fill="auto"/>
            <w:vAlign w:val="bottom"/>
            <w:hideMark/>
          </w:tcPr>
          <w:p w14:paraId="0C6B44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57C0C16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231</w:t>
            </w:r>
          </w:p>
        </w:tc>
        <w:tc>
          <w:tcPr>
            <w:tcW w:w="5395" w:type="dxa"/>
            <w:shd w:val="clear" w:color="auto" w:fill="auto"/>
            <w:vAlign w:val="bottom"/>
            <w:hideMark/>
          </w:tcPr>
          <w:p w14:paraId="18C79C6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2.1.SO9.1.4 Threats 1.Растящи изисквания към земеделските производители по отношение опазване на околната среда, качеството на производство, хуманно отношение към животните, което оскъпява и създават пречки пред земеделските производители</w:t>
            </w:r>
          </w:p>
        </w:tc>
        <w:tc>
          <w:tcPr>
            <w:tcW w:w="4111" w:type="dxa"/>
            <w:shd w:val="clear" w:color="auto" w:fill="auto"/>
            <w:vAlign w:val="bottom"/>
            <w:hideMark/>
          </w:tcPr>
          <w:p w14:paraId="3CC7E00E" w14:textId="7B2E852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Този текст е поставена първо място като заплаха за </w:t>
            </w:r>
            <w:r w:rsidR="00A30CDB" w:rsidRPr="00937D97">
              <w:rPr>
                <w:rFonts w:eastAsia="Times New Roman" w:cstheme="minorHAnsi"/>
                <w:color w:val="000000"/>
                <w:sz w:val="18"/>
                <w:szCs w:val="18"/>
                <w:lang w:val="bg-BG"/>
              </w:rPr>
              <w:t>постигането</w:t>
            </w:r>
            <w:r w:rsidRPr="00937D97">
              <w:rPr>
                <w:rFonts w:eastAsia="Times New Roman" w:cstheme="minorHAnsi"/>
                <w:color w:val="000000"/>
                <w:sz w:val="18"/>
                <w:szCs w:val="18"/>
                <w:lang w:val="bg-BG"/>
              </w:rPr>
              <w:t xml:space="preserve"> на цел 9, а именно "Подобряване на реакцията на селското стопанство в Съюза в отговор на обществените изисквания по отношение на храните и здравето".  То по същество е абсурдно, защото екологичните стандарти са тези, които ще допринесат за </w:t>
            </w:r>
            <w:r w:rsidR="00A30CDB" w:rsidRPr="00937D97">
              <w:rPr>
                <w:rFonts w:eastAsia="Times New Roman" w:cstheme="minorHAnsi"/>
                <w:color w:val="000000"/>
                <w:sz w:val="18"/>
                <w:szCs w:val="18"/>
                <w:lang w:val="bg-BG"/>
              </w:rPr>
              <w:t>постигане</w:t>
            </w:r>
            <w:r w:rsidRPr="00937D97">
              <w:rPr>
                <w:rFonts w:eastAsia="Times New Roman" w:cstheme="minorHAnsi"/>
                <w:color w:val="000000"/>
                <w:sz w:val="18"/>
                <w:szCs w:val="18"/>
                <w:lang w:val="bg-BG"/>
              </w:rPr>
              <w:t xml:space="preserve"> на целта; освен това тази цел е обвързана с ЕС и ако ние не искаме да спазваме тези изисквания и ги смятаме за заплаха, за какво точно ще получаваме европейски публични </w:t>
            </w:r>
            <w:r w:rsidR="00A30CDB" w:rsidRPr="00937D97">
              <w:rPr>
                <w:rFonts w:eastAsia="Times New Roman" w:cstheme="minorHAnsi"/>
                <w:color w:val="000000"/>
                <w:sz w:val="18"/>
                <w:szCs w:val="18"/>
                <w:lang w:val="bg-BG"/>
              </w:rPr>
              <w:t>средства</w:t>
            </w:r>
            <w:r w:rsidRPr="00937D97">
              <w:rPr>
                <w:rFonts w:eastAsia="Times New Roman" w:cstheme="minorHAnsi"/>
                <w:color w:val="000000"/>
                <w:sz w:val="18"/>
                <w:szCs w:val="18"/>
                <w:lang w:val="bg-BG"/>
              </w:rPr>
              <w:t>? Трябва наличието на изисквания ,стандарти за опазване на околната среда и качеството да е силна страна. Ако не сме ги постигнали още но ни се дава такава възможност - да е във възможности, но в никакъв случай  - заплаха</w:t>
            </w:r>
          </w:p>
        </w:tc>
        <w:tc>
          <w:tcPr>
            <w:tcW w:w="2976" w:type="dxa"/>
            <w:shd w:val="clear" w:color="auto" w:fill="auto"/>
            <w:vAlign w:val="bottom"/>
            <w:hideMark/>
          </w:tcPr>
          <w:p w14:paraId="5AEB3B3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Трябва наличието на изисквания ,стандарти за опазване на околната среда и качеството да е силна страна. Ако не сме ги постигнали още но ни се дава такава възможност - да е във възможности, но в никакъв случай  - заплаха; да отпадне от списъка тук</w:t>
            </w:r>
          </w:p>
        </w:tc>
      </w:tr>
      <w:tr w:rsidR="00D504A5" w:rsidRPr="00937D97" w14:paraId="1EBB3B5D" w14:textId="77777777" w:rsidTr="00D504A5">
        <w:trPr>
          <w:trHeight w:val="315"/>
        </w:trPr>
        <w:tc>
          <w:tcPr>
            <w:tcW w:w="988" w:type="dxa"/>
            <w:shd w:val="clear" w:color="auto" w:fill="auto"/>
            <w:vAlign w:val="bottom"/>
            <w:hideMark/>
          </w:tcPr>
          <w:p w14:paraId="55B9EC8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6666849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232</w:t>
            </w:r>
          </w:p>
        </w:tc>
        <w:tc>
          <w:tcPr>
            <w:tcW w:w="5395" w:type="dxa"/>
            <w:shd w:val="clear" w:color="auto" w:fill="auto"/>
            <w:vAlign w:val="bottom"/>
            <w:hideMark/>
          </w:tcPr>
          <w:p w14:paraId="05F92FF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2.1.SO9.1.4 Threats 9.Съществува голяма зависимост на производителите на биологични продукти от плащанията по линия на ПРСР.</w:t>
            </w:r>
          </w:p>
        </w:tc>
        <w:tc>
          <w:tcPr>
            <w:tcW w:w="4111" w:type="dxa"/>
            <w:shd w:val="clear" w:color="auto" w:fill="auto"/>
            <w:vAlign w:val="bottom"/>
            <w:hideMark/>
          </w:tcPr>
          <w:p w14:paraId="43B28095" w14:textId="28918C5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единственото място където виждам, че зависимостта от </w:t>
            </w:r>
            <w:r w:rsidR="00A30CDB" w:rsidRPr="00937D97">
              <w:rPr>
                <w:rFonts w:eastAsia="Times New Roman" w:cstheme="minorHAnsi"/>
                <w:color w:val="000000"/>
                <w:sz w:val="18"/>
                <w:szCs w:val="18"/>
                <w:lang w:val="bg-BG"/>
              </w:rPr>
              <w:t>еврофондове</w:t>
            </w:r>
            <w:r w:rsidRPr="00937D97">
              <w:rPr>
                <w:rFonts w:eastAsia="Times New Roman" w:cstheme="minorHAnsi"/>
                <w:color w:val="000000"/>
                <w:sz w:val="18"/>
                <w:szCs w:val="18"/>
                <w:lang w:val="bg-BG"/>
              </w:rPr>
              <w:t xml:space="preserve"> се третира като заплаха, но в случая бих се съгласила</w:t>
            </w:r>
          </w:p>
        </w:tc>
        <w:tc>
          <w:tcPr>
            <w:tcW w:w="2976" w:type="dxa"/>
            <w:shd w:val="clear" w:color="auto" w:fill="auto"/>
            <w:vAlign w:val="bottom"/>
            <w:hideMark/>
          </w:tcPr>
          <w:p w14:paraId="31FBAA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60D2A5B4" w14:textId="77777777" w:rsidTr="00D504A5">
        <w:trPr>
          <w:trHeight w:val="315"/>
        </w:trPr>
        <w:tc>
          <w:tcPr>
            <w:tcW w:w="988" w:type="dxa"/>
            <w:shd w:val="clear" w:color="auto" w:fill="auto"/>
            <w:vAlign w:val="bottom"/>
            <w:hideMark/>
          </w:tcPr>
          <w:p w14:paraId="0FE1242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5AC1365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232</w:t>
            </w:r>
          </w:p>
        </w:tc>
        <w:tc>
          <w:tcPr>
            <w:tcW w:w="5395" w:type="dxa"/>
            <w:shd w:val="clear" w:color="auto" w:fill="auto"/>
            <w:vAlign w:val="bottom"/>
            <w:hideMark/>
          </w:tcPr>
          <w:p w14:paraId="414ECF5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2.1.SO9.1.4 Threats  19.Слабата ангажираност с проблемите на опазването на околната среда в обществото</w:t>
            </w:r>
          </w:p>
        </w:tc>
        <w:tc>
          <w:tcPr>
            <w:tcW w:w="4111" w:type="dxa"/>
            <w:shd w:val="clear" w:color="auto" w:fill="auto"/>
            <w:vAlign w:val="bottom"/>
            <w:hideMark/>
          </w:tcPr>
          <w:p w14:paraId="07763D97" w14:textId="135C8286"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Все повече хора се интересуват от проблемите на околната среда и се ангажират с това, а доста повече хора държат на чиста храна но не са достатъчно, а хората които са готови да пратят двойно </w:t>
            </w:r>
            <w:r w:rsidR="00A30CDB" w:rsidRPr="00937D97">
              <w:rPr>
                <w:rFonts w:eastAsia="Times New Roman" w:cstheme="minorHAnsi"/>
                <w:color w:val="000000"/>
                <w:sz w:val="18"/>
                <w:szCs w:val="18"/>
                <w:lang w:val="bg-BG"/>
              </w:rPr>
              <w:t>и тройно</w:t>
            </w:r>
            <w:r w:rsidRPr="00937D97">
              <w:rPr>
                <w:rFonts w:eastAsia="Times New Roman" w:cstheme="minorHAnsi"/>
                <w:color w:val="000000"/>
                <w:sz w:val="18"/>
                <w:szCs w:val="18"/>
                <w:lang w:val="bg-BG"/>
              </w:rPr>
              <w:t xml:space="preserve"> по-висока цена за продукти с </w:t>
            </w:r>
            <w:r w:rsidR="00A30CDB" w:rsidRPr="00937D97">
              <w:rPr>
                <w:rFonts w:eastAsia="Times New Roman" w:cstheme="minorHAnsi"/>
                <w:color w:val="000000"/>
                <w:sz w:val="18"/>
                <w:szCs w:val="18"/>
                <w:lang w:val="bg-BG"/>
              </w:rPr>
              <w:t>марката</w:t>
            </w:r>
            <w:r w:rsidRPr="00937D97">
              <w:rPr>
                <w:rFonts w:eastAsia="Times New Roman" w:cstheme="minorHAnsi"/>
                <w:color w:val="000000"/>
                <w:sz w:val="18"/>
                <w:szCs w:val="18"/>
                <w:lang w:val="bg-BG"/>
              </w:rPr>
              <w:t xml:space="preserve"> "био" не са много.  В този смисъл би било по-добре да се каже "недостатъчна ангажираност" или още по точно да се </w:t>
            </w:r>
            <w:r w:rsidR="00A30CDB" w:rsidRPr="00937D97">
              <w:rPr>
                <w:rFonts w:eastAsia="Times New Roman" w:cstheme="minorHAnsi"/>
                <w:color w:val="000000"/>
                <w:sz w:val="18"/>
                <w:szCs w:val="18"/>
                <w:lang w:val="bg-BG"/>
              </w:rPr>
              <w:t>дефинира</w:t>
            </w:r>
            <w:r w:rsidRPr="00937D97">
              <w:rPr>
                <w:rFonts w:eastAsia="Times New Roman" w:cstheme="minorHAnsi"/>
                <w:color w:val="000000"/>
                <w:sz w:val="18"/>
                <w:szCs w:val="18"/>
                <w:lang w:val="bg-BG"/>
              </w:rPr>
              <w:t xml:space="preserve"> проблема, който </w:t>
            </w:r>
            <w:r w:rsidR="00A30CDB" w:rsidRPr="00937D97">
              <w:rPr>
                <w:rFonts w:eastAsia="Times New Roman" w:cstheme="minorHAnsi"/>
                <w:color w:val="000000"/>
                <w:sz w:val="18"/>
                <w:szCs w:val="18"/>
                <w:lang w:val="bg-BG"/>
              </w:rPr>
              <w:t>всъщност</w:t>
            </w:r>
            <w:r w:rsidRPr="00937D97">
              <w:rPr>
                <w:rFonts w:eastAsia="Times New Roman" w:cstheme="minorHAnsi"/>
                <w:color w:val="000000"/>
                <w:sz w:val="18"/>
                <w:szCs w:val="18"/>
                <w:lang w:val="bg-BG"/>
              </w:rPr>
              <w:t xml:space="preserve"> не е ангажираността към проблемите на околната среда, а ниския покупателен интерес. като погледнем първата </w:t>
            </w:r>
            <w:r w:rsidR="00A30CDB" w:rsidRPr="00937D97">
              <w:rPr>
                <w:rFonts w:eastAsia="Times New Roman" w:cstheme="minorHAnsi"/>
                <w:color w:val="000000"/>
                <w:sz w:val="18"/>
                <w:szCs w:val="18"/>
                <w:lang w:val="bg-BG"/>
              </w:rPr>
              <w:t>заплаха</w:t>
            </w:r>
            <w:r w:rsidRPr="00937D97">
              <w:rPr>
                <w:rFonts w:eastAsia="Times New Roman" w:cstheme="minorHAnsi"/>
                <w:color w:val="000000"/>
                <w:sz w:val="18"/>
                <w:szCs w:val="18"/>
                <w:lang w:val="bg-BG"/>
              </w:rPr>
              <w:t xml:space="preserve"> тук на практика излиза, че земеделците и авторите на анализа имат тази слаба ангажираност към проблемите на околната среда и тогава би било по-п</w:t>
            </w:r>
            <w:r w:rsidR="00A30CDB">
              <w:rPr>
                <w:rFonts w:eastAsia="Times New Roman" w:cstheme="minorHAnsi"/>
                <w:color w:val="000000"/>
                <w:sz w:val="18"/>
                <w:szCs w:val="18"/>
                <w:lang w:val="bg-BG"/>
              </w:rPr>
              <w:t>ра</w:t>
            </w:r>
            <w:r w:rsidRPr="00937D97">
              <w:rPr>
                <w:rFonts w:eastAsia="Times New Roman" w:cstheme="minorHAnsi"/>
                <w:color w:val="000000"/>
                <w:sz w:val="18"/>
                <w:szCs w:val="18"/>
                <w:lang w:val="bg-BG"/>
              </w:rPr>
              <w:t xml:space="preserve">вдоподобно и би </w:t>
            </w:r>
            <w:r w:rsidR="00A30CDB" w:rsidRPr="00937D97">
              <w:rPr>
                <w:rFonts w:eastAsia="Times New Roman" w:cstheme="minorHAnsi"/>
                <w:color w:val="000000"/>
                <w:sz w:val="18"/>
                <w:szCs w:val="18"/>
                <w:lang w:val="bg-BG"/>
              </w:rPr>
              <w:t>следвало</w:t>
            </w:r>
            <w:r w:rsidRPr="00937D97">
              <w:rPr>
                <w:rFonts w:eastAsia="Times New Roman" w:cstheme="minorHAnsi"/>
                <w:color w:val="000000"/>
                <w:sz w:val="18"/>
                <w:szCs w:val="18"/>
                <w:lang w:val="bg-BG"/>
              </w:rPr>
              <w:t xml:space="preserve"> да се посочи като слабост</w:t>
            </w:r>
          </w:p>
        </w:tc>
        <w:tc>
          <w:tcPr>
            <w:tcW w:w="2976" w:type="dxa"/>
            <w:shd w:val="clear" w:color="auto" w:fill="auto"/>
            <w:vAlign w:val="bottom"/>
            <w:hideMark/>
          </w:tcPr>
          <w:p w14:paraId="5E2587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4FF2EFB" w14:textId="77777777" w:rsidTr="00D504A5">
        <w:trPr>
          <w:trHeight w:val="315"/>
        </w:trPr>
        <w:tc>
          <w:tcPr>
            <w:tcW w:w="988" w:type="dxa"/>
            <w:shd w:val="clear" w:color="auto" w:fill="auto"/>
            <w:vAlign w:val="bottom"/>
            <w:hideMark/>
          </w:tcPr>
          <w:p w14:paraId="0C2BCA8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7230ED0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232</w:t>
            </w:r>
          </w:p>
        </w:tc>
        <w:tc>
          <w:tcPr>
            <w:tcW w:w="5395" w:type="dxa"/>
            <w:shd w:val="clear" w:color="auto" w:fill="auto"/>
            <w:vAlign w:val="bottom"/>
            <w:hideMark/>
          </w:tcPr>
          <w:p w14:paraId="5A0179C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2.1.SO9.1.4 Threats  20.Финансовото подпомагане за БИО сектора през следващия програмен период да продължи и през следващия програмен период.</w:t>
            </w:r>
            <w:r w:rsidRPr="00937D97">
              <w:rPr>
                <w:rFonts w:eastAsia="Times New Roman" w:cstheme="minorHAnsi"/>
                <w:color w:val="000000"/>
                <w:sz w:val="18"/>
                <w:szCs w:val="18"/>
                <w:lang w:val="bg-BG"/>
              </w:rPr>
              <w:br/>
              <w:t>21.Финансирането на консултантски услуги и професионално производители в следващия програмен период да се запази.</w:t>
            </w:r>
          </w:p>
        </w:tc>
        <w:tc>
          <w:tcPr>
            <w:tcW w:w="4111" w:type="dxa"/>
            <w:shd w:val="clear" w:color="auto" w:fill="auto"/>
            <w:vAlign w:val="bottom"/>
            <w:hideMark/>
          </w:tcPr>
          <w:p w14:paraId="05A9EADE" w14:textId="45A68ADA"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не ми е ясно защо </w:t>
            </w:r>
            <w:r w:rsidR="00A30CDB" w:rsidRPr="00937D97">
              <w:rPr>
                <w:rFonts w:eastAsia="Times New Roman" w:cstheme="minorHAnsi"/>
                <w:color w:val="000000"/>
                <w:sz w:val="18"/>
                <w:szCs w:val="18"/>
                <w:lang w:val="bg-BG"/>
              </w:rPr>
              <w:t>финансирането</w:t>
            </w:r>
            <w:r w:rsidRPr="00937D97">
              <w:rPr>
                <w:rFonts w:eastAsia="Times New Roman" w:cstheme="minorHAnsi"/>
                <w:color w:val="000000"/>
                <w:sz w:val="18"/>
                <w:szCs w:val="18"/>
                <w:lang w:val="bg-BG"/>
              </w:rPr>
              <w:t xml:space="preserve"> на сектора  и </w:t>
            </w:r>
            <w:r w:rsidR="00A30CDB" w:rsidRPr="00937D97">
              <w:rPr>
                <w:rFonts w:eastAsia="Times New Roman" w:cstheme="minorHAnsi"/>
                <w:color w:val="000000"/>
                <w:sz w:val="18"/>
                <w:szCs w:val="18"/>
                <w:lang w:val="bg-BG"/>
              </w:rPr>
              <w:t>консултантските</w:t>
            </w:r>
            <w:r w:rsidRPr="00937D97">
              <w:rPr>
                <w:rFonts w:eastAsia="Times New Roman" w:cstheme="minorHAnsi"/>
                <w:color w:val="000000"/>
                <w:sz w:val="18"/>
                <w:szCs w:val="18"/>
                <w:lang w:val="bg-BG"/>
              </w:rPr>
              <w:t xml:space="preserve"> услуги ще са заплаха</w:t>
            </w:r>
          </w:p>
        </w:tc>
        <w:tc>
          <w:tcPr>
            <w:tcW w:w="2976" w:type="dxa"/>
            <w:shd w:val="clear" w:color="auto" w:fill="auto"/>
            <w:vAlign w:val="bottom"/>
            <w:hideMark/>
          </w:tcPr>
          <w:p w14:paraId="62A3E7C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66E2615" w14:textId="77777777" w:rsidTr="00D504A5">
        <w:trPr>
          <w:trHeight w:val="315"/>
        </w:trPr>
        <w:tc>
          <w:tcPr>
            <w:tcW w:w="988" w:type="dxa"/>
            <w:shd w:val="clear" w:color="auto" w:fill="auto"/>
            <w:vAlign w:val="bottom"/>
            <w:hideMark/>
          </w:tcPr>
          <w:p w14:paraId="0CBA38C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1DE8456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232</w:t>
            </w:r>
          </w:p>
        </w:tc>
        <w:tc>
          <w:tcPr>
            <w:tcW w:w="5395" w:type="dxa"/>
            <w:shd w:val="clear" w:color="auto" w:fill="auto"/>
            <w:vAlign w:val="bottom"/>
            <w:hideMark/>
          </w:tcPr>
          <w:p w14:paraId="72BBFC8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2.1.SO9.1.4 Threats  10.Растящи разходи за сертификация и контрол. и 24.Растящи разходи за сертификация и контрол при производителите, участващи в схемите за качество.</w:t>
            </w:r>
          </w:p>
        </w:tc>
        <w:tc>
          <w:tcPr>
            <w:tcW w:w="4111" w:type="dxa"/>
            <w:shd w:val="clear" w:color="auto" w:fill="auto"/>
            <w:vAlign w:val="bottom"/>
            <w:hideMark/>
          </w:tcPr>
          <w:p w14:paraId="30D48F8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една заплаха формулирана два пъти!</w:t>
            </w:r>
          </w:p>
        </w:tc>
        <w:tc>
          <w:tcPr>
            <w:tcW w:w="2976" w:type="dxa"/>
            <w:shd w:val="clear" w:color="auto" w:fill="auto"/>
            <w:vAlign w:val="bottom"/>
            <w:hideMark/>
          </w:tcPr>
          <w:p w14:paraId="659313D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премахне дублираната заплаха</w:t>
            </w:r>
          </w:p>
        </w:tc>
      </w:tr>
      <w:tr w:rsidR="00D504A5" w:rsidRPr="00937D97" w14:paraId="1057DCFF" w14:textId="77777777" w:rsidTr="00D504A5">
        <w:trPr>
          <w:trHeight w:val="315"/>
        </w:trPr>
        <w:tc>
          <w:tcPr>
            <w:tcW w:w="988" w:type="dxa"/>
            <w:shd w:val="clear" w:color="auto" w:fill="auto"/>
            <w:vAlign w:val="bottom"/>
            <w:hideMark/>
          </w:tcPr>
          <w:p w14:paraId="5AB7C5D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7750473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235</w:t>
            </w:r>
          </w:p>
        </w:tc>
        <w:tc>
          <w:tcPr>
            <w:tcW w:w="5395" w:type="dxa"/>
            <w:shd w:val="clear" w:color="auto" w:fill="auto"/>
            <w:vAlign w:val="bottom"/>
            <w:hideMark/>
          </w:tcPr>
          <w:p w14:paraId="5DCA0A4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интервенционна логика за цел 9 - посочените в нея схеми и интервенции, които адресират потребност 9.4</w:t>
            </w:r>
          </w:p>
        </w:tc>
        <w:tc>
          <w:tcPr>
            <w:tcW w:w="4111" w:type="dxa"/>
            <w:shd w:val="clear" w:color="auto" w:fill="auto"/>
            <w:vAlign w:val="bottom"/>
            <w:hideMark/>
          </w:tcPr>
          <w:p w14:paraId="2AF8862E" w14:textId="53DAA56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нито една от посочените схеми и интервенции за адресиране на потребност 9.4. не е описана в списъка с </w:t>
            </w:r>
            <w:r w:rsidR="00A30CDB" w:rsidRPr="00937D97">
              <w:rPr>
                <w:rFonts w:eastAsia="Times New Roman" w:cstheme="minorHAnsi"/>
                <w:color w:val="000000"/>
                <w:sz w:val="18"/>
                <w:szCs w:val="18"/>
                <w:lang w:val="bg-BG"/>
              </w:rPr>
              <w:t>интервенции</w:t>
            </w:r>
            <w:r w:rsidRPr="00937D97">
              <w:rPr>
                <w:rFonts w:eastAsia="Times New Roman" w:cstheme="minorHAnsi"/>
                <w:color w:val="000000"/>
                <w:sz w:val="18"/>
                <w:szCs w:val="18"/>
                <w:lang w:val="bg-BG"/>
              </w:rPr>
              <w:t xml:space="preserve"> за постигане на цел 9</w:t>
            </w:r>
          </w:p>
        </w:tc>
        <w:tc>
          <w:tcPr>
            <w:tcW w:w="2976" w:type="dxa"/>
            <w:shd w:val="clear" w:color="auto" w:fill="auto"/>
            <w:vAlign w:val="bottom"/>
            <w:hideMark/>
          </w:tcPr>
          <w:p w14:paraId="1B40646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D9D2923" w14:textId="77777777" w:rsidTr="00D504A5">
        <w:trPr>
          <w:trHeight w:val="315"/>
        </w:trPr>
        <w:tc>
          <w:tcPr>
            <w:tcW w:w="988" w:type="dxa"/>
            <w:shd w:val="clear" w:color="auto" w:fill="auto"/>
            <w:vAlign w:val="bottom"/>
            <w:hideMark/>
          </w:tcPr>
          <w:p w14:paraId="15C5CA8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093DF59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234-237</w:t>
            </w:r>
          </w:p>
        </w:tc>
        <w:tc>
          <w:tcPr>
            <w:tcW w:w="5395" w:type="dxa"/>
            <w:shd w:val="clear" w:color="auto" w:fill="auto"/>
            <w:vAlign w:val="bottom"/>
            <w:hideMark/>
          </w:tcPr>
          <w:p w14:paraId="290382B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интервенционна логика за цел 9 - посочените в нея схеми и интервенции, които адресират потребност 9.4</w:t>
            </w:r>
          </w:p>
        </w:tc>
        <w:tc>
          <w:tcPr>
            <w:tcW w:w="4111" w:type="dxa"/>
            <w:shd w:val="clear" w:color="auto" w:fill="auto"/>
            <w:vAlign w:val="bottom"/>
            <w:hideMark/>
          </w:tcPr>
          <w:p w14:paraId="06BB612F" w14:textId="289BE71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Тук отново има разминаване между списъка с интервенции и описанието на интервенционната логика - освен че в интервенционната логика са описани мерки, които не </w:t>
            </w:r>
            <w:r w:rsidR="00A30CDB" w:rsidRPr="00937D97">
              <w:rPr>
                <w:rFonts w:eastAsia="Times New Roman" w:cstheme="minorHAnsi"/>
                <w:color w:val="000000"/>
                <w:sz w:val="18"/>
                <w:szCs w:val="18"/>
                <w:lang w:val="bg-BG"/>
              </w:rPr>
              <w:t>съществуват</w:t>
            </w:r>
            <w:r w:rsidRPr="00937D97">
              <w:rPr>
                <w:rFonts w:eastAsia="Times New Roman" w:cstheme="minorHAnsi"/>
                <w:color w:val="000000"/>
                <w:sz w:val="18"/>
                <w:szCs w:val="18"/>
                <w:lang w:val="bg-BG"/>
              </w:rPr>
              <w:t xml:space="preserve"> в </w:t>
            </w:r>
            <w:r w:rsidR="00A30CDB" w:rsidRPr="00937D97">
              <w:rPr>
                <w:rFonts w:eastAsia="Times New Roman" w:cstheme="minorHAnsi"/>
                <w:color w:val="000000"/>
                <w:sz w:val="18"/>
                <w:szCs w:val="18"/>
                <w:lang w:val="bg-BG"/>
              </w:rPr>
              <w:t>списъка</w:t>
            </w:r>
            <w:r w:rsidRPr="00937D97">
              <w:rPr>
                <w:rFonts w:eastAsia="Times New Roman" w:cstheme="minorHAnsi"/>
                <w:color w:val="000000"/>
                <w:sz w:val="18"/>
                <w:szCs w:val="18"/>
                <w:lang w:val="bg-BG"/>
              </w:rPr>
              <w:t xml:space="preserve"> , има и една интервенция - II.Д.2. - Подпомагане на много малки земеделски стопанства, която я има в списъка, но я няма в описанието на интервенционната логика; интервенциите не са подбрани така че да адресират ключови сбаби страни и заплахи за постигането на тази цел</w:t>
            </w:r>
          </w:p>
        </w:tc>
        <w:tc>
          <w:tcPr>
            <w:tcW w:w="2976" w:type="dxa"/>
            <w:shd w:val="clear" w:color="auto" w:fill="auto"/>
            <w:vAlign w:val="bottom"/>
            <w:hideMark/>
          </w:tcPr>
          <w:p w14:paraId="5D8BF75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205AB6D" w14:textId="77777777" w:rsidTr="00D504A5">
        <w:trPr>
          <w:trHeight w:val="315"/>
        </w:trPr>
        <w:tc>
          <w:tcPr>
            <w:tcW w:w="988" w:type="dxa"/>
            <w:shd w:val="clear" w:color="auto" w:fill="auto"/>
            <w:vAlign w:val="bottom"/>
            <w:hideMark/>
          </w:tcPr>
          <w:p w14:paraId="713FFDB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4EC34B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237-238</w:t>
            </w:r>
          </w:p>
        </w:tc>
        <w:tc>
          <w:tcPr>
            <w:tcW w:w="5395" w:type="dxa"/>
            <w:shd w:val="clear" w:color="auto" w:fill="auto"/>
            <w:vAlign w:val="bottom"/>
            <w:hideMark/>
          </w:tcPr>
          <w:p w14:paraId="3526BFC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2.1.SO9.8 Selection of the result indicator(s)</w:t>
            </w:r>
          </w:p>
        </w:tc>
        <w:tc>
          <w:tcPr>
            <w:tcW w:w="4111" w:type="dxa"/>
            <w:shd w:val="clear" w:color="auto" w:fill="auto"/>
            <w:vAlign w:val="bottom"/>
            <w:hideMark/>
          </w:tcPr>
          <w:p w14:paraId="2A9820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Има само 3 индикатора за резултат  и те могат да се съотнесат единствено към интервенциите, адресиращи потребност 9.7. В този смисъл не е ясно как ще се отчете резултата и ефекта от всички останали интервенции? Тук отново няма базови референтни стойности и амбициите изглеждат твърде малки в сравнение със значението на постигането на тази цел</w:t>
            </w:r>
          </w:p>
        </w:tc>
        <w:tc>
          <w:tcPr>
            <w:tcW w:w="2976" w:type="dxa"/>
            <w:shd w:val="clear" w:color="auto" w:fill="auto"/>
            <w:vAlign w:val="bottom"/>
            <w:hideMark/>
          </w:tcPr>
          <w:p w14:paraId="291E7F4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36A74FE" w14:textId="77777777" w:rsidTr="00D504A5">
        <w:trPr>
          <w:trHeight w:val="315"/>
        </w:trPr>
        <w:tc>
          <w:tcPr>
            <w:tcW w:w="988" w:type="dxa"/>
            <w:shd w:val="clear" w:color="auto" w:fill="auto"/>
            <w:vAlign w:val="bottom"/>
            <w:hideMark/>
          </w:tcPr>
          <w:p w14:paraId="7E8E25E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6E3B0C0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238</w:t>
            </w:r>
          </w:p>
        </w:tc>
        <w:tc>
          <w:tcPr>
            <w:tcW w:w="5395" w:type="dxa"/>
            <w:shd w:val="clear" w:color="auto" w:fill="auto"/>
            <w:vAlign w:val="bottom"/>
            <w:hideMark/>
          </w:tcPr>
          <w:p w14:paraId="6A49A5F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Justification of the targets and related milestones</w:t>
            </w:r>
          </w:p>
        </w:tc>
        <w:tc>
          <w:tcPr>
            <w:tcW w:w="4111" w:type="dxa"/>
            <w:shd w:val="clear" w:color="auto" w:fill="auto"/>
            <w:vAlign w:val="bottom"/>
            <w:hideMark/>
          </w:tcPr>
          <w:p w14:paraId="2670AF6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обосновка на целевите стойности и съответните milestones</w:t>
            </w:r>
          </w:p>
        </w:tc>
        <w:tc>
          <w:tcPr>
            <w:tcW w:w="2976" w:type="dxa"/>
            <w:shd w:val="clear" w:color="auto" w:fill="auto"/>
            <w:vAlign w:val="bottom"/>
            <w:hideMark/>
          </w:tcPr>
          <w:p w14:paraId="4C05BE8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разпише</w:t>
            </w:r>
          </w:p>
        </w:tc>
      </w:tr>
      <w:tr w:rsidR="00D504A5" w:rsidRPr="00937D97" w14:paraId="0260C3D8" w14:textId="77777777" w:rsidTr="00D504A5">
        <w:trPr>
          <w:trHeight w:val="315"/>
        </w:trPr>
        <w:tc>
          <w:tcPr>
            <w:tcW w:w="988" w:type="dxa"/>
            <w:shd w:val="clear" w:color="auto" w:fill="auto"/>
            <w:vAlign w:val="bottom"/>
            <w:hideMark/>
          </w:tcPr>
          <w:p w14:paraId="7617001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9 - SWOT</w:t>
            </w:r>
          </w:p>
        </w:tc>
        <w:tc>
          <w:tcPr>
            <w:tcW w:w="700" w:type="dxa"/>
            <w:shd w:val="clear" w:color="auto" w:fill="auto"/>
            <w:noWrap/>
            <w:vAlign w:val="bottom"/>
            <w:hideMark/>
          </w:tcPr>
          <w:p w14:paraId="1E8DB12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238</w:t>
            </w:r>
          </w:p>
        </w:tc>
        <w:tc>
          <w:tcPr>
            <w:tcW w:w="5395" w:type="dxa"/>
            <w:shd w:val="clear" w:color="auto" w:fill="auto"/>
            <w:vAlign w:val="bottom"/>
            <w:hideMark/>
          </w:tcPr>
          <w:p w14:paraId="3CD2743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Финансовото разпределение за интервенциите, програмирани по Цел 9</w:t>
            </w:r>
          </w:p>
        </w:tc>
        <w:tc>
          <w:tcPr>
            <w:tcW w:w="4111" w:type="dxa"/>
            <w:shd w:val="clear" w:color="auto" w:fill="auto"/>
            <w:vAlign w:val="bottom"/>
            <w:hideMark/>
          </w:tcPr>
          <w:p w14:paraId="70C0772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обща финансова обосновка</w:t>
            </w:r>
          </w:p>
        </w:tc>
        <w:tc>
          <w:tcPr>
            <w:tcW w:w="2976" w:type="dxa"/>
            <w:shd w:val="clear" w:color="auto" w:fill="auto"/>
            <w:vAlign w:val="bottom"/>
            <w:hideMark/>
          </w:tcPr>
          <w:p w14:paraId="22A72C7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9F5D1AC" w14:textId="77777777" w:rsidTr="00D504A5">
        <w:trPr>
          <w:trHeight w:val="315"/>
        </w:trPr>
        <w:tc>
          <w:tcPr>
            <w:tcW w:w="988" w:type="dxa"/>
            <w:shd w:val="clear" w:color="auto" w:fill="auto"/>
            <w:vAlign w:val="bottom"/>
            <w:hideMark/>
          </w:tcPr>
          <w:p w14:paraId="5545F24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45A2E83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239</w:t>
            </w:r>
          </w:p>
        </w:tc>
        <w:tc>
          <w:tcPr>
            <w:tcW w:w="5395" w:type="dxa"/>
            <w:shd w:val="clear" w:color="auto" w:fill="auto"/>
            <w:vAlign w:val="bottom"/>
            <w:hideMark/>
          </w:tcPr>
          <w:p w14:paraId="15B37A0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2.1.XCO.1.1 Strengths- 5.Професионалното образование в областта на селското и горско стопанство се осъществява в голям на брой средни и висши училища;</w:t>
            </w:r>
          </w:p>
        </w:tc>
        <w:tc>
          <w:tcPr>
            <w:tcW w:w="4111" w:type="dxa"/>
            <w:shd w:val="clear" w:color="auto" w:fill="auto"/>
            <w:vAlign w:val="bottom"/>
            <w:hideMark/>
          </w:tcPr>
          <w:p w14:paraId="215DDFB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колко голям е броят на тези училища на практика? На мен ми се струва че не са достатъчни (за качеството на съдържанието което учат няма да коментирам); според мен по-скоро образователните институции са недостатъчни и трябва да се постави в слабости, а не тук</w:t>
            </w:r>
          </w:p>
        </w:tc>
        <w:tc>
          <w:tcPr>
            <w:tcW w:w="2976" w:type="dxa"/>
            <w:shd w:val="clear" w:color="auto" w:fill="auto"/>
            <w:vAlign w:val="bottom"/>
            <w:hideMark/>
          </w:tcPr>
          <w:p w14:paraId="295B987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преразгледа това твърдение</w:t>
            </w:r>
          </w:p>
        </w:tc>
      </w:tr>
      <w:tr w:rsidR="00D504A5" w:rsidRPr="00937D97" w14:paraId="7E9A720C" w14:textId="77777777" w:rsidTr="00D504A5">
        <w:trPr>
          <w:trHeight w:val="315"/>
        </w:trPr>
        <w:tc>
          <w:tcPr>
            <w:tcW w:w="988" w:type="dxa"/>
            <w:shd w:val="clear" w:color="auto" w:fill="auto"/>
            <w:vAlign w:val="bottom"/>
            <w:hideMark/>
          </w:tcPr>
          <w:p w14:paraId="26797A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6EAAB9D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239</w:t>
            </w:r>
          </w:p>
        </w:tc>
        <w:tc>
          <w:tcPr>
            <w:tcW w:w="5395" w:type="dxa"/>
            <w:shd w:val="clear" w:color="auto" w:fill="auto"/>
            <w:vAlign w:val="bottom"/>
            <w:hideMark/>
          </w:tcPr>
          <w:p w14:paraId="26A742B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2.1.XCO.1.1 Strengths- 8.Възможност за участие на земеделските стопани в мероприятия от различен вид, свързани с трансфер и разпространение на знания и иновации;</w:t>
            </w:r>
          </w:p>
        </w:tc>
        <w:tc>
          <w:tcPr>
            <w:tcW w:w="4111" w:type="dxa"/>
            <w:shd w:val="clear" w:color="auto" w:fill="auto"/>
            <w:vAlign w:val="bottom"/>
            <w:hideMark/>
          </w:tcPr>
          <w:p w14:paraId="79B764E2" w14:textId="5F5DD31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това е по-скоро възможност и </w:t>
            </w:r>
            <w:r w:rsidR="00576AFC">
              <w:rPr>
                <w:rFonts w:eastAsia="Times New Roman" w:cstheme="minorHAnsi"/>
                <w:color w:val="000000"/>
                <w:sz w:val="18"/>
                <w:szCs w:val="18"/>
                <w:lang w:val="bg-BG"/>
              </w:rPr>
              <w:t>вероятно</w:t>
            </w:r>
            <w:r w:rsidRPr="00937D97">
              <w:rPr>
                <w:rFonts w:eastAsia="Times New Roman" w:cstheme="minorHAnsi"/>
                <w:color w:val="000000"/>
                <w:sz w:val="18"/>
                <w:szCs w:val="18"/>
                <w:lang w:val="bg-BG"/>
              </w:rPr>
              <w:t xml:space="preserve"> трябва да се премести там; като цяло тук силните страни са пак твърде неясно написани и  не е ясно какво е постигнато за 14 години еврофинансиране и какво ще се надгражда</w:t>
            </w:r>
          </w:p>
        </w:tc>
        <w:tc>
          <w:tcPr>
            <w:tcW w:w="2976" w:type="dxa"/>
            <w:shd w:val="clear" w:color="auto" w:fill="auto"/>
            <w:vAlign w:val="bottom"/>
            <w:hideMark/>
          </w:tcPr>
          <w:p w14:paraId="0BA61C5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2FB91460" w14:textId="77777777" w:rsidTr="00D504A5">
        <w:trPr>
          <w:trHeight w:val="315"/>
        </w:trPr>
        <w:tc>
          <w:tcPr>
            <w:tcW w:w="988" w:type="dxa"/>
            <w:shd w:val="clear" w:color="auto" w:fill="auto"/>
            <w:vAlign w:val="bottom"/>
            <w:hideMark/>
          </w:tcPr>
          <w:p w14:paraId="06162FE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3288A36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240</w:t>
            </w:r>
          </w:p>
        </w:tc>
        <w:tc>
          <w:tcPr>
            <w:tcW w:w="5395" w:type="dxa"/>
            <w:shd w:val="clear" w:color="auto" w:fill="auto"/>
            <w:vAlign w:val="bottom"/>
            <w:hideMark/>
          </w:tcPr>
          <w:p w14:paraId="3EF1BE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2.1.XCO.1.3 Opportunities - 2.При достатъчни стимули и изгоди частният сектор активно се включва в аграрните НИРД.</w:t>
            </w:r>
          </w:p>
        </w:tc>
        <w:tc>
          <w:tcPr>
            <w:tcW w:w="4111" w:type="dxa"/>
            <w:shd w:val="clear" w:color="auto" w:fill="auto"/>
            <w:vAlign w:val="bottom"/>
            <w:hideMark/>
          </w:tcPr>
          <w:p w14:paraId="5B188AD3" w14:textId="4744D87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това не </w:t>
            </w:r>
            <w:r w:rsidR="00576AFC" w:rsidRPr="00937D97">
              <w:rPr>
                <w:rFonts w:eastAsia="Times New Roman" w:cstheme="minorHAnsi"/>
                <w:color w:val="000000"/>
                <w:sz w:val="18"/>
                <w:szCs w:val="18"/>
                <w:lang w:val="bg-BG"/>
              </w:rPr>
              <w:t>звучи</w:t>
            </w:r>
            <w:r w:rsidRPr="00937D97">
              <w:rPr>
                <w:rFonts w:eastAsia="Times New Roman" w:cstheme="minorHAnsi"/>
                <w:color w:val="000000"/>
                <w:sz w:val="18"/>
                <w:szCs w:val="18"/>
                <w:lang w:val="bg-BG"/>
              </w:rPr>
              <w:t xml:space="preserve"> като възможност а по-скоро кат</w:t>
            </w:r>
            <w:r w:rsidR="00576AFC">
              <w:rPr>
                <w:rFonts w:eastAsia="Times New Roman" w:cstheme="minorHAnsi"/>
                <w:color w:val="000000"/>
                <w:sz w:val="18"/>
                <w:szCs w:val="18"/>
                <w:lang w:val="bg-BG"/>
              </w:rPr>
              <w:t>о</w:t>
            </w:r>
            <w:r w:rsidRPr="00937D97">
              <w:rPr>
                <w:rFonts w:eastAsia="Times New Roman" w:cstheme="minorHAnsi"/>
                <w:color w:val="000000"/>
                <w:sz w:val="18"/>
                <w:szCs w:val="18"/>
                <w:lang w:val="bg-BG"/>
              </w:rPr>
              <w:t xml:space="preserve"> </w:t>
            </w:r>
            <w:r w:rsidR="00576AFC" w:rsidRPr="00937D97">
              <w:rPr>
                <w:rFonts w:eastAsia="Times New Roman" w:cstheme="minorHAnsi"/>
                <w:color w:val="000000"/>
                <w:sz w:val="18"/>
                <w:szCs w:val="18"/>
                <w:lang w:val="bg-BG"/>
              </w:rPr>
              <w:t>слабост</w:t>
            </w:r>
            <w:r w:rsidRPr="00937D97">
              <w:rPr>
                <w:rFonts w:eastAsia="Times New Roman" w:cstheme="minorHAnsi"/>
                <w:color w:val="000000"/>
                <w:sz w:val="18"/>
                <w:szCs w:val="18"/>
                <w:lang w:val="bg-BG"/>
              </w:rPr>
              <w:t xml:space="preserve"> или заплаха - ако включването на бизнеса става само при "достатъчно </w:t>
            </w:r>
            <w:r w:rsidR="00576AFC" w:rsidRPr="00937D97">
              <w:rPr>
                <w:rFonts w:eastAsia="Times New Roman" w:cstheme="minorHAnsi"/>
                <w:color w:val="000000"/>
                <w:sz w:val="18"/>
                <w:szCs w:val="18"/>
                <w:lang w:val="bg-BG"/>
              </w:rPr>
              <w:t>стимули</w:t>
            </w:r>
            <w:r w:rsidRPr="00937D97">
              <w:rPr>
                <w:rFonts w:eastAsia="Times New Roman" w:cstheme="minorHAnsi"/>
                <w:color w:val="000000"/>
                <w:sz w:val="18"/>
                <w:szCs w:val="18"/>
                <w:lang w:val="bg-BG"/>
              </w:rPr>
              <w:t xml:space="preserve"> и изгоди", каквото и да значи "достатъчно", но пък "стимули и изгоди" е ясно - ако някой им осигури всичко необходимо да избегнат риска за печалбата си, биха се включили ... малко некоректно звучи, както и доста неустойчиво</w:t>
            </w:r>
          </w:p>
        </w:tc>
        <w:tc>
          <w:tcPr>
            <w:tcW w:w="2976" w:type="dxa"/>
            <w:shd w:val="clear" w:color="auto" w:fill="auto"/>
            <w:vAlign w:val="bottom"/>
            <w:hideMark/>
          </w:tcPr>
          <w:p w14:paraId="5792A46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3B4F9AED" w14:textId="77777777" w:rsidTr="00D504A5">
        <w:trPr>
          <w:trHeight w:val="315"/>
        </w:trPr>
        <w:tc>
          <w:tcPr>
            <w:tcW w:w="988" w:type="dxa"/>
            <w:shd w:val="clear" w:color="auto" w:fill="auto"/>
            <w:vAlign w:val="bottom"/>
            <w:hideMark/>
          </w:tcPr>
          <w:p w14:paraId="6A4F79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64DC2E4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243</w:t>
            </w:r>
          </w:p>
        </w:tc>
        <w:tc>
          <w:tcPr>
            <w:tcW w:w="5395" w:type="dxa"/>
            <w:shd w:val="clear" w:color="auto" w:fill="auto"/>
            <w:vAlign w:val="bottom"/>
            <w:hideMark/>
          </w:tcPr>
          <w:p w14:paraId="6DE8034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интервенционна логика - 3. Повишаване на професионалната ....: В контекста на обученията, свързани с качеството на изпълнение на практиките, насочени към опазване на околната среда и климата и биоразнообразието, включително обучението за прилагане на добрите земеделски практики, съвети, обменът на информация и знания са от съществено значение за осигуряването на ефективно изпълнение на земеделските практики от полза за климата и околната среда. Системата за знания и иновации в селското стопанство, в която се включват научни работници, съветници, експерти, фермери и други заинтересовани лица в областта на земеделието, ще помогне за справяне с някои от проблемите между засилената амбиция за опазване на околната среда и жизнеспособните земеделски доходи, например по-ниска възвръщаемост в кратък до средносрочен план в резултат на екологични изисквания. Съществува недостатъчна осведоменост за нарастващите заплахи за околната среда, произтичащи от загубата на биологично разнообразие и последващото от това намаляване на климатичната устойчивост на екосистемите и обществените системи, разчитащи на екосистемни услуги. Информацията относно измененията на климата и екосистемите като единна комплексна система не се разпространява лесно. Недостатъчни са знанията на земеделските стопани за ползите от прилагане на практики, които допринасят за опазване на околната среда и климата.</w:t>
            </w:r>
          </w:p>
        </w:tc>
        <w:tc>
          <w:tcPr>
            <w:tcW w:w="4111" w:type="dxa"/>
            <w:shd w:val="clear" w:color="auto" w:fill="auto"/>
            <w:vAlign w:val="bottom"/>
            <w:hideMark/>
          </w:tcPr>
          <w:p w14:paraId="78D392EF" w14:textId="6250AD2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Ясно </w:t>
            </w:r>
            <w:r w:rsidR="00576AFC" w:rsidRPr="00937D97">
              <w:rPr>
                <w:rFonts w:eastAsia="Times New Roman" w:cstheme="minorHAnsi"/>
                <w:color w:val="000000"/>
                <w:sz w:val="18"/>
                <w:szCs w:val="18"/>
                <w:lang w:val="bg-BG"/>
              </w:rPr>
              <w:t>формулирана</w:t>
            </w:r>
            <w:r w:rsidRPr="00937D97">
              <w:rPr>
                <w:rFonts w:eastAsia="Times New Roman" w:cstheme="minorHAnsi"/>
                <w:color w:val="000000"/>
                <w:sz w:val="18"/>
                <w:szCs w:val="18"/>
                <w:lang w:val="bg-BG"/>
              </w:rPr>
              <w:t xml:space="preserve"> </w:t>
            </w:r>
            <w:r w:rsidR="00576AFC" w:rsidRPr="00937D97">
              <w:rPr>
                <w:rFonts w:eastAsia="Times New Roman" w:cstheme="minorHAnsi"/>
                <w:color w:val="000000"/>
                <w:sz w:val="18"/>
                <w:szCs w:val="18"/>
                <w:lang w:val="bg-BG"/>
              </w:rPr>
              <w:t>потребност</w:t>
            </w:r>
            <w:r w:rsidRPr="00937D97">
              <w:rPr>
                <w:rFonts w:eastAsia="Times New Roman" w:cstheme="minorHAnsi"/>
                <w:color w:val="000000"/>
                <w:sz w:val="18"/>
                <w:szCs w:val="18"/>
                <w:lang w:val="bg-BG"/>
              </w:rPr>
              <w:t xml:space="preserve">, но не тези аспекти не са представени в SWOT анализа и </w:t>
            </w:r>
            <w:r w:rsidR="00576AFC" w:rsidRPr="00937D97">
              <w:rPr>
                <w:rFonts w:eastAsia="Times New Roman" w:cstheme="minorHAnsi"/>
                <w:color w:val="000000"/>
                <w:sz w:val="18"/>
                <w:szCs w:val="18"/>
                <w:lang w:val="bg-BG"/>
              </w:rPr>
              <w:t>съответно</w:t>
            </w:r>
            <w:r w:rsidRPr="00937D97">
              <w:rPr>
                <w:rFonts w:eastAsia="Times New Roman" w:cstheme="minorHAnsi"/>
                <w:color w:val="000000"/>
                <w:sz w:val="18"/>
                <w:szCs w:val="18"/>
                <w:lang w:val="bg-BG"/>
              </w:rPr>
              <w:t xml:space="preserve"> не е много ясно как се </w:t>
            </w:r>
            <w:r w:rsidR="00576AFC" w:rsidRPr="00937D97">
              <w:rPr>
                <w:rFonts w:eastAsia="Times New Roman" w:cstheme="minorHAnsi"/>
                <w:color w:val="000000"/>
                <w:sz w:val="18"/>
                <w:szCs w:val="18"/>
                <w:lang w:val="bg-BG"/>
              </w:rPr>
              <w:t>адресират</w:t>
            </w:r>
            <w:r w:rsidRPr="00937D97">
              <w:rPr>
                <w:rFonts w:eastAsia="Times New Roman" w:cstheme="minorHAnsi"/>
                <w:color w:val="000000"/>
                <w:sz w:val="18"/>
                <w:szCs w:val="18"/>
                <w:lang w:val="bg-BG"/>
              </w:rPr>
              <w:t xml:space="preserve"> на практика. Много съществена слабост и дори заплаха е липсата на реална връзка между научните и </w:t>
            </w:r>
            <w:r w:rsidR="00576AFC" w:rsidRPr="00937D97">
              <w:rPr>
                <w:rFonts w:eastAsia="Times New Roman" w:cstheme="minorHAnsi"/>
                <w:color w:val="000000"/>
                <w:sz w:val="18"/>
                <w:szCs w:val="18"/>
                <w:lang w:val="bg-BG"/>
              </w:rPr>
              <w:t>образователни</w:t>
            </w:r>
            <w:r w:rsidRPr="00937D97">
              <w:rPr>
                <w:rFonts w:eastAsia="Times New Roman" w:cstheme="minorHAnsi"/>
                <w:color w:val="000000"/>
                <w:sz w:val="18"/>
                <w:szCs w:val="18"/>
                <w:lang w:val="bg-BG"/>
              </w:rPr>
              <w:t xml:space="preserve"> институции в сферата на </w:t>
            </w:r>
            <w:r w:rsidR="00576AFC" w:rsidRPr="00937D97">
              <w:rPr>
                <w:rFonts w:eastAsia="Times New Roman" w:cstheme="minorHAnsi"/>
                <w:color w:val="000000"/>
                <w:sz w:val="18"/>
                <w:szCs w:val="18"/>
                <w:lang w:val="bg-BG"/>
              </w:rPr>
              <w:t>екологията</w:t>
            </w:r>
            <w:r w:rsidRPr="00937D97">
              <w:rPr>
                <w:rFonts w:eastAsia="Times New Roman" w:cstheme="minorHAnsi"/>
                <w:color w:val="000000"/>
                <w:sz w:val="18"/>
                <w:szCs w:val="18"/>
                <w:lang w:val="bg-BG"/>
              </w:rPr>
              <w:t xml:space="preserve"> и околната среда и земеделските научни и образователни институции. Факт е че всичко, </w:t>
            </w:r>
            <w:r w:rsidR="00576AFC" w:rsidRPr="00937D97">
              <w:rPr>
                <w:rFonts w:eastAsia="Times New Roman" w:cstheme="minorHAnsi"/>
                <w:color w:val="000000"/>
                <w:sz w:val="18"/>
                <w:szCs w:val="18"/>
                <w:lang w:val="bg-BG"/>
              </w:rPr>
              <w:t>свързано</w:t>
            </w:r>
            <w:r w:rsidRPr="00937D97">
              <w:rPr>
                <w:rFonts w:eastAsia="Times New Roman" w:cstheme="minorHAnsi"/>
                <w:color w:val="000000"/>
                <w:sz w:val="18"/>
                <w:szCs w:val="18"/>
                <w:lang w:val="bg-BG"/>
              </w:rPr>
              <w:t xml:space="preserve"> със земеделието, включително тези аспекти се разглеждат само от експерти в земеделските </w:t>
            </w:r>
            <w:r w:rsidR="00576AFC" w:rsidRPr="00937D97">
              <w:rPr>
                <w:rFonts w:eastAsia="Times New Roman" w:cstheme="minorHAnsi"/>
                <w:color w:val="000000"/>
                <w:sz w:val="18"/>
                <w:szCs w:val="18"/>
                <w:lang w:val="bg-BG"/>
              </w:rPr>
              <w:t>и научни</w:t>
            </w:r>
            <w:r w:rsidRPr="00937D97">
              <w:rPr>
                <w:rFonts w:eastAsia="Times New Roman" w:cstheme="minorHAnsi"/>
                <w:color w:val="000000"/>
                <w:sz w:val="18"/>
                <w:szCs w:val="18"/>
                <w:lang w:val="bg-BG"/>
              </w:rPr>
              <w:t xml:space="preserve"> и </w:t>
            </w:r>
            <w:r w:rsidR="00576AFC" w:rsidRPr="00937D97">
              <w:rPr>
                <w:rFonts w:eastAsia="Times New Roman" w:cstheme="minorHAnsi"/>
                <w:color w:val="000000"/>
                <w:sz w:val="18"/>
                <w:szCs w:val="18"/>
                <w:lang w:val="bg-BG"/>
              </w:rPr>
              <w:t>образователни</w:t>
            </w:r>
            <w:r w:rsidRPr="00937D97">
              <w:rPr>
                <w:rFonts w:eastAsia="Times New Roman" w:cstheme="minorHAnsi"/>
                <w:color w:val="000000"/>
                <w:sz w:val="18"/>
                <w:szCs w:val="18"/>
                <w:lang w:val="bg-BG"/>
              </w:rPr>
              <w:t xml:space="preserve"> институти (ти </w:t>
            </w:r>
            <w:r w:rsidR="00576AFC" w:rsidRPr="00937D97">
              <w:rPr>
                <w:rFonts w:eastAsia="Times New Roman" w:cstheme="minorHAnsi"/>
                <w:color w:val="000000"/>
                <w:sz w:val="18"/>
                <w:szCs w:val="18"/>
                <w:lang w:val="bg-BG"/>
              </w:rPr>
              <w:t>изграждат</w:t>
            </w:r>
            <w:r w:rsidRPr="00937D97">
              <w:rPr>
                <w:rFonts w:eastAsia="Times New Roman" w:cstheme="minorHAnsi"/>
                <w:color w:val="000000"/>
                <w:sz w:val="18"/>
                <w:szCs w:val="18"/>
                <w:lang w:val="bg-BG"/>
              </w:rPr>
              <w:t xml:space="preserve"> своите знания, </w:t>
            </w:r>
            <w:r w:rsidR="00576AFC" w:rsidRPr="00937D97">
              <w:rPr>
                <w:rFonts w:eastAsia="Times New Roman" w:cstheme="minorHAnsi"/>
                <w:color w:val="000000"/>
                <w:sz w:val="18"/>
                <w:szCs w:val="18"/>
                <w:lang w:val="bg-BG"/>
              </w:rPr>
              <w:t>своя</w:t>
            </w:r>
            <w:r w:rsidRPr="00937D97">
              <w:rPr>
                <w:rFonts w:eastAsia="Times New Roman" w:cstheme="minorHAnsi"/>
                <w:color w:val="000000"/>
                <w:sz w:val="18"/>
                <w:szCs w:val="18"/>
                <w:lang w:val="bg-BG"/>
              </w:rPr>
              <w:t xml:space="preserve"> експертен капацитет, но </w:t>
            </w:r>
            <w:r w:rsidR="00576AFC" w:rsidRPr="00937D97">
              <w:rPr>
                <w:rFonts w:eastAsia="Times New Roman" w:cstheme="minorHAnsi"/>
                <w:color w:val="000000"/>
                <w:sz w:val="18"/>
                <w:szCs w:val="18"/>
                <w:lang w:val="bg-BG"/>
              </w:rPr>
              <w:t>едностранчиво</w:t>
            </w:r>
            <w:r w:rsidRPr="00937D97">
              <w:rPr>
                <w:rFonts w:eastAsia="Times New Roman" w:cstheme="minorHAnsi"/>
                <w:color w:val="000000"/>
                <w:sz w:val="18"/>
                <w:szCs w:val="18"/>
                <w:lang w:val="bg-BG"/>
              </w:rPr>
              <w:t xml:space="preserve">, само по отношение на земеделието) - това допълнително изкривява и препятства интегрирането на темите за околната среда в земеделието. Експертите извън научните и образователни институции, понякога с доста голям опит по теми, свързани с околната среда, се </w:t>
            </w:r>
            <w:r w:rsidR="00576AFC" w:rsidRPr="00937D97">
              <w:rPr>
                <w:rFonts w:eastAsia="Times New Roman" w:cstheme="minorHAnsi"/>
                <w:color w:val="000000"/>
                <w:sz w:val="18"/>
                <w:szCs w:val="18"/>
                <w:lang w:val="bg-BG"/>
              </w:rPr>
              <w:t>неглижират</w:t>
            </w:r>
            <w:r w:rsidRPr="00937D97">
              <w:rPr>
                <w:rFonts w:eastAsia="Times New Roman" w:cstheme="minorHAnsi"/>
                <w:color w:val="000000"/>
                <w:sz w:val="18"/>
                <w:szCs w:val="18"/>
                <w:lang w:val="bg-BG"/>
              </w:rPr>
              <w:t xml:space="preserve"> и въобще не са част от системата за </w:t>
            </w:r>
            <w:r w:rsidR="00576AFC" w:rsidRPr="00937D97">
              <w:rPr>
                <w:rFonts w:eastAsia="Times New Roman" w:cstheme="minorHAnsi"/>
                <w:color w:val="000000"/>
                <w:sz w:val="18"/>
                <w:szCs w:val="18"/>
                <w:lang w:val="bg-BG"/>
              </w:rPr>
              <w:t>трансфер</w:t>
            </w:r>
            <w:r w:rsidRPr="00937D97">
              <w:rPr>
                <w:rFonts w:eastAsia="Times New Roman" w:cstheme="minorHAnsi"/>
                <w:color w:val="000000"/>
                <w:sz w:val="18"/>
                <w:szCs w:val="18"/>
                <w:lang w:val="bg-BG"/>
              </w:rPr>
              <w:t xml:space="preserve"> на знания и опит.</w:t>
            </w:r>
          </w:p>
        </w:tc>
        <w:tc>
          <w:tcPr>
            <w:tcW w:w="2976" w:type="dxa"/>
            <w:shd w:val="clear" w:color="auto" w:fill="auto"/>
            <w:vAlign w:val="bottom"/>
            <w:hideMark/>
          </w:tcPr>
          <w:p w14:paraId="67B8E5AA" w14:textId="147892A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Би следвало да има много повече трансфер на знания, обмен и </w:t>
            </w:r>
            <w:r w:rsidR="00576AFC" w:rsidRPr="00937D97">
              <w:rPr>
                <w:rFonts w:eastAsia="Times New Roman" w:cstheme="minorHAnsi"/>
                <w:color w:val="000000"/>
                <w:sz w:val="18"/>
                <w:szCs w:val="18"/>
                <w:lang w:val="bg-BG"/>
              </w:rPr>
              <w:t>сътрудничество</w:t>
            </w:r>
            <w:r w:rsidRPr="00937D97">
              <w:rPr>
                <w:rFonts w:eastAsia="Times New Roman" w:cstheme="minorHAnsi"/>
                <w:color w:val="000000"/>
                <w:sz w:val="18"/>
                <w:szCs w:val="18"/>
                <w:lang w:val="bg-BG"/>
              </w:rPr>
              <w:t xml:space="preserve"> в работата на научните и образователни институции и от земеделския сектор и от сферата на околната среда, като при това се включат и външни експерти, например от гражданския сектор, които също да дадат своя принос</w:t>
            </w:r>
          </w:p>
        </w:tc>
      </w:tr>
      <w:tr w:rsidR="00D504A5" w:rsidRPr="00937D97" w14:paraId="52511B10" w14:textId="77777777" w:rsidTr="00D504A5">
        <w:trPr>
          <w:trHeight w:val="315"/>
        </w:trPr>
        <w:tc>
          <w:tcPr>
            <w:tcW w:w="988" w:type="dxa"/>
            <w:shd w:val="clear" w:color="auto" w:fill="auto"/>
            <w:vAlign w:val="bottom"/>
            <w:hideMark/>
          </w:tcPr>
          <w:p w14:paraId="77F74CB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6B42B71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246</w:t>
            </w:r>
          </w:p>
        </w:tc>
        <w:tc>
          <w:tcPr>
            <w:tcW w:w="5395" w:type="dxa"/>
            <w:shd w:val="clear" w:color="auto" w:fill="auto"/>
            <w:vAlign w:val="bottom"/>
            <w:hideMark/>
          </w:tcPr>
          <w:p w14:paraId="7976B27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Потребност № 10.1. Осигуряване на ефективни методи за събиране, систематизиране и анализ на цялостна и представителна информация и данни за състоянието и развитието на Системата за знания, информация и иновации (AKIS)</w:t>
            </w:r>
          </w:p>
        </w:tc>
        <w:tc>
          <w:tcPr>
            <w:tcW w:w="4111" w:type="dxa"/>
            <w:shd w:val="clear" w:color="auto" w:fill="auto"/>
            <w:vAlign w:val="bottom"/>
            <w:hideMark/>
          </w:tcPr>
          <w:p w14:paraId="59A85ECF" w14:textId="62A4044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 споменаване на аспектите на </w:t>
            </w:r>
            <w:r w:rsidR="00576AFC" w:rsidRPr="00937D97">
              <w:rPr>
                <w:rFonts w:eastAsia="Times New Roman" w:cstheme="minorHAnsi"/>
                <w:color w:val="000000"/>
                <w:sz w:val="18"/>
                <w:szCs w:val="18"/>
                <w:lang w:val="bg-BG"/>
              </w:rPr>
              <w:t>околната</w:t>
            </w:r>
            <w:r w:rsidRPr="00937D97">
              <w:rPr>
                <w:rFonts w:eastAsia="Times New Roman" w:cstheme="minorHAnsi"/>
                <w:color w:val="000000"/>
                <w:sz w:val="18"/>
                <w:szCs w:val="18"/>
                <w:lang w:val="bg-BG"/>
              </w:rPr>
              <w:t xml:space="preserve"> среда в цялата система от </w:t>
            </w:r>
            <w:r w:rsidR="00576AFC" w:rsidRPr="00937D97">
              <w:rPr>
                <w:rFonts w:eastAsia="Times New Roman" w:cstheme="minorHAnsi"/>
                <w:color w:val="000000"/>
                <w:sz w:val="18"/>
                <w:szCs w:val="18"/>
                <w:lang w:val="bg-BG"/>
              </w:rPr>
              <w:t>знания</w:t>
            </w:r>
            <w:r w:rsidRPr="00937D97">
              <w:rPr>
                <w:rFonts w:eastAsia="Times New Roman" w:cstheme="minorHAnsi"/>
                <w:color w:val="000000"/>
                <w:sz w:val="18"/>
                <w:szCs w:val="18"/>
                <w:lang w:val="bg-BG"/>
              </w:rPr>
              <w:t xml:space="preserve">, </w:t>
            </w:r>
            <w:r w:rsidR="00576AFC" w:rsidRPr="00937D97">
              <w:rPr>
                <w:rFonts w:eastAsia="Times New Roman" w:cstheme="minorHAnsi"/>
                <w:color w:val="000000"/>
                <w:sz w:val="18"/>
                <w:szCs w:val="18"/>
                <w:lang w:val="bg-BG"/>
              </w:rPr>
              <w:t>информации и</w:t>
            </w:r>
            <w:r w:rsidRPr="00937D97">
              <w:rPr>
                <w:rFonts w:eastAsia="Times New Roman" w:cstheme="minorHAnsi"/>
                <w:color w:val="000000"/>
                <w:sz w:val="18"/>
                <w:szCs w:val="18"/>
                <w:lang w:val="bg-BG"/>
              </w:rPr>
              <w:t xml:space="preserve"> иновации. Докато е логично всички </w:t>
            </w:r>
            <w:r w:rsidR="00576AFC" w:rsidRPr="00937D97">
              <w:rPr>
                <w:rFonts w:eastAsia="Times New Roman" w:cstheme="minorHAnsi"/>
                <w:color w:val="000000"/>
                <w:sz w:val="18"/>
                <w:szCs w:val="18"/>
                <w:lang w:val="bg-BG"/>
              </w:rPr>
              <w:t>аспекти свързани</w:t>
            </w:r>
            <w:r w:rsidRPr="00937D97">
              <w:rPr>
                <w:rFonts w:eastAsia="Times New Roman" w:cstheme="minorHAnsi"/>
                <w:color w:val="000000"/>
                <w:sz w:val="18"/>
                <w:szCs w:val="18"/>
                <w:lang w:val="bg-BG"/>
              </w:rPr>
              <w:t xml:space="preserve"> със </w:t>
            </w:r>
            <w:r w:rsidR="00576AFC" w:rsidRPr="00937D97">
              <w:rPr>
                <w:rFonts w:eastAsia="Times New Roman" w:cstheme="minorHAnsi"/>
                <w:color w:val="000000"/>
                <w:sz w:val="18"/>
                <w:szCs w:val="18"/>
                <w:lang w:val="bg-BG"/>
              </w:rPr>
              <w:t>земеделските</w:t>
            </w:r>
            <w:r w:rsidRPr="00937D97">
              <w:rPr>
                <w:rFonts w:eastAsia="Times New Roman" w:cstheme="minorHAnsi"/>
                <w:color w:val="000000"/>
                <w:sz w:val="18"/>
                <w:szCs w:val="18"/>
                <w:lang w:val="bg-BG"/>
              </w:rPr>
              <w:t xml:space="preserve"> практики да са включени вътре, то околната среда, като сравнително нов аспект, много </w:t>
            </w:r>
            <w:r w:rsidR="00576AFC" w:rsidRPr="00937D97">
              <w:rPr>
                <w:rFonts w:eastAsia="Times New Roman" w:cstheme="minorHAnsi"/>
                <w:color w:val="000000"/>
                <w:sz w:val="18"/>
                <w:szCs w:val="18"/>
                <w:lang w:val="bg-BG"/>
              </w:rPr>
              <w:t>подценяван</w:t>
            </w:r>
            <w:r w:rsidRPr="00937D97">
              <w:rPr>
                <w:rFonts w:eastAsia="Times New Roman" w:cstheme="minorHAnsi"/>
                <w:color w:val="000000"/>
                <w:sz w:val="18"/>
                <w:szCs w:val="18"/>
                <w:lang w:val="bg-BG"/>
              </w:rPr>
              <w:t xml:space="preserve"> досега, трябва </w:t>
            </w:r>
            <w:r w:rsidR="00576AFC" w:rsidRPr="00937D97">
              <w:rPr>
                <w:rFonts w:eastAsia="Times New Roman" w:cstheme="minorHAnsi"/>
                <w:color w:val="000000"/>
                <w:sz w:val="18"/>
                <w:szCs w:val="18"/>
                <w:lang w:val="bg-BG"/>
              </w:rPr>
              <w:t>изрично</w:t>
            </w:r>
            <w:r w:rsidRPr="00937D97">
              <w:rPr>
                <w:rFonts w:eastAsia="Times New Roman" w:cstheme="minorHAnsi"/>
                <w:color w:val="000000"/>
                <w:sz w:val="18"/>
                <w:szCs w:val="18"/>
                <w:lang w:val="bg-BG"/>
              </w:rPr>
              <w:t xml:space="preserve"> да се спомене </w:t>
            </w:r>
            <w:r w:rsidR="00576AFC" w:rsidRPr="00937D97">
              <w:rPr>
                <w:rFonts w:eastAsia="Times New Roman" w:cstheme="minorHAnsi"/>
                <w:color w:val="000000"/>
                <w:sz w:val="18"/>
                <w:szCs w:val="18"/>
                <w:lang w:val="bg-BG"/>
              </w:rPr>
              <w:t>и интегрира</w:t>
            </w:r>
          </w:p>
        </w:tc>
        <w:tc>
          <w:tcPr>
            <w:tcW w:w="2976" w:type="dxa"/>
            <w:shd w:val="clear" w:color="auto" w:fill="auto"/>
            <w:vAlign w:val="bottom"/>
            <w:hideMark/>
          </w:tcPr>
          <w:p w14:paraId="2B4A093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интегрира</w:t>
            </w:r>
          </w:p>
        </w:tc>
      </w:tr>
      <w:tr w:rsidR="00D504A5" w:rsidRPr="00937D97" w14:paraId="66A4A464" w14:textId="77777777" w:rsidTr="00D504A5">
        <w:trPr>
          <w:trHeight w:val="315"/>
        </w:trPr>
        <w:tc>
          <w:tcPr>
            <w:tcW w:w="988" w:type="dxa"/>
            <w:shd w:val="clear" w:color="auto" w:fill="auto"/>
            <w:vAlign w:val="bottom"/>
            <w:hideMark/>
          </w:tcPr>
          <w:p w14:paraId="0C880D9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49388E8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247</w:t>
            </w:r>
          </w:p>
        </w:tc>
        <w:tc>
          <w:tcPr>
            <w:tcW w:w="5395" w:type="dxa"/>
            <w:shd w:val="clear" w:color="auto" w:fill="auto"/>
            <w:vAlign w:val="bottom"/>
            <w:hideMark/>
          </w:tcPr>
          <w:p w14:paraId="19C09A0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Потребност № 10.2. Укрепване на взаимовръзките между участниците, подобряване функционирането на AKIS и насърчаване разпространението на знания и иновации в селското стопанство</w:t>
            </w:r>
          </w:p>
        </w:tc>
        <w:tc>
          <w:tcPr>
            <w:tcW w:w="4111" w:type="dxa"/>
            <w:shd w:val="clear" w:color="auto" w:fill="auto"/>
            <w:vAlign w:val="bottom"/>
            <w:hideMark/>
          </w:tcPr>
          <w:p w14:paraId="0CE1AEE0" w14:textId="04B08DB0"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 възможност за </w:t>
            </w:r>
            <w:r w:rsidR="00576AFC" w:rsidRPr="00937D97">
              <w:rPr>
                <w:rFonts w:eastAsia="Times New Roman" w:cstheme="minorHAnsi"/>
                <w:color w:val="000000"/>
                <w:sz w:val="18"/>
                <w:szCs w:val="18"/>
                <w:lang w:val="bg-BG"/>
              </w:rPr>
              <w:t>интегриране</w:t>
            </w:r>
            <w:r w:rsidRPr="00937D97">
              <w:rPr>
                <w:rFonts w:eastAsia="Times New Roman" w:cstheme="minorHAnsi"/>
                <w:color w:val="000000"/>
                <w:sz w:val="18"/>
                <w:szCs w:val="18"/>
                <w:lang w:val="bg-BG"/>
              </w:rPr>
              <w:t xml:space="preserve"> на експерти в областта на околната среда и природосъобразните </w:t>
            </w:r>
            <w:r w:rsidR="00576AFC" w:rsidRPr="00937D97">
              <w:rPr>
                <w:rFonts w:eastAsia="Times New Roman" w:cstheme="minorHAnsi"/>
                <w:color w:val="000000"/>
                <w:sz w:val="18"/>
                <w:szCs w:val="18"/>
                <w:lang w:val="bg-BG"/>
              </w:rPr>
              <w:t>практики, включително</w:t>
            </w:r>
            <w:r w:rsidRPr="00937D97">
              <w:rPr>
                <w:rFonts w:eastAsia="Times New Roman" w:cstheme="minorHAnsi"/>
                <w:color w:val="000000"/>
                <w:sz w:val="18"/>
                <w:szCs w:val="18"/>
                <w:lang w:val="bg-BG"/>
              </w:rPr>
              <w:t xml:space="preserve"> природозащитни граждански организации</w:t>
            </w:r>
          </w:p>
        </w:tc>
        <w:tc>
          <w:tcPr>
            <w:tcW w:w="2976" w:type="dxa"/>
            <w:shd w:val="clear" w:color="auto" w:fill="auto"/>
            <w:vAlign w:val="bottom"/>
            <w:hideMark/>
          </w:tcPr>
          <w:p w14:paraId="48FE80E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интегрира</w:t>
            </w:r>
          </w:p>
        </w:tc>
      </w:tr>
      <w:tr w:rsidR="00D504A5" w:rsidRPr="00937D97" w14:paraId="4D33170A" w14:textId="77777777" w:rsidTr="00D504A5">
        <w:trPr>
          <w:trHeight w:val="315"/>
        </w:trPr>
        <w:tc>
          <w:tcPr>
            <w:tcW w:w="988" w:type="dxa"/>
            <w:shd w:val="clear" w:color="auto" w:fill="auto"/>
            <w:vAlign w:val="bottom"/>
            <w:hideMark/>
          </w:tcPr>
          <w:p w14:paraId="5543752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6CA8759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247</w:t>
            </w:r>
          </w:p>
        </w:tc>
        <w:tc>
          <w:tcPr>
            <w:tcW w:w="5395" w:type="dxa"/>
            <w:shd w:val="clear" w:color="auto" w:fill="auto"/>
            <w:vAlign w:val="bottom"/>
            <w:hideMark/>
          </w:tcPr>
          <w:p w14:paraId="15B2F44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Допълнителен принос</w:t>
            </w:r>
          </w:p>
        </w:tc>
        <w:tc>
          <w:tcPr>
            <w:tcW w:w="4111" w:type="dxa"/>
            <w:shd w:val="clear" w:color="auto" w:fill="auto"/>
            <w:vAlign w:val="bottom"/>
            <w:hideMark/>
          </w:tcPr>
          <w:p w14:paraId="0D50F420" w14:textId="42C6B4B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 тази част на интервенционната логика е посочено как интервенциите допринасят за различни цели, но целите свързани с околната среда напълно липсват (4, 5, 6).  Предвид нуждата от реформи в земеделието и постигане на по-устойчиво и природосъобразно земеделие допълнителният принос към целите за околна среда е повече от необходим;  SWOT </w:t>
            </w:r>
            <w:r w:rsidR="00576AFC" w:rsidRPr="00937D97">
              <w:rPr>
                <w:rFonts w:eastAsia="Times New Roman" w:cstheme="minorHAnsi"/>
                <w:color w:val="000000"/>
                <w:sz w:val="18"/>
                <w:szCs w:val="18"/>
                <w:lang w:val="bg-BG"/>
              </w:rPr>
              <w:t>посочва липси</w:t>
            </w:r>
            <w:r w:rsidRPr="00937D97">
              <w:rPr>
                <w:rFonts w:eastAsia="Times New Roman" w:cstheme="minorHAnsi"/>
                <w:color w:val="000000"/>
                <w:sz w:val="18"/>
                <w:szCs w:val="18"/>
                <w:lang w:val="bg-BG"/>
              </w:rPr>
              <w:t xml:space="preserve"> и недостиг в </w:t>
            </w:r>
            <w:r w:rsidR="00576AFC" w:rsidRPr="00937D97">
              <w:rPr>
                <w:rFonts w:eastAsia="Times New Roman" w:cstheme="minorHAnsi"/>
                <w:color w:val="000000"/>
                <w:sz w:val="18"/>
                <w:szCs w:val="18"/>
                <w:lang w:val="bg-BG"/>
              </w:rPr>
              <w:t>тази</w:t>
            </w:r>
            <w:r w:rsidRPr="00937D97">
              <w:rPr>
                <w:rFonts w:eastAsia="Times New Roman" w:cstheme="minorHAnsi"/>
                <w:color w:val="000000"/>
                <w:sz w:val="18"/>
                <w:szCs w:val="18"/>
                <w:lang w:val="bg-BG"/>
              </w:rPr>
              <w:t xml:space="preserve"> сфера, но не е видно от интервенционната логика да се полагат усилия в тази насока</w:t>
            </w:r>
          </w:p>
        </w:tc>
        <w:tc>
          <w:tcPr>
            <w:tcW w:w="2976" w:type="dxa"/>
            <w:shd w:val="clear" w:color="auto" w:fill="auto"/>
            <w:vAlign w:val="bottom"/>
            <w:hideMark/>
          </w:tcPr>
          <w:p w14:paraId="75B21DEE" w14:textId="546E9C3C"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допълни текста с приноса който ще допринесат интервенциите към целите, ориентирани към околна среда - 4, 5 и 6.</w:t>
            </w:r>
          </w:p>
        </w:tc>
      </w:tr>
      <w:tr w:rsidR="00D504A5" w:rsidRPr="00937D97" w14:paraId="04C597E2" w14:textId="77777777" w:rsidTr="00D504A5">
        <w:trPr>
          <w:trHeight w:val="315"/>
        </w:trPr>
        <w:tc>
          <w:tcPr>
            <w:tcW w:w="988" w:type="dxa"/>
            <w:shd w:val="clear" w:color="auto" w:fill="auto"/>
            <w:vAlign w:val="bottom"/>
            <w:hideMark/>
          </w:tcPr>
          <w:p w14:paraId="3C07C3E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680ECA5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250</w:t>
            </w:r>
          </w:p>
        </w:tc>
        <w:tc>
          <w:tcPr>
            <w:tcW w:w="5395" w:type="dxa"/>
            <w:shd w:val="clear" w:color="auto" w:fill="auto"/>
            <w:vAlign w:val="bottom"/>
            <w:hideMark/>
          </w:tcPr>
          <w:p w14:paraId="1A75D3B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R.1 CU PR - Подобряване на резултатите чрез знания и иновации Number of persons benefitting from advice, training, knowledge exchange, or participating in European Innovation Partnership (EIP) operational groups supported by the CAP in order to enhance sustainable economic, social, environmental, climate and resource efficiency performance и R.28 CU - Environmental or climate-related performance through knowledge Number of persons benefitting from advice, training, knowledge exchange, or participating in European Innovation Partnership (EIP) operational groups supported by the CAP related to environmental or climate-related performance</w:t>
            </w:r>
          </w:p>
        </w:tc>
        <w:tc>
          <w:tcPr>
            <w:tcW w:w="4111" w:type="dxa"/>
            <w:shd w:val="clear" w:color="auto" w:fill="auto"/>
            <w:vAlign w:val="bottom"/>
            <w:hideMark/>
          </w:tcPr>
          <w:p w14:paraId="3548A27F" w14:textId="755D758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Този индикатор включва познания за заздравяване на устойчивостта, включително на икономически, </w:t>
            </w:r>
            <w:r w:rsidR="00576AFC" w:rsidRPr="00937D97">
              <w:rPr>
                <w:rFonts w:eastAsia="Times New Roman" w:cstheme="minorHAnsi"/>
                <w:color w:val="000000"/>
                <w:sz w:val="18"/>
                <w:szCs w:val="18"/>
                <w:lang w:val="bg-BG"/>
              </w:rPr>
              <w:t>социални</w:t>
            </w:r>
            <w:r w:rsidRPr="00937D97">
              <w:rPr>
                <w:rFonts w:eastAsia="Times New Roman" w:cstheme="minorHAnsi"/>
                <w:color w:val="000000"/>
                <w:sz w:val="18"/>
                <w:szCs w:val="18"/>
                <w:lang w:val="bg-BG"/>
              </w:rPr>
              <w:t xml:space="preserve"> аспекти, а също и тези свързани с околна среда и климат, но както подчертахме по-горе околната среда не е представян а</w:t>
            </w:r>
            <w:r w:rsidR="00576AFC">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по никакъв</w:t>
            </w:r>
            <w:r w:rsidR="00576AFC">
              <w:rPr>
                <w:rFonts w:eastAsia="Times New Roman" w:cstheme="minorHAnsi"/>
                <w:color w:val="000000"/>
                <w:sz w:val="18"/>
                <w:szCs w:val="18"/>
                <w:lang w:val="bg-BG"/>
              </w:rPr>
              <w:t xml:space="preserve"> </w:t>
            </w:r>
            <w:r w:rsidR="00576AFC" w:rsidRPr="00937D97">
              <w:rPr>
                <w:rFonts w:eastAsia="Times New Roman" w:cstheme="minorHAnsi"/>
                <w:color w:val="000000"/>
                <w:sz w:val="18"/>
                <w:szCs w:val="18"/>
                <w:lang w:val="bg-BG"/>
              </w:rPr>
              <w:t>начин</w:t>
            </w:r>
            <w:r w:rsidRPr="00937D97">
              <w:rPr>
                <w:rFonts w:eastAsia="Times New Roman" w:cstheme="minorHAnsi"/>
                <w:color w:val="000000"/>
                <w:sz w:val="18"/>
                <w:szCs w:val="18"/>
                <w:lang w:val="bg-BG"/>
              </w:rPr>
              <w:t xml:space="preserve"> в </w:t>
            </w:r>
            <w:r w:rsidR="00576AFC" w:rsidRPr="00937D97">
              <w:rPr>
                <w:rFonts w:eastAsia="Times New Roman" w:cstheme="minorHAnsi"/>
                <w:color w:val="000000"/>
                <w:sz w:val="18"/>
                <w:szCs w:val="18"/>
                <w:lang w:val="bg-BG"/>
              </w:rPr>
              <w:t>интервенционната</w:t>
            </w:r>
            <w:r w:rsidRPr="00937D97">
              <w:rPr>
                <w:rFonts w:eastAsia="Times New Roman" w:cstheme="minorHAnsi"/>
                <w:color w:val="000000"/>
                <w:sz w:val="18"/>
                <w:szCs w:val="18"/>
                <w:lang w:val="bg-BG"/>
              </w:rPr>
              <w:t xml:space="preserve"> логика  - т.е ще се докладва резултат за обучение, което включва всичко, но няма как да се измери дали в действителност се включва и околната среда. Аналогично индикаторът който отчита именно екологичните познания е поставен, но от </w:t>
            </w:r>
            <w:r w:rsidR="00576AFC" w:rsidRPr="00937D97">
              <w:rPr>
                <w:rFonts w:eastAsia="Times New Roman" w:cstheme="minorHAnsi"/>
                <w:color w:val="000000"/>
                <w:sz w:val="18"/>
                <w:szCs w:val="18"/>
                <w:lang w:val="bg-BG"/>
              </w:rPr>
              <w:t>интервенционната</w:t>
            </w:r>
            <w:r w:rsidRPr="00937D97">
              <w:rPr>
                <w:rFonts w:eastAsia="Times New Roman" w:cstheme="minorHAnsi"/>
                <w:color w:val="000000"/>
                <w:sz w:val="18"/>
                <w:szCs w:val="18"/>
                <w:lang w:val="bg-BG"/>
              </w:rPr>
              <w:t xml:space="preserve"> логика никъде няма и дума, как и къде и чрез коя интервенция ще се изпълни;</w:t>
            </w:r>
          </w:p>
        </w:tc>
        <w:tc>
          <w:tcPr>
            <w:tcW w:w="2976" w:type="dxa"/>
            <w:shd w:val="clear" w:color="auto" w:fill="auto"/>
            <w:vAlign w:val="bottom"/>
            <w:hideMark/>
          </w:tcPr>
          <w:p w14:paraId="3E8EBBC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допълни текста с приноса който ще допринесат интервенциите тук за постигане на индикатора, свързан с околна среда и климат - R.28</w:t>
            </w:r>
          </w:p>
        </w:tc>
      </w:tr>
      <w:tr w:rsidR="00D504A5" w:rsidRPr="00937D97" w14:paraId="79868504" w14:textId="77777777" w:rsidTr="00D504A5">
        <w:trPr>
          <w:trHeight w:val="315"/>
        </w:trPr>
        <w:tc>
          <w:tcPr>
            <w:tcW w:w="988" w:type="dxa"/>
            <w:shd w:val="clear" w:color="auto" w:fill="auto"/>
            <w:vAlign w:val="bottom"/>
            <w:hideMark/>
          </w:tcPr>
          <w:p w14:paraId="2B60787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Стратегическа цел  10 - SWOT</w:t>
            </w:r>
          </w:p>
        </w:tc>
        <w:tc>
          <w:tcPr>
            <w:tcW w:w="700" w:type="dxa"/>
            <w:shd w:val="clear" w:color="auto" w:fill="auto"/>
            <w:noWrap/>
            <w:vAlign w:val="bottom"/>
            <w:hideMark/>
          </w:tcPr>
          <w:p w14:paraId="78DAD5B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250 и 259</w:t>
            </w:r>
          </w:p>
        </w:tc>
        <w:tc>
          <w:tcPr>
            <w:tcW w:w="5395" w:type="dxa"/>
            <w:shd w:val="clear" w:color="auto" w:fill="auto"/>
            <w:vAlign w:val="bottom"/>
            <w:hideMark/>
          </w:tcPr>
          <w:p w14:paraId="7E44CAB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2.1.XCO.8 Selection of the result indicator(s)</w:t>
            </w:r>
          </w:p>
        </w:tc>
        <w:tc>
          <w:tcPr>
            <w:tcW w:w="4111" w:type="dxa"/>
            <w:shd w:val="clear" w:color="auto" w:fill="auto"/>
            <w:vAlign w:val="bottom"/>
            <w:hideMark/>
          </w:tcPr>
          <w:p w14:paraId="30224346" w14:textId="49796C7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липсват ключови индикатори по отношение на биоразнообразие, </w:t>
            </w:r>
            <w:r w:rsidR="00576AFC" w:rsidRPr="00937D97">
              <w:rPr>
                <w:rFonts w:eastAsia="Times New Roman" w:cstheme="minorHAnsi"/>
                <w:color w:val="000000"/>
                <w:sz w:val="18"/>
                <w:szCs w:val="18"/>
                <w:lang w:val="bg-BG"/>
              </w:rPr>
              <w:t>Натура</w:t>
            </w:r>
            <w:r w:rsidRPr="00937D97">
              <w:rPr>
                <w:rFonts w:eastAsia="Times New Roman" w:cstheme="minorHAnsi"/>
                <w:color w:val="000000"/>
                <w:sz w:val="18"/>
                <w:szCs w:val="18"/>
                <w:lang w:val="bg-BG"/>
              </w:rPr>
              <w:t xml:space="preserve"> 2000 и води; има интервенции без индикатори за </w:t>
            </w:r>
            <w:r w:rsidR="00576AFC" w:rsidRPr="00937D97">
              <w:rPr>
                <w:rFonts w:eastAsia="Times New Roman" w:cstheme="minorHAnsi"/>
                <w:color w:val="000000"/>
                <w:sz w:val="18"/>
                <w:szCs w:val="18"/>
                <w:lang w:val="bg-BG"/>
              </w:rPr>
              <w:t>резултат</w:t>
            </w:r>
            <w:r w:rsidRPr="00937D97">
              <w:rPr>
                <w:rFonts w:eastAsia="Times New Roman" w:cstheme="minorHAnsi"/>
                <w:color w:val="000000"/>
                <w:sz w:val="18"/>
                <w:szCs w:val="18"/>
                <w:lang w:val="bg-BG"/>
              </w:rPr>
              <w:t xml:space="preserve">, няма референтни стойности. Амбициите за обучени в сферата на околна среда и климат </w:t>
            </w:r>
            <w:r w:rsidR="00576AFC" w:rsidRPr="00937D97">
              <w:rPr>
                <w:rFonts w:eastAsia="Times New Roman" w:cstheme="minorHAnsi"/>
                <w:color w:val="000000"/>
                <w:sz w:val="18"/>
                <w:szCs w:val="18"/>
                <w:lang w:val="bg-BG"/>
              </w:rPr>
              <w:t>земеделци</w:t>
            </w:r>
            <w:r w:rsidRPr="00937D97">
              <w:rPr>
                <w:rFonts w:eastAsia="Times New Roman" w:cstheme="minorHAnsi"/>
                <w:color w:val="000000"/>
                <w:sz w:val="18"/>
                <w:szCs w:val="18"/>
                <w:lang w:val="bg-BG"/>
              </w:rPr>
              <w:t xml:space="preserve"> - само 5600 за 5 години са твърде ниски и представляват по-малко от 3% от всички земеделци, които се очаква да бъдат обучени в рамките на периода на плана (и само 0,6% от населението в селските райони). Това означава, че ще бъде загубено </w:t>
            </w:r>
            <w:r w:rsidR="00576AFC" w:rsidRPr="00937D97">
              <w:rPr>
                <w:rFonts w:eastAsia="Times New Roman" w:cstheme="minorHAnsi"/>
                <w:color w:val="000000"/>
                <w:sz w:val="18"/>
                <w:szCs w:val="18"/>
                <w:lang w:val="bg-BG"/>
              </w:rPr>
              <w:t>ценно</w:t>
            </w:r>
            <w:r w:rsidRPr="00937D97">
              <w:rPr>
                <w:rFonts w:eastAsia="Times New Roman" w:cstheme="minorHAnsi"/>
                <w:color w:val="000000"/>
                <w:sz w:val="18"/>
                <w:szCs w:val="18"/>
                <w:lang w:val="bg-BG"/>
              </w:rPr>
              <w:t xml:space="preserve"> време и ресурс за обучение на останалите 97%, които на практика няма да получат тези знания. Ако обучението по отношение на околна среда и климат върви с такива бавни темпове не можем да очакваме никакви значими подобрения в земеделските стопанства през следващите 60-70 години!; аналогична е ситуацията с цифровизирането на селското стопанство - много неамбициозни цели, които надали ще доведат до значителен </w:t>
            </w:r>
            <w:r w:rsidR="00576AFC" w:rsidRPr="00937D97">
              <w:rPr>
                <w:rFonts w:eastAsia="Times New Roman" w:cstheme="minorHAnsi"/>
                <w:color w:val="000000"/>
                <w:sz w:val="18"/>
                <w:szCs w:val="18"/>
                <w:lang w:val="bg-BG"/>
              </w:rPr>
              <w:t>напредък</w:t>
            </w:r>
            <w:r w:rsidRPr="00937D97">
              <w:rPr>
                <w:rFonts w:eastAsia="Times New Roman" w:cstheme="minorHAnsi"/>
                <w:color w:val="000000"/>
                <w:sz w:val="18"/>
                <w:szCs w:val="18"/>
                <w:lang w:val="bg-BG"/>
              </w:rPr>
              <w:t xml:space="preserve"> през следващите десетилетия ако темпът остане същия</w:t>
            </w:r>
          </w:p>
        </w:tc>
        <w:tc>
          <w:tcPr>
            <w:tcW w:w="2976" w:type="dxa"/>
            <w:shd w:val="clear" w:color="auto" w:fill="auto"/>
            <w:vAlign w:val="bottom"/>
            <w:hideMark/>
          </w:tcPr>
          <w:p w14:paraId="2D7B981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1DCE44E" w14:textId="77777777" w:rsidTr="00D504A5">
        <w:trPr>
          <w:trHeight w:val="315"/>
        </w:trPr>
        <w:tc>
          <w:tcPr>
            <w:tcW w:w="988" w:type="dxa"/>
            <w:shd w:val="clear" w:color="auto" w:fill="auto"/>
            <w:vAlign w:val="bottom"/>
            <w:hideMark/>
          </w:tcPr>
          <w:p w14:paraId="38A9E26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3E9532A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253</w:t>
            </w:r>
          </w:p>
        </w:tc>
        <w:tc>
          <w:tcPr>
            <w:tcW w:w="5395" w:type="dxa"/>
            <w:shd w:val="clear" w:color="auto" w:fill="auto"/>
            <w:vAlign w:val="bottom"/>
            <w:hideMark/>
          </w:tcPr>
          <w:p w14:paraId="7CC6047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2.2 Context Indicators and other values used for the calculation of the targets</w:t>
            </w:r>
          </w:p>
        </w:tc>
        <w:tc>
          <w:tcPr>
            <w:tcW w:w="4111" w:type="dxa"/>
            <w:shd w:val="clear" w:color="auto" w:fill="auto"/>
            <w:vAlign w:val="bottom"/>
            <w:hideMark/>
          </w:tcPr>
          <w:p w14:paraId="53A63F77" w14:textId="39BB835D"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сега сме 2022 г. прав</w:t>
            </w:r>
            <w:r w:rsidR="00576AFC" w:rsidRPr="00937D97">
              <w:rPr>
                <w:rFonts w:eastAsia="Times New Roman" w:cstheme="minorHAnsi"/>
                <w:color w:val="000000"/>
                <w:sz w:val="18"/>
                <w:szCs w:val="18"/>
                <w:lang w:val="bg-BG"/>
              </w:rPr>
              <w:t>и впечатление</w:t>
            </w:r>
            <w:r w:rsidRPr="00937D97">
              <w:rPr>
                <w:rFonts w:eastAsia="Times New Roman" w:cstheme="minorHAnsi"/>
                <w:color w:val="000000"/>
                <w:sz w:val="18"/>
                <w:szCs w:val="18"/>
                <w:lang w:val="bg-BG"/>
              </w:rPr>
              <w:t xml:space="preserve"> че част от индикаторите имат много стари базови стойности - броят на фермите и броят домашни животни е от 2016 г. годишни доклади има издадени до 2021 г - включително (последният публикуван през декември 2021 г.)и следва базовите стойности да са най-</w:t>
            </w:r>
            <w:r w:rsidR="00576AFC" w:rsidRPr="00937D97">
              <w:rPr>
                <w:rFonts w:eastAsia="Times New Roman" w:cstheme="minorHAnsi"/>
                <w:color w:val="000000"/>
                <w:sz w:val="18"/>
                <w:szCs w:val="18"/>
                <w:lang w:val="bg-BG"/>
              </w:rPr>
              <w:t>малкото</w:t>
            </w:r>
            <w:r w:rsidRPr="00937D97">
              <w:rPr>
                <w:rFonts w:eastAsia="Times New Roman" w:cstheme="minorHAnsi"/>
                <w:color w:val="000000"/>
                <w:sz w:val="18"/>
                <w:szCs w:val="18"/>
                <w:lang w:val="bg-BG"/>
              </w:rPr>
              <w:t xml:space="preserve"> в началото на плановия период - в случая 2020 г., освен по някаква причина да не е важно да се реферира към точно определена година в миналото. Прави впечатление, че липсва базова стойност по отношение на постоянно </w:t>
            </w:r>
            <w:r w:rsidR="00576AFC" w:rsidRPr="00937D97">
              <w:rPr>
                <w:rFonts w:eastAsia="Times New Roman" w:cstheme="minorHAnsi"/>
                <w:color w:val="000000"/>
                <w:sz w:val="18"/>
                <w:szCs w:val="18"/>
                <w:lang w:val="bg-BG"/>
              </w:rPr>
              <w:t>затревените</w:t>
            </w:r>
            <w:r w:rsidRPr="00937D97">
              <w:rPr>
                <w:rFonts w:eastAsia="Times New Roman" w:cstheme="minorHAnsi"/>
                <w:color w:val="000000"/>
                <w:sz w:val="18"/>
                <w:szCs w:val="18"/>
                <w:lang w:val="bg-BG"/>
              </w:rPr>
              <w:t xml:space="preserve"> площ - пасища и ливади, които специално се наблюдават от ЕК!</w:t>
            </w:r>
          </w:p>
        </w:tc>
        <w:tc>
          <w:tcPr>
            <w:tcW w:w="2976" w:type="dxa"/>
            <w:shd w:val="clear" w:color="auto" w:fill="auto"/>
            <w:vAlign w:val="bottom"/>
            <w:hideMark/>
          </w:tcPr>
          <w:p w14:paraId="2BDDAA5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7A245509" w14:textId="77777777" w:rsidTr="00D504A5">
        <w:trPr>
          <w:trHeight w:val="315"/>
        </w:trPr>
        <w:tc>
          <w:tcPr>
            <w:tcW w:w="988" w:type="dxa"/>
            <w:shd w:val="clear" w:color="auto" w:fill="auto"/>
            <w:vAlign w:val="bottom"/>
            <w:hideMark/>
          </w:tcPr>
          <w:p w14:paraId="422F8B9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74D140D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5395" w:type="dxa"/>
            <w:shd w:val="clear" w:color="auto" w:fill="auto"/>
            <w:vAlign w:val="bottom"/>
            <w:hideMark/>
          </w:tcPr>
          <w:p w14:paraId="1AB07F4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4111" w:type="dxa"/>
            <w:shd w:val="clear" w:color="auto" w:fill="auto"/>
            <w:vAlign w:val="bottom"/>
            <w:hideMark/>
          </w:tcPr>
          <w:p w14:paraId="000E6E5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c>
          <w:tcPr>
            <w:tcW w:w="2976" w:type="dxa"/>
            <w:shd w:val="clear" w:color="auto" w:fill="auto"/>
            <w:vAlign w:val="bottom"/>
            <w:hideMark/>
          </w:tcPr>
          <w:p w14:paraId="44AB493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5180481D" w14:textId="77777777" w:rsidTr="00D504A5">
        <w:trPr>
          <w:trHeight w:val="315"/>
        </w:trPr>
        <w:tc>
          <w:tcPr>
            <w:tcW w:w="988" w:type="dxa"/>
            <w:shd w:val="clear" w:color="auto" w:fill="auto"/>
            <w:vAlign w:val="bottom"/>
            <w:hideMark/>
          </w:tcPr>
          <w:p w14:paraId="5EDF3F7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7AFF414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254</w:t>
            </w:r>
          </w:p>
        </w:tc>
        <w:tc>
          <w:tcPr>
            <w:tcW w:w="5395" w:type="dxa"/>
            <w:shd w:val="clear" w:color="auto" w:fill="auto"/>
            <w:vAlign w:val="bottom"/>
            <w:hideMark/>
          </w:tcPr>
          <w:p w14:paraId="2D78B95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R.4 Създаване на връзка между подпомагането на доходите и стандартите и добрите практики Дял на използваната земеделска площ, обхваната от подпомагане на доходите при наличие на обвързаност с условия</w:t>
            </w:r>
          </w:p>
        </w:tc>
        <w:tc>
          <w:tcPr>
            <w:tcW w:w="4111" w:type="dxa"/>
            <w:shd w:val="clear" w:color="auto" w:fill="auto"/>
            <w:vAlign w:val="bottom"/>
            <w:hideMark/>
          </w:tcPr>
          <w:p w14:paraId="0B6AB8B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Не ми се струва възможно да се обхванат 5 009 650 ха от подпомагане при положение, че цялата ИЗП, която посочват е 5 037 470 ха, а както знаем  в допустимия слой са малко над 3 милиона. </w:t>
            </w:r>
          </w:p>
        </w:tc>
        <w:tc>
          <w:tcPr>
            <w:tcW w:w="2976" w:type="dxa"/>
            <w:shd w:val="clear" w:color="auto" w:fill="auto"/>
            <w:vAlign w:val="bottom"/>
            <w:hideMark/>
          </w:tcPr>
          <w:p w14:paraId="183C04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моля погледнете този индикатор</w:t>
            </w:r>
          </w:p>
        </w:tc>
      </w:tr>
      <w:tr w:rsidR="00D504A5" w:rsidRPr="00937D97" w14:paraId="190C2CC5" w14:textId="77777777" w:rsidTr="00D504A5">
        <w:trPr>
          <w:trHeight w:val="315"/>
        </w:trPr>
        <w:tc>
          <w:tcPr>
            <w:tcW w:w="988" w:type="dxa"/>
            <w:shd w:val="clear" w:color="auto" w:fill="auto"/>
            <w:vAlign w:val="bottom"/>
            <w:hideMark/>
          </w:tcPr>
          <w:p w14:paraId="415B62B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366F4C1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257</w:t>
            </w:r>
          </w:p>
        </w:tc>
        <w:tc>
          <w:tcPr>
            <w:tcW w:w="5395" w:type="dxa"/>
            <w:shd w:val="clear" w:color="auto" w:fill="auto"/>
            <w:vAlign w:val="bottom"/>
            <w:hideMark/>
          </w:tcPr>
          <w:p w14:paraId="66C7C5F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R.17 CU PR Залесена площ Подпомогната площ за залесяване, възстановяване на агро-лесовъдната система, включително разпределения </w:t>
            </w:r>
          </w:p>
        </w:tc>
        <w:tc>
          <w:tcPr>
            <w:tcW w:w="4111" w:type="dxa"/>
            <w:shd w:val="clear" w:color="auto" w:fill="auto"/>
            <w:vAlign w:val="bottom"/>
            <w:hideMark/>
          </w:tcPr>
          <w:p w14:paraId="1903190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 НПРД (мярка 51), стр.129 целевата площ за залесяване, която ще се финансира по ЕЗФРСР е 1000 ха, докато  в индикатор R.17 CU PR са заложени като крайна целева стойност 900 ха, макар по години да са разпределени 100+900 ха; също така прави впечатление че всички целеви хектари по тази мярка са планирани за 2027 и 2028 г. по неизвестни причини, поради което се опасявам, че ефекта от интервенцията няма да е видим</w:t>
            </w:r>
          </w:p>
        </w:tc>
        <w:tc>
          <w:tcPr>
            <w:tcW w:w="2976" w:type="dxa"/>
            <w:shd w:val="clear" w:color="auto" w:fill="auto"/>
            <w:vAlign w:val="bottom"/>
            <w:hideMark/>
          </w:tcPr>
          <w:p w14:paraId="26E4227F" w14:textId="7041B94D"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приведе в </w:t>
            </w:r>
            <w:r w:rsidR="00576AFC" w:rsidRPr="00937D97">
              <w:rPr>
                <w:rFonts w:eastAsia="Times New Roman" w:cstheme="minorHAnsi"/>
                <w:color w:val="000000"/>
                <w:sz w:val="18"/>
                <w:szCs w:val="18"/>
                <w:lang w:val="bg-BG"/>
              </w:rPr>
              <w:t>съответствие</w:t>
            </w:r>
            <w:r w:rsidRPr="00937D97">
              <w:rPr>
                <w:rFonts w:eastAsia="Times New Roman" w:cstheme="minorHAnsi"/>
                <w:color w:val="000000"/>
                <w:sz w:val="18"/>
                <w:szCs w:val="18"/>
                <w:lang w:val="bg-BG"/>
              </w:rPr>
              <w:t xml:space="preserve"> индикатора със заложеното в НПРД и да се предвиди стартирането на тази интервенция още в началото на плановия период - 2023-2024 г.</w:t>
            </w:r>
          </w:p>
        </w:tc>
      </w:tr>
      <w:tr w:rsidR="00D504A5" w:rsidRPr="00937D97" w14:paraId="12CFB7AB" w14:textId="77777777" w:rsidTr="00D504A5">
        <w:trPr>
          <w:trHeight w:val="315"/>
        </w:trPr>
        <w:tc>
          <w:tcPr>
            <w:tcW w:w="988" w:type="dxa"/>
            <w:shd w:val="clear" w:color="auto" w:fill="auto"/>
            <w:vAlign w:val="bottom"/>
            <w:hideMark/>
          </w:tcPr>
          <w:p w14:paraId="031E31C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6BD01E5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258</w:t>
            </w:r>
          </w:p>
        </w:tc>
        <w:tc>
          <w:tcPr>
            <w:tcW w:w="5395" w:type="dxa"/>
            <w:shd w:val="clear" w:color="auto" w:fill="auto"/>
            <w:vAlign w:val="bottom"/>
            <w:hideMark/>
          </w:tcPr>
          <w:p w14:paraId="2A282AE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R.19 PR Подобряване и опазване на почвите Share of Utilised Agricultural Area (UAA) under supported commitments beneficial for soil management to improve soil quality and biota (such as reducing tillage, soil cover with crops, crop rotation included with leguminous crops)</w:t>
            </w:r>
          </w:p>
        </w:tc>
        <w:tc>
          <w:tcPr>
            <w:tcW w:w="4111" w:type="dxa"/>
            <w:shd w:val="clear" w:color="auto" w:fill="auto"/>
            <w:vAlign w:val="bottom"/>
            <w:hideMark/>
          </w:tcPr>
          <w:p w14:paraId="62027DD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имайки предвид коментара на Вяра на горния ред излиза, че целевата стойност на индикатора е за целия допустим слой - около 3 млн хектара; интервенцията за подобряване на почвения потенциал е заложена при 7 потребности  - 5 от които към цел 5, една към цел 6 и 1 към цел 9, но само в цел 5 се появява въпросния индикатор; колко е реалистично и как ще се измери ефективността на интервенциите за постигане на желания резултат?</w:t>
            </w:r>
          </w:p>
        </w:tc>
        <w:tc>
          <w:tcPr>
            <w:tcW w:w="2976" w:type="dxa"/>
            <w:shd w:val="clear" w:color="auto" w:fill="auto"/>
            <w:vAlign w:val="bottom"/>
            <w:hideMark/>
          </w:tcPr>
          <w:p w14:paraId="14A1809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7B53C14" w14:textId="77777777" w:rsidTr="00D504A5">
        <w:trPr>
          <w:trHeight w:val="315"/>
        </w:trPr>
        <w:tc>
          <w:tcPr>
            <w:tcW w:w="988" w:type="dxa"/>
            <w:shd w:val="clear" w:color="auto" w:fill="auto"/>
            <w:vAlign w:val="bottom"/>
            <w:hideMark/>
          </w:tcPr>
          <w:p w14:paraId="45C5CA2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5E975074"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258</w:t>
            </w:r>
          </w:p>
        </w:tc>
        <w:tc>
          <w:tcPr>
            <w:tcW w:w="5395" w:type="dxa"/>
            <w:shd w:val="clear" w:color="auto" w:fill="auto"/>
            <w:vAlign w:val="bottom"/>
            <w:hideMark/>
          </w:tcPr>
          <w:p w14:paraId="6DF6509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R.24 PR Устойчива и намалена употреба на пестициди Share of Utilised Agricultural Area (UAA) under supported specific commitments which lead to a sustainable use of pesticides in order to reduce risks and impacts of pesticides, such as pesticides leakage </w:t>
            </w:r>
          </w:p>
        </w:tc>
        <w:tc>
          <w:tcPr>
            <w:tcW w:w="4111" w:type="dxa"/>
            <w:shd w:val="clear" w:color="auto" w:fill="auto"/>
            <w:vAlign w:val="bottom"/>
            <w:hideMark/>
          </w:tcPr>
          <w:p w14:paraId="1D7FE5D7" w14:textId="5ED1D97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въпреки, че </w:t>
            </w:r>
            <w:r w:rsidR="00576AFC" w:rsidRPr="00937D97">
              <w:rPr>
                <w:rFonts w:eastAsia="Times New Roman" w:cstheme="minorHAnsi"/>
                <w:color w:val="000000"/>
                <w:sz w:val="18"/>
                <w:szCs w:val="18"/>
                <w:lang w:val="bg-BG"/>
              </w:rPr>
              <w:t>интервенцията</w:t>
            </w:r>
            <w:r w:rsidRPr="00937D97">
              <w:rPr>
                <w:rFonts w:eastAsia="Times New Roman" w:cstheme="minorHAnsi"/>
                <w:color w:val="000000"/>
                <w:sz w:val="18"/>
                <w:szCs w:val="18"/>
                <w:lang w:val="bg-BG"/>
              </w:rPr>
              <w:t xml:space="preserve"> за намалена употреба на пестициди е заложена за постигането на 4 цели - 4, 5, 6 и 9, този индикатор е описано, че ще се ползва единствено при цел 5; също така биологичното земеделие е свързано с неупотребата на пестициди и съответно намаляване </w:t>
            </w:r>
            <w:r w:rsidR="00576AFC" w:rsidRPr="00937D97">
              <w:rPr>
                <w:rFonts w:eastAsia="Times New Roman" w:cstheme="minorHAnsi"/>
                <w:color w:val="000000"/>
                <w:sz w:val="18"/>
                <w:szCs w:val="18"/>
                <w:lang w:val="bg-BG"/>
              </w:rPr>
              <w:t>общата</w:t>
            </w:r>
            <w:r w:rsidRPr="00937D97">
              <w:rPr>
                <w:rFonts w:eastAsia="Times New Roman" w:cstheme="minorHAnsi"/>
                <w:color w:val="000000"/>
                <w:sz w:val="18"/>
                <w:szCs w:val="18"/>
                <w:lang w:val="bg-BG"/>
              </w:rPr>
              <w:t xml:space="preserve"> </w:t>
            </w:r>
            <w:r w:rsidR="00576AFC" w:rsidRPr="00937D97">
              <w:rPr>
                <w:rFonts w:eastAsia="Times New Roman" w:cstheme="minorHAnsi"/>
                <w:color w:val="000000"/>
                <w:sz w:val="18"/>
                <w:szCs w:val="18"/>
                <w:lang w:val="bg-BG"/>
              </w:rPr>
              <w:t>употреба</w:t>
            </w:r>
            <w:r w:rsidRPr="00937D97">
              <w:rPr>
                <w:rFonts w:eastAsia="Times New Roman" w:cstheme="minorHAnsi"/>
                <w:color w:val="000000"/>
                <w:sz w:val="18"/>
                <w:szCs w:val="18"/>
                <w:lang w:val="bg-BG"/>
              </w:rPr>
              <w:t xml:space="preserve"> на пестициди в страната, но не виждаме този индикатор за резултат да е представен за оценка </w:t>
            </w:r>
            <w:r w:rsidR="00576AFC" w:rsidRPr="00937D97">
              <w:rPr>
                <w:rFonts w:eastAsia="Times New Roman" w:cstheme="minorHAnsi"/>
                <w:color w:val="000000"/>
                <w:sz w:val="18"/>
                <w:szCs w:val="18"/>
                <w:lang w:val="bg-BG"/>
              </w:rPr>
              <w:t>ефективността</w:t>
            </w:r>
            <w:r w:rsidRPr="00937D97">
              <w:rPr>
                <w:rFonts w:eastAsia="Times New Roman" w:cstheme="minorHAnsi"/>
                <w:color w:val="000000"/>
                <w:sz w:val="18"/>
                <w:szCs w:val="18"/>
                <w:lang w:val="bg-BG"/>
              </w:rPr>
              <w:t xml:space="preserve"> на биологичното земеделие за намаляване на пестицидите </w:t>
            </w:r>
          </w:p>
        </w:tc>
        <w:tc>
          <w:tcPr>
            <w:tcW w:w="2976" w:type="dxa"/>
            <w:shd w:val="clear" w:color="auto" w:fill="auto"/>
            <w:vAlign w:val="bottom"/>
            <w:hideMark/>
          </w:tcPr>
          <w:p w14:paraId="4EA1292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4C8B945E" w14:textId="77777777" w:rsidTr="00D504A5">
        <w:trPr>
          <w:trHeight w:val="315"/>
        </w:trPr>
        <w:tc>
          <w:tcPr>
            <w:tcW w:w="988" w:type="dxa"/>
            <w:shd w:val="clear" w:color="auto" w:fill="auto"/>
            <w:vAlign w:val="bottom"/>
            <w:hideMark/>
          </w:tcPr>
          <w:p w14:paraId="1ECE7C7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5309ED5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259</w:t>
            </w:r>
          </w:p>
        </w:tc>
        <w:tc>
          <w:tcPr>
            <w:tcW w:w="5395" w:type="dxa"/>
            <w:shd w:val="clear" w:color="auto" w:fill="auto"/>
            <w:vAlign w:val="bottom"/>
            <w:hideMark/>
          </w:tcPr>
          <w:p w14:paraId="3EE2BF4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R.27 CU Environmental or climate-related performance through investment in rural areas</w:t>
            </w:r>
          </w:p>
        </w:tc>
        <w:tc>
          <w:tcPr>
            <w:tcW w:w="4111" w:type="dxa"/>
            <w:shd w:val="clear" w:color="auto" w:fill="auto"/>
            <w:vAlign w:val="bottom"/>
            <w:hideMark/>
          </w:tcPr>
          <w:p w14:paraId="1BD1DC9E" w14:textId="735CDD9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Предвиждат се само 20 инвестиции, което е </w:t>
            </w:r>
            <w:r w:rsidR="00576AFC" w:rsidRPr="00937D97">
              <w:rPr>
                <w:rFonts w:eastAsia="Times New Roman" w:cstheme="minorHAnsi"/>
                <w:color w:val="000000"/>
                <w:sz w:val="18"/>
                <w:szCs w:val="18"/>
                <w:lang w:val="bg-BG"/>
              </w:rPr>
              <w:t>крайно</w:t>
            </w:r>
            <w:r w:rsidRPr="00937D97">
              <w:rPr>
                <w:rFonts w:eastAsia="Times New Roman" w:cstheme="minorHAnsi"/>
                <w:color w:val="000000"/>
                <w:sz w:val="18"/>
                <w:szCs w:val="18"/>
                <w:lang w:val="bg-BG"/>
              </w:rPr>
              <w:t xml:space="preserve"> недостатъчно</w:t>
            </w:r>
          </w:p>
        </w:tc>
        <w:tc>
          <w:tcPr>
            <w:tcW w:w="2976" w:type="dxa"/>
            <w:shd w:val="clear" w:color="auto" w:fill="auto"/>
            <w:vAlign w:val="bottom"/>
            <w:hideMark/>
          </w:tcPr>
          <w:p w14:paraId="5D09659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поставят по-високи цели</w:t>
            </w:r>
          </w:p>
        </w:tc>
      </w:tr>
      <w:tr w:rsidR="00D504A5" w:rsidRPr="00937D97" w14:paraId="0B615696" w14:textId="77777777" w:rsidTr="00D504A5">
        <w:trPr>
          <w:trHeight w:val="315"/>
        </w:trPr>
        <w:tc>
          <w:tcPr>
            <w:tcW w:w="988" w:type="dxa"/>
            <w:shd w:val="clear" w:color="auto" w:fill="auto"/>
            <w:vAlign w:val="bottom"/>
            <w:hideMark/>
          </w:tcPr>
          <w:p w14:paraId="21C7C8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6A2FD157"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259</w:t>
            </w:r>
          </w:p>
        </w:tc>
        <w:tc>
          <w:tcPr>
            <w:tcW w:w="5395" w:type="dxa"/>
            <w:shd w:val="clear" w:color="auto" w:fill="auto"/>
            <w:noWrap/>
            <w:vAlign w:val="bottom"/>
            <w:hideMark/>
          </w:tcPr>
          <w:p w14:paraId="477EDF8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R.28 CU Environmental or climate-related performance through knowledge Number of persons benefitting from advice, training, knowledge exchange, or participating in European Innovation Partnership (EIP) operational groups supported by the CAP related to environmental or climate-related performance </w:t>
            </w:r>
          </w:p>
        </w:tc>
        <w:tc>
          <w:tcPr>
            <w:tcW w:w="4111" w:type="dxa"/>
            <w:shd w:val="clear" w:color="auto" w:fill="auto"/>
            <w:vAlign w:val="bottom"/>
            <w:hideMark/>
          </w:tcPr>
          <w:p w14:paraId="69513D17" w14:textId="69A90632"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Амбициите за обучени в сферата на околна среда и климат </w:t>
            </w:r>
            <w:r w:rsidR="00576AFC" w:rsidRPr="00937D97">
              <w:rPr>
                <w:rFonts w:eastAsia="Times New Roman" w:cstheme="minorHAnsi"/>
                <w:color w:val="000000"/>
                <w:sz w:val="18"/>
                <w:szCs w:val="18"/>
                <w:lang w:val="bg-BG"/>
              </w:rPr>
              <w:t>земеделци</w:t>
            </w:r>
            <w:r w:rsidRPr="00937D97">
              <w:rPr>
                <w:rFonts w:eastAsia="Times New Roman" w:cstheme="minorHAnsi"/>
                <w:color w:val="000000"/>
                <w:sz w:val="18"/>
                <w:szCs w:val="18"/>
                <w:lang w:val="bg-BG"/>
              </w:rPr>
              <w:t xml:space="preserve"> - само 5600 за 5 години са твърде ниски и представляват по-малко от 3% от всички земеделци, които се очаква да бъдат обучени в рамките на периода на плана (и само 0,6% от населението в селските райони). Това означава, че ще бъде загубено </w:t>
            </w:r>
            <w:r w:rsidR="00576AFC" w:rsidRPr="00937D97">
              <w:rPr>
                <w:rFonts w:eastAsia="Times New Roman" w:cstheme="minorHAnsi"/>
                <w:color w:val="000000"/>
                <w:sz w:val="18"/>
                <w:szCs w:val="18"/>
                <w:lang w:val="bg-BG"/>
              </w:rPr>
              <w:t>ценно</w:t>
            </w:r>
            <w:r w:rsidRPr="00937D97">
              <w:rPr>
                <w:rFonts w:eastAsia="Times New Roman" w:cstheme="minorHAnsi"/>
                <w:color w:val="000000"/>
                <w:sz w:val="18"/>
                <w:szCs w:val="18"/>
                <w:lang w:val="bg-BG"/>
              </w:rPr>
              <w:t xml:space="preserve"> време и ресурс за обучение на останалите 97%, които на практика няма да получат тези знания. Ако обучението по отношение на околна среда и климат върви с такива бавни темпове не можем да очакваме никакви значими подобрения в земеделските стопанства през следващите 60-70 години!;</w:t>
            </w:r>
          </w:p>
        </w:tc>
        <w:tc>
          <w:tcPr>
            <w:tcW w:w="2976" w:type="dxa"/>
            <w:shd w:val="clear" w:color="auto" w:fill="auto"/>
            <w:vAlign w:val="bottom"/>
            <w:hideMark/>
          </w:tcPr>
          <w:p w14:paraId="6CA1846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w:t>
            </w:r>
          </w:p>
        </w:tc>
      </w:tr>
      <w:tr w:rsidR="00D504A5" w:rsidRPr="00937D97" w14:paraId="1398A1FC" w14:textId="77777777" w:rsidTr="00D504A5">
        <w:trPr>
          <w:trHeight w:val="315"/>
        </w:trPr>
        <w:tc>
          <w:tcPr>
            <w:tcW w:w="988" w:type="dxa"/>
            <w:shd w:val="clear" w:color="auto" w:fill="auto"/>
            <w:vAlign w:val="bottom"/>
            <w:hideMark/>
          </w:tcPr>
          <w:p w14:paraId="3043730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655D4C5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259-260</w:t>
            </w:r>
          </w:p>
        </w:tc>
        <w:tc>
          <w:tcPr>
            <w:tcW w:w="5395" w:type="dxa"/>
            <w:shd w:val="clear" w:color="auto" w:fill="auto"/>
            <w:noWrap/>
            <w:vAlign w:val="bottom"/>
            <w:hideMark/>
          </w:tcPr>
          <w:p w14:paraId="47458A8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R.30 PR Подпомагане на устойчивото управление на горите Дял на горската земя съгласно ангажиментите за подпомагане на опазването на горите и управлението на екосистемните услуги </w:t>
            </w:r>
          </w:p>
        </w:tc>
        <w:tc>
          <w:tcPr>
            <w:tcW w:w="4111" w:type="dxa"/>
            <w:shd w:val="clear" w:color="auto" w:fill="auto"/>
            <w:vAlign w:val="bottom"/>
            <w:hideMark/>
          </w:tcPr>
          <w:p w14:paraId="51DF50DA" w14:textId="72799A5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 НПРД (мярка 50), стр.127-128 целевата площ за прилагане на тази мярка, която ще се финансира по ЕЗФРСР е 100000 ха, докато  в индикатор R.30 PR са заложени като крайна целева стойност само 36000 ха - много ниска амбиция не отговаряща на НПРД - на практика само 36% от заложеното по НПРД, което</w:t>
            </w:r>
            <w:r w:rsidR="00576AFC">
              <w:rPr>
                <w:rFonts w:eastAsia="Times New Roman" w:cstheme="minorHAnsi"/>
                <w:color w:val="000000"/>
                <w:sz w:val="18"/>
                <w:szCs w:val="18"/>
                <w:lang w:val="bg-BG"/>
              </w:rPr>
              <w:t xml:space="preserve"> </w:t>
            </w:r>
            <w:r w:rsidRPr="00937D97">
              <w:rPr>
                <w:rFonts w:eastAsia="Times New Roman" w:cstheme="minorHAnsi"/>
                <w:color w:val="000000"/>
                <w:sz w:val="18"/>
                <w:szCs w:val="18"/>
                <w:lang w:val="bg-BG"/>
              </w:rPr>
              <w:t>ще осуети постигането на целите за биоразнообразие по тази мярка</w:t>
            </w:r>
          </w:p>
        </w:tc>
        <w:tc>
          <w:tcPr>
            <w:tcW w:w="2976" w:type="dxa"/>
            <w:shd w:val="clear" w:color="auto" w:fill="auto"/>
            <w:vAlign w:val="bottom"/>
            <w:hideMark/>
          </w:tcPr>
          <w:p w14:paraId="7F2D9ACD" w14:textId="31E66C0B"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приведе в </w:t>
            </w:r>
            <w:r w:rsidR="00576AFC" w:rsidRPr="00937D97">
              <w:rPr>
                <w:rFonts w:eastAsia="Times New Roman" w:cstheme="minorHAnsi"/>
                <w:color w:val="000000"/>
                <w:sz w:val="18"/>
                <w:szCs w:val="18"/>
                <w:lang w:val="bg-BG"/>
              </w:rPr>
              <w:t>съответствие</w:t>
            </w:r>
            <w:r w:rsidRPr="00937D97">
              <w:rPr>
                <w:rFonts w:eastAsia="Times New Roman" w:cstheme="minorHAnsi"/>
                <w:color w:val="000000"/>
                <w:sz w:val="18"/>
                <w:szCs w:val="18"/>
                <w:lang w:val="bg-BG"/>
              </w:rPr>
              <w:t xml:space="preserve"> индикатора със заложеното в НПРД и да се предвиди стартирането на тази интервенция още в началото на плановия период - 2023г.</w:t>
            </w:r>
          </w:p>
        </w:tc>
      </w:tr>
      <w:tr w:rsidR="00D504A5" w:rsidRPr="00937D97" w14:paraId="159ED58C" w14:textId="77777777" w:rsidTr="00D504A5">
        <w:trPr>
          <w:trHeight w:val="315"/>
        </w:trPr>
        <w:tc>
          <w:tcPr>
            <w:tcW w:w="988" w:type="dxa"/>
            <w:shd w:val="clear" w:color="auto" w:fill="auto"/>
            <w:vAlign w:val="bottom"/>
            <w:hideMark/>
          </w:tcPr>
          <w:p w14:paraId="618B0F9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35C8CB5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260</w:t>
            </w:r>
          </w:p>
        </w:tc>
        <w:tc>
          <w:tcPr>
            <w:tcW w:w="5395" w:type="dxa"/>
            <w:shd w:val="clear" w:color="auto" w:fill="auto"/>
            <w:noWrap/>
            <w:vAlign w:val="bottom"/>
            <w:hideMark/>
          </w:tcPr>
          <w:p w14:paraId="732DFA5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R.31 PR Опазване на местообитанията и видовете</w:t>
            </w:r>
          </w:p>
        </w:tc>
        <w:tc>
          <w:tcPr>
            <w:tcW w:w="4111" w:type="dxa"/>
            <w:shd w:val="clear" w:color="auto" w:fill="auto"/>
            <w:vAlign w:val="bottom"/>
            <w:hideMark/>
          </w:tcPr>
          <w:p w14:paraId="45E9896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Целевата стойност е 68 326 ха, което не отговаря на  потребностите</w:t>
            </w:r>
          </w:p>
        </w:tc>
        <w:tc>
          <w:tcPr>
            <w:tcW w:w="2976" w:type="dxa"/>
            <w:shd w:val="clear" w:color="auto" w:fill="auto"/>
            <w:vAlign w:val="bottom"/>
            <w:hideMark/>
          </w:tcPr>
          <w:p w14:paraId="2B48743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ревизира</w:t>
            </w:r>
          </w:p>
        </w:tc>
      </w:tr>
      <w:tr w:rsidR="00D504A5" w:rsidRPr="00937D97" w14:paraId="13E0DB99" w14:textId="77777777" w:rsidTr="00D504A5">
        <w:trPr>
          <w:trHeight w:val="315"/>
        </w:trPr>
        <w:tc>
          <w:tcPr>
            <w:tcW w:w="988" w:type="dxa"/>
            <w:shd w:val="clear" w:color="auto" w:fill="auto"/>
            <w:vAlign w:val="bottom"/>
            <w:hideMark/>
          </w:tcPr>
          <w:p w14:paraId="0973097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3933D1E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260</w:t>
            </w:r>
          </w:p>
        </w:tc>
        <w:tc>
          <w:tcPr>
            <w:tcW w:w="5395" w:type="dxa"/>
            <w:shd w:val="clear" w:color="auto" w:fill="auto"/>
            <w:noWrap/>
            <w:vAlign w:val="bottom"/>
            <w:hideMark/>
          </w:tcPr>
          <w:p w14:paraId="1409487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R.31 PR Опазване на местообитанията и видовете</w:t>
            </w:r>
          </w:p>
        </w:tc>
        <w:tc>
          <w:tcPr>
            <w:tcW w:w="4111" w:type="dxa"/>
            <w:shd w:val="clear" w:color="auto" w:fill="auto"/>
            <w:vAlign w:val="bottom"/>
            <w:hideMark/>
          </w:tcPr>
          <w:p w14:paraId="432DCF21" w14:textId="4830A3F3" w:rsidR="00937D97" w:rsidRPr="00937D97" w:rsidRDefault="00576AFC"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Съгласно</w:t>
            </w:r>
            <w:r w:rsidR="00937D97" w:rsidRPr="00937D97">
              <w:rPr>
                <w:rFonts w:eastAsia="Times New Roman" w:cstheme="minorHAnsi"/>
                <w:color w:val="000000"/>
                <w:sz w:val="18"/>
                <w:szCs w:val="18"/>
                <w:lang w:val="bg-BG"/>
              </w:rPr>
              <w:t xml:space="preserve"> НПРД целевите стойности на този индикатор трябва да са над 200000 ха сумарно!  Много занижена стойност и много ниски </w:t>
            </w:r>
            <w:r w:rsidRPr="00937D97">
              <w:rPr>
                <w:rFonts w:eastAsia="Times New Roman" w:cstheme="minorHAnsi"/>
                <w:color w:val="000000"/>
                <w:sz w:val="18"/>
                <w:szCs w:val="18"/>
                <w:lang w:val="bg-BG"/>
              </w:rPr>
              <w:t>амбиции</w:t>
            </w:r>
            <w:r w:rsidR="00937D97" w:rsidRPr="00937D97">
              <w:rPr>
                <w:rFonts w:eastAsia="Times New Roman" w:cstheme="minorHAnsi"/>
                <w:color w:val="000000"/>
                <w:sz w:val="18"/>
                <w:szCs w:val="18"/>
                <w:lang w:val="bg-BG"/>
              </w:rPr>
              <w:t xml:space="preserve"> заложени в Плана за земеделие; </w:t>
            </w:r>
            <w:r w:rsidRPr="00937D97">
              <w:rPr>
                <w:rFonts w:eastAsia="Times New Roman" w:cstheme="minorHAnsi"/>
                <w:color w:val="000000"/>
                <w:sz w:val="18"/>
                <w:szCs w:val="18"/>
                <w:lang w:val="bg-BG"/>
              </w:rPr>
              <w:t>и</w:t>
            </w:r>
            <w:r>
              <w:rPr>
                <w:rFonts w:eastAsia="Times New Roman" w:cstheme="minorHAnsi"/>
                <w:color w:val="000000"/>
                <w:sz w:val="18"/>
                <w:szCs w:val="18"/>
                <w:lang w:val="bg-BG"/>
              </w:rPr>
              <w:t>нд</w:t>
            </w:r>
            <w:r w:rsidRPr="00937D97">
              <w:rPr>
                <w:rFonts w:eastAsia="Times New Roman" w:cstheme="minorHAnsi"/>
                <w:color w:val="000000"/>
                <w:sz w:val="18"/>
                <w:szCs w:val="18"/>
                <w:lang w:val="bg-BG"/>
              </w:rPr>
              <w:t>икатора</w:t>
            </w:r>
            <w:r w:rsidR="00937D97" w:rsidRPr="00937D97">
              <w:rPr>
                <w:rFonts w:eastAsia="Times New Roman" w:cstheme="minorHAnsi"/>
                <w:color w:val="000000"/>
                <w:sz w:val="18"/>
                <w:szCs w:val="18"/>
                <w:lang w:val="bg-BG"/>
              </w:rPr>
              <w:t xml:space="preserve"> е заложен само за цел 6 на две места</w:t>
            </w:r>
          </w:p>
        </w:tc>
        <w:tc>
          <w:tcPr>
            <w:tcW w:w="2976" w:type="dxa"/>
            <w:shd w:val="clear" w:color="auto" w:fill="auto"/>
            <w:vAlign w:val="bottom"/>
            <w:hideMark/>
          </w:tcPr>
          <w:p w14:paraId="4F6FECEB" w14:textId="7D9096D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приведе в </w:t>
            </w:r>
            <w:r w:rsidR="00576AFC" w:rsidRPr="00937D97">
              <w:rPr>
                <w:rFonts w:eastAsia="Times New Roman" w:cstheme="minorHAnsi"/>
                <w:color w:val="000000"/>
                <w:sz w:val="18"/>
                <w:szCs w:val="18"/>
                <w:lang w:val="bg-BG"/>
              </w:rPr>
              <w:t>съответствие</w:t>
            </w:r>
            <w:r w:rsidRPr="00937D97">
              <w:rPr>
                <w:rFonts w:eastAsia="Times New Roman" w:cstheme="minorHAnsi"/>
                <w:color w:val="000000"/>
                <w:sz w:val="18"/>
                <w:szCs w:val="18"/>
                <w:lang w:val="bg-BG"/>
              </w:rPr>
              <w:t xml:space="preserve"> индикатора със заложеното в НПРД и да се предвиди стартирането на тази интервенция още в началото на плановия период - 2023г.</w:t>
            </w:r>
          </w:p>
        </w:tc>
      </w:tr>
      <w:tr w:rsidR="00D504A5" w:rsidRPr="00937D97" w14:paraId="55BCC7F6" w14:textId="77777777" w:rsidTr="00D504A5">
        <w:trPr>
          <w:trHeight w:val="315"/>
        </w:trPr>
        <w:tc>
          <w:tcPr>
            <w:tcW w:w="988" w:type="dxa"/>
            <w:shd w:val="clear" w:color="auto" w:fill="auto"/>
            <w:vAlign w:val="bottom"/>
            <w:hideMark/>
          </w:tcPr>
          <w:p w14:paraId="3455497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и цели</w:t>
            </w:r>
          </w:p>
        </w:tc>
        <w:tc>
          <w:tcPr>
            <w:tcW w:w="700" w:type="dxa"/>
            <w:shd w:val="clear" w:color="auto" w:fill="auto"/>
            <w:noWrap/>
            <w:vAlign w:val="bottom"/>
            <w:hideMark/>
          </w:tcPr>
          <w:p w14:paraId="7EA19495"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260</w:t>
            </w:r>
          </w:p>
        </w:tc>
        <w:tc>
          <w:tcPr>
            <w:tcW w:w="5395" w:type="dxa"/>
            <w:shd w:val="clear" w:color="auto" w:fill="auto"/>
            <w:vAlign w:val="bottom"/>
            <w:hideMark/>
          </w:tcPr>
          <w:p w14:paraId="17CE18A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R.33 Подобряване на управлението на мрежа </w:t>
            </w:r>
            <w:r w:rsidRPr="00937D97">
              <w:rPr>
                <w:rFonts w:eastAsia="Times New Roman" w:cstheme="minorHAnsi"/>
                <w:color w:val="000000"/>
                <w:sz w:val="18"/>
                <w:szCs w:val="18"/>
                <w:lang w:val="bg-BG"/>
              </w:rPr>
              <w:br/>
              <w:t>„Натура 2000</w:t>
            </w:r>
          </w:p>
        </w:tc>
        <w:tc>
          <w:tcPr>
            <w:tcW w:w="4111" w:type="dxa"/>
            <w:shd w:val="clear" w:color="auto" w:fill="auto"/>
            <w:vAlign w:val="bottom"/>
            <w:hideMark/>
          </w:tcPr>
          <w:p w14:paraId="5893C61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Целевата стойност е 60 000 ха, като  за  2020 г. са подпомогнати по мярка Натура 2000: 407 255 ха</w:t>
            </w:r>
          </w:p>
        </w:tc>
        <w:tc>
          <w:tcPr>
            <w:tcW w:w="2976" w:type="dxa"/>
            <w:shd w:val="clear" w:color="auto" w:fill="auto"/>
            <w:vAlign w:val="bottom"/>
            <w:hideMark/>
          </w:tcPr>
          <w:p w14:paraId="3823F00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Целевата стойност е намалена 6,8 пъти спрямо подпомогнатите площи през 2020 г. Това противоречи на чл. 105 от Регламента за Стратегическите планове "no backsliding principle"</w:t>
            </w:r>
          </w:p>
        </w:tc>
      </w:tr>
      <w:tr w:rsidR="00D504A5" w:rsidRPr="00937D97" w14:paraId="37652533" w14:textId="77777777" w:rsidTr="00D504A5">
        <w:trPr>
          <w:trHeight w:val="315"/>
        </w:trPr>
        <w:tc>
          <w:tcPr>
            <w:tcW w:w="988" w:type="dxa"/>
            <w:shd w:val="clear" w:color="auto" w:fill="auto"/>
            <w:vAlign w:val="bottom"/>
            <w:hideMark/>
          </w:tcPr>
          <w:p w14:paraId="46500CC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Индикатори за резултат и цели</w:t>
            </w:r>
          </w:p>
        </w:tc>
        <w:tc>
          <w:tcPr>
            <w:tcW w:w="700" w:type="dxa"/>
            <w:shd w:val="clear" w:color="auto" w:fill="auto"/>
            <w:noWrap/>
            <w:vAlign w:val="bottom"/>
            <w:hideMark/>
          </w:tcPr>
          <w:p w14:paraId="079ABC1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260</w:t>
            </w:r>
          </w:p>
        </w:tc>
        <w:tc>
          <w:tcPr>
            <w:tcW w:w="5395" w:type="dxa"/>
            <w:shd w:val="clear" w:color="auto" w:fill="auto"/>
            <w:vAlign w:val="bottom"/>
            <w:hideMark/>
          </w:tcPr>
          <w:p w14:paraId="562DDB3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R.33 Подобряване на управлението на мрежа </w:t>
            </w:r>
            <w:r w:rsidRPr="00937D97">
              <w:rPr>
                <w:rFonts w:eastAsia="Times New Roman" w:cstheme="minorHAnsi"/>
                <w:color w:val="000000"/>
                <w:sz w:val="18"/>
                <w:szCs w:val="18"/>
                <w:lang w:val="bg-BG"/>
              </w:rPr>
              <w:br/>
              <w:t>„Натура 2000</w:t>
            </w:r>
          </w:p>
        </w:tc>
        <w:tc>
          <w:tcPr>
            <w:tcW w:w="4111" w:type="dxa"/>
            <w:shd w:val="clear" w:color="auto" w:fill="auto"/>
            <w:vAlign w:val="bottom"/>
            <w:hideMark/>
          </w:tcPr>
          <w:p w14:paraId="38400DFF" w14:textId="365B55A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целевата стойност не съответства на заложеното в НПРД - мярка 52:(стр. 129) - 100000 ха + мярка 45 (115-116) - 200000 - общо 300000 ха; занижено 5 пъти!!!  изключително ниски амбиции!</w:t>
            </w:r>
          </w:p>
        </w:tc>
        <w:tc>
          <w:tcPr>
            <w:tcW w:w="2976" w:type="dxa"/>
            <w:shd w:val="clear" w:color="auto" w:fill="auto"/>
            <w:vAlign w:val="bottom"/>
            <w:hideMark/>
          </w:tcPr>
          <w:p w14:paraId="0C65C5E2" w14:textId="77B6AEC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да се приведе в </w:t>
            </w:r>
            <w:r w:rsidR="00576AFC" w:rsidRPr="00937D97">
              <w:rPr>
                <w:rFonts w:eastAsia="Times New Roman" w:cstheme="minorHAnsi"/>
                <w:color w:val="000000"/>
                <w:sz w:val="18"/>
                <w:szCs w:val="18"/>
                <w:lang w:val="bg-BG"/>
              </w:rPr>
              <w:t>съответствие</w:t>
            </w:r>
            <w:r w:rsidRPr="00937D97">
              <w:rPr>
                <w:rFonts w:eastAsia="Times New Roman" w:cstheme="minorHAnsi"/>
                <w:color w:val="000000"/>
                <w:sz w:val="18"/>
                <w:szCs w:val="18"/>
                <w:lang w:val="bg-BG"/>
              </w:rPr>
              <w:t xml:space="preserve"> индикатора със заложеното в НПРД</w:t>
            </w:r>
          </w:p>
        </w:tc>
      </w:tr>
      <w:tr w:rsidR="00D504A5" w:rsidRPr="00937D97" w14:paraId="5C0F33B9" w14:textId="77777777" w:rsidTr="00D504A5">
        <w:trPr>
          <w:trHeight w:val="315"/>
        </w:trPr>
        <w:tc>
          <w:tcPr>
            <w:tcW w:w="988" w:type="dxa"/>
            <w:shd w:val="clear" w:color="auto" w:fill="auto"/>
            <w:vAlign w:val="bottom"/>
            <w:hideMark/>
          </w:tcPr>
          <w:p w14:paraId="3E50F4E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51957F9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270</w:t>
            </w:r>
          </w:p>
        </w:tc>
        <w:tc>
          <w:tcPr>
            <w:tcW w:w="5395" w:type="dxa"/>
            <w:shd w:val="clear" w:color="auto" w:fill="auto"/>
            <w:vAlign w:val="bottom"/>
            <w:hideMark/>
          </w:tcPr>
          <w:p w14:paraId="6F4C877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 схемата за разнообразяване на отглежданите култури въвежда практика в стопанства с размер до 10 ха обработваема земя да се отглеждат поне 2 различни култури; стопанствата в диапазона 10-30 ха обработваема земя трябва да имат поне 3 различни култури и стопанствата над 30 ха следва да отглеждат минимум 4 земеделски култури.</w:t>
            </w:r>
          </w:p>
        </w:tc>
        <w:tc>
          <w:tcPr>
            <w:tcW w:w="4111" w:type="dxa"/>
            <w:shd w:val="clear" w:color="auto" w:fill="auto"/>
            <w:vAlign w:val="bottom"/>
            <w:hideMark/>
          </w:tcPr>
          <w:p w14:paraId="65F4CDB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пак става много монокултурно и има друг смисъл от разнообразяване на културите в НПРД</w:t>
            </w:r>
          </w:p>
        </w:tc>
        <w:tc>
          <w:tcPr>
            <w:tcW w:w="2976" w:type="dxa"/>
            <w:shd w:val="clear" w:color="auto" w:fill="auto"/>
            <w:vAlign w:val="bottom"/>
            <w:hideMark/>
          </w:tcPr>
          <w:p w14:paraId="7B85EE2D"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A3A91D2" w14:textId="77777777" w:rsidTr="00D504A5">
        <w:trPr>
          <w:trHeight w:val="315"/>
        </w:trPr>
        <w:tc>
          <w:tcPr>
            <w:tcW w:w="988" w:type="dxa"/>
            <w:shd w:val="clear" w:color="auto" w:fill="auto"/>
            <w:vAlign w:val="bottom"/>
            <w:hideMark/>
          </w:tcPr>
          <w:p w14:paraId="4E40385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4B76F82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271</w:t>
            </w:r>
          </w:p>
        </w:tc>
        <w:tc>
          <w:tcPr>
            <w:tcW w:w="5395" w:type="dxa"/>
            <w:shd w:val="clear" w:color="auto" w:fill="auto"/>
            <w:vAlign w:val="bottom"/>
            <w:hideMark/>
          </w:tcPr>
          <w:p w14:paraId="2E19AFC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 отношение на горския сектор подпомагането е насочено предимно към залесяване и възстановяване на гори, пострадали от пожари и други природни бедствия, и въвеждане на превантивни дейности за борба с горските пожари, както и компенсаторни плащания за екологични ангажименти в горите.</w:t>
            </w:r>
          </w:p>
        </w:tc>
        <w:tc>
          <w:tcPr>
            <w:tcW w:w="4111" w:type="dxa"/>
            <w:shd w:val="clear" w:color="auto" w:fill="auto"/>
            <w:vAlign w:val="bottom"/>
            <w:hideMark/>
          </w:tcPr>
          <w:p w14:paraId="2A78479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горските пожари са включени в НПРД но с друг източник на финансиране; демаркация?</w:t>
            </w:r>
          </w:p>
        </w:tc>
        <w:tc>
          <w:tcPr>
            <w:tcW w:w="2976" w:type="dxa"/>
            <w:shd w:val="clear" w:color="auto" w:fill="auto"/>
            <w:vAlign w:val="bottom"/>
            <w:hideMark/>
          </w:tcPr>
          <w:p w14:paraId="635E7850"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49E2CE4" w14:textId="77777777" w:rsidTr="00D504A5">
        <w:trPr>
          <w:trHeight w:val="315"/>
        </w:trPr>
        <w:tc>
          <w:tcPr>
            <w:tcW w:w="988" w:type="dxa"/>
            <w:shd w:val="clear" w:color="auto" w:fill="auto"/>
            <w:vAlign w:val="bottom"/>
            <w:hideMark/>
          </w:tcPr>
          <w:p w14:paraId="73F8E95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5D44DCAD"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271</w:t>
            </w:r>
          </w:p>
        </w:tc>
        <w:tc>
          <w:tcPr>
            <w:tcW w:w="5395" w:type="dxa"/>
            <w:shd w:val="clear" w:color="auto" w:fill="auto"/>
            <w:vAlign w:val="bottom"/>
            <w:hideMark/>
          </w:tcPr>
          <w:p w14:paraId="35D2B41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Българската страна демонстрира по-голям цялостен принос за постигането на специфичните цели 4,5 и 6, в сравнение с цялостния принос за постигането на целите изпълнявани в предходния програмен период посредством подпомагане по линия на ЕФГЗ и ЕЗФРСР в периода 2014—2020 г.</w:t>
            </w:r>
          </w:p>
        </w:tc>
        <w:tc>
          <w:tcPr>
            <w:tcW w:w="4111" w:type="dxa"/>
            <w:shd w:val="clear" w:color="auto" w:fill="auto"/>
            <w:vAlign w:val="bottom"/>
            <w:hideMark/>
          </w:tcPr>
          <w:p w14:paraId="6F5479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не отговаря на фактическата обстановка</w:t>
            </w:r>
          </w:p>
        </w:tc>
        <w:tc>
          <w:tcPr>
            <w:tcW w:w="2976" w:type="dxa"/>
            <w:shd w:val="clear" w:color="auto" w:fill="auto"/>
            <w:vAlign w:val="bottom"/>
            <w:hideMark/>
          </w:tcPr>
          <w:p w14:paraId="16B8A4FD"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8CBBE98" w14:textId="77777777" w:rsidTr="00D504A5">
        <w:trPr>
          <w:trHeight w:val="315"/>
        </w:trPr>
        <w:tc>
          <w:tcPr>
            <w:tcW w:w="988" w:type="dxa"/>
            <w:shd w:val="clear" w:color="auto" w:fill="auto"/>
            <w:vAlign w:val="bottom"/>
            <w:hideMark/>
          </w:tcPr>
          <w:p w14:paraId="032CFC6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568FBE5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268-276</w:t>
            </w:r>
          </w:p>
        </w:tc>
        <w:tc>
          <w:tcPr>
            <w:tcW w:w="5395" w:type="dxa"/>
            <w:shd w:val="clear" w:color="auto" w:fill="auto"/>
            <w:noWrap/>
            <w:vAlign w:val="bottom"/>
            <w:hideMark/>
          </w:tcPr>
          <w:p w14:paraId="63871275" w14:textId="77777777" w:rsidR="00937D97" w:rsidRPr="00937D97" w:rsidRDefault="00937D97" w:rsidP="00937D97">
            <w:pPr>
              <w:spacing w:after="0" w:line="240" w:lineRule="auto"/>
              <w:rPr>
                <w:rFonts w:eastAsia="Times New Roman" w:cstheme="minorHAnsi"/>
                <w:color w:val="000000"/>
                <w:sz w:val="18"/>
                <w:szCs w:val="18"/>
                <w:lang w:val="bg-BG"/>
              </w:rPr>
            </w:pPr>
          </w:p>
        </w:tc>
        <w:tc>
          <w:tcPr>
            <w:tcW w:w="4111" w:type="dxa"/>
            <w:shd w:val="clear" w:color="auto" w:fill="auto"/>
            <w:vAlign w:val="bottom"/>
            <w:hideMark/>
          </w:tcPr>
          <w:p w14:paraId="4FDC0B7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многократно портаряне на едни и същи неща</w:t>
            </w:r>
          </w:p>
        </w:tc>
        <w:tc>
          <w:tcPr>
            <w:tcW w:w="2976" w:type="dxa"/>
            <w:shd w:val="clear" w:color="auto" w:fill="auto"/>
            <w:vAlign w:val="bottom"/>
            <w:hideMark/>
          </w:tcPr>
          <w:p w14:paraId="47AFA7F8"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712F23AD" w14:textId="77777777" w:rsidTr="00D504A5">
        <w:trPr>
          <w:trHeight w:val="315"/>
        </w:trPr>
        <w:tc>
          <w:tcPr>
            <w:tcW w:w="988" w:type="dxa"/>
            <w:shd w:val="clear" w:color="auto" w:fill="auto"/>
            <w:vAlign w:val="bottom"/>
            <w:hideMark/>
          </w:tcPr>
          <w:p w14:paraId="7B5B9D7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271CD8C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276</w:t>
            </w:r>
          </w:p>
        </w:tc>
        <w:tc>
          <w:tcPr>
            <w:tcW w:w="5395" w:type="dxa"/>
            <w:shd w:val="clear" w:color="auto" w:fill="auto"/>
            <w:vAlign w:val="bottom"/>
            <w:hideMark/>
          </w:tcPr>
          <w:p w14:paraId="18B5DCA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3.1.4 Explanation of how the environmental and climate architecture of the CAP Strategic Plan is meant to contribute to already established long-term national targets set out in or deriving from the legislative instruments referred to in Annex XI</w:t>
            </w:r>
          </w:p>
        </w:tc>
        <w:tc>
          <w:tcPr>
            <w:tcW w:w="4111" w:type="dxa"/>
            <w:shd w:val="clear" w:color="auto" w:fill="auto"/>
            <w:vAlign w:val="bottom"/>
            <w:hideMark/>
          </w:tcPr>
          <w:p w14:paraId="13DFDF7F" w14:textId="0D90A29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на практика не се отговаря на този въпрос; само общи </w:t>
            </w:r>
            <w:r w:rsidR="00576AFC" w:rsidRPr="00937D97">
              <w:rPr>
                <w:rFonts w:eastAsia="Times New Roman" w:cstheme="minorHAnsi"/>
                <w:color w:val="000000"/>
                <w:sz w:val="18"/>
                <w:szCs w:val="18"/>
                <w:lang w:val="bg-BG"/>
              </w:rPr>
              <w:t>приказки</w:t>
            </w:r>
            <w:r w:rsidRPr="00937D97">
              <w:rPr>
                <w:rFonts w:eastAsia="Times New Roman" w:cstheme="minorHAnsi"/>
                <w:color w:val="000000"/>
                <w:sz w:val="18"/>
                <w:szCs w:val="18"/>
                <w:lang w:val="bg-BG"/>
              </w:rPr>
              <w:t xml:space="preserve"> </w:t>
            </w:r>
          </w:p>
        </w:tc>
        <w:tc>
          <w:tcPr>
            <w:tcW w:w="2976" w:type="dxa"/>
            <w:shd w:val="clear" w:color="auto" w:fill="auto"/>
            <w:vAlign w:val="bottom"/>
            <w:hideMark/>
          </w:tcPr>
          <w:p w14:paraId="0E8DCE4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тук трябва да се даде ясна връзка с НПРД и други стратегически цели да ОС и климат</w:t>
            </w:r>
          </w:p>
        </w:tc>
      </w:tr>
      <w:tr w:rsidR="00D504A5" w:rsidRPr="00937D97" w14:paraId="6A3D3EB8" w14:textId="77777777" w:rsidTr="00D504A5">
        <w:trPr>
          <w:trHeight w:val="315"/>
        </w:trPr>
        <w:tc>
          <w:tcPr>
            <w:tcW w:w="988" w:type="dxa"/>
            <w:shd w:val="clear" w:color="auto" w:fill="auto"/>
            <w:vAlign w:val="bottom"/>
            <w:hideMark/>
          </w:tcPr>
          <w:p w14:paraId="387892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екология и климат</w:t>
            </w:r>
          </w:p>
        </w:tc>
        <w:tc>
          <w:tcPr>
            <w:tcW w:w="700" w:type="dxa"/>
            <w:shd w:val="clear" w:color="auto" w:fill="auto"/>
            <w:noWrap/>
            <w:vAlign w:val="bottom"/>
            <w:hideMark/>
          </w:tcPr>
          <w:p w14:paraId="4D33ABB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277</w:t>
            </w:r>
          </w:p>
        </w:tc>
        <w:tc>
          <w:tcPr>
            <w:tcW w:w="5395" w:type="dxa"/>
            <w:shd w:val="clear" w:color="auto" w:fill="auto"/>
            <w:vAlign w:val="bottom"/>
            <w:hideMark/>
          </w:tcPr>
          <w:p w14:paraId="52502B9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3.1.5 Where relevant, CAP contribution towards LIFE projects</w:t>
            </w:r>
          </w:p>
        </w:tc>
        <w:tc>
          <w:tcPr>
            <w:tcW w:w="4111" w:type="dxa"/>
            <w:shd w:val="clear" w:color="auto" w:fill="auto"/>
            <w:vAlign w:val="bottom"/>
            <w:hideMark/>
          </w:tcPr>
          <w:p w14:paraId="68A4B64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полето е празно - няма принос на ОСП към лайфски проекти</w:t>
            </w:r>
          </w:p>
        </w:tc>
        <w:tc>
          <w:tcPr>
            <w:tcW w:w="2976" w:type="dxa"/>
            <w:shd w:val="clear" w:color="auto" w:fill="auto"/>
            <w:vAlign w:val="bottom"/>
            <w:hideMark/>
          </w:tcPr>
          <w:p w14:paraId="11F11EF4"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FCAA5B8" w14:textId="77777777" w:rsidTr="00D504A5">
        <w:trPr>
          <w:trHeight w:val="315"/>
        </w:trPr>
        <w:tc>
          <w:tcPr>
            <w:tcW w:w="988" w:type="dxa"/>
            <w:shd w:val="clear" w:color="auto" w:fill="auto"/>
            <w:vAlign w:val="bottom"/>
            <w:hideMark/>
          </w:tcPr>
          <w:p w14:paraId="4A9C0F0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население</w:t>
            </w:r>
          </w:p>
        </w:tc>
        <w:tc>
          <w:tcPr>
            <w:tcW w:w="700" w:type="dxa"/>
            <w:shd w:val="clear" w:color="auto" w:fill="auto"/>
            <w:noWrap/>
            <w:vAlign w:val="bottom"/>
            <w:hideMark/>
          </w:tcPr>
          <w:p w14:paraId="5BFAA5F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278</w:t>
            </w:r>
          </w:p>
        </w:tc>
        <w:tc>
          <w:tcPr>
            <w:tcW w:w="5395" w:type="dxa"/>
            <w:shd w:val="clear" w:color="auto" w:fill="auto"/>
            <w:vAlign w:val="bottom"/>
            <w:hideMark/>
          </w:tcPr>
          <w:p w14:paraId="39BD1DA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3.2.1 Where relevant, CAP contribution towards Erasmus projects - Неприложимо</w:t>
            </w:r>
          </w:p>
        </w:tc>
        <w:tc>
          <w:tcPr>
            <w:tcW w:w="4111" w:type="dxa"/>
            <w:shd w:val="clear" w:color="auto" w:fill="auto"/>
            <w:vAlign w:val="bottom"/>
            <w:hideMark/>
          </w:tcPr>
          <w:p w14:paraId="2727DA0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няма принос на ОСП</w:t>
            </w:r>
          </w:p>
        </w:tc>
        <w:tc>
          <w:tcPr>
            <w:tcW w:w="2976" w:type="dxa"/>
            <w:shd w:val="clear" w:color="auto" w:fill="auto"/>
            <w:vAlign w:val="bottom"/>
            <w:hideMark/>
          </w:tcPr>
          <w:p w14:paraId="3EE4EFA7"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A1CA12E" w14:textId="77777777" w:rsidTr="00D504A5">
        <w:trPr>
          <w:trHeight w:val="315"/>
        </w:trPr>
        <w:tc>
          <w:tcPr>
            <w:tcW w:w="988" w:type="dxa"/>
            <w:shd w:val="clear" w:color="auto" w:fill="auto"/>
            <w:vAlign w:val="bottom"/>
            <w:hideMark/>
          </w:tcPr>
          <w:p w14:paraId="4C446BB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Water Framework Directive</w:t>
            </w:r>
          </w:p>
        </w:tc>
        <w:tc>
          <w:tcPr>
            <w:tcW w:w="700" w:type="dxa"/>
            <w:shd w:val="clear" w:color="auto" w:fill="auto"/>
            <w:noWrap/>
            <w:vAlign w:val="bottom"/>
            <w:hideMark/>
          </w:tcPr>
          <w:p w14:paraId="0EB2679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278</w:t>
            </w:r>
          </w:p>
        </w:tc>
        <w:tc>
          <w:tcPr>
            <w:tcW w:w="5395" w:type="dxa"/>
            <w:shd w:val="clear" w:color="auto" w:fill="auto"/>
            <w:vAlign w:val="bottom"/>
            <w:hideMark/>
          </w:tcPr>
          <w:p w14:paraId="6D3C31D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Интервенциите за обвързано с производството подпомагане не са в разрез с опазването и устойчивото използване на водите в рамките на водните системи, с опазването на водите на Общността в качествено и количествено отношение, с внимателното и рационалното им използване и не създават предпоставки за това потенциално опасни вещества, свързани с дейността в тези сектори, да замърсяват водните системи.</w:t>
            </w:r>
          </w:p>
        </w:tc>
        <w:tc>
          <w:tcPr>
            <w:tcW w:w="4111" w:type="dxa"/>
            <w:shd w:val="clear" w:color="auto" w:fill="auto"/>
            <w:vAlign w:val="bottom"/>
            <w:hideMark/>
          </w:tcPr>
          <w:p w14:paraId="3951E5B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проверя</w:t>
            </w:r>
          </w:p>
        </w:tc>
        <w:tc>
          <w:tcPr>
            <w:tcW w:w="2976" w:type="dxa"/>
            <w:shd w:val="clear" w:color="auto" w:fill="auto"/>
            <w:vAlign w:val="bottom"/>
            <w:hideMark/>
          </w:tcPr>
          <w:p w14:paraId="15E69631"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7ACD3B3" w14:textId="77777777" w:rsidTr="00D504A5">
        <w:trPr>
          <w:trHeight w:val="315"/>
        </w:trPr>
        <w:tc>
          <w:tcPr>
            <w:tcW w:w="988" w:type="dxa"/>
            <w:shd w:val="clear" w:color="auto" w:fill="auto"/>
            <w:vAlign w:val="bottom"/>
            <w:hideMark/>
          </w:tcPr>
          <w:p w14:paraId="4760313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винопроизводство</w:t>
            </w:r>
          </w:p>
        </w:tc>
        <w:tc>
          <w:tcPr>
            <w:tcW w:w="700" w:type="dxa"/>
            <w:shd w:val="clear" w:color="auto" w:fill="auto"/>
            <w:noWrap/>
            <w:vAlign w:val="bottom"/>
            <w:hideMark/>
          </w:tcPr>
          <w:p w14:paraId="299852AC"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284</w:t>
            </w:r>
          </w:p>
        </w:tc>
        <w:tc>
          <w:tcPr>
            <w:tcW w:w="5395" w:type="dxa"/>
            <w:shd w:val="clear" w:color="auto" w:fill="auto"/>
            <w:vAlign w:val="bottom"/>
            <w:hideMark/>
          </w:tcPr>
          <w:p w14:paraId="53A8515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Едва около 40% от всички регистрирани винопроизводители отглеждат и собствени лозови насаждения, което допринася за подобряване на тяхната осигуреност със суровина и устойчивост. От останалите винопроизводителите част имат изградени отношения с производителите на грозде, както има и такива, които не разполагат нито с преработвателни мощности, нито с изградени взаимоотношения с гроздопроизводители.</w:t>
            </w:r>
          </w:p>
        </w:tc>
        <w:tc>
          <w:tcPr>
            <w:tcW w:w="4111" w:type="dxa"/>
            <w:shd w:val="clear" w:color="auto" w:fill="auto"/>
            <w:vAlign w:val="bottom"/>
            <w:hideMark/>
          </w:tcPr>
          <w:p w14:paraId="7B468EE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не разполагат нито с преработвателни мощности, нито с изградени взаимоотношения с гроздопроизводители" - как правят вино тогава?</w:t>
            </w:r>
          </w:p>
        </w:tc>
        <w:tc>
          <w:tcPr>
            <w:tcW w:w="2976" w:type="dxa"/>
            <w:shd w:val="clear" w:color="auto" w:fill="auto"/>
            <w:vAlign w:val="bottom"/>
            <w:hideMark/>
          </w:tcPr>
          <w:p w14:paraId="5CE49173"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70675E43" w14:textId="77777777" w:rsidTr="00D504A5">
        <w:trPr>
          <w:trHeight w:val="315"/>
        </w:trPr>
        <w:tc>
          <w:tcPr>
            <w:tcW w:w="988" w:type="dxa"/>
            <w:shd w:val="clear" w:color="auto" w:fill="auto"/>
            <w:vAlign w:val="bottom"/>
            <w:hideMark/>
          </w:tcPr>
          <w:p w14:paraId="4C425B9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винопроизводство</w:t>
            </w:r>
          </w:p>
        </w:tc>
        <w:tc>
          <w:tcPr>
            <w:tcW w:w="700" w:type="dxa"/>
            <w:shd w:val="clear" w:color="auto" w:fill="auto"/>
            <w:noWrap/>
            <w:vAlign w:val="bottom"/>
            <w:hideMark/>
          </w:tcPr>
          <w:p w14:paraId="74C9E6E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284</w:t>
            </w:r>
          </w:p>
        </w:tc>
        <w:tc>
          <w:tcPr>
            <w:tcW w:w="5395" w:type="dxa"/>
            <w:shd w:val="clear" w:color="auto" w:fill="auto"/>
            <w:vAlign w:val="bottom"/>
            <w:hideMark/>
          </w:tcPr>
          <w:p w14:paraId="00AC93D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Изпълнението на дейностите за преструктуриране и конверсия на лозя ще допринесе за приспособяване на производството на винено грозде към динамиката на свободния пазар, повишаване на доходите в сектора, предпазване на селските райони от обезлюдяване. Изпълнението на интервенцията ще спомогне и за преодоляване на неблагоприятната възрастова и сортова структура на лозята в България, която ограничава възможностите за устойчиво и конкурентно развитие на сектора.</w:t>
            </w:r>
          </w:p>
        </w:tc>
        <w:tc>
          <w:tcPr>
            <w:tcW w:w="4111" w:type="dxa"/>
            <w:shd w:val="clear" w:color="auto" w:fill="auto"/>
            <w:vAlign w:val="bottom"/>
            <w:hideMark/>
          </w:tcPr>
          <w:p w14:paraId="77AFC005"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при винопроизводството не се предвиждат и не се цели нищо свързано с околната среда; само икономически насочено</w:t>
            </w:r>
          </w:p>
        </w:tc>
        <w:tc>
          <w:tcPr>
            <w:tcW w:w="2976" w:type="dxa"/>
            <w:shd w:val="clear" w:color="auto" w:fill="auto"/>
            <w:vAlign w:val="bottom"/>
            <w:hideMark/>
          </w:tcPr>
          <w:p w14:paraId="2C666CC4"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2480C364" w14:textId="77777777" w:rsidTr="00D504A5">
        <w:trPr>
          <w:trHeight w:val="315"/>
        </w:trPr>
        <w:tc>
          <w:tcPr>
            <w:tcW w:w="988" w:type="dxa"/>
            <w:shd w:val="clear" w:color="auto" w:fill="auto"/>
            <w:vAlign w:val="bottom"/>
            <w:hideMark/>
          </w:tcPr>
          <w:p w14:paraId="48981FF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винопроизводство</w:t>
            </w:r>
          </w:p>
        </w:tc>
        <w:tc>
          <w:tcPr>
            <w:tcW w:w="700" w:type="dxa"/>
            <w:shd w:val="clear" w:color="auto" w:fill="auto"/>
            <w:noWrap/>
            <w:vAlign w:val="bottom"/>
            <w:hideMark/>
          </w:tcPr>
          <w:p w14:paraId="6D1A9EEA"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285</w:t>
            </w:r>
          </w:p>
        </w:tc>
        <w:tc>
          <w:tcPr>
            <w:tcW w:w="5395" w:type="dxa"/>
            <w:shd w:val="clear" w:color="auto" w:fill="auto"/>
            <w:vAlign w:val="bottom"/>
            <w:hideMark/>
          </w:tcPr>
          <w:p w14:paraId="314F5D4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 рамките на интервенцията инвестиции в екологични съоръжения се предвижда подпомагане, насочено към намаляване на екологичния отпечатък от дейността на предприятията за производство на вино – източници на възобновяема енергия, пречиствателни станции, инсталации за компостиране и преработка на други отпадни продукти.</w:t>
            </w:r>
          </w:p>
        </w:tc>
        <w:tc>
          <w:tcPr>
            <w:tcW w:w="4111" w:type="dxa"/>
            <w:shd w:val="clear" w:color="auto" w:fill="auto"/>
            <w:vAlign w:val="bottom"/>
            <w:hideMark/>
          </w:tcPr>
          <w:p w14:paraId="4CBA911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това е само за околна среда</w:t>
            </w:r>
          </w:p>
        </w:tc>
        <w:tc>
          <w:tcPr>
            <w:tcW w:w="2976" w:type="dxa"/>
            <w:shd w:val="clear" w:color="auto" w:fill="auto"/>
            <w:vAlign w:val="bottom"/>
            <w:hideMark/>
          </w:tcPr>
          <w:p w14:paraId="2C5DC5FA"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589C9B5" w14:textId="77777777" w:rsidTr="00D504A5">
        <w:trPr>
          <w:trHeight w:val="315"/>
        </w:trPr>
        <w:tc>
          <w:tcPr>
            <w:tcW w:w="988" w:type="dxa"/>
            <w:shd w:val="clear" w:color="auto" w:fill="auto"/>
            <w:vAlign w:val="bottom"/>
            <w:hideMark/>
          </w:tcPr>
          <w:p w14:paraId="7AD4965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винопроизводство</w:t>
            </w:r>
          </w:p>
        </w:tc>
        <w:tc>
          <w:tcPr>
            <w:tcW w:w="700" w:type="dxa"/>
            <w:shd w:val="clear" w:color="auto" w:fill="auto"/>
            <w:noWrap/>
            <w:vAlign w:val="bottom"/>
            <w:hideMark/>
          </w:tcPr>
          <w:p w14:paraId="72DA1A0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285</w:t>
            </w:r>
          </w:p>
        </w:tc>
        <w:tc>
          <w:tcPr>
            <w:tcW w:w="5395" w:type="dxa"/>
            <w:shd w:val="clear" w:color="auto" w:fill="auto"/>
            <w:vAlign w:val="bottom"/>
            <w:hideMark/>
          </w:tcPr>
          <w:p w14:paraId="3426877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От ЕЗФРСР подпомагане в лозаро-винарския сектор може да бъде получено по следните планирани интервенции, насочени към подобряване на конкурентоспособността, устойчивостта на производството и повишаване на добавената стойност.</w:t>
            </w:r>
            <w:r w:rsidRPr="00937D97">
              <w:rPr>
                <w:rFonts w:eastAsia="Times New Roman" w:cstheme="minorHAnsi"/>
                <w:color w:val="000000"/>
                <w:sz w:val="18"/>
                <w:szCs w:val="18"/>
                <w:lang w:val="bg-BG"/>
              </w:rPr>
              <w:br/>
              <w:t>-Инвестиции в земеделските стопанства;</w:t>
            </w:r>
            <w:r w:rsidRPr="00937D97">
              <w:rPr>
                <w:rFonts w:eastAsia="Times New Roman" w:cstheme="minorHAnsi"/>
                <w:color w:val="000000"/>
                <w:sz w:val="18"/>
                <w:szCs w:val="18"/>
                <w:lang w:val="bg-BG"/>
              </w:rPr>
              <w:br/>
              <w:t>-Инвестиции за преработка на селскостопански продукти;</w:t>
            </w:r>
            <w:r w:rsidRPr="00937D97">
              <w:rPr>
                <w:rFonts w:eastAsia="Times New Roman" w:cstheme="minorHAnsi"/>
                <w:color w:val="000000"/>
                <w:sz w:val="18"/>
                <w:szCs w:val="18"/>
                <w:lang w:val="bg-BG"/>
              </w:rPr>
              <w:br/>
              <w:t>-Подпомагане на много малки земеделски стопанства;</w:t>
            </w:r>
            <w:r w:rsidRPr="00937D97">
              <w:rPr>
                <w:rFonts w:eastAsia="Times New Roman" w:cstheme="minorHAnsi"/>
                <w:color w:val="000000"/>
                <w:sz w:val="18"/>
                <w:szCs w:val="18"/>
                <w:lang w:val="bg-BG"/>
              </w:rPr>
              <w:br/>
              <w:t>-Стартова помощ за установяване на млади земеделски стопани в селското стопанство;</w:t>
            </w:r>
            <w:r w:rsidRPr="00937D97">
              <w:rPr>
                <w:rFonts w:eastAsia="Times New Roman" w:cstheme="minorHAnsi"/>
                <w:color w:val="000000"/>
                <w:sz w:val="18"/>
                <w:szCs w:val="18"/>
                <w:lang w:val="bg-BG"/>
              </w:rPr>
              <w:br/>
              <w:t>-Подкрепа на организации на производители или групи от производители;</w:t>
            </w:r>
            <w:r w:rsidRPr="00937D97">
              <w:rPr>
                <w:rFonts w:eastAsia="Times New Roman" w:cstheme="minorHAnsi"/>
                <w:color w:val="000000"/>
                <w:sz w:val="18"/>
                <w:szCs w:val="18"/>
                <w:lang w:val="bg-BG"/>
              </w:rPr>
              <w:br/>
              <w:t>-Биологично производство;</w:t>
            </w:r>
            <w:r w:rsidRPr="00937D97">
              <w:rPr>
                <w:rFonts w:eastAsia="Times New Roman" w:cstheme="minorHAnsi"/>
                <w:color w:val="000000"/>
                <w:sz w:val="18"/>
                <w:szCs w:val="18"/>
                <w:lang w:val="bg-BG"/>
              </w:rPr>
              <w:br/>
              <w:t>-Опазване на застрашени от изчезване местни сортове, важни за селското стопанство (предстои определяне на списъка със сортове, вкл. лози);</w:t>
            </w:r>
            <w:r w:rsidRPr="00937D97">
              <w:rPr>
                <w:rFonts w:eastAsia="Times New Roman" w:cstheme="minorHAnsi"/>
                <w:color w:val="000000"/>
                <w:sz w:val="18"/>
                <w:szCs w:val="18"/>
                <w:lang w:val="bg-BG"/>
              </w:rPr>
              <w:br/>
              <w:t>-Плащания за земеделски земи в зони от Натура 2000.</w:t>
            </w:r>
          </w:p>
        </w:tc>
        <w:tc>
          <w:tcPr>
            <w:tcW w:w="4111" w:type="dxa"/>
            <w:shd w:val="clear" w:color="auto" w:fill="auto"/>
            <w:vAlign w:val="bottom"/>
            <w:hideMark/>
          </w:tcPr>
          <w:p w14:paraId="4527CE26" w14:textId="3F3252E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прави впечатление, че секторът може да се подпомага от биологично </w:t>
            </w:r>
            <w:r w:rsidR="00576AFC" w:rsidRPr="00937D97">
              <w:rPr>
                <w:rFonts w:eastAsia="Times New Roman" w:cstheme="minorHAnsi"/>
                <w:color w:val="000000"/>
                <w:sz w:val="18"/>
                <w:szCs w:val="18"/>
                <w:lang w:val="bg-BG"/>
              </w:rPr>
              <w:t>производство</w:t>
            </w:r>
            <w:r w:rsidRPr="00937D97">
              <w:rPr>
                <w:rFonts w:eastAsia="Times New Roman" w:cstheme="minorHAnsi"/>
                <w:color w:val="000000"/>
                <w:sz w:val="18"/>
                <w:szCs w:val="18"/>
                <w:lang w:val="bg-BG"/>
              </w:rPr>
              <w:t xml:space="preserve">, застрашени сортове и плащания в Натура, но това не е обвързано с целите и приоритетите за развитие на сектора, посочени по-горе в текста. Дори ми се струва, че това което е заложено при "конверсия на лозята" противоречи на </w:t>
            </w:r>
            <w:r w:rsidR="00576AFC" w:rsidRPr="00937D97">
              <w:rPr>
                <w:rFonts w:eastAsia="Times New Roman" w:cstheme="minorHAnsi"/>
                <w:color w:val="000000"/>
                <w:sz w:val="18"/>
                <w:szCs w:val="18"/>
                <w:lang w:val="bg-BG"/>
              </w:rPr>
              <w:t>целите</w:t>
            </w:r>
            <w:r w:rsidRPr="00937D97">
              <w:rPr>
                <w:rFonts w:eastAsia="Times New Roman" w:cstheme="minorHAnsi"/>
                <w:color w:val="000000"/>
                <w:sz w:val="18"/>
                <w:szCs w:val="18"/>
                <w:lang w:val="bg-BG"/>
              </w:rPr>
              <w:t xml:space="preserve"> за запазване на местни и застрашени сортове; няма и никакви изисквания по отношение на зони от Натура или биологично производство; има риск парите от насочените към ОС и биоразнообразие мерки да се </w:t>
            </w:r>
            <w:r w:rsidR="00576AFC" w:rsidRPr="00937D97">
              <w:rPr>
                <w:rFonts w:eastAsia="Times New Roman" w:cstheme="minorHAnsi"/>
                <w:color w:val="000000"/>
                <w:sz w:val="18"/>
                <w:szCs w:val="18"/>
                <w:lang w:val="bg-BG"/>
              </w:rPr>
              <w:t>използват</w:t>
            </w:r>
            <w:r w:rsidRPr="00937D97">
              <w:rPr>
                <w:rFonts w:eastAsia="Times New Roman" w:cstheme="minorHAnsi"/>
                <w:color w:val="000000"/>
                <w:sz w:val="18"/>
                <w:szCs w:val="18"/>
                <w:lang w:val="bg-BG"/>
              </w:rPr>
              <w:t xml:space="preserve"> за </w:t>
            </w:r>
            <w:r w:rsidR="00576AFC" w:rsidRPr="00937D97">
              <w:rPr>
                <w:rFonts w:eastAsia="Times New Roman" w:cstheme="minorHAnsi"/>
                <w:color w:val="000000"/>
                <w:sz w:val="18"/>
                <w:szCs w:val="18"/>
                <w:lang w:val="bg-BG"/>
              </w:rPr>
              <w:t>дейности</w:t>
            </w:r>
            <w:r w:rsidRPr="00937D97">
              <w:rPr>
                <w:rFonts w:eastAsia="Times New Roman" w:cstheme="minorHAnsi"/>
                <w:color w:val="000000"/>
                <w:sz w:val="18"/>
                <w:szCs w:val="18"/>
                <w:lang w:val="bg-BG"/>
              </w:rPr>
              <w:t xml:space="preserve"> не постигащи природозащитни цели!</w:t>
            </w:r>
          </w:p>
        </w:tc>
        <w:tc>
          <w:tcPr>
            <w:tcW w:w="2976" w:type="dxa"/>
            <w:shd w:val="clear" w:color="auto" w:fill="auto"/>
            <w:vAlign w:val="bottom"/>
            <w:hideMark/>
          </w:tcPr>
          <w:p w14:paraId="231C738E"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27F78F48" w14:textId="77777777" w:rsidTr="00D504A5">
        <w:trPr>
          <w:trHeight w:val="315"/>
        </w:trPr>
        <w:tc>
          <w:tcPr>
            <w:tcW w:w="988" w:type="dxa"/>
            <w:shd w:val="clear" w:color="auto" w:fill="auto"/>
            <w:vAlign w:val="bottom"/>
            <w:hideMark/>
          </w:tcPr>
          <w:p w14:paraId="620BE44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Мляко и млечни продукти</w:t>
            </w:r>
          </w:p>
        </w:tc>
        <w:tc>
          <w:tcPr>
            <w:tcW w:w="700" w:type="dxa"/>
            <w:shd w:val="clear" w:color="auto" w:fill="auto"/>
            <w:noWrap/>
            <w:vAlign w:val="bottom"/>
            <w:hideMark/>
          </w:tcPr>
          <w:p w14:paraId="65127A98"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287</w:t>
            </w:r>
          </w:p>
        </w:tc>
        <w:tc>
          <w:tcPr>
            <w:tcW w:w="5395" w:type="dxa"/>
            <w:shd w:val="clear" w:color="auto" w:fill="auto"/>
            <w:vAlign w:val="bottom"/>
            <w:hideMark/>
          </w:tcPr>
          <w:p w14:paraId="10F5FD8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-Биологично производство;</w:t>
            </w:r>
            <w:r w:rsidRPr="00937D97">
              <w:rPr>
                <w:rFonts w:eastAsia="Times New Roman" w:cstheme="minorHAnsi"/>
                <w:color w:val="000000"/>
                <w:sz w:val="18"/>
                <w:szCs w:val="18"/>
                <w:lang w:val="bg-BG"/>
              </w:rPr>
              <w:br/>
              <w:t>-Хуманно отношение към животните и антимикробна резистентност;</w:t>
            </w:r>
            <w:r w:rsidRPr="00937D97">
              <w:rPr>
                <w:rFonts w:eastAsia="Times New Roman" w:cstheme="minorHAnsi"/>
                <w:color w:val="000000"/>
                <w:sz w:val="18"/>
                <w:szCs w:val="18"/>
                <w:lang w:val="bg-BG"/>
              </w:rPr>
              <w:br/>
              <w:t>-Възстановяване и поддържане на деградирали пасищни територии;</w:t>
            </w:r>
            <w:r w:rsidRPr="00937D97">
              <w:rPr>
                <w:rFonts w:eastAsia="Times New Roman" w:cstheme="minorHAnsi"/>
                <w:color w:val="000000"/>
                <w:sz w:val="18"/>
                <w:szCs w:val="18"/>
                <w:lang w:val="bg-BG"/>
              </w:rPr>
              <w:br/>
              <w:t>-Устойчиво управление на пасища в земеделски земи с ВПС;</w:t>
            </w:r>
          </w:p>
        </w:tc>
        <w:tc>
          <w:tcPr>
            <w:tcW w:w="4111" w:type="dxa"/>
            <w:shd w:val="clear" w:color="auto" w:fill="auto"/>
            <w:vAlign w:val="bottom"/>
            <w:hideMark/>
          </w:tcPr>
          <w:p w14:paraId="480CC604" w14:textId="262B25CE"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това са интервенциите, които са посочени да </w:t>
            </w:r>
            <w:r w:rsidR="00576AFC" w:rsidRPr="00937D97">
              <w:rPr>
                <w:rFonts w:eastAsia="Times New Roman" w:cstheme="minorHAnsi"/>
                <w:color w:val="000000"/>
                <w:sz w:val="18"/>
                <w:szCs w:val="18"/>
                <w:lang w:val="bg-BG"/>
              </w:rPr>
              <w:t>подпомогнат</w:t>
            </w:r>
            <w:r w:rsidRPr="00937D97">
              <w:rPr>
                <w:rFonts w:eastAsia="Times New Roman" w:cstheme="minorHAnsi"/>
                <w:color w:val="000000"/>
                <w:sz w:val="18"/>
                <w:szCs w:val="18"/>
                <w:lang w:val="bg-BG"/>
              </w:rPr>
              <w:t xml:space="preserve"> сектора по отношение на околна среда и климат. след това в текста са изброени пак, като е добавен и пасторализма; в самите инвестиционни интервенции, представени на стр. 286 няма изискване животните да се отглеждат на свободна паша1 което според мен си е някакъв вид проблем; това с деградиралите пасища пак трябва да го видя</w:t>
            </w:r>
          </w:p>
        </w:tc>
        <w:tc>
          <w:tcPr>
            <w:tcW w:w="2976" w:type="dxa"/>
            <w:shd w:val="clear" w:color="auto" w:fill="auto"/>
            <w:vAlign w:val="bottom"/>
            <w:hideMark/>
          </w:tcPr>
          <w:p w14:paraId="2D155F58"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4137E5D9" w14:textId="77777777" w:rsidTr="00D504A5">
        <w:trPr>
          <w:trHeight w:val="315"/>
        </w:trPr>
        <w:tc>
          <w:tcPr>
            <w:tcW w:w="988" w:type="dxa"/>
            <w:shd w:val="clear" w:color="auto" w:fill="auto"/>
            <w:vAlign w:val="bottom"/>
            <w:hideMark/>
          </w:tcPr>
          <w:p w14:paraId="5F408E9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управление на риска</w:t>
            </w:r>
          </w:p>
        </w:tc>
        <w:tc>
          <w:tcPr>
            <w:tcW w:w="700" w:type="dxa"/>
            <w:shd w:val="clear" w:color="auto" w:fill="auto"/>
            <w:noWrap/>
            <w:vAlign w:val="bottom"/>
            <w:hideMark/>
          </w:tcPr>
          <w:p w14:paraId="33780A5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288</w:t>
            </w:r>
          </w:p>
        </w:tc>
        <w:tc>
          <w:tcPr>
            <w:tcW w:w="5395" w:type="dxa"/>
            <w:shd w:val="clear" w:color="auto" w:fill="auto"/>
            <w:vAlign w:val="bottom"/>
            <w:hideMark/>
          </w:tcPr>
          <w:p w14:paraId="1F314FE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3.6 Overview of the interventions that contribute to ensure a coherent and integrated approach to risk management, where relevant</w:t>
            </w:r>
          </w:p>
        </w:tc>
        <w:tc>
          <w:tcPr>
            <w:tcW w:w="4111" w:type="dxa"/>
            <w:shd w:val="clear" w:color="auto" w:fill="auto"/>
            <w:vAlign w:val="bottom"/>
            <w:hideMark/>
          </w:tcPr>
          <w:p w14:paraId="41D1F48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има единствено за винопроизводството</w:t>
            </w:r>
          </w:p>
        </w:tc>
        <w:tc>
          <w:tcPr>
            <w:tcW w:w="2976" w:type="dxa"/>
            <w:shd w:val="clear" w:color="auto" w:fill="auto"/>
            <w:vAlign w:val="bottom"/>
            <w:hideMark/>
          </w:tcPr>
          <w:p w14:paraId="2E9FBD8F"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6E4A547" w14:textId="77777777" w:rsidTr="00D504A5">
        <w:trPr>
          <w:trHeight w:val="315"/>
        </w:trPr>
        <w:tc>
          <w:tcPr>
            <w:tcW w:w="988" w:type="dxa"/>
            <w:shd w:val="clear" w:color="auto" w:fill="auto"/>
            <w:vAlign w:val="bottom"/>
            <w:hideMark/>
          </w:tcPr>
          <w:p w14:paraId="187999F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административна тежест</w:t>
            </w:r>
          </w:p>
        </w:tc>
        <w:tc>
          <w:tcPr>
            <w:tcW w:w="700" w:type="dxa"/>
            <w:shd w:val="clear" w:color="auto" w:fill="auto"/>
            <w:noWrap/>
            <w:vAlign w:val="bottom"/>
            <w:hideMark/>
          </w:tcPr>
          <w:p w14:paraId="5D5B01F1"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288</w:t>
            </w:r>
          </w:p>
        </w:tc>
        <w:tc>
          <w:tcPr>
            <w:tcW w:w="5395" w:type="dxa"/>
            <w:shd w:val="clear" w:color="auto" w:fill="auto"/>
            <w:vAlign w:val="bottom"/>
            <w:hideMark/>
          </w:tcPr>
          <w:p w14:paraId="076655BE"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3.9 Simplification and reducing the administrative burden - С цел намаляване на административната тежест в рамките на предоставяне на финансова помощ по Стратегическия план ще бъде създадена балансирана и предсказуема среда за изпълнение чрез оптимизиране на административните процедури, унифициране на правилата за прилагане и електронизация на определени нива от комуникацията между бенефициентите,</w:t>
            </w:r>
          </w:p>
        </w:tc>
        <w:tc>
          <w:tcPr>
            <w:tcW w:w="4111" w:type="dxa"/>
            <w:shd w:val="clear" w:color="auto" w:fill="auto"/>
            <w:vAlign w:val="bottom"/>
            <w:hideMark/>
          </w:tcPr>
          <w:p w14:paraId="7BF40F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 два планови периода не е ли направено това вече???</w:t>
            </w:r>
          </w:p>
        </w:tc>
        <w:tc>
          <w:tcPr>
            <w:tcW w:w="2976" w:type="dxa"/>
            <w:shd w:val="clear" w:color="auto" w:fill="auto"/>
            <w:vAlign w:val="bottom"/>
            <w:hideMark/>
          </w:tcPr>
          <w:p w14:paraId="5D0A156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 Искам да видя публичен регистър на ползването на ПРЗ и торове - само да намеря къде да го впиша </w:t>
            </w:r>
          </w:p>
        </w:tc>
      </w:tr>
      <w:tr w:rsidR="00D504A5" w:rsidRPr="00937D97" w14:paraId="32639A42" w14:textId="77777777" w:rsidTr="00D504A5">
        <w:trPr>
          <w:trHeight w:val="315"/>
        </w:trPr>
        <w:tc>
          <w:tcPr>
            <w:tcW w:w="988" w:type="dxa"/>
            <w:shd w:val="clear" w:color="auto" w:fill="auto"/>
            <w:vAlign w:val="bottom"/>
            <w:hideMark/>
          </w:tcPr>
          <w:p w14:paraId="6CA574D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административна тежест</w:t>
            </w:r>
          </w:p>
        </w:tc>
        <w:tc>
          <w:tcPr>
            <w:tcW w:w="700" w:type="dxa"/>
            <w:shd w:val="clear" w:color="auto" w:fill="auto"/>
            <w:noWrap/>
            <w:vAlign w:val="bottom"/>
            <w:hideMark/>
          </w:tcPr>
          <w:p w14:paraId="3C185912"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289</w:t>
            </w:r>
          </w:p>
        </w:tc>
        <w:tc>
          <w:tcPr>
            <w:tcW w:w="5395" w:type="dxa"/>
            <w:shd w:val="clear" w:color="auto" w:fill="auto"/>
            <w:vAlign w:val="bottom"/>
            <w:hideMark/>
          </w:tcPr>
          <w:p w14:paraId="0D1DD57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ü Въвеждане на мерки за намаляване на административната тежест в контекста на процеса по подготовка на проектните предложения:</w:t>
            </w:r>
          </w:p>
        </w:tc>
        <w:tc>
          <w:tcPr>
            <w:tcW w:w="4111" w:type="dxa"/>
            <w:shd w:val="clear" w:color="auto" w:fill="auto"/>
            <w:vAlign w:val="bottom"/>
            <w:hideMark/>
          </w:tcPr>
          <w:p w14:paraId="4C930C79" w14:textId="2BB99793"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защо не се </w:t>
            </w:r>
            <w:r w:rsidR="00576AFC" w:rsidRPr="00937D97">
              <w:rPr>
                <w:rFonts w:eastAsia="Times New Roman" w:cstheme="minorHAnsi"/>
                <w:color w:val="000000"/>
                <w:sz w:val="18"/>
                <w:szCs w:val="18"/>
                <w:lang w:val="bg-BG"/>
              </w:rPr>
              <w:t>предвижда</w:t>
            </w:r>
            <w:r w:rsidRPr="00937D97">
              <w:rPr>
                <w:rFonts w:eastAsia="Times New Roman" w:cstheme="minorHAnsi"/>
                <w:color w:val="000000"/>
                <w:sz w:val="18"/>
                <w:szCs w:val="18"/>
                <w:lang w:val="bg-BG"/>
              </w:rPr>
              <w:t xml:space="preserve"> електронно подаване на проектни предложения, а само </w:t>
            </w:r>
            <w:r w:rsidR="00576AFC" w:rsidRPr="00937D97">
              <w:rPr>
                <w:rFonts w:eastAsia="Times New Roman" w:cstheme="minorHAnsi"/>
                <w:color w:val="000000"/>
                <w:sz w:val="18"/>
                <w:szCs w:val="18"/>
                <w:lang w:val="bg-BG"/>
              </w:rPr>
              <w:t>прозрачност</w:t>
            </w:r>
            <w:r w:rsidRPr="00937D97">
              <w:rPr>
                <w:rFonts w:eastAsia="Times New Roman" w:cstheme="minorHAnsi"/>
                <w:color w:val="000000"/>
                <w:sz w:val="18"/>
                <w:szCs w:val="18"/>
                <w:lang w:val="bg-BG"/>
              </w:rPr>
              <w:t xml:space="preserve"> и обучения?</w:t>
            </w:r>
          </w:p>
        </w:tc>
        <w:tc>
          <w:tcPr>
            <w:tcW w:w="2976" w:type="dxa"/>
            <w:shd w:val="clear" w:color="auto" w:fill="auto"/>
            <w:vAlign w:val="bottom"/>
            <w:hideMark/>
          </w:tcPr>
          <w:p w14:paraId="40525A6B"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6A8786A5" w14:textId="77777777" w:rsidTr="00D504A5">
        <w:trPr>
          <w:trHeight w:val="315"/>
        </w:trPr>
        <w:tc>
          <w:tcPr>
            <w:tcW w:w="988" w:type="dxa"/>
            <w:shd w:val="clear" w:color="auto" w:fill="auto"/>
            <w:vAlign w:val="bottom"/>
            <w:hideMark/>
          </w:tcPr>
          <w:p w14:paraId="3221923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GAEC</w:t>
            </w:r>
          </w:p>
        </w:tc>
        <w:tc>
          <w:tcPr>
            <w:tcW w:w="700" w:type="dxa"/>
            <w:shd w:val="clear" w:color="auto" w:fill="auto"/>
            <w:noWrap/>
            <w:vAlign w:val="bottom"/>
            <w:hideMark/>
          </w:tcPr>
          <w:p w14:paraId="2C5E8229"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290</w:t>
            </w:r>
          </w:p>
        </w:tc>
        <w:tc>
          <w:tcPr>
            <w:tcW w:w="5395" w:type="dxa"/>
            <w:shd w:val="clear" w:color="auto" w:fill="auto"/>
            <w:vAlign w:val="bottom"/>
            <w:hideMark/>
          </w:tcPr>
          <w:p w14:paraId="40B43297"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Съотношението на площите за постоянно затревените площи (ПЗП) спрямо общата земеделска площ, декларирана от земеделските стопани през съответната година не трябва да намалява с повече от 5% спрямо референтното съотношение, определено през 2018 г.</w:t>
            </w:r>
            <w:r w:rsidRPr="00937D97">
              <w:rPr>
                <w:rFonts w:eastAsia="Times New Roman" w:cstheme="minorHAnsi"/>
                <w:color w:val="000000"/>
                <w:sz w:val="18"/>
                <w:szCs w:val="18"/>
                <w:lang w:val="bg-BG"/>
              </w:rPr>
              <w:br/>
              <w:t>Съотношението се поддържа ежегодно на национално ниво.</w:t>
            </w:r>
            <w:r w:rsidRPr="00937D97">
              <w:rPr>
                <w:rFonts w:eastAsia="Times New Roman" w:cstheme="minorHAnsi"/>
                <w:color w:val="000000"/>
                <w:sz w:val="18"/>
                <w:szCs w:val="18"/>
                <w:lang w:val="bg-BG"/>
              </w:rPr>
              <w:br/>
              <w:t>При спад на съотношението с повече от 5% през съответната година, земеделските стопани, на ниво стопанство, които са преобразували постоянно затревени площи и са допринесли за намалението на съотношението през съответната година се задължават да преобразуват обратно в ПЗП разораните през съответната година ПЗП.</w:t>
            </w:r>
          </w:p>
        </w:tc>
        <w:tc>
          <w:tcPr>
            <w:tcW w:w="4111" w:type="dxa"/>
            <w:shd w:val="clear" w:color="auto" w:fill="auto"/>
            <w:vAlign w:val="bottom"/>
            <w:hideMark/>
          </w:tcPr>
          <w:p w14:paraId="5C05A092" w14:textId="0D95EE5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на теория добре звучи, но позволява разораване и това разораване и презасяване не е ОК за тревните </w:t>
            </w:r>
            <w:r w:rsidR="00576AFC" w:rsidRPr="00937D97">
              <w:rPr>
                <w:rFonts w:eastAsia="Times New Roman" w:cstheme="minorHAnsi"/>
                <w:color w:val="000000"/>
                <w:sz w:val="18"/>
                <w:szCs w:val="18"/>
                <w:lang w:val="bg-BG"/>
              </w:rPr>
              <w:t>екосистеми</w:t>
            </w:r>
            <w:r w:rsidRPr="00937D97">
              <w:rPr>
                <w:rFonts w:eastAsia="Times New Roman" w:cstheme="minorHAnsi"/>
                <w:color w:val="000000"/>
                <w:sz w:val="18"/>
                <w:szCs w:val="18"/>
                <w:lang w:val="bg-BG"/>
              </w:rPr>
              <w:t xml:space="preserve"> от гледна точка на видовата, които ги съставляват - може да има промяна на видовия състав и трайна загуба на тревни местообитания с ВПС. От друга страна защо точно 2018 г. е референтна? Голяма част от пасищата са унищожени в периода 2007-2018. На </w:t>
            </w:r>
            <w:r w:rsidR="00AE5CC0" w:rsidRPr="00937D97">
              <w:rPr>
                <w:rFonts w:eastAsia="Times New Roman" w:cstheme="minorHAnsi"/>
                <w:color w:val="000000"/>
                <w:sz w:val="18"/>
                <w:szCs w:val="18"/>
                <w:lang w:val="bg-BG"/>
              </w:rPr>
              <w:t>практика</w:t>
            </w:r>
            <w:r w:rsidRPr="00937D97">
              <w:rPr>
                <w:rFonts w:eastAsia="Times New Roman" w:cstheme="minorHAnsi"/>
                <w:color w:val="000000"/>
                <w:sz w:val="18"/>
                <w:szCs w:val="18"/>
                <w:lang w:val="bg-BG"/>
              </w:rPr>
              <w:t xml:space="preserve"> ДЗЕП позволява пасищата да намаляват с 5% на период от всеки 5 години; ако такава тенденция се запази, и се взема все нова референтна стойност, </w:t>
            </w:r>
            <w:r w:rsidR="00AE5CC0" w:rsidRPr="00937D97">
              <w:rPr>
                <w:rFonts w:eastAsia="Times New Roman" w:cstheme="minorHAnsi"/>
                <w:color w:val="000000"/>
                <w:sz w:val="18"/>
                <w:szCs w:val="18"/>
                <w:lang w:val="bg-BG"/>
              </w:rPr>
              <w:t>пасищата</w:t>
            </w:r>
            <w:r w:rsidRPr="00937D97">
              <w:rPr>
                <w:rFonts w:eastAsia="Times New Roman" w:cstheme="minorHAnsi"/>
                <w:color w:val="000000"/>
                <w:sz w:val="18"/>
                <w:szCs w:val="18"/>
                <w:lang w:val="bg-BG"/>
              </w:rPr>
              <w:t xml:space="preserve"> </w:t>
            </w:r>
            <w:r w:rsidR="00AE5CC0" w:rsidRPr="00937D97">
              <w:rPr>
                <w:rFonts w:eastAsia="Times New Roman" w:cstheme="minorHAnsi"/>
                <w:color w:val="000000"/>
                <w:sz w:val="18"/>
                <w:szCs w:val="18"/>
                <w:lang w:val="bg-BG"/>
              </w:rPr>
              <w:t>няма да</w:t>
            </w:r>
            <w:r w:rsidRPr="00937D97">
              <w:rPr>
                <w:rFonts w:eastAsia="Times New Roman" w:cstheme="minorHAnsi"/>
                <w:color w:val="000000"/>
                <w:sz w:val="18"/>
                <w:szCs w:val="18"/>
                <w:lang w:val="bg-BG"/>
              </w:rPr>
              <w:t xml:space="preserve"> могат да бъдат ефективно опазени! Не включва реално целта за възстановяване на биоразнообразие и екосистеми!</w:t>
            </w:r>
          </w:p>
        </w:tc>
        <w:tc>
          <w:tcPr>
            <w:tcW w:w="2976" w:type="dxa"/>
            <w:shd w:val="clear" w:color="auto" w:fill="auto"/>
            <w:vAlign w:val="bottom"/>
            <w:hideMark/>
          </w:tcPr>
          <w:p w14:paraId="5EEDF972"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7D968170" w14:textId="77777777" w:rsidTr="00D504A5">
        <w:trPr>
          <w:trHeight w:val="315"/>
        </w:trPr>
        <w:tc>
          <w:tcPr>
            <w:tcW w:w="988" w:type="dxa"/>
            <w:shd w:val="clear" w:color="auto" w:fill="auto"/>
            <w:vAlign w:val="bottom"/>
            <w:hideMark/>
          </w:tcPr>
          <w:p w14:paraId="6C4547E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GAEC</w:t>
            </w:r>
          </w:p>
        </w:tc>
        <w:tc>
          <w:tcPr>
            <w:tcW w:w="700" w:type="dxa"/>
            <w:shd w:val="clear" w:color="auto" w:fill="auto"/>
            <w:noWrap/>
            <w:vAlign w:val="bottom"/>
            <w:hideMark/>
          </w:tcPr>
          <w:p w14:paraId="488BC5F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290</w:t>
            </w:r>
          </w:p>
        </w:tc>
        <w:tc>
          <w:tcPr>
            <w:tcW w:w="5395" w:type="dxa"/>
            <w:shd w:val="clear" w:color="auto" w:fill="auto"/>
            <w:vAlign w:val="bottom"/>
            <w:hideMark/>
          </w:tcPr>
          <w:p w14:paraId="3535752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3.10.1.1.3 Value of the reference ratio (including calculation method)</w:t>
            </w:r>
            <w:r w:rsidRPr="00937D97">
              <w:rPr>
                <w:rFonts w:eastAsia="Times New Roman" w:cstheme="minorHAnsi"/>
                <w:color w:val="000000"/>
                <w:sz w:val="18"/>
                <w:szCs w:val="18"/>
                <w:lang w:val="bg-BG"/>
              </w:rPr>
              <w:br/>
              <w:t>Ratio 12.96</w:t>
            </w:r>
          </w:p>
        </w:tc>
        <w:tc>
          <w:tcPr>
            <w:tcW w:w="4111" w:type="dxa"/>
            <w:shd w:val="clear" w:color="auto" w:fill="auto"/>
            <w:vAlign w:val="bottom"/>
            <w:hideMark/>
          </w:tcPr>
          <w:p w14:paraId="5EDB773C"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какво е това? - Референтното съотношение на постоянно затревените площи е определен на национално ниво като са взети предвид следните данни и методически подход:</w:t>
            </w:r>
            <w:r w:rsidRPr="00937D97">
              <w:rPr>
                <w:rFonts w:eastAsia="Times New Roman" w:cstheme="minorHAnsi"/>
                <w:color w:val="000000"/>
                <w:sz w:val="18"/>
                <w:szCs w:val="18"/>
                <w:lang w:val="bg-BG"/>
              </w:rPr>
              <w:br/>
              <w:t>Постоянни пасища, декларирани през година 2018 - 506 036,96 ха</w:t>
            </w:r>
            <w:r w:rsidRPr="00937D97">
              <w:rPr>
                <w:rFonts w:eastAsia="Times New Roman" w:cstheme="minorHAnsi"/>
                <w:color w:val="000000"/>
                <w:sz w:val="18"/>
                <w:szCs w:val="18"/>
                <w:lang w:val="bg-BG"/>
              </w:rPr>
              <w:br/>
              <w:t>Постоянни пасища, декларирани от стопанства, прилагащи схема за дребни фермери през година 2018- 1 869,81 ха</w:t>
            </w:r>
            <w:r w:rsidRPr="00937D97">
              <w:rPr>
                <w:rFonts w:eastAsia="Times New Roman" w:cstheme="minorHAnsi"/>
                <w:color w:val="000000"/>
                <w:sz w:val="18"/>
                <w:szCs w:val="18"/>
                <w:lang w:val="bg-BG"/>
              </w:rPr>
              <w:br/>
              <w:t>Постоянни пасища, декларирани от биологични ферми през година 2018- 9 991,04 ха</w:t>
            </w:r>
            <w:r w:rsidRPr="00937D97">
              <w:rPr>
                <w:rFonts w:eastAsia="Times New Roman" w:cstheme="minorHAnsi"/>
                <w:color w:val="000000"/>
                <w:sz w:val="18"/>
                <w:szCs w:val="18"/>
                <w:lang w:val="bg-BG"/>
              </w:rPr>
              <w:br/>
              <w:t>Обща земеделска площ, декларирана за година 2018- 3 870 828,05 ха</w:t>
            </w:r>
            <w:r w:rsidRPr="00937D97">
              <w:rPr>
                <w:rFonts w:eastAsia="Times New Roman" w:cstheme="minorHAnsi"/>
                <w:color w:val="000000"/>
                <w:sz w:val="18"/>
                <w:szCs w:val="18"/>
                <w:lang w:val="bg-BG"/>
              </w:rPr>
              <w:br/>
              <w:t>Земеделски площи, декларирани от схемата за дребни фермери през година n 6 994,96 ха</w:t>
            </w:r>
            <w:r w:rsidRPr="00937D97">
              <w:rPr>
                <w:rFonts w:eastAsia="Times New Roman" w:cstheme="minorHAnsi"/>
                <w:color w:val="000000"/>
                <w:sz w:val="18"/>
                <w:szCs w:val="18"/>
                <w:lang w:val="bg-BG"/>
              </w:rPr>
              <w:br/>
              <w:t>Земеделски площи, декларирани в биологични ферми през година n 51 887,13 ха</w:t>
            </w:r>
            <w:r w:rsidRPr="00937D97">
              <w:rPr>
                <w:rFonts w:eastAsia="Times New Roman" w:cstheme="minorHAnsi"/>
                <w:color w:val="000000"/>
                <w:sz w:val="18"/>
                <w:szCs w:val="18"/>
                <w:lang w:val="bg-BG"/>
              </w:rPr>
              <w:br/>
              <w:t>Годишно съотношение Постоянни пасища-обработваема земя за 2018г. = 506 036,96 - 1 869,81 - 9 991,04 = 494 176, 11 ха / Обща земеделска площ, декларирана за година 2018 = 3 870 828,05 - 6 994,96 -51 887,13 =3 811 945,96 ха</w:t>
            </w:r>
            <w:r w:rsidRPr="00937D97">
              <w:rPr>
                <w:rFonts w:eastAsia="Times New Roman" w:cstheme="minorHAnsi"/>
                <w:color w:val="000000"/>
                <w:sz w:val="18"/>
                <w:szCs w:val="18"/>
                <w:lang w:val="bg-BG"/>
              </w:rPr>
              <w:br/>
              <w:t>Годишно съотношение Постоянни пасища-обработваема земя за 2018г. =12,96%</w:t>
            </w:r>
            <w:r w:rsidRPr="00937D97">
              <w:rPr>
                <w:rFonts w:eastAsia="Times New Roman" w:cstheme="minorHAnsi"/>
                <w:color w:val="000000"/>
                <w:sz w:val="18"/>
                <w:szCs w:val="18"/>
                <w:lang w:val="bg-BG"/>
              </w:rPr>
              <w:br/>
              <w:t>[In case of selection of regional level in the heading above</w:t>
            </w:r>
          </w:p>
        </w:tc>
        <w:tc>
          <w:tcPr>
            <w:tcW w:w="2976" w:type="dxa"/>
            <w:shd w:val="clear" w:color="auto" w:fill="auto"/>
            <w:vAlign w:val="bottom"/>
            <w:hideMark/>
          </w:tcPr>
          <w:p w14:paraId="247A297E"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2DAF5317" w14:textId="77777777" w:rsidTr="00D504A5">
        <w:trPr>
          <w:trHeight w:val="315"/>
        </w:trPr>
        <w:tc>
          <w:tcPr>
            <w:tcW w:w="988" w:type="dxa"/>
            <w:shd w:val="clear" w:color="auto" w:fill="auto"/>
            <w:vAlign w:val="bottom"/>
            <w:hideMark/>
          </w:tcPr>
          <w:p w14:paraId="11F0AE82"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GAEC</w:t>
            </w:r>
          </w:p>
        </w:tc>
        <w:tc>
          <w:tcPr>
            <w:tcW w:w="700" w:type="dxa"/>
            <w:shd w:val="clear" w:color="auto" w:fill="auto"/>
            <w:noWrap/>
            <w:vAlign w:val="bottom"/>
            <w:hideMark/>
          </w:tcPr>
          <w:p w14:paraId="5903720E"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291</w:t>
            </w:r>
          </w:p>
        </w:tc>
        <w:tc>
          <w:tcPr>
            <w:tcW w:w="5395" w:type="dxa"/>
            <w:shd w:val="clear" w:color="auto" w:fill="auto"/>
            <w:vAlign w:val="bottom"/>
            <w:hideMark/>
          </w:tcPr>
          <w:p w14:paraId="743B74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3.10.1.2 GAEC 2: Protection of wetland and peatland</w:t>
            </w:r>
            <w:r w:rsidRPr="00937D97">
              <w:rPr>
                <w:rFonts w:eastAsia="Times New Roman" w:cstheme="minorHAnsi"/>
                <w:color w:val="000000"/>
                <w:sz w:val="18"/>
                <w:szCs w:val="18"/>
                <w:lang w:val="bg-BG"/>
              </w:rPr>
              <w:br/>
              <w:t>3.10.1.2.1 Summary of the on-farm practice - От 2025г, в рамките на влажните зони и торфищата, при всички видове земеделски площи се забранява:</w:t>
            </w:r>
            <w:r w:rsidRPr="00937D97">
              <w:rPr>
                <w:rFonts w:eastAsia="Times New Roman" w:cstheme="minorHAnsi"/>
                <w:color w:val="000000"/>
                <w:sz w:val="18"/>
                <w:szCs w:val="18"/>
                <w:lang w:val="bg-BG"/>
              </w:rPr>
              <w:br/>
              <w:t>- всички дълбоки почвени обработки;</w:t>
            </w:r>
            <w:r w:rsidRPr="00937D97">
              <w:rPr>
                <w:rFonts w:eastAsia="Times New Roman" w:cstheme="minorHAnsi"/>
                <w:color w:val="000000"/>
                <w:sz w:val="18"/>
                <w:szCs w:val="18"/>
                <w:lang w:val="bg-BG"/>
              </w:rPr>
              <w:br/>
              <w:t>- пресушаването и дренирането;</w:t>
            </w:r>
            <w:r w:rsidRPr="00937D97">
              <w:rPr>
                <w:rFonts w:eastAsia="Times New Roman" w:cstheme="minorHAnsi"/>
                <w:color w:val="000000"/>
                <w:sz w:val="18"/>
                <w:szCs w:val="18"/>
                <w:lang w:val="bg-BG"/>
              </w:rPr>
              <w:br/>
              <w:t>- преобразуването и разораването на постоянно затревените площи;</w:t>
            </w:r>
            <w:r w:rsidRPr="00937D97">
              <w:rPr>
                <w:rFonts w:eastAsia="Times New Roman" w:cstheme="minorHAnsi"/>
                <w:color w:val="000000"/>
                <w:sz w:val="18"/>
                <w:szCs w:val="18"/>
                <w:lang w:val="bg-BG"/>
              </w:rPr>
              <w:br/>
              <w:t>- изгарянето на растителността;</w:t>
            </w:r>
            <w:r w:rsidRPr="00937D97">
              <w:rPr>
                <w:rFonts w:eastAsia="Times New Roman" w:cstheme="minorHAnsi"/>
                <w:color w:val="000000"/>
                <w:sz w:val="18"/>
                <w:szCs w:val="18"/>
                <w:lang w:val="bg-BG"/>
              </w:rPr>
              <w:br/>
              <w:t>- забранява се използването на минерални и органични азотсъдържащи торове.</w:t>
            </w:r>
          </w:p>
        </w:tc>
        <w:tc>
          <w:tcPr>
            <w:tcW w:w="4111" w:type="dxa"/>
            <w:shd w:val="clear" w:color="auto" w:fill="auto"/>
            <w:vAlign w:val="bottom"/>
            <w:hideMark/>
          </w:tcPr>
          <w:p w14:paraId="27E3D9AE" w14:textId="6DA9DEA0" w:rsidR="00937D97"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каква</w:t>
            </w:r>
            <w:r w:rsidR="00937D97" w:rsidRPr="00937D97">
              <w:rPr>
                <w:rFonts w:eastAsia="Times New Roman" w:cstheme="minorHAnsi"/>
                <w:color w:val="000000"/>
                <w:sz w:val="18"/>
                <w:szCs w:val="18"/>
                <w:lang w:val="bg-BG"/>
              </w:rPr>
              <w:t xml:space="preserve"> дълбока оран "в рамките на влажните зони"</w:t>
            </w:r>
          </w:p>
        </w:tc>
        <w:tc>
          <w:tcPr>
            <w:tcW w:w="2976" w:type="dxa"/>
            <w:shd w:val="clear" w:color="auto" w:fill="auto"/>
            <w:vAlign w:val="bottom"/>
            <w:hideMark/>
          </w:tcPr>
          <w:p w14:paraId="6B22B60F" w14:textId="28CE86DA"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142717EC" w14:textId="77777777" w:rsidTr="00D504A5">
        <w:trPr>
          <w:trHeight w:val="315"/>
        </w:trPr>
        <w:tc>
          <w:tcPr>
            <w:tcW w:w="988" w:type="dxa"/>
            <w:shd w:val="clear" w:color="auto" w:fill="auto"/>
            <w:vAlign w:val="bottom"/>
            <w:hideMark/>
          </w:tcPr>
          <w:p w14:paraId="135D5ACF"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GAEC</w:t>
            </w:r>
          </w:p>
        </w:tc>
        <w:tc>
          <w:tcPr>
            <w:tcW w:w="700" w:type="dxa"/>
            <w:shd w:val="clear" w:color="auto" w:fill="auto"/>
            <w:noWrap/>
            <w:vAlign w:val="bottom"/>
            <w:hideMark/>
          </w:tcPr>
          <w:p w14:paraId="3C0DCC6B"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292</w:t>
            </w:r>
          </w:p>
        </w:tc>
        <w:tc>
          <w:tcPr>
            <w:tcW w:w="5395" w:type="dxa"/>
            <w:shd w:val="clear" w:color="auto" w:fill="auto"/>
            <w:vAlign w:val="bottom"/>
            <w:hideMark/>
          </w:tcPr>
          <w:p w14:paraId="7867F9E9"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Основната цел на този стандарт е да защити богатите на въглерод почви на влажните зони и торфищата. Мерките целят да предотвратят деградацията на тези чувствителни и уязвими зони, като забранят определени селскостопански практики, които унищожават тези екосистеми, които са много ценни от гледна точка на околната среда. Забраната за разораване, използване на торове, забраната за изгаряне съдейства да се постигне запазване на въглерода в тези зони, като освен това се постига и запазване на биологичното разнообразие, поради запазване на обитателите в тези зони.</w:t>
            </w:r>
          </w:p>
        </w:tc>
        <w:tc>
          <w:tcPr>
            <w:tcW w:w="4111" w:type="dxa"/>
            <w:shd w:val="clear" w:color="auto" w:fill="auto"/>
            <w:vAlign w:val="bottom"/>
            <w:hideMark/>
          </w:tcPr>
          <w:p w14:paraId="47EB661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добра обосновка</w:t>
            </w:r>
          </w:p>
        </w:tc>
        <w:tc>
          <w:tcPr>
            <w:tcW w:w="2976" w:type="dxa"/>
            <w:shd w:val="clear" w:color="auto" w:fill="auto"/>
            <w:vAlign w:val="bottom"/>
            <w:hideMark/>
          </w:tcPr>
          <w:p w14:paraId="2CB76EEC"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335160E4" w14:textId="77777777" w:rsidTr="00D504A5">
        <w:trPr>
          <w:trHeight w:val="315"/>
        </w:trPr>
        <w:tc>
          <w:tcPr>
            <w:tcW w:w="988" w:type="dxa"/>
            <w:shd w:val="clear" w:color="auto" w:fill="auto"/>
            <w:vAlign w:val="bottom"/>
            <w:hideMark/>
          </w:tcPr>
          <w:p w14:paraId="3ACD777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GAEC</w:t>
            </w:r>
          </w:p>
        </w:tc>
        <w:tc>
          <w:tcPr>
            <w:tcW w:w="700" w:type="dxa"/>
            <w:shd w:val="clear" w:color="auto" w:fill="auto"/>
            <w:noWrap/>
            <w:vAlign w:val="bottom"/>
            <w:hideMark/>
          </w:tcPr>
          <w:p w14:paraId="118E6CE0"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292</w:t>
            </w:r>
          </w:p>
        </w:tc>
        <w:tc>
          <w:tcPr>
            <w:tcW w:w="5395" w:type="dxa"/>
            <w:shd w:val="clear" w:color="auto" w:fill="auto"/>
            <w:vAlign w:val="bottom"/>
            <w:hideMark/>
          </w:tcPr>
          <w:p w14:paraId="1FF3872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Забранява се изгарянето на стърнищата, освен по фитосанитарни причини, установени по съответния ред и придружени с документ, указващ размера на площта за който се прилага</w:t>
            </w:r>
          </w:p>
        </w:tc>
        <w:tc>
          <w:tcPr>
            <w:tcW w:w="4111" w:type="dxa"/>
            <w:shd w:val="clear" w:color="auto" w:fill="auto"/>
            <w:vAlign w:val="bottom"/>
            <w:hideMark/>
          </w:tcPr>
          <w:p w14:paraId="5C947201" w14:textId="3998AFDF"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 описанието на тази </w:t>
            </w:r>
            <w:r w:rsidR="00AE5CC0" w:rsidRPr="00937D97">
              <w:rPr>
                <w:rFonts w:eastAsia="Times New Roman" w:cstheme="minorHAnsi"/>
                <w:color w:val="000000"/>
                <w:sz w:val="18"/>
                <w:szCs w:val="18"/>
                <w:lang w:val="bg-BG"/>
              </w:rPr>
              <w:t>забрана</w:t>
            </w:r>
            <w:r w:rsidRPr="00937D97">
              <w:rPr>
                <w:rFonts w:eastAsia="Times New Roman" w:cstheme="minorHAnsi"/>
                <w:color w:val="000000"/>
                <w:sz w:val="18"/>
                <w:szCs w:val="18"/>
                <w:lang w:val="bg-BG"/>
              </w:rPr>
              <w:t xml:space="preserve"> липсва пояснение относно изключенията </w:t>
            </w:r>
          </w:p>
        </w:tc>
        <w:tc>
          <w:tcPr>
            <w:tcW w:w="2976" w:type="dxa"/>
            <w:shd w:val="clear" w:color="auto" w:fill="auto"/>
            <w:vAlign w:val="bottom"/>
            <w:hideMark/>
          </w:tcPr>
          <w:p w14:paraId="45E668DB" w14:textId="5DB54605"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следва да бъде посочено поне в </w:t>
            </w:r>
            <w:r w:rsidR="00AE5CC0" w:rsidRPr="00937D97">
              <w:rPr>
                <w:rFonts w:eastAsia="Times New Roman" w:cstheme="minorHAnsi"/>
                <w:color w:val="000000"/>
                <w:sz w:val="18"/>
                <w:szCs w:val="18"/>
                <w:lang w:val="bg-BG"/>
              </w:rPr>
              <w:t>резюмиран</w:t>
            </w:r>
            <w:r w:rsidRPr="00937D97">
              <w:rPr>
                <w:rFonts w:eastAsia="Times New Roman" w:cstheme="minorHAnsi"/>
                <w:color w:val="000000"/>
                <w:sz w:val="18"/>
                <w:szCs w:val="18"/>
                <w:lang w:val="bg-BG"/>
              </w:rPr>
              <w:t xml:space="preserve"> вид за какви изключения става дума и кой е установения ред</w:t>
            </w:r>
          </w:p>
        </w:tc>
      </w:tr>
      <w:tr w:rsidR="00D504A5" w:rsidRPr="00937D97" w14:paraId="526796F8" w14:textId="77777777" w:rsidTr="00D504A5">
        <w:trPr>
          <w:trHeight w:val="315"/>
        </w:trPr>
        <w:tc>
          <w:tcPr>
            <w:tcW w:w="988" w:type="dxa"/>
            <w:shd w:val="clear" w:color="auto" w:fill="auto"/>
            <w:vAlign w:val="bottom"/>
            <w:hideMark/>
          </w:tcPr>
          <w:p w14:paraId="53FEE1AB"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определения</w:t>
            </w:r>
          </w:p>
        </w:tc>
        <w:tc>
          <w:tcPr>
            <w:tcW w:w="700" w:type="dxa"/>
            <w:shd w:val="clear" w:color="auto" w:fill="auto"/>
            <w:noWrap/>
            <w:vAlign w:val="bottom"/>
            <w:hideMark/>
          </w:tcPr>
          <w:p w14:paraId="2F5CCA83"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300</w:t>
            </w:r>
          </w:p>
        </w:tc>
        <w:tc>
          <w:tcPr>
            <w:tcW w:w="5395" w:type="dxa"/>
            <w:shd w:val="clear" w:color="auto" w:fill="auto"/>
            <w:vAlign w:val="bottom"/>
            <w:hideMark/>
          </w:tcPr>
          <w:p w14:paraId="15D1C2E8"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4.1.1.2.3 Permanent grassland Поддържане на постоянно затревени площи е извършване на годишна основа на поне една от следните дейности: косене на тревата с изнасяне на сено/сенаж и предотвратяване на навлизането и разпространението на нежелана и рудерална растителност</w:t>
            </w:r>
          </w:p>
        </w:tc>
        <w:tc>
          <w:tcPr>
            <w:tcW w:w="4111" w:type="dxa"/>
            <w:shd w:val="clear" w:color="auto" w:fill="auto"/>
            <w:vAlign w:val="bottom"/>
            <w:hideMark/>
          </w:tcPr>
          <w:p w14:paraId="2B2F046A"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къде е пашата?</w:t>
            </w:r>
          </w:p>
        </w:tc>
        <w:tc>
          <w:tcPr>
            <w:tcW w:w="2976" w:type="dxa"/>
            <w:shd w:val="clear" w:color="auto" w:fill="auto"/>
            <w:vAlign w:val="bottom"/>
            <w:hideMark/>
          </w:tcPr>
          <w:p w14:paraId="45C930F2" w14:textId="77777777" w:rsidR="00937D97" w:rsidRPr="00937D97" w:rsidRDefault="00937D97" w:rsidP="00937D97">
            <w:pPr>
              <w:spacing w:after="0" w:line="240" w:lineRule="auto"/>
              <w:rPr>
                <w:rFonts w:eastAsia="Times New Roman" w:cstheme="minorHAnsi"/>
                <w:color w:val="000000"/>
                <w:sz w:val="18"/>
                <w:szCs w:val="18"/>
                <w:lang w:val="bg-BG"/>
              </w:rPr>
            </w:pPr>
          </w:p>
        </w:tc>
      </w:tr>
      <w:tr w:rsidR="00D504A5" w:rsidRPr="00937D97" w14:paraId="53507BCB" w14:textId="77777777" w:rsidTr="00D504A5">
        <w:trPr>
          <w:trHeight w:val="315"/>
        </w:trPr>
        <w:tc>
          <w:tcPr>
            <w:tcW w:w="988" w:type="dxa"/>
            <w:shd w:val="clear" w:color="auto" w:fill="auto"/>
            <w:vAlign w:val="bottom"/>
            <w:hideMark/>
          </w:tcPr>
          <w:p w14:paraId="6B1786E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определения</w:t>
            </w:r>
          </w:p>
        </w:tc>
        <w:tc>
          <w:tcPr>
            <w:tcW w:w="700" w:type="dxa"/>
            <w:shd w:val="clear" w:color="auto" w:fill="auto"/>
            <w:noWrap/>
            <w:vAlign w:val="bottom"/>
            <w:hideMark/>
          </w:tcPr>
          <w:p w14:paraId="50AF514F"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315</w:t>
            </w:r>
          </w:p>
        </w:tc>
        <w:tc>
          <w:tcPr>
            <w:tcW w:w="5395" w:type="dxa"/>
            <w:shd w:val="clear" w:color="auto" w:fill="auto"/>
            <w:vAlign w:val="bottom"/>
            <w:hideMark/>
          </w:tcPr>
          <w:p w14:paraId="70CF2AA6"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може да получи финансова помощ за същия тип инвестиция по СП.</w:t>
            </w:r>
            <w:r w:rsidRPr="00937D97">
              <w:rPr>
                <w:rFonts w:eastAsia="Times New Roman" w:cstheme="minorHAnsi"/>
                <w:color w:val="000000"/>
                <w:sz w:val="18"/>
                <w:szCs w:val="18"/>
                <w:lang w:val="bg-BG"/>
              </w:rPr>
              <w:br/>
              <w:t>В НПВУ - Инвестиция 2: Дигитализация на процесите от фермата до трапезата е предвидено изграждане на единна Електронна информационна система за обмен на данни между публичната администрация и икономическите субекти в сектора, с включени следните модули:</w:t>
            </w:r>
            <w:r w:rsidRPr="00937D97">
              <w:rPr>
                <w:rFonts w:eastAsia="Times New Roman" w:cstheme="minorHAnsi"/>
                <w:color w:val="000000"/>
                <w:sz w:val="18"/>
                <w:szCs w:val="18"/>
                <w:lang w:val="bg-BG"/>
              </w:rPr>
              <w:br/>
              <w:t>· Модул за употребата на препарати за растителна защита (ПРЗ) и торове чрез дигитализация на дневниците за тяхната употреба;</w:t>
            </w:r>
            <w:r w:rsidRPr="00937D97">
              <w:rPr>
                <w:rFonts w:eastAsia="Times New Roman" w:cstheme="minorHAnsi"/>
                <w:color w:val="000000"/>
                <w:sz w:val="18"/>
                <w:szCs w:val="18"/>
                <w:lang w:val="bg-BG"/>
              </w:rPr>
              <w:br/>
              <w:t>· Информационно-аналитичен модул за контрол на употребата на антимикробни ветеринарно медицински продукти (ВМП) чрез определяне на специфични референтни прагове на употреба за антимикробни средства при различни категории и видове продуктивни животни;</w:t>
            </w:r>
            <w:r w:rsidRPr="00937D97">
              <w:rPr>
                <w:rFonts w:eastAsia="Times New Roman" w:cstheme="minorHAnsi"/>
                <w:color w:val="000000"/>
                <w:sz w:val="18"/>
                <w:szCs w:val="18"/>
                <w:lang w:val="bg-BG"/>
              </w:rPr>
              <w:br/>
              <w:t>· Модул за проследяване „От Фермата до трапезата―;</w:t>
            </w:r>
            <w:r w:rsidRPr="00937D97">
              <w:rPr>
                <w:rFonts w:eastAsia="Times New Roman" w:cstheme="minorHAnsi"/>
                <w:color w:val="000000"/>
                <w:sz w:val="18"/>
                <w:szCs w:val="18"/>
                <w:lang w:val="bg-BG"/>
              </w:rPr>
              <w:br/>
              <w:t>· Модул за онлайн обучение и консултации;</w:t>
            </w:r>
            <w:r w:rsidRPr="00937D97">
              <w:rPr>
                <w:rFonts w:eastAsia="Times New Roman" w:cstheme="minorHAnsi"/>
                <w:color w:val="000000"/>
                <w:sz w:val="18"/>
                <w:szCs w:val="18"/>
                <w:lang w:val="bg-BG"/>
              </w:rPr>
              <w:br/>
              <w:t>· Мрежа за комуникация от полеви сензори и сензори за дъжд и разработване на модул за управление на даннит</w:t>
            </w:r>
          </w:p>
        </w:tc>
        <w:tc>
          <w:tcPr>
            <w:tcW w:w="4111" w:type="dxa"/>
            <w:shd w:val="clear" w:color="auto" w:fill="auto"/>
            <w:vAlign w:val="bottom"/>
            <w:hideMark/>
          </w:tcPr>
          <w:p w14:paraId="56A41DA3" w14:textId="0E4C0DF4"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много добре за ПРЗ</w:t>
            </w:r>
          </w:p>
        </w:tc>
        <w:tc>
          <w:tcPr>
            <w:tcW w:w="2976" w:type="dxa"/>
            <w:shd w:val="clear" w:color="auto" w:fill="auto"/>
            <w:vAlign w:val="bottom"/>
            <w:hideMark/>
          </w:tcPr>
          <w:p w14:paraId="7111CF7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са публични регистри</w:t>
            </w:r>
          </w:p>
        </w:tc>
      </w:tr>
      <w:tr w:rsidR="00D504A5" w:rsidRPr="00937D97" w14:paraId="4F370F5C" w14:textId="77777777" w:rsidTr="00D504A5">
        <w:trPr>
          <w:trHeight w:val="1695"/>
        </w:trPr>
        <w:tc>
          <w:tcPr>
            <w:tcW w:w="988" w:type="dxa"/>
            <w:shd w:val="clear" w:color="auto" w:fill="auto"/>
            <w:vAlign w:val="bottom"/>
            <w:hideMark/>
          </w:tcPr>
          <w:p w14:paraId="51A9EEE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биоразнообразие</w:t>
            </w:r>
          </w:p>
        </w:tc>
        <w:tc>
          <w:tcPr>
            <w:tcW w:w="700" w:type="dxa"/>
            <w:shd w:val="clear" w:color="auto" w:fill="auto"/>
            <w:noWrap/>
            <w:vAlign w:val="bottom"/>
            <w:hideMark/>
          </w:tcPr>
          <w:p w14:paraId="1ADAE4F6" w14:textId="77777777" w:rsidR="00937D97" w:rsidRPr="00937D97" w:rsidRDefault="00937D97"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725</w:t>
            </w:r>
          </w:p>
        </w:tc>
        <w:tc>
          <w:tcPr>
            <w:tcW w:w="5395" w:type="dxa"/>
            <w:shd w:val="clear" w:color="auto" w:fill="auto"/>
            <w:vAlign w:val="bottom"/>
            <w:hideMark/>
          </w:tcPr>
          <w:p w14:paraId="5A8E633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"Традиционни практики за сезонна паша (пасторализъм)" - обхват и допустими животни</w:t>
            </w:r>
          </w:p>
        </w:tc>
        <w:tc>
          <w:tcPr>
            <w:tcW w:w="4111" w:type="dxa"/>
            <w:shd w:val="clear" w:color="auto" w:fill="auto"/>
            <w:vAlign w:val="bottom"/>
            <w:hideMark/>
          </w:tcPr>
          <w:p w14:paraId="238046F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мярката е прилагана до момента в двата предишни финансови периода в националните паркове съвпадащи със ЗЗ по двете директиви. В редица доклади на дирекциите на парковете и научна статия са документирани негативни въздействия върху конкретни местообитания и видове. Описание на засегнатите природни местообитания и видове, въздействията и доказателствата за тях е направено в жалба CHAP(2021)00583 of 9/02/2021. (кажете дали да я изпратя ако нямате достъп до жалбата).</w:t>
            </w:r>
          </w:p>
        </w:tc>
        <w:tc>
          <w:tcPr>
            <w:tcW w:w="2976" w:type="dxa"/>
            <w:shd w:val="clear" w:color="auto" w:fill="auto"/>
            <w:vAlign w:val="bottom"/>
            <w:hideMark/>
          </w:tcPr>
          <w:p w14:paraId="0B3018E0"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не се прилага интервенцията в националните паркове,  в природните паркове и ЗЗ с планове за управление, да се прилага само за овце, и след положителна оценка за съвместимост.</w:t>
            </w:r>
          </w:p>
        </w:tc>
      </w:tr>
      <w:tr w:rsidR="00D504A5" w:rsidRPr="00937D97" w14:paraId="17E65980" w14:textId="77777777" w:rsidTr="00D504A5">
        <w:trPr>
          <w:trHeight w:val="315"/>
        </w:trPr>
        <w:tc>
          <w:tcPr>
            <w:tcW w:w="988" w:type="dxa"/>
            <w:shd w:val="clear" w:color="auto" w:fill="auto"/>
            <w:vAlign w:val="bottom"/>
            <w:hideMark/>
          </w:tcPr>
          <w:p w14:paraId="0E5508ED"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Подпомагане по Натура 2000 за гори</w:t>
            </w:r>
          </w:p>
        </w:tc>
        <w:tc>
          <w:tcPr>
            <w:tcW w:w="700" w:type="dxa"/>
            <w:shd w:val="clear" w:color="auto" w:fill="auto"/>
            <w:noWrap/>
            <w:vAlign w:val="bottom"/>
            <w:hideMark/>
          </w:tcPr>
          <w:p w14:paraId="2619DDF1"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781-785</w:t>
            </w:r>
          </w:p>
        </w:tc>
        <w:tc>
          <w:tcPr>
            <w:tcW w:w="5395" w:type="dxa"/>
            <w:shd w:val="clear" w:color="auto" w:fill="auto"/>
            <w:vAlign w:val="bottom"/>
            <w:hideMark/>
          </w:tcPr>
          <w:p w14:paraId="49643EE4"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Таблицата с 13 Planned Unit Amounts - Financial table with outputs</w:t>
            </w:r>
            <w:r w:rsidRPr="00937D97">
              <w:rPr>
                <w:rFonts w:eastAsia="Times New Roman" w:cstheme="minorHAnsi"/>
                <w:color w:val="000000"/>
                <w:sz w:val="18"/>
                <w:szCs w:val="18"/>
                <w:lang w:val="bg-BG"/>
              </w:rPr>
              <w:br/>
              <w:t>Покрити площи по интервенцията (O.13 (unit: Хектар)) - посочени са 60000 ха и съответно годишна сума на разходите (Annual indicative financial allocation) - 3000000 евро</w:t>
            </w:r>
          </w:p>
        </w:tc>
        <w:tc>
          <w:tcPr>
            <w:tcW w:w="4111" w:type="dxa"/>
            <w:shd w:val="clear" w:color="auto" w:fill="auto"/>
            <w:vAlign w:val="bottom"/>
            <w:hideMark/>
          </w:tcPr>
          <w:p w14:paraId="25CD9097" w14:textId="5EA05698"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В НПРД 2021-2027 е предвидена следната Мярка 52: Натура 2000 в горите (горски природни местообитания и видове, чиито местообитания съвпадат с горските природни местообитания): изпълнението на дейности за компенсиране на наложени режими/ограничения за горскостопански дейности, включени в заповедта за обявяване на съответна зона от Натура 2000. При нея е </w:t>
            </w:r>
            <w:r w:rsidR="00AE5CC0" w:rsidRPr="00937D97">
              <w:rPr>
                <w:rFonts w:eastAsia="Times New Roman" w:cstheme="minorHAnsi"/>
                <w:color w:val="000000"/>
                <w:sz w:val="18"/>
                <w:szCs w:val="18"/>
                <w:lang w:val="bg-BG"/>
              </w:rPr>
              <w:t>изчислено</w:t>
            </w:r>
            <w:r w:rsidRPr="00937D97">
              <w:rPr>
                <w:rFonts w:eastAsia="Times New Roman" w:cstheme="minorHAnsi"/>
                <w:color w:val="000000"/>
                <w:sz w:val="18"/>
                <w:szCs w:val="18"/>
                <w:lang w:val="bg-BG"/>
              </w:rPr>
              <w:t>, че мярката трябва да покрие 100000 ха и съответно годишната сума е 5000000</w:t>
            </w:r>
          </w:p>
        </w:tc>
        <w:tc>
          <w:tcPr>
            <w:tcW w:w="2976" w:type="dxa"/>
            <w:shd w:val="clear" w:color="auto" w:fill="auto"/>
            <w:vAlign w:val="bottom"/>
            <w:hideMark/>
          </w:tcPr>
          <w:p w14:paraId="5A30A993" w14:textId="77777777" w:rsidR="00937D97" w:rsidRPr="00937D97" w:rsidRDefault="00937D97"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е в хармония с НПРД. Така представената мярка покрива едва 60% от площта на предвидените площи в Натура 2000.</w:t>
            </w:r>
          </w:p>
        </w:tc>
      </w:tr>
      <w:tr w:rsidR="00AE5CC0" w:rsidRPr="00937D97" w14:paraId="57CBAAAB" w14:textId="77777777" w:rsidTr="00D504A5">
        <w:trPr>
          <w:trHeight w:val="315"/>
        </w:trPr>
        <w:tc>
          <w:tcPr>
            <w:tcW w:w="988" w:type="dxa"/>
            <w:vMerge w:val="restart"/>
            <w:shd w:val="clear" w:color="auto" w:fill="auto"/>
            <w:vAlign w:val="bottom"/>
            <w:hideMark/>
          </w:tcPr>
          <w:p w14:paraId="185F279F"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Интервенция Инвестиции в земеделските стопанства насочени към опазване на компонентите на околната среда</w:t>
            </w:r>
          </w:p>
          <w:p w14:paraId="7B0448F5" w14:textId="3A2356EC" w:rsidR="00AE5CC0" w:rsidRPr="00937D97" w:rsidRDefault="00AE5CC0" w:rsidP="00937D97">
            <w:pPr>
              <w:spacing w:after="0" w:line="240" w:lineRule="auto"/>
              <w:rPr>
                <w:rFonts w:eastAsia="Times New Roman" w:cstheme="minorHAnsi"/>
                <w:color w:val="000000"/>
                <w:sz w:val="18"/>
                <w:szCs w:val="18"/>
                <w:lang w:val="bg-BG"/>
              </w:rPr>
            </w:pPr>
          </w:p>
        </w:tc>
        <w:tc>
          <w:tcPr>
            <w:tcW w:w="700" w:type="dxa"/>
            <w:shd w:val="clear" w:color="auto" w:fill="auto"/>
            <w:noWrap/>
            <w:vAlign w:val="bottom"/>
            <w:hideMark/>
          </w:tcPr>
          <w:p w14:paraId="51438F12" w14:textId="77777777" w:rsidR="00AE5CC0" w:rsidRPr="00937D97" w:rsidRDefault="00AE5CC0"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801</w:t>
            </w:r>
          </w:p>
        </w:tc>
        <w:tc>
          <w:tcPr>
            <w:tcW w:w="5395" w:type="dxa"/>
            <w:shd w:val="clear" w:color="auto" w:fill="auto"/>
            <w:vAlign w:val="bottom"/>
            <w:hideMark/>
          </w:tcPr>
          <w:p w14:paraId="27D48EF7"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Подпомагането се предоставя по реда на чл. 73 от Регламент (ЕС) №2021/2115 от 02 декември 2021 година.</w:t>
            </w:r>
            <w:r w:rsidRPr="00937D97">
              <w:rPr>
                <w:rFonts w:eastAsia="Times New Roman" w:cstheme="minorHAnsi"/>
                <w:color w:val="000000"/>
                <w:sz w:val="18"/>
                <w:szCs w:val="18"/>
                <w:lang w:val="bg-BG"/>
              </w:rPr>
              <w:br/>
              <w:t>1.Финансовата помощ е в размер до 50 % от общия размер на допустимите за финансово подпомагане разходи за кандидати съответстващи на определението за „малко земеделско стопанство―;</w:t>
            </w:r>
          </w:p>
        </w:tc>
        <w:tc>
          <w:tcPr>
            <w:tcW w:w="4111" w:type="dxa"/>
            <w:shd w:val="clear" w:color="auto" w:fill="auto"/>
            <w:vAlign w:val="bottom"/>
            <w:hideMark/>
          </w:tcPr>
          <w:p w14:paraId="207D6303" w14:textId="148F54A1"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 xml:space="preserve">Малките земеделски стопанства имат ограничена възможност за взимане на кредити. Предвид описанието за минимална стойност на интервенцията да е 15000 евро, то на тях ще са им нужни поне 5 години да ги изплатят, което не би ги накарало да участват. Това е свързано и с коментарите по-горе на Ирина - ред 20 </w:t>
            </w:r>
          </w:p>
        </w:tc>
        <w:tc>
          <w:tcPr>
            <w:tcW w:w="2976" w:type="dxa"/>
            <w:shd w:val="clear" w:color="auto" w:fill="auto"/>
            <w:vAlign w:val="bottom"/>
            <w:hideMark/>
          </w:tcPr>
          <w:p w14:paraId="054C364C"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На базата на  чл. 73, ал. 4, б) от Регламент (ЕС) №2021/2115 от 02 декември 2021 година да се увеличи % на финансовата помощ за малките стопанства на 80%.</w:t>
            </w:r>
          </w:p>
        </w:tc>
      </w:tr>
      <w:tr w:rsidR="00AE5CC0" w:rsidRPr="00937D97" w14:paraId="3A04EDE6" w14:textId="77777777" w:rsidTr="00D504A5">
        <w:trPr>
          <w:trHeight w:val="315"/>
        </w:trPr>
        <w:tc>
          <w:tcPr>
            <w:tcW w:w="988" w:type="dxa"/>
            <w:vMerge/>
            <w:shd w:val="clear" w:color="auto" w:fill="auto"/>
            <w:vAlign w:val="bottom"/>
            <w:hideMark/>
          </w:tcPr>
          <w:p w14:paraId="3B5F50A4" w14:textId="53F5D0FC" w:rsidR="00AE5CC0" w:rsidRPr="00937D97" w:rsidRDefault="00AE5CC0" w:rsidP="00937D97">
            <w:pPr>
              <w:spacing w:after="0" w:line="240" w:lineRule="auto"/>
              <w:rPr>
                <w:rFonts w:eastAsia="Times New Roman" w:cstheme="minorHAnsi"/>
                <w:color w:val="000000"/>
                <w:sz w:val="18"/>
                <w:szCs w:val="18"/>
                <w:lang w:val="bg-BG"/>
              </w:rPr>
            </w:pPr>
          </w:p>
        </w:tc>
        <w:tc>
          <w:tcPr>
            <w:tcW w:w="700" w:type="dxa"/>
            <w:shd w:val="clear" w:color="auto" w:fill="auto"/>
            <w:noWrap/>
            <w:vAlign w:val="bottom"/>
            <w:hideMark/>
          </w:tcPr>
          <w:p w14:paraId="315368D9" w14:textId="77777777" w:rsidR="00AE5CC0" w:rsidRPr="00937D97" w:rsidRDefault="00AE5CC0" w:rsidP="00937D97">
            <w:pPr>
              <w:spacing w:after="0" w:line="240" w:lineRule="auto"/>
              <w:jc w:val="right"/>
              <w:rPr>
                <w:rFonts w:eastAsia="Times New Roman" w:cstheme="minorHAnsi"/>
                <w:color w:val="000000"/>
                <w:sz w:val="18"/>
                <w:szCs w:val="18"/>
                <w:lang w:val="bg-BG"/>
              </w:rPr>
            </w:pPr>
            <w:r w:rsidRPr="00937D97">
              <w:rPr>
                <w:rFonts w:eastAsia="Times New Roman" w:cstheme="minorHAnsi"/>
                <w:color w:val="000000"/>
                <w:sz w:val="18"/>
                <w:szCs w:val="18"/>
                <w:lang w:val="bg-BG"/>
              </w:rPr>
              <w:t>821</w:t>
            </w:r>
          </w:p>
        </w:tc>
        <w:tc>
          <w:tcPr>
            <w:tcW w:w="5395" w:type="dxa"/>
            <w:shd w:val="clear" w:color="auto" w:fill="auto"/>
            <w:vAlign w:val="bottom"/>
            <w:hideMark/>
          </w:tcPr>
          <w:p w14:paraId="67EA0F5E"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Финансовата помощ е в размер до 50 % от общия размер на допустимите за финансово подпомагане разходи за кандидати съответстващи на определението за микро и малко предприятие;</w:t>
            </w:r>
          </w:p>
        </w:tc>
        <w:tc>
          <w:tcPr>
            <w:tcW w:w="4111" w:type="dxa"/>
            <w:shd w:val="clear" w:color="auto" w:fill="auto"/>
            <w:vAlign w:val="bottom"/>
            <w:hideMark/>
          </w:tcPr>
          <w:p w14:paraId="195C6E61"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аналогочино на горния коментар</w:t>
            </w:r>
          </w:p>
        </w:tc>
        <w:tc>
          <w:tcPr>
            <w:tcW w:w="2976" w:type="dxa"/>
            <w:shd w:val="clear" w:color="auto" w:fill="auto"/>
            <w:vAlign w:val="bottom"/>
            <w:hideMark/>
          </w:tcPr>
          <w:p w14:paraId="0A0341EE" w14:textId="77777777" w:rsidR="00AE5CC0" w:rsidRPr="00937D97" w:rsidRDefault="00AE5CC0" w:rsidP="00937D97">
            <w:pPr>
              <w:spacing w:after="0" w:line="240" w:lineRule="auto"/>
              <w:rPr>
                <w:rFonts w:eastAsia="Times New Roman" w:cstheme="minorHAnsi"/>
                <w:color w:val="000000"/>
                <w:sz w:val="18"/>
                <w:szCs w:val="18"/>
                <w:lang w:val="bg-BG"/>
              </w:rPr>
            </w:pPr>
            <w:r w:rsidRPr="00937D97">
              <w:rPr>
                <w:rFonts w:eastAsia="Times New Roman" w:cstheme="minorHAnsi"/>
                <w:color w:val="000000"/>
                <w:sz w:val="18"/>
                <w:szCs w:val="18"/>
                <w:lang w:val="bg-BG"/>
              </w:rPr>
              <w:t>да се сложат 80%</w:t>
            </w:r>
          </w:p>
        </w:tc>
      </w:tr>
    </w:tbl>
    <w:p w14:paraId="5CC2FEB9" w14:textId="77777777" w:rsidR="00937D97" w:rsidRPr="00937D97" w:rsidRDefault="00937D97">
      <w:pPr>
        <w:rPr>
          <w:lang w:val="bg-BG"/>
        </w:rPr>
      </w:pPr>
    </w:p>
    <w:sectPr w:rsidR="00937D97" w:rsidRPr="00937D97" w:rsidSect="00937D97">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7D97"/>
    <w:rsid w:val="00041142"/>
    <w:rsid w:val="000B2BC7"/>
    <w:rsid w:val="00576AFC"/>
    <w:rsid w:val="00937D97"/>
    <w:rsid w:val="0098677B"/>
    <w:rsid w:val="00A30CDB"/>
    <w:rsid w:val="00AE5CC0"/>
    <w:rsid w:val="00B8530A"/>
    <w:rsid w:val="00D06AEE"/>
    <w:rsid w:val="00D504A5"/>
    <w:rsid w:val="00E122D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02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7D97"/>
    <w:rPr>
      <w:color w:val="0563C1"/>
      <w:u w:val="single"/>
    </w:rPr>
  </w:style>
  <w:style w:type="character" w:styleId="FollowedHyperlink">
    <w:name w:val="FollowedHyperlink"/>
    <w:basedOn w:val="DefaultParagraphFont"/>
    <w:uiPriority w:val="99"/>
    <w:semiHidden/>
    <w:unhideWhenUsed/>
    <w:rsid w:val="00937D97"/>
    <w:rPr>
      <w:color w:val="0563C1"/>
      <w:u w:val="single"/>
    </w:rPr>
  </w:style>
  <w:style w:type="paragraph" w:customStyle="1" w:styleId="msonormal0">
    <w:name w:val="msonormal"/>
    <w:basedOn w:val="Normal"/>
    <w:rsid w:val="00937D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37D97"/>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6">
    <w:name w:val="font6"/>
    <w:basedOn w:val="Normal"/>
    <w:rsid w:val="00937D97"/>
    <w:pPr>
      <w:spacing w:before="100" w:beforeAutospacing="1" w:after="100" w:afterAutospacing="1" w:line="240" w:lineRule="auto"/>
    </w:pPr>
    <w:rPr>
      <w:rFonts w:ascii="Calibri" w:eastAsia="Times New Roman" w:hAnsi="Calibri" w:cs="Calibri"/>
      <w:color w:val="000000"/>
      <w:sz w:val="18"/>
      <w:szCs w:val="18"/>
      <w:u w:val="single"/>
    </w:rPr>
  </w:style>
  <w:style w:type="paragraph" w:customStyle="1" w:styleId="font7">
    <w:name w:val="font7"/>
    <w:basedOn w:val="Normal"/>
    <w:rsid w:val="00937D97"/>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xl65">
    <w:name w:val="xl65"/>
    <w:basedOn w:val="Normal"/>
    <w:rsid w:val="00937D97"/>
    <w:pPr>
      <w:pBdr>
        <w:top w:val="single" w:sz="4" w:space="0" w:color="000000"/>
        <w:left w:val="single" w:sz="4" w:space="0" w:color="000000"/>
        <w:bottom w:val="single" w:sz="4" w:space="0" w:color="000000"/>
        <w:right w:val="single" w:sz="4" w:space="0" w:color="000000"/>
      </w:pBdr>
      <w:shd w:val="clear" w:color="FEF2CB" w:fill="FEF2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37D97"/>
    <w:pPr>
      <w:pBdr>
        <w:top w:val="single" w:sz="4" w:space="0" w:color="000000"/>
        <w:left w:val="single" w:sz="4" w:space="0" w:color="000000"/>
        <w:bottom w:val="single" w:sz="4" w:space="0" w:color="000000"/>
        <w:right w:val="single" w:sz="4" w:space="0" w:color="000000"/>
      </w:pBdr>
      <w:shd w:val="clear" w:color="FEF2CB" w:fill="FEF2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rPr>
  </w:style>
  <w:style w:type="paragraph" w:customStyle="1" w:styleId="xl68">
    <w:name w:val="xl68"/>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rPr>
  </w:style>
  <w:style w:type="paragraph" w:customStyle="1" w:styleId="xl69">
    <w:name w:val="xl69"/>
    <w:basedOn w:val="Normal"/>
    <w:rsid w:val="00937D97"/>
    <w:pPr>
      <w:spacing w:before="100" w:beforeAutospacing="1" w:after="100" w:afterAutospacing="1" w:line="240" w:lineRule="auto"/>
    </w:pPr>
    <w:rPr>
      <w:rFonts w:ascii="Calibri" w:eastAsia="Times New Roman" w:hAnsi="Calibri" w:cs="Calibri"/>
      <w:sz w:val="18"/>
      <w:szCs w:val="18"/>
    </w:rPr>
  </w:style>
  <w:style w:type="paragraph" w:customStyle="1" w:styleId="xl70">
    <w:name w:val="xl70"/>
    <w:basedOn w:val="Normal"/>
    <w:rsid w:val="00937D97"/>
    <w:pPr>
      <w:spacing w:before="100" w:beforeAutospacing="1" w:after="100" w:afterAutospacing="1" w:line="240" w:lineRule="auto"/>
    </w:pPr>
    <w:rPr>
      <w:rFonts w:ascii="Calibri" w:eastAsia="Times New Roman" w:hAnsi="Calibri" w:cs="Calibri"/>
      <w:sz w:val="18"/>
      <w:szCs w:val="18"/>
    </w:rPr>
  </w:style>
  <w:style w:type="paragraph" w:customStyle="1" w:styleId="xl71">
    <w:name w:val="xl71"/>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u w:val="single"/>
    </w:rPr>
  </w:style>
  <w:style w:type="paragraph" w:customStyle="1" w:styleId="xl72">
    <w:name w:val="xl72"/>
    <w:basedOn w:val="Normal"/>
    <w:rsid w:val="00937D97"/>
    <w:pPr>
      <w:spacing w:before="100" w:beforeAutospacing="1" w:after="100" w:afterAutospacing="1" w:line="240" w:lineRule="auto"/>
    </w:pPr>
    <w:rPr>
      <w:rFonts w:ascii="Calibri" w:eastAsia="Times New Roman" w:hAnsi="Calibri" w:cs="Calibri"/>
      <w:sz w:val="18"/>
      <w:szCs w:val="18"/>
    </w:rPr>
  </w:style>
  <w:style w:type="character" w:customStyle="1" w:styleId="UnresolvedMention">
    <w:name w:val="Unresolved Mention"/>
    <w:basedOn w:val="DefaultParagraphFont"/>
    <w:uiPriority w:val="99"/>
    <w:semiHidden/>
    <w:unhideWhenUsed/>
    <w:rsid w:val="0098677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37D97"/>
    <w:rPr>
      <w:color w:val="0563C1"/>
      <w:u w:val="single"/>
    </w:rPr>
  </w:style>
  <w:style w:type="character" w:styleId="FollowedHyperlink">
    <w:name w:val="FollowedHyperlink"/>
    <w:basedOn w:val="DefaultParagraphFont"/>
    <w:uiPriority w:val="99"/>
    <w:semiHidden/>
    <w:unhideWhenUsed/>
    <w:rsid w:val="00937D97"/>
    <w:rPr>
      <w:color w:val="0563C1"/>
      <w:u w:val="single"/>
    </w:rPr>
  </w:style>
  <w:style w:type="paragraph" w:customStyle="1" w:styleId="msonormal0">
    <w:name w:val="msonormal"/>
    <w:basedOn w:val="Normal"/>
    <w:rsid w:val="00937D9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937D97"/>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6">
    <w:name w:val="font6"/>
    <w:basedOn w:val="Normal"/>
    <w:rsid w:val="00937D97"/>
    <w:pPr>
      <w:spacing w:before="100" w:beforeAutospacing="1" w:after="100" w:afterAutospacing="1" w:line="240" w:lineRule="auto"/>
    </w:pPr>
    <w:rPr>
      <w:rFonts w:ascii="Calibri" w:eastAsia="Times New Roman" w:hAnsi="Calibri" w:cs="Calibri"/>
      <w:color w:val="000000"/>
      <w:sz w:val="18"/>
      <w:szCs w:val="18"/>
      <w:u w:val="single"/>
    </w:rPr>
  </w:style>
  <w:style w:type="paragraph" w:customStyle="1" w:styleId="font7">
    <w:name w:val="font7"/>
    <w:basedOn w:val="Normal"/>
    <w:rsid w:val="00937D97"/>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xl65">
    <w:name w:val="xl65"/>
    <w:basedOn w:val="Normal"/>
    <w:rsid w:val="00937D97"/>
    <w:pPr>
      <w:pBdr>
        <w:top w:val="single" w:sz="4" w:space="0" w:color="000000"/>
        <w:left w:val="single" w:sz="4" w:space="0" w:color="000000"/>
        <w:bottom w:val="single" w:sz="4" w:space="0" w:color="000000"/>
        <w:right w:val="single" w:sz="4" w:space="0" w:color="000000"/>
      </w:pBdr>
      <w:shd w:val="clear" w:color="FEF2CB" w:fill="FEF2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Normal"/>
    <w:rsid w:val="00937D97"/>
    <w:pPr>
      <w:pBdr>
        <w:top w:val="single" w:sz="4" w:space="0" w:color="000000"/>
        <w:left w:val="single" w:sz="4" w:space="0" w:color="000000"/>
        <w:bottom w:val="single" w:sz="4" w:space="0" w:color="000000"/>
        <w:right w:val="single" w:sz="4" w:space="0" w:color="000000"/>
      </w:pBdr>
      <w:shd w:val="clear" w:color="FEF2CB" w:fill="FEF2CB"/>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7">
    <w:name w:val="xl67"/>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rPr>
  </w:style>
  <w:style w:type="paragraph" w:customStyle="1" w:styleId="xl68">
    <w:name w:val="xl68"/>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rPr>
  </w:style>
  <w:style w:type="paragraph" w:customStyle="1" w:styleId="xl69">
    <w:name w:val="xl69"/>
    <w:basedOn w:val="Normal"/>
    <w:rsid w:val="00937D97"/>
    <w:pPr>
      <w:spacing w:before="100" w:beforeAutospacing="1" w:after="100" w:afterAutospacing="1" w:line="240" w:lineRule="auto"/>
    </w:pPr>
    <w:rPr>
      <w:rFonts w:ascii="Calibri" w:eastAsia="Times New Roman" w:hAnsi="Calibri" w:cs="Calibri"/>
      <w:sz w:val="18"/>
      <w:szCs w:val="18"/>
    </w:rPr>
  </w:style>
  <w:style w:type="paragraph" w:customStyle="1" w:styleId="xl70">
    <w:name w:val="xl70"/>
    <w:basedOn w:val="Normal"/>
    <w:rsid w:val="00937D97"/>
    <w:pPr>
      <w:spacing w:before="100" w:beforeAutospacing="1" w:after="100" w:afterAutospacing="1" w:line="240" w:lineRule="auto"/>
    </w:pPr>
    <w:rPr>
      <w:rFonts w:ascii="Calibri" w:eastAsia="Times New Roman" w:hAnsi="Calibri" w:cs="Calibri"/>
      <w:sz w:val="18"/>
      <w:szCs w:val="18"/>
    </w:rPr>
  </w:style>
  <w:style w:type="paragraph" w:customStyle="1" w:styleId="xl71">
    <w:name w:val="xl71"/>
    <w:basedOn w:val="Normal"/>
    <w:rsid w:val="00937D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Calibri" w:eastAsia="Times New Roman" w:hAnsi="Calibri" w:cs="Calibri"/>
      <w:sz w:val="18"/>
      <w:szCs w:val="18"/>
      <w:u w:val="single"/>
    </w:rPr>
  </w:style>
  <w:style w:type="paragraph" w:customStyle="1" w:styleId="xl72">
    <w:name w:val="xl72"/>
    <w:basedOn w:val="Normal"/>
    <w:rsid w:val="00937D97"/>
    <w:pPr>
      <w:spacing w:before="100" w:beforeAutospacing="1" w:after="100" w:afterAutospacing="1" w:line="240" w:lineRule="auto"/>
    </w:pPr>
    <w:rPr>
      <w:rFonts w:ascii="Calibri" w:eastAsia="Times New Roman" w:hAnsi="Calibri" w:cs="Calibri"/>
      <w:sz w:val="18"/>
      <w:szCs w:val="18"/>
    </w:rPr>
  </w:style>
  <w:style w:type="character" w:customStyle="1" w:styleId="UnresolvedMention">
    <w:name w:val="Unresolved Mention"/>
    <w:basedOn w:val="DefaultParagraphFont"/>
    <w:uiPriority w:val="99"/>
    <w:semiHidden/>
    <w:unhideWhenUsed/>
    <w:rsid w:val="0098677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3549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www.zelenizakoni.com/sites/default/files/attachments/analiz_na_zeleni_zakoni_otnosno_opasnostta_ot_izsichaneto_na_gorite_vrhu_zemedelski_zemi_08.02.2021.pdf" TargetMode="External"/><Relationship Id="rId5" Type="http://schemas.openxmlformats.org/officeDocument/2006/relationships/hyperlink" Target="file://C:\Users\sahmed\AppData\Local\Temp\&#1076;&#1072;%20&#1089;&#1077;%20&#1076;&#1086;&#1073;&#1072;&#1074;&#1103;&#1090;%20&#1080;%20&#1076;&#1072;%20&#1089;&#1077;%20&#1074;&#1079;&#1077;&#1084;&#1072;&#1090;%20&#1074;%20&#1087;&#1088;&#1077;&#1076;&#1074;&#1080;&#1076;%20-%20&#1089;&#1087;&#1080;&#1089;&#1098;&#1082;&#1098;&#1090;%20&#1085;&#1072;%20&#1086;&#1076;&#1086;&#1073;&#1088;&#1077;&#1085;&#1080;%20&#1090;&#1072;&#1082;&#1080;&#1074;&#1072;%20&#1087;&#1083;&#1072;&#1085;&#1086;&#1074;&#1077;%20&#1077;%20&#1087;&#1091;&#1073;&#1083;&#1080;&#1095;&#1077;&#1085;%20&#1085;&#1072;%20&#1080;&#1085;&#1090;&#1077;&#1088;&#1085;&#1077;&#1090;%20&#1089;&#1090;&#1088;&#1072;&#1085;&#1080;&#1094;&#1072;&#1090;&#1072;%20&#1085;&#1072;%20&#1052;&#1054;&#1057;&#1042;%20-%20%20https:\www.moew.government.bg\bg\priroda\biologichno-raznoobrazie\zastiteni-vidove\planove-za-dejstvi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14306</Words>
  <Characters>81549</Characters>
  <Application>Microsoft Office Word</Application>
  <DocSecurity>0</DocSecurity>
  <Lines>679</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irina.kostadinova@bspb.org</dc:creator>
  <cp:lastModifiedBy>Sevgin Ahmed</cp:lastModifiedBy>
  <cp:revision>2</cp:revision>
  <dcterms:created xsi:type="dcterms:W3CDTF">2022-06-07T16:13:00Z</dcterms:created>
  <dcterms:modified xsi:type="dcterms:W3CDTF">2022-06-07T16:13:00Z</dcterms:modified>
</cp:coreProperties>
</file>