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22" w:rsidRPr="00333543" w:rsidRDefault="00333543" w:rsidP="00C82D88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333543">
        <w:rPr>
          <w:rFonts w:ascii="Verdana" w:hAnsi="Verdana"/>
          <w:b/>
          <w:sz w:val="20"/>
          <w:szCs w:val="20"/>
        </w:rPr>
        <w:t>Подпомагане на сектор „Земеделие“ чрез държавни помощи</w:t>
      </w:r>
    </w:p>
    <w:p w:rsidR="00333543" w:rsidRDefault="00126622" w:rsidP="00C82D88">
      <w:pPr>
        <w:spacing w:line="360" w:lineRule="auto"/>
        <w:jc w:val="center"/>
        <w:rPr>
          <w:rFonts w:ascii="Verdana" w:hAnsi="Verdana"/>
          <w:b/>
          <w:i/>
          <w:sz w:val="24"/>
          <w:szCs w:val="24"/>
          <w:lang w:val="ru-RU"/>
        </w:rPr>
      </w:pPr>
      <w:r w:rsidRPr="00126622">
        <w:rPr>
          <w:rFonts w:ascii="Verdana" w:hAnsi="Verdana"/>
          <w:b/>
          <w:i/>
          <w:sz w:val="20"/>
          <w:szCs w:val="20"/>
        </w:rPr>
        <w:t>Мерки за подпомагане съгласно Съобщение на ЕК - Временна рамка за мерки за държавна помощ в подкрепа на икономиката в условията на сегашния  епидемичен взрив от COVID–19</w:t>
      </w:r>
      <w:r w:rsidR="00023CD8">
        <w:rPr>
          <w:rFonts w:ascii="Verdana" w:hAnsi="Verdana"/>
          <w:b/>
          <w:i/>
          <w:sz w:val="20"/>
          <w:szCs w:val="20"/>
          <w:lang w:val="en-US"/>
        </w:rPr>
        <w:t xml:space="preserve"> - </w:t>
      </w:r>
      <w:r w:rsidRPr="00023CD8">
        <w:rPr>
          <w:rFonts w:ascii="Verdana" w:hAnsi="Verdana"/>
          <w:b/>
          <w:i/>
          <w:sz w:val="24"/>
          <w:szCs w:val="24"/>
          <w:lang w:val="ru-RU"/>
        </w:rPr>
        <w:t>КОВИД РУБРИКА</w:t>
      </w:r>
    </w:p>
    <w:p w:rsidR="00C82D88" w:rsidRDefault="00C82D88" w:rsidP="003A27B8">
      <w:pPr>
        <w:spacing w:line="276" w:lineRule="auto"/>
        <w:jc w:val="center"/>
        <w:rPr>
          <w:rFonts w:ascii="Verdana" w:hAnsi="Verdana"/>
          <w:b/>
          <w:i/>
          <w:sz w:val="24"/>
          <w:szCs w:val="24"/>
          <w:lang w:val="en-US"/>
        </w:rPr>
      </w:pPr>
    </w:p>
    <w:p w:rsidR="00126622" w:rsidRPr="003A27B8" w:rsidRDefault="00126622" w:rsidP="00F17C0D">
      <w:pPr>
        <w:rPr>
          <w:rFonts w:ascii="Verdana" w:hAnsi="Verdana"/>
          <w:sz w:val="20"/>
          <w:szCs w:val="20"/>
        </w:rPr>
      </w:pPr>
    </w:p>
    <w:p w:rsidR="003A27B8" w:rsidRDefault="00ED3830" w:rsidP="003A27B8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ab/>
      </w:r>
      <w:r w:rsidR="00023CD8" w:rsidRPr="00333543">
        <w:rPr>
          <w:rFonts w:ascii="Verdana" w:hAnsi="Verdana"/>
          <w:b/>
          <w:sz w:val="20"/>
          <w:szCs w:val="20"/>
        </w:rPr>
        <w:t>Подпомагане на сектор „Земеделие“ чрез държавни помощи</w:t>
      </w:r>
    </w:p>
    <w:p w:rsidR="00C82D88" w:rsidRDefault="00C82D88" w:rsidP="003A27B8">
      <w:pPr>
        <w:pStyle w:val="ListParagraph"/>
        <w:tabs>
          <w:tab w:val="left" w:pos="142"/>
        </w:tabs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</w:p>
    <w:p w:rsidR="00694627" w:rsidRDefault="00694627" w:rsidP="00023CD8">
      <w:pPr>
        <w:spacing w:line="360" w:lineRule="auto"/>
        <w:ind w:right="12" w:firstLine="708"/>
        <w:jc w:val="both"/>
        <w:rPr>
          <w:rFonts w:ascii="Verdana" w:hAnsi="Verdana"/>
          <w:sz w:val="20"/>
          <w:szCs w:val="20"/>
        </w:rPr>
      </w:pPr>
      <w:r w:rsidRPr="00333543">
        <w:rPr>
          <w:rFonts w:ascii="Verdana" w:hAnsi="Verdana"/>
          <w:sz w:val="20"/>
          <w:szCs w:val="20"/>
        </w:rPr>
        <w:t xml:space="preserve">Политиката на </w:t>
      </w:r>
      <w:r w:rsidR="00333543">
        <w:rPr>
          <w:rFonts w:ascii="Verdana" w:hAnsi="Verdana"/>
          <w:sz w:val="20"/>
          <w:szCs w:val="20"/>
        </w:rPr>
        <w:t>Министерство на земеделието</w:t>
      </w:r>
      <w:r w:rsidRPr="00333543">
        <w:rPr>
          <w:rFonts w:ascii="Verdana" w:hAnsi="Verdana"/>
          <w:sz w:val="20"/>
          <w:szCs w:val="20"/>
        </w:rPr>
        <w:t xml:space="preserve"> по отношение на подкрепата с държавни помощи в сектор </w:t>
      </w:r>
      <w:r w:rsidR="00ED3830" w:rsidRPr="00333543">
        <w:rPr>
          <w:rFonts w:ascii="Verdana" w:hAnsi="Verdana"/>
          <w:sz w:val="20"/>
          <w:szCs w:val="20"/>
        </w:rPr>
        <w:t>„</w:t>
      </w:r>
      <w:r w:rsidRPr="00333543">
        <w:rPr>
          <w:rFonts w:ascii="Verdana" w:hAnsi="Verdana"/>
          <w:sz w:val="20"/>
          <w:szCs w:val="20"/>
        </w:rPr>
        <w:t>Земеделие</w:t>
      </w:r>
      <w:r w:rsidR="00ED3830" w:rsidRPr="00333543">
        <w:rPr>
          <w:rFonts w:ascii="Verdana" w:hAnsi="Verdana"/>
          <w:sz w:val="20"/>
          <w:szCs w:val="20"/>
        </w:rPr>
        <w:t>“</w:t>
      </w:r>
      <w:r w:rsidRPr="00333543">
        <w:rPr>
          <w:rFonts w:ascii="Verdana" w:hAnsi="Verdana"/>
          <w:sz w:val="20"/>
          <w:szCs w:val="20"/>
        </w:rPr>
        <w:t xml:space="preserve"> е насочена приоритетно към малките и средни земеделски стопанства и се осъществява при спазване политиката на Европейския съюз за насърчаване и устойчивото развитие на дребния и средния бизнес, подобряване на икономическата ефективност и конкурентоспособност на МСП в земеделието, както и жизнения стандарт на заетите в сектора чрез гарантиране на доходите от дейността им.</w:t>
      </w:r>
    </w:p>
    <w:p w:rsidR="00210D54" w:rsidRPr="00025350" w:rsidRDefault="00210D54" w:rsidP="00210D5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210D54">
        <w:rPr>
          <w:rStyle w:val="Strong"/>
          <w:rFonts w:ascii="Verdana" w:hAnsi="Verdana"/>
          <w:b w:val="0"/>
          <w:sz w:val="20"/>
          <w:szCs w:val="20"/>
        </w:rPr>
        <w:t>Подпомагането е продиктувано от необходимост от преодоляване на сериозни затруднения в най-чувствителните и приоритетни сектори</w:t>
      </w:r>
      <w:r w:rsidRPr="00025350">
        <w:rPr>
          <w:rStyle w:val="Strong"/>
          <w:rFonts w:ascii="Verdana" w:hAnsi="Verdana"/>
          <w:sz w:val="20"/>
          <w:szCs w:val="20"/>
        </w:rPr>
        <w:t xml:space="preserve"> </w:t>
      </w:r>
      <w:r w:rsidRPr="00025350">
        <w:rPr>
          <w:rFonts w:ascii="Verdana" w:hAnsi="Verdana"/>
          <w:sz w:val="20"/>
          <w:szCs w:val="20"/>
        </w:rPr>
        <w:t>с оглед запазване на икономическата жизненост на отрасъла.</w:t>
      </w:r>
    </w:p>
    <w:p w:rsidR="00A1414A" w:rsidRPr="00A1414A" w:rsidRDefault="00A1414A" w:rsidP="00A1414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1414A">
        <w:rPr>
          <w:rFonts w:ascii="Verdana" w:hAnsi="Verdana"/>
          <w:sz w:val="20"/>
          <w:szCs w:val="20"/>
        </w:rPr>
        <w:t xml:space="preserve">С решения на Управителния съвет на Държавен фонд „Земеделие“ </w:t>
      </w:r>
      <w:r w:rsidR="00126622">
        <w:rPr>
          <w:rFonts w:ascii="Verdana" w:hAnsi="Verdana"/>
          <w:sz w:val="20"/>
          <w:szCs w:val="20"/>
        </w:rPr>
        <w:t>ежегодно се утвърждава</w:t>
      </w:r>
      <w:r w:rsidRPr="00A1414A">
        <w:rPr>
          <w:rFonts w:ascii="Verdana" w:hAnsi="Verdana"/>
          <w:sz w:val="20"/>
          <w:szCs w:val="20"/>
        </w:rPr>
        <w:t xml:space="preserve"> финансов ресурс </w:t>
      </w:r>
      <w:r w:rsidR="00640CBE">
        <w:rPr>
          <w:rFonts w:ascii="Verdana" w:hAnsi="Verdana"/>
          <w:sz w:val="20"/>
          <w:szCs w:val="20"/>
        </w:rPr>
        <w:t xml:space="preserve">за държавните помощи </w:t>
      </w:r>
      <w:r w:rsidR="00126622">
        <w:rPr>
          <w:rFonts w:ascii="Verdana" w:hAnsi="Verdana"/>
          <w:sz w:val="20"/>
          <w:szCs w:val="20"/>
        </w:rPr>
        <w:t>за съответната година</w:t>
      </w:r>
      <w:r w:rsidRPr="00A1414A">
        <w:rPr>
          <w:rFonts w:ascii="Verdana" w:hAnsi="Verdana"/>
          <w:sz w:val="20"/>
          <w:szCs w:val="20"/>
        </w:rPr>
        <w:t>.</w:t>
      </w:r>
    </w:p>
    <w:p w:rsidR="00703CE9" w:rsidRPr="003A27B8" w:rsidRDefault="00A1414A" w:rsidP="00A1414A">
      <w:pPr>
        <w:spacing w:line="360" w:lineRule="auto"/>
        <w:ind w:right="12"/>
        <w:jc w:val="both"/>
        <w:rPr>
          <w:rFonts w:ascii="Verdana" w:hAnsi="Verdana"/>
          <w:sz w:val="20"/>
          <w:szCs w:val="20"/>
        </w:rPr>
      </w:pPr>
      <w:r w:rsidRPr="00A1414A">
        <w:rPr>
          <w:rFonts w:ascii="Verdana" w:hAnsi="Verdana"/>
          <w:sz w:val="20"/>
          <w:szCs w:val="20"/>
        </w:rPr>
        <w:tab/>
        <w:t xml:space="preserve">Освен този </w:t>
      </w:r>
      <w:r w:rsidRPr="0053441A">
        <w:rPr>
          <w:rFonts w:ascii="Verdana" w:hAnsi="Verdana"/>
          <w:sz w:val="20"/>
          <w:szCs w:val="20"/>
        </w:rPr>
        <w:t>финансов ресурс, земеделските стопани разчитат на подпомагане за данъчни облекчения</w:t>
      </w:r>
      <w:r w:rsidR="0053441A" w:rsidRPr="0053441A">
        <w:rPr>
          <w:rFonts w:ascii="Verdana" w:hAnsi="Verdana"/>
          <w:sz w:val="20"/>
          <w:szCs w:val="20"/>
        </w:rPr>
        <w:t xml:space="preserve"> по Помощ за инвестиции в земеделски стопанства чрез преотстъпване на корпоративен данък и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Помощ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 под формата на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отстъпка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стойността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 на акциза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газьола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използван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първично</w:t>
      </w:r>
      <w:proofErr w:type="spellEnd"/>
      <w:r w:rsidR="0053441A" w:rsidRPr="0053441A">
        <w:rPr>
          <w:rFonts w:ascii="Verdana" w:hAnsi="Verdana"/>
          <w:sz w:val="20"/>
          <w:szCs w:val="20"/>
        </w:rPr>
        <w:t>то</w:t>
      </w:r>
      <w:r w:rsidR="0053441A" w:rsidRPr="0053441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3441A" w:rsidRPr="0053441A">
        <w:rPr>
          <w:rFonts w:ascii="Verdana" w:hAnsi="Verdana"/>
          <w:sz w:val="20"/>
          <w:szCs w:val="20"/>
          <w:lang w:val="ru-RU"/>
        </w:rPr>
        <w:t>селскостопанско</w:t>
      </w:r>
      <w:proofErr w:type="spellEnd"/>
      <w:r w:rsidR="0053441A" w:rsidRPr="0053441A">
        <w:rPr>
          <w:rFonts w:ascii="Verdana" w:hAnsi="Verdana"/>
          <w:sz w:val="20"/>
          <w:szCs w:val="20"/>
          <w:lang w:val="ru-RU"/>
        </w:rPr>
        <w:t xml:space="preserve"> производство - </w:t>
      </w:r>
      <w:r w:rsidR="0053441A" w:rsidRPr="0053441A">
        <w:rPr>
          <w:rFonts w:ascii="Verdana" w:hAnsi="Verdana"/>
          <w:sz w:val="20"/>
          <w:szCs w:val="20"/>
        </w:rPr>
        <w:t>сектор „Растениевъдство“ и „Животновъдство“</w:t>
      </w:r>
      <w:r w:rsidRPr="0053441A">
        <w:rPr>
          <w:rFonts w:ascii="Verdana" w:hAnsi="Verdana"/>
          <w:sz w:val="20"/>
          <w:szCs w:val="20"/>
        </w:rPr>
        <w:t>.</w:t>
      </w:r>
      <w:r w:rsidR="00703CE9">
        <w:rPr>
          <w:rFonts w:ascii="Verdana" w:hAnsi="Verdana"/>
          <w:sz w:val="20"/>
          <w:szCs w:val="20"/>
        </w:rPr>
        <w:t xml:space="preserve"> Р</w:t>
      </w:r>
      <w:r w:rsidR="00703CE9" w:rsidRPr="002F36DC">
        <w:rPr>
          <w:rFonts w:ascii="Verdana" w:hAnsi="Verdana"/>
          <w:sz w:val="20"/>
          <w:szCs w:val="20"/>
        </w:rPr>
        <w:t>есурсът по тези схеми е допълнително предвиден в Закона за държавни</w:t>
      </w:r>
      <w:r w:rsidR="00703CE9">
        <w:rPr>
          <w:rFonts w:ascii="Verdana" w:hAnsi="Verdana"/>
          <w:sz w:val="20"/>
          <w:szCs w:val="20"/>
        </w:rPr>
        <w:t>я</w:t>
      </w:r>
      <w:r w:rsidR="00126622">
        <w:rPr>
          <w:rFonts w:ascii="Verdana" w:hAnsi="Verdana"/>
          <w:sz w:val="20"/>
          <w:szCs w:val="20"/>
        </w:rPr>
        <w:t xml:space="preserve"> бюджет на Република България.</w:t>
      </w:r>
    </w:p>
    <w:p w:rsidR="003A27B8" w:rsidRDefault="00694627" w:rsidP="003A27B8">
      <w:pPr>
        <w:spacing w:line="360" w:lineRule="auto"/>
        <w:ind w:right="12" w:firstLine="720"/>
        <w:jc w:val="both"/>
        <w:rPr>
          <w:rFonts w:ascii="Verdana" w:hAnsi="Verdana"/>
          <w:sz w:val="20"/>
          <w:szCs w:val="20"/>
        </w:rPr>
      </w:pPr>
      <w:r w:rsidRPr="00333543">
        <w:rPr>
          <w:rFonts w:ascii="Verdana" w:hAnsi="Verdana"/>
          <w:sz w:val="20"/>
          <w:szCs w:val="20"/>
        </w:rPr>
        <w:t>Предоставянето на държавни помощи за българското селско стопанство има положително въздействие върху отрасъла, тъй като води до повишаване на конкурентоспособността на малките и средните земеделски стопанства посредством мерки,</w:t>
      </w:r>
      <w:r w:rsidR="00333543">
        <w:rPr>
          <w:rFonts w:ascii="Verdana" w:hAnsi="Verdana"/>
          <w:sz w:val="20"/>
          <w:szCs w:val="20"/>
        </w:rPr>
        <w:t xml:space="preserve"> насочени в следните направления:</w:t>
      </w:r>
    </w:p>
    <w:p w:rsidR="0007510B" w:rsidRDefault="0007510B" w:rsidP="003A27B8">
      <w:pPr>
        <w:spacing w:line="360" w:lineRule="auto"/>
        <w:ind w:right="12" w:firstLine="720"/>
        <w:jc w:val="both"/>
        <w:rPr>
          <w:rFonts w:ascii="Verdana" w:hAnsi="Verdana"/>
          <w:sz w:val="20"/>
          <w:szCs w:val="20"/>
        </w:rPr>
      </w:pPr>
    </w:p>
    <w:p w:rsidR="00210D54" w:rsidRPr="00734754" w:rsidRDefault="00210D54" w:rsidP="00210D5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34754">
        <w:rPr>
          <w:rFonts w:ascii="Verdana" w:hAnsi="Verdana"/>
          <w:sz w:val="20"/>
          <w:szCs w:val="20"/>
        </w:rPr>
        <w:t>Инвестиционни помощи;</w:t>
      </w:r>
    </w:p>
    <w:p w:rsidR="00210D54" w:rsidRPr="00734754" w:rsidRDefault="00210D54" w:rsidP="00210D5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34754">
        <w:rPr>
          <w:rFonts w:ascii="Verdana" w:hAnsi="Verdana"/>
          <w:sz w:val="20"/>
          <w:szCs w:val="20"/>
        </w:rPr>
        <w:t>Компенсаторни помощи – помощи насочени към управление на риска и кризите в селското стопанство, както и за превенция от болести;</w:t>
      </w:r>
    </w:p>
    <w:p w:rsidR="00210D54" w:rsidRPr="00734754" w:rsidRDefault="00210D54" w:rsidP="00210D5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34754">
        <w:rPr>
          <w:rFonts w:ascii="Verdana" w:hAnsi="Verdana"/>
          <w:sz w:val="20"/>
          <w:szCs w:val="20"/>
        </w:rPr>
        <w:t>Помощи, насочени към гарантиране използването на качествен посевен материал в растениевъдството и поддържане на високо ниво на развъдната дейност в животновъдството;</w:t>
      </w:r>
    </w:p>
    <w:p w:rsidR="00210D54" w:rsidRPr="00734754" w:rsidRDefault="00210D54" w:rsidP="00210D5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34754">
        <w:rPr>
          <w:rFonts w:ascii="Verdana" w:hAnsi="Verdana"/>
          <w:sz w:val="20"/>
          <w:szCs w:val="20"/>
        </w:rPr>
        <w:t>Помощи, насочени към повишаване на качеството на храните и суровините от животински произход чрез отделяне на особено внимание на хуманно отношение към животните;</w:t>
      </w:r>
    </w:p>
    <w:p w:rsidR="00210D54" w:rsidRDefault="00210D54" w:rsidP="00210D5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34754">
        <w:rPr>
          <w:rFonts w:ascii="Verdana" w:hAnsi="Verdana"/>
          <w:sz w:val="20"/>
          <w:szCs w:val="20"/>
        </w:rPr>
        <w:t xml:space="preserve">Помощи, насочени към насърчаване участието на земеделските стопани в национални и международни изложения; </w:t>
      </w:r>
    </w:p>
    <w:p w:rsidR="00210D54" w:rsidRDefault="00210D54" w:rsidP="00210D5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34754">
        <w:rPr>
          <w:rFonts w:ascii="Verdana" w:hAnsi="Verdana"/>
          <w:sz w:val="20"/>
          <w:szCs w:val="20"/>
        </w:rPr>
        <w:t xml:space="preserve">Минимални помощи </w:t>
      </w:r>
      <w:r w:rsidRPr="00734754">
        <w:rPr>
          <w:rFonts w:ascii="Verdana" w:hAnsi="Verdana"/>
          <w:sz w:val="20"/>
          <w:szCs w:val="20"/>
          <w:lang w:val="en-US"/>
        </w:rPr>
        <w:t>de</w:t>
      </w:r>
      <w:r w:rsidRPr="00734754">
        <w:rPr>
          <w:rFonts w:ascii="Verdana" w:hAnsi="Verdana"/>
          <w:sz w:val="20"/>
          <w:szCs w:val="20"/>
        </w:rPr>
        <w:t xml:space="preserve"> </w:t>
      </w:r>
      <w:proofErr w:type="spellStart"/>
      <w:r w:rsidRPr="0097242B">
        <w:rPr>
          <w:rFonts w:ascii="Verdana" w:hAnsi="Verdana"/>
          <w:sz w:val="20"/>
          <w:szCs w:val="20"/>
          <w:lang w:val="en-US"/>
        </w:rPr>
        <w:t>minimis</w:t>
      </w:r>
      <w:proofErr w:type="spellEnd"/>
      <w:r w:rsidRPr="0097242B">
        <w:rPr>
          <w:rFonts w:ascii="Verdana" w:hAnsi="Verdana"/>
          <w:sz w:val="20"/>
          <w:szCs w:val="20"/>
        </w:rPr>
        <w:t xml:space="preserve"> и </w:t>
      </w:r>
      <w:proofErr w:type="spellStart"/>
      <w:r w:rsidRPr="0097242B">
        <w:rPr>
          <w:rFonts w:ascii="Verdana" w:hAnsi="Verdana"/>
          <w:sz w:val="20"/>
          <w:szCs w:val="20"/>
        </w:rPr>
        <w:t>ковид</w:t>
      </w:r>
      <w:proofErr w:type="spellEnd"/>
      <w:r w:rsidRPr="0097242B">
        <w:rPr>
          <w:rFonts w:ascii="Verdana" w:hAnsi="Verdana"/>
          <w:sz w:val="20"/>
          <w:szCs w:val="20"/>
        </w:rPr>
        <w:t xml:space="preserve"> мерки за осигуряване на ликвидност;</w:t>
      </w:r>
    </w:p>
    <w:p w:rsidR="003A27B8" w:rsidRDefault="00210D54" w:rsidP="003A27B8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703CE9">
        <w:rPr>
          <w:rFonts w:ascii="Verdana" w:hAnsi="Verdana"/>
          <w:sz w:val="20"/>
          <w:szCs w:val="20"/>
        </w:rPr>
        <w:t>Данъчни облекчения</w:t>
      </w:r>
      <w:r w:rsidR="00703CE9">
        <w:rPr>
          <w:rFonts w:ascii="Verdana" w:hAnsi="Verdana"/>
          <w:sz w:val="20"/>
          <w:szCs w:val="20"/>
        </w:rPr>
        <w:t>.</w:t>
      </w:r>
    </w:p>
    <w:p w:rsidR="0007510B" w:rsidRPr="003A27B8" w:rsidRDefault="0007510B" w:rsidP="0007510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1414A" w:rsidRPr="00D507B5" w:rsidRDefault="00A1414A" w:rsidP="00A1414A">
      <w:pPr>
        <w:spacing w:line="360" w:lineRule="auto"/>
        <w:ind w:firstLine="720"/>
        <w:jc w:val="both"/>
        <w:rPr>
          <w:rFonts w:ascii="Verdana" w:hAnsi="Verdana"/>
          <w:b/>
          <w:bCs/>
          <w:sz w:val="20"/>
          <w:szCs w:val="20"/>
        </w:rPr>
      </w:pPr>
      <w:r w:rsidRPr="00A1414A">
        <w:rPr>
          <w:rStyle w:val="Strong"/>
          <w:rFonts w:ascii="Verdana" w:hAnsi="Verdana"/>
          <w:b w:val="0"/>
          <w:sz w:val="20"/>
          <w:szCs w:val="20"/>
        </w:rPr>
        <w:lastRenderedPageBreak/>
        <w:t>Във връзка с неблагоприятната епидемична обстановка, оформила се с пандемията от С</w:t>
      </w:r>
      <w:r w:rsidRPr="00A1414A">
        <w:rPr>
          <w:rStyle w:val="Strong"/>
          <w:rFonts w:ascii="Verdana" w:hAnsi="Verdana"/>
          <w:b w:val="0"/>
          <w:sz w:val="20"/>
          <w:szCs w:val="20"/>
          <w:lang w:val="en-US"/>
        </w:rPr>
        <w:t>OVID-19</w:t>
      </w:r>
      <w:r w:rsidRPr="00D507B5">
        <w:rPr>
          <w:rStyle w:val="Strong"/>
          <w:rFonts w:ascii="Verdana" w:hAnsi="Verdana"/>
          <w:sz w:val="20"/>
          <w:szCs w:val="20"/>
        </w:rPr>
        <w:t xml:space="preserve"> </w:t>
      </w:r>
      <w:r w:rsidRPr="00A1414A">
        <w:rPr>
          <w:rStyle w:val="Strong"/>
          <w:rFonts w:ascii="Verdana" w:hAnsi="Verdana"/>
          <w:b w:val="0"/>
          <w:sz w:val="20"/>
          <w:szCs w:val="20"/>
        </w:rPr>
        <w:t>с</w:t>
      </w:r>
      <w:r w:rsidRPr="00D507B5">
        <w:rPr>
          <w:rFonts w:ascii="Verdana" w:hAnsi="Verdana"/>
          <w:sz w:val="20"/>
          <w:szCs w:val="20"/>
        </w:rPr>
        <w:t xml:space="preserve"> цел подпомагане на държавите членки за преодоляване на последиците от пандемията от COVID-19, Европейската комисия създаде възможност със Съобщение на </w:t>
      </w:r>
      <w:r>
        <w:rPr>
          <w:rFonts w:ascii="Verdana" w:hAnsi="Verdana"/>
          <w:sz w:val="20"/>
          <w:szCs w:val="20"/>
        </w:rPr>
        <w:t>ЕК</w:t>
      </w:r>
      <w:r w:rsidRPr="00D507B5">
        <w:rPr>
          <w:rFonts w:ascii="Verdana" w:hAnsi="Verdana"/>
          <w:sz w:val="20"/>
          <w:szCs w:val="20"/>
        </w:rPr>
        <w:t xml:space="preserve"> - Временна рамка за мерки за държавна помощ в подкрепа на икономиката в условията на сегашния  епидемичен взрив от COVID–19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507B5">
        <w:rPr>
          <w:rFonts w:ascii="Verdana" w:hAnsi="Verdana"/>
          <w:sz w:val="20"/>
          <w:szCs w:val="20"/>
        </w:rPr>
        <w:t>за разработване на временни мерки за държавна помощ  за осигуряване на ликвидност и достъп до финансиране на предприятията, които през този период са изправени пред внезапен недостиг на средства, за да им се даде възможност да се възстановят от настоящото положение.</w:t>
      </w:r>
    </w:p>
    <w:p w:rsidR="00A1414A" w:rsidRDefault="00A1414A" w:rsidP="00A1414A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D507B5">
        <w:rPr>
          <w:rFonts w:ascii="Verdana" w:hAnsi="Verdana"/>
          <w:sz w:val="20"/>
          <w:szCs w:val="20"/>
        </w:rPr>
        <w:t xml:space="preserve">При спазване на разпоредбите на съобщението и предвид обстоятелството, че сектор „Земеделие“ има жизненоважна роля за осигуряване на продоволствената сигурност, като мярка за подкрепа, през </w:t>
      </w:r>
      <w:r w:rsidR="00640CBE">
        <w:rPr>
          <w:rFonts w:ascii="Verdana" w:hAnsi="Verdana"/>
          <w:sz w:val="20"/>
          <w:szCs w:val="20"/>
        </w:rPr>
        <w:t xml:space="preserve">периода </w:t>
      </w:r>
      <w:r w:rsidRPr="00D507B5">
        <w:rPr>
          <w:rFonts w:ascii="Verdana" w:hAnsi="Verdana"/>
          <w:sz w:val="20"/>
          <w:szCs w:val="20"/>
        </w:rPr>
        <w:t>2020</w:t>
      </w:r>
      <w:r w:rsidR="00640CBE">
        <w:rPr>
          <w:rFonts w:ascii="Verdana" w:hAnsi="Verdana"/>
          <w:sz w:val="20"/>
          <w:szCs w:val="20"/>
        </w:rPr>
        <w:t>-2022</w:t>
      </w:r>
      <w:r w:rsidRPr="00D507B5">
        <w:rPr>
          <w:rFonts w:ascii="Verdana" w:hAnsi="Verdana"/>
          <w:sz w:val="20"/>
          <w:szCs w:val="20"/>
        </w:rPr>
        <w:t xml:space="preserve"> г. по линия на временната рамка са </w:t>
      </w:r>
      <w:proofErr w:type="spellStart"/>
      <w:r w:rsidRPr="00D507B5">
        <w:rPr>
          <w:rFonts w:ascii="Verdana" w:hAnsi="Verdana"/>
          <w:sz w:val="20"/>
          <w:szCs w:val="20"/>
        </w:rPr>
        <w:t>н</w:t>
      </w:r>
      <w:r>
        <w:rPr>
          <w:rFonts w:ascii="Verdana" w:hAnsi="Verdana"/>
          <w:sz w:val="20"/>
          <w:szCs w:val="20"/>
        </w:rPr>
        <w:t>отифицирани</w:t>
      </w:r>
      <w:proofErr w:type="spellEnd"/>
      <w:r>
        <w:rPr>
          <w:rFonts w:ascii="Verdana" w:hAnsi="Verdana"/>
          <w:sz w:val="20"/>
          <w:szCs w:val="20"/>
        </w:rPr>
        <w:t xml:space="preserve"> и одобрени от ЕК четири</w:t>
      </w:r>
      <w:r w:rsidRPr="00D507B5">
        <w:rPr>
          <w:rFonts w:ascii="Verdana" w:hAnsi="Verdana"/>
          <w:sz w:val="20"/>
          <w:szCs w:val="20"/>
        </w:rPr>
        <w:t xml:space="preserve"> схеми на държавни помощи за подпомагане в сектор „Животновъдство“, „Плодове и зеленчуци“</w:t>
      </w:r>
      <w:r>
        <w:rPr>
          <w:rFonts w:ascii="Verdana" w:hAnsi="Verdana"/>
          <w:sz w:val="20"/>
          <w:szCs w:val="20"/>
        </w:rPr>
        <w:t xml:space="preserve"> и</w:t>
      </w:r>
      <w:r w:rsidRPr="00812808">
        <w:rPr>
          <w:rFonts w:ascii="Verdana" w:hAnsi="Verdana"/>
          <w:sz w:val="20"/>
          <w:szCs w:val="20"/>
        </w:rPr>
        <w:t xml:space="preserve"> </w:t>
      </w:r>
      <w:r w:rsidRPr="00D507B5">
        <w:rPr>
          <w:rFonts w:ascii="Verdana" w:hAnsi="Verdana"/>
          <w:sz w:val="20"/>
          <w:szCs w:val="20"/>
        </w:rPr>
        <w:t>„Розопроизводство“.</w:t>
      </w:r>
    </w:p>
    <w:p w:rsidR="003A27B8" w:rsidRDefault="005712F4" w:rsidP="0007510B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810677">
        <w:rPr>
          <w:rFonts w:ascii="Verdana" w:hAnsi="Verdana"/>
          <w:sz w:val="20"/>
          <w:szCs w:val="20"/>
        </w:rPr>
        <w:t>През 2022 г. във връзка с увеличените разходи, свързани с производство на първична земеделска продукция в резултат от негативното въздействие на пандемията от COVID-19</w:t>
      </w:r>
      <w:r w:rsidRPr="00810677">
        <w:rPr>
          <w:rFonts w:ascii="Verdana" w:hAnsi="Verdana"/>
          <w:sz w:val="20"/>
          <w:szCs w:val="20"/>
          <w:lang w:val="ru-RU"/>
        </w:rPr>
        <w:t xml:space="preserve">, </w:t>
      </w:r>
      <w:r w:rsidRPr="00810677">
        <w:rPr>
          <w:rFonts w:ascii="Verdana" w:hAnsi="Verdana"/>
          <w:sz w:val="20"/>
          <w:szCs w:val="20"/>
        </w:rPr>
        <w:t xml:space="preserve">е предвидено подпомагане по „Помощ в подкрепа на ликвидността на земеделски стопани за преодоляване </w:t>
      </w:r>
      <w:r w:rsidRPr="00A12E79">
        <w:rPr>
          <w:rFonts w:ascii="Verdana" w:hAnsi="Verdana"/>
          <w:sz w:val="20"/>
          <w:szCs w:val="20"/>
        </w:rPr>
        <w:t xml:space="preserve">на негативното икономическо въздействие на COVID-19“ за стопанствата в сектор „Животновъдство“, „Плодове и зеленчуци“, маслодайна роза и ориз. </w:t>
      </w:r>
    </w:p>
    <w:p w:rsidR="0007510B" w:rsidRPr="0007510B" w:rsidRDefault="0007510B" w:rsidP="0007510B">
      <w:pPr>
        <w:pStyle w:val="ListParagraph"/>
        <w:spacing w:line="360" w:lineRule="auto"/>
        <w:ind w:left="0" w:firstLine="720"/>
        <w:jc w:val="both"/>
        <w:rPr>
          <w:rFonts w:ascii="Verdana" w:hAnsi="Verdana"/>
        </w:rPr>
      </w:pPr>
    </w:p>
    <w:p w:rsidR="00F17C0D" w:rsidRPr="003A27B8" w:rsidRDefault="00023CD8" w:rsidP="00F17C0D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Verdana" w:hAnsi="Verdana"/>
          <w:b/>
          <w:i/>
          <w:sz w:val="24"/>
          <w:szCs w:val="24"/>
          <w:lang w:val="ru-RU"/>
        </w:rPr>
      </w:pPr>
      <w:r>
        <w:rPr>
          <w:rFonts w:ascii="Verdana" w:hAnsi="Verdana"/>
          <w:b/>
          <w:i/>
          <w:sz w:val="24"/>
          <w:szCs w:val="24"/>
          <w:lang w:val="en-US"/>
        </w:rPr>
        <w:tab/>
      </w:r>
      <w:r>
        <w:rPr>
          <w:rFonts w:ascii="Verdana" w:hAnsi="Verdana"/>
          <w:b/>
          <w:i/>
          <w:sz w:val="24"/>
          <w:szCs w:val="24"/>
          <w:lang w:val="en-US"/>
        </w:rPr>
        <w:tab/>
      </w:r>
      <w:r>
        <w:rPr>
          <w:rFonts w:ascii="Verdana" w:hAnsi="Verdana"/>
          <w:b/>
          <w:i/>
          <w:sz w:val="24"/>
          <w:szCs w:val="24"/>
          <w:lang w:val="en-US"/>
        </w:rPr>
        <w:tab/>
      </w:r>
      <w:r>
        <w:rPr>
          <w:rFonts w:ascii="Verdana" w:hAnsi="Verdana"/>
          <w:b/>
          <w:i/>
          <w:sz w:val="24"/>
          <w:szCs w:val="24"/>
          <w:lang w:val="en-US"/>
        </w:rPr>
        <w:tab/>
      </w:r>
      <w:r>
        <w:rPr>
          <w:rFonts w:ascii="Verdana" w:hAnsi="Verdana"/>
          <w:b/>
          <w:i/>
          <w:sz w:val="24"/>
          <w:szCs w:val="24"/>
          <w:lang w:val="en-US"/>
        </w:rPr>
        <w:tab/>
      </w:r>
      <w:r>
        <w:rPr>
          <w:rFonts w:ascii="Verdana" w:hAnsi="Verdana"/>
          <w:b/>
          <w:i/>
          <w:sz w:val="24"/>
          <w:szCs w:val="24"/>
          <w:lang w:val="en-US"/>
        </w:rPr>
        <w:tab/>
      </w:r>
      <w:r w:rsidRPr="003A27B8">
        <w:rPr>
          <w:rFonts w:ascii="Verdana" w:hAnsi="Verdana"/>
          <w:b/>
          <w:i/>
          <w:sz w:val="24"/>
          <w:szCs w:val="24"/>
          <w:lang w:val="ru-RU"/>
        </w:rPr>
        <w:t>КОВИД РУБРИКА</w:t>
      </w:r>
    </w:p>
    <w:p w:rsidR="0051674D" w:rsidRPr="003A27B8" w:rsidRDefault="0051674D" w:rsidP="0051674D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Verdana" w:hAnsi="Verdana"/>
          <w:b/>
          <w:sz w:val="20"/>
          <w:szCs w:val="20"/>
        </w:rPr>
      </w:pPr>
    </w:p>
    <w:p w:rsidR="003A27B8" w:rsidRPr="007F036F" w:rsidRDefault="0051674D" w:rsidP="003A27B8">
      <w:pPr>
        <w:pStyle w:val="ListParagraph"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8"/>
        <w:jc w:val="both"/>
        <w:textAlignment w:val="baseline"/>
        <w:rPr>
          <w:rFonts w:ascii="Verdana" w:hAnsi="Verdana"/>
          <w:b/>
          <w:i/>
          <w:sz w:val="20"/>
          <w:szCs w:val="20"/>
        </w:rPr>
      </w:pPr>
      <w:r w:rsidRPr="007F036F">
        <w:rPr>
          <w:rFonts w:ascii="Verdana" w:hAnsi="Verdana"/>
          <w:b/>
          <w:i/>
          <w:sz w:val="20"/>
          <w:szCs w:val="20"/>
        </w:rPr>
        <w:t xml:space="preserve">Помощ за подкрепа за осигуряване на ликвидност на земеделските стопани, извършващи дейност в първичното селскостопанско производство за преодоляване на последствията от негативното икономическо въздействие от COVID-19 – мярка по Временна рамка с краен срок до 31.12.2020 г. </w:t>
      </w:r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SA.58328 (</w:t>
      </w:r>
      <w:r w:rsidR="003A27B8"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2020/N</w:t>
      </w:r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) „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Aid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to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provide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liquidity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to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farmers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active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in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primary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agricultural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production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to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overcome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the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effects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the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negative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economic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>impact</w:t>
      </w:r>
      <w:proofErr w:type="spellEnd"/>
      <w:r w:rsidRPr="007F036F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of COVID-19“</w:t>
      </w:r>
      <w:r w:rsidRPr="007F036F">
        <w:rPr>
          <w:rFonts w:ascii="Verdana" w:hAnsi="Verdana"/>
          <w:b/>
          <w:i/>
          <w:sz w:val="20"/>
          <w:szCs w:val="20"/>
          <w:lang w:val="en-US"/>
        </w:rPr>
        <w:t xml:space="preserve"> (</w:t>
      </w:r>
      <w:r w:rsidRPr="007F036F">
        <w:rPr>
          <w:rFonts w:ascii="Verdana" w:hAnsi="Verdana"/>
          <w:b/>
          <w:i/>
          <w:sz w:val="20"/>
          <w:szCs w:val="20"/>
        </w:rPr>
        <w:t>приключила</w:t>
      </w:r>
      <w:r w:rsidR="003A27B8" w:rsidRPr="007F036F">
        <w:rPr>
          <w:rFonts w:ascii="Verdana" w:hAnsi="Verdana"/>
          <w:b/>
          <w:i/>
          <w:sz w:val="20"/>
          <w:szCs w:val="20"/>
        </w:rPr>
        <w:t xml:space="preserve"> помощ</w:t>
      </w:r>
      <w:r w:rsidRPr="007F036F">
        <w:rPr>
          <w:rFonts w:ascii="Verdana" w:hAnsi="Verdana"/>
          <w:b/>
          <w:i/>
          <w:sz w:val="20"/>
          <w:szCs w:val="20"/>
          <w:lang w:val="en-US"/>
        </w:rPr>
        <w:t>)</w:t>
      </w:r>
    </w:p>
    <w:p w:rsidR="0051674D" w:rsidRPr="007F036F" w:rsidRDefault="0051674D" w:rsidP="0051674D">
      <w:pPr>
        <w:spacing w:line="360" w:lineRule="auto"/>
        <w:ind w:firstLine="693"/>
        <w:jc w:val="both"/>
        <w:rPr>
          <w:rFonts w:ascii="Verdana" w:hAnsi="Verdana"/>
          <w:sz w:val="20"/>
          <w:szCs w:val="20"/>
        </w:rPr>
      </w:pPr>
      <w:r w:rsidRPr="007F036F">
        <w:rPr>
          <w:rFonts w:ascii="Verdana" w:hAnsi="Verdana"/>
          <w:sz w:val="20"/>
          <w:szCs w:val="20"/>
        </w:rPr>
        <w:t xml:space="preserve">През 2020 г., в съответствие с Временната рамка беше приложена схемата на държавна помощ „Помощ за подкрепа за осигуряване на ликвидност на земеделските стопани, извършващи дейност в първичното селскостопанско производство за преодоляване на последствията от негативното икономическо въздействие от COVID-19“. </w:t>
      </w:r>
    </w:p>
    <w:p w:rsidR="0051674D" w:rsidRDefault="0051674D" w:rsidP="0051674D">
      <w:pPr>
        <w:pStyle w:val="NoSpacing"/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 w:rsidRPr="007F036F">
        <w:rPr>
          <w:rFonts w:ascii="Verdana" w:hAnsi="Verdana"/>
          <w:sz w:val="20"/>
          <w:szCs w:val="20"/>
        </w:rPr>
        <w:t>Средствата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по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помощта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са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насочени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към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тези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земеделски</w:t>
      </w:r>
      <w:proofErr w:type="spellEnd"/>
      <w:r w:rsidRPr="007F036F">
        <w:rPr>
          <w:rFonts w:ascii="Verdana" w:hAnsi="Verdana"/>
          <w:sz w:val="20"/>
          <w:szCs w:val="20"/>
        </w:rPr>
        <w:t xml:space="preserve"> </w:t>
      </w:r>
      <w:proofErr w:type="spellStart"/>
      <w:r w:rsidRPr="007F036F">
        <w:rPr>
          <w:rFonts w:ascii="Verdana" w:hAnsi="Verdana"/>
          <w:sz w:val="20"/>
          <w:szCs w:val="20"/>
        </w:rPr>
        <w:t>стопани</w:t>
      </w:r>
      <w:proofErr w:type="spellEnd"/>
      <w:r w:rsidRPr="007F036F">
        <w:rPr>
          <w:rFonts w:ascii="Verdana" w:hAnsi="Verdana"/>
          <w:sz w:val="20"/>
          <w:szCs w:val="20"/>
        </w:rPr>
        <w:t>,</w:t>
      </w:r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отглеждащи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едри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преживни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животни</w:t>
      </w:r>
      <w:proofErr w:type="spellEnd"/>
      <w:r w:rsidRPr="003A27B8">
        <w:rPr>
          <w:rFonts w:ascii="Verdana" w:hAnsi="Verdana"/>
          <w:sz w:val="20"/>
          <w:szCs w:val="20"/>
          <w:lang w:val="bg-BG"/>
        </w:rPr>
        <w:t>,</w:t>
      </w:r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дребни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преживни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животни</w:t>
      </w:r>
      <w:proofErr w:type="spellEnd"/>
      <w:r w:rsidRPr="003A27B8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Pr="003A27B8">
        <w:rPr>
          <w:rFonts w:ascii="Verdana" w:hAnsi="Verdana"/>
          <w:sz w:val="20"/>
          <w:szCs w:val="20"/>
          <w:lang w:val="bg-BG"/>
        </w:rPr>
        <w:t>картофопроизводители</w:t>
      </w:r>
      <w:proofErr w:type="spellEnd"/>
      <w:r w:rsidRPr="003A27B8">
        <w:rPr>
          <w:rFonts w:ascii="Verdana" w:hAnsi="Verdana"/>
          <w:sz w:val="20"/>
          <w:szCs w:val="20"/>
        </w:rPr>
        <w:t xml:space="preserve">, </w:t>
      </w:r>
      <w:proofErr w:type="spellStart"/>
      <w:r w:rsidRPr="003A27B8">
        <w:rPr>
          <w:rFonts w:ascii="Verdana" w:hAnsi="Verdana"/>
          <w:sz w:val="20"/>
          <w:szCs w:val="20"/>
        </w:rPr>
        <w:t>които</w:t>
      </w:r>
      <w:proofErr w:type="spellEnd"/>
      <w:r w:rsidRPr="003A27B8">
        <w:rPr>
          <w:rFonts w:ascii="Verdana" w:hAnsi="Verdana"/>
          <w:sz w:val="20"/>
          <w:szCs w:val="20"/>
        </w:rPr>
        <w:t xml:space="preserve"> в </w:t>
      </w:r>
      <w:proofErr w:type="spellStart"/>
      <w:r w:rsidRPr="003A27B8">
        <w:rPr>
          <w:rFonts w:ascii="Verdana" w:hAnsi="Verdana"/>
          <w:sz w:val="20"/>
          <w:szCs w:val="20"/>
        </w:rPr>
        <w:t>края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на</w:t>
      </w:r>
      <w:proofErr w:type="spellEnd"/>
      <w:r w:rsidRPr="003A27B8">
        <w:rPr>
          <w:rFonts w:ascii="Verdana" w:hAnsi="Verdana"/>
          <w:sz w:val="20"/>
          <w:szCs w:val="20"/>
        </w:rPr>
        <w:t xml:space="preserve"> 2020 г. </w:t>
      </w:r>
      <w:proofErr w:type="spellStart"/>
      <w:r w:rsidRPr="003A27B8">
        <w:rPr>
          <w:rFonts w:ascii="Verdana" w:hAnsi="Verdana"/>
          <w:sz w:val="20"/>
          <w:szCs w:val="20"/>
        </w:rPr>
        <w:t>следва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да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погасят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разсрочените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през</w:t>
      </w:r>
      <w:proofErr w:type="spellEnd"/>
      <w:r w:rsidRPr="003A27B8">
        <w:rPr>
          <w:rFonts w:ascii="Verdana" w:hAnsi="Verdana"/>
          <w:sz w:val="20"/>
          <w:szCs w:val="20"/>
        </w:rPr>
        <w:t xml:space="preserve"> 2019 г. </w:t>
      </w:r>
      <w:proofErr w:type="spellStart"/>
      <w:r w:rsidRPr="003A27B8">
        <w:rPr>
          <w:rFonts w:ascii="Verdana" w:hAnsi="Verdana"/>
          <w:sz w:val="20"/>
          <w:szCs w:val="20"/>
        </w:rPr>
        <w:t>кредити</w:t>
      </w:r>
      <w:proofErr w:type="spellEnd"/>
      <w:r w:rsidRPr="003A27B8">
        <w:rPr>
          <w:rFonts w:ascii="Verdana" w:hAnsi="Verdana"/>
          <w:sz w:val="20"/>
          <w:szCs w:val="20"/>
        </w:rPr>
        <w:t xml:space="preserve">, </w:t>
      </w:r>
      <w:proofErr w:type="spellStart"/>
      <w:r w:rsidRPr="003A27B8">
        <w:rPr>
          <w:rFonts w:ascii="Verdana" w:hAnsi="Verdana"/>
          <w:sz w:val="20"/>
          <w:szCs w:val="20"/>
        </w:rPr>
        <w:t>получени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през</w:t>
      </w:r>
      <w:proofErr w:type="spellEnd"/>
      <w:r w:rsidRPr="003A27B8">
        <w:rPr>
          <w:rFonts w:ascii="Verdana" w:hAnsi="Verdana"/>
          <w:sz w:val="20"/>
          <w:szCs w:val="20"/>
        </w:rPr>
        <w:t xml:space="preserve"> </w:t>
      </w:r>
      <w:proofErr w:type="spellStart"/>
      <w:r w:rsidRPr="003A27B8">
        <w:rPr>
          <w:rFonts w:ascii="Verdana" w:hAnsi="Verdana"/>
          <w:sz w:val="20"/>
          <w:szCs w:val="20"/>
        </w:rPr>
        <w:t>периода</w:t>
      </w:r>
      <w:proofErr w:type="spellEnd"/>
      <w:r w:rsidRPr="003A27B8">
        <w:rPr>
          <w:rFonts w:ascii="Verdana" w:hAnsi="Verdana"/>
          <w:sz w:val="20"/>
          <w:szCs w:val="20"/>
        </w:rPr>
        <w:t xml:space="preserve"> 2008-2012 г.</w:t>
      </w:r>
    </w:p>
    <w:p w:rsidR="00BB1429" w:rsidRPr="00BB1429" w:rsidRDefault="00BB1429" w:rsidP="00BB1429">
      <w:pPr>
        <w:spacing w:line="360" w:lineRule="auto"/>
        <w:ind w:firstLine="693"/>
        <w:jc w:val="both"/>
        <w:rPr>
          <w:rFonts w:ascii="Verdana" w:hAnsi="Verdana"/>
          <w:sz w:val="20"/>
          <w:szCs w:val="20"/>
          <w:lang w:val="en-US"/>
        </w:rPr>
      </w:pPr>
      <w:r w:rsidRPr="007F036F">
        <w:rPr>
          <w:rFonts w:ascii="Verdana" w:hAnsi="Verdana"/>
          <w:sz w:val="20"/>
          <w:szCs w:val="20"/>
        </w:rPr>
        <w:t>Максималният интензитет по схемата е до 100 000 евро на предприятие с дейност в първичното производство на селскостопански продукти.</w:t>
      </w:r>
    </w:p>
    <w:p w:rsidR="003A27B8" w:rsidRDefault="0051674D" w:rsidP="00744478">
      <w:pPr>
        <w:spacing w:line="360" w:lineRule="auto"/>
        <w:ind w:firstLine="693"/>
        <w:jc w:val="both"/>
        <w:rPr>
          <w:rFonts w:ascii="Verdana" w:hAnsi="Verdana"/>
          <w:sz w:val="20"/>
          <w:szCs w:val="20"/>
        </w:rPr>
      </w:pPr>
      <w:r w:rsidRPr="003A27B8">
        <w:rPr>
          <w:rFonts w:ascii="Verdana" w:hAnsi="Verdana"/>
          <w:sz w:val="20"/>
          <w:szCs w:val="20"/>
        </w:rPr>
        <w:t xml:space="preserve">Целта на мярката е смекчаване на последствията от създадената ситуация, като ефектът от подпомагането е икономическата им устойчивост, стабилизирането на доходите от производствената дейност и жизнеспособност. </w:t>
      </w:r>
    </w:p>
    <w:p w:rsidR="00C82D88" w:rsidRPr="009E0125" w:rsidRDefault="0051674D" w:rsidP="009E0125">
      <w:pPr>
        <w:spacing w:line="360" w:lineRule="auto"/>
        <w:ind w:firstLine="693"/>
        <w:jc w:val="both"/>
        <w:rPr>
          <w:rFonts w:ascii="Verdana" w:hAnsi="Verdana"/>
          <w:sz w:val="20"/>
          <w:szCs w:val="20"/>
        </w:rPr>
      </w:pPr>
      <w:r w:rsidRPr="003A27B8">
        <w:rPr>
          <w:rFonts w:ascii="Verdana" w:hAnsi="Verdana"/>
          <w:sz w:val="20"/>
          <w:szCs w:val="20"/>
        </w:rPr>
        <w:t xml:space="preserve">Общият усвоен ресурс по помощта е в размер на 52 555 823 лв. по 2 785 бр. погасени договора. </w:t>
      </w:r>
    </w:p>
    <w:p w:rsidR="003A27B8" w:rsidRPr="00DF743E" w:rsidRDefault="003A27B8" w:rsidP="00CA5AC1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lastRenderedPageBreak/>
        <w:t xml:space="preserve">                                                         Параметри на схемата</w:t>
      </w: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-17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B52A2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78098B" w:rsidRDefault="003A27B8" w:rsidP="00B52A27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  <w:r w:rsidRPr="0078098B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DF743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Pr="00DF743E">
              <w:rPr>
                <w:rFonts w:ascii="Arial" w:hAnsi="Arial" w:cs="Arial"/>
                <w:color w:val="002060"/>
                <w:sz w:val="18"/>
                <w:szCs w:val="18"/>
              </w:rPr>
              <w:t xml:space="preserve">SA.58328/(2020/N)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78098B" w:rsidRDefault="003A27B8" w:rsidP="00B52A27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CA5AC1" w:rsidRDefault="003A27B8" w:rsidP="00CA5AC1">
      <w:pPr>
        <w:pStyle w:val="ListParagraph"/>
        <w:tabs>
          <w:tab w:val="left" w:pos="142"/>
        </w:tabs>
        <w:spacing w:line="360" w:lineRule="auto"/>
        <w:ind w:left="630" w:hanging="63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 xml:space="preserve">                      Номер на помощта:</w:t>
      </w: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-6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B52A2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  <w:t> </w:t>
            </w:r>
            <w:hyperlink r:id="rId6" w:history="1">
              <w:r w:rsidRPr="00DF743E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eastAsia="en-US"/>
                </w:rPr>
                <w:t>ТУК</w:t>
              </w:r>
              <w:r w:rsidRPr="00DF743E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CA5AC1" w:rsidRDefault="003A27B8" w:rsidP="00CA5AC1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>Информация от ЕК:</w:t>
      </w:r>
    </w:p>
    <w:tbl>
      <w:tblPr>
        <w:tblpPr w:leftFromText="180" w:rightFromText="180" w:vertAnchor="text" w:horzAnchor="margin" w:tblpXSpec="right" w:tblpY="258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A5AC1" w:rsidRPr="00DF743E" w:rsidTr="00CA5AC1">
        <w:trPr>
          <w:trHeight w:val="35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C1" w:rsidRPr="002A2039" w:rsidRDefault="00203FF4" w:rsidP="00CA5AC1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hyperlink r:id="rId7" w:history="1">
              <w:r w:rsidR="00CA5AC1" w:rsidRPr="00CA5AC1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val="en-US" w:eastAsia="en-US"/>
                </w:rPr>
                <w:t> </w:t>
              </w:r>
              <w:r w:rsidR="00CA5AC1" w:rsidRPr="00CA5AC1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eastAsia="en-US"/>
                </w:rPr>
                <w:t>ТУК</w:t>
              </w:r>
              <w:r w:rsidR="00CA5AC1" w:rsidRPr="00CA5AC1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AC1" w:rsidRPr="002A2039" w:rsidRDefault="00CA5AC1" w:rsidP="00CA5AC1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CA5AC1" w:rsidRDefault="00CA5AC1" w:rsidP="00CA5AC1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CA5AC1" w:rsidRPr="00DF743E" w:rsidRDefault="00CA5AC1" w:rsidP="00CA5AC1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>Информация от ДФЗ</w:t>
      </w:r>
      <w:r w:rsidRPr="00C82D88">
        <w:rPr>
          <w:rFonts w:ascii="Arial" w:hAnsi="Arial" w:cs="Arial"/>
          <w:b/>
          <w:i/>
          <w:color w:val="002060"/>
          <w:sz w:val="20"/>
          <w:szCs w:val="20"/>
        </w:rPr>
        <w:t>:</w:t>
      </w:r>
      <w:r w:rsidRPr="00CA5AC1">
        <w:rPr>
          <w:rFonts w:ascii="Arial" w:hAnsi="Arial" w:cs="Arial"/>
          <w:b/>
          <w:i/>
          <w:color w:val="002060"/>
          <w:sz w:val="18"/>
          <w:szCs w:val="18"/>
        </w:rPr>
        <w:t xml:space="preserve"> </w:t>
      </w:r>
    </w:p>
    <w:p w:rsidR="003A27B8" w:rsidRPr="00CA5AC1" w:rsidRDefault="003A27B8" w:rsidP="00CA5AC1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-14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B52A2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  <w:t> 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27</w:t>
            </w:r>
            <w:r w:rsidR="00D61FF3"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.08.2020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- 31</w:t>
            </w:r>
            <w:r w:rsidR="00D61FF3"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.12.2020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9E0125" w:rsidRDefault="003A27B8" w:rsidP="009E0125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>Период на прилагане:</w:t>
      </w:r>
    </w:p>
    <w:tbl>
      <w:tblPr>
        <w:tblpPr w:leftFromText="180" w:rightFromText="180" w:vertAnchor="text" w:horzAnchor="margin" w:tblpXSpec="right" w:tblpY="23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B52A2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9E0125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Подкрепа за осигуряване на ликвидност за земеделските стопани от първичното селскостопанско производство - </w:t>
            </w:r>
            <w:r w:rsidR="00DF743E" w:rsidRPr="00DF743E">
              <w:rPr>
                <w:rFonts w:ascii="Arial" w:hAnsi="Arial" w:cs="Arial"/>
                <w:color w:val="002060"/>
                <w:sz w:val="18"/>
                <w:szCs w:val="18"/>
              </w:rPr>
              <w:t xml:space="preserve">Подпомагат се земеделски стопани, (малки и средни предприятия) и големи предприятия, регистрирани по реда на Наредба № 3 от 29 януари 1999 г. за създаване и поддържане на регистър на земеделските стопани за покриване на част от дължимите суми по главница и лихва по предоставени от ДФ „Земеделие“ кредити на животновъди, отглеждащи едри и дребни преживни животни и </w:t>
            </w:r>
            <w:proofErr w:type="spellStart"/>
            <w:r w:rsidR="00DF743E" w:rsidRPr="00DF743E">
              <w:rPr>
                <w:rFonts w:ascii="Arial" w:hAnsi="Arial" w:cs="Arial"/>
                <w:color w:val="002060"/>
                <w:sz w:val="18"/>
                <w:szCs w:val="18"/>
              </w:rPr>
              <w:t>катрофопроизводители</w:t>
            </w:r>
            <w:proofErr w:type="spellEnd"/>
            <w:r w:rsidR="00DF743E" w:rsidRPr="00DF743E">
              <w:rPr>
                <w:rFonts w:ascii="Arial" w:hAnsi="Arial" w:cs="Arial"/>
                <w:color w:val="002060"/>
                <w:sz w:val="18"/>
                <w:szCs w:val="18"/>
              </w:rPr>
              <w:t xml:space="preserve">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9E0125" w:rsidRDefault="003A27B8" w:rsidP="009E0125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>Основна цел:</w:t>
      </w: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DF743E" w:rsidRPr="00DF743E" w:rsidRDefault="00DF743E" w:rsidP="00DF743E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DF743E" w:rsidRPr="00DF743E" w:rsidRDefault="00DF743E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-26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0E44E1">
        <w:trPr>
          <w:trHeight w:val="4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Преки безвъзмездни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>Форма на помощта:</w:t>
      </w:r>
    </w:p>
    <w:p w:rsidR="003A27B8" w:rsidRPr="009E0125" w:rsidRDefault="003A27B8" w:rsidP="009E0125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19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DF743E">
        <w:trPr>
          <w:trHeight w:val="5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До </w:t>
            </w:r>
            <w:r w:rsidR="00F8209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100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000 евро 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(</w:t>
            </w:r>
            <w:r w:rsidR="00F8209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195 583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лв.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)</w:t>
            </w:r>
            <w:r w:rsidRPr="00DF743E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на предприятие с дейност в първичното производство на селскостопански продукти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>Интензитет:</w:t>
      </w:r>
    </w:p>
    <w:p w:rsidR="003A27B8" w:rsidRDefault="003A27B8" w:rsidP="009E0125">
      <w:pPr>
        <w:tabs>
          <w:tab w:val="left" w:pos="142"/>
        </w:tabs>
        <w:spacing w:line="360" w:lineRule="auto"/>
        <w:rPr>
          <w:rFonts w:ascii="Arial" w:eastAsia="Times New Roman" w:hAnsi="Arial" w:cs="Arial"/>
          <w:b/>
          <w:i/>
          <w:color w:val="002060"/>
          <w:sz w:val="18"/>
          <w:szCs w:val="18"/>
        </w:rPr>
      </w:pPr>
    </w:p>
    <w:p w:rsidR="009E0125" w:rsidRPr="009E0125" w:rsidRDefault="009E0125" w:rsidP="009E0125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5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DF743E" w:rsidRPr="00DF743E" w:rsidTr="00B52A27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7B8" w:rsidRPr="002A2039" w:rsidRDefault="000E44E1" w:rsidP="00B52A27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0E44E1">
              <w:rPr>
                <w:rFonts w:ascii="Arial" w:hAnsi="Arial" w:cs="Arial"/>
                <w:color w:val="002060"/>
                <w:sz w:val="18"/>
                <w:szCs w:val="18"/>
              </w:rPr>
              <w:t>Закон за мерките и действията по време на извънредното положение, обявено с Решение на Народното събрание от 13.03.2020 г. и за преодоляване на последиците;   Чл. 11, ал. 2, т. 1 и чл. 12, ал. 1, т. 2, от Закона за подпомагане на земеделските производители;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 </w:t>
            </w:r>
            <w:r w:rsidRPr="000E44E1">
              <w:rPr>
                <w:rFonts w:ascii="Arial" w:hAnsi="Arial" w:cs="Arial"/>
                <w:color w:val="002060"/>
                <w:sz w:val="18"/>
                <w:szCs w:val="18"/>
              </w:rPr>
              <w:t xml:space="preserve">Точка 3.1. и </w:t>
            </w:r>
            <w:proofErr w:type="spellStart"/>
            <w:r w:rsidRPr="000E44E1">
              <w:rPr>
                <w:rFonts w:ascii="Arial" w:hAnsi="Arial" w:cs="Arial"/>
                <w:color w:val="002060"/>
                <w:sz w:val="18"/>
                <w:szCs w:val="18"/>
              </w:rPr>
              <w:t>съотносимите</w:t>
            </w:r>
            <w:proofErr w:type="spellEnd"/>
            <w:r w:rsidRPr="000E44E1">
              <w:rPr>
                <w:rFonts w:ascii="Arial" w:hAnsi="Arial" w:cs="Arial"/>
                <w:color w:val="002060"/>
                <w:sz w:val="18"/>
                <w:szCs w:val="18"/>
              </w:rPr>
              <w:t xml:space="preserve"> разпоредби от Временната рамка за мерки за държавна помощ в подкрепа на икономиката в условията на сегашния  епидемичен взрив от COVID – 19.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B8" w:rsidRPr="002A2039" w:rsidRDefault="003A27B8" w:rsidP="00B52A27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DF743E">
        <w:rPr>
          <w:rFonts w:ascii="Arial" w:hAnsi="Arial" w:cs="Arial"/>
          <w:b/>
          <w:i/>
          <w:color w:val="002060"/>
          <w:sz w:val="18"/>
          <w:szCs w:val="18"/>
        </w:rPr>
        <w:t>Правно основание:</w:t>
      </w: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3A27B8" w:rsidRPr="00DF743E" w:rsidRDefault="003A27B8" w:rsidP="003A27B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0E44E1" w:rsidRPr="000E44E1" w:rsidRDefault="000E44E1" w:rsidP="000E44E1">
      <w:pPr>
        <w:tabs>
          <w:tab w:val="left" w:pos="142"/>
        </w:tabs>
        <w:spacing w:line="360" w:lineRule="auto"/>
        <w:jc w:val="both"/>
        <w:rPr>
          <w:rFonts w:ascii="Verdana" w:hAnsi="Verdana"/>
          <w:i/>
          <w:color w:val="002060"/>
          <w:sz w:val="16"/>
          <w:szCs w:val="16"/>
        </w:rPr>
      </w:pPr>
    </w:p>
    <w:p w:rsidR="003A27B8" w:rsidRDefault="003A27B8" w:rsidP="003A27B8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3A27B8" w:rsidRPr="009E0125" w:rsidRDefault="003A27B8" w:rsidP="009E0125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Връзката ТУК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>*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става активна при позициониране на мишката и натискане на клавиша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 xml:space="preserve">Ctrl 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от клавиатурата.</w:t>
      </w:r>
    </w:p>
    <w:p w:rsidR="00023CD8" w:rsidRPr="009E0125" w:rsidRDefault="00023CD8" w:rsidP="009E0125">
      <w:pPr>
        <w:pStyle w:val="ListParagraph"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8"/>
        <w:jc w:val="both"/>
        <w:textAlignment w:val="baseline"/>
        <w:rPr>
          <w:rStyle w:val="Strong"/>
          <w:rFonts w:ascii="Verdana" w:hAnsi="Verdana"/>
          <w:bCs w:val="0"/>
          <w:i/>
          <w:sz w:val="20"/>
          <w:szCs w:val="20"/>
        </w:rPr>
      </w:pPr>
      <w:r w:rsidRPr="0007510B">
        <w:rPr>
          <w:rFonts w:ascii="Verdana" w:hAnsi="Verdana"/>
          <w:b/>
          <w:i/>
          <w:sz w:val="20"/>
          <w:szCs w:val="20"/>
        </w:rPr>
        <w:t xml:space="preserve">Помощ в подкрепа на ликвидността на земеделските стопани за </w:t>
      </w:r>
      <w:r w:rsidRPr="000260F0">
        <w:rPr>
          <w:rFonts w:ascii="Verdana" w:hAnsi="Verdana"/>
          <w:b/>
          <w:i/>
          <w:sz w:val="20"/>
          <w:szCs w:val="20"/>
        </w:rPr>
        <w:t>преодоляване на негативното икономическо въздействие на COVID-19</w:t>
      </w:r>
      <w:r w:rsidRPr="000260F0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0260F0">
        <w:rPr>
          <w:rFonts w:ascii="Verdana" w:hAnsi="Verdana"/>
          <w:b/>
          <w:i/>
          <w:color w:val="000000"/>
          <w:sz w:val="20"/>
          <w:szCs w:val="20"/>
          <w:shd w:val="clear" w:color="auto" w:fill="FFFFFF"/>
          <w:lang w:val="en-US"/>
        </w:rPr>
        <w:t>(</w:t>
      </w:r>
      <w:r w:rsidRPr="000260F0">
        <w:rPr>
          <w:rFonts w:ascii="Verdana" w:eastAsiaTheme="minorHAnsi" w:hAnsi="Verdana"/>
          <w:b/>
          <w:i/>
          <w:sz w:val="20"/>
          <w:szCs w:val="20"/>
        </w:rPr>
        <w:t>SA.100255/</w:t>
      </w:r>
      <w:r w:rsidR="002A2039" w:rsidRPr="000260F0">
        <w:rPr>
          <w:rFonts w:ascii="Verdana" w:hAnsi="Verdana"/>
          <w:b/>
          <w:i/>
          <w:sz w:val="20"/>
          <w:szCs w:val="20"/>
        </w:rPr>
        <w:t>2021/N)</w:t>
      </w:r>
      <w:r w:rsidR="00BB1429" w:rsidRPr="00BB1429">
        <w:rPr>
          <w:rFonts w:ascii="Verdana" w:hAnsi="Verdana"/>
          <w:b/>
          <w:i/>
          <w:sz w:val="20"/>
          <w:szCs w:val="20"/>
        </w:rPr>
        <w:t xml:space="preserve"> </w:t>
      </w:r>
      <w:r w:rsidR="00BB1429" w:rsidRPr="007F036F">
        <w:rPr>
          <w:rFonts w:ascii="Verdana" w:hAnsi="Verdana"/>
          <w:b/>
          <w:i/>
          <w:sz w:val="20"/>
          <w:szCs w:val="20"/>
        </w:rPr>
        <w:t>– мярка по Временна рамка</w:t>
      </w:r>
      <w:r w:rsidR="00BB1429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BB1429">
        <w:rPr>
          <w:rFonts w:ascii="Verdana" w:hAnsi="Verdana"/>
          <w:b/>
          <w:i/>
          <w:sz w:val="20"/>
          <w:szCs w:val="20"/>
        </w:rPr>
        <w:t>с краен срок 31.12.2021 г.</w:t>
      </w:r>
      <w:r w:rsidR="002A2039" w:rsidRPr="000260F0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0260F0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>(</w:t>
      </w:r>
      <w:r w:rsidR="002A2039" w:rsidRPr="000260F0">
        <w:rPr>
          <w:rFonts w:ascii="Verdana" w:hAnsi="Verdana"/>
          <w:b/>
          <w:i/>
          <w:sz w:val="20"/>
          <w:szCs w:val="20"/>
        </w:rPr>
        <w:t>COVID-19:</w:t>
      </w:r>
      <w:r w:rsidR="002A2039" w:rsidRPr="000260F0">
        <w:rPr>
          <w:rFonts w:ascii="Verdana" w:hAnsi="Verdana"/>
          <w:i/>
          <w:sz w:val="20"/>
          <w:szCs w:val="20"/>
        </w:rPr>
        <w:t xml:space="preserve"> </w:t>
      </w:r>
      <w:r w:rsidRPr="000260F0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LIQUIDITY SUPPORT TO FARMERS) </w:t>
      </w:r>
      <w:r w:rsidR="007D4121" w:rsidRPr="000260F0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– </w:t>
      </w:r>
      <w:r w:rsidR="0007510B" w:rsidRPr="000260F0">
        <w:rPr>
          <w:rFonts w:ascii="Verdana" w:hAnsi="Verdana"/>
          <w:b/>
          <w:i/>
          <w:sz w:val="20"/>
          <w:szCs w:val="20"/>
          <w:lang w:val="en-US"/>
        </w:rPr>
        <w:t>(</w:t>
      </w:r>
      <w:r w:rsidR="0007510B" w:rsidRPr="000260F0">
        <w:rPr>
          <w:rFonts w:ascii="Verdana" w:hAnsi="Verdana"/>
          <w:b/>
          <w:i/>
          <w:sz w:val="20"/>
          <w:szCs w:val="20"/>
        </w:rPr>
        <w:t>приключила помощ</w:t>
      </w:r>
      <w:r w:rsidR="0007510B" w:rsidRPr="000260F0">
        <w:rPr>
          <w:rFonts w:ascii="Verdana" w:hAnsi="Verdana"/>
          <w:b/>
          <w:i/>
          <w:sz w:val="20"/>
          <w:szCs w:val="20"/>
          <w:lang w:val="en-US"/>
        </w:rPr>
        <w:t>)</w:t>
      </w:r>
    </w:p>
    <w:p w:rsidR="009E0125" w:rsidRDefault="00023CD8" w:rsidP="00E1181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23CD8">
        <w:rPr>
          <w:rFonts w:ascii="Verdana" w:hAnsi="Verdana"/>
          <w:sz w:val="20"/>
          <w:szCs w:val="20"/>
        </w:rPr>
        <w:t xml:space="preserve">Основната цел на подпомагането по линия на помощта е осигуряване на достатъчна ликвидност за земеделските стопани от първичното селскостопанско производство чрез компенсиране на част от повишените разходи за производство, вследствие на последствията и ограниченията от избухването на пандемията от COVID-19. </w:t>
      </w:r>
    </w:p>
    <w:p w:rsidR="00E1181B" w:rsidRDefault="00023CD8" w:rsidP="00E1181B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23CD8">
        <w:rPr>
          <w:rFonts w:ascii="Verdana" w:hAnsi="Verdana"/>
          <w:sz w:val="20"/>
          <w:szCs w:val="20"/>
        </w:rPr>
        <w:t xml:space="preserve">Помощта се предоставя под формата на преки безвъзмездни средства на земеделски стопани – животновъди, отглеждащи едри и дребни преживни животни и пчелни семейства и производители на плодове и зеленчуци. </w:t>
      </w:r>
    </w:p>
    <w:p w:rsidR="00E1181B" w:rsidRPr="00E1181B" w:rsidRDefault="00E1181B" w:rsidP="00E1181B">
      <w:pPr>
        <w:spacing w:line="360" w:lineRule="auto"/>
        <w:ind w:firstLine="720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По линия на помощта </w:t>
      </w:r>
      <w:r w:rsidRPr="00E1181B">
        <w:rPr>
          <w:rFonts w:ascii="Verdana" w:hAnsi="Verdana" w:cs="Arial"/>
          <w:sz w:val="20"/>
          <w:szCs w:val="20"/>
          <w:shd w:val="clear" w:color="auto" w:fill="FFFFFF"/>
        </w:rPr>
        <w:t>се цели да бъдат подпомогнати най-чувствителните сектори за преодоляване на икономическите последици от пандемията и за осигуряване на ликвидност на земеделските стопанства.</w:t>
      </w:r>
    </w:p>
    <w:p w:rsidR="007D4121" w:rsidRPr="009E0125" w:rsidRDefault="00023CD8" w:rsidP="009E0125">
      <w:pPr>
        <w:pStyle w:val="ListParagraph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rFonts w:ascii="Verdana" w:hAnsi="Verdana"/>
          <w:sz w:val="20"/>
          <w:szCs w:val="20"/>
        </w:rPr>
      </w:pPr>
      <w:r w:rsidRPr="00023CD8">
        <w:rPr>
          <w:rFonts w:ascii="Verdana" w:hAnsi="Verdana"/>
          <w:sz w:val="20"/>
          <w:szCs w:val="20"/>
        </w:rPr>
        <w:t xml:space="preserve">Подпомагането се предоставя на </w:t>
      </w:r>
      <w:proofErr w:type="spellStart"/>
      <w:r w:rsidRPr="00023CD8">
        <w:rPr>
          <w:rFonts w:ascii="Verdana" w:hAnsi="Verdana"/>
          <w:sz w:val="20"/>
          <w:szCs w:val="20"/>
        </w:rPr>
        <w:t>микро</w:t>
      </w:r>
      <w:proofErr w:type="spellEnd"/>
      <w:r w:rsidRPr="00023CD8">
        <w:rPr>
          <w:rFonts w:ascii="Verdana" w:hAnsi="Verdana"/>
          <w:sz w:val="20"/>
          <w:szCs w:val="20"/>
        </w:rPr>
        <w:t xml:space="preserve">, малки и средни предприятия, регистрирани земеделски стопани, при спазване на максималния размер на подпомагане на предприятие с дейност в първичното производство на селскостопански продукти, допустим съгласно Временната рамка - до 225 000 евро. </w:t>
      </w:r>
      <w:r w:rsidR="007D4121" w:rsidRPr="009E0125">
        <w:rPr>
          <w:rFonts w:ascii="Verdana" w:hAnsi="Verdana"/>
          <w:sz w:val="20"/>
          <w:szCs w:val="20"/>
        </w:rPr>
        <w:t>Срок на приложение – до 31.12.2021 г.</w:t>
      </w:r>
    </w:p>
    <w:p w:rsidR="000260F0" w:rsidRPr="00DE7E39" w:rsidRDefault="00023CD8" w:rsidP="009E0125">
      <w:pPr>
        <w:tabs>
          <w:tab w:val="left" w:pos="0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23CD8">
        <w:rPr>
          <w:rFonts w:ascii="Verdana" w:hAnsi="Verdana"/>
          <w:sz w:val="20"/>
          <w:szCs w:val="20"/>
        </w:rPr>
        <w:t>Усвоен финансов ресурс за 2021 г. - 71 785 960 лв.</w:t>
      </w:r>
      <w:r w:rsidR="00E1181B">
        <w:rPr>
          <w:rFonts w:ascii="Verdana" w:hAnsi="Verdana"/>
          <w:sz w:val="20"/>
          <w:szCs w:val="20"/>
        </w:rPr>
        <w:t xml:space="preserve"> от 27 485 бр. </w:t>
      </w:r>
      <w:proofErr w:type="spellStart"/>
      <w:r w:rsidR="00E1181B">
        <w:rPr>
          <w:rFonts w:ascii="Verdana" w:hAnsi="Verdana"/>
          <w:sz w:val="20"/>
          <w:szCs w:val="20"/>
        </w:rPr>
        <w:t>бенефициери</w:t>
      </w:r>
      <w:proofErr w:type="spellEnd"/>
      <w:r w:rsidR="00E1181B">
        <w:rPr>
          <w:rFonts w:ascii="Verdana" w:hAnsi="Verdana"/>
          <w:sz w:val="20"/>
          <w:szCs w:val="20"/>
        </w:rPr>
        <w:t>.</w:t>
      </w:r>
    </w:p>
    <w:p w:rsidR="00C82D88" w:rsidRPr="00C82D88" w:rsidRDefault="00DE7E39" w:rsidP="00C82D88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>
        <w:rPr>
          <w:rFonts w:ascii="Verdana" w:hAnsi="Verdana"/>
          <w:b/>
          <w:i/>
          <w:sz w:val="20"/>
          <w:szCs w:val="20"/>
        </w:rPr>
        <w:lastRenderedPageBreak/>
        <w:tab/>
      </w: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>
        <w:rPr>
          <w:rFonts w:ascii="Verdana" w:hAnsi="Verdana"/>
          <w:b/>
          <w:i/>
          <w:sz w:val="20"/>
          <w:szCs w:val="20"/>
        </w:rPr>
        <w:tab/>
      </w:r>
      <w:r w:rsidRPr="00AB79B0">
        <w:rPr>
          <w:rFonts w:ascii="Arial" w:hAnsi="Arial" w:cs="Arial"/>
          <w:b/>
          <w:i/>
          <w:color w:val="002060"/>
          <w:sz w:val="18"/>
          <w:szCs w:val="18"/>
        </w:rPr>
        <w:t>Параметри на схемата</w:t>
      </w:r>
    </w:p>
    <w:p w:rsidR="00DE7E39" w:rsidRPr="002A2039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17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2A2039" w:rsidRPr="00C82D88" w:rsidTr="002A203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98B" w:rsidRPr="0078098B" w:rsidRDefault="0078098B" w:rsidP="00AB79B0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  <w:r w:rsidRPr="0078098B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="002A2039" w:rsidRPr="00C82D8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2A2039" w:rsidRPr="00C82D88">
              <w:rPr>
                <w:rFonts w:ascii="Arial" w:hAnsi="Arial" w:cs="Arial"/>
                <w:color w:val="002060"/>
                <w:sz w:val="18"/>
                <w:szCs w:val="18"/>
              </w:rPr>
              <w:t xml:space="preserve">SA.100255/(2021/N)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98B" w:rsidRPr="0078098B" w:rsidRDefault="0078098B" w:rsidP="002A2039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DE7E39" w:rsidRPr="00C82D88" w:rsidRDefault="002A2039" w:rsidP="00C82D88">
      <w:pPr>
        <w:pStyle w:val="ListParagraph"/>
        <w:tabs>
          <w:tab w:val="left" w:pos="142"/>
        </w:tabs>
        <w:spacing w:line="360" w:lineRule="auto"/>
        <w:ind w:left="630" w:hanging="630"/>
        <w:rPr>
          <w:rFonts w:ascii="Arial" w:hAnsi="Arial" w:cs="Arial"/>
          <w:b/>
          <w:i/>
          <w:color w:val="002060"/>
          <w:sz w:val="18"/>
          <w:szCs w:val="18"/>
        </w:rPr>
      </w:pPr>
      <w:r w:rsidRPr="00C82D88">
        <w:rPr>
          <w:rFonts w:ascii="Arial" w:hAnsi="Arial" w:cs="Arial"/>
          <w:b/>
          <w:i/>
          <w:color w:val="002060"/>
          <w:sz w:val="18"/>
          <w:szCs w:val="18"/>
        </w:rPr>
        <w:t xml:space="preserve">                 </w:t>
      </w:r>
      <w:r w:rsidR="00AB79B0" w:rsidRPr="00C82D88">
        <w:rPr>
          <w:rFonts w:ascii="Arial" w:hAnsi="Arial" w:cs="Arial"/>
          <w:b/>
          <w:i/>
          <w:color w:val="002060"/>
          <w:sz w:val="18"/>
          <w:szCs w:val="18"/>
        </w:rPr>
        <w:t xml:space="preserve">     </w:t>
      </w:r>
      <w:r w:rsidR="00DE7E39" w:rsidRPr="00C82D88">
        <w:rPr>
          <w:rFonts w:ascii="Arial" w:hAnsi="Arial" w:cs="Arial"/>
          <w:b/>
          <w:i/>
          <w:color w:val="002060"/>
          <w:sz w:val="18"/>
          <w:szCs w:val="18"/>
        </w:rPr>
        <w:t>Номер на помощта:</w:t>
      </w:r>
    </w:p>
    <w:p w:rsidR="00DE7E39" w:rsidRPr="00C82D88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6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2A2039" w:rsidRPr="00C82D88" w:rsidTr="002A203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2A2039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  <w:t> </w:t>
            </w:r>
            <w:hyperlink r:id="rId8" w:history="1">
              <w:r w:rsidR="00EB3961"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eastAsia="en-US"/>
                </w:rPr>
                <w:t>ТУК</w:t>
              </w:r>
              <w:r w:rsidR="00EB3961"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2A2039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CA5AC1" w:rsidRPr="009E0125" w:rsidRDefault="00DE7E39" w:rsidP="009E0125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Информация от ЕК:</w:t>
      </w:r>
    </w:p>
    <w:tbl>
      <w:tblPr>
        <w:tblpPr w:leftFromText="180" w:rightFromText="180" w:vertAnchor="text" w:horzAnchor="page" w:tblpX="4816" w:tblpY="260"/>
        <w:tblW w:w="5238" w:type="dxa"/>
        <w:tblLook w:val="04A0" w:firstRow="1" w:lastRow="0" w:firstColumn="1" w:lastColumn="0" w:noHBand="0" w:noVBand="1"/>
      </w:tblPr>
      <w:tblGrid>
        <w:gridCol w:w="5238"/>
      </w:tblGrid>
      <w:tr w:rsidR="00CA5AC1" w:rsidRPr="002A2039" w:rsidTr="009E0125">
        <w:trPr>
          <w:trHeight w:val="35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C1" w:rsidRPr="002A2039" w:rsidRDefault="00CA5AC1" w:rsidP="009E0125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  <w:t> </w:t>
            </w:r>
            <w:hyperlink r:id="rId9" w:history="1">
              <w:r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eastAsia="en-US"/>
                </w:rPr>
                <w:t>ТУК</w:t>
              </w:r>
              <w:r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</w:tr>
    </w:tbl>
    <w:p w:rsidR="00CA5AC1" w:rsidRDefault="00CA5AC1" w:rsidP="00CA5AC1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CA5AC1" w:rsidRPr="009E0125" w:rsidRDefault="00B4530B" w:rsidP="009E0125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>Информация от ДФЗ</w:t>
      </w:r>
      <w:r w:rsidR="00CA5AC1" w:rsidRPr="00C82D88">
        <w:rPr>
          <w:rFonts w:ascii="Arial" w:hAnsi="Arial" w:cs="Arial"/>
          <w:b/>
          <w:i/>
          <w:color w:val="002060"/>
          <w:sz w:val="20"/>
          <w:szCs w:val="20"/>
        </w:rPr>
        <w:t>:</w:t>
      </w:r>
    </w:p>
    <w:p w:rsidR="00DE7E39" w:rsidRPr="00C82D88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14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EB3961" w:rsidRPr="00C82D88" w:rsidTr="002A203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AB79B0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en-US"/>
              </w:rPr>
              <w:t> </w:t>
            </w:r>
            <w:r w:rsidR="00EB3961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27</w:t>
            </w:r>
            <w:r w:rsidR="00EB3961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.10.2021 - 31.12.2021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2A2039">
            <w:pPr>
              <w:rPr>
                <w:rFonts w:ascii="Arial" w:eastAsia="Times New Roman" w:hAnsi="Arial" w:cs="Arial"/>
                <w:b/>
                <w:color w:val="002060"/>
                <w:lang w:val="en-US" w:eastAsia="en-US"/>
              </w:rPr>
            </w:pPr>
          </w:p>
        </w:tc>
      </w:tr>
    </w:tbl>
    <w:p w:rsidR="00DE7E39" w:rsidRPr="00E1181B" w:rsidRDefault="00DE7E39" w:rsidP="00E1181B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Период на прилагане:</w:t>
      </w:r>
    </w:p>
    <w:tbl>
      <w:tblPr>
        <w:tblpPr w:leftFromText="180" w:rightFromText="180" w:vertAnchor="text" w:horzAnchor="margin" w:tblpXSpec="right" w:tblpY="23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2A2039" w:rsidRPr="00C82D88" w:rsidTr="002A203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39" w:rsidRPr="002A2039" w:rsidRDefault="00063702" w:rsidP="00063702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Подкрепа за осигуряване на достатъчна ликвидност за земеделските стопани от първичното селскостопанско производство - животновъди, отглеждащи едри и дребни преживни животни и пчелни семейства и производители на плодове и зеленчуци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2A2039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DE7E39" w:rsidRPr="007F036F" w:rsidRDefault="00DE7E39" w:rsidP="007F036F">
      <w:pPr>
        <w:tabs>
          <w:tab w:val="left" w:pos="142"/>
        </w:tabs>
        <w:spacing w:line="360" w:lineRule="auto"/>
        <w:rPr>
          <w:rFonts w:ascii="Verdana" w:hAnsi="Verdana"/>
          <w:b/>
          <w:i/>
          <w:color w:val="002060"/>
          <w:sz w:val="20"/>
          <w:szCs w:val="20"/>
        </w:rPr>
      </w:pPr>
    </w:p>
    <w:p w:rsidR="002A2039" w:rsidRPr="00C82D88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Основна цел:</w:t>
      </w:r>
    </w:p>
    <w:p w:rsidR="00DE7E39" w:rsidRPr="00C82D88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063702" w:rsidRPr="000260F0" w:rsidRDefault="00063702" w:rsidP="000260F0">
      <w:pPr>
        <w:tabs>
          <w:tab w:val="left" w:pos="142"/>
        </w:tabs>
        <w:spacing w:line="360" w:lineRule="auto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26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063702" w:rsidRPr="00C82D88" w:rsidTr="00063702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702" w:rsidRPr="002A2039" w:rsidRDefault="00063702" w:rsidP="00AB79B0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en-US"/>
              </w:rPr>
              <w:t> 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Преки безвъзмездни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702" w:rsidRPr="002A2039" w:rsidRDefault="00063702" w:rsidP="00063702">
            <w:pPr>
              <w:rPr>
                <w:rFonts w:ascii="Arial" w:eastAsia="Times New Roman" w:hAnsi="Arial" w:cs="Arial"/>
                <w:color w:val="002060"/>
                <w:lang w:val="en-US" w:eastAsia="en-US"/>
              </w:rPr>
            </w:pPr>
          </w:p>
        </w:tc>
      </w:tr>
    </w:tbl>
    <w:p w:rsidR="00DE7E39" w:rsidRPr="00C82D88" w:rsidRDefault="00DE7E39" w:rsidP="000E44E1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Форма на помощта:</w:t>
      </w:r>
    </w:p>
    <w:p w:rsidR="00DE7E39" w:rsidRPr="00C82D88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19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2A2039" w:rsidRPr="00C82D88" w:rsidTr="002A203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847AE4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="00063702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До </w:t>
            </w:r>
            <w:r w:rsidR="00847AE4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225 000 евро </w:t>
            </w:r>
            <w:r w:rsidR="00847AE4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(</w:t>
            </w:r>
            <w:r w:rsidR="00847AE4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440 059 лв.</w:t>
            </w:r>
            <w:r w:rsidR="00847AE4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)</w:t>
            </w:r>
            <w:r w:rsidR="00847AE4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</w:t>
            </w:r>
            <w:r w:rsidR="00063702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на предприятие</w:t>
            </w:r>
            <w:r w:rsidR="00847AE4"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с дейност в първичното производство на селскостопански продукти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2A2039">
            <w:pPr>
              <w:rPr>
                <w:rFonts w:ascii="Arial" w:eastAsia="Times New Roman" w:hAnsi="Arial" w:cs="Arial"/>
                <w:color w:val="002060"/>
                <w:lang w:val="en-US" w:eastAsia="en-US"/>
              </w:rPr>
            </w:pPr>
          </w:p>
        </w:tc>
      </w:tr>
    </w:tbl>
    <w:p w:rsidR="002A2039" w:rsidRPr="00C82D88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Интензитет:</w:t>
      </w:r>
    </w:p>
    <w:p w:rsidR="00C82D88" w:rsidRPr="00C82D88" w:rsidRDefault="00C82D88" w:rsidP="000E44E1">
      <w:pPr>
        <w:tabs>
          <w:tab w:val="left" w:pos="142"/>
        </w:tabs>
        <w:spacing w:line="360" w:lineRule="auto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5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2A2039" w:rsidRPr="002A2039" w:rsidTr="002A2039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039" w:rsidRPr="002A2039" w:rsidRDefault="0050407F" w:rsidP="0050407F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C82D88">
              <w:rPr>
                <w:rFonts w:ascii="Arial" w:hAnsi="Arial" w:cs="Arial"/>
                <w:color w:val="002060"/>
                <w:sz w:val="18"/>
                <w:szCs w:val="18"/>
              </w:rPr>
              <w:t xml:space="preserve">Закон за мерките и действията по време на извънредното положение, обявено с Решение на Народното събрание от 13.03.2020 г. и за преодоляване на последиците;Чл. 11, ал. 2, т. 1 и чл. 12, ал. 1, т. 2 от Закона за подпомагане на земеделските производители; Точка 3.1. и </w:t>
            </w:r>
            <w:proofErr w:type="spellStart"/>
            <w:r w:rsidRPr="00C82D88">
              <w:rPr>
                <w:rFonts w:ascii="Arial" w:hAnsi="Arial" w:cs="Arial"/>
                <w:color w:val="002060"/>
                <w:sz w:val="18"/>
                <w:szCs w:val="18"/>
              </w:rPr>
              <w:t>съотносимите</w:t>
            </w:r>
            <w:proofErr w:type="spellEnd"/>
            <w:r w:rsidRPr="00C82D88">
              <w:rPr>
                <w:rFonts w:ascii="Arial" w:hAnsi="Arial" w:cs="Arial"/>
                <w:color w:val="002060"/>
                <w:sz w:val="18"/>
                <w:szCs w:val="18"/>
              </w:rPr>
              <w:t xml:space="preserve"> разпоредби от Временната рамка за мерки за държавна помощ в подкрепа на икономиката в условията на сегашния епидемичен взрив от COVID – 19 (Временна рамка).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039" w:rsidRPr="002A2039" w:rsidRDefault="002A2039" w:rsidP="002A2039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2A2039" w:rsidRPr="00AB79B0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AB79B0">
        <w:rPr>
          <w:rFonts w:ascii="Arial" w:hAnsi="Arial" w:cs="Arial"/>
          <w:b/>
          <w:i/>
          <w:color w:val="002060"/>
          <w:sz w:val="20"/>
          <w:szCs w:val="20"/>
        </w:rPr>
        <w:t>Правно основание:</w:t>
      </w:r>
    </w:p>
    <w:p w:rsidR="00DE7E39" w:rsidRPr="002A2039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DE7E39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sz w:val="20"/>
          <w:szCs w:val="20"/>
        </w:rPr>
      </w:pPr>
    </w:p>
    <w:p w:rsidR="00DE7E39" w:rsidRDefault="00DE7E39" w:rsidP="00DE7E39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sz w:val="20"/>
          <w:szCs w:val="20"/>
        </w:rPr>
      </w:pPr>
    </w:p>
    <w:p w:rsidR="0050407F" w:rsidRDefault="0050407F" w:rsidP="00DE7E39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50407F" w:rsidRPr="000E44E1" w:rsidRDefault="0050407F" w:rsidP="000E44E1">
      <w:pPr>
        <w:tabs>
          <w:tab w:val="left" w:pos="142"/>
        </w:tabs>
        <w:spacing w:line="360" w:lineRule="auto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2A2039" w:rsidRPr="007F036F" w:rsidRDefault="00DE7E39" w:rsidP="009E0125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Връзката ТУК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>*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става активна при позициониране на мишката и натискане на клавиша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 xml:space="preserve">Ctrl 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от клавиатурата.</w:t>
      </w:r>
    </w:p>
    <w:p w:rsidR="00C144BB" w:rsidRPr="007F036F" w:rsidRDefault="00C144BB" w:rsidP="007F036F">
      <w:pPr>
        <w:pStyle w:val="ListParagraph"/>
        <w:numPr>
          <w:ilvl w:val="0"/>
          <w:numId w:val="9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8"/>
        <w:jc w:val="both"/>
        <w:textAlignment w:val="baseline"/>
        <w:rPr>
          <w:rFonts w:ascii="Verdana" w:hAnsi="Verdana"/>
          <w:b/>
          <w:i/>
          <w:sz w:val="20"/>
          <w:szCs w:val="20"/>
        </w:rPr>
      </w:pPr>
      <w:r w:rsidRPr="00F512CF">
        <w:rPr>
          <w:rFonts w:ascii="Verdana" w:hAnsi="Verdana"/>
          <w:b/>
          <w:sz w:val="20"/>
          <w:szCs w:val="20"/>
        </w:rPr>
        <w:t>Помощ в подкрепа осигуряването на ликвидност на земеделските стопани, производители на маслодайна роза за преодоляване на последствията от негативното икономическо въздействие от COVID-19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SA.</w:t>
      </w:r>
      <w:r>
        <w:rPr>
          <w:rFonts w:ascii="Verdana" w:hAnsi="Verdana"/>
          <w:b/>
          <w:sz w:val="20"/>
          <w:szCs w:val="20"/>
        </w:rPr>
        <w:t>63638</w:t>
      </w:r>
      <w:r w:rsidRPr="00C144B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(2021/N)</w:t>
      </w:r>
      <w:r w:rsidR="00673DA4"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-</w:t>
      </w:r>
      <w:r w:rsidR="00673DA4" w:rsidRPr="00673DA4">
        <w:rPr>
          <w:rFonts w:ascii="Verdana" w:hAnsi="Verdana"/>
          <w:b/>
          <w:i/>
          <w:sz w:val="20"/>
          <w:szCs w:val="20"/>
        </w:rPr>
        <w:t xml:space="preserve"> </w:t>
      </w:r>
      <w:r w:rsidR="00673DA4" w:rsidRPr="007F036F">
        <w:rPr>
          <w:rFonts w:ascii="Verdana" w:hAnsi="Verdana"/>
          <w:b/>
          <w:i/>
          <w:sz w:val="20"/>
          <w:szCs w:val="20"/>
        </w:rPr>
        <w:t>мярка по Временна рамка</w:t>
      </w:r>
      <w:r w:rsidR="00673DA4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673DA4">
        <w:rPr>
          <w:rFonts w:ascii="Verdana" w:hAnsi="Verdana"/>
          <w:b/>
          <w:i/>
          <w:sz w:val="20"/>
          <w:szCs w:val="20"/>
        </w:rPr>
        <w:t>с краен срок 31.12.2021 г.</w:t>
      </w:r>
      <w:r w:rsidR="00673DA4" w:rsidRPr="000260F0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COVID 19: </w:t>
      </w:r>
      <w:proofErr w:type="spellStart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Liquidity</w:t>
      </w:r>
      <w:proofErr w:type="spellEnd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aid</w:t>
      </w:r>
      <w:proofErr w:type="spellEnd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to </w:t>
      </w:r>
      <w:proofErr w:type="spellStart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farmers</w:t>
      </w:r>
      <w:proofErr w:type="spellEnd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producing</w:t>
      </w:r>
      <w:proofErr w:type="spellEnd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oilseed</w:t>
      </w:r>
      <w:proofErr w:type="spellEnd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rose</w:t>
      </w:r>
      <w:proofErr w:type="spellEnd"/>
      <w:r w:rsidR="00224806"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721F6" w:rsidRPr="0007510B">
        <w:rPr>
          <w:rStyle w:val="Strong"/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– </w:t>
      </w:r>
      <w:r w:rsidR="00D721F6" w:rsidRPr="003A27B8">
        <w:rPr>
          <w:rFonts w:ascii="Verdana" w:hAnsi="Verdana"/>
          <w:b/>
          <w:i/>
          <w:sz w:val="20"/>
          <w:szCs w:val="20"/>
          <w:lang w:val="en-US"/>
        </w:rPr>
        <w:t>(</w:t>
      </w:r>
      <w:r w:rsidR="00D721F6" w:rsidRPr="003A27B8">
        <w:rPr>
          <w:rFonts w:ascii="Verdana" w:hAnsi="Verdana"/>
          <w:b/>
          <w:i/>
          <w:sz w:val="20"/>
          <w:szCs w:val="20"/>
        </w:rPr>
        <w:t>приключила помощ</w:t>
      </w:r>
      <w:r w:rsidR="00D721F6" w:rsidRPr="003A27B8">
        <w:rPr>
          <w:rFonts w:ascii="Verdana" w:hAnsi="Verdana"/>
          <w:b/>
          <w:i/>
          <w:sz w:val="20"/>
          <w:szCs w:val="20"/>
          <w:lang w:val="en-US"/>
        </w:rPr>
        <w:t>)</w:t>
      </w:r>
    </w:p>
    <w:p w:rsidR="00C144BB" w:rsidRPr="00001C5E" w:rsidRDefault="00C144BB" w:rsidP="007F036F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Чрез помощта се предоставя</w:t>
      </w:r>
      <w:r w:rsidRPr="00001C5E">
        <w:rPr>
          <w:rFonts w:ascii="Verdana" w:hAnsi="Verdana"/>
          <w:sz w:val="20"/>
          <w:szCs w:val="20"/>
        </w:rPr>
        <w:t xml:space="preserve"> възможност на земеделските стопани да устоят на последствията от създадената ситуация в рез</w:t>
      </w:r>
      <w:r>
        <w:rPr>
          <w:rFonts w:ascii="Verdana" w:hAnsi="Verdana"/>
          <w:sz w:val="20"/>
          <w:szCs w:val="20"/>
        </w:rPr>
        <w:t xml:space="preserve">ултат на пандемията от COVID-19. Мярката е </w:t>
      </w:r>
      <w:r w:rsidRPr="00001C5E">
        <w:rPr>
          <w:rFonts w:ascii="Verdana" w:hAnsi="Verdana"/>
          <w:sz w:val="20"/>
          <w:szCs w:val="20"/>
        </w:rPr>
        <w:t xml:space="preserve"> </w:t>
      </w:r>
      <w:r w:rsidR="00D721F6">
        <w:rPr>
          <w:rFonts w:ascii="Verdana" w:hAnsi="Verdana"/>
          <w:sz w:val="20"/>
          <w:szCs w:val="20"/>
        </w:rPr>
        <w:t>за насърчаване</w:t>
      </w:r>
      <w:r w:rsidRPr="00001C5E">
        <w:rPr>
          <w:rFonts w:ascii="Verdana" w:hAnsi="Verdana"/>
          <w:sz w:val="20"/>
          <w:szCs w:val="20"/>
        </w:rPr>
        <w:t xml:space="preserve"> преодоляване</w:t>
      </w:r>
      <w:r>
        <w:rPr>
          <w:rFonts w:ascii="Verdana" w:hAnsi="Verdana"/>
          <w:sz w:val="20"/>
          <w:szCs w:val="20"/>
        </w:rPr>
        <w:t>то</w:t>
      </w:r>
      <w:r w:rsidRPr="00001C5E">
        <w:rPr>
          <w:rFonts w:ascii="Verdana" w:hAnsi="Verdana"/>
          <w:sz w:val="20"/>
          <w:szCs w:val="20"/>
        </w:rPr>
        <w:t xml:space="preserve"> и възстановяване</w:t>
      </w:r>
      <w:r>
        <w:rPr>
          <w:rFonts w:ascii="Verdana" w:hAnsi="Verdana"/>
          <w:sz w:val="20"/>
          <w:szCs w:val="20"/>
        </w:rPr>
        <w:t>то</w:t>
      </w:r>
      <w:r w:rsidRPr="00001C5E">
        <w:rPr>
          <w:rFonts w:ascii="Verdana" w:hAnsi="Verdana"/>
          <w:sz w:val="20"/>
          <w:szCs w:val="20"/>
        </w:rPr>
        <w:t xml:space="preserve"> от възникналото икономическо затруднение и съдейства за постигане на устойчивост, жизнеспособност </w:t>
      </w:r>
      <w:r>
        <w:rPr>
          <w:rFonts w:ascii="Verdana" w:hAnsi="Verdana"/>
          <w:sz w:val="20"/>
          <w:szCs w:val="20"/>
        </w:rPr>
        <w:t xml:space="preserve">и </w:t>
      </w:r>
      <w:r w:rsidRPr="00001C5E">
        <w:rPr>
          <w:rFonts w:ascii="Verdana" w:hAnsi="Verdana"/>
          <w:sz w:val="20"/>
          <w:szCs w:val="20"/>
        </w:rPr>
        <w:t>стабилизиране на доходите от производствената дейност</w:t>
      </w:r>
      <w:r>
        <w:rPr>
          <w:rFonts w:ascii="Verdana" w:hAnsi="Verdana"/>
          <w:sz w:val="20"/>
          <w:szCs w:val="20"/>
        </w:rPr>
        <w:t>.</w:t>
      </w:r>
      <w:r w:rsidRPr="00001C5E">
        <w:rPr>
          <w:rFonts w:ascii="Verdana" w:hAnsi="Verdana"/>
          <w:sz w:val="20"/>
          <w:szCs w:val="20"/>
        </w:rPr>
        <w:t xml:space="preserve"> </w:t>
      </w:r>
      <w:r w:rsidRPr="00374021">
        <w:rPr>
          <w:rFonts w:ascii="Verdana" w:hAnsi="Verdana"/>
          <w:sz w:val="20"/>
          <w:szCs w:val="20"/>
        </w:rPr>
        <w:t xml:space="preserve">Помощта се предоставя под формата на преки безвъзмездни средства (компенсация) за покриване на част от </w:t>
      </w:r>
      <w:r w:rsidRPr="00001C5E">
        <w:rPr>
          <w:rFonts w:ascii="Verdana" w:hAnsi="Verdana"/>
          <w:sz w:val="20"/>
          <w:szCs w:val="20"/>
        </w:rPr>
        <w:t xml:space="preserve">направените разходи от земеделски стопани за производство на цвят от маслодайна роза, който се използва за преработка, за компенсиране на щети, причинени от срива в търсенето на розов цвят, вследствие на ограничителните мерки, предприети от Р България и други страни за борба с пандемията от COVID-19. Подпомагат се земеделски стопани, </w:t>
      </w:r>
      <w:proofErr w:type="spellStart"/>
      <w:r w:rsidRPr="00001C5E">
        <w:rPr>
          <w:rFonts w:ascii="Verdana" w:hAnsi="Verdana"/>
          <w:sz w:val="20"/>
          <w:szCs w:val="20"/>
        </w:rPr>
        <w:t>микро</w:t>
      </w:r>
      <w:proofErr w:type="spellEnd"/>
      <w:r w:rsidRPr="00001C5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малки и средни предприятия</w:t>
      </w:r>
      <w:r w:rsidRPr="00001C5E">
        <w:rPr>
          <w:rFonts w:ascii="Verdana" w:hAnsi="Verdana"/>
          <w:sz w:val="20"/>
          <w:szCs w:val="20"/>
        </w:rPr>
        <w:t>, регистрирани по реда на Наредба № 3 от 1999 г. за покриване на част от направените разходи за производство на маслодайна р</w:t>
      </w:r>
      <w:r>
        <w:rPr>
          <w:rFonts w:ascii="Verdana" w:hAnsi="Verdana"/>
          <w:sz w:val="20"/>
          <w:szCs w:val="20"/>
        </w:rPr>
        <w:t>оза за стопанската 2020/2021 г.</w:t>
      </w:r>
      <w:r w:rsidRPr="00001C5E">
        <w:rPr>
          <w:rFonts w:ascii="Verdana" w:hAnsi="Verdana"/>
          <w:sz w:val="20"/>
          <w:szCs w:val="20"/>
        </w:rPr>
        <w:t xml:space="preserve"> и които са в невъзможност да реализират продукцията си.</w:t>
      </w:r>
    </w:p>
    <w:p w:rsidR="00C144BB" w:rsidRPr="007F036F" w:rsidRDefault="00C144BB" w:rsidP="007F036F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001C5E">
        <w:rPr>
          <w:rFonts w:ascii="Verdana" w:hAnsi="Verdana"/>
          <w:sz w:val="20"/>
          <w:szCs w:val="20"/>
        </w:rPr>
        <w:t>Помощта е насочена към розопроизводителите, които нямат сключени договори за покупко-продажба на цвят от маслодайна роза с преработвателни предприятия през 2021 г</w:t>
      </w:r>
      <w:r>
        <w:rPr>
          <w:rFonts w:ascii="Verdana" w:hAnsi="Verdana"/>
          <w:sz w:val="20"/>
          <w:szCs w:val="20"/>
        </w:rPr>
        <w:t>.</w:t>
      </w:r>
      <w:r w:rsidRPr="00001C5E">
        <w:rPr>
          <w:rFonts w:ascii="Verdana" w:hAnsi="Verdana"/>
          <w:sz w:val="20"/>
          <w:szCs w:val="20"/>
        </w:rPr>
        <w:t xml:space="preserve"> Тези земеделски стопани няма да проведат беритбена кампания, тъй като нямат пазар за </w:t>
      </w:r>
      <w:r w:rsidRPr="00001C5E">
        <w:rPr>
          <w:rFonts w:ascii="Verdana" w:hAnsi="Verdana"/>
          <w:sz w:val="20"/>
          <w:szCs w:val="20"/>
        </w:rPr>
        <w:lastRenderedPageBreak/>
        <w:t xml:space="preserve">произведения цвят от маслодайна роза. </w:t>
      </w:r>
      <w:r w:rsidRPr="004E1672">
        <w:rPr>
          <w:rFonts w:ascii="Verdana" w:hAnsi="Verdana"/>
          <w:sz w:val="20"/>
          <w:szCs w:val="20"/>
        </w:rPr>
        <w:t>За приемливи разходи се считат част от разходите по технологична карта, направени за производство на цвят от маслодайна роза до периода/момента на прибира</w:t>
      </w:r>
      <w:r>
        <w:rPr>
          <w:rFonts w:ascii="Verdana" w:hAnsi="Verdana"/>
          <w:sz w:val="20"/>
          <w:szCs w:val="20"/>
        </w:rPr>
        <w:t>не на реколтата през 2021 г</w:t>
      </w:r>
      <w:r w:rsidRPr="004E1672">
        <w:rPr>
          <w:rFonts w:ascii="Verdana" w:hAnsi="Verdana"/>
          <w:sz w:val="20"/>
          <w:szCs w:val="20"/>
        </w:rPr>
        <w:t>.</w:t>
      </w:r>
      <w:r w:rsidR="009813F2">
        <w:rPr>
          <w:rFonts w:ascii="Verdana" w:hAnsi="Verdana"/>
          <w:sz w:val="20"/>
          <w:szCs w:val="20"/>
        </w:rPr>
        <w:t xml:space="preserve"> </w:t>
      </w:r>
      <w:r w:rsidRPr="004E1672">
        <w:rPr>
          <w:rFonts w:ascii="Verdana" w:hAnsi="Verdana"/>
          <w:bCs/>
          <w:sz w:val="20"/>
          <w:szCs w:val="20"/>
        </w:rPr>
        <w:t xml:space="preserve">Помощта </w:t>
      </w:r>
      <w:r>
        <w:rPr>
          <w:rFonts w:ascii="Verdana" w:hAnsi="Verdana"/>
          <w:bCs/>
          <w:sz w:val="20"/>
          <w:szCs w:val="20"/>
        </w:rPr>
        <w:t>е в размер до 100 лева на декар, а</w:t>
      </w:r>
      <w:r>
        <w:rPr>
          <w:rFonts w:ascii="Verdana" w:hAnsi="Verdana"/>
          <w:sz w:val="20"/>
          <w:szCs w:val="20"/>
          <w:lang w:val="ru-RU"/>
        </w:rPr>
        <w:t xml:space="preserve"> м</w:t>
      </w:r>
      <w:proofErr w:type="spellStart"/>
      <w:r w:rsidRPr="004E1672">
        <w:rPr>
          <w:rFonts w:ascii="Verdana" w:hAnsi="Verdana"/>
          <w:sz w:val="20"/>
          <w:szCs w:val="20"/>
        </w:rPr>
        <w:t>аксималният</w:t>
      </w:r>
      <w:proofErr w:type="spellEnd"/>
      <w:r w:rsidRPr="004E1672">
        <w:rPr>
          <w:rFonts w:ascii="Verdana" w:hAnsi="Verdana"/>
          <w:sz w:val="20"/>
          <w:szCs w:val="20"/>
        </w:rPr>
        <w:t xml:space="preserve"> интензитет е </w:t>
      </w:r>
      <w:r w:rsidRPr="004E1672">
        <w:rPr>
          <w:rFonts w:ascii="Verdana" w:hAnsi="Verdana"/>
          <w:iCs/>
          <w:sz w:val="20"/>
          <w:szCs w:val="20"/>
        </w:rPr>
        <w:t>до 225 000 евро на предприятие с дейност в първичното производство на селскостопански продукти.</w:t>
      </w:r>
      <w:r w:rsidR="00B4530B">
        <w:rPr>
          <w:rFonts w:ascii="Verdana" w:hAnsi="Verdana"/>
          <w:iCs/>
          <w:sz w:val="20"/>
          <w:szCs w:val="20"/>
        </w:rPr>
        <w:t xml:space="preserve">   </w:t>
      </w:r>
    </w:p>
    <w:p w:rsidR="00AB79B0" w:rsidRPr="007F036F" w:rsidRDefault="00D721F6" w:rsidP="007F036F">
      <w:pPr>
        <w:spacing w:line="360" w:lineRule="auto"/>
        <w:ind w:firstLine="705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Усвоен ресурс по помощта за 2021 г. – 920 057</w:t>
      </w:r>
      <w:r w:rsidR="00C144BB">
        <w:rPr>
          <w:rFonts w:ascii="Verdana" w:hAnsi="Verdana"/>
          <w:iCs/>
          <w:sz w:val="20"/>
          <w:szCs w:val="20"/>
        </w:rPr>
        <w:t xml:space="preserve"> лв.</w:t>
      </w:r>
      <w:r>
        <w:rPr>
          <w:rFonts w:ascii="Verdana" w:hAnsi="Verdana"/>
          <w:iCs/>
          <w:sz w:val="20"/>
          <w:szCs w:val="20"/>
        </w:rPr>
        <w:t xml:space="preserve"> от 319 бр. </w:t>
      </w:r>
      <w:proofErr w:type="spellStart"/>
      <w:r>
        <w:rPr>
          <w:rFonts w:ascii="Verdana" w:hAnsi="Verdana"/>
          <w:iCs/>
          <w:sz w:val="20"/>
          <w:szCs w:val="20"/>
        </w:rPr>
        <w:t>бенефициери-розопроизводители</w:t>
      </w:r>
      <w:proofErr w:type="spellEnd"/>
      <w:r>
        <w:rPr>
          <w:rFonts w:ascii="Verdana" w:hAnsi="Verdana"/>
          <w:iCs/>
          <w:sz w:val="20"/>
          <w:szCs w:val="20"/>
        </w:rPr>
        <w:t>.</w:t>
      </w:r>
      <w:r w:rsidR="00B4530B">
        <w:rPr>
          <w:rFonts w:ascii="Verdana" w:hAnsi="Verdana"/>
          <w:iCs/>
          <w:sz w:val="20"/>
          <w:szCs w:val="20"/>
        </w:rPr>
        <w:t xml:space="preserve">  </w:t>
      </w:r>
    </w:p>
    <w:p w:rsidR="001D2DFD" w:rsidRPr="007F036F" w:rsidRDefault="001D2DFD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>
        <w:rPr>
          <w:rFonts w:ascii="Arial" w:hAnsi="Arial" w:cs="Arial"/>
          <w:b/>
          <w:i/>
          <w:color w:val="002060"/>
          <w:sz w:val="18"/>
          <w:szCs w:val="18"/>
        </w:rPr>
        <w:tab/>
      </w:r>
      <w:r>
        <w:rPr>
          <w:rFonts w:ascii="Arial" w:hAnsi="Arial" w:cs="Arial"/>
          <w:b/>
          <w:i/>
          <w:color w:val="002060"/>
          <w:sz w:val="18"/>
          <w:szCs w:val="18"/>
        </w:rPr>
        <w:tab/>
      </w:r>
      <w:r>
        <w:rPr>
          <w:rFonts w:ascii="Arial" w:hAnsi="Arial" w:cs="Arial"/>
          <w:b/>
          <w:i/>
          <w:color w:val="002060"/>
          <w:sz w:val="18"/>
          <w:szCs w:val="18"/>
        </w:rPr>
        <w:tab/>
      </w:r>
      <w:r>
        <w:rPr>
          <w:rFonts w:ascii="Arial" w:hAnsi="Arial" w:cs="Arial"/>
          <w:b/>
          <w:i/>
          <w:color w:val="002060"/>
          <w:sz w:val="18"/>
          <w:szCs w:val="18"/>
        </w:rPr>
        <w:tab/>
      </w:r>
      <w:r>
        <w:rPr>
          <w:rFonts w:ascii="Arial" w:hAnsi="Arial" w:cs="Arial"/>
          <w:b/>
          <w:i/>
          <w:color w:val="002060"/>
          <w:sz w:val="18"/>
          <w:szCs w:val="18"/>
        </w:rPr>
        <w:tab/>
      </w:r>
      <w:r w:rsidR="00C144BB" w:rsidRPr="00AB79B0">
        <w:rPr>
          <w:rFonts w:ascii="Arial" w:hAnsi="Arial" w:cs="Arial"/>
          <w:b/>
          <w:i/>
          <w:color w:val="002060"/>
          <w:sz w:val="18"/>
          <w:szCs w:val="18"/>
        </w:rPr>
        <w:t>Параметри на схемата</w:t>
      </w:r>
    </w:p>
    <w:p w:rsidR="00C144BB" w:rsidRPr="002A2039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17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C82D88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4B57BA" w:rsidRDefault="00C144BB" w:rsidP="00B94BA1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  <w:r w:rsidRPr="0078098B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C82D8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4B57BA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="004B57BA" w:rsidRPr="004B57BA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SA.</w:t>
            </w:r>
            <w:r w:rsidR="004B57BA" w:rsidRPr="004B57BA">
              <w:rPr>
                <w:rFonts w:ascii="Arial" w:hAnsi="Arial" w:cs="Arial"/>
                <w:color w:val="002060"/>
                <w:sz w:val="18"/>
                <w:szCs w:val="18"/>
              </w:rPr>
              <w:t>63638</w:t>
            </w:r>
            <w:r w:rsidR="004B57BA" w:rsidRPr="004B57BA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</w:rPr>
              <w:t xml:space="preserve"> </w:t>
            </w:r>
            <w:r w:rsidR="004B57BA">
              <w:rPr>
                <w:rFonts w:ascii="Arial" w:hAnsi="Arial" w:cs="Arial"/>
                <w:color w:val="002060"/>
                <w:sz w:val="18"/>
                <w:szCs w:val="18"/>
                <w:shd w:val="clear" w:color="auto" w:fill="FFFFFF"/>
                <w:lang w:val="en-US"/>
              </w:rPr>
              <w:t>(</w:t>
            </w:r>
            <w:r w:rsidR="004B57BA">
              <w:rPr>
                <w:rFonts w:ascii="Arial" w:hAnsi="Arial" w:cs="Arial"/>
                <w:color w:val="002060"/>
                <w:sz w:val="18"/>
                <w:szCs w:val="18"/>
              </w:rPr>
              <w:t>2021</w:t>
            </w:r>
            <w:r w:rsidR="004B57BA" w:rsidRPr="004B57BA">
              <w:rPr>
                <w:rFonts w:ascii="Arial" w:hAnsi="Arial" w:cs="Arial"/>
                <w:color w:val="002060"/>
                <w:sz w:val="18"/>
                <w:szCs w:val="18"/>
              </w:rPr>
              <w:t>/N</w:t>
            </w:r>
            <w:r w:rsidR="004B57BA">
              <w:rPr>
                <w:rFonts w:ascii="Arial" w:hAnsi="Arial" w:cs="Arial"/>
                <w:color w:val="002060"/>
                <w:sz w:val="18"/>
                <w:szCs w:val="18"/>
                <w:lang w:val="en-US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78098B" w:rsidRDefault="00C144BB" w:rsidP="00B94BA1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630" w:hanging="630"/>
        <w:rPr>
          <w:rFonts w:ascii="Arial" w:hAnsi="Arial" w:cs="Arial"/>
          <w:b/>
          <w:i/>
          <w:color w:val="002060"/>
          <w:sz w:val="18"/>
          <w:szCs w:val="18"/>
        </w:rPr>
      </w:pPr>
      <w:r w:rsidRPr="00C82D88">
        <w:rPr>
          <w:rFonts w:ascii="Arial" w:hAnsi="Arial" w:cs="Arial"/>
          <w:b/>
          <w:i/>
          <w:color w:val="002060"/>
          <w:sz w:val="18"/>
          <w:szCs w:val="18"/>
        </w:rPr>
        <w:t xml:space="preserve">                      Номер на помощта:</w:t>
      </w:r>
    </w:p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6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C82D88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  <w:t> </w:t>
            </w:r>
            <w:hyperlink r:id="rId10" w:history="1">
              <w:r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eastAsia="en-US"/>
                </w:rPr>
                <w:t>ТУК</w:t>
              </w:r>
              <w:r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Информация от ЕК:</w:t>
      </w:r>
    </w:p>
    <w:p w:rsidR="00B4530B" w:rsidRDefault="00B4530B" w:rsidP="00CA5AC1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35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5A0AA6" w:rsidRPr="002A2039" w:rsidTr="005A0AA6">
        <w:trPr>
          <w:trHeight w:val="16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A6" w:rsidRPr="002A2039" w:rsidRDefault="005A0AA6" w:rsidP="005A0AA6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  <w:t> </w:t>
            </w:r>
            <w:hyperlink r:id="rId11" w:history="1">
              <w:r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eastAsia="en-US"/>
                </w:rPr>
                <w:t>ТУК</w:t>
              </w:r>
              <w:r w:rsidRPr="00C82D88">
                <w:rPr>
                  <w:rStyle w:val="Hyperlink"/>
                  <w:rFonts w:ascii="Arial" w:eastAsia="Times New Roman" w:hAnsi="Arial" w:cs="Arial"/>
                  <w:b/>
                  <w:color w:val="002060"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AA6" w:rsidRPr="002A2039" w:rsidRDefault="005A0AA6" w:rsidP="005A0AA6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CA5AC1" w:rsidRPr="005A0AA6" w:rsidRDefault="00B4530B" w:rsidP="005A0AA6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>Информация от ДФЗ</w:t>
      </w:r>
      <w:r w:rsidR="00CA5AC1" w:rsidRPr="00C82D88">
        <w:rPr>
          <w:rFonts w:ascii="Arial" w:hAnsi="Arial" w:cs="Arial"/>
          <w:b/>
          <w:i/>
          <w:color w:val="002060"/>
          <w:sz w:val="20"/>
          <w:szCs w:val="20"/>
        </w:rPr>
        <w:t>:</w:t>
      </w:r>
      <w:r>
        <w:rPr>
          <w:rFonts w:ascii="Arial" w:hAnsi="Arial" w:cs="Arial"/>
          <w:b/>
          <w:i/>
          <w:color w:val="002060"/>
          <w:sz w:val="20"/>
          <w:szCs w:val="20"/>
        </w:rPr>
        <w:t xml:space="preserve">       </w:t>
      </w:r>
    </w:p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14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C82D88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1D2DFD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en-US"/>
              </w:rPr>
              <w:t> </w:t>
            </w:r>
            <w:r w:rsidR="001D2DFD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08.07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.2021 - 31.12.2021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ascii="Arial" w:eastAsia="Times New Roman" w:hAnsi="Arial" w:cs="Arial"/>
                <w:b/>
                <w:color w:val="002060"/>
                <w:lang w:val="en-US" w:eastAsia="en-US"/>
              </w:rPr>
            </w:pPr>
          </w:p>
        </w:tc>
      </w:tr>
    </w:tbl>
    <w:p w:rsidR="001D2DFD" w:rsidRPr="007F036F" w:rsidRDefault="00C144BB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Период на прилагане:</w:t>
      </w:r>
    </w:p>
    <w:tbl>
      <w:tblPr>
        <w:tblpPr w:leftFromText="180" w:rightFromText="180" w:vertAnchor="text" w:horzAnchor="margin" w:tblpXSpec="right" w:tblpY="23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C82D88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6A062F" w:rsidRDefault="006A062F" w:rsidP="00B94BA1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</w:rPr>
            </w:pPr>
            <w:r w:rsidRPr="006A062F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</w:rPr>
              <w:t>Подкрепа за осигуряване на достатъчна ликвидност в сектора на маслодайната роза, за да се противодейства на негативното влияние на последиците от пандемията и за осигуряване на непрекъснатостта на икономическата дейност и подобряване на експозицията на земеделските стопани.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Основна цел:</w:t>
      </w:r>
    </w:p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1D2DFD" w:rsidRPr="001D2DFD" w:rsidRDefault="001D2DFD" w:rsidP="001D2DFD">
      <w:pPr>
        <w:tabs>
          <w:tab w:val="left" w:pos="142"/>
        </w:tabs>
        <w:spacing w:line="360" w:lineRule="auto"/>
        <w:rPr>
          <w:rFonts w:ascii="Verdana" w:hAnsi="Verdana"/>
          <w:b/>
          <w:i/>
          <w:color w:val="002060"/>
          <w:sz w:val="20"/>
          <w:szCs w:val="20"/>
        </w:rPr>
      </w:pPr>
    </w:p>
    <w:p w:rsidR="001D2DFD" w:rsidRPr="00C82D88" w:rsidRDefault="001D2DFD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26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C82D88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color w:val="002060"/>
                <w:sz w:val="20"/>
                <w:szCs w:val="20"/>
                <w:lang w:val="en-US" w:eastAsia="en-US"/>
              </w:rPr>
              <w:t> 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Преки безвъзмездни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ascii="Arial" w:eastAsia="Times New Roman" w:hAnsi="Arial" w:cs="Arial"/>
                <w:color w:val="002060"/>
                <w:lang w:val="en-US" w:eastAsia="en-US"/>
              </w:rPr>
            </w:pPr>
          </w:p>
        </w:tc>
      </w:tr>
    </w:tbl>
    <w:p w:rsidR="00C144BB" w:rsidRPr="007F036F" w:rsidRDefault="00C144BB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Форма на помощта:</w:t>
      </w:r>
    </w:p>
    <w:tbl>
      <w:tblPr>
        <w:tblpPr w:leftFromText="180" w:rightFromText="180" w:vertAnchor="text" w:horzAnchor="margin" w:tblpXSpec="right" w:tblpY="19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C82D88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До 225 000 евро 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(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440 059 лв.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)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на предприятие с дейност в първичното производство на селскостопански продукти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ascii="Arial" w:eastAsia="Times New Roman" w:hAnsi="Arial" w:cs="Arial"/>
                <w:color w:val="002060"/>
                <w:lang w:val="en-US" w:eastAsia="en-US"/>
              </w:rPr>
            </w:pPr>
          </w:p>
        </w:tc>
      </w:tr>
    </w:tbl>
    <w:p w:rsidR="00C144BB" w:rsidRPr="00C82D88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Интензитет:</w:t>
      </w:r>
    </w:p>
    <w:p w:rsidR="00C144BB" w:rsidRPr="00C82D88" w:rsidRDefault="00C144BB" w:rsidP="00C144BB">
      <w:pPr>
        <w:tabs>
          <w:tab w:val="left" w:pos="142"/>
        </w:tabs>
        <w:spacing w:line="360" w:lineRule="auto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5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C144BB" w:rsidRPr="002A2039" w:rsidTr="00B94BA1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C82D88">
              <w:rPr>
                <w:rFonts w:ascii="Arial" w:hAnsi="Arial" w:cs="Arial"/>
                <w:color w:val="002060"/>
                <w:sz w:val="18"/>
                <w:szCs w:val="18"/>
              </w:rPr>
              <w:t xml:space="preserve">Закон за мерките и действията по време на извънредното положение, обявено с Решение на Народното събрание от 13.03.2020 г. и за преодоляване на последиците;Чл. 11, ал. 2, т. 1 и чл. 12, ал. 1, т. 2 от Закона за подпомагане на земеделските производители; Точка 3.1. и </w:t>
            </w:r>
            <w:proofErr w:type="spellStart"/>
            <w:r w:rsidRPr="00C82D88">
              <w:rPr>
                <w:rFonts w:ascii="Arial" w:hAnsi="Arial" w:cs="Arial"/>
                <w:color w:val="002060"/>
                <w:sz w:val="18"/>
                <w:szCs w:val="18"/>
              </w:rPr>
              <w:t>съотносимите</w:t>
            </w:r>
            <w:proofErr w:type="spellEnd"/>
            <w:r w:rsidRPr="00C82D88">
              <w:rPr>
                <w:rFonts w:ascii="Arial" w:hAnsi="Arial" w:cs="Arial"/>
                <w:color w:val="002060"/>
                <w:sz w:val="18"/>
                <w:szCs w:val="18"/>
              </w:rPr>
              <w:t xml:space="preserve"> разпоредби от Временната рамка за мерки за държавна помощ в подкрепа на икономиката в условията на сегашния епидемичен взрив от COVID – 19 (Временна рамка).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4BB" w:rsidRPr="002A2039" w:rsidRDefault="00C144BB" w:rsidP="00B94BA1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C144BB" w:rsidRPr="00AB79B0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AB79B0">
        <w:rPr>
          <w:rFonts w:ascii="Arial" w:hAnsi="Arial" w:cs="Arial"/>
          <w:b/>
          <w:i/>
          <w:color w:val="002060"/>
          <w:sz w:val="20"/>
          <w:szCs w:val="20"/>
        </w:rPr>
        <w:t>Правно основание:</w:t>
      </w:r>
    </w:p>
    <w:p w:rsidR="00C144BB" w:rsidRPr="002A2039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C144BB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sz w:val="20"/>
          <w:szCs w:val="20"/>
        </w:rPr>
      </w:pPr>
    </w:p>
    <w:p w:rsidR="00C144BB" w:rsidRDefault="00C144BB" w:rsidP="00C144BB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sz w:val="20"/>
          <w:szCs w:val="20"/>
        </w:rPr>
      </w:pPr>
    </w:p>
    <w:p w:rsidR="00C144BB" w:rsidRDefault="00C144BB" w:rsidP="00C144BB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C144BB" w:rsidRPr="000E44E1" w:rsidRDefault="00C144BB" w:rsidP="00C144BB">
      <w:pPr>
        <w:tabs>
          <w:tab w:val="left" w:pos="142"/>
        </w:tabs>
        <w:spacing w:line="360" w:lineRule="auto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AB79B0" w:rsidRPr="007F036F" w:rsidRDefault="00C144BB" w:rsidP="00E1181B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Връзката ТУК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>*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става активна при позициониране на мишката и натискане на клавиша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 xml:space="preserve">Ctrl 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от клавиатурата.</w:t>
      </w:r>
    </w:p>
    <w:p w:rsidR="00AB79B0" w:rsidRPr="007F036F" w:rsidRDefault="00EF5B2B" w:rsidP="00EF5B2B">
      <w:pPr>
        <w:pStyle w:val="ListParagraph"/>
        <w:tabs>
          <w:tab w:val="left" w:pos="142"/>
        </w:tabs>
        <w:spacing w:line="360" w:lineRule="auto"/>
        <w:ind w:left="0" w:firstLine="720"/>
        <w:jc w:val="both"/>
        <w:rPr>
          <w:rFonts w:ascii="Verdana" w:hAnsi="Verdana"/>
          <w:b/>
          <w:i/>
          <w:sz w:val="20"/>
          <w:szCs w:val="20"/>
        </w:rPr>
      </w:pPr>
      <w:r w:rsidRPr="00EF5B2B">
        <w:rPr>
          <w:rFonts w:ascii="Verdana" w:hAnsi="Verdana"/>
          <w:b/>
          <w:sz w:val="20"/>
          <w:szCs w:val="20"/>
          <w:lang w:val="en-US"/>
        </w:rPr>
        <w:t>4</w:t>
      </w:r>
      <w:r w:rsidRPr="00EF5B2B">
        <w:rPr>
          <w:rFonts w:ascii="Verdana" w:hAnsi="Verdana"/>
          <w:b/>
          <w:sz w:val="20"/>
          <w:szCs w:val="20"/>
        </w:rPr>
        <w:t>.Помощ в подкрепа на ликвидността на земеделски стопани за преодоляване на негативното икономическо въздействие на COVID-19</w:t>
      </w:r>
      <w:r w:rsidRPr="00EF5B2B">
        <w:rPr>
          <w:rFonts w:ascii="Verdana" w:hAnsi="Verdana"/>
          <w:sz w:val="20"/>
          <w:szCs w:val="20"/>
        </w:rPr>
        <w:t xml:space="preserve"> </w:t>
      </w:r>
      <w:proofErr w:type="gramStart"/>
      <w:r w:rsidRPr="007F036F">
        <w:rPr>
          <w:rFonts w:ascii="Verdana" w:hAnsi="Verdana"/>
          <w:b/>
          <w:sz w:val="20"/>
          <w:szCs w:val="20"/>
        </w:rPr>
        <w:t>SA.102392(</w:t>
      </w:r>
      <w:proofErr w:type="gramEnd"/>
      <w:r w:rsidRPr="007F036F">
        <w:rPr>
          <w:rFonts w:ascii="Verdana" w:hAnsi="Verdana"/>
          <w:b/>
          <w:sz w:val="20"/>
          <w:szCs w:val="20"/>
        </w:rPr>
        <w:t>2022/N)</w:t>
      </w:r>
      <w:r w:rsidR="007F036F" w:rsidRPr="007F036F">
        <w:rPr>
          <w:rFonts w:ascii="Verdana" w:hAnsi="Verdana"/>
          <w:b/>
          <w:sz w:val="20"/>
          <w:szCs w:val="20"/>
        </w:rPr>
        <w:t xml:space="preserve"> </w:t>
      </w:r>
      <w:r w:rsidR="001470FD">
        <w:rPr>
          <w:rFonts w:ascii="Verdana" w:hAnsi="Verdana"/>
          <w:b/>
          <w:sz w:val="20"/>
          <w:szCs w:val="20"/>
        </w:rPr>
        <w:t xml:space="preserve">- </w:t>
      </w:r>
      <w:r w:rsidR="009C4750" w:rsidRPr="007F036F">
        <w:rPr>
          <w:rFonts w:ascii="Verdana" w:hAnsi="Verdana"/>
          <w:b/>
          <w:i/>
          <w:sz w:val="20"/>
          <w:szCs w:val="20"/>
        </w:rPr>
        <w:t>мярка по Временна рамка</w:t>
      </w:r>
      <w:r w:rsidR="009C4750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9C4750">
        <w:rPr>
          <w:rFonts w:ascii="Verdana" w:hAnsi="Verdana"/>
          <w:b/>
          <w:i/>
          <w:sz w:val="20"/>
          <w:szCs w:val="20"/>
        </w:rPr>
        <w:t>с краен срок 30.06.2022 г.</w:t>
      </w:r>
      <w:r w:rsidR="009C4750" w:rsidRPr="000260F0">
        <w:rPr>
          <w:rFonts w:ascii="Verdana" w:hAnsi="Verdana"/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="007F036F" w:rsidRPr="007F036F">
        <w:rPr>
          <w:rFonts w:ascii="Verdana" w:hAnsi="Verdana"/>
          <w:b/>
          <w:sz w:val="20"/>
          <w:szCs w:val="20"/>
        </w:rPr>
        <w:t xml:space="preserve">COVID-19: LIQUIDITY SUPPORT TO FARMERS  </w:t>
      </w:r>
    </w:p>
    <w:p w:rsidR="00EF5B2B" w:rsidRPr="007F036F" w:rsidRDefault="00EF5B2B" w:rsidP="00EF5B2B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810677">
        <w:rPr>
          <w:rFonts w:ascii="Verdana" w:hAnsi="Verdana"/>
          <w:sz w:val="20"/>
          <w:szCs w:val="20"/>
        </w:rPr>
        <w:t>През 2022 г. във връзка с увеличените разходи, свързани с производство на първична земеделска продукция в резултат от негативното въздействие на пандемията от COVID-19</w:t>
      </w:r>
      <w:r w:rsidRPr="00810677">
        <w:rPr>
          <w:rFonts w:ascii="Verdana" w:hAnsi="Verdana"/>
          <w:sz w:val="20"/>
          <w:szCs w:val="20"/>
          <w:lang w:val="ru-RU"/>
        </w:rPr>
        <w:t xml:space="preserve">, </w:t>
      </w:r>
      <w:r w:rsidRPr="00810677">
        <w:rPr>
          <w:rFonts w:ascii="Verdana" w:hAnsi="Verdana"/>
          <w:sz w:val="20"/>
          <w:szCs w:val="20"/>
        </w:rPr>
        <w:t xml:space="preserve">е предвидено подпомагане по „Помощ в подкрепа на ликвидността на земеделски стопани за преодоляване </w:t>
      </w:r>
      <w:r w:rsidRPr="00A12E79">
        <w:rPr>
          <w:rFonts w:ascii="Verdana" w:hAnsi="Verdana"/>
          <w:sz w:val="20"/>
          <w:szCs w:val="20"/>
        </w:rPr>
        <w:t xml:space="preserve">на негативното икономическо въздействие на COVID-19“ за стопанствата в </w:t>
      </w:r>
      <w:r w:rsidRPr="007F036F">
        <w:rPr>
          <w:rFonts w:ascii="Verdana" w:hAnsi="Verdana"/>
          <w:sz w:val="20"/>
          <w:szCs w:val="20"/>
        </w:rPr>
        <w:t xml:space="preserve">сектор „Животновъдство“, „Плодове и зеленчуци“, маслодайна роза и ориз. </w:t>
      </w:r>
    </w:p>
    <w:p w:rsidR="00127FB6" w:rsidRDefault="00EF5B2B" w:rsidP="007F036F">
      <w:pPr>
        <w:pStyle w:val="ListParagraph"/>
        <w:spacing w:line="360" w:lineRule="auto"/>
        <w:ind w:left="0" w:firstLine="720"/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Подпомагането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е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продиктувано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от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необходимост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от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преодоляване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на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сериозни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затруднения в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най-чувствителните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и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приоритетни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 </w:t>
      </w:r>
      <w:proofErr w:type="spellStart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>сектори</w:t>
      </w:r>
      <w:proofErr w:type="spellEnd"/>
      <w:r w:rsidRPr="007F036F">
        <w:rPr>
          <w:rStyle w:val="Strong"/>
          <w:rFonts w:ascii="Verdana" w:hAnsi="Verdana"/>
          <w:b w:val="0"/>
          <w:sz w:val="20"/>
          <w:szCs w:val="20"/>
          <w:lang w:val="ru-RU"/>
        </w:rPr>
        <w:t xml:space="preserve">, </w:t>
      </w:r>
      <w:r w:rsidRPr="00810677">
        <w:rPr>
          <w:rFonts w:ascii="Verdana" w:hAnsi="Verdana"/>
          <w:bCs/>
          <w:sz w:val="20"/>
          <w:szCs w:val="20"/>
        </w:rPr>
        <w:t xml:space="preserve">при които натискът </w:t>
      </w:r>
      <w:proofErr w:type="gramStart"/>
      <w:r w:rsidRPr="00810677">
        <w:rPr>
          <w:rFonts w:ascii="Verdana" w:hAnsi="Verdana"/>
          <w:bCs/>
          <w:sz w:val="20"/>
          <w:szCs w:val="20"/>
        </w:rPr>
        <w:t>от</w:t>
      </w:r>
      <w:proofErr w:type="gramEnd"/>
      <w:r w:rsidRPr="00810677">
        <w:rPr>
          <w:rFonts w:ascii="Verdana" w:hAnsi="Verdana"/>
          <w:bCs/>
          <w:sz w:val="20"/>
          <w:szCs w:val="20"/>
        </w:rPr>
        <w:t xml:space="preserve"> увеличените разходи е най-съществен и може да доведе до невъзможност за тяхното бъдещо функциониране. </w:t>
      </w:r>
    </w:p>
    <w:p w:rsidR="001470FD" w:rsidRPr="001470FD" w:rsidRDefault="00127FB6" w:rsidP="00127FB6">
      <w:pPr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470FD">
        <w:rPr>
          <w:rFonts w:ascii="Verdana" w:hAnsi="Verdana" w:cs="Times New Roman"/>
          <w:sz w:val="20"/>
          <w:szCs w:val="20"/>
        </w:rPr>
        <w:lastRenderedPageBreak/>
        <w:t>Сектори „Плодове и зеленчуци“ и „Животновъдство“ бяха подпомогнати за част от увеличението на разходите. Подпомогнати бяха и прои</w:t>
      </w:r>
      <w:r w:rsidR="001470FD" w:rsidRPr="001470FD">
        <w:rPr>
          <w:rFonts w:ascii="Verdana" w:hAnsi="Verdana" w:cs="Times New Roman"/>
          <w:sz w:val="20"/>
          <w:szCs w:val="20"/>
        </w:rPr>
        <w:t>зводителите на маслодайна роза.</w:t>
      </w:r>
    </w:p>
    <w:p w:rsidR="00127FB6" w:rsidRPr="009522CA" w:rsidRDefault="00127FB6" w:rsidP="00127FB6">
      <w:pPr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1470FD">
        <w:rPr>
          <w:rFonts w:ascii="Verdana" w:hAnsi="Verdana" w:cs="Times New Roman"/>
          <w:sz w:val="20"/>
          <w:szCs w:val="20"/>
        </w:rPr>
        <w:t xml:space="preserve">След второто тримесечие на 2021 г. се запазва негативният </w:t>
      </w:r>
      <w:proofErr w:type="spellStart"/>
      <w:r w:rsidRPr="001470FD">
        <w:rPr>
          <w:rFonts w:ascii="Verdana" w:hAnsi="Verdana" w:cs="Times New Roman"/>
          <w:sz w:val="20"/>
          <w:szCs w:val="20"/>
        </w:rPr>
        <w:t>тренд</w:t>
      </w:r>
      <w:proofErr w:type="spellEnd"/>
      <w:r w:rsidRPr="001470FD">
        <w:rPr>
          <w:rFonts w:ascii="Verdana" w:hAnsi="Verdana" w:cs="Times New Roman"/>
          <w:sz w:val="20"/>
          <w:szCs w:val="20"/>
        </w:rPr>
        <w:t xml:space="preserve"> на покачване на разходите в процеса на производство, което особено осезаемо бележи ръст през четвъртото тримесечие  на 2021 г. С оглед създалата се ситуация, голяма част от земеделските стопани са изправени пред риск от невъзможност за покриване на тези разходи и нормално икономическо функциониране, поради което е необходимо те да бъдат допълнително компенсирани чрез прилагане на нова мярка, при спазване на условията на Временната рамка за мерки за държавна помощ. </w:t>
      </w:r>
    </w:p>
    <w:p w:rsidR="001470FD" w:rsidRDefault="00EF5B2B" w:rsidP="007F036F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810677">
        <w:rPr>
          <w:rFonts w:ascii="Verdana" w:hAnsi="Verdana"/>
          <w:bCs/>
          <w:sz w:val="20"/>
          <w:szCs w:val="20"/>
        </w:rPr>
        <w:t>Държавната намеса цели</w:t>
      </w:r>
      <w:r w:rsidRPr="0081067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810677">
        <w:rPr>
          <w:rFonts w:ascii="Verdana" w:hAnsi="Verdana"/>
          <w:sz w:val="20"/>
          <w:szCs w:val="20"/>
          <w:lang w:val="ru-RU"/>
        </w:rPr>
        <w:t>запазване</w:t>
      </w:r>
      <w:proofErr w:type="spellEnd"/>
      <w:r w:rsidRPr="0081067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810677">
        <w:rPr>
          <w:rFonts w:ascii="Verdana" w:hAnsi="Verdana"/>
          <w:sz w:val="20"/>
          <w:szCs w:val="20"/>
          <w:lang w:val="ru-RU"/>
        </w:rPr>
        <w:t>икономическата</w:t>
      </w:r>
      <w:proofErr w:type="spellEnd"/>
      <w:r w:rsidRPr="0081067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810677">
        <w:rPr>
          <w:rFonts w:ascii="Verdana" w:hAnsi="Verdana"/>
          <w:sz w:val="20"/>
          <w:szCs w:val="20"/>
          <w:lang w:val="ru-RU"/>
        </w:rPr>
        <w:t>жизненост</w:t>
      </w:r>
      <w:proofErr w:type="spellEnd"/>
      <w:r w:rsidRPr="0081067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810677">
        <w:rPr>
          <w:rFonts w:ascii="Verdana" w:hAnsi="Verdana"/>
          <w:sz w:val="20"/>
          <w:szCs w:val="20"/>
          <w:lang w:val="ru-RU"/>
        </w:rPr>
        <w:t>отрасъла</w:t>
      </w:r>
      <w:proofErr w:type="spellEnd"/>
      <w:r w:rsidRPr="00810677">
        <w:rPr>
          <w:rFonts w:ascii="Verdana" w:hAnsi="Verdana"/>
          <w:sz w:val="20"/>
          <w:szCs w:val="20"/>
          <w:lang w:val="ru-RU"/>
        </w:rPr>
        <w:t>.</w:t>
      </w:r>
    </w:p>
    <w:p w:rsidR="00AB79B0" w:rsidRDefault="006A32D5" w:rsidP="007F036F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Подпомагането се изплаща през</w:t>
      </w:r>
      <w:r w:rsidR="007B20FE">
        <w:rPr>
          <w:rFonts w:ascii="Verdana" w:hAnsi="Verdana"/>
          <w:sz w:val="20"/>
          <w:szCs w:val="20"/>
        </w:rPr>
        <w:t xml:space="preserve"> 2022 г.</w:t>
      </w:r>
    </w:p>
    <w:p w:rsidR="00127FB6" w:rsidRPr="007B20FE" w:rsidRDefault="00127FB6" w:rsidP="007F036F">
      <w:pPr>
        <w:pStyle w:val="ListParagraph"/>
        <w:spacing w:line="360" w:lineRule="auto"/>
        <w:ind w:left="0" w:firstLine="720"/>
        <w:jc w:val="both"/>
        <w:rPr>
          <w:rFonts w:ascii="Verdana" w:hAnsi="Verdana"/>
          <w:bCs/>
          <w:sz w:val="20"/>
          <w:szCs w:val="20"/>
        </w:rPr>
      </w:pPr>
    </w:p>
    <w:p w:rsidR="007F036F" w:rsidRPr="007F036F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>
        <w:rPr>
          <w:rFonts w:ascii="Arial" w:hAnsi="Arial" w:cs="Arial"/>
          <w:b/>
          <w:i/>
          <w:color w:val="002060"/>
          <w:sz w:val="18"/>
          <w:szCs w:val="18"/>
        </w:rPr>
        <w:t xml:space="preserve">                                                           </w:t>
      </w:r>
      <w:r w:rsidRPr="00AB79B0">
        <w:rPr>
          <w:rFonts w:ascii="Arial" w:hAnsi="Arial" w:cs="Arial"/>
          <w:b/>
          <w:i/>
          <w:color w:val="002060"/>
          <w:sz w:val="18"/>
          <w:szCs w:val="18"/>
        </w:rPr>
        <w:t>Параметри на схемата</w:t>
      </w:r>
    </w:p>
    <w:p w:rsidR="007F036F" w:rsidRPr="002A2039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17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7F036F" w:rsidRPr="00C82D88" w:rsidTr="005E5B0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6F" w:rsidRPr="004B57BA" w:rsidRDefault="007F036F" w:rsidP="005E5B0A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  <w:r w:rsidRPr="0078098B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C82D88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 w:rsidR="004B57BA" w:rsidRPr="007F036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B57BA" w:rsidRPr="004B57BA">
              <w:rPr>
                <w:rFonts w:ascii="Arial" w:hAnsi="Arial" w:cs="Arial"/>
                <w:color w:val="002060"/>
                <w:sz w:val="18"/>
                <w:szCs w:val="18"/>
              </w:rPr>
              <w:t>SA.102392(2022/N)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6F" w:rsidRPr="0078098B" w:rsidRDefault="007F036F" w:rsidP="005E5B0A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7F036F" w:rsidRPr="00C82D88" w:rsidRDefault="007F036F" w:rsidP="007F036F">
      <w:pPr>
        <w:pStyle w:val="ListParagraph"/>
        <w:tabs>
          <w:tab w:val="left" w:pos="142"/>
        </w:tabs>
        <w:spacing w:line="360" w:lineRule="auto"/>
        <w:ind w:left="630" w:hanging="630"/>
        <w:rPr>
          <w:rFonts w:ascii="Arial" w:hAnsi="Arial" w:cs="Arial"/>
          <w:b/>
          <w:i/>
          <w:color w:val="002060"/>
          <w:sz w:val="18"/>
          <w:szCs w:val="18"/>
        </w:rPr>
      </w:pPr>
      <w:r w:rsidRPr="00C82D88">
        <w:rPr>
          <w:rFonts w:ascii="Arial" w:hAnsi="Arial" w:cs="Arial"/>
          <w:b/>
          <w:i/>
          <w:color w:val="002060"/>
          <w:sz w:val="18"/>
          <w:szCs w:val="18"/>
        </w:rPr>
        <w:t xml:space="preserve">                      Номер на помощта:</w:t>
      </w:r>
    </w:p>
    <w:p w:rsidR="007F036F" w:rsidRPr="00C82D88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tbl>
      <w:tblPr>
        <w:tblpPr w:leftFromText="180" w:rightFromText="180" w:vertAnchor="text" w:horzAnchor="margin" w:tblpXSpec="right" w:tblpY="-6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7F036F" w:rsidRPr="00C82D88" w:rsidTr="005E5B0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6F" w:rsidRPr="002A2039" w:rsidRDefault="00FC59A7" w:rsidP="005E5B0A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hyperlink r:id="rId12" w:history="1">
              <w:r w:rsidR="007F036F" w:rsidRPr="007F036F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val="en-US" w:eastAsia="en-US"/>
                </w:rPr>
                <w:t> </w:t>
              </w:r>
              <w:r w:rsidR="007F036F" w:rsidRPr="007F036F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eastAsia="en-US"/>
                </w:rPr>
                <w:t>ТУК</w:t>
              </w:r>
              <w:r w:rsidR="007F036F" w:rsidRPr="007F036F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6F" w:rsidRPr="002A2039" w:rsidRDefault="007F036F" w:rsidP="005E5B0A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5A0AA6" w:rsidRPr="009E0125" w:rsidRDefault="007F036F" w:rsidP="009E0125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Информация от ЕК:</w:t>
      </w:r>
    </w:p>
    <w:tbl>
      <w:tblPr>
        <w:tblpPr w:leftFromText="180" w:rightFromText="180" w:vertAnchor="text" w:horzAnchor="margin" w:tblpXSpec="right" w:tblpY="223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5A0AA6" w:rsidRPr="002A2039" w:rsidTr="005A0AA6">
        <w:trPr>
          <w:trHeight w:val="17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A6" w:rsidRPr="002A2039" w:rsidRDefault="00203FF4" w:rsidP="005A0AA6">
            <w:pPr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val="en-US" w:eastAsia="en-US"/>
              </w:rPr>
            </w:pPr>
            <w:hyperlink r:id="rId13" w:history="1">
              <w:r w:rsidR="005A0AA6" w:rsidRPr="007F036F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val="en-US" w:eastAsia="en-US"/>
                </w:rPr>
                <w:t> </w:t>
              </w:r>
              <w:r w:rsidR="005A0AA6" w:rsidRPr="007F036F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eastAsia="en-US"/>
                </w:rPr>
                <w:t>ТУК</w:t>
              </w:r>
              <w:r w:rsidR="005A0AA6" w:rsidRPr="007F036F">
                <w:rPr>
                  <w:rStyle w:val="Hyperlink"/>
                  <w:rFonts w:ascii="Arial" w:eastAsia="Times New Roman" w:hAnsi="Arial" w:cs="Arial"/>
                  <w:b/>
                  <w:sz w:val="18"/>
                  <w:szCs w:val="18"/>
                  <w:lang w:val="en-US" w:eastAsia="en-US"/>
                </w:rPr>
                <w:t>*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AA6" w:rsidRPr="002A2039" w:rsidRDefault="005A0AA6" w:rsidP="005A0AA6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5A0AA6" w:rsidRDefault="005A0AA6" w:rsidP="00CA5AC1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7F036F" w:rsidRPr="009E0125" w:rsidRDefault="005A0AA6" w:rsidP="009E0125">
      <w:pPr>
        <w:pStyle w:val="ListParagraph"/>
        <w:tabs>
          <w:tab w:val="left" w:pos="142"/>
        </w:tabs>
        <w:spacing w:line="360" w:lineRule="auto"/>
        <w:ind w:left="0" w:firstLine="1080"/>
        <w:rPr>
          <w:rFonts w:ascii="Arial" w:hAnsi="Arial" w:cs="Arial"/>
          <w:b/>
          <w:i/>
          <w:color w:val="002060"/>
          <w:sz w:val="20"/>
          <w:szCs w:val="20"/>
        </w:rPr>
      </w:pPr>
      <w:r>
        <w:rPr>
          <w:rFonts w:ascii="Arial" w:hAnsi="Arial" w:cs="Arial"/>
          <w:b/>
          <w:i/>
          <w:color w:val="002060"/>
          <w:sz w:val="20"/>
          <w:szCs w:val="20"/>
        </w:rPr>
        <w:t>Информация от ДФЗ</w:t>
      </w:r>
      <w:r w:rsidR="00CA5AC1" w:rsidRPr="00C82D88">
        <w:rPr>
          <w:rFonts w:ascii="Arial" w:hAnsi="Arial" w:cs="Arial"/>
          <w:b/>
          <w:i/>
          <w:color w:val="002060"/>
          <w:sz w:val="20"/>
          <w:szCs w:val="20"/>
        </w:rPr>
        <w:t>:</w:t>
      </w:r>
    </w:p>
    <w:tbl>
      <w:tblPr>
        <w:tblpPr w:leftFromText="180" w:rightFromText="180" w:vertAnchor="text" w:horzAnchor="margin" w:tblpXSpec="right" w:tblpY="-14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7F036F" w:rsidRPr="00C82D88" w:rsidTr="005E5B0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6F" w:rsidRPr="002A2039" w:rsidRDefault="007F036F" w:rsidP="005E5B0A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2A20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07.04.2022 - 30.06.2022</w:t>
            </w:r>
            <w:r w:rsidRPr="00C82D88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6F" w:rsidRPr="002A2039" w:rsidRDefault="007F036F" w:rsidP="005E5B0A">
            <w:pPr>
              <w:rPr>
                <w:rFonts w:ascii="Arial" w:eastAsia="Times New Roman" w:hAnsi="Arial" w:cs="Arial"/>
                <w:b/>
                <w:color w:val="002060"/>
                <w:lang w:val="en-US" w:eastAsia="en-US"/>
              </w:rPr>
            </w:pPr>
          </w:p>
        </w:tc>
      </w:tr>
    </w:tbl>
    <w:p w:rsidR="007F036F" w:rsidRPr="007F036F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Период на прилагане:</w:t>
      </w:r>
    </w:p>
    <w:tbl>
      <w:tblPr>
        <w:tblpPr w:leftFromText="180" w:rightFromText="180" w:vertAnchor="text" w:horzAnchor="margin" w:tblpXSpec="right" w:tblpY="231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7F036F" w:rsidRPr="00C82D88" w:rsidTr="006F5F80">
        <w:trPr>
          <w:trHeight w:val="1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E66" w:rsidRPr="00A25E66" w:rsidRDefault="00A25E66" w:rsidP="00A25E66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</w:rPr>
            </w:pPr>
            <w:r w:rsidRPr="00A25E66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</w:rPr>
              <w:t>Подкрепа за осигуряване на достатъчна ликвидност за земеделските стопани от първичното селскостопанско производство – животновъди, отглеждащи едри и дребни преживни животни и пчелни семейства, и производители на плодове и зеленчуци</w:t>
            </w:r>
            <w:r w:rsidRPr="00A25E66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  <w:lang w:val="ru-RU"/>
              </w:rPr>
              <w:t xml:space="preserve">, </w:t>
            </w:r>
            <w:proofErr w:type="spellStart"/>
            <w:r w:rsidRPr="00A25E66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  <w:lang w:val="ru-RU"/>
              </w:rPr>
              <w:t>маслодайна</w:t>
            </w:r>
            <w:proofErr w:type="spellEnd"/>
            <w:r w:rsidRPr="00A25E66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  <w:lang w:val="ru-RU"/>
              </w:rPr>
              <w:t xml:space="preserve"> роза и </w:t>
            </w:r>
            <w:proofErr w:type="spellStart"/>
            <w:r w:rsidRPr="00A25E66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  <w:lang w:val="ru-RU"/>
              </w:rPr>
              <w:t>ориз</w:t>
            </w:r>
            <w:proofErr w:type="spellEnd"/>
            <w:r w:rsidRPr="00A25E66"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</w:rPr>
              <w:t xml:space="preserve">, за да се противодейства на негативното влияние на последиците от пандемията и за осигуряване на непрекъснатостта на икономическата дейност. </w:t>
            </w:r>
          </w:p>
          <w:p w:rsidR="007F036F" w:rsidRPr="001D2DFD" w:rsidRDefault="007F036F" w:rsidP="005E5B0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  <w:shd w:val="clear" w:color="auto" w:fill="F8F9F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6F" w:rsidRPr="002A2039" w:rsidRDefault="007F036F" w:rsidP="005E5B0A">
            <w:pPr>
              <w:rPr>
                <w:rFonts w:eastAsia="Times New Roman"/>
                <w:color w:val="002060"/>
                <w:lang w:val="en-US" w:eastAsia="en-US"/>
              </w:rPr>
            </w:pPr>
          </w:p>
        </w:tc>
      </w:tr>
    </w:tbl>
    <w:p w:rsidR="007F036F" w:rsidRPr="00C82D88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7F036F" w:rsidRPr="00C82D88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20"/>
          <w:szCs w:val="20"/>
        </w:rPr>
      </w:pPr>
      <w:r w:rsidRPr="00C82D88">
        <w:rPr>
          <w:rFonts w:ascii="Arial" w:hAnsi="Arial" w:cs="Arial"/>
          <w:b/>
          <w:i/>
          <w:color w:val="002060"/>
          <w:sz w:val="20"/>
          <w:szCs w:val="20"/>
        </w:rPr>
        <w:t>Основна цел:</w:t>
      </w:r>
    </w:p>
    <w:p w:rsidR="007F036F" w:rsidRPr="00C82D88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7F036F" w:rsidRPr="001D2DFD" w:rsidRDefault="007F036F" w:rsidP="007F036F">
      <w:pPr>
        <w:tabs>
          <w:tab w:val="left" w:pos="142"/>
        </w:tabs>
        <w:spacing w:line="360" w:lineRule="auto"/>
        <w:rPr>
          <w:rFonts w:ascii="Verdana" w:hAnsi="Verdana"/>
          <w:b/>
          <w:i/>
          <w:color w:val="002060"/>
          <w:sz w:val="20"/>
          <w:szCs w:val="20"/>
        </w:rPr>
      </w:pPr>
    </w:p>
    <w:p w:rsidR="00126C50" w:rsidRPr="00A25E66" w:rsidRDefault="00126C50" w:rsidP="00A25E66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126C50" w:rsidRDefault="00126C50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210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126C50" w:rsidRPr="006A32D5" w:rsidTr="00126C50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C50" w:rsidRPr="006A32D5" w:rsidRDefault="00126C50" w:rsidP="00126C50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6A32D5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6A32D5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Преки безвъзмездни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C50" w:rsidRPr="006A32D5" w:rsidRDefault="00126C50" w:rsidP="00126C50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126C50" w:rsidRDefault="00126C50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p w:rsidR="007F036F" w:rsidRPr="006A32D5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6A32D5">
        <w:rPr>
          <w:rFonts w:ascii="Arial" w:hAnsi="Arial" w:cs="Arial"/>
          <w:b/>
          <w:i/>
          <w:color w:val="002060"/>
          <w:sz w:val="18"/>
          <w:szCs w:val="18"/>
        </w:rPr>
        <w:t>Форма на помощта:</w:t>
      </w:r>
    </w:p>
    <w:p w:rsidR="007F036F" w:rsidRPr="006A32D5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19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7F036F" w:rsidRPr="006A32D5" w:rsidTr="005E5B0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6F" w:rsidRPr="006A32D5" w:rsidRDefault="007F036F" w:rsidP="005E5B0A">
            <w:pPr>
              <w:jc w:val="both"/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</w:pPr>
            <w:r w:rsidRPr="006A32D5"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  <w:t> </w:t>
            </w:r>
            <w:r w:rsidRPr="006A32D5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 xml:space="preserve">До </w:t>
            </w:r>
            <w:bookmarkStart w:id="0" w:name="_GoBack"/>
            <w:r w:rsidR="00E1181B" w:rsidRPr="006A32D5">
              <w:rPr>
                <w:rFonts w:ascii="Arial" w:hAnsi="Arial" w:cs="Arial"/>
                <w:iCs/>
                <w:color w:val="002060"/>
                <w:sz w:val="18"/>
                <w:szCs w:val="18"/>
              </w:rPr>
              <w:t>290 000 евро (567 191 лв</w:t>
            </w:r>
            <w:r w:rsidR="00E1181B" w:rsidRPr="006A32D5">
              <w:rPr>
                <w:rFonts w:ascii="Arial" w:hAnsi="Arial" w:cs="Arial"/>
                <w:iCs/>
                <w:sz w:val="18"/>
                <w:szCs w:val="18"/>
              </w:rPr>
              <w:t xml:space="preserve">.) </w:t>
            </w:r>
            <w:bookmarkEnd w:id="0"/>
            <w:r w:rsidRPr="006A32D5">
              <w:rPr>
                <w:rFonts w:ascii="Arial" w:eastAsia="Times New Roman" w:hAnsi="Arial" w:cs="Arial"/>
                <w:color w:val="002060"/>
                <w:sz w:val="18"/>
                <w:szCs w:val="18"/>
                <w:lang w:eastAsia="en-US"/>
              </w:rPr>
              <w:t>на предприятие с дейност в първичното производство на селскостопански продукти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6F" w:rsidRPr="006A32D5" w:rsidRDefault="007F036F" w:rsidP="005E5B0A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7F036F" w:rsidRPr="006A32D5" w:rsidRDefault="007F036F" w:rsidP="007F036F">
      <w:pPr>
        <w:pStyle w:val="ListParagraph"/>
        <w:tabs>
          <w:tab w:val="left" w:pos="142"/>
        </w:tabs>
        <w:spacing w:line="360" w:lineRule="auto"/>
        <w:ind w:left="1080"/>
        <w:rPr>
          <w:rFonts w:ascii="Arial" w:hAnsi="Arial" w:cs="Arial"/>
          <w:b/>
          <w:i/>
          <w:color w:val="002060"/>
          <w:sz w:val="18"/>
          <w:szCs w:val="18"/>
        </w:rPr>
      </w:pPr>
      <w:r w:rsidRPr="006A32D5">
        <w:rPr>
          <w:rFonts w:ascii="Arial" w:hAnsi="Arial" w:cs="Arial"/>
          <w:b/>
          <w:i/>
          <w:color w:val="002060"/>
          <w:sz w:val="18"/>
          <w:szCs w:val="18"/>
        </w:rPr>
        <w:t>Интензитет:</w:t>
      </w:r>
    </w:p>
    <w:p w:rsidR="007F036F" w:rsidRPr="006A32D5" w:rsidRDefault="007F036F" w:rsidP="007F036F">
      <w:pPr>
        <w:tabs>
          <w:tab w:val="left" w:pos="142"/>
        </w:tabs>
        <w:spacing w:line="360" w:lineRule="auto"/>
        <w:rPr>
          <w:rFonts w:ascii="Arial" w:hAnsi="Arial" w:cs="Arial"/>
          <w:b/>
          <w:i/>
          <w:color w:val="002060"/>
          <w:sz w:val="18"/>
          <w:szCs w:val="18"/>
        </w:rPr>
      </w:pPr>
    </w:p>
    <w:tbl>
      <w:tblPr>
        <w:tblpPr w:leftFromText="180" w:rightFromText="180" w:vertAnchor="text" w:horzAnchor="margin" w:tblpXSpec="right" w:tblpY="5"/>
        <w:tblW w:w="6200" w:type="dxa"/>
        <w:tblLook w:val="04A0" w:firstRow="1" w:lastRow="0" w:firstColumn="1" w:lastColumn="0" w:noHBand="0" w:noVBand="1"/>
      </w:tblPr>
      <w:tblGrid>
        <w:gridCol w:w="5240"/>
        <w:gridCol w:w="960"/>
      </w:tblGrid>
      <w:tr w:rsidR="007F036F" w:rsidRPr="006A32D5" w:rsidTr="005E5B0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36F" w:rsidRPr="006A32D5" w:rsidRDefault="007F036F" w:rsidP="005E5B0A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6A32D5">
              <w:rPr>
                <w:rFonts w:ascii="Arial" w:hAnsi="Arial" w:cs="Arial"/>
                <w:color w:val="002060"/>
                <w:sz w:val="18"/>
                <w:szCs w:val="18"/>
              </w:rPr>
              <w:t xml:space="preserve">Закон за мерките и действията по време на извънредното положение, обявено с Решение на Народното събрание от 13.03.2020 г. и за преодоляване на последиците;Чл. 11, ал. 2, т. 1 и чл. 12, ал. 1, т. 2 от Закона за подпомагане на земеделските производители; Точка 3.1. и </w:t>
            </w:r>
            <w:proofErr w:type="spellStart"/>
            <w:r w:rsidRPr="006A32D5">
              <w:rPr>
                <w:rFonts w:ascii="Arial" w:hAnsi="Arial" w:cs="Arial"/>
                <w:color w:val="002060"/>
                <w:sz w:val="18"/>
                <w:szCs w:val="18"/>
              </w:rPr>
              <w:t>съотносимите</w:t>
            </w:r>
            <w:proofErr w:type="spellEnd"/>
            <w:r w:rsidRPr="006A32D5">
              <w:rPr>
                <w:rFonts w:ascii="Arial" w:hAnsi="Arial" w:cs="Arial"/>
                <w:color w:val="002060"/>
                <w:sz w:val="18"/>
                <w:szCs w:val="18"/>
              </w:rPr>
              <w:t xml:space="preserve"> разпоредби от Временната рамка за мерки за държавна помощ в подкрепа на икономиката в условията на сегашния епидемичен взрив от COVID – 19 (Временна рамка).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36F" w:rsidRPr="006A32D5" w:rsidRDefault="007F036F" w:rsidP="005E5B0A">
            <w:pPr>
              <w:rPr>
                <w:rFonts w:ascii="Arial" w:eastAsia="Times New Roman" w:hAnsi="Arial" w:cs="Arial"/>
                <w:color w:val="002060"/>
                <w:sz w:val="18"/>
                <w:szCs w:val="18"/>
                <w:lang w:val="en-US" w:eastAsia="en-US"/>
              </w:rPr>
            </w:pPr>
          </w:p>
        </w:tc>
      </w:tr>
    </w:tbl>
    <w:p w:rsidR="00AB79B0" w:rsidRDefault="00AB79B0" w:rsidP="00DE7E39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AB79B0" w:rsidRDefault="00AB79B0" w:rsidP="00DE7E39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AB79B0" w:rsidRDefault="00AB79B0" w:rsidP="00DE7E39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AB79B0" w:rsidRDefault="00AB79B0" w:rsidP="00DE7E39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AB79B0" w:rsidRPr="002A2039" w:rsidRDefault="00AB79B0" w:rsidP="00AB79B0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AB79B0" w:rsidRPr="002A2039" w:rsidRDefault="00AB79B0" w:rsidP="00AB79B0">
      <w:pPr>
        <w:pStyle w:val="ListParagraph"/>
        <w:tabs>
          <w:tab w:val="left" w:pos="142"/>
        </w:tabs>
        <w:spacing w:line="360" w:lineRule="auto"/>
        <w:ind w:left="1080"/>
        <w:rPr>
          <w:rFonts w:ascii="Verdana" w:hAnsi="Verdana"/>
          <w:b/>
          <w:i/>
          <w:color w:val="002060"/>
          <w:sz w:val="20"/>
          <w:szCs w:val="20"/>
        </w:rPr>
      </w:pPr>
    </w:p>
    <w:p w:rsidR="004B57BA" w:rsidRDefault="004B57BA" w:rsidP="00E1181B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4B57BA" w:rsidRDefault="004B57BA" w:rsidP="00E1181B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</w:p>
    <w:p w:rsidR="00AB79B0" w:rsidRPr="00E1181B" w:rsidRDefault="007F036F" w:rsidP="00E1181B">
      <w:pPr>
        <w:pStyle w:val="ListParagraph"/>
        <w:tabs>
          <w:tab w:val="left" w:pos="142"/>
        </w:tabs>
        <w:spacing w:line="360" w:lineRule="auto"/>
        <w:ind w:left="1080"/>
        <w:jc w:val="both"/>
        <w:rPr>
          <w:rFonts w:ascii="Verdana" w:hAnsi="Verdana"/>
          <w:i/>
          <w:color w:val="808080" w:themeColor="background1" w:themeShade="80"/>
          <w:sz w:val="16"/>
          <w:szCs w:val="16"/>
        </w:rPr>
      </w:pP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Връзката ТУК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>*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 xml:space="preserve"> става активна при позициониране на мишката и натискане на клавиша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  <w:lang w:val="en-US"/>
        </w:rPr>
        <w:t xml:space="preserve">Ctrl  </w:t>
      </w:r>
      <w:r w:rsidRPr="002A2039">
        <w:rPr>
          <w:rFonts w:ascii="Verdana" w:hAnsi="Verdana"/>
          <w:i/>
          <w:color w:val="808080" w:themeColor="background1" w:themeShade="80"/>
          <w:sz w:val="16"/>
          <w:szCs w:val="16"/>
        </w:rPr>
        <w:t>от клавиатурата.</w:t>
      </w:r>
    </w:p>
    <w:sectPr w:rsidR="00AB79B0" w:rsidRPr="00E1181B" w:rsidSect="009E0125">
      <w:pgSz w:w="11906" w:h="16838"/>
      <w:pgMar w:top="540" w:right="1106" w:bottom="8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2C56"/>
    <w:multiLevelType w:val="hybridMultilevel"/>
    <w:tmpl w:val="11428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0E7"/>
    <w:multiLevelType w:val="hybridMultilevel"/>
    <w:tmpl w:val="92CAB1DC"/>
    <w:lvl w:ilvl="0" w:tplc="04090009">
      <w:start w:val="1"/>
      <w:numFmt w:val="bullet"/>
      <w:lvlText w:val=""/>
      <w:lvlJc w:val="left"/>
      <w:pPr>
        <w:ind w:left="48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760077"/>
    <w:multiLevelType w:val="hybridMultilevel"/>
    <w:tmpl w:val="2B4EB4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000CE0"/>
    <w:multiLevelType w:val="hybridMultilevel"/>
    <w:tmpl w:val="FA66C67A"/>
    <w:lvl w:ilvl="0" w:tplc="D7F6A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4D1840"/>
    <w:multiLevelType w:val="hybridMultilevel"/>
    <w:tmpl w:val="47C2341E"/>
    <w:lvl w:ilvl="0" w:tplc="C60C300E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2865CD"/>
    <w:multiLevelType w:val="hybridMultilevel"/>
    <w:tmpl w:val="75BACE3A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5707617F"/>
    <w:multiLevelType w:val="hybridMultilevel"/>
    <w:tmpl w:val="346A1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322CA1"/>
    <w:multiLevelType w:val="hybridMultilevel"/>
    <w:tmpl w:val="CC6A911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6F8D54B7"/>
    <w:multiLevelType w:val="multilevel"/>
    <w:tmpl w:val="687261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185" w:hanging="465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36"/>
    <w:rsid w:val="00014F36"/>
    <w:rsid w:val="00023CD8"/>
    <w:rsid w:val="000260F0"/>
    <w:rsid w:val="00063702"/>
    <w:rsid w:val="0007510B"/>
    <w:rsid w:val="000E44E1"/>
    <w:rsid w:val="00126622"/>
    <w:rsid w:val="00126C50"/>
    <w:rsid w:val="001277E3"/>
    <w:rsid w:val="00127FB6"/>
    <w:rsid w:val="001470FD"/>
    <w:rsid w:val="00165AC4"/>
    <w:rsid w:val="001D2DFD"/>
    <w:rsid w:val="00203FF4"/>
    <w:rsid w:val="00210D54"/>
    <w:rsid w:val="00224806"/>
    <w:rsid w:val="002A2039"/>
    <w:rsid w:val="002C4C81"/>
    <w:rsid w:val="002F36DC"/>
    <w:rsid w:val="00333543"/>
    <w:rsid w:val="00395624"/>
    <w:rsid w:val="003A27B8"/>
    <w:rsid w:val="003F281E"/>
    <w:rsid w:val="004B57BA"/>
    <w:rsid w:val="004E7C8D"/>
    <w:rsid w:val="0050407F"/>
    <w:rsid w:val="0051674D"/>
    <w:rsid w:val="0053441A"/>
    <w:rsid w:val="005712F4"/>
    <w:rsid w:val="005A0AA6"/>
    <w:rsid w:val="00601B58"/>
    <w:rsid w:val="00640CBE"/>
    <w:rsid w:val="006714ED"/>
    <w:rsid w:val="00673DA4"/>
    <w:rsid w:val="006929EE"/>
    <w:rsid w:val="00694627"/>
    <w:rsid w:val="006A062F"/>
    <w:rsid w:val="006A18EF"/>
    <w:rsid w:val="006A32D5"/>
    <w:rsid w:val="006F5F80"/>
    <w:rsid w:val="00703CE9"/>
    <w:rsid w:val="00714271"/>
    <w:rsid w:val="00744478"/>
    <w:rsid w:val="00780290"/>
    <w:rsid w:val="0078098B"/>
    <w:rsid w:val="00794A1B"/>
    <w:rsid w:val="007B20FE"/>
    <w:rsid w:val="007B7915"/>
    <w:rsid w:val="007D4121"/>
    <w:rsid w:val="007F036F"/>
    <w:rsid w:val="00847AE4"/>
    <w:rsid w:val="00874409"/>
    <w:rsid w:val="00884711"/>
    <w:rsid w:val="008B618B"/>
    <w:rsid w:val="009241E8"/>
    <w:rsid w:val="00944CC5"/>
    <w:rsid w:val="009813F2"/>
    <w:rsid w:val="009C3F44"/>
    <w:rsid w:val="009C4750"/>
    <w:rsid w:val="009E0125"/>
    <w:rsid w:val="00A01A46"/>
    <w:rsid w:val="00A1414A"/>
    <w:rsid w:val="00A25E66"/>
    <w:rsid w:val="00A8536A"/>
    <w:rsid w:val="00AB79B0"/>
    <w:rsid w:val="00AF3C1F"/>
    <w:rsid w:val="00B334A9"/>
    <w:rsid w:val="00B4530B"/>
    <w:rsid w:val="00B724BF"/>
    <w:rsid w:val="00B74DDD"/>
    <w:rsid w:val="00B81878"/>
    <w:rsid w:val="00BB1429"/>
    <w:rsid w:val="00BF315F"/>
    <w:rsid w:val="00C144BB"/>
    <w:rsid w:val="00C5312A"/>
    <w:rsid w:val="00C82D88"/>
    <w:rsid w:val="00CA5AC1"/>
    <w:rsid w:val="00D61FF3"/>
    <w:rsid w:val="00D721F6"/>
    <w:rsid w:val="00DA0097"/>
    <w:rsid w:val="00DB6608"/>
    <w:rsid w:val="00DE7E39"/>
    <w:rsid w:val="00DF743E"/>
    <w:rsid w:val="00E04ACD"/>
    <w:rsid w:val="00E1181B"/>
    <w:rsid w:val="00E1321C"/>
    <w:rsid w:val="00E1762B"/>
    <w:rsid w:val="00EB3961"/>
    <w:rsid w:val="00EC5225"/>
    <w:rsid w:val="00ED3830"/>
    <w:rsid w:val="00ED7DCB"/>
    <w:rsid w:val="00EF5B2B"/>
    <w:rsid w:val="00F17C0D"/>
    <w:rsid w:val="00F261F8"/>
    <w:rsid w:val="00F72D70"/>
    <w:rsid w:val="00F8209E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0D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8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rsid w:val="009C3F44"/>
    <w:pPr>
      <w:spacing w:before="150" w:after="150"/>
      <w:ind w:left="675" w:right="525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2B"/>
    <w:rPr>
      <w:rFonts w:ascii="Tahoma" w:hAnsi="Tahoma" w:cs="Tahoma"/>
      <w:sz w:val="16"/>
      <w:szCs w:val="16"/>
      <w:lang w:eastAsia="bg-BG"/>
    </w:rPr>
  </w:style>
  <w:style w:type="character" w:styleId="Strong">
    <w:name w:val="Strong"/>
    <w:uiPriority w:val="22"/>
    <w:qFormat/>
    <w:rsid w:val="00210D54"/>
    <w:rPr>
      <w:b/>
      <w:bCs/>
    </w:rPr>
  </w:style>
  <w:style w:type="character" w:styleId="Hyperlink">
    <w:name w:val="Hyperlink"/>
    <w:rsid w:val="005712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96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1674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0D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81"/>
    <w:pPr>
      <w:ind w:left="720"/>
      <w:contextualSpacing/>
    </w:pPr>
    <w:rPr>
      <w:rFonts w:eastAsia="Times New Roman" w:cs="Times New Roman"/>
    </w:rPr>
  </w:style>
  <w:style w:type="paragraph" w:styleId="NormalWeb">
    <w:name w:val="Normal (Web)"/>
    <w:basedOn w:val="Normal"/>
    <w:rsid w:val="009C3F44"/>
    <w:pPr>
      <w:spacing w:before="150" w:after="150"/>
      <w:ind w:left="675" w:right="525"/>
    </w:pPr>
    <w:rPr>
      <w:rFonts w:ascii="Times New Roman" w:eastAsia="Times New Roman" w:hAnsi="Times New Roman" w:cs="Times New Roman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2B"/>
    <w:rPr>
      <w:rFonts w:ascii="Tahoma" w:hAnsi="Tahoma" w:cs="Tahoma"/>
      <w:sz w:val="16"/>
      <w:szCs w:val="16"/>
      <w:lang w:eastAsia="bg-BG"/>
    </w:rPr>
  </w:style>
  <w:style w:type="character" w:styleId="Strong">
    <w:name w:val="Strong"/>
    <w:uiPriority w:val="22"/>
    <w:qFormat/>
    <w:rsid w:val="00210D54"/>
    <w:rPr>
      <w:b/>
      <w:bCs/>
    </w:rPr>
  </w:style>
  <w:style w:type="character" w:styleId="Hyperlink">
    <w:name w:val="Hyperlink"/>
    <w:rsid w:val="005712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96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1674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petition/state_aid/cases1/202147/SA_100255_5010FF7C-0000-CB40-B745-F5F95F57D7B9_40_1.pdf" TargetMode="External"/><Relationship Id="rId13" Type="http://schemas.openxmlformats.org/officeDocument/2006/relationships/hyperlink" Target="https://www.dfz.bg/bg/darzhavni-pomoshti/vremenna-ramka-covid-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fz.bg/assets/19267/Ukazania_Vremenna_myarka_pogashenia_krediti_UDAJAVANE_SROK_VTORO.pdf" TargetMode="External"/><Relationship Id="rId12" Type="http://schemas.openxmlformats.org/officeDocument/2006/relationships/hyperlink" Target="https://ec.europa.eu/competition/state_aid/cases1/202216/SA_102392_50C41D80-0000-CCB7-B533-2AC466ED2A44_26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competition/state_aid/cases1/202035/287634_2184419_53_4.pdf" TargetMode="External"/><Relationship Id="rId11" Type="http://schemas.openxmlformats.org/officeDocument/2006/relationships/hyperlink" Target="https://www.dfz.bg/assets/21342/%D0%A3%D0%BA%D0%B0%D0%B7%D0%B0%D0%BD%D0%B8%D1%8F_-_%D1%80%D0%BE%D0%B7%D0%BE%D0%BF%D1%80%D0%BE%D0%B8%D0%B7%D0%B2%D0%BE%D0%B4%D0%B8%D1%82%D0%B5%D0%BB%D0%B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competition/state_aid/cases1/202128/295193_2297477_74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fz.bg/assets/21582/Ukazania_Vremenna_miarka_EPJ_DPJ_Pcheli_Plodove_Zelenchuci_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Zhivko Petkov</dc:creator>
  <cp:lastModifiedBy>Hristina Pavlova</cp:lastModifiedBy>
  <cp:revision>5</cp:revision>
  <dcterms:created xsi:type="dcterms:W3CDTF">2022-05-17T08:50:00Z</dcterms:created>
  <dcterms:modified xsi:type="dcterms:W3CDTF">2022-05-19T10:59:00Z</dcterms:modified>
</cp:coreProperties>
</file>