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3"/>
        <w:gridCol w:w="5216"/>
        <w:gridCol w:w="7"/>
      </w:tblGrid>
      <w:tr w:rsidR="00076E63" w:rsidRPr="003C124D" w:rsidTr="00E37B57">
        <w:trPr>
          <w:trHeight w:val="524"/>
          <w:jc w:val="center"/>
        </w:trPr>
        <w:tc>
          <w:tcPr>
            <w:tcW w:w="10266" w:type="dxa"/>
            <w:gridSpan w:val="3"/>
            <w:shd w:val="clear" w:color="auto" w:fill="D9D9D9"/>
          </w:tcPr>
          <w:p w:rsidR="00076E63" w:rsidRPr="00FE55C5" w:rsidRDefault="00FE55C5" w:rsidP="009E0BC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E5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Частична предварителна оценка на въздействието</w:t>
            </w:r>
          </w:p>
        </w:tc>
      </w:tr>
      <w:tr w:rsidR="00076E63" w:rsidRPr="00076E63" w:rsidTr="00E37B57">
        <w:trPr>
          <w:gridAfter w:val="1"/>
          <w:wAfter w:w="7" w:type="dxa"/>
          <w:jc w:val="center"/>
        </w:trPr>
        <w:tc>
          <w:tcPr>
            <w:tcW w:w="5043" w:type="dxa"/>
          </w:tcPr>
          <w:p w:rsidR="00076E63" w:rsidRDefault="00076E63" w:rsidP="009E0BC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Институция:</w:t>
            </w:r>
          </w:p>
          <w:p w:rsidR="00591D7E" w:rsidRPr="00E70694" w:rsidRDefault="00591D7E" w:rsidP="009E0BC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70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Министерство на земеделието</w:t>
            </w:r>
          </w:p>
          <w:p w:rsidR="00076E63" w:rsidRPr="00E37B57" w:rsidRDefault="00FC648C" w:rsidP="009E0BC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37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Изпълнителна агенция по лозата и виното</w:t>
            </w:r>
          </w:p>
          <w:p w:rsidR="00A305D6" w:rsidRPr="00076E63" w:rsidRDefault="00A305D6" w:rsidP="009E0BC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216" w:type="dxa"/>
          </w:tcPr>
          <w:p w:rsidR="00076E63" w:rsidRPr="00076E63" w:rsidRDefault="00076E63" w:rsidP="009E0BC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Нормативен акт:</w:t>
            </w:r>
          </w:p>
          <w:p w:rsidR="00076E63" w:rsidRPr="00076E63" w:rsidRDefault="00C947D1" w:rsidP="009E0BC8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before="40" w:after="40" w:line="2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 на Постановление </w:t>
            </w:r>
            <w:r w:rsidR="005045C4" w:rsidRPr="00C5618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Министерския съвет </w:t>
            </w:r>
            <w:r w:rsidRPr="00C5618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</w:t>
            </w:r>
            <w:r w:rsidR="00A07C07" w:rsidRPr="00C5618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приема</w:t>
            </w:r>
            <w:r w:rsidRPr="00C5618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на </w:t>
            </w:r>
            <w:r w:rsidR="00FC648C" w:rsidRPr="00C5618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Тарифа за таксите</w:t>
            </w:r>
            <w:r w:rsidRPr="00C5618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които се събират от Изпълнителна</w:t>
            </w:r>
            <w:r w:rsidR="000A0443" w:rsidRPr="00C5618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</w:t>
            </w:r>
            <w:r w:rsidRPr="00C5618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агенция по лозата и виното</w:t>
            </w:r>
            <w:r w:rsidR="00A07C07" w:rsidRPr="00C5618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076E63" w:rsidRPr="00076E63" w:rsidTr="00E37B57">
        <w:trPr>
          <w:gridAfter w:val="1"/>
          <w:wAfter w:w="7" w:type="dxa"/>
          <w:jc w:val="center"/>
        </w:trPr>
        <w:tc>
          <w:tcPr>
            <w:tcW w:w="5043" w:type="dxa"/>
          </w:tcPr>
          <w:p w:rsidR="00076E63" w:rsidRPr="00076E63" w:rsidRDefault="00076E63" w:rsidP="009E0BC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202.5pt;height:39.75pt" o:ole="">
                  <v:imagedata r:id="rId9" o:title=""/>
                </v:shape>
                <w:control r:id="rId10" w:name="OptionButton2" w:shapeid="_x0000_i1059"/>
              </w:object>
            </w:r>
          </w:p>
        </w:tc>
        <w:tc>
          <w:tcPr>
            <w:tcW w:w="5216" w:type="dxa"/>
          </w:tcPr>
          <w:p w:rsidR="00076E63" w:rsidRPr="00076E63" w:rsidRDefault="00076E63" w:rsidP="009E0BC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object w:dxaOrig="225" w:dyaOrig="225">
                <v:shape id="_x0000_i1061" type="#_x0000_t75" style="width:202.5pt;height:39pt" o:ole="">
                  <v:imagedata r:id="rId11" o:title=""/>
                </v:shape>
                <w:control r:id="rId12" w:name="OptionButton1" w:shapeid="_x0000_i1061"/>
              </w:object>
            </w:r>
          </w:p>
        </w:tc>
      </w:tr>
      <w:tr w:rsidR="00076E63" w:rsidRPr="00076E63" w:rsidTr="00E37B57">
        <w:trPr>
          <w:gridAfter w:val="1"/>
          <w:wAfter w:w="7" w:type="dxa"/>
          <w:jc w:val="center"/>
        </w:trPr>
        <w:tc>
          <w:tcPr>
            <w:tcW w:w="5043" w:type="dxa"/>
            <w:tcBorders>
              <w:bottom w:val="nil"/>
            </w:tcBorders>
          </w:tcPr>
          <w:p w:rsidR="00076E63" w:rsidRPr="00E70694" w:rsidRDefault="00076E63" w:rsidP="009E0BC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70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Лиц</w:t>
            </w:r>
            <w:r w:rsidR="00F87452" w:rsidRPr="00E70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Pr="00E70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за контакт:</w:t>
            </w:r>
          </w:p>
          <w:p w:rsidR="002E145A" w:rsidRPr="00E70694" w:rsidRDefault="00C947D1" w:rsidP="009E0BC8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before="40" w:after="40" w:line="2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7069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Даниела </w:t>
            </w:r>
            <w:proofErr w:type="spellStart"/>
            <w:r w:rsidRPr="00E7069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Фърцова</w:t>
            </w:r>
            <w:proofErr w:type="spellEnd"/>
            <w:r w:rsidRPr="00E7069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– </w:t>
            </w:r>
            <w:r w:rsidR="00591D7E" w:rsidRPr="00E7069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главен директор на Главна дирекция „Контрол в </w:t>
            </w:r>
            <w:proofErr w:type="spellStart"/>
            <w:r w:rsidR="00591D7E" w:rsidRPr="00E7069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лозаро-винарския</w:t>
            </w:r>
            <w:proofErr w:type="spellEnd"/>
            <w:r w:rsidR="00591D7E" w:rsidRPr="00E7069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сектор“;</w:t>
            </w:r>
          </w:p>
        </w:tc>
        <w:tc>
          <w:tcPr>
            <w:tcW w:w="5216" w:type="dxa"/>
            <w:tcBorders>
              <w:bottom w:val="nil"/>
            </w:tcBorders>
          </w:tcPr>
          <w:p w:rsidR="00076E63" w:rsidRPr="00076E63" w:rsidRDefault="00076E63" w:rsidP="009E0BC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Телефон</w:t>
            </w:r>
            <w:r w:rsidR="00600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ел. поща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:rsidR="00E37B57" w:rsidRDefault="00E37B57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37B5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телефон за връзка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: 0</w:t>
            </w:r>
            <w:r w:rsidR="00C947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2 9708 116</w:t>
            </w:r>
          </w:p>
          <w:p w:rsidR="002E145A" w:rsidRPr="00E95186" w:rsidRDefault="00E37B57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37B5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електронна поща:</w:t>
            </w:r>
            <w:r w:rsidR="00C947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hyperlink r:id="rId13" w:history="1">
              <w:r w:rsidR="0060589E" w:rsidRPr="00B46F5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d.fartzova@eavw.com</w:t>
              </w:r>
            </w:hyperlink>
          </w:p>
        </w:tc>
      </w:tr>
      <w:tr w:rsidR="00E95186" w:rsidRPr="00076E63" w:rsidTr="00E37B57">
        <w:trPr>
          <w:gridAfter w:val="1"/>
          <w:wAfter w:w="7" w:type="dxa"/>
          <w:jc w:val="center"/>
        </w:trPr>
        <w:tc>
          <w:tcPr>
            <w:tcW w:w="5043" w:type="dxa"/>
            <w:tcBorders>
              <w:top w:val="nil"/>
              <w:bottom w:val="nil"/>
            </w:tcBorders>
          </w:tcPr>
          <w:p w:rsidR="00E95186" w:rsidRPr="00E70694" w:rsidRDefault="00E95186" w:rsidP="009E0BC8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before="40" w:after="40" w:line="2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7069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Константин Драганов – началник на отдел „Регулаторни мерки и производствен потенциал“;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 w:rsidR="00E37B57" w:rsidRDefault="00E37B57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37B5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телефон за връзка: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</w:t>
            </w:r>
            <w:r w:rsidR="00E9518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2 9708 113</w:t>
            </w:r>
          </w:p>
          <w:p w:rsidR="00E95186" w:rsidRPr="00076E63" w:rsidRDefault="00E37B57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37B5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електронна поща: </w:t>
            </w:r>
            <w:hyperlink r:id="rId14" w:history="1">
              <w:r w:rsidR="00E95186" w:rsidRPr="00B46F5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kdraganov@eavw.com</w:t>
              </w:r>
            </w:hyperlink>
          </w:p>
        </w:tc>
      </w:tr>
      <w:tr w:rsidR="00E95186" w:rsidRPr="00076E63" w:rsidTr="00E37B57">
        <w:trPr>
          <w:gridAfter w:val="1"/>
          <w:wAfter w:w="7" w:type="dxa"/>
          <w:trHeight w:val="1260"/>
          <w:jc w:val="center"/>
        </w:trPr>
        <w:tc>
          <w:tcPr>
            <w:tcW w:w="5043" w:type="dxa"/>
            <w:tcBorders>
              <w:top w:val="nil"/>
            </w:tcBorders>
          </w:tcPr>
          <w:p w:rsidR="00E95186" w:rsidRPr="00E70694" w:rsidRDefault="00E95186" w:rsidP="009E0BC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7069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Мария Божилова – </w:t>
            </w:r>
            <w:r w:rsidRPr="00161DD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>главен юрисконсулт, дирекция „Административно, правно обслужване и финансово-стопански дейности“.</w:t>
            </w:r>
          </w:p>
        </w:tc>
        <w:tc>
          <w:tcPr>
            <w:tcW w:w="5216" w:type="dxa"/>
            <w:tcBorders>
              <w:top w:val="nil"/>
            </w:tcBorders>
          </w:tcPr>
          <w:p w:rsidR="00DF5A00" w:rsidRDefault="00DF5A00" w:rsidP="009E0BC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F5A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телефон за връзка: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</w:t>
            </w:r>
            <w:r w:rsidR="00E9518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2 9708 120</w:t>
            </w:r>
          </w:p>
          <w:p w:rsidR="00E95186" w:rsidRPr="00076E63" w:rsidRDefault="00DF5A00" w:rsidP="009E0BC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F5A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електронна поща:</w:t>
            </w:r>
            <w:r w:rsidR="00E9518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hyperlink r:id="rId15" w:history="1">
              <w:r w:rsidR="00E95186" w:rsidRPr="00537D5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mbojilova@eavw.com</w:t>
              </w:r>
            </w:hyperlink>
          </w:p>
        </w:tc>
      </w:tr>
      <w:tr w:rsidR="00076E63" w:rsidRPr="003C124D" w:rsidTr="00E37B57">
        <w:trPr>
          <w:jc w:val="center"/>
        </w:trPr>
        <w:tc>
          <w:tcPr>
            <w:tcW w:w="10266" w:type="dxa"/>
            <w:gridSpan w:val="3"/>
          </w:tcPr>
          <w:p w:rsidR="00076E63" w:rsidRPr="00076E63" w:rsidRDefault="00076E63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1. </w:t>
            </w:r>
            <w:r w:rsidR="00113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Проблем/</w:t>
            </w:r>
            <w:r w:rsidR="009D4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</w:t>
            </w:r>
            <w:r w:rsidR="00113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 за решаване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</w:t>
            </w:r>
          </w:p>
          <w:p w:rsidR="00076E63" w:rsidRDefault="00076E63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 1 „</w:t>
            </w:r>
            <w:r w:rsidR="00510B50" w:rsidRPr="00562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Невъзможност за събиране на предвидените такси за извършваните административни услуги</w:t>
            </w:r>
            <w:r w:rsidRPr="00562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“</w:t>
            </w:r>
          </w:p>
          <w:p w:rsidR="001871C1" w:rsidRPr="00BE4013" w:rsidRDefault="001871C1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1.</w:t>
            </w:r>
            <w:proofErr w:type="spellStart"/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1</w:t>
            </w:r>
            <w:proofErr w:type="spellEnd"/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. Кратко опи</w:t>
            </w:r>
            <w:r w:rsidR="004E3441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ш</w:t>
            </w: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е</w:t>
            </w:r>
            <w:r w:rsidR="004E3441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те</w:t>
            </w: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 проблема/проблемите и причините за неговото/тяхното възникване</w:t>
            </w:r>
            <w:r w:rsidR="004E3441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. По възможност посочете числови стойности.</w:t>
            </w: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 </w:t>
            </w:r>
          </w:p>
          <w:p w:rsidR="00CE2708" w:rsidRDefault="002E073E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След </w:t>
            </w:r>
            <w:r w:rsidR="0090413B" w:rsidRPr="0090413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проведена комуникация с Европейската комисия и направен анализ на отправените бележки, както и </w:t>
            </w:r>
            <w:r w:rsidR="0090413B" w:rsidRPr="0090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след идентифициране на основни слабости и трудности, съществуващи към момента в резултат на прилагането на действащия Закон за виното и спиртните напитки (ЗВСН), </w:t>
            </w:r>
            <w:r w:rsidR="00EE4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Република </w:t>
            </w:r>
            <w:r w:rsidR="0090413B" w:rsidRPr="0090413B">
              <w:rPr>
                <w:rFonts w:ascii="Times New Roman" w:hAnsi="Times New Roman"/>
                <w:sz w:val="24"/>
                <w:szCs w:val="24"/>
                <w:lang w:val="bg-BG"/>
              </w:rPr>
              <w:t>България е поела ангажимент да подготви нов законопроект, съобразен с Европейското законодателство</w:t>
            </w:r>
            <w:r w:rsidR="0090413B" w:rsidRPr="0090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и проблемите, предизвикани от спецификите на националната организация в сектора</w:t>
            </w:r>
            <w:r w:rsidR="0090413B" w:rsidRPr="0090413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34342A" w:rsidRPr="0034342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34342A" w:rsidRPr="003434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момента предложените промени в законодателството, чрез проект на нов ЗВСН не са реализирани, което налага приемане на Тарифа за таксите, съгласно сега действащия закон. </w:t>
            </w:r>
            <w:r w:rsidR="005D0DAA">
              <w:rPr>
                <w:rFonts w:ascii="Times New Roman" w:hAnsi="Times New Roman"/>
                <w:sz w:val="24"/>
                <w:szCs w:val="24"/>
                <w:lang w:val="bg-BG"/>
              </w:rPr>
              <w:t>Прилаг</w:t>
            </w:r>
            <w:r w:rsidR="005B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а</w:t>
            </w:r>
            <w:r w:rsidR="005D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на</w:t>
            </w:r>
            <w:r w:rsidR="005B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та</w:t>
            </w:r>
            <w:r w:rsidR="00FB7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в момента</w:t>
            </w:r>
            <w:r w:rsidR="005B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="00510B5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Тарифа</w:t>
            </w:r>
            <w:r w:rsidR="00510B50" w:rsidRPr="003432A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за таксите</w:t>
            </w:r>
            <w:r w:rsidR="001C223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 които се събират от Изпълнителна агенция по лозата и виното</w:t>
            </w:r>
            <w:r w:rsidR="00510B50" w:rsidRPr="00CE270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B014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е </w:t>
            </w:r>
            <w:r w:rsidR="001C223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приета с ПМС № 337 от 2006 г. </w:t>
            </w:r>
            <w:r w:rsidR="00FB747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на основание </w:t>
            </w:r>
            <w:r w:rsidR="001C223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§ 1а от допълнителните разпоредби на </w:t>
            </w:r>
            <w:r w:rsidR="00A433A5" w:rsidRPr="0090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Закон</w:t>
            </w:r>
            <w:r w:rsidR="001C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а</w:t>
            </w:r>
            <w:r w:rsidR="00A433A5" w:rsidRPr="0090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за виното и спиртните напитки </w:t>
            </w:r>
            <w:r w:rsidR="00A433A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(</w:t>
            </w:r>
            <w:r w:rsidR="00A07C0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ЗВСН 1999</w:t>
            </w:r>
            <w:r w:rsidR="001C223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отм.</w:t>
            </w:r>
            <w:r w:rsidR="00A433A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)</w:t>
            </w:r>
            <w:r w:rsidR="001C223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</w:t>
            </w:r>
            <w:r w:rsidR="00510B5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3262E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Създалата се ситуация </w:t>
            </w:r>
            <w:r w:rsidR="00510B5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води до </w:t>
            </w:r>
            <w:r w:rsidR="00510B50" w:rsidRPr="00996CD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установ</w:t>
            </w:r>
            <w:r w:rsidR="00510B5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яване на </w:t>
            </w:r>
            <w:r w:rsidR="00510B50" w:rsidRPr="00996CD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специфични проблеми</w:t>
            </w:r>
            <w:r w:rsidR="00FB747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="00510B50" w:rsidRPr="00996CD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свързани с дейността на специализираната администрация, отговаряща за прилагането на закона и невъзможността за събиране на предвидените такси за извършваните административни </w:t>
            </w:r>
            <w:r w:rsidR="0034342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дейности и </w:t>
            </w:r>
            <w:r w:rsidR="00510B50" w:rsidRPr="00996CD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услуги.</w:t>
            </w:r>
            <w:r w:rsidR="008A6ECE" w:rsidRPr="008A6EC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Стойностите в </w:t>
            </w:r>
            <w:r w:rsidR="00A07C0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досега действащата </w:t>
            </w:r>
            <w:r w:rsidR="008A6ECE" w:rsidRPr="008A6EC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тарифа не са актуализирани и привеждани в съответствие с действащите пазарни </w:t>
            </w:r>
            <w:r w:rsidR="0009056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цени </w:t>
            </w:r>
            <w:r w:rsidR="008A6ECE" w:rsidRPr="008A6EC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повече от 10</w:t>
            </w:r>
            <w:r w:rsidR="00394E0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8A6ECE" w:rsidRPr="008A6EC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</w:t>
            </w:r>
            <w:r w:rsidR="00394E0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одини</w:t>
            </w:r>
            <w:r w:rsidR="008A6ECE" w:rsidRPr="008A6EC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9211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853CCB" w:rsidRPr="00853CCB" w:rsidRDefault="00B03726" w:rsidP="009E0BC8">
            <w:pPr>
              <w:spacing w:before="40" w:after="4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71637C"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сега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действащата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Тарифа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съществува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препращане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към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разпоредби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отменения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Закон за виното и спиртните напитки (ЗВСН 1999 отм.)</w:t>
            </w:r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които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съответстват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текстовете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които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сила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момента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3726" w:rsidRPr="00601B14" w:rsidRDefault="00B03726" w:rsidP="009E0BC8">
            <w:pPr>
              <w:pStyle w:val="ListParagraph"/>
              <w:numPr>
                <w:ilvl w:val="0"/>
                <w:numId w:val="17"/>
              </w:numPr>
              <w:spacing w:before="40" w:after="40" w:line="276" w:lineRule="auto"/>
              <w:ind w:left="34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предвидено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законово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съществуването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такса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издаване на сертификат за </w:t>
            </w:r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безопасност на виното за вино, предназначено за износ в трети страни по чл. 2, ал. 8 от ЗВСН;</w:t>
            </w:r>
          </w:p>
          <w:p w:rsidR="00B03726" w:rsidRPr="00601B14" w:rsidRDefault="00B03726" w:rsidP="009E0BC8">
            <w:pPr>
              <w:pStyle w:val="ListParagraph"/>
              <w:numPr>
                <w:ilvl w:val="0"/>
                <w:numId w:val="17"/>
              </w:numPr>
              <w:spacing w:before="40" w:after="40" w:line="276" w:lineRule="auto"/>
              <w:ind w:left="34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предвидено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законово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съществуването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такса</w:t>
            </w:r>
            <w:proofErr w:type="spellEnd"/>
            <w:r w:rsidR="00E05E5A"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заверяване на сертификат за произход на грозде по чл. 10, ал. 2 от ЗВСН;</w:t>
            </w:r>
          </w:p>
          <w:p w:rsidR="00E05E5A" w:rsidRPr="00601B14" w:rsidRDefault="00E05E5A" w:rsidP="009E0BC8">
            <w:pPr>
              <w:pStyle w:val="ListParagraph"/>
              <w:numPr>
                <w:ilvl w:val="0"/>
                <w:numId w:val="17"/>
              </w:numPr>
              <w:spacing w:before="40" w:after="40" w:line="276" w:lineRule="auto"/>
              <w:ind w:left="34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предвидено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законово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съществуването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такса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разглеждане на заявление по чл. 30, ал. 2, т. 2 от ЗВСН за настъпила промяна на вписаните в лозарския регистър по чл. 27 от ЗВСН обстоятелства;</w:t>
            </w:r>
          </w:p>
          <w:p w:rsidR="00E05E5A" w:rsidRPr="00601B14" w:rsidRDefault="00E05E5A" w:rsidP="009E0BC8">
            <w:pPr>
              <w:pStyle w:val="ListParagraph"/>
              <w:numPr>
                <w:ilvl w:val="0"/>
                <w:numId w:val="17"/>
              </w:numPr>
              <w:spacing w:before="40" w:after="40" w:line="276" w:lineRule="auto"/>
              <w:ind w:left="34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предвидено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законово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съществуването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такса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разглеждане на заявление по чл. 32, ал. 2, във връзка с чл. 33, ал. 1 от ЗВСН за настъпила промяна в структурата на лозарското стопанство;</w:t>
            </w:r>
          </w:p>
          <w:p w:rsidR="00E05E5A" w:rsidRPr="00601B14" w:rsidRDefault="00E05E5A" w:rsidP="009E0BC8">
            <w:pPr>
              <w:pStyle w:val="ListParagraph"/>
              <w:numPr>
                <w:ilvl w:val="0"/>
                <w:numId w:val="17"/>
              </w:numPr>
              <w:spacing w:before="40" w:after="40" w:line="276" w:lineRule="auto"/>
              <w:ind w:left="34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предвидено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законово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съществуването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такса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издаване на удостоверение за производство на сортово вино по чл. 39, ал. 1 и ал. 2 от ЗВСН.</w:t>
            </w:r>
          </w:p>
          <w:p w:rsidR="00E05E5A" w:rsidRPr="00F029BA" w:rsidRDefault="00E05E5A" w:rsidP="009E0BC8">
            <w:pPr>
              <w:spacing w:before="40" w:after="4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  <w:p w:rsidR="006A0A27" w:rsidRDefault="006A0A27" w:rsidP="009E0BC8">
            <w:pPr>
              <w:spacing w:before="40" w:after="4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:rsidR="00BE4013" w:rsidRPr="00BE4013" w:rsidRDefault="00BE4013" w:rsidP="009E0BC8">
            <w:pPr>
              <w:spacing w:before="40" w:after="4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  <w:p w:rsidR="007E5851" w:rsidRDefault="00B50DC1" w:rsidP="009E0BC8">
            <w:pPr>
              <w:spacing w:before="40" w:after="4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6A0A27" w:rsidRPr="006A0A2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роблемът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може </w:t>
            </w:r>
            <w:r w:rsidR="006A0A27" w:rsidRPr="006A0A2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бъде</w:t>
            </w:r>
            <w:r w:rsidR="006A0A27" w:rsidRPr="006A0A2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решен </w:t>
            </w:r>
            <w:r w:rsidR="006A0A27" w:rsidRPr="006A0A2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чрез промяна в организацията на работа и/или чрез въвеждане на нови технологични възможности</w:t>
            </w:r>
            <w:r w:rsidR="00EA0A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тъй като основната причина за предложеното приемане на Тарифа за таксите, които се събират от Изпълнителна агенция по лозата и виното</w:t>
            </w:r>
            <w:r w:rsidR="0022203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="00EA0A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 въвеждането на нови такси, съгласно действащия ЗВСН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Таксите са предвидени </w:t>
            </w:r>
            <w:r w:rsidR="00585F8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 предоставяне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администра</w:t>
            </w:r>
            <w:r w:rsidR="00F16CD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вни услуги</w:t>
            </w:r>
            <w:r w:rsidR="00585F8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="00EA0A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85F8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заявени по искане на</w:t>
            </w:r>
            <w:r w:rsidR="00EA0A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физически и юридически лица</w:t>
            </w:r>
            <w:r w:rsidR="006A0A27" w:rsidRPr="006A0A2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EA0A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A705ED" w:rsidRPr="007E5851" w:rsidRDefault="00A705ED" w:rsidP="009E0BC8">
            <w:pPr>
              <w:spacing w:before="40" w:after="4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0A27" w:rsidRDefault="006A0A27" w:rsidP="009E0BC8">
            <w:pPr>
              <w:spacing w:before="40" w:after="4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1.3. Посочете защо действащата нормативна рамка не позволява решаване на проблема/проблемите.</w:t>
            </w:r>
          </w:p>
          <w:p w:rsidR="00BE4013" w:rsidRPr="00BE4013" w:rsidRDefault="00BE4013" w:rsidP="009E0BC8">
            <w:pPr>
              <w:spacing w:before="40" w:after="4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  <w:p w:rsidR="006A0A27" w:rsidRPr="006A0A27" w:rsidRDefault="006A0A27" w:rsidP="009E0BC8">
            <w:pPr>
              <w:spacing w:before="40" w:after="4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0A2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Действащата в момента Тарифа за таксите, които се събират от Изпълнителната агенция по лозата и виното е приета с ПМС № 337 от 2006 г. на основание § 1а от допълнителните разпоредби на Закона за виното и спиртните напитки (</w:t>
            </w:r>
            <w:r w:rsidR="00AC29A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ЗВСН 1999 </w:t>
            </w:r>
            <w:r w:rsidRPr="006A0A2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отм.)</w:t>
            </w:r>
          </w:p>
          <w:p w:rsidR="006A0A27" w:rsidRPr="006A0A27" w:rsidRDefault="006A0A27" w:rsidP="009E0BC8">
            <w:pPr>
              <w:spacing w:before="40" w:after="4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6A0A27" w:rsidRDefault="006A0A27" w:rsidP="009E0BC8">
            <w:pPr>
              <w:spacing w:before="40" w:after="4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1.4. Посочете дали са извършени </w:t>
            </w:r>
            <w:proofErr w:type="spellStart"/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последващи</w:t>
            </w:r>
            <w:proofErr w:type="spellEnd"/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 оценки на нормативния акт, или анализи за изпълнението на политиката и какви са резултатите от тях?</w:t>
            </w:r>
          </w:p>
          <w:p w:rsidR="00D27C60" w:rsidRPr="00BE4013" w:rsidRDefault="00D27C60" w:rsidP="009E0BC8">
            <w:pPr>
              <w:spacing w:before="40" w:after="4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  <w:p w:rsidR="006A0A27" w:rsidRDefault="006A0A27" w:rsidP="009E0BC8">
            <w:pPr>
              <w:spacing w:before="40" w:after="4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6A0A2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Последваща</w:t>
            </w:r>
            <w:proofErr w:type="spellEnd"/>
            <w:r w:rsidRPr="006A0A2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оценка на въздействие не е извършвана.</w:t>
            </w:r>
          </w:p>
          <w:p w:rsidR="00D27C60" w:rsidRDefault="00D27C60" w:rsidP="009E0BC8">
            <w:pPr>
              <w:spacing w:before="40" w:after="4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0A27" w:rsidRDefault="006A0A27" w:rsidP="009E0BC8">
            <w:pPr>
              <w:spacing w:before="40" w:after="4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1.5. Посочете задължителните действия, произтичащи от нормативни актове от по-висока степен или актове от правото на ЕС.</w:t>
            </w:r>
          </w:p>
          <w:p w:rsidR="00BE4013" w:rsidRPr="00BE4013" w:rsidRDefault="00BE4013" w:rsidP="009E0BC8">
            <w:pPr>
              <w:spacing w:before="40" w:after="4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  <w:p w:rsidR="006A0A27" w:rsidRPr="006A0A27" w:rsidRDefault="006A0A27" w:rsidP="009E0BC8">
            <w:pPr>
              <w:spacing w:before="40" w:after="4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0A2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 проекта не се транспонират актове на институции на Европейския съюз.</w:t>
            </w:r>
          </w:p>
          <w:p w:rsidR="006A0A27" w:rsidRPr="006A0A27" w:rsidRDefault="006A0A27" w:rsidP="009E0BC8">
            <w:pPr>
              <w:spacing w:before="40" w:after="4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63" w:rsidRPr="003C124D" w:rsidTr="00E37B57">
        <w:trPr>
          <w:jc w:val="center"/>
        </w:trPr>
        <w:tc>
          <w:tcPr>
            <w:tcW w:w="10266" w:type="dxa"/>
            <w:gridSpan w:val="3"/>
          </w:tcPr>
          <w:p w:rsidR="00076E63" w:rsidRDefault="00076E63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2. Цели:</w:t>
            </w:r>
          </w:p>
          <w:p w:rsidR="00E05E5A" w:rsidRPr="00E05E5A" w:rsidRDefault="002B3673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Привеждане на таксите, предвидени в ЗВСН, в с</w:t>
            </w:r>
            <w:r w:rsidR="00E05E5A"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ъответстви</w:t>
            </w:r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 с действащото законодателство и</w:t>
            </w:r>
            <w:r w:rsidR="00E05E5A"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актуализиране на техния размер.</w:t>
            </w:r>
          </w:p>
          <w:p w:rsidR="00601B14" w:rsidRDefault="00601B14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076E63" w:rsidRPr="00BE4013" w:rsidRDefault="00076E63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Посочете </w:t>
            </w:r>
            <w:r w:rsidR="0060089B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определените </w:t>
            </w: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цели</w:t>
            </w:r>
            <w:r w:rsidR="0060089B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 </w:t>
            </w: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за решаване на проблем</w:t>
            </w:r>
            <w:r w:rsidR="0060089B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а/</w:t>
            </w:r>
            <w:r w:rsidR="009D4DA5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проблем</w:t>
            </w: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и</w:t>
            </w:r>
            <w:r w:rsidR="0060089B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те</w:t>
            </w: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, по възможно най-конкретен и измерим начин, включително индикативен график за тяхното постигане. Целите е необходимо да </w:t>
            </w:r>
            <w:r w:rsidR="0060089B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са насочени към решаването на </w:t>
            </w: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проблем</w:t>
            </w:r>
            <w:r w:rsidR="0060089B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а/</w:t>
            </w:r>
            <w:r w:rsidR="009D4DA5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проблем</w:t>
            </w: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и</w:t>
            </w:r>
            <w:r w:rsidR="0060089B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те</w:t>
            </w: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 и да съответстват на действащ</w:t>
            </w:r>
            <w:r w:rsidR="0078311F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ите</w:t>
            </w: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 стратегическ</w:t>
            </w:r>
            <w:r w:rsidR="0078311F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и документи</w:t>
            </w: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.</w:t>
            </w:r>
          </w:p>
        </w:tc>
      </w:tr>
      <w:tr w:rsidR="00076E63" w:rsidRPr="003C124D" w:rsidTr="00E37B57">
        <w:trPr>
          <w:jc w:val="center"/>
        </w:trPr>
        <w:tc>
          <w:tcPr>
            <w:tcW w:w="10266" w:type="dxa"/>
            <w:gridSpan w:val="3"/>
          </w:tcPr>
          <w:p w:rsidR="00076E63" w:rsidRPr="00076E63" w:rsidRDefault="00076E63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3. </w:t>
            </w:r>
            <w:r w:rsidR="00710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="00E65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интересовани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страни: </w:t>
            </w:r>
          </w:p>
          <w:p w:rsidR="00076E63" w:rsidRPr="009B53A9" w:rsidRDefault="00076E63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B5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1. </w:t>
            </w:r>
            <w:r w:rsidR="00420E9A" w:rsidRPr="009B53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 xml:space="preserve">Първостепенен разпоредител с бюджет, чийто бюджет засяга проекта на Тарифа на </w:t>
            </w:r>
            <w:r w:rsidR="00420E9A" w:rsidRPr="009B53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lastRenderedPageBreak/>
              <w:t>таксите</w:t>
            </w:r>
            <w:r w:rsidRPr="009B5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-</w:t>
            </w:r>
            <w:r w:rsidR="00420E9A" w:rsidRPr="009B5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1</w:t>
            </w:r>
            <w:r w:rsidRPr="009B5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бр.</w:t>
            </w:r>
          </w:p>
          <w:p w:rsidR="008A06C0" w:rsidRDefault="008A06C0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 w:rsidRPr="009B53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Министерство на земеделието</w:t>
            </w:r>
            <w:r w:rsidR="00CF3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</w:t>
            </w:r>
          </w:p>
          <w:p w:rsidR="00076E63" w:rsidRPr="009B53A9" w:rsidRDefault="00076E63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B5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2. </w:t>
            </w:r>
            <w:r w:rsidR="00420E9A" w:rsidRPr="009B53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Второстепенен разпоредител с бюджет, чийто бюджет засяга проекта на Тарифа на таксите</w:t>
            </w:r>
            <w:r w:rsidRPr="009B5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2643A3" w:rsidRPr="009B5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–</w:t>
            </w:r>
            <w:r w:rsidRPr="009B5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420E9A" w:rsidRPr="009B5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="002643A3" w:rsidRPr="009B5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9B5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бр.</w:t>
            </w:r>
          </w:p>
          <w:p w:rsidR="00B558B7" w:rsidRDefault="008A06C0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53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Изпълнителна агенция по лозата и виното </w:t>
            </w:r>
          </w:p>
          <w:p w:rsidR="00076E63" w:rsidRPr="001F755D" w:rsidRDefault="008A06C0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B5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B5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="00076E63" w:rsidRPr="009B5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420E9A" w:rsidRPr="009B53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Стопански субекти</w:t>
            </w:r>
            <w:r w:rsidR="008D71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,</w:t>
            </w:r>
            <w:r w:rsidR="00420E9A" w:rsidRPr="009B53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 xml:space="preserve"> осъществяващи дейностите: </w:t>
            </w:r>
            <w:r w:rsidR="001F755D" w:rsidRPr="001F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общо 3</w:t>
            </w:r>
            <w:r w:rsidR="00107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 </w:t>
            </w:r>
            <w:r w:rsidR="001F755D" w:rsidRPr="001F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830</w:t>
            </w:r>
            <w:r w:rsidR="00107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стопански субекти</w:t>
            </w:r>
            <w:r w:rsidR="001F755D" w:rsidRPr="001F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, в т.ч.: </w:t>
            </w:r>
            <w:r w:rsidR="001F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р</w:t>
            </w:r>
            <w:proofErr w:type="spellStart"/>
            <w:r w:rsidR="001F755D" w:rsidRPr="001F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егистрирани</w:t>
            </w:r>
            <w:proofErr w:type="spellEnd"/>
            <w:r w:rsidR="001F755D" w:rsidRPr="001F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F755D" w:rsidRPr="001F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гроздопроизводители</w:t>
            </w:r>
            <w:proofErr w:type="spellEnd"/>
            <w:r w:rsidR="001F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,</w:t>
            </w:r>
            <w:r w:rsidR="001F755D" w:rsidRPr="001F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F755D" w:rsidRPr="001F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съгласно</w:t>
            </w:r>
            <w:proofErr w:type="spellEnd"/>
            <w:r w:rsidR="001F755D" w:rsidRPr="001F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F755D" w:rsidRPr="001F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сега</w:t>
            </w:r>
            <w:proofErr w:type="spellEnd"/>
            <w:r w:rsidR="001F755D" w:rsidRPr="001F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F755D" w:rsidRPr="001F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действащия</w:t>
            </w:r>
            <w:proofErr w:type="spellEnd"/>
            <w:r w:rsidR="001F755D" w:rsidRPr="001F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ЗВСН </w:t>
            </w:r>
            <w:r w:rsidR="0016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–</w:t>
            </w:r>
            <w:r w:rsidR="00107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="001F755D" w:rsidRPr="001F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6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F755D" w:rsidRPr="001F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494</w:t>
            </w:r>
            <w:r w:rsidR="001F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proofErr w:type="gramStart"/>
            <w:r w:rsidR="001F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бр.</w:t>
            </w:r>
            <w:r w:rsidR="00107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;</w:t>
            </w:r>
            <w:proofErr w:type="gramEnd"/>
            <w:r w:rsidR="001F755D" w:rsidRPr="001F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07D1F" w:rsidRPr="001F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производители</w:t>
            </w:r>
            <w:proofErr w:type="spellEnd"/>
            <w:r w:rsidR="0016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F755D" w:rsidRPr="001F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="001F755D" w:rsidRPr="001F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F755D" w:rsidRPr="001F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вино</w:t>
            </w:r>
            <w:proofErr w:type="spellEnd"/>
            <w:r w:rsidR="001F755D" w:rsidRPr="001F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1F755D" w:rsidRPr="001F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оцет</w:t>
            </w:r>
            <w:proofErr w:type="spellEnd"/>
            <w:r w:rsidR="001F755D" w:rsidRPr="001F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="001F755D" w:rsidRPr="001F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ароматизирани</w:t>
            </w:r>
            <w:proofErr w:type="spellEnd"/>
            <w:r w:rsidR="001F755D" w:rsidRPr="001F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F755D" w:rsidRPr="001F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лозаро-винарски</w:t>
            </w:r>
            <w:proofErr w:type="spellEnd"/>
            <w:r w:rsidR="001F755D" w:rsidRPr="001F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F755D" w:rsidRPr="001F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продукти</w:t>
            </w:r>
            <w:proofErr w:type="spellEnd"/>
            <w:r w:rsidR="001F755D" w:rsidRPr="001F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336</w:t>
            </w:r>
            <w:r w:rsidR="001F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бр</w:t>
            </w:r>
            <w:r w:rsidR="00076E63" w:rsidRPr="001F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  <w:p w:rsidR="008A06C0" w:rsidRPr="008A06C0" w:rsidRDefault="00107D1F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i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Това са р</w:t>
            </w:r>
            <w:r w:rsidR="008A06C0" w:rsidRPr="009B53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егистрирани </w:t>
            </w:r>
            <w:proofErr w:type="spellStart"/>
            <w:r w:rsidR="008A06C0" w:rsidRPr="009B53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гроздопроизводители</w:t>
            </w:r>
            <w:proofErr w:type="spellEnd"/>
            <w:r w:rsidR="008A06C0" w:rsidRPr="009B53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, </w:t>
            </w:r>
            <w:r w:rsidR="008A06C0" w:rsidRPr="009B53A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винопроизводители, включително производители на ароматизирани </w:t>
            </w:r>
            <w:proofErr w:type="spellStart"/>
            <w:r w:rsidR="008A06C0" w:rsidRPr="009B53A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лозаро-винарски</w:t>
            </w:r>
            <w:proofErr w:type="spellEnd"/>
            <w:r w:rsidR="008A06C0" w:rsidRPr="009B53A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продукти, плодово вино, продукти на основата на плодово вино и производителите на оцет</w:t>
            </w:r>
            <w:r w:rsidR="008A06C0" w:rsidRPr="009B53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в </w:t>
            </w:r>
            <w:r w:rsidR="008A06C0" w:rsidRPr="009B53A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лозарски</w:t>
            </w:r>
            <w:r w:rsidR="00313B1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я</w:t>
            </w:r>
            <w:r w:rsidR="008A06C0" w:rsidRPr="009B53A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регистър</w:t>
            </w:r>
            <w:r w:rsidR="008D71C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</w:t>
            </w:r>
            <w:r w:rsidR="008A06C0" w:rsidRPr="009B53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поддържан от </w:t>
            </w:r>
            <w:r w:rsidR="008A06C0" w:rsidRPr="009B53A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Изпълнителна агенция по лозата и виното</w:t>
            </w:r>
            <w:r w:rsidR="00EC5393" w:rsidRPr="009B53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.</w:t>
            </w:r>
          </w:p>
          <w:p w:rsidR="00076E63" w:rsidRPr="00BE4013" w:rsidRDefault="00076E63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Посочете всички потенциални за</w:t>
            </w:r>
            <w:r w:rsidR="00E653D3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интересовани</w:t>
            </w: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 </w:t>
            </w:r>
            <w:r w:rsidR="0060089B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страни/групи заинтересовани страни </w:t>
            </w: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(в рамките на процеса по извършване на частичната предварителна частична оценка на въздействието</w:t>
            </w:r>
            <w:r w:rsidR="00E653D3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 и/или </w:t>
            </w: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при обществените консултации по чл. 26 от Закона за нормативните актове), върху които предложени</w:t>
            </w:r>
            <w:r w:rsidR="0060089B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я</w:t>
            </w: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т</w:t>
            </w:r>
            <w:r w:rsidR="0060089B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а</w:t>
            </w: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 ще окаж</w:t>
            </w:r>
            <w:r w:rsidR="0060089B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ат</w:t>
            </w: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органи/общини и др.).</w:t>
            </w:r>
          </w:p>
        </w:tc>
      </w:tr>
      <w:tr w:rsidR="00076E63" w:rsidRPr="003C124D" w:rsidTr="00E37B57">
        <w:trPr>
          <w:jc w:val="center"/>
        </w:trPr>
        <w:tc>
          <w:tcPr>
            <w:tcW w:w="10266" w:type="dxa"/>
            <w:gridSpan w:val="3"/>
          </w:tcPr>
          <w:p w:rsidR="00076E63" w:rsidRPr="00076E63" w:rsidRDefault="00076E63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01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4. Варианти на действие. Анализ на въздействията:</w:t>
            </w:r>
          </w:p>
        </w:tc>
      </w:tr>
      <w:tr w:rsidR="00042D08" w:rsidRPr="00076E63" w:rsidTr="00E37B57">
        <w:trPr>
          <w:jc w:val="center"/>
        </w:trPr>
        <w:tc>
          <w:tcPr>
            <w:tcW w:w="10266" w:type="dxa"/>
            <w:gridSpan w:val="3"/>
          </w:tcPr>
          <w:p w:rsidR="00042D08" w:rsidRPr="00C93DF1" w:rsidRDefault="00042D08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4.1. По проблем 1:</w:t>
            </w:r>
          </w:p>
        </w:tc>
      </w:tr>
      <w:tr w:rsidR="00D25385" w:rsidRPr="00D25385" w:rsidTr="00E37B57">
        <w:trPr>
          <w:jc w:val="center"/>
        </w:trPr>
        <w:tc>
          <w:tcPr>
            <w:tcW w:w="10266" w:type="dxa"/>
            <w:gridSpan w:val="3"/>
          </w:tcPr>
          <w:p w:rsidR="00076E63" w:rsidRPr="00D25385" w:rsidRDefault="00076E63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5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 w:rsidR="00042D08" w:rsidRPr="00D2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D25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„Без действие“:</w:t>
            </w:r>
          </w:p>
          <w:p w:rsidR="00076E63" w:rsidRPr="00B95BC9" w:rsidRDefault="00076E63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44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:rsidR="00A04000" w:rsidRDefault="00016DB2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Това е </w:t>
            </w:r>
            <w:r w:rsidR="00A85915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вариант </w:t>
            </w:r>
            <w:r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без предприемане на</w:t>
            </w:r>
            <w:r w:rsidR="00A85915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действия, които да допринесат за постигане на описаните цели. Не се </w:t>
            </w:r>
            <w:r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инициира </w:t>
            </w:r>
            <w:r w:rsidR="00A85915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приема</w:t>
            </w:r>
            <w:r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на </w:t>
            </w:r>
            <w:r w:rsidR="00866592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Тарифа за таксите, </w:t>
            </w:r>
            <w:r w:rsidR="00280F13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които се </w:t>
            </w:r>
            <w:r w:rsidR="00866592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събира</w:t>
            </w:r>
            <w:r w:rsidR="00280F13" w:rsidRPr="0014408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</w:t>
            </w:r>
            <w:r w:rsidR="00866592" w:rsidRPr="00B95BC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 Изпълнителна агенция по лозата и виното</w:t>
            </w:r>
            <w:r w:rsidR="00CE2EEA" w:rsidRPr="0049346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 </w:t>
            </w:r>
            <w:r w:rsidR="00B76E5C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Закона за виното и спиртните напитки (ЗВСН)</w:t>
            </w:r>
            <w:r w:rsidR="00866592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Остава в сила действащата към момента тарифа, която е приета на основание отменения </w:t>
            </w:r>
            <w:r w:rsidRPr="0014408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ЗВСН от 1999 г.</w:t>
            </w:r>
            <w:r w:rsidR="005971D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5971DA" w:rsidRPr="00B95BC9" w:rsidRDefault="005971DA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 този случай няма да е налице съответствие с разпоредбите на действащото законодателство. В </w:t>
            </w:r>
            <w:r w:rsidR="00A04000"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сега действащата </w:t>
            </w:r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Тарифа са налице такси, за които няма законово основание.</w:t>
            </w:r>
            <w:r w:rsidRPr="005971D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076E63" w:rsidRPr="00D25385" w:rsidRDefault="00076E63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5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 w:rsidR="00064387" w:rsidRPr="00D25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D25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:rsidR="00C22CAA" w:rsidRPr="008C0E45" w:rsidRDefault="001C4A6D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C0E4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се очакват </w:t>
            </w:r>
            <w:r w:rsidR="00866592" w:rsidRPr="008C0E4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положителни икономически, социални и екологични въздействия.</w:t>
            </w:r>
          </w:p>
          <w:p w:rsidR="00076E63" w:rsidRPr="00BE4013" w:rsidRDefault="00076E63" w:rsidP="009E0BC8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(върху всяка за</w:t>
            </w:r>
            <w:r w:rsidR="00E653D3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интересована</w:t>
            </w: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 страна/група за</w:t>
            </w:r>
            <w:r w:rsidR="00E653D3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интересовани</w:t>
            </w: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 страни)</w:t>
            </w:r>
          </w:p>
          <w:p w:rsidR="00076E63" w:rsidRPr="00D25385" w:rsidRDefault="00076E63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5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 w:rsidR="00064387" w:rsidRPr="00D25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D25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:rsidR="00EB10F8" w:rsidRDefault="00C22CAA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</w:t>
            </w:r>
            <w:r w:rsidR="00EB10F8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яма да се създаде </w:t>
            </w:r>
            <w:r w:rsidR="00684782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нормативно основание</w:t>
            </w:r>
            <w:r w:rsidR="00EB10F8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събиране на такси за извършваните административни услуги от ИАЛВ. Това налага допълнителн</w:t>
            </w:r>
            <w:r w:rsidR="00B70F5C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="00EB10F8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бюджетн</w:t>
            </w:r>
            <w:r w:rsidR="00B70F5C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="00EB10F8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субсиди</w:t>
            </w:r>
            <w:r w:rsidR="00B70F5C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я</w:t>
            </w:r>
            <w:r w:rsidR="00EB10F8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тези дейности, което води до </w:t>
            </w:r>
            <w:r w:rsidR="00F82B10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допълнит</w:t>
            </w:r>
            <w:r w:rsidR="00EB10F8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</w:t>
            </w:r>
            <w:r w:rsidR="00F82B10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</w:t>
            </w:r>
            <w:r w:rsidR="00EB10F8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ни разходи за държавния бюджет. </w:t>
            </w:r>
          </w:p>
          <w:p w:rsidR="00B70F5C" w:rsidRPr="00D25385" w:rsidRDefault="00B70F5C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Съществуващите държавни такси </w:t>
            </w:r>
            <w:r w:rsidR="00B534C1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да бъдат приведени в съответствие с настъпилите промени в стойността на материалите, въз основа на които е направено</w:t>
            </w:r>
            <w:r w:rsidR="009907E1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изчислението по Методиката по чл. 7а от Закона за ограничаване на административното регулиране и административния контрол върху стопанската дейност. Липсата на регламентирани такси няма да позволи тяхното </w:t>
            </w:r>
            <w:r w:rsidR="00B65AAA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събиране от </w:t>
            </w:r>
            <w:r w:rsidR="0082471F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физически и юридически лица,</w:t>
            </w:r>
            <w:r w:rsidR="00B65AAA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желаещи да ползват съответните административни услуги, обвързани с предварителното заплащане на такива</w:t>
            </w:r>
            <w:r w:rsidR="0082471F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076E63" w:rsidRPr="00BE4013" w:rsidRDefault="00EB10F8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 </w:t>
            </w:r>
            <w:r w:rsidR="00076E63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(</w:t>
            </w:r>
            <w:r w:rsidR="00E653D3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върху всяка заинтересована страна/група заинтересовани страни</w:t>
            </w:r>
            <w:r w:rsidR="00076E63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)</w:t>
            </w:r>
          </w:p>
          <w:p w:rsidR="007D0950" w:rsidRPr="00D25385" w:rsidRDefault="00076E63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5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  <w:r w:rsidR="009F05DC" w:rsidRPr="00D25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9527DB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  <w:p w:rsidR="008A0D49" w:rsidRPr="00D25385" w:rsidRDefault="00076E63" w:rsidP="009E0BC8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25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D25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2C92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  <w:p w:rsidR="00076E63" w:rsidRPr="00D25385" w:rsidRDefault="00076E63" w:rsidP="009E0BC8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iCs/>
                <w:lang w:val="bg-BG"/>
              </w:rPr>
            </w:pPr>
            <w:r w:rsidRPr="00D25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Административна тежест:</w:t>
            </w:r>
            <w:r w:rsidR="004D511C" w:rsidRPr="00D25385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="009C754B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</w:t>
            </w:r>
            <w:r w:rsidR="009C754B" w:rsidRPr="00D25385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  <w:p w:rsidR="00076E63" w:rsidRPr="00BE4013" w:rsidRDefault="0078311F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1.</w:t>
            </w:r>
            <w:proofErr w:type="spellStart"/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1</w:t>
            </w:r>
            <w:proofErr w:type="spellEnd"/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. </w:t>
            </w:r>
            <w:r w:rsidR="00076E63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ючително</w:t>
            </w:r>
            <w:r w:rsidR="00076E63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 </w:t>
            </w:r>
            <w:r w:rsidR="00E653D3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върху всяка заинтересована страна/група заинтересовани страни</w:t>
            </w:r>
            <w:r w:rsidR="00076E63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. Пояснете кои въздействия се очаква да бъдат значителни и кои второстепенни.</w:t>
            </w:r>
          </w:p>
          <w:p w:rsidR="00E44DE0" w:rsidRPr="00BE4013" w:rsidRDefault="0078311F" w:rsidP="009E0BC8">
            <w:pPr>
              <w:pBdr>
                <w:bottom w:val="single" w:sz="6" w:space="1" w:color="auto"/>
              </w:pBd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1.2. </w:t>
            </w:r>
            <w:r w:rsidR="00F04B4E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:rsidR="00E44DE0" w:rsidRPr="00D25385" w:rsidRDefault="00E44DE0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5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2 „</w:t>
            </w:r>
            <w:r w:rsidR="002643A3" w:rsidRPr="00D25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</w:t>
            </w:r>
            <w:r w:rsidR="00DC28E1" w:rsidRPr="00D25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</w:t>
            </w:r>
            <w:r w:rsidR="002643A3" w:rsidRPr="00D25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</w:t>
            </w:r>
            <w:r w:rsidR="00DC28E1" w:rsidRPr="00D25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мане </w:t>
            </w:r>
            <w:r w:rsidR="002643A3" w:rsidRPr="00D25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на Постановление </w:t>
            </w:r>
            <w:r w:rsidR="00DC28E1" w:rsidRPr="00D25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на Министерския съвет </w:t>
            </w:r>
            <w:r w:rsidR="007C2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за приемане на </w:t>
            </w:r>
            <w:r w:rsidR="002643A3" w:rsidRPr="00D25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Тарифа за таксите, които се събират от Изпълнителна агенция по лозата и виното</w:t>
            </w:r>
            <w:r w:rsidRPr="00D25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</w:p>
          <w:p w:rsidR="00EE4ADC" w:rsidRDefault="00EE4ADC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E44DE0" w:rsidRPr="00D25385" w:rsidRDefault="00E44DE0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5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:rsidR="00F465E5" w:rsidRPr="00F465E5" w:rsidRDefault="00F465E5" w:rsidP="009E0BC8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5E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Приемането на нова Тарифа за таксите, които се събират от Изпълнителна агенция по лозата и виното, ще даде възможност да бъдат събирани ефективно, предвидените в ЗВСН такси. </w:t>
            </w:r>
          </w:p>
          <w:p w:rsidR="00F465E5" w:rsidRDefault="00F465E5" w:rsidP="009E0BC8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136854" w:rsidRPr="00541E88" w:rsidRDefault="00136854" w:rsidP="009E0BC8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541E8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Предвижда се да бъдат въведени нови такси за следните услуги:</w:t>
            </w:r>
          </w:p>
          <w:p w:rsidR="00136854" w:rsidRPr="00601B14" w:rsidRDefault="00136854" w:rsidP="009E0BC8">
            <w:pPr>
              <w:spacing w:before="40" w:after="4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за </w:t>
            </w:r>
            <w:r w:rsidRPr="00541E8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издаване на сертификат за безопасност </w:t>
            </w:r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</w:t>
            </w:r>
            <w:r w:rsidR="00C8594C"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вино, предназначено за износ в трети страни по чл. 2, ал. 8 от ЗВСН</w:t>
            </w:r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8594C"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(издава се </w:t>
            </w:r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случай че държавата вносител е въвела такова изискване</w:t>
            </w:r>
            <w:r w:rsidR="00C8594C"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  <w:r w:rsidR="00980C0A"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Административната услуга е № 1884 в административния регистър</w:t>
            </w:r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136854" w:rsidRPr="00601B14" w:rsidRDefault="00136854" w:rsidP="009E0BC8">
            <w:pPr>
              <w:spacing w:before="40" w:after="4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 за заверяване на сертификат за произход на грозде</w:t>
            </w:r>
            <w:r w:rsidR="0083770A"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 чл. 10, ал. 2 от ЗВСН</w:t>
            </w:r>
            <w:r w:rsidR="00815C40"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815C40" w:rsidRPr="00601B14">
              <w:t xml:space="preserve"> </w:t>
            </w:r>
            <w:r w:rsidR="00815C40"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Административната услуга е № 2530 в административния регистър; </w:t>
            </w:r>
          </w:p>
          <w:p w:rsidR="00136854" w:rsidRPr="00601B14" w:rsidRDefault="00136854" w:rsidP="009E0BC8">
            <w:pPr>
              <w:spacing w:before="40" w:after="4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за разглеждане на заявление </w:t>
            </w:r>
            <w:r w:rsidR="0083770A"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 чл. 30, ал. 2, т. 2 от ЗВСН </w:t>
            </w:r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</w:t>
            </w:r>
            <w:r w:rsidR="0083770A"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настъпила </w:t>
            </w:r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промяна на вписаните в лозарския регистър по чл. 27 от ЗВСН обстоятелства (подава се от регистрирани вино/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оцетопроизводители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  <w:r w:rsidR="00815C40"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Подаването на заявление не е отделна административна услуга, а е свързана с административна услуга № 897 по чл. 27 от ЗВСН.</w:t>
            </w:r>
          </w:p>
          <w:p w:rsidR="00136854" w:rsidRPr="00601B14" w:rsidRDefault="00136854" w:rsidP="009E0BC8">
            <w:pPr>
              <w:spacing w:before="40" w:after="4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за разглеждане на заявление </w:t>
            </w:r>
            <w:r w:rsidR="0012745B"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 чл. 32, ал. 2, във връзка с чл. 33, ал. 1 от ЗВСН за настъпила </w:t>
            </w:r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промяна в структурата на лозарското стопанство (подава се от </w:t>
            </w:r>
            <w:proofErr w:type="spellStart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гроздопроизводители</w:t>
            </w:r>
            <w:proofErr w:type="spellEnd"/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  <w:r w:rsidR="00B10661"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Подаването на заявление не е отделна административна услуга, а е свързана с административна услуга № 897 по чл. 27 от ЗВСН</w:t>
            </w:r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136854" w:rsidRDefault="00136854" w:rsidP="009E0BC8">
            <w:pPr>
              <w:spacing w:before="40" w:after="4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 за издаване на удостоверение за производство на сортово вино</w:t>
            </w:r>
            <w:r w:rsidR="0012745B"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 чл. 39, ал. 1 и ал. 2 от ЗВСН</w:t>
            </w:r>
            <w:r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5C35F2" w:rsidRPr="00601B14">
              <w:t xml:space="preserve"> </w:t>
            </w:r>
            <w:r w:rsidR="005C35F2" w:rsidRPr="00601B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Административната услуга е № 483 в административния регистър</w:t>
            </w:r>
            <w:r w:rsidR="00601B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B33DF" w:rsidRDefault="002B33DF" w:rsidP="009E0BC8">
            <w:pPr>
              <w:spacing w:before="40" w:after="4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C8594C" w:rsidRDefault="00A86990" w:rsidP="009E0BC8">
            <w:pPr>
              <w:spacing w:before="40" w:after="4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8699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Актуализирани са таксите, събирани от ИАЛВ за извършване на физико-химичен и/или микробиологичен анализ, като те са увеличени спрямо утвърдените стойности в сега действащата тарифа. </w:t>
            </w:r>
            <w:r w:rsidR="00136854" w:rsidRPr="00541E8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Промяната е обусловена най-вече от увеличените разходи за консумативи и разходите</w:t>
            </w:r>
            <w:r w:rsidR="0013685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="00136854" w:rsidRPr="00541E8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свързани с издръжката на тази дейност. </w:t>
            </w:r>
          </w:p>
          <w:p w:rsidR="00136854" w:rsidRDefault="00136854" w:rsidP="009E0BC8">
            <w:pPr>
              <w:spacing w:before="40" w:after="4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</w:t>
            </w:r>
            <w:r w:rsidRPr="00541E8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</w:t>
            </w:r>
            <w:r w:rsidRPr="00541E8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</w:t>
            </w:r>
            <w:proofErr w:type="spellStart"/>
            <w:r w:rsidRPr="00541E8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гроздопроизводите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ще заплащат</w:t>
            </w:r>
            <w:r w:rsidRPr="00541E8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такси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предвидените в ЗВСН услуги, но не </w:t>
            </w:r>
            <w:r w:rsidRPr="00541E8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 очаква това да доведе до съществена финансова тежест за прои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зводителите.</w:t>
            </w:r>
          </w:p>
          <w:p w:rsidR="002439C9" w:rsidRPr="002439C9" w:rsidRDefault="009E463D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</w:t>
            </w:r>
            <w:r w:rsidR="00785319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азмер</w:t>
            </w:r>
            <w:r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ът на таксите</w:t>
            </w:r>
            <w:r w:rsidR="00785319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 изцяло съобразен с разходите, които администрацията прави за предоставянето им при съобразяване с Методиката за определяне на </w:t>
            </w:r>
            <w:proofErr w:type="spellStart"/>
            <w:r w:rsidR="00785319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разходоо</w:t>
            </w:r>
            <w:r w:rsidR="00CD2922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риентиран</w:t>
            </w:r>
            <w:proofErr w:type="spellEnd"/>
            <w:r w:rsidR="00785319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размер на таксите по чл. 7а от Закона за ограничаване на административното регулиране и административния контрол върху стопанската дейност.</w:t>
            </w:r>
          </w:p>
          <w:p w:rsidR="00C37E19" w:rsidRDefault="00C37E19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439C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този случай се постига съответствие с</w:t>
            </w:r>
            <w:r w:rsidR="009C6DFD" w:rsidRPr="002439C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действащото</w:t>
            </w:r>
            <w:r w:rsidRPr="002439C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законо</w:t>
            </w:r>
            <w:r w:rsidR="009C6DFD" w:rsidRPr="002439C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дателство </w:t>
            </w:r>
            <w:proofErr w:type="spellStart"/>
            <w:r w:rsidRPr="002439C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43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C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proofErr w:type="spellEnd"/>
            <w:r w:rsidRPr="00243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1E90" w:rsidRPr="002439C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правното </w:t>
            </w:r>
            <w:proofErr w:type="spellStart"/>
            <w:r w:rsidRPr="002439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</w:t>
            </w:r>
            <w:proofErr w:type="spellEnd"/>
            <w:r w:rsidR="00331E90" w:rsidRPr="002439C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събиране</w:t>
            </w:r>
            <w:r w:rsidRPr="002439C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таксите.</w:t>
            </w:r>
          </w:p>
          <w:p w:rsidR="00126CDB" w:rsidRPr="00D25385" w:rsidRDefault="00126CDB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5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(икономически/социални/екологични) въздействия:</w:t>
            </w:r>
          </w:p>
          <w:p w:rsidR="002B33DF" w:rsidRPr="002B33DF" w:rsidRDefault="002B33DF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B33D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проекта на акт ще се осигури по-ефективно изпълнение на контролните функции на ИАЛВ по спазването на изискванията на националното законодателство и европейското право по </w:t>
            </w:r>
            <w:r w:rsidRPr="002B33D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отношение на производствения потенциал, гроздето, предназначено за производство на вино, производството, преработката и търговията на </w:t>
            </w:r>
            <w:proofErr w:type="spellStart"/>
            <w:r w:rsidRPr="002B33D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лозаро-винарски</w:t>
            </w:r>
            <w:proofErr w:type="spellEnd"/>
            <w:r w:rsidRPr="002B33D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продукти, оцет и плодови вина. </w:t>
            </w:r>
          </w:p>
          <w:p w:rsidR="002B33DF" w:rsidRDefault="004921D6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 проекта на акт ще се актуализират, предвидените в Закона за виното и спиртните напитки такси за съответните услуги и дейности, предоставяни от Изпълнителна агенция по лозата и виното.</w:t>
            </w:r>
          </w:p>
          <w:p w:rsidR="001D7692" w:rsidRPr="00D25385" w:rsidRDefault="004921D6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Новата</w:t>
            </w:r>
            <w:r w:rsidR="00CC0801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Тарифа за таксите</w:t>
            </w:r>
            <w:r w:rsidR="0033296B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53A4E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 приведена </w:t>
            </w:r>
            <w:r w:rsidR="0033296B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съответствие с Методиката по чл. 7а от Закона за ограничаване на административното регулиране и административния контрол върху стопанската дейност, като стойността на предоставяните услуги е</w:t>
            </w:r>
            <w:r w:rsidR="00F53A4E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актуализирана</w:t>
            </w:r>
            <w:r w:rsidR="0033296B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съобразно настъпилите промени в стойността на материалите, въз основа на които е </w:t>
            </w:r>
            <w:proofErr w:type="spellStart"/>
            <w:r w:rsidR="0033296B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остойностена</w:t>
            </w:r>
            <w:proofErr w:type="spellEnd"/>
            <w:r w:rsidR="0033296B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услугата. </w:t>
            </w:r>
          </w:p>
          <w:p w:rsidR="0049337E" w:rsidRPr="0049337E" w:rsidRDefault="00627D54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 определянето на размера на таксите са използвани данните за актуалните разходи за материали и труд, съобразно </w:t>
            </w:r>
            <w:r w:rsidR="002976D1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Методиката за определяне на </w:t>
            </w:r>
            <w:proofErr w:type="spellStart"/>
            <w:r w:rsidR="002976D1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разходоо</w:t>
            </w:r>
            <w:r w:rsidR="00CD2922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риентиран</w:t>
            </w:r>
            <w:proofErr w:type="spellEnd"/>
            <w:r w:rsidR="002976D1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размер на таксите по чл. 7а от Закона за ограничаване на административното регулиране и административния контрол върху стопанската дейност.</w:t>
            </w:r>
            <w:r w:rsidR="00CD2922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Поради настъпила промяна в стойността на разходите</w:t>
            </w:r>
            <w:r w:rsidR="003456C3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предоставяне на услугите и дейностите, а именно в стойността на основните консумативи, спрямо стойността на същите използвани за формирането на таксите от 2010 г.</w:t>
            </w:r>
            <w:r w:rsidR="00F53A4E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="00130BCF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3456C3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 установена необходимост от </w:t>
            </w:r>
            <w:r w:rsidR="00DC70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незначително</w:t>
            </w:r>
            <w:r w:rsidR="003456C3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увелич</w:t>
            </w:r>
            <w:r w:rsidR="006E642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</w:t>
            </w:r>
            <w:r w:rsidR="003456C3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</w:t>
            </w:r>
            <w:r w:rsidR="006E642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="003456C3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 </w:t>
            </w:r>
            <w:r w:rsidR="006E642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</w:t>
            </w:r>
            <w:r w:rsidR="003456C3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размера на таксите.</w:t>
            </w:r>
            <w:r w:rsidR="006E642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Средното увеличение на таксите на извършваните лабораторни анализи е 23 %.</w:t>
            </w:r>
            <w:r w:rsidR="0029487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Очаквано</w:t>
            </w:r>
            <w:r w:rsidR="00834E2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</w:t>
            </w:r>
            <w:r w:rsidR="0029487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увеличение на приходите по актуализираната </w:t>
            </w:r>
            <w:r w:rsidR="00294872" w:rsidRPr="0029487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Тарифа за таксите</w:t>
            </w:r>
            <w:r w:rsidR="0029487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 в размер на около 40 </w:t>
            </w:r>
            <w:r w:rsidR="00FC68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15</w:t>
            </w:r>
            <w:r w:rsidR="0029487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 лв. годишно.</w:t>
            </w:r>
            <w:r w:rsidR="0049337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9337E" w:rsidRPr="0049337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Същите в процентно изражение се равняват на 0,04 % от общите приходи събирани в системата на Министерство на земеделието, поради което представляват несъществена част от приходна страна.</w:t>
            </w:r>
          </w:p>
          <w:p w:rsidR="00E44DE0" w:rsidRPr="00BE4013" w:rsidRDefault="00E44DE0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(върху всяка заинтересована страна/група заинтересовани страни)</w:t>
            </w:r>
          </w:p>
          <w:p w:rsidR="00E44DE0" w:rsidRPr="00D25385" w:rsidRDefault="00E44DE0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5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  <w:r w:rsidR="009527DB" w:rsidRPr="00D25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540317" w:rsidRPr="00D25385" w:rsidRDefault="00540317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очаква отрицателно икономическо, социално и екологично въздействие.</w:t>
            </w:r>
          </w:p>
          <w:p w:rsidR="00E44DE0" w:rsidRPr="00D25385" w:rsidRDefault="009F3B25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D2538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E44DE0" w:rsidRPr="00D2538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="00E44DE0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върху всяка заинтересована страна/група заинтересовани страни)</w:t>
            </w:r>
          </w:p>
          <w:p w:rsidR="00E44DE0" w:rsidRPr="00D25385" w:rsidRDefault="00E44DE0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25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  <w:r w:rsidR="009527DB" w:rsidRPr="00D25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9527DB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  <w:p w:rsidR="00D113D3" w:rsidRPr="00D25385" w:rsidRDefault="00E44DE0" w:rsidP="009E0BC8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25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D25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44DE0" w:rsidRPr="00144088" w:rsidRDefault="001C7982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услугите, </w:t>
            </w:r>
            <w:r w:rsidR="00A44987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които администрацията предоставя</w:t>
            </w:r>
            <w:r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44987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бъдат въведени нови такси</w:t>
            </w:r>
            <w:r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По този начин се постига баланс между ползите и разходите на администрацията и частните субекти. Така частните субекти няма да получават услуга за сметка на бюджета,</w:t>
            </w:r>
            <w:r w:rsidR="00D113D3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F0078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ще бъдат натоварени с допълнителни</w:t>
            </w:r>
            <w:r w:rsidR="00DF0078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но несъществени</w:t>
            </w:r>
            <w:r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разходи.</w:t>
            </w:r>
          </w:p>
          <w:p w:rsidR="00D113D3" w:rsidRPr="00D25385" w:rsidRDefault="00E44DE0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44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14408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49337E" w:rsidRDefault="001C7982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се повиши</w:t>
            </w:r>
            <w:r w:rsidR="00026B7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както за юридическите лица, така и за физическите лица</w:t>
            </w:r>
            <w:r w:rsidR="00B92D9A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регистрирани</w:t>
            </w:r>
            <w:r w:rsidR="00E83BBA" w:rsidRPr="00E83BB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съгласно ЗВСН</w:t>
            </w:r>
            <w:r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като </w:t>
            </w:r>
            <w:proofErr w:type="spellStart"/>
            <w:r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гроздо</w:t>
            </w:r>
            <w:proofErr w:type="spellEnd"/>
            <w:r w:rsidR="00DE3B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</w:t>
            </w:r>
            <w:r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винопроизводители</w:t>
            </w:r>
            <w:r w:rsidR="00CD5717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B92D9A"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като предвижданите разходи ще са несъществени от гледна точка на техния размер</w:t>
            </w:r>
            <w:r w:rsidRPr="00D253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313B1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Средното увеличение на таксите на извършваните лабораторни анализи е 23 %.</w:t>
            </w:r>
            <w:r w:rsidR="001610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1610FE" w:rsidRPr="001610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Очаквано</w:t>
            </w:r>
            <w:r w:rsidR="00834E2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</w:t>
            </w:r>
            <w:r w:rsidR="001610FE" w:rsidRPr="001610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увеличение на приходите по актуализираната Тарифа за таксите е в размер на около 40 </w:t>
            </w:r>
            <w:r w:rsidR="00FC68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15</w:t>
            </w:r>
            <w:r w:rsidR="001610FE" w:rsidRPr="001610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 лв. годишно.</w:t>
            </w:r>
            <w:r w:rsidR="0049337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9337E" w:rsidRPr="0049337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Същите в процентно изражение се равняват на 0,04 % от общите приходи събирани в системата на Министерство на земеделието, поради което представляват несъществена част от приходна страна.</w:t>
            </w:r>
          </w:p>
          <w:p w:rsidR="00C86370" w:rsidRPr="0049337E" w:rsidRDefault="00C86370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E44DE0" w:rsidRPr="00BE4013" w:rsidRDefault="00E44DE0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(въздействията върху малките и средните предприятия; административна тежест)</w:t>
            </w:r>
          </w:p>
          <w:p w:rsidR="0078311F" w:rsidRPr="00BE4013" w:rsidRDefault="0078311F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1.</w:t>
            </w:r>
            <w:proofErr w:type="spellStart"/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1</w:t>
            </w:r>
            <w:proofErr w:type="spellEnd"/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. 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ючително</w:t>
            </w: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:rsidR="00F16CD0" w:rsidRPr="00D25385" w:rsidRDefault="0078311F" w:rsidP="009E0BC8">
            <w:pPr>
              <w:pBdr>
                <w:bottom w:val="single" w:sz="6" w:space="1" w:color="auto"/>
              </w:pBd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</w:tc>
      </w:tr>
      <w:tr w:rsidR="00076E63" w:rsidRPr="003C124D" w:rsidTr="00E37B57">
        <w:trPr>
          <w:jc w:val="center"/>
        </w:trPr>
        <w:tc>
          <w:tcPr>
            <w:tcW w:w="10266" w:type="dxa"/>
            <w:gridSpan w:val="3"/>
          </w:tcPr>
          <w:p w:rsidR="00076E63" w:rsidRPr="00076E63" w:rsidRDefault="00076E63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5. Сравняване на вариантите:</w:t>
            </w:r>
          </w:p>
          <w:p w:rsidR="00076E63" w:rsidRDefault="00064387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Степени на </w:t>
            </w:r>
            <w:r w:rsidR="00512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изпълнение по критерии</w:t>
            </w:r>
            <w:r w:rsidRPr="00C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1) висока; 2) средна; 3) ниска.</w:t>
            </w:r>
          </w:p>
          <w:p w:rsidR="00DF5A00" w:rsidRDefault="00E44DE0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EFE"/>
                <w:lang w:val="bg-BG"/>
              </w:rPr>
            </w:pPr>
            <w:r w:rsidRPr="00C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5.1. По проблем 1:</w:t>
            </w:r>
          </w:p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2"/>
              <w:gridCol w:w="3449"/>
              <w:gridCol w:w="1843"/>
              <w:gridCol w:w="1824"/>
            </w:tblGrid>
            <w:tr w:rsidR="00DF5A00" w:rsidRPr="00C5506E" w:rsidTr="002439C9">
              <w:trPr>
                <w:trHeight w:val="517"/>
                <w:jc w:val="center"/>
              </w:trPr>
              <w:tc>
                <w:tcPr>
                  <w:tcW w:w="433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:rsidR="00DF5A00" w:rsidRPr="00C5506E" w:rsidRDefault="00DF5A00" w:rsidP="009E0BC8">
                  <w:pPr>
                    <w:spacing w:before="40" w:after="40" w:line="36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DF5A00" w:rsidRPr="00C5506E" w:rsidRDefault="00DF5A00" w:rsidP="009E0BC8">
                  <w:pPr>
                    <w:spacing w:before="40" w:after="40" w:line="36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C5506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1</w:t>
                  </w:r>
                </w:p>
                <w:p w:rsidR="00DF5A00" w:rsidRPr="00C5506E" w:rsidRDefault="00DF5A00" w:rsidP="009E0BC8">
                  <w:pPr>
                    <w:spacing w:before="40" w:after="40" w:line="36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C5506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„Без действие“</w:t>
                  </w:r>
                </w:p>
              </w:tc>
              <w:tc>
                <w:tcPr>
                  <w:tcW w:w="182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DF5A00" w:rsidRPr="00C5506E" w:rsidRDefault="00DF5A00" w:rsidP="009E0BC8">
                  <w:pPr>
                    <w:spacing w:before="40" w:after="40" w:line="36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C5506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2</w:t>
                  </w:r>
                </w:p>
              </w:tc>
            </w:tr>
            <w:tr w:rsidR="00DF5A00" w:rsidRPr="00C5506E" w:rsidTr="002439C9">
              <w:trPr>
                <w:trHeight w:val="1565"/>
                <w:jc w:val="center"/>
              </w:trPr>
              <w:tc>
                <w:tcPr>
                  <w:tcW w:w="882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:rsidR="00DF5A00" w:rsidRPr="00C5506E" w:rsidRDefault="00DF5A00" w:rsidP="009E0BC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C5506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34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974411" w:rsidRPr="002439C9" w:rsidRDefault="00DF5A00" w:rsidP="009E0BC8">
                  <w:pPr>
                    <w:spacing w:before="40" w:after="40" w:line="360" w:lineRule="auto"/>
                    <w:ind w:left="113"/>
                    <w:jc w:val="both"/>
                    <w:rPr>
                      <w:rFonts w:ascii="Times New Roman" w:eastAsia="Times New Roman" w:hAnsi="Times New Roman" w:cs="Times New Roman"/>
                      <w:b/>
                      <w:w w:val="105"/>
                      <w:sz w:val="20"/>
                      <w:szCs w:val="20"/>
                      <w:lang w:val="bg-BG"/>
                    </w:rPr>
                  </w:pPr>
                  <w:r w:rsidRPr="002439C9">
                    <w:rPr>
                      <w:rFonts w:ascii="Times New Roman" w:eastAsia="Times New Roman" w:hAnsi="Times New Roman" w:cs="Times New Roman"/>
                      <w:b/>
                      <w:w w:val="105"/>
                      <w:sz w:val="20"/>
                      <w:szCs w:val="20"/>
                      <w:lang w:val="bg-BG"/>
                    </w:rPr>
                    <w:t xml:space="preserve">Цел: </w:t>
                  </w:r>
                </w:p>
                <w:p w:rsidR="00DF5A00" w:rsidRPr="00C5506E" w:rsidRDefault="00974411" w:rsidP="009E0BC8">
                  <w:pPr>
                    <w:spacing w:before="40" w:after="40" w:line="36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80479D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Съответствие с действащото законодателство</w:t>
                  </w:r>
                  <w:r w:rsidR="0007700A" w:rsidRPr="0080479D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 и актуализиране размера на таксите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DF5A00" w:rsidRPr="00C5506E" w:rsidRDefault="00DF5A00" w:rsidP="009E0BC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182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DF5A00" w:rsidRPr="00C5506E" w:rsidRDefault="00DF5A00" w:rsidP="009E0BC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1</w:t>
                  </w:r>
                  <w:r w:rsidRPr="00C5506E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 xml:space="preserve"> </w:t>
                  </w:r>
                </w:p>
              </w:tc>
            </w:tr>
            <w:tr w:rsidR="00DF5A00" w:rsidRPr="00C5506E" w:rsidTr="002439C9">
              <w:trPr>
                <w:trHeight w:val="1427"/>
                <w:jc w:val="center"/>
              </w:trPr>
              <w:tc>
                <w:tcPr>
                  <w:tcW w:w="882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DF5A00" w:rsidRPr="00C5506E" w:rsidRDefault="00DF5A00" w:rsidP="009E0BC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C5506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34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974411" w:rsidRPr="002439C9" w:rsidRDefault="00DF5A00" w:rsidP="009E0BC8">
                  <w:pPr>
                    <w:spacing w:before="40" w:after="40" w:line="36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w w:val="105"/>
                      <w:sz w:val="20"/>
                      <w:szCs w:val="20"/>
                      <w:lang w:val="bg-BG"/>
                    </w:rPr>
                  </w:pPr>
                  <w:r w:rsidRPr="002439C9">
                    <w:rPr>
                      <w:rFonts w:ascii="Times New Roman" w:eastAsia="Times New Roman" w:hAnsi="Times New Roman" w:cs="Times New Roman"/>
                      <w:b/>
                      <w:w w:val="105"/>
                      <w:sz w:val="20"/>
                      <w:szCs w:val="20"/>
                      <w:lang w:val="bg-BG"/>
                    </w:rPr>
                    <w:t xml:space="preserve">Цел: </w:t>
                  </w:r>
                </w:p>
                <w:p w:rsidR="00DF5A00" w:rsidRPr="00C5506E" w:rsidRDefault="00974411" w:rsidP="009E0BC8">
                  <w:pPr>
                    <w:spacing w:before="40" w:after="40" w:line="36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80479D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Съответствие с действащото законодателство</w:t>
                  </w:r>
                  <w:r w:rsidR="0007700A" w:rsidRPr="0080479D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 и актуализиране размера на таксите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DF5A00" w:rsidRPr="00C5506E" w:rsidRDefault="00DF5A00" w:rsidP="009E0BC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182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DF5A00" w:rsidRPr="00C5506E" w:rsidRDefault="00DF5A00" w:rsidP="009E0BC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  <w:r w:rsidRPr="00C550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 xml:space="preserve"> </w:t>
                  </w:r>
                </w:p>
              </w:tc>
            </w:tr>
            <w:tr w:rsidR="00DF5A00" w:rsidRPr="00C5506E" w:rsidTr="002439C9">
              <w:trPr>
                <w:trHeight w:val="1615"/>
                <w:jc w:val="center"/>
              </w:trPr>
              <w:tc>
                <w:tcPr>
                  <w:tcW w:w="882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DF5A00" w:rsidRPr="00C5506E" w:rsidRDefault="00DF5A00" w:rsidP="009E0BC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C5506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34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974411" w:rsidRPr="002439C9" w:rsidRDefault="00DF5A00" w:rsidP="009E0BC8">
                  <w:pPr>
                    <w:spacing w:before="40" w:after="40" w:line="36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w w:val="105"/>
                      <w:sz w:val="20"/>
                      <w:szCs w:val="20"/>
                      <w:lang w:val="bg-BG"/>
                    </w:rPr>
                  </w:pPr>
                  <w:r w:rsidRPr="002439C9">
                    <w:rPr>
                      <w:rFonts w:ascii="Times New Roman" w:eastAsia="Times New Roman" w:hAnsi="Times New Roman" w:cs="Times New Roman"/>
                      <w:b/>
                      <w:w w:val="105"/>
                      <w:sz w:val="20"/>
                      <w:szCs w:val="20"/>
                      <w:lang w:val="bg-BG"/>
                    </w:rPr>
                    <w:t xml:space="preserve">Цел: </w:t>
                  </w:r>
                </w:p>
                <w:p w:rsidR="00DF5A00" w:rsidRPr="00C5506E" w:rsidRDefault="00974411" w:rsidP="009E0BC8">
                  <w:pPr>
                    <w:spacing w:before="40" w:after="40" w:line="36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80479D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Съответствие с действащото законодателство</w:t>
                  </w:r>
                  <w:r w:rsidR="0007700A" w:rsidRPr="0080479D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 и актуализиране размера на таксите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DF5A00" w:rsidRPr="00C5506E" w:rsidRDefault="00DF5A00" w:rsidP="009E0BC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182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DF5A00" w:rsidRPr="00C5506E" w:rsidRDefault="00DF5A00" w:rsidP="009E0BC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2</w:t>
                  </w:r>
                </w:p>
              </w:tc>
            </w:tr>
          </w:tbl>
          <w:p w:rsidR="00DF5A00" w:rsidRDefault="00DF5A00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EFE"/>
                <w:lang w:val="bg-BG"/>
              </w:rPr>
            </w:pPr>
          </w:p>
          <w:p w:rsidR="00412755" w:rsidRDefault="00412755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EFE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EFE"/>
                <w:lang w:val="bg-BG"/>
              </w:rPr>
              <w:t xml:space="preserve">Сравнението по критериите </w:t>
            </w:r>
            <w:r w:rsidR="0014408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EFE"/>
                <w:lang w:val="bg-BG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EFE"/>
                <w:lang w:val="bg-BG"/>
              </w:rPr>
              <w:t xml:space="preserve">ефективност, ефикасност и съгласуваност на двата предложени варианта показва, че при прилагане на Вариант 2 ще бъде постигната заложената цел, поради което Вариант 2 е препоръчителният вариант. </w:t>
            </w:r>
          </w:p>
          <w:p w:rsidR="00076E63" w:rsidRPr="00BE4013" w:rsidRDefault="0078311F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1.</w:t>
            </w:r>
            <w:proofErr w:type="spellStart"/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1</w:t>
            </w:r>
            <w:proofErr w:type="spellEnd"/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. </w:t>
            </w:r>
            <w:r w:rsidR="00076E63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Сравнете вариантите чрез сравняване на ключовите </w:t>
            </w:r>
            <w:r w:rsidR="00512211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и</w:t>
            </w:r>
            <w:r w:rsidR="00076E63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м положителни и отрицателни въздействия.</w:t>
            </w:r>
          </w:p>
          <w:p w:rsidR="00D82CFD" w:rsidRPr="00C93DF1" w:rsidRDefault="0078311F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bg-BG"/>
              </w:rPr>
            </w:pP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1.2. </w:t>
            </w:r>
            <w:r w:rsidR="00076E63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Посочете степента, в която вариантите ще изпълнят определените цели, съгласно основните критерии за сравняване на вариантите:</w:t>
            </w:r>
            <w:r w:rsidR="000D5068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 </w:t>
            </w:r>
            <w:r w:rsidR="00076E63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ефективност, чрез която се измерва степента, до която вариантите постигат целите на предложението;ефикасност, която отразява степента, до която целите могат да бъдат постигнати при определено ниво на ресурсите или при най-малко разходи;съгласуваност, която показва степента, до която вариантите съответстват на </w:t>
            </w: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действащите </w:t>
            </w:r>
            <w:r w:rsidR="00076E63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стратегически документи</w:t>
            </w: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.</w:t>
            </w:r>
          </w:p>
        </w:tc>
      </w:tr>
      <w:tr w:rsidR="00076E63" w:rsidRPr="00076E63" w:rsidTr="00E37B57">
        <w:trPr>
          <w:jc w:val="center"/>
        </w:trPr>
        <w:tc>
          <w:tcPr>
            <w:tcW w:w="10266" w:type="dxa"/>
            <w:gridSpan w:val="3"/>
          </w:tcPr>
          <w:p w:rsidR="00D113D3" w:rsidRDefault="00076E63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 Избор на препоръчителен вариант:</w:t>
            </w:r>
            <w:r w:rsidR="004C5C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076E63" w:rsidRDefault="000779D0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По проблем 1: </w:t>
            </w:r>
            <w:r w:rsidR="004C5CBA" w:rsidRPr="004C5C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2 </w:t>
            </w:r>
            <w:r w:rsidR="00383CC5" w:rsidRPr="00383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</w:t>
            </w:r>
            <w:r w:rsidR="00A17763" w:rsidRPr="00264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</w:t>
            </w:r>
            <w:r w:rsidR="00A17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</w:t>
            </w:r>
            <w:r w:rsidR="00A17763" w:rsidRPr="00264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</w:t>
            </w:r>
            <w:r w:rsidR="00A17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мане </w:t>
            </w:r>
            <w:r w:rsidR="00A17763" w:rsidRPr="00264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на Постановление </w:t>
            </w:r>
            <w:r w:rsidR="00A17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на Министерския съвет </w:t>
            </w:r>
            <w:r w:rsidR="00667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за приемане на </w:t>
            </w:r>
            <w:r w:rsidR="00A17763" w:rsidRPr="00264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Тарифа за таксите, които се събират от Изпълнителна агенция по лозата и виното</w:t>
            </w:r>
            <w:r w:rsidR="00383CC5" w:rsidRPr="00A17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  <w:r w:rsidR="00383CC5" w:rsidRPr="00383C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1E604D" w:rsidRPr="00076E63" w:rsidRDefault="001138D1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138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препоръчителните варианти за решаване на поставения проблем/</w:t>
            </w:r>
            <w:r w:rsidR="00064C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1138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и.</w:t>
            </w:r>
          </w:p>
        </w:tc>
      </w:tr>
      <w:tr w:rsidR="00076E63" w:rsidRPr="003C124D" w:rsidTr="00E37B57">
        <w:trPr>
          <w:jc w:val="center"/>
        </w:trPr>
        <w:tc>
          <w:tcPr>
            <w:tcW w:w="10266" w:type="dxa"/>
            <w:gridSpan w:val="3"/>
          </w:tcPr>
          <w:p w:rsidR="00076E63" w:rsidRPr="00076E63" w:rsidRDefault="00076E63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80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6.1.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:rsidR="00144504" w:rsidRPr="00CE4233" w:rsidRDefault="00144504" w:rsidP="009E0BC8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E42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3" type="#_x0000_t75" style="width:108pt;height:18pt" o:ole="">
                  <v:imagedata r:id="rId16" o:title=""/>
                </v:shape>
                <w:control r:id="rId17" w:name="OptionButton31" w:shapeid="_x0000_i1063"/>
              </w:object>
            </w:r>
          </w:p>
          <w:p w:rsidR="00144504" w:rsidRPr="00CE4233" w:rsidRDefault="00144504" w:rsidP="009E0BC8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E42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5" type="#_x0000_t75" style="width:108pt;height:18pt" o:ole="">
                  <v:imagedata r:id="rId18" o:title=""/>
                </v:shape>
                <w:control r:id="rId19" w:name="OptionButton41" w:shapeid="_x0000_i1065"/>
              </w:object>
            </w:r>
          </w:p>
          <w:p w:rsidR="00144504" w:rsidRDefault="00144504" w:rsidP="009E0BC8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E42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7" type="#_x0000_t75" style="width:108pt;height:18pt" o:ole="">
                  <v:imagedata r:id="rId20" o:title=""/>
                </v:shape>
                <w:control r:id="rId21" w:name="OptionButton51" w:shapeid="_x0000_i1067"/>
              </w:object>
            </w:r>
          </w:p>
          <w:p w:rsidR="008B74D3" w:rsidRDefault="00121614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Извършването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лабораторни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искане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няма</w:t>
            </w:r>
            <w:proofErr w:type="spellEnd"/>
            <w:r w:rsidR="00AA5C34" w:rsidRPr="006002E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</w:t>
            </w:r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</w:t>
            </w:r>
            <w:proofErr w:type="spellEnd"/>
            <w:r w:rsidR="00250E2B" w:rsidRPr="006002E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 смисъла на § 1, т. 2 от ДР на Закона за администрацията</w:t>
            </w:r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същите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регламентирани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0E2B" w:rsidRPr="006002E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 ЗВСН </w:t>
            </w:r>
            <w:r w:rsidR="00AA5C34"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A5C34" w:rsidRPr="006002E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чл. 180, ал. 4</w:t>
            </w:r>
            <w:r w:rsidR="00AA5C34"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AA5C34" w:rsidRPr="006002E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250E2B" w:rsidRPr="006002E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 съответно в</w:t>
            </w:r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Тарифа за таксите, които се </w:t>
            </w:r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събират от Изпълнителната агенция по лозата и виното</w:t>
            </w:r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като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тях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съобразени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всички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изисквания</w:t>
            </w:r>
            <w:proofErr w:type="spellEnd"/>
            <w:r w:rsidR="00250E2B" w:rsidRPr="006002E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регламентирани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Методиката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определяне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разходоориентиран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таксите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чл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7а </w:t>
            </w:r>
            <w:r w:rsidR="004C29AA" w:rsidRPr="006002E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</w:t>
            </w:r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ЗОАРАКСД. </w:t>
            </w:r>
            <w:r w:rsidR="0041512B" w:rsidRPr="007D72C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</w:t>
            </w:r>
            <w:proofErr w:type="spellStart"/>
            <w:r w:rsidR="00F2480B" w:rsidRPr="007D72C4">
              <w:rPr>
                <w:rFonts w:ascii="Times New Roman" w:eastAsia="Times New Roman" w:hAnsi="Times New Roman" w:cs="Times New Roman"/>
                <w:sz w:val="24"/>
                <w:szCs w:val="24"/>
              </w:rPr>
              <w:t>абораторни</w:t>
            </w:r>
            <w:proofErr w:type="spellEnd"/>
            <w:r w:rsidR="0041512B" w:rsidRPr="007D72C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</w:t>
            </w:r>
            <w:r w:rsidR="00F2480B" w:rsidRPr="007D7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480B" w:rsidRPr="007D72C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</w:t>
            </w:r>
            <w:proofErr w:type="spellEnd"/>
            <w:r w:rsidR="0041512B" w:rsidRPr="007D72C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представляват дейност, предоставяна от ИАЛВ</w:t>
            </w:r>
            <w:r w:rsidR="00EA4AC6" w:rsidRPr="007D72C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41512B" w:rsidRPr="007D72C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121614" w:rsidRPr="0041512B" w:rsidRDefault="00EA4AC6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bg-BG"/>
              </w:rPr>
            </w:pPr>
            <w:r w:rsidRPr="007D72C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41512B" w:rsidRPr="007D72C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рез 2021 г.</w:t>
            </w:r>
            <w:r w:rsidRPr="00EA4A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са и</w:t>
            </w:r>
            <w:r w:rsidRPr="00EA4A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</w:t>
            </w:r>
            <w:r w:rsidRPr="00EA4A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</w:t>
            </w:r>
            <w:r w:rsidRPr="00EA4A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общо 2 255 </w:t>
            </w:r>
            <w:r w:rsidRPr="00EA4A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броя протокол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</w:t>
            </w:r>
            <w:r w:rsidRPr="00EA4A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от изпитване след извършване на физикохимичен и микробиологичен анализ на </w:t>
            </w:r>
            <w:proofErr w:type="spellStart"/>
            <w:r w:rsidRPr="00EA4A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лозаро-винарски</w:t>
            </w:r>
            <w:proofErr w:type="spellEnd"/>
            <w:r w:rsidRPr="00EA4A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продукти</w:t>
            </w:r>
            <w:r w:rsidRPr="00EA4A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944 </w:t>
            </w:r>
            <w:proofErr w:type="spellStart"/>
            <w:r w:rsidRPr="00EA4A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оя</w:t>
            </w:r>
            <w:proofErr w:type="spellEnd"/>
            <w:r w:rsidRPr="00EA4A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са </w:t>
            </w:r>
            <w:r w:rsidRPr="00EA4A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</w:t>
            </w:r>
            <w:proofErr w:type="spellStart"/>
            <w:r w:rsidRPr="00EA4A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здадени</w:t>
            </w:r>
            <w:proofErr w:type="spellEnd"/>
            <w:r w:rsidRPr="00EA4A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от ИЛ София и 1 311 </w:t>
            </w:r>
            <w:proofErr w:type="spellStart"/>
            <w:r w:rsidRPr="00EA4A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оя</w:t>
            </w:r>
            <w:proofErr w:type="spellEnd"/>
            <w:r w:rsidRPr="00EA4A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от ИЛ Пловдив.</w:t>
            </w:r>
          </w:p>
          <w:p w:rsidR="00121614" w:rsidRPr="00121614" w:rsidRDefault="00121614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Към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настоящият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момент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поради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липса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друга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възможност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предоставянето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посочените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лабораторни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16BC" w:rsidRPr="005C16B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</w:t>
            </w:r>
            <w:proofErr w:type="spellEnd"/>
            <w:r w:rsidR="005C16BC" w:rsidRPr="005C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="008B74D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гат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бъдат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предоставяни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единствено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чрез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регламентирането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държавни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такси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Тарифа за таксите, които се събират от Изпълнителната агенция по лозата и виното </w:t>
            </w:r>
            <w:proofErr w:type="spellStart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5C34" w:rsidRPr="006002E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реда на </w:t>
            </w:r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ЗВСН</w:t>
            </w:r>
            <w:r w:rsidRPr="006002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21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05EFC" w:rsidRPr="00A05EFC" w:rsidRDefault="00121614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216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Административната тежест щ</w:t>
            </w:r>
            <w:r w:rsidR="007058C8" w:rsidRPr="001216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</w:t>
            </w:r>
            <w:r w:rsidR="007058C8" w:rsidRPr="007058C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се повиши както за юридическите лица, така и за физическите лица, регистрирани като </w:t>
            </w:r>
            <w:proofErr w:type="spellStart"/>
            <w:r w:rsidR="007058C8" w:rsidRPr="007058C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гроздо</w:t>
            </w:r>
            <w:proofErr w:type="spellEnd"/>
            <w:r w:rsidR="00DE3B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</w:t>
            </w:r>
            <w:r w:rsidR="007058C8" w:rsidRPr="007058C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винопроизводители, съгласно ЗВСН, като предвижданите разходи ще са несъществени от гледна точка на техния размер. Средното увеличение на таксите на извършваните лабораторни анализи е 23 %.</w:t>
            </w:r>
            <w:r w:rsidR="007058C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1610FE" w:rsidRPr="001610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Очаквано</w:t>
            </w:r>
            <w:r w:rsidR="00834E2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</w:t>
            </w:r>
            <w:r w:rsidR="001610FE" w:rsidRPr="001610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увеличение на приходите по актуализираната Тарифа за таксите е в размер на около 40 </w:t>
            </w:r>
            <w:r w:rsidR="00FC68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15</w:t>
            </w:r>
            <w:r w:rsidR="001610FE" w:rsidRPr="001610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 лв. годишно.</w:t>
            </w:r>
            <w:r w:rsidR="00A05E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05EFC" w:rsidRPr="00A05E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Същите в процентно изражение се равняват на 0,04 % от общите приходи събирани в системата на Министерство на земеделието, поради което представляват несъществена част от приходна страна.</w:t>
            </w:r>
          </w:p>
          <w:p w:rsidR="00076E63" w:rsidRPr="00076E63" w:rsidRDefault="00076E63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proofErr w:type="spellStart"/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</w:t>
            </w:r>
            <w:proofErr w:type="spellEnd"/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. Изборът следва да е </w:t>
            </w:r>
            <w:proofErr w:type="spellStart"/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съотносим</w:t>
            </w:r>
            <w:proofErr w:type="spellEnd"/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 посочените специфични въздействия на </w:t>
            </w:r>
            <w:r w:rsidR="00FF707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препоръчителния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вариант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за решаване на всеки проблем.</w:t>
            </w:r>
          </w:p>
          <w:p w:rsidR="00076E63" w:rsidRPr="00076E63" w:rsidRDefault="00076E63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Ако се предвижда въвеждането на такса</w:t>
            </w:r>
            <w:r w:rsidR="00064C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,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представете образуването на нейния размер съгласно Методиката по чл. 7а от Закона за ограничаване на административното регулиране и административния контрол върху стопанската дейност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076E63" w:rsidRPr="003C124D" w:rsidTr="00E37B57">
        <w:trPr>
          <w:jc w:val="center"/>
        </w:trPr>
        <w:tc>
          <w:tcPr>
            <w:tcW w:w="10266" w:type="dxa"/>
            <w:gridSpan w:val="3"/>
          </w:tcPr>
          <w:p w:rsidR="00076E63" w:rsidRPr="00076E63" w:rsidRDefault="00076E63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6.2. Създават ли се нови/засягат ли се съществуващи </w:t>
            </w:r>
            <w:r w:rsidR="00B722F7"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регулаторни режими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услуги от прилагането на препоръчителния вариант (включително по отделните проблеми)?</w:t>
            </w:r>
          </w:p>
          <w:p w:rsidR="00144504" w:rsidRPr="00CE4233" w:rsidRDefault="00144504" w:rsidP="009E0BC8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E42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9" type="#_x0000_t75" style="width:108pt;height:18pt" o:ole="">
                  <v:imagedata r:id="rId22" o:title=""/>
                </v:shape>
                <w:control r:id="rId23" w:name="OptionButton162" w:shapeid="_x0000_i1069"/>
              </w:object>
            </w:r>
          </w:p>
          <w:p w:rsidR="00144504" w:rsidRDefault="00144504" w:rsidP="009E0BC8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E42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1" type="#_x0000_t75" style="width:108pt;height:18pt" o:ole="">
                  <v:imagedata r:id="rId24" o:title=""/>
                </v:shape>
                <w:control r:id="rId25" w:name="OptionButton171" w:shapeid="_x0000_i1071"/>
              </w:object>
            </w:r>
          </w:p>
          <w:p w:rsidR="00144504" w:rsidRDefault="00144504" w:rsidP="009E0BC8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8F4A24" w:rsidRDefault="008F4A24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Извършването на лабораторни анализи по искане на физически и юридически лица, няма характер на административна услуга, регламентирана със закон или подзаконов нормативен акт.</w:t>
            </w:r>
          </w:p>
          <w:p w:rsidR="00A80AB8" w:rsidRDefault="00A80AB8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Към настоящия момент, поради липса на друга възможност, предоставянето на посочените лабораторни дейности могат да бъдат предоставяни единствено чрез регламентирането на държавни такси в Тарифата за таксите, които </w:t>
            </w:r>
            <w:r w:rsidRPr="00CA2A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 събират от Изпълнителна агенция по лозата и виното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 ЗВСН. </w:t>
            </w:r>
          </w:p>
          <w:p w:rsidR="00CD5558" w:rsidRDefault="0006596E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Размерът на таксите е в съответствие с необходимите материално-технически и административни разходи, за извършване на съответната дейност и е определен по </w:t>
            </w:r>
            <w:r w:rsidR="008719EF" w:rsidRPr="008719E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Методиката за определяне на </w:t>
            </w:r>
            <w:proofErr w:type="spellStart"/>
            <w:r w:rsidR="008719EF" w:rsidRPr="008719E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разходоориентиран</w:t>
            </w:r>
            <w:proofErr w:type="spellEnd"/>
            <w:r w:rsidR="008719EF" w:rsidRPr="008719E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размер на таксите по чл. 7а от Закона за ограничаване на административното регулиране и административния контрол върху стопанската дейност</w:t>
            </w:r>
            <w:r w:rsidR="008719E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разходването им.</w:t>
            </w:r>
            <w:r w:rsidR="00B977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всяка предложена такса е разработена план-сметка за нейното формиране.</w:t>
            </w:r>
          </w:p>
          <w:p w:rsidR="0006596E" w:rsidRDefault="00CD5558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Размерът на таксите включва направените преки и непреки разходи, свързани с предоставянето на съответн</w:t>
            </w:r>
            <w:r w:rsidR="002459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</w:t>
            </w:r>
            <w:r w:rsidR="002459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2459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дейности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услуг</w:t>
            </w:r>
            <w:r w:rsidR="002459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="00DA42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физическ</w:t>
            </w:r>
            <w:r w:rsidR="002459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="00DA42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или юридическ</w:t>
            </w:r>
            <w:r w:rsidR="002459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="00DA42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лиц</w:t>
            </w:r>
            <w:r w:rsidR="002459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="00DA42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DE255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Всички преки и непреки разходи</w:t>
            </w:r>
            <w:r w:rsidR="008505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които могат да бъдат пряк</w:t>
            </w:r>
            <w:r w:rsidR="00A87F9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</w:t>
            </w:r>
            <w:r w:rsidR="008505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свързани с предоставянето на услугата са посочени в </w:t>
            </w:r>
            <w:r w:rsidR="00A87F9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стойността на услугата, а тези за които не е възможно е възприет принципа за пропорционално разпределение на направените разходи от административния орган, който е представен</w:t>
            </w:r>
            <w:r w:rsidR="000659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87F9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като процент (%) на общо</w:t>
            </w:r>
            <w:r w:rsidR="00A7658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87F9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административни разходи. </w:t>
            </w:r>
          </w:p>
          <w:p w:rsidR="00F04B4E" w:rsidRPr="00BE4013" w:rsidRDefault="00076E63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1.</w:t>
            </w:r>
            <w:proofErr w:type="spellStart"/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1</w:t>
            </w:r>
            <w:proofErr w:type="spellEnd"/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.</w:t>
            </w:r>
            <w:r w:rsidR="00F04B4E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 Изборът следва да е </w:t>
            </w:r>
            <w:proofErr w:type="spellStart"/>
            <w:r w:rsidR="00F04B4E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съотносим</w:t>
            </w:r>
            <w:proofErr w:type="spellEnd"/>
            <w:r w:rsidR="00F04B4E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 с посочените специфични въздействия на избрания вариант</w:t>
            </w:r>
            <w:r w:rsidR="0078311F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.</w:t>
            </w:r>
          </w:p>
          <w:p w:rsidR="00076E63" w:rsidRPr="00BE4013" w:rsidRDefault="00F04B4E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lastRenderedPageBreak/>
              <w:t xml:space="preserve">1.2. </w:t>
            </w:r>
            <w:r w:rsidR="00076E63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В случай че се предвижда създаване нов регулаторен режим, посочете неговия вид (за стопанска дейност: лицензионен, регистрационен; за отделна стелка</w:t>
            </w:r>
            <w:r w:rsidR="0078311F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 или действие</w:t>
            </w:r>
            <w:r w:rsidR="00076E63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: разрешителен, уведомителен; удостоверителен и по какъв начин това съответства с постигането на целите).</w:t>
            </w:r>
          </w:p>
          <w:p w:rsidR="00076E63" w:rsidRPr="00BE4013" w:rsidRDefault="00076E63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1.</w:t>
            </w:r>
            <w:r w:rsidR="00F04B4E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3</w:t>
            </w: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. Мотивирайте създаването на новия регулаторен режим съгласно изискванията на чл. 3, ал. 4 от Закона за ограничаване на административното регулиране и административния контрол върху стопанската дейност.</w:t>
            </w:r>
          </w:p>
          <w:p w:rsidR="00076E63" w:rsidRPr="00BE4013" w:rsidRDefault="00076E63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1.</w:t>
            </w:r>
            <w:r w:rsidR="00F04B4E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4</w:t>
            </w: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:rsidR="00076E63" w:rsidRPr="00BE4013" w:rsidRDefault="00076E63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1.</w:t>
            </w:r>
            <w:r w:rsidR="00F04B4E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5</w:t>
            </w: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:rsidR="00A80AB8" w:rsidRDefault="00A80AB8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2461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Проектът не подлежи на нотификация по реда на Директива (ЕС) 2015/1535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общество.</w:t>
            </w:r>
          </w:p>
          <w:p w:rsidR="008338C0" w:rsidRPr="00BE4013" w:rsidRDefault="00076E63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1.</w:t>
            </w:r>
            <w:r w:rsidR="00F04B4E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6</w:t>
            </w: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. В случай че се изменят регулаторни режими или административни услуги, посочете промяната.</w:t>
            </w:r>
          </w:p>
        </w:tc>
      </w:tr>
      <w:tr w:rsidR="00076E63" w:rsidRPr="003C124D" w:rsidTr="00E37B57">
        <w:trPr>
          <w:jc w:val="center"/>
        </w:trPr>
        <w:tc>
          <w:tcPr>
            <w:tcW w:w="10266" w:type="dxa"/>
            <w:gridSpan w:val="3"/>
          </w:tcPr>
          <w:p w:rsidR="00F20BB5" w:rsidRDefault="00076E63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:rsidR="00144504" w:rsidRPr="00CE4233" w:rsidRDefault="00144504" w:rsidP="009E0BC8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E42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3" type="#_x0000_t75" style="width:108pt;height:18pt" o:ole="">
                  <v:imagedata r:id="rId22" o:title=""/>
                </v:shape>
                <w:control r:id="rId26" w:name="OptionButton1621" w:shapeid="_x0000_i1073"/>
              </w:object>
            </w:r>
          </w:p>
          <w:p w:rsidR="00144504" w:rsidRDefault="00144504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E42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5" type="#_x0000_t75" style="width:108pt;height:18pt" o:ole="">
                  <v:imagedata r:id="rId24" o:title=""/>
                </v:shape>
                <w:control r:id="rId27" w:name="OptionButton1711" w:shapeid="_x0000_i1075"/>
              </w:object>
            </w:r>
          </w:p>
          <w:p w:rsidR="0012461C" w:rsidRPr="0012461C" w:rsidRDefault="0012461C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2461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се създават нови регистри, както и не се засягат съществуващи такива. </w:t>
            </w:r>
          </w:p>
          <w:p w:rsidR="00076E63" w:rsidRPr="00BE4013" w:rsidRDefault="00076E63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Когато отговорът е „Да“, посо</w:t>
            </w:r>
            <w:bookmarkStart w:id="0" w:name="_GoBack"/>
            <w:bookmarkEnd w:id="0"/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чете регистрите, които се създават и по какъв начин те ще бъдат интегрирани в общата </w:t>
            </w:r>
            <w:proofErr w:type="spellStart"/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регистрова</w:t>
            </w:r>
            <w:proofErr w:type="spellEnd"/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 инфраструктура.</w:t>
            </w:r>
          </w:p>
        </w:tc>
      </w:tr>
      <w:tr w:rsidR="00076E63" w:rsidRPr="003C124D" w:rsidTr="00E37B57">
        <w:trPr>
          <w:jc w:val="center"/>
        </w:trPr>
        <w:tc>
          <w:tcPr>
            <w:tcW w:w="10266" w:type="dxa"/>
            <w:gridSpan w:val="3"/>
          </w:tcPr>
          <w:p w:rsidR="00076E63" w:rsidRPr="00076E63" w:rsidRDefault="00076E63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80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6.4.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По какъв начин </w:t>
            </w:r>
            <w:r w:rsidR="00FF7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препоръчителният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въздейства върху </w:t>
            </w:r>
            <w:proofErr w:type="spellStart"/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микро</w:t>
            </w:r>
            <w:r w:rsidR="00064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  <w:proofErr w:type="spellEnd"/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 малките и средните предприятия (МСП)</w:t>
            </w:r>
            <w:r w:rsidRPr="00076E63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(включително по отделните проблеми)?</w:t>
            </w:r>
          </w:p>
          <w:p w:rsidR="00144504" w:rsidRPr="00CE4233" w:rsidRDefault="00144504" w:rsidP="009E0BC8">
            <w:pPr>
              <w:spacing w:before="40" w:after="40" w:line="276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CE4233">
              <w:rPr>
                <w:rFonts w:ascii="Calibri" w:eastAsia="MS Mincho" w:hAnsi="Calibri" w:cs="MS Mincho"/>
                <w:sz w:val="24"/>
                <w:szCs w:val="24"/>
              </w:rPr>
              <w:object w:dxaOrig="225" w:dyaOrig="225">
                <v:shape id="_x0000_i1077" type="#_x0000_t75" style="width:259.5pt;height:18pt" o:ole="">
                  <v:imagedata r:id="rId28" o:title=""/>
                </v:shape>
                <w:control r:id="rId29" w:name="OptionButton61" w:shapeid="_x0000_i1077"/>
              </w:object>
            </w:r>
          </w:p>
          <w:p w:rsidR="00144504" w:rsidRDefault="00144504" w:rsidP="009E0BC8">
            <w:pPr>
              <w:spacing w:before="40" w:after="40" w:line="276" w:lineRule="auto"/>
              <w:rPr>
                <w:rFonts w:ascii="Calibri" w:eastAsia="MS Mincho" w:hAnsi="Calibri" w:cs="MS Mincho"/>
                <w:sz w:val="24"/>
                <w:szCs w:val="24"/>
                <w:lang w:val="en-GB"/>
              </w:rPr>
            </w:pPr>
            <w:r w:rsidRPr="00CE4233">
              <w:rPr>
                <w:rFonts w:ascii="Calibri" w:eastAsia="MS Mincho" w:hAnsi="Calibri" w:cs="MS Mincho"/>
                <w:sz w:val="24"/>
                <w:szCs w:val="24"/>
              </w:rPr>
              <w:object w:dxaOrig="225" w:dyaOrig="225">
                <v:shape id="_x0000_i1079" type="#_x0000_t75" style="width:161.25pt;height:18pt" o:ole="">
                  <v:imagedata r:id="rId30" o:title=""/>
                </v:shape>
                <w:control r:id="rId31" w:name="OptionButton71" w:shapeid="_x0000_i1079"/>
              </w:object>
            </w:r>
          </w:p>
          <w:p w:rsidR="000C6264" w:rsidRPr="000C6264" w:rsidRDefault="007058C8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Пред</w:t>
            </w:r>
            <w:r w:rsidRPr="00013E7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вижданите разходи ще са несъществени от гледна точка на техния размер. Средното увеличение на таксите на извършваните лабораторни анализи е 23 %.</w:t>
            </w:r>
            <w:r w:rsidR="001610F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="001610FE" w:rsidRPr="001610F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Очаквано</w:t>
            </w:r>
            <w:r w:rsidR="00834E2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то</w:t>
            </w:r>
            <w:r w:rsidR="001610FE" w:rsidRPr="001610F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увеличение на приходите по актуализираната Тарифа за таксите е в размер на около 40 </w:t>
            </w:r>
            <w:r w:rsidR="00FC684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15</w:t>
            </w:r>
            <w:r w:rsidR="001610FE" w:rsidRPr="001610F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 лв. годишно.</w:t>
            </w:r>
            <w:r w:rsidR="000C626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="000C6264" w:rsidRPr="000C626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Същите в процентно изражение се равняват на 0,04 % от общите приходи събирани в системата на Министерство на земеделието, поради което представляват несъществена част от приходна страна.</w:t>
            </w:r>
          </w:p>
          <w:p w:rsidR="00076E63" w:rsidRDefault="00FF7077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зборът следва да е </w:t>
            </w:r>
            <w:proofErr w:type="spellStart"/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съотносим</w:t>
            </w:r>
            <w:proofErr w:type="spellEnd"/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 посочените специфични въздействия на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препоръчителния вариант.</w:t>
            </w:r>
          </w:p>
          <w:p w:rsidR="00681C17" w:rsidRPr="005A7040" w:rsidRDefault="00681C17" w:rsidP="009E0BC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5A70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Промените в административните режими и допълнителната финансова тежест биха оказали влияние върху МСП, които реално са преоблад</w:t>
            </w:r>
            <w:r w:rsidR="00F33D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а</w:t>
            </w:r>
            <w:r w:rsidRPr="005A70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ващите стопански субекти в сектора.</w:t>
            </w:r>
          </w:p>
          <w:p w:rsidR="00681C17" w:rsidRPr="005A7040" w:rsidRDefault="00681C17" w:rsidP="009E0BC8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5A70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Извършен </w:t>
            </w:r>
            <w:r w:rsidR="00F44F26" w:rsidRPr="005A70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е</w:t>
            </w:r>
            <w:r w:rsidRPr="005A70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</w:t>
            </w:r>
            <w:r w:rsidRPr="005A70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т.нар. „МСП-тест“</w:t>
            </w:r>
            <w:r w:rsidRPr="005A704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в съответствие </w:t>
            </w:r>
            <w:r w:rsidRPr="005A70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</w:t>
            </w:r>
            <w:r w:rsidRPr="005A704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Ръководството за извършване на оценка на въздействие на законодателството</w:t>
            </w:r>
            <w:r w:rsidR="00111E2F" w:rsidRPr="005A704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:rsidR="002A35F6" w:rsidRDefault="00681C17" w:rsidP="009E0BC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A70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Направен е опит да се оценени размера на пазара, засегнат от регулацията, конкретните засегнати страни, като в рамките на наличната информация </w:t>
            </w:r>
            <w:r w:rsidR="00F44F26" w:rsidRPr="005A70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</w:t>
            </w:r>
            <w:r w:rsidRPr="005A70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 прогнозирани и разходите, които ще понесат отделни групи засегнати страни във връзка с </w:t>
            </w:r>
            <w:r w:rsidR="00F44F26" w:rsidRPr="005A70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приемането</w:t>
            </w:r>
            <w:r w:rsidRPr="005A70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</w:t>
            </w:r>
            <w:r w:rsidR="00963F63" w:rsidRPr="005A70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Тарифа за т</w:t>
            </w:r>
            <w:r w:rsidRPr="005A70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аксите.</w:t>
            </w:r>
          </w:p>
          <w:p w:rsidR="00681C17" w:rsidRPr="005A7040" w:rsidRDefault="00681C17" w:rsidP="009E0BC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5A70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Предприятията, които биха били засегнати от проекта на</w:t>
            </w:r>
            <w:r w:rsidR="000C774E" w:rsidRPr="005A70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Тарифа за таксите</w:t>
            </w:r>
            <w:r w:rsidR="00466C65" w:rsidRPr="005A70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Pr="005A70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попадат в класификация по КПИД – 20</w:t>
            </w:r>
            <w:r w:rsidR="0011586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15</w:t>
            </w:r>
            <w:r w:rsidRPr="005A70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на НСИ представена в </w:t>
            </w:r>
            <w:r w:rsidR="00F66BE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</w:t>
            </w:r>
            <w:r w:rsidRPr="005A70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аблица 1.</w:t>
            </w:r>
          </w:p>
          <w:p w:rsidR="00681C17" w:rsidRDefault="00681C17" w:rsidP="009E0BC8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5A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За да се прецени размера и финансово-административната тежест и въздействието върху стопанската активност на засегнатите потребители (от данните е видно</w:t>
            </w:r>
            <w:r w:rsidR="00111E2F" w:rsidRPr="005A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,</w:t>
            </w:r>
            <w:r w:rsidRPr="005A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че те са преобладаващо МСП), бе извършен и по-детайлен анализ,  включително с количествени оценки и прогнози пред</w:t>
            </w:r>
            <w:r w:rsidR="00466C65" w:rsidRPr="005A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ставени по-долу, а също така бе взето предвид </w:t>
            </w:r>
            <w:r w:rsidRPr="005A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мнението на</w:t>
            </w:r>
            <w:r w:rsidR="00466C65" w:rsidRPr="005A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активните производители чрез анализ на </w:t>
            </w:r>
            <w:r w:rsidRPr="005A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представителна извадка. </w:t>
            </w:r>
          </w:p>
          <w:p w:rsidR="00EC4B66" w:rsidRPr="005A7040" w:rsidRDefault="000F5A53" w:rsidP="009E0BC8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5A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>Анализирано бе</w:t>
            </w:r>
            <w:r w:rsidR="00EC4B66" w:rsidRPr="005A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мнението </w:t>
            </w:r>
            <w:r w:rsidR="000E59D0" w:rsidRPr="005A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на вино- и </w:t>
            </w:r>
            <w:proofErr w:type="spellStart"/>
            <w:r w:rsidR="000E59D0" w:rsidRPr="005A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гроздопроизводители</w:t>
            </w:r>
            <w:proofErr w:type="spellEnd"/>
            <w:r w:rsidR="000E59D0" w:rsidRPr="005A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от</w:t>
            </w:r>
            <w:r w:rsidR="00EC4B66" w:rsidRPr="005A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представителна извадка </w:t>
            </w:r>
            <w:r w:rsidR="000E59D0" w:rsidRPr="005A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но</w:t>
            </w:r>
            <w:r w:rsidR="00EC4B66" w:rsidRPr="005A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МСП относно административни</w:t>
            </w:r>
            <w:r w:rsidR="000E59D0" w:rsidRPr="005A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те</w:t>
            </w:r>
            <w:r w:rsidR="00EC4B66" w:rsidRPr="005A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режими по ЗВСН и свързаните с тях нови такси, които се предвижда да </w:t>
            </w:r>
            <w:r w:rsidR="000E59D0" w:rsidRPr="005A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бъдат</w:t>
            </w:r>
            <w:r w:rsidR="00EC4B66" w:rsidRPr="005A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включени в Тарифата за таксите</w:t>
            </w:r>
            <w:r w:rsidR="000E59D0" w:rsidRPr="005A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</w:p>
          <w:p w:rsidR="000E5D14" w:rsidRPr="0046753C" w:rsidRDefault="000E5D14" w:rsidP="009E0BC8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5A70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 xml:space="preserve">Мнение изразиха </w:t>
            </w:r>
            <w:r w:rsidRPr="005A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101 производители (3</w:t>
            </w:r>
            <w:r w:rsidR="007D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  <w:r w:rsidRPr="005A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%) от общо </w:t>
            </w:r>
            <w:r w:rsidR="007D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3</w:t>
            </w:r>
            <w:r w:rsidRPr="005A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36 </w:t>
            </w:r>
            <w:r w:rsidRPr="005A70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регистрирани и водени на отчет в ИАЛВ</w:t>
            </w:r>
            <w:r w:rsidR="001E14FD" w:rsidRPr="005A70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. Б</w:t>
            </w:r>
            <w:r w:rsidRPr="005A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олшинството от анкетираните считат новите административни режими и таксите за приемливи</w:t>
            </w:r>
            <w:r w:rsidR="001E14FD" w:rsidRPr="005A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, тъй като няма да имат съществено финансово отражение върху бизнеса</w:t>
            </w:r>
            <w:r w:rsidRPr="005A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. Процентното разпределение за приемливостта на предвижданите 5 </w:t>
            </w:r>
            <w:r w:rsidR="00C2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(пет) </w:t>
            </w:r>
            <w:r w:rsidRPr="005A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нови такси за административно обслужване и процедурите по администрирането са обобщени в таблицата по-долу</w:t>
            </w:r>
            <w:r w:rsidR="0046753C" w:rsidRPr="005A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</w:p>
          <w:p w:rsidR="00681C17" w:rsidRPr="00CC25EA" w:rsidRDefault="00681C17" w:rsidP="009E0BC8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b/>
                <w:u w:val="single"/>
                <w:lang w:val="bg-BG"/>
              </w:rPr>
            </w:pPr>
            <w:r w:rsidRPr="00CC25EA">
              <w:rPr>
                <w:rFonts w:ascii="Times New Roman" w:eastAsia="Times New Roman" w:hAnsi="Times New Roman" w:cs="Times New Roman"/>
                <w:b/>
                <w:u w:val="single"/>
                <w:lang w:val="bg-BG"/>
              </w:rPr>
              <w:t>Таблица 1:</w:t>
            </w:r>
          </w:p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12"/>
              <w:gridCol w:w="1221"/>
              <w:gridCol w:w="1444"/>
              <w:gridCol w:w="986"/>
              <w:gridCol w:w="1335"/>
              <w:gridCol w:w="2809"/>
              <w:gridCol w:w="1333"/>
            </w:tblGrid>
            <w:tr w:rsidR="00681C17" w:rsidRPr="00D722BA" w:rsidTr="00B3148E">
              <w:trPr>
                <w:cantSplit/>
                <w:trHeight w:val="914"/>
                <w:jc w:val="center"/>
              </w:trPr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1C17" w:rsidRPr="00D722BA" w:rsidRDefault="00681C17" w:rsidP="009E0BC8">
                  <w:pPr>
                    <w:keepNext/>
                    <w:widowControl w:val="0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</w:pPr>
                  <w:proofErr w:type="spellStart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>Сектор</w:t>
                  </w:r>
                  <w:proofErr w:type="spellEnd"/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1C17" w:rsidRPr="00D722BA" w:rsidRDefault="00681C17" w:rsidP="009E0BC8">
                  <w:pPr>
                    <w:keepNext/>
                    <w:widowControl w:val="0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</w:pPr>
                  <w:proofErr w:type="spellStart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>Раздел</w:t>
                  </w:r>
                  <w:proofErr w:type="spellEnd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>двузначен</w:t>
                  </w:r>
                  <w:proofErr w:type="spellEnd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>код</w:t>
                  </w:r>
                  <w:proofErr w:type="spellEnd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4F10" w:rsidRDefault="00681C17" w:rsidP="009E0BC8">
                  <w:pPr>
                    <w:keepNext/>
                    <w:widowControl w:val="0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val="bg-BG"/>
                    </w:rPr>
                  </w:pPr>
                  <w:proofErr w:type="spellStart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>Клас</w:t>
                  </w:r>
                  <w:proofErr w:type="spellEnd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>четиризна</w:t>
                  </w:r>
                  <w:proofErr w:type="spellEnd"/>
                </w:p>
                <w:p w:rsidR="00681C17" w:rsidRPr="00D722BA" w:rsidRDefault="00681C17" w:rsidP="009E0BC8">
                  <w:pPr>
                    <w:keepNext/>
                    <w:widowControl w:val="0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</w:pPr>
                  <w:proofErr w:type="spellStart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>чен</w:t>
                  </w:r>
                  <w:proofErr w:type="spellEnd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>код</w:t>
                  </w:r>
                  <w:proofErr w:type="spellEnd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1C17" w:rsidRPr="00115869" w:rsidRDefault="00681C17" w:rsidP="009E0BC8">
                  <w:pPr>
                    <w:keepNext/>
                    <w:widowControl w:val="0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bg-BG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КПИД -20</w:t>
                  </w:r>
                  <w:r w:rsidR="001158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bg-BG"/>
                    </w:rPr>
                    <w:t>15</w:t>
                  </w:r>
                </w:p>
              </w:tc>
              <w:tc>
                <w:tcPr>
                  <w:tcW w:w="6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4F10" w:rsidRDefault="00681C17" w:rsidP="009E0BC8">
                  <w:pPr>
                    <w:keepNext/>
                    <w:widowControl w:val="0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val="bg-BG"/>
                    </w:rPr>
                  </w:pPr>
                  <w:proofErr w:type="spellStart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>Брой</w:t>
                  </w:r>
                  <w:proofErr w:type="spellEnd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 xml:space="preserve"> МСП в </w:t>
                  </w:r>
                  <w:proofErr w:type="spellStart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>обхвата</w:t>
                  </w:r>
                  <w:proofErr w:type="spellEnd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>на</w:t>
                  </w:r>
                  <w:proofErr w:type="spellEnd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>регула</w:t>
                  </w:r>
                  <w:proofErr w:type="spellEnd"/>
                </w:p>
                <w:p w:rsidR="00681C17" w:rsidRPr="00D722BA" w:rsidRDefault="00681C17" w:rsidP="009E0BC8">
                  <w:pPr>
                    <w:keepNext/>
                    <w:widowControl w:val="0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</w:pPr>
                  <w:proofErr w:type="spellStart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>цията</w:t>
                  </w:r>
                  <w:proofErr w:type="spellEnd"/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1C17" w:rsidRPr="00D722BA" w:rsidRDefault="00681C17" w:rsidP="009E0BC8">
                  <w:pPr>
                    <w:keepNext/>
                    <w:widowControl w:val="0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Описание</w:t>
                  </w:r>
                  <w:proofErr w:type="spellEnd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според</w:t>
                  </w:r>
                  <w:proofErr w:type="spellEnd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КПИД - 20</w:t>
                  </w:r>
                  <w:r w:rsidR="001158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bg-BG"/>
                    </w:rPr>
                    <w:t>15</w:t>
                  </w:r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НСИ</w:t>
                  </w:r>
                </w:p>
              </w:tc>
              <w:tc>
                <w:tcPr>
                  <w:tcW w:w="6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81C17" w:rsidRPr="00D722BA" w:rsidRDefault="00681C17" w:rsidP="009E0BC8">
                  <w:pPr>
                    <w:keepNext/>
                    <w:widowControl w:val="0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</w:pPr>
                  <w:proofErr w:type="spellStart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>Брой</w:t>
                  </w:r>
                  <w:proofErr w:type="spellEnd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 xml:space="preserve"> МСП </w:t>
                  </w:r>
                  <w:proofErr w:type="spellStart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>обхванати</w:t>
                  </w:r>
                  <w:proofErr w:type="spellEnd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>от</w:t>
                  </w:r>
                  <w:proofErr w:type="spellEnd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>регула</w:t>
                  </w:r>
                  <w:proofErr w:type="spellEnd"/>
                  <w:r w:rsidR="00B3148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val="bg-BG"/>
                    </w:rPr>
                    <w:t xml:space="preserve"> </w:t>
                  </w:r>
                  <w:proofErr w:type="spellStart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>цията</w:t>
                  </w:r>
                  <w:proofErr w:type="spellEnd"/>
                </w:p>
              </w:tc>
            </w:tr>
            <w:tr w:rsidR="00681C17" w:rsidRPr="00D722BA" w:rsidTr="00B3148E">
              <w:trPr>
                <w:cantSplit/>
                <w:trHeight w:val="600"/>
                <w:jc w:val="center"/>
              </w:trPr>
              <w:tc>
                <w:tcPr>
                  <w:tcW w:w="45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1C17" w:rsidRPr="00D722BA" w:rsidRDefault="00681C17" w:rsidP="009E0BC8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1C17" w:rsidRPr="00D722BA" w:rsidRDefault="00DE676D" w:rsidP="009E0BC8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1C17" w:rsidRPr="00D722BA" w:rsidRDefault="00DE676D" w:rsidP="009E0BC8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bg-BG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>11.0</w:t>
                  </w:r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val="bg-BG"/>
                    </w:rPr>
                    <w:t>2</w:t>
                  </w: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1C17" w:rsidRPr="00D722BA" w:rsidRDefault="00681C17" w:rsidP="009E0BC8">
                  <w:pPr>
                    <w:spacing w:before="40" w:after="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11.02.11</w:t>
                  </w:r>
                </w:p>
              </w:tc>
              <w:tc>
                <w:tcPr>
                  <w:tcW w:w="6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1C17" w:rsidRPr="00D722BA" w:rsidRDefault="00681C17" w:rsidP="009E0BC8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highlight w:val="yellow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1C17" w:rsidRPr="00D722BA" w:rsidRDefault="00014FE4" w:rsidP="009E0BC8">
                  <w:pPr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/>
                    </w:rPr>
                    <w:t>Производство на п</w:t>
                  </w:r>
                  <w:proofErr w:type="spellStart"/>
                  <w:r w:rsidR="00681C17"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енливи</w:t>
                  </w:r>
                  <w:proofErr w:type="spellEnd"/>
                  <w:r w:rsidR="00681C17"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81C17"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вина</w:t>
                  </w:r>
                  <w:proofErr w:type="spellEnd"/>
                  <w:r w:rsidR="00681C17"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/>
                    </w:rPr>
                    <w:t xml:space="preserve">от </w:t>
                  </w:r>
                  <w:proofErr w:type="spellStart"/>
                  <w:r w:rsidR="00D0738D" w:rsidRPr="00D0738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прясно</w:t>
                  </w:r>
                  <w:proofErr w:type="spellEnd"/>
                  <w:r w:rsidR="00D0738D" w:rsidRPr="00D0738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0738D" w:rsidRPr="00D0738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грозде</w:t>
                  </w:r>
                  <w:proofErr w:type="spellEnd"/>
                  <w:r w:rsidR="00D0738D" w:rsidRPr="00D0738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/>
                    </w:rPr>
                    <w:t xml:space="preserve"> </w:t>
                  </w:r>
                </w:p>
              </w:tc>
              <w:tc>
                <w:tcPr>
                  <w:tcW w:w="6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D72C4" w:rsidRDefault="007D72C4" w:rsidP="009E0BC8">
                  <w:pPr>
                    <w:keepNext/>
                    <w:widowControl w:val="0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val="bg-BG"/>
                    </w:rPr>
                  </w:pPr>
                </w:p>
                <w:p w:rsidR="00681C17" w:rsidRPr="00D722BA" w:rsidRDefault="00681C17" w:rsidP="009E0BC8">
                  <w:pPr>
                    <w:keepNext/>
                    <w:widowControl w:val="0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>25</w:t>
                  </w:r>
                </w:p>
              </w:tc>
            </w:tr>
            <w:tr w:rsidR="00681C17" w:rsidRPr="00D722BA" w:rsidTr="00B3148E">
              <w:trPr>
                <w:cantSplit/>
                <w:trHeight w:val="799"/>
                <w:jc w:val="center"/>
              </w:trPr>
              <w:tc>
                <w:tcPr>
                  <w:tcW w:w="45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1C17" w:rsidRPr="00D722BA" w:rsidRDefault="00681C17" w:rsidP="009E0BC8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1C17" w:rsidRPr="00D722BA" w:rsidRDefault="00014FE4" w:rsidP="009E0BC8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1C17" w:rsidRPr="00D722BA" w:rsidRDefault="00014FE4" w:rsidP="009E0BC8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>11.0</w:t>
                  </w:r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val="bg-BG"/>
                    </w:rPr>
                    <w:t>2</w:t>
                  </w: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1C17" w:rsidRPr="00072FCC" w:rsidRDefault="00681C17" w:rsidP="009E0BC8">
                  <w:pPr>
                    <w:spacing w:before="40" w:after="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11.02.1</w:t>
                  </w:r>
                  <w:r w:rsidR="00072F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/>
                    </w:rPr>
                    <w:t>2</w:t>
                  </w:r>
                </w:p>
              </w:tc>
              <w:tc>
                <w:tcPr>
                  <w:tcW w:w="6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1C17" w:rsidRPr="00D722BA" w:rsidRDefault="00681C17" w:rsidP="009E0BC8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highlight w:val="yellow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>263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1C17" w:rsidRPr="00D722BA" w:rsidRDefault="00DE676D" w:rsidP="009E0BC8">
                  <w:pPr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/>
                    </w:rPr>
                    <w:t>Производство на вина</w:t>
                  </w:r>
                  <w:r w:rsidR="00681C17"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81C17"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от</w:t>
                  </w:r>
                  <w:proofErr w:type="spellEnd"/>
                  <w:r w:rsidR="00681C17"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81C17"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прясно</w:t>
                  </w:r>
                  <w:proofErr w:type="spellEnd"/>
                  <w:r w:rsidR="00681C17"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81C17"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грозде</w:t>
                  </w:r>
                  <w:proofErr w:type="spellEnd"/>
                  <w:r w:rsidR="006C2F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/>
                    </w:rPr>
                    <w:t>,</w:t>
                  </w:r>
                  <w:r w:rsidR="00EF08AD"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/>
                    </w:rPr>
                    <w:t xml:space="preserve"> </w:t>
                  </w:r>
                  <w:proofErr w:type="spellStart"/>
                  <w:r w:rsidR="00681C17"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без</w:t>
                  </w:r>
                  <w:proofErr w:type="spellEnd"/>
                  <w:r w:rsidR="00681C17"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81C17"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пенливи</w:t>
                  </w:r>
                  <w:proofErr w:type="spellEnd"/>
                  <w:r w:rsidR="00681C17"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81C17"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вина</w:t>
                  </w:r>
                  <w:proofErr w:type="spellEnd"/>
                  <w:r w:rsidR="00EF08AD"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/>
                    </w:rPr>
                    <w:t xml:space="preserve"> и</w:t>
                  </w:r>
                  <w:r w:rsidR="00681C17"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014FE4"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/>
                    </w:rPr>
                    <w:t xml:space="preserve">вина от </w:t>
                  </w:r>
                  <w:r w:rsidR="00B319F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/>
                    </w:rPr>
                    <w:t>фермен</w:t>
                  </w:r>
                  <w:r w:rsidR="00C501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/>
                    </w:rPr>
                    <w:t>т</w:t>
                  </w:r>
                  <w:r w:rsidR="00014FE4"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/>
                    </w:rPr>
                    <w:t>ира</w:t>
                  </w:r>
                  <w:r w:rsidR="00C501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/>
                    </w:rPr>
                    <w:t>л</w:t>
                  </w:r>
                  <w:r w:rsidR="00014FE4"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/>
                    </w:rPr>
                    <w:t xml:space="preserve">а </w:t>
                  </w:r>
                  <w:proofErr w:type="spellStart"/>
                  <w:r w:rsidR="00681C17"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гроздова</w:t>
                  </w:r>
                  <w:proofErr w:type="spellEnd"/>
                  <w:r w:rsidR="00681C17"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81C17"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мъст</w:t>
                  </w:r>
                  <w:proofErr w:type="spellEnd"/>
                </w:p>
              </w:tc>
              <w:tc>
                <w:tcPr>
                  <w:tcW w:w="6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81C17" w:rsidRPr="00D722BA" w:rsidRDefault="00681C17" w:rsidP="009E0BC8">
                  <w:pPr>
                    <w:keepNext/>
                    <w:widowControl w:val="0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</w:pPr>
                </w:p>
                <w:p w:rsidR="00681C17" w:rsidRPr="00D722BA" w:rsidRDefault="00681C17" w:rsidP="009E0BC8">
                  <w:pPr>
                    <w:keepNext/>
                    <w:widowControl w:val="0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</w:pPr>
                </w:p>
                <w:p w:rsidR="00681C17" w:rsidRPr="00D722BA" w:rsidRDefault="00681C17" w:rsidP="009E0BC8">
                  <w:pPr>
                    <w:keepNext/>
                    <w:widowControl w:val="0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>183</w:t>
                  </w:r>
                </w:p>
              </w:tc>
            </w:tr>
            <w:tr w:rsidR="00681C17" w:rsidRPr="00D722BA" w:rsidTr="00B3148E">
              <w:trPr>
                <w:cantSplit/>
                <w:trHeight w:val="572"/>
                <w:jc w:val="center"/>
              </w:trPr>
              <w:tc>
                <w:tcPr>
                  <w:tcW w:w="45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1C17" w:rsidRPr="00D722BA" w:rsidRDefault="00681C17" w:rsidP="009E0BC8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1C17" w:rsidRPr="00D722BA" w:rsidRDefault="00014FE4" w:rsidP="009E0BC8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1C17" w:rsidRPr="00D722BA" w:rsidRDefault="00014FE4" w:rsidP="009E0BC8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bg-BG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>11.0</w:t>
                  </w:r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val="bg-BG"/>
                    </w:rPr>
                    <w:t>4</w:t>
                  </w: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1C17" w:rsidRPr="00D722BA" w:rsidRDefault="00681C17" w:rsidP="009E0BC8">
                  <w:pPr>
                    <w:spacing w:before="40" w:after="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11.04.10</w:t>
                  </w:r>
                </w:p>
              </w:tc>
              <w:tc>
                <w:tcPr>
                  <w:tcW w:w="6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1C17" w:rsidRPr="00D722BA" w:rsidRDefault="00681C17" w:rsidP="009E0BC8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highlight w:val="yellow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1C17" w:rsidRPr="00D722BA" w:rsidRDefault="000F08E4" w:rsidP="009E0BC8">
                  <w:pPr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/>
                    </w:rPr>
                    <w:t>Производство на</w:t>
                  </w:r>
                  <w:r w:rsidR="00681C17"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/>
                    </w:rPr>
                    <w:t>в</w:t>
                  </w:r>
                  <w:proofErr w:type="spellStart"/>
                  <w:r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ермут</w:t>
                  </w:r>
                  <w:proofErr w:type="spellEnd"/>
                  <w:r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/>
                    </w:rPr>
                    <w:t>и</w:t>
                  </w:r>
                  <w:r w:rsidR="00B314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/>
                    </w:rPr>
                    <w:t xml:space="preserve"> и други ароматизирани вина</w:t>
                  </w:r>
                  <w:r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81C17"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от</w:t>
                  </w:r>
                  <w:proofErr w:type="spellEnd"/>
                  <w:r w:rsidR="00681C17"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81C17"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прясно</w:t>
                  </w:r>
                  <w:proofErr w:type="spellEnd"/>
                  <w:r w:rsidR="00681C17"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81C17"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грозде</w:t>
                  </w:r>
                  <w:proofErr w:type="spellEnd"/>
                </w:p>
              </w:tc>
              <w:tc>
                <w:tcPr>
                  <w:tcW w:w="6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81C17" w:rsidRPr="00D722BA" w:rsidRDefault="00681C17" w:rsidP="009E0BC8">
                  <w:pPr>
                    <w:keepNext/>
                    <w:widowControl w:val="0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</w:pPr>
                </w:p>
                <w:p w:rsidR="00681C17" w:rsidRPr="00D722BA" w:rsidRDefault="00681C17" w:rsidP="009E0BC8">
                  <w:pPr>
                    <w:keepNext/>
                    <w:widowControl w:val="0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>101</w:t>
                  </w:r>
                </w:p>
              </w:tc>
            </w:tr>
            <w:tr w:rsidR="00681C17" w:rsidRPr="00D722BA" w:rsidTr="00B3148E">
              <w:trPr>
                <w:cantSplit/>
                <w:trHeight w:val="403"/>
                <w:jc w:val="center"/>
              </w:trPr>
              <w:tc>
                <w:tcPr>
                  <w:tcW w:w="45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1C17" w:rsidRPr="00D722BA" w:rsidRDefault="00681C17" w:rsidP="009E0BC8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1C17" w:rsidRPr="00D722BA" w:rsidRDefault="00681C17" w:rsidP="009E0BC8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0"/>
                      <w:szCs w:val="20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1C17" w:rsidRPr="00D722BA" w:rsidRDefault="00681C17" w:rsidP="009E0BC8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0"/>
                      <w:szCs w:val="20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0"/>
                      <w:szCs w:val="20"/>
                    </w:rPr>
                    <w:t>01.21</w:t>
                  </w: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1C17" w:rsidRPr="00B319FC" w:rsidRDefault="00072FCC" w:rsidP="009E0BC8">
                  <w:pPr>
                    <w:spacing w:before="40" w:after="4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bg-BG"/>
                    </w:rPr>
                  </w:pPr>
                  <w:r w:rsidRPr="00B319FC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t>01.21</w:t>
                  </w:r>
                  <w:r w:rsidRPr="00B319FC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bg-BG"/>
                    </w:rPr>
                    <w:t>.11</w:t>
                  </w:r>
                </w:p>
                <w:p w:rsidR="00072FCC" w:rsidRPr="00072FCC" w:rsidRDefault="00072FCC" w:rsidP="009E0BC8">
                  <w:pPr>
                    <w:spacing w:before="40" w:after="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/>
                    </w:rPr>
                  </w:pPr>
                  <w:r w:rsidRPr="00B319F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01.21</w:t>
                  </w:r>
                  <w:r w:rsidRPr="00B319F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/>
                    </w:rPr>
                    <w:t>.12</w:t>
                  </w:r>
                </w:p>
              </w:tc>
              <w:tc>
                <w:tcPr>
                  <w:tcW w:w="6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1C17" w:rsidRPr="00D722BA" w:rsidRDefault="009E0701" w:rsidP="009E0BC8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val="bg-BG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val="bg-BG"/>
                    </w:rPr>
                    <w:t>3494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1C17" w:rsidRPr="00D722BA" w:rsidRDefault="00681C17" w:rsidP="009E0BC8">
                  <w:pPr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Отглеждане</w:t>
                  </w:r>
                  <w:proofErr w:type="spellEnd"/>
                  <w:r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</w:t>
                  </w:r>
                  <w:proofErr w:type="spellEnd"/>
                  <w:r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3817AB"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/>
                    </w:rPr>
                    <w:t xml:space="preserve">винено и десертно </w:t>
                  </w:r>
                  <w:proofErr w:type="spellStart"/>
                  <w:r w:rsidRPr="00D722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грозде</w:t>
                  </w:r>
                  <w:proofErr w:type="spellEnd"/>
                </w:p>
              </w:tc>
              <w:tc>
                <w:tcPr>
                  <w:tcW w:w="6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1C17" w:rsidRPr="00D722BA" w:rsidRDefault="00681C17" w:rsidP="009E0BC8">
                  <w:pPr>
                    <w:keepNext/>
                    <w:widowControl w:val="0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>н/а*</w:t>
                  </w:r>
                </w:p>
              </w:tc>
            </w:tr>
          </w:tbl>
          <w:p w:rsidR="00681C17" w:rsidRPr="00D722BA" w:rsidRDefault="00681C17" w:rsidP="009E0BC8">
            <w:pPr>
              <w:keepNext/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D722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* Потърсено е мнението на максимално възмож</w:t>
            </w:r>
            <w:r w:rsidR="008E33BD" w:rsidRPr="00D722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е</w:t>
            </w:r>
            <w:r w:rsidRPr="00D722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н брой производители чрез национални и регионални браншови организации и сдружения </w:t>
            </w:r>
          </w:p>
          <w:p w:rsidR="00681C17" w:rsidRDefault="00681C17" w:rsidP="009E0BC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D722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Източник: НСИ, регистри на ИАЛВ </w:t>
            </w:r>
          </w:p>
          <w:p w:rsidR="00681C17" w:rsidRDefault="000C774E" w:rsidP="009E0BC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П</w:t>
            </w:r>
            <w:r w:rsidR="00681C17"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ри определяне на извадката от </w:t>
            </w:r>
            <w:proofErr w:type="spellStart"/>
            <w:r w:rsidR="00681C17"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респонденти</w:t>
            </w:r>
            <w:proofErr w:type="spellEnd"/>
            <w:r w:rsidR="001C4078"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е </w:t>
            </w:r>
            <w:proofErr w:type="spellStart"/>
            <w:r w:rsidR="001C4078"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подходено</w:t>
            </w:r>
            <w:proofErr w:type="spellEnd"/>
            <w:r w:rsidR="001C4078"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по следния начин:</w:t>
            </w:r>
          </w:p>
          <w:p w:rsidR="00681C17" w:rsidRDefault="00681C17" w:rsidP="009E0BC8">
            <w:pPr>
              <w:numPr>
                <w:ilvl w:val="0"/>
                <w:numId w:val="16"/>
              </w:numPr>
              <w:spacing w:before="40" w:after="40" w:line="240" w:lineRule="auto"/>
              <w:ind w:left="206" w:hanging="20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Използва</w:t>
            </w:r>
            <w:r w:rsidR="00575FF6"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ни са</w:t>
            </w:r>
            <w:r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данни о</w:t>
            </w:r>
            <w:r w:rsidR="00575FF6"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т</w:t>
            </w:r>
            <w:r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териториални</w:t>
            </w:r>
            <w:r w:rsidR="00B748F0"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те</w:t>
            </w:r>
            <w:r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</w:t>
            </w:r>
            <w:r w:rsidR="00B748F0"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звена</w:t>
            </w:r>
            <w:r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на ИАЛВ и общия регистър – „Справка за изкупени количества винено грозде по винарски предприятия </w:t>
            </w:r>
            <w:r w:rsidR="00540766"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–</w:t>
            </w:r>
            <w:r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Реколта</w:t>
            </w:r>
            <w:r w:rsidR="00540766"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</w:t>
            </w:r>
            <w:r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20</w:t>
            </w:r>
            <w:r w:rsidR="00D515B4"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2</w:t>
            </w:r>
            <w:r w:rsidR="007D7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0</w:t>
            </w:r>
            <w:r w:rsidR="00D515B4"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г.</w:t>
            </w:r>
            <w:r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“ на база на който </w:t>
            </w:r>
            <w:r w:rsidR="00D42B15"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е </w:t>
            </w:r>
            <w:r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изготве</w:t>
            </w:r>
            <w:r w:rsidR="00D42B15"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на</w:t>
            </w:r>
            <w:r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селекцията с адресати</w:t>
            </w:r>
            <w:r w:rsidR="00D515B4"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.</w:t>
            </w:r>
            <w:r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</w:t>
            </w:r>
            <w:r w:rsidR="00D515B4"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Мнението са си дали </w:t>
            </w:r>
            <w:r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всички регистрирани производители изкупували грозде през 20</w:t>
            </w:r>
            <w:r w:rsidR="00D515B4"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2</w:t>
            </w:r>
            <w:r w:rsidR="007D7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0</w:t>
            </w:r>
            <w:r w:rsidR="00E35ED8"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</w:t>
            </w:r>
            <w:r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г. Използва</w:t>
            </w:r>
            <w:r w:rsidR="000C774E"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ни са </w:t>
            </w:r>
            <w:r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данните от регистрите на ИАЛВ </w:t>
            </w:r>
            <w:r w:rsidR="000C774E"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и </w:t>
            </w:r>
            <w:r w:rsidR="0098236E"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с</w:t>
            </w:r>
            <w:r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а селектирани 2</w:t>
            </w:r>
            <w:r w:rsidR="007D7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59</w:t>
            </w:r>
            <w:r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предприятия</w:t>
            </w:r>
            <w:r w:rsidR="008279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,</w:t>
            </w:r>
            <w:r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при общо 3</w:t>
            </w:r>
            <w:r w:rsidR="007D7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36</w:t>
            </w:r>
            <w:r w:rsidR="00387881"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</w:t>
            </w:r>
            <w:r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бр</w:t>
            </w:r>
            <w:r w:rsidR="00387881"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.</w:t>
            </w:r>
            <w:r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регистрирани и водени на отчет в ИАЛВ</w:t>
            </w:r>
            <w:r w:rsidR="00387881"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.</w:t>
            </w:r>
            <w:r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</w:t>
            </w:r>
            <w:r w:rsidR="00E37093"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Поискано е </w:t>
            </w:r>
            <w:r w:rsidR="00E74674"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мнението </w:t>
            </w:r>
            <w:r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на описаните по-</w:t>
            </w:r>
            <w:r w:rsidR="005A51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долу</w:t>
            </w:r>
            <w:r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2</w:t>
            </w:r>
            <w:r w:rsidR="007D7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59</w:t>
            </w:r>
            <w:r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предприятия</w:t>
            </w:r>
            <w:r w:rsidR="000C774E"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,</w:t>
            </w:r>
            <w:r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водени на отчет в</w:t>
            </w:r>
            <w:r w:rsidR="000C774E"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ИАЛВ</w:t>
            </w:r>
            <w:r w:rsidR="00387881"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.</w:t>
            </w:r>
          </w:p>
          <w:p w:rsidR="00681C17" w:rsidRDefault="00681C17" w:rsidP="009E0BC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206" w:hanging="206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Резултатите от отговорите </w:t>
            </w:r>
            <w:r w:rsidR="00E35ED8"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с</w:t>
            </w:r>
            <w:r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а обобщени по-долу</w:t>
            </w:r>
            <w:r w:rsidR="00E35ED8"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в Таблица 2</w:t>
            </w:r>
            <w:r w:rsidRPr="00BB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: </w:t>
            </w:r>
          </w:p>
          <w:p w:rsidR="00692021" w:rsidRPr="00CC25EA" w:rsidRDefault="00681C17" w:rsidP="009E0BC8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val="bg-BG"/>
              </w:rPr>
            </w:pPr>
            <w:r w:rsidRPr="00CC25EA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val="bg-BG"/>
              </w:rPr>
              <w:t>Таблица 2</w:t>
            </w:r>
            <w:r w:rsidR="00F62643" w:rsidRPr="00CC25EA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val="bg-BG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72"/>
              <w:gridCol w:w="1392"/>
              <w:gridCol w:w="1392"/>
              <w:gridCol w:w="1392"/>
              <w:gridCol w:w="1392"/>
            </w:tblGrid>
            <w:tr w:rsidR="00681C17" w:rsidRPr="00D722BA" w:rsidTr="00C31877">
              <w:trPr>
                <w:trHeight w:val="711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81C17" w:rsidRPr="00D722BA" w:rsidRDefault="00681C17" w:rsidP="009E0BC8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g-BG"/>
                    </w:rPr>
                    <w:t>Административен</w:t>
                  </w:r>
                  <w:proofErr w:type="spellEnd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g-BG"/>
                    </w:rPr>
                    <w:t>режим</w:t>
                  </w:r>
                  <w:proofErr w:type="spellEnd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g-BG"/>
                    </w:rPr>
                    <w:t xml:space="preserve"> и </w:t>
                  </w:r>
                  <w:proofErr w:type="spellStart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g-BG"/>
                    </w:rPr>
                    <w:t>предвиждана</w:t>
                  </w:r>
                  <w:proofErr w:type="spellEnd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g-BG"/>
                    </w:rPr>
                    <w:t>такса</w:t>
                  </w:r>
                  <w:proofErr w:type="spellEnd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g-BG"/>
                    </w:rPr>
                    <w:t>за</w:t>
                  </w:r>
                  <w:proofErr w:type="spellEnd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g-BG"/>
                    </w:rPr>
                    <w:t>извършване</w:t>
                  </w:r>
                  <w:proofErr w:type="spellEnd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g-BG"/>
                    </w:rPr>
                    <w:t>на</w:t>
                  </w:r>
                  <w:proofErr w:type="spellEnd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g-BG"/>
                    </w:rPr>
                    <w:t>услугата</w:t>
                  </w:r>
                  <w:proofErr w:type="spellEnd"/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81C17" w:rsidRPr="00D722BA" w:rsidRDefault="00681C17" w:rsidP="009E0BC8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g-BG"/>
                    </w:rPr>
                    <w:t>Приемлив</w:t>
                  </w:r>
                  <w:proofErr w:type="spellEnd"/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81C17" w:rsidRPr="00D722BA" w:rsidRDefault="00681C17" w:rsidP="009E0BC8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g-BG"/>
                    </w:rPr>
                    <w:t>Неприемлив</w:t>
                  </w:r>
                  <w:proofErr w:type="spellEnd"/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81C17" w:rsidRPr="00D722BA" w:rsidRDefault="00681C17" w:rsidP="009E0BC8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g-BG"/>
                    </w:rPr>
                    <w:t>Не</w:t>
                  </w:r>
                  <w:proofErr w:type="spellEnd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g-BG"/>
                    </w:rPr>
                    <w:t>мога</w:t>
                  </w:r>
                  <w:proofErr w:type="spellEnd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g-BG"/>
                    </w:rPr>
                    <w:t>да</w:t>
                  </w:r>
                  <w:proofErr w:type="spellEnd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g-BG"/>
                    </w:rPr>
                    <w:t>преценя</w:t>
                  </w:r>
                  <w:proofErr w:type="spellEnd"/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81C17" w:rsidRPr="00D722BA" w:rsidRDefault="00681C17" w:rsidP="009E0BC8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g-BG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g-BG"/>
                    </w:rPr>
                    <w:t xml:space="preserve">% </w:t>
                  </w:r>
                  <w:proofErr w:type="spellStart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g-BG"/>
                    </w:rPr>
                    <w:t>на</w:t>
                  </w:r>
                  <w:proofErr w:type="spellEnd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g-BG"/>
                    </w:rPr>
                    <w:t>отговорили</w:t>
                  </w:r>
                  <w:proofErr w:type="spellEnd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D722B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g-BG"/>
                    </w:rPr>
                    <w:t>неприемлив</w:t>
                  </w:r>
                  <w:proofErr w:type="spellEnd"/>
                </w:p>
              </w:tc>
            </w:tr>
            <w:tr w:rsidR="00681C17" w:rsidRPr="00D722BA" w:rsidTr="00C31877">
              <w:trPr>
                <w:trHeight w:val="585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81C17" w:rsidRPr="00627DA4" w:rsidRDefault="00681C17" w:rsidP="009E0BC8">
                  <w:pPr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1</w:t>
                  </w:r>
                  <w:r w:rsidR="00075A77" w:rsidRPr="00D722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</w:t>
                  </w:r>
                  <w:r w:rsidR="00BD488B" w:rsidRPr="00D722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Издаване на сертификат за безопасност на виното за вино, предназначено за износ в трети страни по чл. 2, ал. 8 от ЗВСН</w:t>
                  </w:r>
                  <w:r w:rsidR="00627D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 xml:space="preserve"> </w:t>
                  </w:r>
                  <w:r w:rsidR="00627D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– определена такса в тарифата 20 лв.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81C17" w:rsidRPr="00D722BA" w:rsidRDefault="00681C17" w:rsidP="009E0BC8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44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81C17" w:rsidRPr="00D722BA" w:rsidRDefault="00681C17" w:rsidP="009E0BC8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38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81C17" w:rsidRPr="00D722BA" w:rsidRDefault="00681C17" w:rsidP="009E0BC8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19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81C17" w:rsidRPr="00D722BA" w:rsidRDefault="00681C17" w:rsidP="009E0BC8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38%</w:t>
                  </w:r>
                </w:p>
              </w:tc>
            </w:tr>
            <w:tr w:rsidR="00FD3694" w:rsidRPr="00D722BA" w:rsidTr="00C31877">
              <w:trPr>
                <w:trHeight w:val="585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3694" w:rsidRPr="00D722BA" w:rsidRDefault="00FD3694" w:rsidP="009E0BC8">
                  <w:pPr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2 Заверяване на сертификат за произход на грозде по чл. 10, ал. 2 от ЗВСН</w:t>
                  </w:r>
                  <w:r w:rsidR="00627D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- определена такса в тарифата 3 лв.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3694" w:rsidRPr="00523F05" w:rsidRDefault="00523F05" w:rsidP="009E0BC8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56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3694" w:rsidRPr="00523F05" w:rsidRDefault="00523F05" w:rsidP="009E0BC8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29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3694" w:rsidRPr="00523F05" w:rsidRDefault="00523F05" w:rsidP="009E0BC8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16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3694" w:rsidRPr="00523F05" w:rsidRDefault="00523F05" w:rsidP="009E0BC8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16%</w:t>
                  </w:r>
                </w:p>
              </w:tc>
            </w:tr>
            <w:tr w:rsidR="00681C17" w:rsidRPr="00D722BA" w:rsidTr="00064EFD">
              <w:trPr>
                <w:trHeight w:val="217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37D46" w:rsidRDefault="009D6D9A" w:rsidP="009E0BC8">
                  <w:pPr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3 Разглеждане на заявление по чл. 30, ал. 2, т. 2 от ЗВСН за настъпила промяна на вписаните в лозарския регистър по чл. 27 от ЗВСН обстоятелства (подава се от регистрирани вино/ </w:t>
                  </w:r>
                  <w:proofErr w:type="spellStart"/>
                  <w:r w:rsidRPr="00D722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оцетопроизводители</w:t>
                  </w:r>
                  <w:proofErr w:type="spellEnd"/>
                  <w:r w:rsidRPr="00D722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)</w:t>
                  </w:r>
                  <w:r w:rsidR="00627D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- определена такса в</w:t>
                  </w:r>
                </w:p>
                <w:p w:rsidR="00681C17" w:rsidRPr="00D722BA" w:rsidRDefault="00627DA4" w:rsidP="009E0BC8">
                  <w:pPr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тарифата 12 лв.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81C17" w:rsidRPr="00D722BA" w:rsidRDefault="00681C17" w:rsidP="009E0BC8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74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81C17" w:rsidRPr="00D722BA" w:rsidRDefault="00681C17" w:rsidP="009E0BC8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21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81C17" w:rsidRPr="00D722BA" w:rsidRDefault="00681C17" w:rsidP="009E0BC8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81C17" w:rsidRPr="00D722BA" w:rsidRDefault="00681C17" w:rsidP="009E0BC8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21%</w:t>
                  </w:r>
                </w:p>
              </w:tc>
            </w:tr>
            <w:tr w:rsidR="00681C17" w:rsidRPr="00D722BA" w:rsidTr="00C31877">
              <w:trPr>
                <w:trHeight w:val="525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81C17" w:rsidRPr="00D722BA" w:rsidRDefault="009D6D9A" w:rsidP="009E0BC8">
                  <w:pPr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lastRenderedPageBreak/>
                    <w:t xml:space="preserve">4 Разглеждане на заявление по чл. 32, ал. 2, във връзка с чл. 33, ал. 1 от ЗВСН за настъпила  промяна в структурата на лозарското стопанство (подава се от </w:t>
                  </w:r>
                  <w:proofErr w:type="spellStart"/>
                  <w:r w:rsidRPr="00D722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гроздопроизводители</w:t>
                  </w:r>
                  <w:proofErr w:type="spellEnd"/>
                  <w:r w:rsidRPr="00D722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)</w:t>
                  </w:r>
                  <w:r w:rsidR="00627D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- определена такса в тарифата 12 лв.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81C17" w:rsidRPr="00D722BA" w:rsidRDefault="00681C17" w:rsidP="009E0BC8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68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81C17" w:rsidRPr="00D722BA" w:rsidRDefault="00681C17" w:rsidP="009E0BC8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25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81C17" w:rsidRPr="00D722BA" w:rsidRDefault="00681C17" w:rsidP="009E0BC8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8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81C17" w:rsidRPr="00D722BA" w:rsidRDefault="00681C17" w:rsidP="009E0BC8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25%</w:t>
                  </w:r>
                </w:p>
              </w:tc>
            </w:tr>
            <w:tr w:rsidR="00681C17" w:rsidRPr="00D722BA" w:rsidTr="00C31877">
              <w:trPr>
                <w:trHeight w:val="555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81C17" w:rsidRPr="00D722BA" w:rsidRDefault="00DF67F3" w:rsidP="009E0BC8">
                  <w:pPr>
                    <w:spacing w:before="40" w:after="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5 Издаване на удостоверение за производство на сортово вино по чл. 39, ал. 1 и ал. 2 от ЗВСН</w:t>
                  </w:r>
                  <w:r w:rsidR="00627D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- определена такса в тарифата 20 лв.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81C17" w:rsidRPr="00D722BA" w:rsidRDefault="00681C17" w:rsidP="009E0BC8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17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81C17" w:rsidRPr="00D722BA" w:rsidRDefault="00681C17" w:rsidP="009E0BC8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35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81C17" w:rsidRPr="00D722BA" w:rsidRDefault="00681C17" w:rsidP="009E0BC8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49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81C17" w:rsidRPr="00D722BA" w:rsidRDefault="00681C17" w:rsidP="009E0BC8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D722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35%</w:t>
                  </w:r>
                </w:p>
              </w:tc>
            </w:tr>
          </w:tbl>
          <w:p w:rsidR="00681C17" w:rsidRPr="00681C17" w:rsidRDefault="00681C17" w:rsidP="009E0BC8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63" w:rsidRPr="003C124D" w:rsidTr="00E37B57">
        <w:trPr>
          <w:jc w:val="center"/>
        </w:trPr>
        <w:tc>
          <w:tcPr>
            <w:tcW w:w="10266" w:type="dxa"/>
            <w:gridSpan w:val="3"/>
          </w:tcPr>
          <w:p w:rsidR="00076E63" w:rsidRPr="00076E63" w:rsidRDefault="00076E63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6.5. Потенциални рискове от прилагането на препоръчителния вариант (включително по отделните проблеми):</w:t>
            </w:r>
          </w:p>
          <w:p w:rsidR="00CF3636" w:rsidRDefault="00CF3636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63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са идентифицирани специфични потенциални рискове. </w:t>
            </w:r>
          </w:p>
          <w:p w:rsidR="00076E63" w:rsidRPr="00BE4013" w:rsidRDefault="00076E63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Посочете възможните рискове от прилагането на препоръчителния вариант, различни от отрицателните въздействия, </w:t>
            </w:r>
            <w:r w:rsidR="00FF7077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напр. </w:t>
            </w: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възникване на съдебни спорове и др.</w:t>
            </w:r>
          </w:p>
        </w:tc>
      </w:tr>
      <w:tr w:rsidR="00076E63" w:rsidRPr="003C124D" w:rsidTr="00E37B57">
        <w:trPr>
          <w:jc w:val="center"/>
        </w:trPr>
        <w:tc>
          <w:tcPr>
            <w:tcW w:w="10266" w:type="dxa"/>
            <w:gridSpan w:val="3"/>
          </w:tcPr>
          <w:p w:rsidR="00076E63" w:rsidRPr="00076E63" w:rsidRDefault="00076E63" w:rsidP="009E0BC8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7. Консултации:</w:t>
            </w:r>
          </w:p>
          <w:p w:rsidR="00076E63" w:rsidRPr="00076E63" w:rsidRDefault="00076E63" w:rsidP="009E0BC8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>
                <v:shape id="_x0000_i1081" type="#_x0000_t75" style="width:498.75pt;height:18pt" o:ole="">
                  <v:imagedata r:id="rId32" o:title=""/>
                </v:shape>
                <w:control r:id="rId33" w:name="OptionButton13" w:shapeid="_x0000_i1081"/>
              </w:object>
            </w:r>
          </w:p>
          <w:p w:rsidR="00076E63" w:rsidRPr="00BE4013" w:rsidRDefault="001138D1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Посочете основните заинтересовани страни, с които са проведени консултации. Посочете резултатите от консултациите, включително на ниво ЕС: спорни въпроси, многократно поставяни въпроси и др.</w:t>
            </w:r>
          </w:p>
          <w:p w:rsidR="00076E63" w:rsidRDefault="00076E63" w:rsidP="009E0BC8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object w:dxaOrig="225" w:dyaOrig="225">
                <v:shape id="_x0000_i1083" type="#_x0000_t75" style="width:502.5pt;height:18pt" o:ole="">
                  <v:imagedata r:id="rId34" o:title=""/>
                </v:shape>
                <w:control r:id="rId35" w:name="OptionButton15" w:shapeid="_x0000_i1083"/>
              </w:object>
            </w:r>
            <w:r w:rsidR="00207D7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Съгласно чл. 26 от Закона з</w:t>
            </w:r>
            <w:r w:rsidR="00946CC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 нормативните актове Проектът н</w:t>
            </w:r>
            <w:r w:rsidR="00207D7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 Постановление на Министерски съвет</w:t>
            </w:r>
            <w:r w:rsidR="00791E6F">
              <w:t xml:space="preserve"> </w:t>
            </w:r>
            <w:r w:rsidR="00791E6F" w:rsidRPr="00791E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</w:t>
            </w:r>
            <w:r w:rsidR="00597F0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приемане </w:t>
            </w:r>
            <w:r w:rsidR="00791E6F" w:rsidRPr="00791E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Тарифа за таксите, които се събират от Изпълнителна агенция по лозата и виното</w:t>
            </w:r>
            <w:r w:rsidR="00791E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ще бъде публикуван </w:t>
            </w:r>
            <w:r w:rsidR="00C150B2" w:rsidRPr="00C150B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интернет страницата на Министерство</w:t>
            </w:r>
            <w:r w:rsidR="00741F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</w:t>
            </w:r>
            <w:r w:rsidR="00C150B2" w:rsidRPr="00C150B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земеделието и </w:t>
            </w:r>
            <w:r w:rsidR="00791E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Портала за обществени консултации за срок от 30 дни.</w:t>
            </w:r>
          </w:p>
          <w:p w:rsidR="000A0443" w:rsidRPr="00937D46" w:rsidRDefault="00076E63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937D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Обобщете най-важните въпроси за обществени консултации. Посочете индикативен график за тяхното провеждане и видовете консултационни процедури</w:t>
            </w:r>
          </w:p>
        </w:tc>
      </w:tr>
      <w:tr w:rsidR="00076E63" w:rsidRPr="003C124D" w:rsidTr="00E37B57">
        <w:trPr>
          <w:jc w:val="center"/>
        </w:trPr>
        <w:tc>
          <w:tcPr>
            <w:tcW w:w="10266" w:type="dxa"/>
            <w:gridSpan w:val="3"/>
          </w:tcPr>
          <w:p w:rsidR="00076E63" w:rsidRPr="00076E63" w:rsidRDefault="00076E63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8. Приемането на нормативния акт произтича ли от правото на Европейския съюз?</w:t>
            </w:r>
          </w:p>
          <w:p w:rsidR="00144504" w:rsidRPr="00CE4233" w:rsidRDefault="00144504" w:rsidP="009E0BC8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E42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85" type="#_x0000_t75" style="width:108pt;height:18pt" o:ole="">
                  <v:imagedata r:id="rId22" o:title=""/>
                </v:shape>
                <w:control r:id="rId36" w:name="OptionButton1622" w:shapeid="_x0000_i1085"/>
              </w:object>
            </w:r>
          </w:p>
          <w:p w:rsidR="00144504" w:rsidRDefault="00144504" w:rsidP="009E0BC8">
            <w:pPr>
              <w:spacing w:before="40" w:after="40" w:line="276" w:lineRule="auto"/>
              <w:rPr>
                <w:rFonts w:ascii="MS Mincho" w:eastAsia="MS Mincho" w:hAnsi="MS Mincho" w:cs="MS Mincho"/>
                <w:sz w:val="24"/>
                <w:szCs w:val="24"/>
                <w:lang w:val="en-GB"/>
              </w:rPr>
            </w:pPr>
            <w:r w:rsidRPr="00CE42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87" type="#_x0000_t75" style="width:108pt;height:18pt" o:ole="">
                  <v:imagedata r:id="rId24" o:title=""/>
                </v:shape>
                <w:control r:id="rId37" w:name="OptionButton1712" w:shapeid="_x0000_i1087"/>
              </w:object>
            </w:r>
          </w:p>
          <w:p w:rsidR="00076E63" w:rsidRPr="00937D46" w:rsidRDefault="00FF7077" w:rsidP="00937D46">
            <w:pPr>
              <w:pStyle w:val="ListParagraph"/>
              <w:numPr>
                <w:ilvl w:val="1"/>
                <w:numId w:val="18"/>
              </w:num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937D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П</w:t>
            </w:r>
            <w:r w:rsidR="00076E63" w:rsidRPr="00937D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осочете изискванията на правото на Европейския съюз, включително информацията по т. 6.2 и 6.3, дали е извършена оценка на въздействието на ниво Европейски съюз, и я приложете (или посочете връзка към източник).</w:t>
            </w:r>
          </w:p>
          <w:p w:rsidR="001610FE" w:rsidRPr="00076E63" w:rsidRDefault="00FF7077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937D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1.2. </w:t>
            </w:r>
            <w:r w:rsidR="00076E63" w:rsidRPr="00937D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Изборът трябва да съответства на посоченото в раздел 1, съгласно неговата т. 1.5.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</w:p>
        </w:tc>
      </w:tr>
      <w:tr w:rsidR="00076E63" w:rsidRPr="003C124D" w:rsidTr="00EA5C44">
        <w:trPr>
          <w:trHeight w:val="238"/>
          <w:jc w:val="center"/>
        </w:trPr>
        <w:tc>
          <w:tcPr>
            <w:tcW w:w="10266" w:type="dxa"/>
            <w:gridSpan w:val="3"/>
          </w:tcPr>
          <w:p w:rsidR="00076E63" w:rsidRPr="00076E63" w:rsidRDefault="00076E63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9. Изисква ли се извършване на цялостна предварителна оценка на въздействието поради очаквани значителни последици?</w:t>
            </w:r>
          </w:p>
          <w:p w:rsidR="00144504" w:rsidRPr="00CE4233" w:rsidRDefault="00144504" w:rsidP="009E0BC8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E42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89" type="#_x0000_t75" style="width:108pt;height:18pt" o:ole="">
                  <v:imagedata r:id="rId22" o:title=""/>
                </v:shape>
                <w:control r:id="rId38" w:name="OptionButton1623" w:shapeid="_x0000_i1089"/>
              </w:object>
            </w:r>
          </w:p>
          <w:p w:rsidR="00144504" w:rsidRDefault="00144504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E42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91" type="#_x0000_t75" style="width:108pt;height:18pt" o:ole="">
                  <v:imagedata r:id="rId24" o:title=""/>
                </v:shape>
                <w:control r:id="rId39" w:name="OptionButton1713" w:shapeid="_x0000_i1091"/>
              </w:object>
            </w:r>
          </w:p>
          <w:p w:rsidR="00C86370" w:rsidRPr="00076E63" w:rsidRDefault="00C86370" w:rsidP="009E0BC8">
            <w:pPr>
              <w:spacing w:before="40" w:after="40" w:line="276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</w:p>
          <w:p w:rsidR="006002EC" w:rsidRPr="00BE4013" w:rsidRDefault="00076E63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(преценка съгласно чл. 20, ал. 3, т. 2 от Закона за нормативните актове)</w:t>
            </w:r>
          </w:p>
        </w:tc>
      </w:tr>
      <w:tr w:rsidR="00076E63" w:rsidRPr="003C124D" w:rsidTr="00E37B57">
        <w:trPr>
          <w:jc w:val="center"/>
        </w:trPr>
        <w:tc>
          <w:tcPr>
            <w:tcW w:w="10266" w:type="dxa"/>
            <w:gridSpan w:val="3"/>
          </w:tcPr>
          <w:p w:rsidR="009F738C" w:rsidRDefault="00076E63" w:rsidP="009E0BC8">
            <w:pPr>
              <w:spacing w:before="40" w:after="40" w:line="276" w:lineRule="auto"/>
              <w:jc w:val="both"/>
              <w:rPr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 Приложения:</w:t>
            </w:r>
            <w:r w:rsidR="009F738C">
              <w:t xml:space="preserve"> </w:t>
            </w:r>
          </w:p>
          <w:p w:rsidR="009F738C" w:rsidRPr="0047036A" w:rsidRDefault="009F738C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F738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Калкулации за извършване на ф</w:t>
            </w:r>
            <w:r w:rsidRPr="009F738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изикохимичен и микробиологичен анализ на продуктите, съгласно чл. 180, ал.</w:t>
            </w:r>
            <w:r w:rsidR="006D76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9F738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 от ЗВСН</w:t>
            </w:r>
            <w:r w:rsidR="0047036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Анализите се осъществяват от акредитираните лаборатории </w:t>
            </w:r>
            <w:r w:rsidR="0047036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7036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София и Пловдив</w:t>
            </w:r>
            <w:r w:rsidR="0047036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47036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ИАЛВ.</w:t>
            </w:r>
          </w:p>
          <w:p w:rsidR="009F738C" w:rsidRDefault="009F738C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:rsidR="00064EFD" w:rsidRDefault="00FF7077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П</w:t>
            </w:r>
            <w:r w:rsidR="00076E63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риложете необходимата допъ</w:t>
            </w: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лнителна информация и документи.</w:t>
            </w:r>
          </w:p>
          <w:p w:rsidR="00C86370" w:rsidRPr="00BE4013" w:rsidRDefault="00C86370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</w:tr>
      <w:tr w:rsidR="00076E63" w:rsidRPr="003C124D" w:rsidTr="00E37B57">
        <w:trPr>
          <w:jc w:val="center"/>
        </w:trPr>
        <w:tc>
          <w:tcPr>
            <w:tcW w:w="10266" w:type="dxa"/>
            <w:gridSpan w:val="3"/>
          </w:tcPr>
          <w:p w:rsidR="00076E63" w:rsidRPr="00076E63" w:rsidRDefault="00076E63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11. Информационни източници:</w:t>
            </w:r>
          </w:p>
          <w:p w:rsidR="0010147C" w:rsidRDefault="0010147C" w:rsidP="009E0BC8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Закон за виното и спиртните напитки</w:t>
            </w:r>
            <w:r w:rsidR="005F574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Лозарски регистър</w:t>
            </w:r>
            <w:r w:rsidR="00EA5C4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; </w:t>
            </w:r>
            <w:r w:rsidR="00EA5C44" w:rsidRPr="00EA5C4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НСИ</w:t>
            </w:r>
            <w:r w:rsidR="00EA5C4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</w:t>
            </w:r>
            <w:r w:rsidR="00EA5C44" w:rsidRPr="00EA5C4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регистри на ИАЛВ</w:t>
            </w:r>
          </w:p>
          <w:p w:rsidR="00076E63" w:rsidRPr="00BE4013" w:rsidRDefault="00FF7077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П</w:t>
            </w:r>
            <w:r w:rsidR="00076E63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осочете изчерпателен списък на информационните източници, </w:t>
            </w:r>
            <w:r w:rsidR="00064CC7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които са </w:t>
            </w:r>
            <w:r w:rsidR="00076E63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послужили за оценка на въздействията на отделните варианти и при избор</w:t>
            </w: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а</w:t>
            </w:r>
            <w:r w:rsidR="00076E63"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 на вариант за действие: регистри, бази да</w:t>
            </w:r>
            <w:r w:rsidRPr="00BE40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нни, аналитични материали и др.</w:t>
            </w:r>
          </w:p>
        </w:tc>
      </w:tr>
      <w:tr w:rsidR="00076E63" w:rsidRPr="003C124D" w:rsidTr="00E37B57">
        <w:trPr>
          <w:jc w:val="center"/>
        </w:trPr>
        <w:tc>
          <w:tcPr>
            <w:tcW w:w="10266" w:type="dxa"/>
            <w:gridSpan w:val="3"/>
          </w:tcPr>
          <w:p w:rsidR="00076E63" w:rsidRPr="00076E63" w:rsidRDefault="00076E63" w:rsidP="009E0B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12. Име, длъжност, дата и подпис на директора на дирекцията, отговор</w:t>
            </w:r>
            <w:r w:rsidR="001B5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 за извършването на частичната предварителна оценка на въздействието:</w:t>
            </w:r>
          </w:p>
          <w:p w:rsidR="00076E63" w:rsidRPr="00076E63" w:rsidRDefault="00076E63" w:rsidP="009E0BC8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076E63" w:rsidRPr="00DE2F4A" w:rsidRDefault="00076E63" w:rsidP="009E0BC8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Име и длъжност: </w:t>
            </w:r>
            <w:r w:rsidR="00DE2F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Даниела </w:t>
            </w:r>
            <w:proofErr w:type="spellStart"/>
            <w:r w:rsidR="00DE2F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Фърцова</w:t>
            </w:r>
            <w:proofErr w:type="spellEnd"/>
            <w:r w:rsidR="00DE2F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– главен директор на </w:t>
            </w:r>
            <w:r w:rsidR="00591D7E" w:rsidRPr="00591D7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Главна дирекция „Контрол в </w:t>
            </w:r>
            <w:proofErr w:type="spellStart"/>
            <w:r w:rsidR="00591D7E" w:rsidRPr="00591D7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лозаро-винарския</w:t>
            </w:r>
            <w:proofErr w:type="spellEnd"/>
            <w:r w:rsidR="00591D7E" w:rsidRPr="00591D7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сектор“</w:t>
            </w:r>
            <w:r w:rsidR="00003E3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076E63" w:rsidRPr="00076E63" w:rsidRDefault="00076E63" w:rsidP="009E0BC8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Дата: </w:t>
            </w:r>
            <w:r w:rsidR="00DA4DB3" w:rsidRPr="00937D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DE2F4A" w:rsidRPr="00BE40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/>
              </w:rPr>
              <w:t>.</w:t>
            </w:r>
            <w:r w:rsidR="007544AE" w:rsidRPr="00DA4DB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</w:t>
            </w:r>
            <w:r w:rsidR="00F33D1F" w:rsidRPr="00DA4DB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</w:t>
            </w:r>
            <w:r w:rsidR="00DE2F4A" w:rsidRPr="00DA4DB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.202</w:t>
            </w:r>
            <w:r w:rsidR="007544AE" w:rsidRPr="00DA4DB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</w:t>
            </w:r>
            <w:r w:rsidR="00DE2F4A" w:rsidRPr="00DA4DB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г.</w:t>
            </w:r>
          </w:p>
          <w:p w:rsidR="00076E63" w:rsidRDefault="00076E63" w:rsidP="009E0BC8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Подпис: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</w:t>
            </w:r>
            <w:r w:rsidR="00003E3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           </w:t>
            </w:r>
          </w:p>
          <w:p w:rsidR="00A705ED" w:rsidRDefault="00A705ED" w:rsidP="009E0BC8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705ED" w:rsidRDefault="00A705ED" w:rsidP="009E0BC8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705ED" w:rsidRPr="00076E63" w:rsidRDefault="00A705ED" w:rsidP="009E0BC8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E16D01" w:rsidRDefault="00E16D01" w:rsidP="00E37B57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shd w:val="clear" w:color="auto" w:fill="FEFEFE"/>
          <w:lang w:val="bg-BG"/>
        </w:rPr>
      </w:pPr>
    </w:p>
    <w:sectPr w:rsidR="00E16D01" w:rsidSect="00E37B57">
      <w:headerReference w:type="even" r:id="rId40"/>
      <w:footerReference w:type="default" r:id="rId41"/>
      <w:pgSz w:w="11906" w:h="16838" w:code="9"/>
      <w:pgMar w:top="1134" w:right="1134" w:bottom="56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DA5" w:rsidRDefault="009D4DA5">
      <w:pPr>
        <w:spacing w:after="0" w:line="240" w:lineRule="auto"/>
      </w:pPr>
      <w:r>
        <w:separator/>
      </w:r>
    </w:p>
  </w:endnote>
  <w:endnote w:type="continuationSeparator" w:id="0">
    <w:p w:rsidR="009D4DA5" w:rsidRDefault="009D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DA5" w:rsidRPr="003E3642" w:rsidRDefault="009D4DA5">
    <w:pPr>
      <w:pStyle w:val="Footer"/>
      <w:jc w:val="right"/>
      <w:rPr>
        <w:rFonts w:ascii="Times New Roman" w:hAnsi="Times New Roman"/>
      </w:rPr>
    </w:pPr>
    <w:r w:rsidRPr="003E3642">
      <w:rPr>
        <w:rFonts w:ascii="Times New Roman" w:hAnsi="Times New Roman"/>
      </w:rPr>
      <w:fldChar w:fldCharType="begin"/>
    </w:r>
    <w:r w:rsidRPr="003E3642">
      <w:rPr>
        <w:rFonts w:ascii="Times New Roman" w:hAnsi="Times New Roman"/>
      </w:rPr>
      <w:instrText xml:space="preserve"> PAGE   \* MERGEFORMAT </w:instrText>
    </w:r>
    <w:r w:rsidRPr="003E3642">
      <w:rPr>
        <w:rFonts w:ascii="Times New Roman" w:hAnsi="Times New Roman"/>
      </w:rPr>
      <w:fldChar w:fldCharType="separate"/>
    </w:r>
    <w:r w:rsidR="00D162D4">
      <w:rPr>
        <w:rFonts w:ascii="Times New Roman" w:hAnsi="Times New Roman"/>
        <w:noProof/>
      </w:rPr>
      <w:t>2</w:t>
    </w:r>
    <w:r w:rsidRPr="003E3642">
      <w:rPr>
        <w:rFonts w:ascii="Times New Roman" w:hAnsi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DA5" w:rsidRDefault="009D4DA5">
      <w:pPr>
        <w:spacing w:after="0" w:line="240" w:lineRule="auto"/>
      </w:pPr>
      <w:r>
        <w:separator/>
      </w:r>
    </w:p>
  </w:footnote>
  <w:footnote w:type="continuationSeparator" w:id="0">
    <w:p w:rsidR="009D4DA5" w:rsidRDefault="009D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DA5" w:rsidRDefault="009D4DA5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9D4DA5" w:rsidRDefault="009D4D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15E1"/>
    <w:multiLevelType w:val="hybridMultilevel"/>
    <w:tmpl w:val="0B78618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47A3DCD"/>
    <w:multiLevelType w:val="hybridMultilevel"/>
    <w:tmpl w:val="6698605A"/>
    <w:lvl w:ilvl="0" w:tplc="3FDC5A9A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3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4">
    <w:nsid w:val="343F2256"/>
    <w:multiLevelType w:val="hybridMultilevel"/>
    <w:tmpl w:val="10A83CB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533A7"/>
    <w:multiLevelType w:val="hybridMultilevel"/>
    <w:tmpl w:val="73109D66"/>
    <w:lvl w:ilvl="0" w:tplc="3FDC5A9A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8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9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0">
    <w:nsid w:val="4D4C1124"/>
    <w:multiLevelType w:val="multilevel"/>
    <w:tmpl w:val="662AE9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2A04C1"/>
    <w:multiLevelType w:val="hybridMultilevel"/>
    <w:tmpl w:val="B9D0008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4D21DAA"/>
    <w:multiLevelType w:val="multilevel"/>
    <w:tmpl w:val="6A9A2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4">
    <w:nsid w:val="6F8E76E7"/>
    <w:multiLevelType w:val="hybridMultilevel"/>
    <w:tmpl w:val="86A875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6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7">
    <w:nsid w:val="79C01CA0"/>
    <w:multiLevelType w:val="hybridMultilevel"/>
    <w:tmpl w:val="22DA62D4"/>
    <w:lvl w:ilvl="0" w:tplc="35A6AD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11"/>
  </w:num>
  <w:num w:numId="9">
    <w:abstractNumId w:val="5"/>
  </w:num>
  <w:num w:numId="10">
    <w:abstractNumId w:val="1"/>
  </w:num>
  <w:num w:numId="11">
    <w:abstractNumId w:val="6"/>
  </w:num>
  <w:num w:numId="12">
    <w:abstractNumId w:val="12"/>
  </w:num>
  <w:num w:numId="13">
    <w:abstractNumId w:val="4"/>
  </w:num>
  <w:num w:numId="14">
    <w:abstractNumId w:val="0"/>
  </w:num>
  <w:num w:numId="15">
    <w:abstractNumId w:val="17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84"/>
    <w:rsid w:val="00002C2B"/>
    <w:rsid w:val="000032AC"/>
    <w:rsid w:val="00003E3C"/>
    <w:rsid w:val="00004B97"/>
    <w:rsid w:val="00005640"/>
    <w:rsid w:val="00012EE0"/>
    <w:rsid w:val="00013E7F"/>
    <w:rsid w:val="00014FE4"/>
    <w:rsid w:val="00015CD1"/>
    <w:rsid w:val="00016DB2"/>
    <w:rsid w:val="00026AE6"/>
    <w:rsid w:val="00026B75"/>
    <w:rsid w:val="00035213"/>
    <w:rsid w:val="00041E15"/>
    <w:rsid w:val="00042D08"/>
    <w:rsid w:val="00046634"/>
    <w:rsid w:val="00064387"/>
    <w:rsid w:val="00064CC7"/>
    <w:rsid w:val="00064EFD"/>
    <w:rsid w:val="0006596E"/>
    <w:rsid w:val="00070D40"/>
    <w:rsid w:val="00072FCC"/>
    <w:rsid w:val="0007349B"/>
    <w:rsid w:val="00075A77"/>
    <w:rsid w:val="00076E63"/>
    <w:rsid w:val="0007700A"/>
    <w:rsid w:val="000779D0"/>
    <w:rsid w:val="00084F65"/>
    <w:rsid w:val="00090568"/>
    <w:rsid w:val="000A0443"/>
    <w:rsid w:val="000A1BC7"/>
    <w:rsid w:val="000A239E"/>
    <w:rsid w:val="000A2E06"/>
    <w:rsid w:val="000A68FF"/>
    <w:rsid w:val="000B58BF"/>
    <w:rsid w:val="000B619B"/>
    <w:rsid w:val="000C6264"/>
    <w:rsid w:val="000C774E"/>
    <w:rsid w:val="000D050B"/>
    <w:rsid w:val="000D43B8"/>
    <w:rsid w:val="000D5068"/>
    <w:rsid w:val="000D5C3E"/>
    <w:rsid w:val="000E3350"/>
    <w:rsid w:val="000E438D"/>
    <w:rsid w:val="000E59D0"/>
    <w:rsid w:val="000E5D14"/>
    <w:rsid w:val="000E659E"/>
    <w:rsid w:val="000E72FC"/>
    <w:rsid w:val="000F08E4"/>
    <w:rsid w:val="000F336E"/>
    <w:rsid w:val="000F5A53"/>
    <w:rsid w:val="000F5DB5"/>
    <w:rsid w:val="00100715"/>
    <w:rsid w:val="0010147C"/>
    <w:rsid w:val="00104A25"/>
    <w:rsid w:val="0010502B"/>
    <w:rsid w:val="00105C60"/>
    <w:rsid w:val="00107D1F"/>
    <w:rsid w:val="00111E2F"/>
    <w:rsid w:val="00112C92"/>
    <w:rsid w:val="001138D1"/>
    <w:rsid w:val="00115869"/>
    <w:rsid w:val="00121614"/>
    <w:rsid w:val="0012461C"/>
    <w:rsid w:val="00124F10"/>
    <w:rsid w:val="00126CDB"/>
    <w:rsid w:val="0012745B"/>
    <w:rsid w:val="00130BCF"/>
    <w:rsid w:val="00136854"/>
    <w:rsid w:val="001427BC"/>
    <w:rsid w:val="00144088"/>
    <w:rsid w:val="00144504"/>
    <w:rsid w:val="001466E3"/>
    <w:rsid w:val="00153946"/>
    <w:rsid w:val="001610FE"/>
    <w:rsid w:val="00161DDC"/>
    <w:rsid w:val="00163F68"/>
    <w:rsid w:val="00180649"/>
    <w:rsid w:val="00180774"/>
    <w:rsid w:val="00182AC3"/>
    <w:rsid w:val="001871C1"/>
    <w:rsid w:val="00190581"/>
    <w:rsid w:val="00197C16"/>
    <w:rsid w:val="001B2C88"/>
    <w:rsid w:val="001B515D"/>
    <w:rsid w:val="001B5570"/>
    <w:rsid w:val="001B75DC"/>
    <w:rsid w:val="001C0109"/>
    <w:rsid w:val="001C1E6F"/>
    <w:rsid w:val="001C223C"/>
    <w:rsid w:val="001C2CC8"/>
    <w:rsid w:val="001C4078"/>
    <w:rsid w:val="001C4A6D"/>
    <w:rsid w:val="001C7982"/>
    <w:rsid w:val="001D2F78"/>
    <w:rsid w:val="001D3272"/>
    <w:rsid w:val="001D7692"/>
    <w:rsid w:val="001E14FD"/>
    <w:rsid w:val="001E44FB"/>
    <w:rsid w:val="001E604D"/>
    <w:rsid w:val="001F755D"/>
    <w:rsid w:val="00201D3C"/>
    <w:rsid w:val="00203825"/>
    <w:rsid w:val="00207D71"/>
    <w:rsid w:val="00222038"/>
    <w:rsid w:val="00226443"/>
    <w:rsid w:val="002379CC"/>
    <w:rsid w:val="002418D6"/>
    <w:rsid w:val="002439C9"/>
    <w:rsid w:val="002450E7"/>
    <w:rsid w:val="00245946"/>
    <w:rsid w:val="002463A4"/>
    <w:rsid w:val="00250E2B"/>
    <w:rsid w:val="002643A3"/>
    <w:rsid w:val="00277DB8"/>
    <w:rsid w:val="00280F13"/>
    <w:rsid w:val="002836ED"/>
    <w:rsid w:val="00291E82"/>
    <w:rsid w:val="00294872"/>
    <w:rsid w:val="002976D1"/>
    <w:rsid w:val="002A19DA"/>
    <w:rsid w:val="002A303A"/>
    <w:rsid w:val="002A35F6"/>
    <w:rsid w:val="002B33DF"/>
    <w:rsid w:val="002B3673"/>
    <w:rsid w:val="002B5EE2"/>
    <w:rsid w:val="002C11E7"/>
    <w:rsid w:val="002C7AA1"/>
    <w:rsid w:val="002E073E"/>
    <w:rsid w:val="002E145A"/>
    <w:rsid w:val="002E1681"/>
    <w:rsid w:val="002E35DF"/>
    <w:rsid w:val="002E42A2"/>
    <w:rsid w:val="002F70C3"/>
    <w:rsid w:val="002F7515"/>
    <w:rsid w:val="00301ADC"/>
    <w:rsid w:val="003064C5"/>
    <w:rsid w:val="003122D8"/>
    <w:rsid w:val="00313B1C"/>
    <w:rsid w:val="00313EDC"/>
    <w:rsid w:val="0032178B"/>
    <w:rsid w:val="00322E3E"/>
    <w:rsid w:val="003262E4"/>
    <w:rsid w:val="00331E90"/>
    <w:rsid w:val="0033296B"/>
    <w:rsid w:val="00341338"/>
    <w:rsid w:val="003432A0"/>
    <w:rsid w:val="0034342A"/>
    <w:rsid w:val="0034393B"/>
    <w:rsid w:val="003456C3"/>
    <w:rsid w:val="0034619C"/>
    <w:rsid w:val="0034705E"/>
    <w:rsid w:val="00347FA3"/>
    <w:rsid w:val="0035042C"/>
    <w:rsid w:val="00352669"/>
    <w:rsid w:val="0035282F"/>
    <w:rsid w:val="003546C3"/>
    <w:rsid w:val="00354BBD"/>
    <w:rsid w:val="00357B94"/>
    <w:rsid w:val="00360F25"/>
    <w:rsid w:val="00362ABE"/>
    <w:rsid w:val="00366178"/>
    <w:rsid w:val="003669F8"/>
    <w:rsid w:val="003817AB"/>
    <w:rsid w:val="00383CC5"/>
    <w:rsid w:val="003852E5"/>
    <w:rsid w:val="00387407"/>
    <w:rsid w:val="00387881"/>
    <w:rsid w:val="00394E02"/>
    <w:rsid w:val="00396250"/>
    <w:rsid w:val="003A0412"/>
    <w:rsid w:val="003A1B58"/>
    <w:rsid w:val="003A51E0"/>
    <w:rsid w:val="003A60C2"/>
    <w:rsid w:val="003A6FA5"/>
    <w:rsid w:val="003A742A"/>
    <w:rsid w:val="003A7EB9"/>
    <w:rsid w:val="003B188C"/>
    <w:rsid w:val="003B2FD6"/>
    <w:rsid w:val="003B2FFF"/>
    <w:rsid w:val="003B6952"/>
    <w:rsid w:val="003C0C52"/>
    <w:rsid w:val="003C124D"/>
    <w:rsid w:val="003C2F9B"/>
    <w:rsid w:val="003C5FAD"/>
    <w:rsid w:val="003D555F"/>
    <w:rsid w:val="003E0C91"/>
    <w:rsid w:val="003E1E71"/>
    <w:rsid w:val="003E6263"/>
    <w:rsid w:val="003F2C8D"/>
    <w:rsid w:val="003F2D77"/>
    <w:rsid w:val="003F6400"/>
    <w:rsid w:val="00412755"/>
    <w:rsid w:val="00412B0A"/>
    <w:rsid w:val="0041512B"/>
    <w:rsid w:val="00420E9A"/>
    <w:rsid w:val="0042567A"/>
    <w:rsid w:val="00430DDF"/>
    <w:rsid w:val="00437984"/>
    <w:rsid w:val="00446671"/>
    <w:rsid w:val="004468E7"/>
    <w:rsid w:val="00455AA3"/>
    <w:rsid w:val="00465262"/>
    <w:rsid w:val="00466C65"/>
    <w:rsid w:val="0046753C"/>
    <w:rsid w:val="0047036A"/>
    <w:rsid w:val="00484D26"/>
    <w:rsid w:val="004921D6"/>
    <w:rsid w:val="0049337E"/>
    <w:rsid w:val="0049346C"/>
    <w:rsid w:val="00493808"/>
    <w:rsid w:val="00496AA3"/>
    <w:rsid w:val="004A03D5"/>
    <w:rsid w:val="004A5578"/>
    <w:rsid w:val="004C29AA"/>
    <w:rsid w:val="004C58F0"/>
    <w:rsid w:val="004C5CBA"/>
    <w:rsid w:val="004C654A"/>
    <w:rsid w:val="004D2291"/>
    <w:rsid w:val="004D511C"/>
    <w:rsid w:val="004D53B5"/>
    <w:rsid w:val="004E2018"/>
    <w:rsid w:val="004E3441"/>
    <w:rsid w:val="004E4FD6"/>
    <w:rsid w:val="004F0F7C"/>
    <w:rsid w:val="004F17FA"/>
    <w:rsid w:val="004F1C8E"/>
    <w:rsid w:val="00500B4B"/>
    <w:rsid w:val="00503482"/>
    <w:rsid w:val="005045C4"/>
    <w:rsid w:val="0050608C"/>
    <w:rsid w:val="0051002C"/>
    <w:rsid w:val="00510B50"/>
    <w:rsid w:val="00511CD7"/>
    <w:rsid w:val="00512211"/>
    <w:rsid w:val="00514DBA"/>
    <w:rsid w:val="005152E6"/>
    <w:rsid w:val="00523F05"/>
    <w:rsid w:val="005305F7"/>
    <w:rsid w:val="0053541D"/>
    <w:rsid w:val="00535641"/>
    <w:rsid w:val="005362BC"/>
    <w:rsid w:val="00540317"/>
    <w:rsid w:val="00540766"/>
    <w:rsid w:val="00541E88"/>
    <w:rsid w:val="00552EE6"/>
    <w:rsid w:val="0055459C"/>
    <w:rsid w:val="00555457"/>
    <w:rsid w:val="005609AE"/>
    <w:rsid w:val="005628BE"/>
    <w:rsid w:val="00571638"/>
    <w:rsid w:val="00575FF6"/>
    <w:rsid w:val="00581363"/>
    <w:rsid w:val="0058167B"/>
    <w:rsid w:val="00582FAA"/>
    <w:rsid w:val="00585F8B"/>
    <w:rsid w:val="00591D7E"/>
    <w:rsid w:val="00592CD5"/>
    <w:rsid w:val="00593655"/>
    <w:rsid w:val="005971DA"/>
    <w:rsid w:val="00597F0A"/>
    <w:rsid w:val="005A1BED"/>
    <w:rsid w:val="005A25FA"/>
    <w:rsid w:val="005A515B"/>
    <w:rsid w:val="005A6B6E"/>
    <w:rsid w:val="005A7040"/>
    <w:rsid w:val="005B014C"/>
    <w:rsid w:val="005C16BC"/>
    <w:rsid w:val="005C35F2"/>
    <w:rsid w:val="005C68B4"/>
    <w:rsid w:val="005D0070"/>
    <w:rsid w:val="005D0DAA"/>
    <w:rsid w:val="005D171F"/>
    <w:rsid w:val="005D72F5"/>
    <w:rsid w:val="005E5D5C"/>
    <w:rsid w:val="005F41A3"/>
    <w:rsid w:val="005F5744"/>
    <w:rsid w:val="006002EC"/>
    <w:rsid w:val="0060089B"/>
    <w:rsid w:val="00601B14"/>
    <w:rsid w:val="0060589E"/>
    <w:rsid w:val="00605BE6"/>
    <w:rsid w:val="006245E3"/>
    <w:rsid w:val="00627D54"/>
    <w:rsid w:val="00627DA4"/>
    <w:rsid w:val="006464F4"/>
    <w:rsid w:val="0065159C"/>
    <w:rsid w:val="00660EDE"/>
    <w:rsid w:val="006677FC"/>
    <w:rsid w:val="00667CCF"/>
    <w:rsid w:val="006745C2"/>
    <w:rsid w:val="00681C17"/>
    <w:rsid w:val="00684782"/>
    <w:rsid w:val="00692021"/>
    <w:rsid w:val="00697283"/>
    <w:rsid w:val="006A036B"/>
    <w:rsid w:val="006A06DA"/>
    <w:rsid w:val="006A0A27"/>
    <w:rsid w:val="006A619D"/>
    <w:rsid w:val="006B0216"/>
    <w:rsid w:val="006B56F3"/>
    <w:rsid w:val="006B670B"/>
    <w:rsid w:val="006C2F78"/>
    <w:rsid w:val="006C5719"/>
    <w:rsid w:val="006C5776"/>
    <w:rsid w:val="006D275C"/>
    <w:rsid w:val="006D3572"/>
    <w:rsid w:val="006D7643"/>
    <w:rsid w:val="006D7984"/>
    <w:rsid w:val="006E020C"/>
    <w:rsid w:val="006E642C"/>
    <w:rsid w:val="007002B2"/>
    <w:rsid w:val="00700CA3"/>
    <w:rsid w:val="007058C8"/>
    <w:rsid w:val="007108A0"/>
    <w:rsid w:val="007137D8"/>
    <w:rsid w:val="0071637C"/>
    <w:rsid w:val="007261DF"/>
    <w:rsid w:val="00727267"/>
    <w:rsid w:val="00731366"/>
    <w:rsid w:val="00741F5E"/>
    <w:rsid w:val="00744754"/>
    <w:rsid w:val="00747CE8"/>
    <w:rsid w:val="00751DBF"/>
    <w:rsid w:val="007544AE"/>
    <w:rsid w:val="00761AFC"/>
    <w:rsid w:val="00771667"/>
    <w:rsid w:val="00773E20"/>
    <w:rsid w:val="00775ED0"/>
    <w:rsid w:val="00777F6D"/>
    <w:rsid w:val="0078010C"/>
    <w:rsid w:val="00782BEC"/>
    <w:rsid w:val="0078311F"/>
    <w:rsid w:val="00785319"/>
    <w:rsid w:val="0078750F"/>
    <w:rsid w:val="00791E6F"/>
    <w:rsid w:val="007978E0"/>
    <w:rsid w:val="007A6B00"/>
    <w:rsid w:val="007B1282"/>
    <w:rsid w:val="007B2DAD"/>
    <w:rsid w:val="007B4AA1"/>
    <w:rsid w:val="007C2306"/>
    <w:rsid w:val="007C6CED"/>
    <w:rsid w:val="007C74C6"/>
    <w:rsid w:val="007D0950"/>
    <w:rsid w:val="007D21B8"/>
    <w:rsid w:val="007D72C4"/>
    <w:rsid w:val="007E5851"/>
    <w:rsid w:val="007E5B22"/>
    <w:rsid w:val="007F3379"/>
    <w:rsid w:val="007F588A"/>
    <w:rsid w:val="0080479D"/>
    <w:rsid w:val="00815C40"/>
    <w:rsid w:val="0082471F"/>
    <w:rsid w:val="008279D0"/>
    <w:rsid w:val="00833632"/>
    <w:rsid w:val="008338C0"/>
    <w:rsid w:val="00834E28"/>
    <w:rsid w:val="0083770A"/>
    <w:rsid w:val="00842B50"/>
    <w:rsid w:val="00845F80"/>
    <w:rsid w:val="0085056E"/>
    <w:rsid w:val="008529D3"/>
    <w:rsid w:val="00853CCB"/>
    <w:rsid w:val="008565BA"/>
    <w:rsid w:val="00865C59"/>
    <w:rsid w:val="00866592"/>
    <w:rsid w:val="0086696B"/>
    <w:rsid w:val="008703F3"/>
    <w:rsid w:val="008719EF"/>
    <w:rsid w:val="00872BEC"/>
    <w:rsid w:val="00872C44"/>
    <w:rsid w:val="00874A8E"/>
    <w:rsid w:val="00892E84"/>
    <w:rsid w:val="008A06C0"/>
    <w:rsid w:val="008A0D49"/>
    <w:rsid w:val="008A3E01"/>
    <w:rsid w:val="008A6ECE"/>
    <w:rsid w:val="008B3AE5"/>
    <w:rsid w:val="008B74D3"/>
    <w:rsid w:val="008C0E45"/>
    <w:rsid w:val="008D71C1"/>
    <w:rsid w:val="008E33BD"/>
    <w:rsid w:val="008E48E1"/>
    <w:rsid w:val="008E6027"/>
    <w:rsid w:val="008E7F0C"/>
    <w:rsid w:val="008F2575"/>
    <w:rsid w:val="008F4A24"/>
    <w:rsid w:val="009021C3"/>
    <w:rsid w:val="0090413B"/>
    <w:rsid w:val="00904611"/>
    <w:rsid w:val="00921182"/>
    <w:rsid w:val="00926A58"/>
    <w:rsid w:val="00937D46"/>
    <w:rsid w:val="00942142"/>
    <w:rsid w:val="00945FE4"/>
    <w:rsid w:val="00946CC1"/>
    <w:rsid w:val="009527DB"/>
    <w:rsid w:val="009546F1"/>
    <w:rsid w:val="00963F63"/>
    <w:rsid w:val="0097313D"/>
    <w:rsid w:val="00973F73"/>
    <w:rsid w:val="00974411"/>
    <w:rsid w:val="00980C0A"/>
    <w:rsid w:val="0098236E"/>
    <w:rsid w:val="00984578"/>
    <w:rsid w:val="00986316"/>
    <w:rsid w:val="009907E1"/>
    <w:rsid w:val="0099419D"/>
    <w:rsid w:val="00996CD8"/>
    <w:rsid w:val="00996F0D"/>
    <w:rsid w:val="009B084D"/>
    <w:rsid w:val="009B13A5"/>
    <w:rsid w:val="009B53A9"/>
    <w:rsid w:val="009C6DFD"/>
    <w:rsid w:val="009C754B"/>
    <w:rsid w:val="009D3A54"/>
    <w:rsid w:val="009D4DA5"/>
    <w:rsid w:val="009D6D9A"/>
    <w:rsid w:val="009D7C5C"/>
    <w:rsid w:val="009E0701"/>
    <w:rsid w:val="009E0BC8"/>
    <w:rsid w:val="009E463D"/>
    <w:rsid w:val="009E7DDC"/>
    <w:rsid w:val="009F05DC"/>
    <w:rsid w:val="009F3B25"/>
    <w:rsid w:val="009F738C"/>
    <w:rsid w:val="00A00CA6"/>
    <w:rsid w:val="00A04000"/>
    <w:rsid w:val="00A05EFC"/>
    <w:rsid w:val="00A06FB4"/>
    <w:rsid w:val="00A07C07"/>
    <w:rsid w:val="00A17763"/>
    <w:rsid w:val="00A305D6"/>
    <w:rsid w:val="00A31707"/>
    <w:rsid w:val="00A34EBC"/>
    <w:rsid w:val="00A4073A"/>
    <w:rsid w:val="00A433A5"/>
    <w:rsid w:val="00A44987"/>
    <w:rsid w:val="00A462E1"/>
    <w:rsid w:val="00A54153"/>
    <w:rsid w:val="00A65BDC"/>
    <w:rsid w:val="00A705ED"/>
    <w:rsid w:val="00A72EFE"/>
    <w:rsid w:val="00A7658D"/>
    <w:rsid w:val="00A77A63"/>
    <w:rsid w:val="00A80AB8"/>
    <w:rsid w:val="00A85915"/>
    <w:rsid w:val="00A86990"/>
    <w:rsid w:val="00A87F9B"/>
    <w:rsid w:val="00A90506"/>
    <w:rsid w:val="00AA0172"/>
    <w:rsid w:val="00AA18F9"/>
    <w:rsid w:val="00AA3670"/>
    <w:rsid w:val="00AA5C34"/>
    <w:rsid w:val="00AB1982"/>
    <w:rsid w:val="00AB1C38"/>
    <w:rsid w:val="00AC1C89"/>
    <w:rsid w:val="00AC29A9"/>
    <w:rsid w:val="00AD1F14"/>
    <w:rsid w:val="00AD46C4"/>
    <w:rsid w:val="00AD5F29"/>
    <w:rsid w:val="00AE456F"/>
    <w:rsid w:val="00AE461C"/>
    <w:rsid w:val="00AF2D7D"/>
    <w:rsid w:val="00B03726"/>
    <w:rsid w:val="00B0589E"/>
    <w:rsid w:val="00B05AEA"/>
    <w:rsid w:val="00B06676"/>
    <w:rsid w:val="00B10661"/>
    <w:rsid w:val="00B12AC6"/>
    <w:rsid w:val="00B132C1"/>
    <w:rsid w:val="00B27B14"/>
    <w:rsid w:val="00B30437"/>
    <w:rsid w:val="00B3148E"/>
    <w:rsid w:val="00B319FC"/>
    <w:rsid w:val="00B3602B"/>
    <w:rsid w:val="00B4278E"/>
    <w:rsid w:val="00B43B4D"/>
    <w:rsid w:val="00B45E60"/>
    <w:rsid w:val="00B50DC1"/>
    <w:rsid w:val="00B534C1"/>
    <w:rsid w:val="00B558B7"/>
    <w:rsid w:val="00B626F5"/>
    <w:rsid w:val="00B64742"/>
    <w:rsid w:val="00B65AAA"/>
    <w:rsid w:val="00B70F5C"/>
    <w:rsid w:val="00B722F7"/>
    <w:rsid w:val="00B748F0"/>
    <w:rsid w:val="00B76D2A"/>
    <w:rsid w:val="00B76E5C"/>
    <w:rsid w:val="00B92D9A"/>
    <w:rsid w:val="00B95BC9"/>
    <w:rsid w:val="00B97712"/>
    <w:rsid w:val="00BA76A5"/>
    <w:rsid w:val="00BA7D7C"/>
    <w:rsid w:val="00BB76D9"/>
    <w:rsid w:val="00BD2D67"/>
    <w:rsid w:val="00BD488B"/>
    <w:rsid w:val="00BD7190"/>
    <w:rsid w:val="00BE2214"/>
    <w:rsid w:val="00BE262D"/>
    <w:rsid w:val="00BE4013"/>
    <w:rsid w:val="00BE6CB2"/>
    <w:rsid w:val="00BF0425"/>
    <w:rsid w:val="00BF2450"/>
    <w:rsid w:val="00BF312D"/>
    <w:rsid w:val="00BF4E04"/>
    <w:rsid w:val="00BF5315"/>
    <w:rsid w:val="00C02F30"/>
    <w:rsid w:val="00C11695"/>
    <w:rsid w:val="00C11F29"/>
    <w:rsid w:val="00C14396"/>
    <w:rsid w:val="00C150B2"/>
    <w:rsid w:val="00C15613"/>
    <w:rsid w:val="00C20BDF"/>
    <w:rsid w:val="00C2268E"/>
    <w:rsid w:val="00C22CAA"/>
    <w:rsid w:val="00C22ED7"/>
    <w:rsid w:val="00C2639E"/>
    <w:rsid w:val="00C31877"/>
    <w:rsid w:val="00C34302"/>
    <w:rsid w:val="00C37A5B"/>
    <w:rsid w:val="00C37CC0"/>
    <w:rsid w:val="00C37E19"/>
    <w:rsid w:val="00C40BCF"/>
    <w:rsid w:val="00C501B9"/>
    <w:rsid w:val="00C51D11"/>
    <w:rsid w:val="00C56184"/>
    <w:rsid w:val="00C60449"/>
    <w:rsid w:val="00C75D15"/>
    <w:rsid w:val="00C81B1B"/>
    <w:rsid w:val="00C8594C"/>
    <w:rsid w:val="00C86370"/>
    <w:rsid w:val="00C8753D"/>
    <w:rsid w:val="00C9166C"/>
    <w:rsid w:val="00C91AFA"/>
    <w:rsid w:val="00C93DF1"/>
    <w:rsid w:val="00C947D1"/>
    <w:rsid w:val="00CA2AE4"/>
    <w:rsid w:val="00CB063B"/>
    <w:rsid w:val="00CC0801"/>
    <w:rsid w:val="00CC25EA"/>
    <w:rsid w:val="00CD0E64"/>
    <w:rsid w:val="00CD2922"/>
    <w:rsid w:val="00CD3F1E"/>
    <w:rsid w:val="00CD511E"/>
    <w:rsid w:val="00CD5558"/>
    <w:rsid w:val="00CD5632"/>
    <w:rsid w:val="00CD5717"/>
    <w:rsid w:val="00CE2708"/>
    <w:rsid w:val="00CE2EEA"/>
    <w:rsid w:val="00CF3636"/>
    <w:rsid w:val="00CF3AAA"/>
    <w:rsid w:val="00CF3C39"/>
    <w:rsid w:val="00CF3CDD"/>
    <w:rsid w:val="00D0261E"/>
    <w:rsid w:val="00D0431F"/>
    <w:rsid w:val="00D0738D"/>
    <w:rsid w:val="00D113D3"/>
    <w:rsid w:val="00D162D4"/>
    <w:rsid w:val="00D25385"/>
    <w:rsid w:val="00D271F7"/>
    <w:rsid w:val="00D27C60"/>
    <w:rsid w:val="00D30CA9"/>
    <w:rsid w:val="00D32E4B"/>
    <w:rsid w:val="00D34164"/>
    <w:rsid w:val="00D3793D"/>
    <w:rsid w:val="00D42B15"/>
    <w:rsid w:val="00D45AD2"/>
    <w:rsid w:val="00D515B4"/>
    <w:rsid w:val="00D520E8"/>
    <w:rsid w:val="00D52B91"/>
    <w:rsid w:val="00D53628"/>
    <w:rsid w:val="00D63F10"/>
    <w:rsid w:val="00D722BA"/>
    <w:rsid w:val="00D74869"/>
    <w:rsid w:val="00D80934"/>
    <w:rsid w:val="00D82CFD"/>
    <w:rsid w:val="00D91D2E"/>
    <w:rsid w:val="00DA42E3"/>
    <w:rsid w:val="00DA4846"/>
    <w:rsid w:val="00DA4DB3"/>
    <w:rsid w:val="00DA71E3"/>
    <w:rsid w:val="00DB2D1A"/>
    <w:rsid w:val="00DB5149"/>
    <w:rsid w:val="00DC28E1"/>
    <w:rsid w:val="00DC70FE"/>
    <w:rsid w:val="00DC721C"/>
    <w:rsid w:val="00DE2556"/>
    <w:rsid w:val="00DE2F4A"/>
    <w:rsid w:val="00DE3B81"/>
    <w:rsid w:val="00DE676D"/>
    <w:rsid w:val="00DF0078"/>
    <w:rsid w:val="00DF0AC9"/>
    <w:rsid w:val="00DF2B72"/>
    <w:rsid w:val="00DF5A00"/>
    <w:rsid w:val="00DF67F3"/>
    <w:rsid w:val="00E02A11"/>
    <w:rsid w:val="00E044F6"/>
    <w:rsid w:val="00E05E5A"/>
    <w:rsid w:val="00E125AD"/>
    <w:rsid w:val="00E14A7D"/>
    <w:rsid w:val="00E16296"/>
    <w:rsid w:val="00E16D01"/>
    <w:rsid w:val="00E21CD3"/>
    <w:rsid w:val="00E31969"/>
    <w:rsid w:val="00E35ED8"/>
    <w:rsid w:val="00E37093"/>
    <w:rsid w:val="00E37B57"/>
    <w:rsid w:val="00E44DE0"/>
    <w:rsid w:val="00E4508A"/>
    <w:rsid w:val="00E53411"/>
    <w:rsid w:val="00E63579"/>
    <w:rsid w:val="00E64075"/>
    <w:rsid w:val="00E653D3"/>
    <w:rsid w:val="00E65509"/>
    <w:rsid w:val="00E659B1"/>
    <w:rsid w:val="00E677DB"/>
    <w:rsid w:val="00E677E8"/>
    <w:rsid w:val="00E70694"/>
    <w:rsid w:val="00E72B6B"/>
    <w:rsid w:val="00E740A2"/>
    <w:rsid w:val="00E74674"/>
    <w:rsid w:val="00E82368"/>
    <w:rsid w:val="00E8353B"/>
    <w:rsid w:val="00E83BBA"/>
    <w:rsid w:val="00E95186"/>
    <w:rsid w:val="00E9660C"/>
    <w:rsid w:val="00E978EF"/>
    <w:rsid w:val="00EA0A85"/>
    <w:rsid w:val="00EA4AC6"/>
    <w:rsid w:val="00EA5C44"/>
    <w:rsid w:val="00EA725C"/>
    <w:rsid w:val="00EA7967"/>
    <w:rsid w:val="00EB10F8"/>
    <w:rsid w:val="00EB3EEB"/>
    <w:rsid w:val="00EB4819"/>
    <w:rsid w:val="00EB5464"/>
    <w:rsid w:val="00EB6DA4"/>
    <w:rsid w:val="00EB7DBD"/>
    <w:rsid w:val="00EC05FB"/>
    <w:rsid w:val="00EC43A3"/>
    <w:rsid w:val="00EC4B66"/>
    <w:rsid w:val="00EC5393"/>
    <w:rsid w:val="00ED5C52"/>
    <w:rsid w:val="00EE15E3"/>
    <w:rsid w:val="00EE3872"/>
    <w:rsid w:val="00EE44AD"/>
    <w:rsid w:val="00EE4ADC"/>
    <w:rsid w:val="00EE5643"/>
    <w:rsid w:val="00EF08AD"/>
    <w:rsid w:val="00EF2B9E"/>
    <w:rsid w:val="00EF6552"/>
    <w:rsid w:val="00F01920"/>
    <w:rsid w:val="00F02324"/>
    <w:rsid w:val="00F029BA"/>
    <w:rsid w:val="00F03C58"/>
    <w:rsid w:val="00F047A9"/>
    <w:rsid w:val="00F04B4E"/>
    <w:rsid w:val="00F10957"/>
    <w:rsid w:val="00F159B2"/>
    <w:rsid w:val="00F16CD0"/>
    <w:rsid w:val="00F16E3F"/>
    <w:rsid w:val="00F20506"/>
    <w:rsid w:val="00F20BB5"/>
    <w:rsid w:val="00F2480B"/>
    <w:rsid w:val="00F2665B"/>
    <w:rsid w:val="00F33D1F"/>
    <w:rsid w:val="00F42A15"/>
    <w:rsid w:val="00F44F26"/>
    <w:rsid w:val="00F465E5"/>
    <w:rsid w:val="00F47133"/>
    <w:rsid w:val="00F51681"/>
    <w:rsid w:val="00F53A4E"/>
    <w:rsid w:val="00F55280"/>
    <w:rsid w:val="00F62643"/>
    <w:rsid w:val="00F66BE5"/>
    <w:rsid w:val="00F67822"/>
    <w:rsid w:val="00F819FE"/>
    <w:rsid w:val="00F82B10"/>
    <w:rsid w:val="00F8508C"/>
    <w:rsid w:val="00F87452"/>
    <w:rsid w:val="00F87F7B"/>
    <w:rsid w:val="00F90D43"/>
    <w:rsid w:val="00F92D11"/>
    <w:rsid w:val="00F92E0F"/>
    <w:rsid w:val="00F97AFA"/>
    <w:rsid w:val="00FA3EFF"/>
    <w:rsid w:val="00FB533C"/>
    <w:rsid w:val="00FB747E"/>
    <w:rsid w:val="00FC0A87"/>
    <w:rsid w:val="00FC1A78"/>
    <w:rsid w:val="00FC1E60"/>
    <w:rsid w:val="00FC3A1E"/>
    <w:rsid w:val="00FC4097"/>
    <w:rsid w:val="00FC648C"/>
    <w:rsid w:val="00FC6843"/>
    <w:rsid w:val="00FD3694"/>
    <w:rsid w:val="00FD39ED"/>
    <w:rsid w:val="00FD492D"/>
    <w:rsid w:val="00FD772A"/>
    <w:rsid w:val="00FE00E3"/>
    <w:rsid w:val="00FE2D5D"/>
    <w:rsid w:val="00FE39D6"/>
    <w:rsid w:val="00FE55C5"/>
    <w:rsid w:val="00FF1AF9"/>
    <w:rsid w:val="00FF20E6"/>
    <w:rsid w:val="00FF3A47"/>
    <w:rsid w:val="00FF3A94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589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58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.fartzova@eavw.com" TargetMode="External"/><Relationship Id="rId18" Type="http://schemas.openxmlformats.org/officeDocument/2006/relationships/image" Target="media/image4.wmf"/><Relationship Id="rId26" Type="http://schemas.openxmlformats.org/officeDocument/2006/relationships/control" Target="activeX/activeX8.xml"/><Relationship Id="rId39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5.xml"/><Relationship Id="rId34" Type="http://schemas.openxmlformats.org/officeDocument/2006/relationships/image" Target="media/image11.wmf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33" Type="http://schemas.openxmlformats.org/officeDocument/2006/relationships/control" Target="activeX/activeX12.xml"/><Relationship Id="rId38" Type="http://schemas.openxmlformats.org/officeDocument/2006/relationships/control" Target="activeX/activeX16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control" Target="activeX/activeX10.xm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7.wmf"/><Relationship Id="rId32" Type="http://schemas.openxmlformats.org/officeDocument/2006/relationships/image" Target="media/image10.wmf"/><Relationship Id="rId37" Type="http://schemas.openxmlformats.org/officeDocument/2006/relationships/control" Target="activeX/activeX15.xm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mbojilova@eavw.com" TargetMode="External"/><Relationship Id="rId23" Type="http://schemas.openxmlformats.org/officeDocument/2006/relationships/control" Target="activeX/activeX6.xml"/><Relationship Id="rId28" Type="http://schemas.openxmlformats.org/officeDocument/2006/relationships/image" Target="media/image8.wmf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control" Target="activeX/activeX4.xml"/><Relationship Id="rId31" Type="http://schemas.openxmlformats.org/officeDocument/2006/relationships/control" Target="activeX/activeX1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mailto:kdraganov@eavw.com" TargetMode="External"/><Relationship Id="rId22" Type="http://schemas.openxmlformats.org/officeDocument/2006/relationships/image" Target="media/image6.wmf"/><Relationship Id="rId27" Type="http://schemas.openxmlformats.org/officeDocument/2006/relationships/control" Target="activeX/activeX9.xml"/><Relationship Id="rId30" Type="http://schemas.openxmlformats.org/officeDocument/2006/relationships/image" Target="media/image9.wmf"/><Relationship Id="rId35" Type="http://schemas.openxmlformats.org/officeDocument/2006/relationships/control" Target="activeX/activeX13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222A5-46BB-4197-AFA7-2252671E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4455</Words>
  <Characters>25397</Characters>
  <Application>Microsoft Office Word</Application>
  <DocSecurity>0</DocSecurity>
  <Lines>211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IsIv</dc:creator>
  <cp:lastModifiedBy>Mihaela Tolochik</cp:lastModifiedBy>
  <cp:revision>24</cp:revision>
  <cp:lastPrinted>2022-04-01T09:32:00Z</cp:lastPrinted>
  <dcterms:created xsi:type="dcterms:W3CDTF">2022-04-01T09:39:00Z</dcterms:created>
  <dcterms:modified xsi:type="dcterms:W3CDTF">2022-04-26T14:33:00Z</dcterms:modified>
</cp:coreProperties>
</file>