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A5" w:rsidRPr="005C26D4" w:rsidRDefault="00C949A5" w:rsidP="00C949A5">
      <w:pPr>
        <w:jc w:val="center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5C26D4">
        <w:rPr>
          <w:rFonts w:ascii="Times New Roman" w:hAnsi="Times New Roman"/>
          <w:b/>
          <w:sz w:val="24"/>
          <w:szCs w:val="24"/>
          <w:u w:val="single"/>
          <w:lang w:val="bg-BG"/>
        </w:rPr>
        <w:t>МИНИСТЕРСТВО НА ЗЕМЕДЕЛИЕТО</w:t>
      </w:r>
    </w:p>
    <w:p w:rsidR="00C949A5" w:rsidRPr="005C26D4" w:rsidRDefault="00C949A5" w:rsidP="00C949A5">
      <w:pPr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C949A5" w:rsidRPr="005C26D4" w:rsidRDefault="00C949A5" w:rsidP="00C949A5">
      <w:pPr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C949A5" w:rsidRPr="005C26D4" w:rsidRDefault="00C949A5" w:rsidP="00C949A5">
      <w:pPr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5C26D4">
        <w:rPr>
          <w:rFonts w:ascii="Times New Roman" w:hAnsi="Times New Roman"/>
          <w:b/>
          <w:sz w:val="24"/>
          <w:szCs w:val="24"/>
          <w:lang w:val="bg-BG"/>
        </w:rPr>
        <w:t>ОБЯСНИТЕЛНА ЗАПИСКА</w:t>
      </w:r>
    </w:p>
    <w:p w:rsidR="00C949A5" w:rsidRPr="005C26D4" w:rsidRDefault="00C949A5" w:rsidP="00C949A5">
      <w:pPr>
        <w:rPr>
          <w:rFonts w:ascii="Times New Roman" w:hAnsi="Times New Roman"/>
          <w:sz w:val="24"/>
          <w:szCs w:val="24"/>
          <w:lang w:val="bg-BG"/>
        </w:rPr>
      </w:pPr>
    </w:p>
    <w:p w:rsidR="00C949A5" w:rsidRDefault="00C949A5" w:rsidP="00C949A5">
      <w:pPr>
        <w:overflowPunct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C26D4">
        <w:rPr>
          <w:rFonts w:ascii="Times New Roman" w:hAnsi="Times New Roman"/>
          <w:b/>
          <w:sz w:val="24"/>
          <w:szCs w:val="24"/>
          <w:lang w:val="bg-BG"/>
        </w:rPr>
        <w:t xml:space="preserve">към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тримесечната информация за разходите по бюджетни програми към 31.03.2022 г. </w:t>
      </w:r>
    </w:p>
    <w:p w:rsidR="00C949A5" w:rsidRDefault="00C949A5" w:rsidP="00C949A5">
      <w:pPr>
        <w:overflowPunct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277C03" w:rsidRP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277C03">
        <w:rPr>
          <w:rFonts w:ascii="Times New Roman" w:hAnsi="Times New Roman"/>
          <w:sz w:val="24"/>
          <w:szCs w:val="24"/>
          <w:lang w:val="bg-BG"/>
        </w:rPr>
        <w:t>Съгласно Решение № 892 на Министерския съвет от 30 декември 2021 година за предприемане на действия за подготовката на структурни и други промени в централната администрация на изпълнителната власт</w:t>
      </w:r>
      <w:r w:rsidR="00DD2F24">
        <w:rPr>
          <w:rFonts w:ascii="Times New Roman" w:hAnsi="Times New Roman"/>
          <w:sz w:val="24"/>
          <w:szCs w:val="24"/>
          <w:lang w:val="bg-BG"/>
        </w:rPr>
        <w:t>,</w:t>
      </w:r>
      <w:r w:rsidRPr="00277C03">
        <w:rPr>
          <w:rFonts w:ascii="Times New Roman" w:hAnsi="Times New Roman"/>
          <w:sz w:val="24"/>
          <w:szCs w:val="24"/>
          <w:lang w:val="bg-BG"/>
        </w:rPr>
        <w:t xml:space="preserve"> Изпълнителната агенция „Сертификационен одит на средствата от Европейските земеделски фондове“</w:t>
      </w:r>
      <w:r>
        <w:rPr>
          <w:rFonts w:ascii="Times New Roman" w:hAnsi="Times New Roman"/>
          <w:sz w:val="24"/>
          <w:szCs w:val="24"/>
          <w:lang w:val="bg-BG"/>
        </w:rPr>
        <w:t xml:space="preserve"> (ИАСОСЕЗФ)</w:t>
      </w:r>
      <w:r w:rsidRPr="00277C03">
        <w:rPr>
          <w:rFonts w:ascii="Times New Roman" w:hAnsi="Times New Roman"/>
          <w:sz w:val="24"/>
          <w:szCs w:val="24"/>
          <w:lang w:val="bg-BG"/>
        </w:rPr>
        <w:t xml:space="preserve"> следва да премине към Министерството на финансите, а Изпълнителната агенция по горите</w:t>
      </w:r>
      <w:r>
        <w:rPr>
          <w:rFonts w:ascii="Times New Roman" w:hAnsi="Times New Roman"/>
          <w:sz w:val="24"/>
          <w:szCs w:val="24"/>
          <w:lang w:val="bg-BG"/>
        </w:rPr>
        <w:t xml:space="preserve"> (ИАГ)</w:t>
      </w:r>
      <w:r w:rsidRPr="00277C03">
        <w:rPr>
          <w:rFonts w:ascii="Times New Roman" w:hAnsi="Times New Roman"/>
          <w:sz w:val="24"/>
          <w:szCs w:val="24"/>
          <w:lang w:val="bg-BG"/>
        </w:rPr>
        <w:t xml:space="preserve"> и Българската агенция по безопасност на 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(БАБХ)</w:t>
      </w:r>
      <w:r w:rsidRPr="00277C03">
        <w:rPr>
          <w:rFonts w:ascii="Times New Roman" w:hAnsi="Times New Roman"/>
          <w:sz w:val="24"/>
          <w:szCs w:val="24"/>
          <w:lang w:val="bg-BG"/>
        </w:rPr>
        <w:t xml:space="preserve">  следва  да преминат към Министерския съвет.</w:t>
      </w:r>
    </w:p>
    <w:p w:rsidR="00277C03" w:rsidRP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277C03">
        <w:rPr>
          <w:rFonts w:ascii="Times New Roman" w:hAnsi="Times New Roman"/>
          <w:sz w:val="24"/>
          <w:szCs w:val="24"/>
          <w:lang w:val="bg-BG"/>
        </w:rPr>
        <w:t>Към настоящия момент със Закона за държавния бюджет на Република България за 2022 г. бюджетите и на трите агенции са планирани както следва:</w:t>
      </w:r>
    </w:p>
    <w:p w:rsidR="00277C03" w:rsidRP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277C03">
        <w:rPr>
          <w:rFonts w:ascii="Times New Roman" w:hAnsi="Times New Roman"/>
          <w:sz w:val="24"/>
          <w:szCs w:val="24"/>
          <w:lang w:val="bg-BG"/>
        </w:rPr>
        <w:t>•</w:t>
      </w:r>
      <w:r w:rsidRPr="00277C03">
        <w:rPr>
          <w:rFonts w:ascii="Times New Roman" w:hAnsi="Times New Roman"/>
          <w:sz w:val="24"/>
          <w:szCs w:val="24"/>
          <w:lang w:val="bg-BG"/>
        </w:rPr>
        <w:tab/>
        <w:t>Бюджетните показатели по бюджета на Българска агенция по безопасност на храните и Изпълнителна агенция по горите са част бюджета на Министерския съвет за 2022 г.;</w:t>
      </w:r>
    </w:p>
    <w:p w:rsidR="00277C03" w:rsidRP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277C03">
        <w:rPr>
          <w:rFonts w:ascii="Times New Roman" w:hAnsi="Times New Roman"/>
          <w:sz w:val="24"/>
          <w:szCs w:val="24"/>
          <w:lang w:val="bg-BG"/>
        </w:rPr>
        <w:t>•</w:t>
      </w:r>
      <w:r w:rsidRPr="00277C03">
        <w:rPr>
          <w:rFonts w:ascii="Times New Roman" w:hAnsi="Times New Roman"/>
          <w:sz w:val="24"/>
          <w:szCs w:val="24"/>
          <w:lang w:val="bg-BG"/>
        </w:rPr>
        <w:tab/>
        <w:t>Бюджетните показатели по бюджета на Изпълнителна агенция „Сертификационен одит на Европейките земеделски фондове“ са част от бюджета на Министерство на финансите за 2022 г.</w:t>
      </w:r>
    </w:p>
    <w:p w:rsidR="00277C03" w:rsidRP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277C03">
        <w:rPr>
          <w:rFonts w:ascii="Times New Roman" w:hAnsi="Times New Roman"/>
          <w:sz w:val="24"/>
          <w:szCs w:val="24"/>
          <w:lang w:val="bg-BG"/>
        </w:rPr>
        <w:t>Разработените промени в нормативната уредба, касаещи структурните промени не са финализирани. Съгласно чл. 76 от ЗДБРБ за 2022 г. до извършването на структурните промени, произтичащи от приетата структура на Министерския съвет и от негови актове във връзка със структурни промени, структурите, които преминават към други разпоредители с бюджет, продължават да се финансират по досегашния ред чрез бюджетите на първостепенните разпоредители с бюджет, в чиято структура са към 31 декември 2021 г.</w:t>
      </w:r>
    </w:p>
    <w:p w:rsidR="00C949A5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277C03">
        <w:rPr>
          <w:rFonts w:ascii="Times New Roman" w:hAnsi="Times New Roman"/>
          <w:sz w:val="24"/>
          <w:szCs w:val="24"/>
          <w:lang w:val="bg-BG"/>
        </w:rPr>
        <w:t>Министерство на земеделието към настоящия момент събира и предоставя отчетна информация от тях за периода до окончателното им преструктуриране.</w:t>
      </w:r>
    </w:p>
    <w:p w:rsid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Във връзка с казаното до тук</w:t>
      </w:r>
      <w:r w:rsidR="00DD2F24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в колона</w:t>
      </w:r>
      <w:r w:rsidRPr="00277C03">
        <w:t xml:space="preserve"> </w:t>
      </w:r>
      <w:r w:rsidR="00555A58">
        <w:rPr>
          <w:lang w:val="bg-BG"/>
        </w:rPr>
        <w:t>„</w:t>
      </w:r>
      <w:r w:rsidRPr="00277C03">
        <w:rPr>
          <w:rFonts w:ascii="Times New Roman" w:hAnsi="Times New Roman"/>
          <w:sz w:val="24"/>
          <w:szCs w:val="24"/>
          <w:lang w:val="bg-BG"/>
        </w:rPr>
        <w:t>Закон 2022</w:t>
      </w:r>
      <w:r w:rsidR="00555A58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са отразени данните единствено за Министерство на земеделието съгласно чл.24 от Закона за държавния бюджет на Република България за 2022 г.</w:t>
      </w:r>
      <w:r w:rsidR="00555A58" w:rsidRPr="00555A58">
        <w:t xml:space="preserve"> </w:t>
      </w:r>
      <w:r w:rsidR="00555A58" w:rsidRPr="00555A58">
        <w:rPr>
          <w:rFonts w:ascii="Times New Roman" w:hAnsi="Times New Roman"/>
          <w:sz w:val="24"/>
          <w:szCs w:val="24"/>
          <w:lang w:val="bg-BG"/>
        </w:rPr>
        <w:t xml:space="preserve">Разпределението на разходите по бюджетни </w:t>
      </w:r>
      <w:r w:rsidR="00555A58" w:rsidRPr="00555A58">
        <w:rPr>
          <w:rFonts w:ascii="Times New Roman" w:hAnsi="Times New Roman"/>
          <w:sz w:val="24"/>
          <w:szCs w:val="24"/>
          <w:lang w:val="bg-BG"/>
        </w:rPr>
        <w:lastRenderedPageBreak/>
        <w:t>програми на МЗм е част от приложение № 1 към чл. 1 от Постановление на Министерския съвет № 31 от 17 март 2022 г. за изпълнението на държавния бюджет на Република България за 2022 г. (ПМС № 31/2022 г.)</w:t>
      </w:r>
      <w:r w:rsidR="00555A58">
        <w:rPr>
          <w:rFonts w:ascii="Times New Roman" w:hAnsi="Times New Roman"/>
          <w:sz w:val="24"/>
          <w:szCs w:val="24"/>
          <w:lang w:val="bg-BG"/>
        </w:rPr>
        <w:t>,</w:t>
      </w:r>
      <w:r w:rsidR="00555A58" w:rsidRPr="00555A58">
        <w:rPr>
          <w:rFonts w:ascii="Times New Roman" w:hAnsi="Times New Roman"/>
          <w:sz w:val="24"/>
          <w:szCs w:val="24"/>
          <w:lang w:val="bg-BG"/>
        </w:rPr>
        <w:t xml:space="preserve"> а именно точка 17.</w:t>
      </w:r>
    </w:p>
    <w:p w:rsidR="00277C03" w:rsidRPr="00277C03" w:rsidRDefault="00555A58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През отчетния период е извършена е</w:t>
      </w:r>
      <w:r w:rsidR="0097318D">
        <w:rPr>
          <w:rFonts w:ascii="Times New Roman" w:hAnsi="Times New Roman"/>
          <w:sz w:val="24"/>
          <w:szCs w:val="24"/>
          <w:lang w:val="bg-BG"/>
        </w:rPr>
        <w:t xml:space="preserve">дна промяна по бюджета на МЗм, свързана с </w:t>
      </w:r>
      <w:r w:rsidR="0097318D" w:rsidRPr="0097318D">
        <w:rPr>
          <w:rFonts w:ascii="Times New Roman" w:hAnsi="Times New Roman"/>
          <w:sz w:val="24"/>
          <w:szCs w:val="24"/>
          <w:lang w:val="bg-BG"/>
        </w:rPr>
        <w:t>Решение № 159 от 18 март 2022 година на Министерския съвет за увеличаване на капитала на еднолично акционерно дружество с държавно участие в капитала „Врана“ ЕАД и за възлагане на търговското дружество на задължения за изпълнение на цели на публичната п</w:t>
      </w:r>
      <w:r w:rsidR="00DD2F24">
        <w:rPr>
          <w:rFonts w:ascii="Times New Roman" w:hAnsi="Times New Roman"/>
          <w:sz w:val="24"/>
          <w:szCs w:val="24"/>
          <w:lang w:val="bg-BG"/>
        </w:rPr>
        <w:t>о</w:t>
      </w:r>
      <w:r w:rsidR="0097318D" w:rsidRPr="0097318D">
        <w:rPr>
          <w:rFonts w:ascii="Times New Roman" w:hAnsi="Times New Roman"/>
          <w:sz w:val="24"/>
          <w:szCs w:val="24"/>
          <w:lang w:val="bg-BG"/>
        </w:rPr>
        <w:t>литика и Постановление № 33 от 18 март 2022 година  на Министерския съвет за одобряване на промени по бюджета на Министерството на земеделието за 2022 г. във връзка с увеличаване на капитала на еднолично акционерно дружество с държавно</w:t>
      </w:r>
      <w:r w:rsidR="0097318D">
        <w:rPr>
          <w:rFonts w:ascii="Times New Roman" w:hAnsi="Times New Roman"/>
          <w:sz w:val="24"/>
          <w:szCs w:val="24"/>
          <w:lang w:val="bg-BG"/>
        </w:rPr>
        <w:t xml:space="preserve"> участие в капитала „Врана“ ЕАД. Същата не </w:t>
      </w:r>
      <w:r w:rsidR="00DD2F24">
        <w:rPr>
          <w:rFonts w:ascii="Times New Roman" w:hAnsi="Times New Roman"/>
          <w:sz w:val="24"/>
          <w:szCs w:val="24"/>
          <w:lang w:val="bg-BG"/>
        </w:rPr>
        <w:t>касае разходната част на бюджета.</w:t>
      </w:r>
    </w:p>
    <w:p w:rsidR="00277C03" w:rsidRPr="00F70F3B" w:rsidRDefault="00277C03" w:rsidP="00277C03">
      <w:pPr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0F3B">
        <w:rPr>
          <w:rFonts w:ascii="Times New Roman" w:hAnsi="Times New Roman"/>
          <w:sz w:val="24"/>
          <w:szCs w:val="24"/>
          <w:lang w:val="bg-BG"/>
        </w:rPr>
        <w:t xml:space="preserve">Представена е обобщена отчетна информация за първото тримесечие на 2022 г. за системата на Министерство на земеделието (МЗм), с включена отчетна информация за </w:t>
      </w:r>
      <w:r w:rsidR="0097318D" w:rsidRPr="00F70F3B">
        <w:rPr>
          <w:rFonts w:ascii="Times New Roman" w:hAnsi="Times New Roman"/>
          <w:sz w:val="24"/>
          <w:szCs w:val="24"/>
          <w:lang w:val="bg-BG"/>
        </w:rPr>
        <w:t>БАБХ, ИАГ и ИАСОСЗФ.</w:t>
      </w:r>
    </w:p>
    <w:p w:rsidR="0097318D" w:rsidRPr="00F70F3B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70F3B">
        <w:rPr>
          <w:rFonts w:ascii="Times New Roman" w:hAnsi="Times New Roman"/>
          <w:b/>
          <w:sz w:val="24"/>
          <w:szCs w:val="24"/>
          <w:lang w:val="bg-BG"/>
        </w:rPr>
        <w:t>Министерство на земеделието отчита разходи в изпълняваните три основни политики: Политика в областта на земеделието и селските райони; Политика в областта на рибарството и аквакултурите; Политика в областта на съхраняването и увеличаването на горите и дивеча и Бюджетна програма „Администрация“.</w:t>
      </w:r>
    </w:p>
    <w:p w:rsidR="0097318D" w:rsidRPr="00F70F3B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F70F3B">
        <w:rPr>
          <w:rFonts w:ascii="Times New Roman" w:hAnsi="Times New Roman"/>
          <w:sz w:val="24"/>
          <w:szCs w:val="24"/>
          <w:lang w:val="bg-BG"/>
        </w:rPr>
        <w:t>Стратегическите цели, които Министерство на земеделието, храните и горите си поставя при изпълнение на политиката в областта на земеделието и селските райони обхваща дейности в подкрепа на ефективното използване и опазване на земеделските земи и водите, съхраняване и подобряване на генетичните ресурси в растениевъдството и животновъдството и развитие на потенциала на двата подсектора за производство на конкурентоспособна продукция, консултации на земеделските производители, стабилизиране на пазарите на земеделска продукция и гарантиране на доходите на производителите, сигурност и безопасност по веригата на предлагане на храни.</w:t>
      </w:r>
    </w:p>
    <w:p w:rsidR="0097318D" w:rsidRPr="0097318D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97318D">
        <w:rPr>
          <w:rFonts w:ascii="Times New Roman" w:hAnsi="Times New Roman"/>
          <w:i/>
          <w:sz w:val="24"/>
          <w:szCs w:val="24"/>
          <w:u w:val="single"/>
          <w:lang w:val="bg-BG"/>
        </w:rPr>
        <w:t>Политика в областта на земеделието и селските райони</w:t>
      </w:r>
    </w:p>
    <w:p w:rsidR="0097318D" w:rsidRPr="0097318D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97318D">
        <w:rPr>
          <w:rFonts w:ascii="Times New Roman" w:hAnsi="Times New Roman"/>
          <w:sz w:val="24"/>
          <w:szCs w:val="24"/>
          <w:lang w:val="bg-BG"/>
        </w:rPr>
        <w:t xml:space="preserve">Политиката се изпълнява посредством 12 Бюджетни програми, а именно: Бюджетна програма „Земеделски земи”; Бюджетна програма „Природни ресурси в селските райони”; Бюджетна програма „Растениевъдство”; Бюджетна програма „Хидромелиорации”; Бюджетна програма „Животновъдство”; Бюджетна програма „Организация на пазарите и държавни помощи”; Бюджетна програма „Агростатистика, анализи и прогнози”; Бюджетна програма „Научни изследвания”; Бюджетна програма </w:t>
      </w:r>
      <w:r w:rsidRPr="0097318D">
        <w:rPr>
          <w:rFonts w:ascii="Times New Roman" w:hAnsi="Times New Roman"/>
          <w:sz w:val="24"/>
          <w:szCs w:val="24"/>
          <w:lang w:val="bg-BG"/>
        </w:rPr>
        <w:lastRenderedPageBreak/>
        <w:t>„Съвети и консултации”; Бюджетна програма „Земеделска техника”; Бюджетна програма „Безопасност по хранителната верига”; Бюджетна програма „Подобряване на живота в селските райони”.</w:t>
      </w:r>
    </w:p>
    <w:p w:rsidR="0097318D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63B7E">
        <w:rPr>
          <w:rFonts w:ascii="Times New Roman" w:hAnsi="Times New Roman"/>
          <w:sz w:val="24"/>
          <w:szCs w:val="24"/>
          <w:lang w:val="bg-BG"/>
        </w:rPr>
        <w:t>Разходи</w:t>
      </w:r>
      <w:r w:rsidR="00027F88">
        <w:rPr>
          <w:rFonts w:ascii="Times New Roman" w:hAnsi="Times New Roman"/>
          <w:sz w:val="24"/>
          <w:szCs w:val="24"/>
          <w:lang w:val="bg-BG"/>
        </w:rPr>
        <w:t>те</w:t>
      </w:r>
      <w:r w:rsidRPr="00763B7E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97318D">
        <w:rPr>
          <w:rFonts w:ascii="Times New Roman" w:hAnsi="Times New Roman"/>
          <w:sz w:val="24"/>
          <w:szCs w:val="24"/>
          <w:lang w:val="bg-BG"/>
        </w:rPr>
        <w:t>Българската агенция по безопасност на 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са намерили отражение и са част от разходите отчети по </w:t>
      </w:r>
      <w:r w:rsidRPr="0097318D">
        <w:rPr>
          <w:rFonts w:ascii="Times New Roman" w:hAnsi="Times New Roman"/>
          <w:sz w:val="24"/>
          <w:szCs w:val="24"/>
          <w:lang w:val="bg-BG"/>
        </w:rPr>
        <w:t>Бюджетна програма „Безопасност по хранителната верига”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63B7E">
        <w:rPr>
          <w:rFonts w:ascii="Times New Roman" w:hAnsi="Times New Roman"/>
          <w:sz w:val="24"/>
          <w:szCs w:val="24"/>
          <w:lang w:val="bg-BG"/>
        </w:rPr>
        <w:t>Всичко извършени разходи по бюджета на БАБХ за първото тримесечие на 2022 г.  са в размер на 15 269 059 лв. В таблицата по-долу са описани извършени разходи по показатели и параграфи на БАБХ.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80"/>
        <w:gridCol w:w="960"/>
        <w:gridCol w:w="1360"/>
        <w:gridCol w:w="1360"/>
        <w:gridCol w:w="1360"/>
      </w:tblGrid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П О К А З А Т Е Л 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§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Закон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Уточнен план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Отчет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 xml:space="preserve"> (в лева)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 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3 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РАЗХОДИ - ВСИЧКО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15 269 059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Общо разходи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15 269 059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1.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Общо ведомствени разходи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15 226 627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 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12 223 763</w:t>
            </w:r>
          </w:p>
        </w:tc>
      </w:tr>
      <w:tr w:rsidR="00763B7E" w:rsidRPr="00763B7E" w:rsidTr="00763B7E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     Заплати и възнаграждения за персонала, нает по трудови и</w:t>
            </w: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br/>
              <w:t xml:space="preserve">      служебни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01-00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8 775 335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     Други възнаграждения и плащания за персонала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02-00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612 570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     Задължителни осигурителни вноски от работодатели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05-00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2 835 858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     Издръжка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10-00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2 935 433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     Платени данъци, такси и административни санкции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19-00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67 431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2.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Администрирани разходни параграфи по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42 432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161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Текущи разходи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42 432</w:t>
            </w:r>
          </w:p>
        </w:tc>
      </w:tr>
      <w:tr w:rsidR="00763B7E" w:rsidRPr="00763B7E" w:rsidTr="00763B7E">
        <w:trPr>
          <w:trHeight w:val="12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200" w:firstLine="321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Програма за профилактика, надзор, контрол и ликвидиране на болести по животните и зоонози съгласно чл. 118 от Закона за ветеринарномедицинската дейност (§10-00)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10-00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42 432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Щатни бройки - общо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2 266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Средногодишни щатни бройки - общо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2 266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Щатни бройки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2 266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160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по трудови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333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160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по служебни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1 933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Средногодишни щатни бройки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bg-BG" w:eastAsia="bg-BG"/>
              </w:rPr>
              <w:t>2 266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160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по  трудови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333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160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по  служебни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1 933</w:t>
            </w:r>
          </w:p>
        </w:tc>
      </w:tr>
    </w:tbl>
    <w:p w:rsidR="00763B7E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97318D" w:rsidRPr="00763B7E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63B7E">
        <w:rPr>
          <w:rFonts w:ascii="Times New Roman" w:hAnsi="Times New Roman"/>
          <w:sz w:val="24"/>
          <w:szCs w:val="24"/>
          <w:lang w:val="bg-BG"/>
        </w:rPr>
        <w:t xml:space="preserve">През първото тримесечие на 2022 г. по </w:t>
      </w:r>
      <w:r w:rsidRPr="00763B7E">
        <w:rPr>
          <w:rFonts w:ascii="Times New Roman" w:hAnsi="Times New Roman"/>
          <w:i/>
          <w:sz w:val="24"/>
          <w:szCs w:val="24"/>
          <w:u w:val="single"/>
          <w:lang w:val="bg-BG"/>
        </w:rPr>
        <w:t>Политика в областта на рибарството и аквакултурите</w:t>
      </w:r>
      <w:r w:rsidRPr="00763B7E">
        <w:rPr>
          <w:rFonts w:ascii="Times New Roman" w:hAnsi="Times New Roman"/>
          <w:sz w:val="24"/>
          <w:szCs w:val="24"/>
          <w:lang w:val="bg-BG"/>
        </w:rPr>
        <w:t xml:space="preserve"> са отчетени разходи, свързани с изпълнението на заложените цели по програма „Рибарство и аквакултури“, в съответствие с основните приоритети и цели на </w:t>
      </w:r>
      <w:r w:rsidRPr="00763B7E">
        <w:rPr>
          <w:rFonts w:ascii="Times New Roman" w:hAnsi="Times New Roman"/>
          <w:sz w:val="24"/>
          <w:szCs w:val="24"/>
          <w:lang w:val="bg-BG"/>
        </w:rPr>
        <w:lastRenderedPageBreak/>
        <w:t>Общата политика в областта на рибарството на ЕС и осигуряването на възможности за развитие на сектор „Рибарство”, включително чрез прилагане на структурната политика в областта на рибарството.</w:t>
      </w:r>
    </w:p>
    <w:p w:rsidR="00763B7E" w:rsidRPr="0097318D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763B7E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63B7E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763B7E">
        <w:rPr>
          <w:rFonts w:ascii="Times New Roman" w:hAnsi="Times New Roman"/>
          <w:i/>
          <w:sz w:val="24"/>
          <w:szCs w:val="24"/>
          <w:u w:val="single"/>
          <w:lang w:val="bg-BG"/>
        </w:rPr>
        <w:t>Политика в областта на съхраняването и увеличаването на горите и дивеча</w:t>
      </w:r>
      <w:r w:rsidRPr="00763B7E">
        <w:rPr>
          <w:rFonts w:ascii="Times New Roman" w:hAnsi="Times New Roman"/>
          <w:sz w:val="24"/>
          <w:szCs w:val="24"/>
          <w:lang w:val="bg-BG"/>
        </w:rPr>
        <w:t xml:space="preserve"> се изпълняват дейности по две бюджетни програми – „Специализирани дейности в горските територии“ и „Планиране, опазване от посегателства, пожари и лесозащита“. </w:t>
      </w:r>
    </w:p>
    <w:p w:rsidR="00F31F0C" w:rsidRPr="00F31F0C" w:rsidRDefault="00F31F0C" w:rsidP="00F31F0C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F31F0C">
        <w:rPr>
          <w:rFonts w:ascii="Times New Roman" w:hAnsi="Times New Roman"/>
          <w:sz w:val="24"/>
          <w:szCs w:val="24"/>
          <w:lang w:val="bg-BG"/>
        </w:rPr>
        <w:t>Изразходваните средства в тези програми са свързани основно с извършените от Изпълнителна агенция по горите разходи за проверки, с цел контролната дейност в горите, издаване на удостоверения, обслужване на собственици на гори, одобряване и регистрация на базови източници за производство на семена и други горски репродуктивни материали, издадени сертификати, лесопат</w:t>
      </w:r>
      <w:r w:rsidR="00DD2F24">
        <w:rPr>
          <w:rFonts w:ascii="Times New Roman" w:hAnsi="Times New Roman"/>
          <w:sz w:val="24"/>
          <w:szCs w:val="24"/>
          <w:lang w:val="bg-BG"/>
        </w:rPr>
        <w:t>о</w:t>
      </w:r>
      <w:r w:rsidRPr="00F31F0C">
        <w:rPr>
          <w:rFonts w:ascii="Times New Roman" w:hAnsi="Times New Roman"/>
          <w:sz w:val="24"/>
          <w:szCs w:val="24"/>
          <w:lang w:val="bg-BG"/>
        </w:rPr>
        <w:t>логично обследване, мероприятия по опазване на биологичното разнообразие, изграждане и реконструиране на архитектурни обекти и елементи, периодични издания на списание „Гора“, инвентаризация и областно планиране в горските територии и подобряване устойчивостта и здравословното състояние на горите.</w:t>
      </w:r>
    </w:p>
    <w:p w:rsidR="00F31F0C" w:rsidRPr="00F31F0C" w:rsidRDefault="00F31F0C" w:rsidP="00F31F0C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F31F0C">
        <w:rPr>
          <w:rFonts w:ascii="Times New Roman" w:hAnsi="Times New Roman"/>
          <w:sz w:val="24"/>
          <w:szCs w:val="24"/>
          <w:lang w:val="bg-BG"/>
        </w:rPr>
        <w:t>Разходите на ИАГ са представени в таблицата по-долу, отчетени по бюджетните програми на МЗм, както следва:</w:t>
      </w:r>
    </w:p>
    <w:p w:rsidR="00763B7E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4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5204"/>
        <w:gridCol w:w="1332"/>
        <w:gridCol w:w="634"/>
        <w:gridCol w:w="873"/>
        <w:gridCol w:w="992"/>
      </w:tblGrid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2200.03.01</w:t>
            </w:r>
          </w:p>
        </w:tc>
        <w:tc>
          <w:tcPr>
            <w:tcW w:w="6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БЮДЖЕТНА ПРОГРАМА „СПЕЦИАЛИЗИРАНИ ДЕЙНОСТИ В </w:t>
            </w:r>
            <w:r w:rsid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</w:t>
            </w: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ГОРСКИТЕ ТЕРИТОРИИ”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763B7E" w:rsidRPr="00763B7E" w:rsidTr="00763B7E">
        <w:trPr>
          <w:trHeight w:val="2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2200.03.00</w:t>
            </w:r>
          </w:p>
        </w:tc>
        <w:tc>
          <w:tcPr>
            <w:tcW w:w="6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F0C" w:rsidRDefault="00F31F0C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КЪМ ОБЛАСТ НА ПОЛИТИКА „ СЪХРАНЯВАНЕ И УВЕЛИЧАВАНЕ НА ГОРИТЕ И ДИВЕЧА”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П О К А З А Т Е Л 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§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Закон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Уточнен 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Отчет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 xml:space="preserve"> (в лева)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7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 A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1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3 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РАЗХОДИ - ВСИЧКО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5 886 155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разходи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5 886 155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1.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ведомствени разходи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5 886 155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Персонал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4 680 798</w:t>
            </w:r>
          </w:p>
        </w:tc>
      </w:tr>
      <w:tr w:rsidR="00763B7E" w:rsidRPr="00763B7E" w:rsidTr="00763B7E">
        <w:trPr>
          <w:trHeight w:val="76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Заплати и възнаграждения за персонала, нает по трудови и</w:t>
            </w: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br/>
              <w:t xml:space="preserve">      служебни правоотношения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01-00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3 555 930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Други възнаграждения и плащания за персонала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02-00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167 211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Задължителни осигурителни вноски от работодатели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05-00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957 657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Издръжка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10-00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1 091 921</w:t>
            </w:r>
          </w:p>
        </w:tc>
      </w:tr>
      <w:tr w:rsidR="00763B7E" w:rsidRPr="00763B7E" w:rsidTr="00763B7E">
        <w:trPr>
          <w:trHeight w:val="51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lastRenderedPageBreak/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Платени данъци, такси и административни санкции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19-00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113 436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Щатни бройки - общо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950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Средногодишни щатни бройки - общо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956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Щатни бройки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950</w:t>
            </w:r>
          </w:p>
        </w:tc>
      </w:tr>
      <w:tr w:rsidR="00763B7E" w:rsidRPr="00763B7E" w:rsidTr="00F31F0C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по трудови правоотношения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540</w:t>
            </w:r>
          </w:p>
        </w:tc>
      </w:tr>
      <w:tr w:rsidR="00763B7E" w:rsidRPr="00763B7E" w:rsidTr="00F31F0C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по служебни правоотношения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410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Средногодишни щатни бройки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956</w:t>
            </w:r>
          </w:p>
        </w:tc>
      </w:tr>
      <w:tr w:rsidR="00763B7E" w:rsidRPr="00763B7E" w:rsidTr="00F31F0C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по  трудови правоотношения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541</w:t>
            </w:r>
          </w:p>
        </w:tc>
      </w:tr>
      <w:tr w:rsidR="00763B7E" w:rsidRPr="00763B7E" w:rsidTr="00F31F0C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по  служебни правоотношения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415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2200.03.02</w:t>
            </w:r>
          </w:p>
        </w:tc>
        <w:tc>
          <w:tcPr>
            <w:tcW w:w="6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763B7E" w:rsidRPr="00763B7E" w:rsidTr="00763B7E">
        <w:trPr>
          <w:trHeight w:val="2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2200.03.00</w:t>
            </w:r>
          </w:p>
        </w:tc>
        <w:tc>
          <w:tcPr>
            <w:tcW w:w="6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КЪМ ОБЛАСТ НА ПОЛИТИКА „ СЪХРАНЯВАНЕ И УВЕЛИЧАВАНЕ НА ГОРИТЕ И ДИВЕЧА”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П О К А З А Т Е Л 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§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Закон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Уточнен 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Отчет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 xml:space="preserve"> (в лева)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7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 A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1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lang w:val="bg-BG" w:eastAsia="bg-BG"/>
              </w:rPr>
              <w:t xml:space="preserve">3 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РАЗХОДИ - ВСИЧКО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1 229 656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разходи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1 229 656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1.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ведомствени разходи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1 229 656</w:t>
            </w:r>
          </w:p>
        </w:tc>
      </w:tr>
      <w:tr w:rsidR="00763B7E" w:rsidRPr="00763B7E" w:rsidTr="00763B7E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Издръжка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10-00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1 229 656</w:t>
            </w:r>
          </w:p>
        </w:tc>
      </w:tr>
      <w:tr w:rsidR="00763B7E" w:rsidRPr="00763B7E" w:rsidTr="00F31F0C">
        <w:trPr>
          <w:trHeight w:val="255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 xml:space="preserve">       - разходи за външни услуги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10-20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3B7E" w:rsidRPr="00763B7E" w:rsidRDefault="00763B7E" w:rsidP="00763B7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63B7E">
              <w:rPr>
                <w:rFonts w:ascii="Times New Roman" w:eastAsia="Times New Roman" w:hAnsi="Times New Roman"/>
                <w:color w:val="000000"/>
                <w:lang w:val="bg-BG" w:eastAsia="bg-BG"/>
              </w:rPr>
              <w:t>1 229 656</w:t>
            </w:r>
          </w:p>
        </w:tc>
      </w:tr>
    </w:tbl>
    <w:p w:rsidR="00763B7E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63B7E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63B7E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763B7E" w:rsidRPr="0097318D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97318D" w:rsidRPr="00F31F0C" w:rsidRDefault="0097318D" w:rsidP="00F31F0C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  <w:r w:rsidRPr="00EC1E22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EC1E22">
        <w:rPr>
          <w:rFonts w:ascii="Times New Roman" w:hAnsi="Times New Roman"/>
          <w:i/>
          <w:sz w:val="24"/>
          <w:szCs w:val="24"/>
          <w:u w:val="single"/>
          <w:lang w:val="bg-BG"/>
        </w:rPr>
        <w:t>бюджетна програма „Администрация“,</w:t>
      </w:r>
      <w:r w:rsidRPr="00EC1E22">
        <w:rPr>
          <w:rFonts w:ascii="Times New Roman" w:hAnsi="Times New Roman"/>
          <w:sz w:val="24"/>
          <w:szCs w:val="24"/>
          <w:lang w:val="bg-BG"/>
        </w:rPr>
        <w:t xml:space="preserve"> са отчетени изразходените средства обслужващи дейности, свързани с подпомагане изпълнението на всички останали програми, изграждащи структурата на бюджета, както и звената на пряко подчинение на министъра.</w:t>
      </w:r>
      <w:r w:rsidR="00F31F0C" w:rsidRPr="00EC1E22">
        <w:rPr>
          <w:rFonts w:ascii="Times New Roman" w:hAnsi="Times New Roman"/>
          <w:sz w:val="24"/>
          <w:szCs w:val="24"/>
          <w:lang w:val="bg-BG"/>
        </w:rPr>
        <w:t xml:space="preserve"> Тук са намерили и отражение, разходите извършени към 31.03.2022 г. от </w:t>
      </w:r>
      <w:bookmarkStart w:id="0" w:name="_GoBack"/>
      <w:bookmarkEnd w:id="0"/>
      <w:r w:rsidR="00F31F0C" w:rsidRPr="00F31F0C">
        <w:rPr>
          <w:rFonts w:ascii="Times New Roman" w:hAnsi="Times New Roman"/>
          <w:sz w:val="24"/>
          <w:szCs w:val="24"/>
          <w:lang w:val="bg-BG"/>
        </w:rPr>
        <w:t>Изпълнителната агенция „Сертификационен одит на средствата от Европейските</w:t>
      </w:r>
      <w:r w:rsidR="00F31F0C">
        <w:rPr>
          <w:rFonts w:ascii="Times New Roman" w:hAnsi="Times New Roman"/>
          <w:sz w:val="24"/>
          <w:szCs w:val="24"/>
          <w:lang w:val="bg-BG"/>
        </w:rPr>
        <w:t xml:space="preserve"> земеделски фондове“.  Разходите са на ИАСОСЕЗФ са представени в таблицата по-долу:</w:t>
      </w:r>
    </w:p>
    <w:tbl>
      <w:tblPr>
        <w:tblW w:w="8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920"/>
        <w:gridCol w:w="760"/>
        <w:gridCol w:w="900"/>
        <w:gridCol w:w="1340"/>
        <w:gridCol w:w="1360"/>
      </w:tblGrid>
      <w:tr w:rsidR="00F31F0C" w:rsidRPr="00F31F0C" w:rsidTr="00F31F0C">
        <w:trPr>
          <w:trHeight w:val="27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2200.04.00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БЮДЖЕТНА ПРОГРАМА „АДМИНИСТРАЦИЯ”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</w:tr>
      <w:tr w:rsidR="00F31F0C" w:rsidRPr="00F31F0C" w:rsidTr="00F31F0C">
        <w:trPr>
          <w:trHeight w:val="4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П О К А З А Т Е Л 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Закон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Уточнен план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Отчет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 xml:space="preserve"> (в лева)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</w:tr>
      <w:tr w:rsidR="00F31F0C" w:rsidRPr="00F31F0C" w:rsidTr="00F31F0C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 xml:space="preserve"> 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 xml:space="preserve">1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 xml:space="preserve">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 xml:space="preserve">3 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РАЗХОДИ - ВСИЧКО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609 288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разходи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609 288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1.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ведомствени разходи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609 288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Персонал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573 322</w:t>
            </w:r>
          </w:p>
        </w:tc>
      </w:tr>
      <w:tr w:rsidR="00F31F0C" w:rsidRPr="00F31F0C" w:rsidTr="00F31F0C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lastRenderedPageBreak/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Заплати и възнаграждения за персонала, нает по трудови и</w:t>
            </w: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br/>
              <w:t xml:space="preserve">      служебни правоотношения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01-00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466 511</w:t>
            </w:r>
          </w:p>
        </w:tc>
      </w:tr>
      <w:tr w:rsidR="00F31F0C" w:rsidRPr="00F31F0C" w:rsidTr="00F31F0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Други възнаграждения и плащания за персонала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02-00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7 816</w:t>
            </w:r>
          </w:p>
        </w:tc>
      </w:tr>
      <w:tr w:rsidR="00F31F0C" w:rsidRPr="00F31F0C" w:rsidTr="00F31F0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Задължителни осигурителни вноски от работодатели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05-00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98 995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Издръжка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10-00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35 578</w:t>
            </w:r>
          </w:p>
        </w:tc>
      </w:tr>
      <w:tr w:rsidR="00F31F0C" w:rsidRPr="00F31F0C" w:rsidTr="00F31F0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Платени данъци, такси и административни санкции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19-00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388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Щатни бройки - общо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F31F0C" w:rsidRPr="00F31F0C" w:rsidTr="00F31F0C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Средногодишни щатни бройки - общо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Щатни бройки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по трудови правоотношения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1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по служебни правоотношения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33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Средногодишни щатни бройки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по  трудови правоотношения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1</w:t>
            </w:r>
          </w:p>
        </w:tc>
      </w:tr>
      <w:tr w:rsidR="00F31F0C" w:rsidRPr="00F31F0C" w:rsidTr="00F31F0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по  служебни правоотношения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F0C" w:rsidRPr="00F31F0C" w:rsidRDefault="00F31F0C" w:rsidP="00F31F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F31F0C">
              <w:rPr>
                <w:rFonts w:ascii="Times New Roman" w:eastAsia="Times New Roman" w:hAnsi="Times New Roman"/>
                <w:color w:val="000000"/>
                <w:lang w:val="bg-BG" w:eastAsia="bg-BG"/>
              </w:rPr>
              <w:t>33</w:t>
            </w:r>
          </w:p>
        </w:tc>
      </w:tr>
    </w:tbl>
    <w:p w:rsidR="00F31F0C" w:rsidRDefault="00F31F0C" w:rsidP="00277C03">
      <w:pPr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77C03" w:rsidRPr="005C26D4" w:rsidRDefault="00277C03" w:rsidP="00277C03">
      <w:pPr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26028B" w:rsidRDefault="0026028B"/>
    <w:sectPr w:rsidR="00260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DE"/>
    <w:rsid w:val="00027F88"/>
    <w:rsid w:val="0026028B"/>
    <w:rsid w:val="0027191C"/>
    <w:rsid w:val="00277C03"/>
    <w:rsid w:val="00555A58"/>
    <w:rsid w:val="00763B7E"/>
    <w:rsid w:val="007F7FB3"/>
    <w:rsid w:val="0097318D"/>
    <w:rsid w:val="00C949A5"/>
    <w:rsid w:val="00DD2F24"/>
    <w:rsid w:val="00EC1E22"/>
    <w:rsid w:val="00F31F0C"/>
    <w:rsid w:val="00F35FDE"/>
    <w:rsid w:val="00F7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PMingLiU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PMingLiU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MStoimenova</dc:creator>
  <cp:keywords/>
  <dc:description/>
  <cp:lastModifiedBy>Eli Apostolova</cp:lastModifiedBy>
  <cp:revision>8</cp:revision>
  <dcterms:created xsi:type="dcterms:W3CDTF">2022-04-27T09:48:00Z</dcterms:created>
  <dcterms:modified xsi:type="dcterms:W3CDTF">2022-04-27T13:45:00Z</dcterms:modified>
</cp:coreProperties>
</file>