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E927C" w14:textId="77777777" w:rsidR="00B7615F" w:rsidRPr="00FA6786" w:rsidRDefault="00B7615F" w:rsidP="00791447">
      <w:pPr>
        <w:widowControl w:val="0"/>
        <w:autoSpaceDE w:val="0"/>
        <w:autoSpaceDN w:val="0"/>
        <w:adjustRightInd w:val="0"/>
        <w:spacing w:line="360" w:lineRule="auto"/>
        <w:rPr>
          <w:b/>
          <w:caps/>
          <w:spacing w:val="3"/>
          <w:lang w:eastAsia="en-US"/>
        </w:rPr>
      </w:pPr>
    </w:p>
    <w:p w14:paraId="1E88F96F" w14:textId="77777777" w:rsidR="008E7ACB" w:rsidRPr="009908C5" w:rsidRDefault="008E7ACB">
      <w:pPr>
        <w:rPr>
          <w:lang w:val="ru-RU"/>
        </w:rPr>
      </w:pPr>
      <w:bookmarkStart w:id="0" w:name="_GoBack"/>
      <w:bookmarkEnd w:id="0"/>
    </w:p>
    <w:p w14:paraId="07D5EA80" w14:textId="77777777" w:rsidR="00291E9B" w:rsidRPr="009908C5" w:rsidRDefault="00291E9B">
      <w:pPr>
        <w:rPr>
          <w:lang w:val="ru-RU"/>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080E14"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080E14" w:rsidRDefault="00C975B4" w:rsidP="00463C08">
            <w:pPr>
              <w:tabs>
                <w:tab w:val="left" w:pos="2190"/>
              </w:tabs>
              <w:spacing w:before="120" w:line="360" w:lineRule="auto"/>
              <w:ind w:left="340" w:right="340"/>
              <w:jc w:val="center"/>
              <w:rPr>
                <w:b/>
                <w:spacing w:val="60"/>
                <w:sz w:val="28"/>
                <w:szCs w:val="28"/>
              </w:rPr>
            </w:pPr>
            <w:r w:rsidRPr="00080E14">
              <w:rPr>
                <w:b/>
                <w:spacing w:val="60"/>
                <w:sz w:val="28"/>
                <w:szCs w:val="28"/>
              </w:rPr>
              <w:t>СПРАВКА</w:t>
            </w:r>
          </w:p>
          <w:p w14:paraId="59B61895" w14:textId="75901545" w:rsidR="00E220AD" w:rsidRPr="00080E14" w:rsidRDefault="00643D87" w:rsidP="00463C08">
            <w:pPr>
              <w:spacing w:line="360" w:lineRule="auto"/>
              <w:ind w:left="340" w:right="340"/>
              <w:jc w:val="center"/>
              <w:rPr>
                <w:b/>
              </w:rPr>
            </w:pPr>
            <w:r w:rsidRPr="00080E14">
              <w:rPr>
                <w:b/>
              </w:rPr>
              <w:t xml:space="preserve">ЗА ОТРАЗЯВАНЕ НА ПОСТЪПИЛИТЕ ПРЕДЛОЖЕНИЯ ОТ ОБЩЕСТВЕНИТЕ КОНСУЛТАЦИИ НА ПРОЕКТА НА </w:t>
            </w:r>
            <w:r w:rsidR="00BC5D3C" w:rsidRPr="00080E14">
              <w:rPr>
                <w:b/>
              </w:rPr>
              <w:t xml:space="preserve">НАРЕДБА ЗА </w:t>
            </w:r>
            <w:r w:rsidR="009608E4" w:rsidRPr="00080E14">
              <w:rPr>
                <w:b/>
              </w:rPr>
              <w:br/>
            </w:r>
            <w:r w:rsidR="009908C5">
              <w:rPr>
                <w:b/>
              </w:rPr>
              <w:t xml:space="preserve">ИЗМЕНЕНИЕ И </w:t>
            </w:r>
            <w:r w:rsidR="00BC5D3C" w:rsidRPr="00080E14">
              <w:rPr>
                <w:b/>
              </w:rPr>
              <w:t>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w:t>
            </w:r>
          </w:p>
        </w:tc>
      </w:tr>
    </w:tbl>
    <w:p w14:paraId="765B3825" w14:textId="77777777" w:rsidR="00291E9B" w:rsidRPr="00080E14"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080E14" w14:paraId="093D5517" w14:textId="77777777" w:rsidTr="00B01EFD">
        <w:trPr>
          <w:trHeight w:val="565"/>
          <w:tblHeader/>
          <w:jc w:val="center"/>
        </w:trPr>
        <w:tc>
          <w:tcPr>
            <w:tcW w:w="622" w:type="dxa"/>
            <w:tcBorders>
              <w:bottom w:val="single" w:sz="18" w:space="0" w:color="2E74B5"/>
            </w:tcBorders>
            <w:shd w:val="clear" w:color="auto" w:fill="DEEAF6"/>
            <w:vAlign w:val="center"/>
          </w:tcPr>
          <w:p w14:paraId="2485CE37" w14:textId="77777777" w:rsidR="00E220AD" w:rsidRPr="00080E14" w:rsidRDefault="00E220AD" w:rsidP="00E220AD">
            <w:pPr>
              <w:tabs>
                <w:tab w:val="left" w:pos="192"/>
              </w:tabs>
              <w:jc w:val="center"/>
              <w:rPr>
                <w:b/>
                <w:sz w:val="23"/>
                <w:szCs w:val="23"/>
              </w:rPr>
            </w:pPr>
            <w:r w:rsidRPr="00080E14">
              <w:rPr>
                <w:b/>
                <w:sz w:val="23"/>
                <w:szCs w:val="23"/>
              </w:rPr>
              <w:t>№</w:t>
            </w:r>
          </w:p>
        </w:tc>
        <w:tc>
          <w:tcPr>
            <w:tcW w:w="2410" w:type="dxa"/>
            <w:tcBorders>
              <w:bottom w:val="single" w:sz="18" w:space="0" w:color="2E74B5"/>
            </w:tcBorders>
            <w:shd w:val="clear" w:color="auto" w:fill="DEEAF6"/>
            <w:vAlign w:val="center"/>
          </w:tcPr>
          <w:p w14:paraId="3C44E7AD" w14:textId="77777777" w:rsidR="00E220AD" w:rsidRPr="00080E14" w:rsidRDefault="00E220AD" w:rsidP="00E220AD">
            <w:pPr>
              <w:jc w:val="center"/>
              <w:rPr>
                <w:b/>
                <w:sz w:val="23"/>
                <w:szCs w:val="23"/>
              </w:rPr>
            </w:pPr>
            <w:r w:rsidRPr="00080E14">
              <w:rPr>
                <w:b/>
                <w:sz w:val="23"/>
                <w:szCs w:val="23"/>
              </w:rPr>
              <w:t>Организация/</w:t>
            </w:r>
            <w:r w:rsidR="00E10FC0" w:rsidRPr="00080E14">
              <w:rPr>
                <w:b/>
                <w:sz w:val="23"/>
                <w:szCs w:val="23"/>
              </w:rPr>
              <w:br/>
            </w:r>
            <w:r w:rsidRPr="00080E14">
              <w:rPr>
                <w:b/>
                <w:sz w:val="23"/>
                <w:szCs w:val="23"/>
              </w:rPr>
              <w:t>потребител</w:t>
            </w:r>
          </w:p>
          <w:p w14:paraId="3A78AD91" w14:textId="77777777" w:rsidR="005424B9" w:rsidRPr="00080E14" w:rsidRDefault="00291E9B" w:rsidP="00291E9B">
            <w:pPr>
              <w:jc w:val="center"/>
              <w:rPr>
                <w:b/>
                <w:sz w:val="16"/>
                <w:szCs w:val="16"/>
              </w:rPr>
            </w:pPr>
            <w:r w:rsidRPr="00080E14">
              <w:rPr>
                <w:b/>
                <w:sz w:val="16"/>
                <w:szCs w:val="16"/>
              </w:rPr>
              <w:t>(</w:t>
            </w:r>
            <w:r w:rsidR="005424B9" w:rsidRPr="00080E14">
              <w:rPr>
                <w:b/>
                <w:sz w:val="16"/>
                <w:szCs w:val="16"/>
              </w:rPr>
              <w:t>вкл. начина на получаване на предложението</w:t>
            </w:r>
            <w:r w:rsidRPr="00080E14">
              <w:rPr>
                <w:b/>
                <w:sz w:val="16"/>
                <w:szCs w:val="16"/>
              </w:rPr>
              <w:t>)</w:t>
            </w:r>
          </w:p>
        </w:tc>
        <w:tc>
          <w:tcPr>
            <w:tcW w:w="6467" w:type="dxa"/>
            <w:shd w:val="clear" w:color="auto" w:fill="DEEAF6"/>
            <w:vAlign w:val="center"/>
          </w:tcPr>
          <w:p w14:paraId="42A765B9" w14:textId="75CE683E" w:rsidR="00E220AD" w:rsidRPr="00080E14" w:rsidRDefault="005542D4" w:rsidP="00E220AD">
            <w:pPr>
              <w:jc w:val="center"/>
              <w:rPr>
                <w:b/>
                <w:sz w:val="23"/>
                <w:szCs w:val="23"/>
              </w:rPr>
            </w:pPr>
            <w:r w:rsidRPr="00080E14">
              <w:rPr>
                <w:b/>
                <w:sz w:val="23"/>
                <w:szCs w:val="23"/>
              </w:rPr>
              <w:t>Бележки и предложения</w:t>
            </w:r>
          </w:p>
        </w:tc>
        <w:tc>
          <w:tcPr>
            <w:tcW w:w="1613" w:type="dxa"/>
            <w:shd w:val="clear" w:color="auto" w:fill="DEEAF6"/>
            <w:vAlign w:val="center"/>
          </w:tcPr>
          <w:p w14:paraId="2AF64014" w14:textId="77777777" w:rsidR="00E220AD" w:rsidRPr="00080E14" w:rsidRDefault="00E220AD" w:rsidP="00E220AD">
            <w:pPr>
              <w:jc w:val="center"/>
              <w:rPr>
                <w:b/>
                <w:sz w:val="23"/>
                <w:szCs w:val="23"/>
              </w:rPr>
            </w:pPr>
            <w:r w:rsidRPr="00080E14">
              <w:rPr>
                <w:b/>
                <w:sz w:val="23"/>
                <w:szCs w:val="23"/>
              </w:rPr>
              <w:t>Приети/</w:t>
            </w:r>
          </w:p>
          <w:p w14:paraId="4404F8E3" w14:textId="77777777" w:rsidR="00E220AD" w:rsidRPr="00080E14" w:rsidRDefault="00E220AD" w:rsidP="00E220AD">
            <w:pPr>
              <w:jc w:val="center"/>
              <w:rPr>
                <w:b/>
                <w:sz w:val="23"/>
                <w:szCs w:val="23"/>
              </w:rPr>
            </w:pPr>
            <w:r w:rsidRPr="00080E14">
              <w:rPr>
                <w:b/>
                <w:sz w:val="23"/>
                <w:szCs w:val="23"/>
              </w:rPr>
              <w:t>неприети</w:t>
            </w:r>
          </w:p>
        </w:tc>
        <w:tc>
          <w:tcPr>
            <w:tcW w:w="4538" w:type="dxa"/>
            <w:shd w:val="clear" w:color="auto" w:fill="DEEAF6"/>
            <w:vAlign w:val="center"/>
          </w:tcPr>
          <w:p w14:paraId="0DCCEA18" w14:textId="77777777" w:rsidR="00E220AD" w:rsidRPr="00080E14" w:rsidRDefault="00E220AD" w:rsidP="00E220AD">
            <w:pPr>
              <w:jc w:val="center"/>
              <w:rPr>
                <w:sz w:val="23"/>
                <w:szCs w:val="23"/>
              </w:rPr>
            </w:pPr>
            <w:r w:rsidRPr="00080E14">
              <w:rPr>
                <w:b/>
                <w:sz w:val="23"/>
                <w:szCs w:val="23"/>
              </w:rPr>
              <w:t>Мотиви</w:t>
            </w:r>
          </w:p>
        </w:tc>
      </w:tr>
      <w:tr w:rsidR="00166D69" w:rsidRPr="00080E14" w14:paraId="4FBF83AF" w14:textId="77777777" w:rsidTr="00B01EFD">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14:paraId="4C1315D3" w14:textId="77777777" w:rsidR="00166D69" w:rsidRPr="00080E14" w:rsidRDefault="00166D69" w:rsidP="00E902C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14:paraId="36BA7B90" w14:textId="3D7D197F" w:rsidR="00166D69" w:rsidRPr="00080E14" w:rsidRDefault="002507A0" w:rsidP="002507A0">
            <w:pPr>
              <w:rPr>
                <w:bCs/>
                <w:sz w:val="23"/>
                <w:szCs w:val="23"/>
              </w:rPr>
            </w:pPr>
            <w:r w:rsidRPr="002507A0">
              <w:rPr>
                <w:bCs/>
                <w:sz w:val="23"/>
                <w:szCs w:val="23"/>
              </w:rPr>
              <w:t>mig_kostenets</w:t>
            </w:r>
            <w:r>
              <w:rPr>
                <w:bCs/>
                <w:sz w:val="23"/>
                <w:szCs w:val="23"/>
              </w:rPr>
              <w:t xml:space="preserve"> – получено на 06.04.2022 г. от Портала за обществени консултации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1AAAC10" w14:textId="77777777" w:rsidR="002507A0" w:rsidRPr="002507A0" w:rsidRDefault="002507A0" w:rsidP="002507A0">
            <w:pPr>
              <w:jc w:val="both"/>
              <w:outlineLvl w:val="3"/>
              <w:rPr>
                <w:bCs/>
                <w:lang w:eastAsia="en-US"/>
              </w:rPr>
            </w:pPr>
            <w:r w:rsidRPr="002507A0">
              <w:rPr>
                <w:bCs/>
                <w:lang w:eastAsia="en-US"/>
              </w:rPr>
              <w:t>Предлагаме в Приложение № 2 към чл. 7, ал. 1 (Документи за авансово плащане) от Наредба 4/2018 г. да бъде изменена точка 5, като досегашният текст:</w:t>
            </w:r>
          </w:p>
          <w:p w14:paraId="4E530B92" w14:textId="77777777" w:rsidR="002507A0" w:rsidRPr="002507A0" w:rsidRDefault="002507A0" w:rsidP="002507A0">
            <w:pPr>
              <w:jc w:val="both"/>
              <w:outlineLvl w:val="3"/>
              <w:rPr>
                <w:bCs/>
                <w:lang w:eastAsia="en-US"/>
              </w:rPr>
            </w:pPr>
            <w:r w:rsidRPr="002507A0">
              <w:rPr>
                <w:bCs/>
                <w:lang w:eastAsia="en-US"/>
              </w:rPr>
              <w:t>5. Запис на заповед по образец (приложимо за бенефициенти общини и местни инициативни групи).</w:t>
            </w:r>
          </w:p>
          <w:p w14:paraId="20CEAD01" w14:textId="77777777" w:rsidR="002507A0" w:rsidRPr="002507A0" w:rsidRDefault="002507A0" w:rsidP="002507A0">
            <w:pPr>
              <w:jc w:val="both"/>
              <w:outlineLvl w:val="3"/>
              <w:rPr>
                <w:bCs/>
                <w:lang w:eastAsia="en-US"/>
              </w:rPr>
            </w:pPr>
            <w:r w:rsidRPr="002507A0">
              <w:rPr>
                <w:bCs/>
                <w:lang w:eastAsia="en-US"/>
              </w:rPr>
              <w:t>Да бъде изменен на:</w:t>
            </w:r>
          </w:p>
          <w:p w14:paraId="465102A2" w14:textId="77777777" w:rsidR="002507A0" w:rsidRPr="002507A0" w:rsidRDefault="002507A0" w:rsidP="002507A0">
            <w:pPr>
              <w:jc w:val="both"/>
              <w:outlineLvl w:val="3"/>
              <w:rPr>
                <w:bCs/>
                <w:lang w:eastAsia="en-US"/>
              </w:rPr>
            </w:pPr>
            <w:r w:rsidRPr="002507A0">
              <w:rPr>
                <w:bCs/>
                <w:lang w:eastAsia="en-US"/>
              </w:rPr>
              <w:t>5. Запис на заповед по образец (приложимо за бенефициенти общини, читалища и местни инициативни групи).</w:t>
            </w:r>
          </w:p>
          <w:p w14:paraId="7D6FBED9" w14:textId="77777777" w:rsidR="002507A0" w:rsidRPr="002507A0" w:rsidRDefault="002507A0" w:rsidP="002507A0">
            <w:pPr>
              <w:jc w:val="both"/>
              <w:outlineLvl w:val="3"/>
              <w:rPr>
                <w:bCs/>
                <w:lang w:eastAsia="en-US"/>
              </w:rPr>
            </w:pPr>
            <w:r w:rsidRPr="002507A0">
              <w:rPr>
                <w:bCs/>
                <w:lang w:eastAsia="en-US"/>
              </w:rPr>
              <w:t>Мотиви:</w:t>
            </w:r>
          </w:p>
          <w:p w14:paraId="78E7BA91" w14:textId="77777777" w:rsidR="002507A0" w:rsidRPr="002507A0" w:rsidRDefault="002507A0" w:rsidP="002507A0">
            <w:pPr>
              <w:jc w:val="both"/>
              <w:outlineLvl w:val="3"/>
              <w:rPr>
                <w:bCs/>
                <w:lang w:eastAsia="en-US"/>
              </w:rPr>
            </w:pPr>
            <w:r w:rsidRPr="002507A0">
              <w:rPr>
                <w:bCs/>
                <w:lang w:eastAsia="en-US"/>
              </w:rPr>
              <w:t>В чл. 81 ал. 4 от Наредба № 22 от 14 декември 2015 г. за прилагане на подмярка 19.2 „Прилагане на операции в рамките на стратегии за Водено от общностите местно развитие” на мярка 19 ВОМР от ПРСР за периода 2014 - 2020 г. са предвидени две възможност за получаване на авансово плащане за общини и читалища:</w:t>
            </w:r>
          </w:p>
          <w:p w14:paraId="66354ADC" w14:textId="77777777" w:rsidR="002507A0" w:rsidRPr="002507A0" w:rsidRDefault="002507A0" w:rsidP="002507A0">
            <w:pPr>
              <w:jc w:val="both"/>
              <w:outlineLvl w:val="3"/>
              <w:rPr>
                <w:bCs/>
                <w:lang w:eastAsia="en-US"/>
              </w:rPr>
            </w:pPr>
            <w:r w:rsidRPr="002507A0">
              <w:rPr>
                <w:bCs/>
                <w:lang w:eastAsia="en-US"/>
              </w:rPr>
              <w:t>„(4) Когато получател е община или е читалище, което изпълнява проект по мярка 7.2 от стратегия за ВОМР, включена в ПРСР 2014 - 2020 г., авансово плащане се допуска след представяне на:</w:t>
            </w:r>
          </w:p>
          <w:p w14:paraId="19A95F56" w14:textId="77777777" w:rsidR="002507A0" w:rsidRPr="002507A0" w:rsidRDefault="002507A0" w:rsidP="002507A0">
            <w:pPr>
              <w:jc w:val="both"/>
              <w:outlineLvl w:val="3"/>
              <w:rPr>
                <w:bCs/>
                <w:lang w:eastAsia="en-US"/>
              </w:rPr>
            </w:pPr>
            <w:r w:rsidRPr="002507A0">
              <w:rPr>
                <w:bCs/>
                <w:lang w:eastAsia="en-US"/>
              </w:rPr>
              <w:t>1. (изм. - ДВ, бр. 38 от 2016 г., в сила от 20.05.2016 г.) бан</w:t>
            </w:r>
            <w:r w:rsidRPr="002507A0">
              <w:rPr>
                <w:bCs/>
                <w:lang w:eastAsia="en-US"/>
              </w:rPr>
              <w:lastRenderedPageBreak/>
              <w:t>кова гаранция в полза на ДФЗ в размер 100 на сто от стойността на авансовото плащане и решение на общинския съвет за поемането на дълг, или</w:t>
            </w:r>
          </w:p>
          <w:p w14:paraId="539CA515" w14:textId="77777777" w:rsidR="002507A0" w:rsidRPr="002507A0" w:rsidRDefault="002507A0" w:rsidP="002507A0">
            <w:pPr>
              <w:jc w:val="both"/>
              <w:outlineLvl w:val="3"/>
              <w:rPr>
                <w:bCs/>
                <w:lang w:eastAsia="en-US"/>
              </w:rPr>
            </w:pPr>
            <w:r w:rsidRPr="002507A0">
              <w:rPr>
                <w:bCs/>
                <w:lang w:eastAsia="en-US"/>
              </w:rPr>
              <w:t>2. (изм. - ДВ, бр. 38 от 2016 г., в сила от 20.05.2016 г.) запис на заповед, издадена от кмета на общината, в полза на ДФЗ в размер 100 на сто от стойността на авансовото плащане и решение на общинския съвет за одобряване на запис на заповед.“</w:t>
            </w:r>
          </w:p>
          <w:p w14:paraId="36ADFC3B" w14:textId="77777777" w:rsidR="002507A0" w:rsidRPr="002507A0" w:rsidRDefault="002507A0" w:rsidP="002507A0">
            <w:pPr>
              <w:jc w:val="both"/>
              <w:outlineLvl w:val="3"/>
              <w:rPr>
                <w:bCs/>
                <w:lang w:eastAsia="en-US"/>
              </w:rPr>
            </w:pPr>
            <w:r w:rsidRPr="002507A0">
              <w:rPr>
                <w:bCs/>
                <w:lang w:eastAsia="en-US"/>
              </w:rPr>
              <w:t>В същото време, в Наредба 4/30.05.2018 г. читалищата не са посочени в т. 5 от приложение 2.</w:t>
            </w:r>
          </w:p>
          <w:p w14:paraId="10A32F92" w14:textId="77777777" w:rsidR="002507A0" w:rsidRPr="002507A0" w:rsidRDefault="002507A0" w:rsidP="002507A0">
            <w:pPr>
              <w:jc w:val="both"/>
              <w:outlineLvl w:val="3"/>
              <w:rPr>
                <w:bCs/>
                <w:lang w:eastAsia="en-US"/>
              </w:rPr>
            </w:pPr>
            <w:r w:rsidRPr="002507A0">
              <w:rPr>
                <w:bCs/>
                <w:lang w:eastAsia="en-US"/>
              </w:rPr>
              <w:t xml:space="preserve">Читалищата са финансирани от държавния и общинския бюджет и са публично правни организации по смисъла на ЗОП, съответно се явяват възложители по същия закон. Финансовите възможности на читалищата са ограничени и рядко разполагат със свободен финансов ресурс за изпълнение на проекти за ремонт на материалната си база, оборудване или за проекти в сферата на културното, историческото и природно наследство. От друга страна те имат функции по закон и най-голям капацитет и опит за изпълнение на дейности, насочени към опазване на културното и историческо наследство за определена територия. Трудността за осигуряване на финансовия ресурс за изпълнението на проектите до неговото възстановяване от РА ги възпрепятства да кандидатстват с проекти пред МИГ или на национално ниво. Възможността за получаване на авансово плащане чрез гаранция от общината ще улесни  и насърчи този процес. </w:t>
            </w:r>
          </w:p>
          <w:p w14:paraId="32E5CB5A" w14:textId="3D7E155B" w:rsidR="002507A0" w:rsidRPr="002507A0" w:rsidRDefault="002507A0" w:rsidP="002507A0">
            <w:pPr>
              <w:jc w:val="both"/>
              <w:outlineLvl w:val="3"/>
              <w:rPr>
                <w:bCs/>
                <w:lang w:eastAsia="en-US"/>
              </w:rPr>
            </w:pPr>
            <w:r w:rsidRPr="002507A0">
              <w:rPr>
                <w:bCs/>
                <w:lang w:eastAsia="en-US"/>
              </w:rPr>
              <w:t xml:space="preserve">Смятаме че тази възможност следва да бъде допусната не само за подмярка 7.2., а за всички публични мерки, по които читалищата са допустими кандидати. </w:t>
            </w:r>
          </w:p>
          <w:p w14:paraId="2B230ACC" w14:textId="6C4F56A2" w:rsidR="00166D69" w:rsidRPr="00080E14" w:rsidRDefault="002507A0" w:rsidP="002507A0">
            <w:pPr>
              <w:jc w:val="both"/>
              <w:outlineLvl w:val="3"/>
              <w:rPr>
                <w:bCs/>
                <w:lang w:eastAsia="en-US"/>
              </w:rPr>
            </w:pPr>
            <w:r w:rsidRPr="002507A0">
              <w:rPr>
                <w:bCs/>
                <w:lang w:eastAsia="en-US"/>
              </w:rPr>
              <w:t>Доколкото същите аргументи са приложими и за училищата, предлагаме в бъдеще да се обмисли възможност за полу</w:t>
            </w:r>
            <w:r w:rsidRPr="002507A0">
              <w:rPr>
                <w:bCs/>
                <w:lang w:eastAsia="en-US"/>
              </w:rPr>
              <w:lastRenderedPageBreak/>
              <w:t>чаване на авансово плащане срещу предоставяне на запис на заповед от кмета след решение на Общинския съвет и за училищата.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A61F285" w14:textId="59F868CE" w:rsidR="00166D69" w:rsidRPr="00080E14" w:rsidRDefault="00B01EFD" w:rsidP="00E902C9">
            <w:pPr>
              <w:rPr>
                <w:sz w:val="23"/>
                <w:szCs w:val="23"/>
              </w:rPr>
            </w:pPr>
            <w:r w:rsidRPr="003B73CB">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A1E449" w14:textId="1B85B7DB" w:rsidR="00166D69" w:rsidRPr="00080E14" w:rsidRDefault="003B73CB" w:rsidP="00762F0B">
            <w:pPr>
              <w:rPr>
                <w:sz w:val="23"/>
                <w:szCs w:val="23"/>
              </w:rPr>
            </w:pPr>
            <w:r>
              <w:rPr>
                <w:sz w:val="23"/>
                <w:szCs w:val="23"/>
              </w:rPr>
              <w:t>Предложението е извън предметния обхват на настоящата наредба.</w:t>
            </w:r>
          </w:p>
        </w:tc>
      </w:tr>
    </w:tbl>
    <w:p w14:paraId="0CAF26AD" w14:textId="77777777" w:rsidR="009C59D8" w:rsidRPr="00080E14" w:rsidRDefault="009C59D8" w:rsidP="009C59D8">
      <w:pPr>
        <w:rPr>
          <w:i/>
          <w:iCs/>
        </w:rPr>
      </w:pPr>
    </w:p>
    <w:p w14:paraId="6BFC172A" w14:textId="1DE986A8" w:rsidR="009C59D8" w:rsidRPr="00080E14" w:rsidRDefault="009C59D8" w:rsidP="009C59D8">
      <w:pPr>
        <w:rPr>
          <w:i/>
          <w:iCs/>
        </w:rPr>
      </w:pPr>
    </w:p>
    <w:p w14:paraId="22DF8B4A" w14:textId="6397F1B0" w:rsidR="00B7615F" w:rsidRPr="00080E14" w:rsidRDefault="00B7615F" w:rsidP="009C59D8">
      <w:pPr>
        <w:rPr>
          <w:i/>
          <w:iCs/>
        </w:rPr>
      </w:pPr>
    </w:p>
    <w:p w14:paraId="571FE532" w14:textId="77777777" w:rsidR="00080E14" w:rsidRPr="00080E14" w:rsidRDefault="00080E14" w:rsidP="009C59D8">
      <w:pPr>
        <w:rPr>
          <w:i/>
          <w:iCs/>
        </w:rPr>
      </w:pPr>
    </w:p>
    <w:p w14:paraId="257A59CB" w14:textId="77777777" w:rsidR="009C59D8" w:rsidRPr="00080E14" w:rsidRDefault="009C59D8" w:rsidP="009C59D8">
      <w:pPr>
        <w:rPr>
          <w:i/>
          <w:iCs/>
        </w:rPr>
      </w:pPr>
    </w:p>
    <w:sectPr w:rsidR="009C59D8" w:rsidRPr="00080E14"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AD37" w14:textId="77777777" w:rsidR="00414720" w:rsidRDefault="00414720">
      <w:r>
        <w:separator/>
      </w:r>
    </w:p>
  </w:endnote>
  <w:endnote w:type="continuationSeparator" w:id="0">
    <w:p w14:paraId="75B89C0B" w14:textId="77777777" w:rsidR="00414720" w:rsidRDefault="0041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33B542C4"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791447">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BE91" w14:textId="77777777" w:rsidR="00414720" w:rsidRDefault="00414720">
      <w:r>
        <w:separator/>
      </w:r>
    </w:p>
  </w:footnote>
  <w:footnote w:type="continuationSeparator" w:id="0">
    <w:p w14:paraId="63F5C4B2" w14:textId="77777777" w:rsidR="00414720" w:rsidRDefault="0041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0E14"/>
    <w:rsid w:val="000811E4"/>
    <w:rsid w:val="0008169F"/>
    <w:rsid w:val="00081D6F"/>
    <w:rsid w:val="00082171"/>
    <w:rsid w:val="00084700"/>
    <w:rsid w:val="000853A8"/>
    <w:rsid w:val="00085CA4"/>
    <w:rsid w:val="00086434"/>
    <w:rsid w:val="00086BB4"/>
    <w:rsid w:val="000902D1"/>
    <w:rsid w:val="00090401"/>
    <w:rsid w:val="00090523"/>
    <w:rsid w:val="000912BD"/>
    <w:rsid w:val="000924C9"/>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12EC"/>
    <w:rsid w:val="001024F9"/>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519D"/>
    <w:rsid w:val="001C6E95"/>
    <w:rsid w:val="001D21DA"/>
    <w:rsid w:val="001D362A"/>
    <w:rsid w:val="001D3B7E"/>
    <w:rsid w:val="001D5186"/>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385A"/>
    <w:rsid w:val="00205C0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07A0"/>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5694"/>
    <w:rsid w:val="002E032B"/>
    <w:rsid w:val="002E04DF"/>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394D"/>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7130"/>
    <w:rsid w:val="00387162"/>
    <w:rsid w:val="003903E2"/>
    <w:rsid w:val="00390D8E"/>
    <w:rsid w:val="00394A7A"/>
    <w:rsid w:val="00395655"/>
    <w:rsid w:val="003962A0"/>
    <w:rsid w:val="003978B4"/>
    <w:rsid w:val="00397CDA"/>
    <w:rsid w:val="003A060F"/>
    <w:rsid w:val="003A0BAC"/>
    <w:rsid w:val="003A48EE"/>
    <w:rsid w:val="003B3D0C"/>
    <w:rsid w:val="003B3E46"/>
    <w:rsid w:val="003B73CB"/>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68AD"/>
    <w:rsid w:val="00407815"/>
    <w:rsid w:val="00411473"/>
    <w:rsid w:val="00412278"/>
    <w:rsid w:val="00414720"/>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3C08"/>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18B3"/>
    <w:rsid w:val="005424B9"/>
    <w:rsid w:val="00543774"/>
    <w:rsid w:val="00543E05"/>
    <w:rsid w:val="005462B1"/>
    <w:rsid w:val="00547F9D"/>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829"/>
    <w:rsid w:val="00614103"/>
    <w:rsid w:val="00614586"/>
    <w:rsid w:val="00617D55"/>
    <w:rsid w:val="00620B65"/>
    <w:rsid w:val="006236C6"/>
    <w:rsid w:val="006240D8"/>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E5D"/>
    <w:rsid w:val="006712A6"/>
    <w:rsid w:val="00671E4E"/>
    <w:rsid w:val="00671E68"/>
    <w:rsid w:val="00673CF7"/>
    <w:rsid w:val="0067456E"/>
    <w:rsid w:val="006747A4"/>
    <w:rsid w:val="00675133"/>
    <w:rsid w:val="006802C1"/>
    <w:rsid w:val="0068063C"/>
    <w:rsid w:val="00685E6E"/>
    <w:rsid w:val="00686496"/>
    <w:rsid w:val="00687936"/>
    <w:rsid w:val="00690FE6"/>
    <w:rsid w:val="00691B2B"/>
    <w:rsid w:val="00691BD4"/>
    <w:rsid w:val="00692196"/>
    <w:rsid w:val="00692D9D"/>
    <w:rsid w:val="00694141"/>
    <w:rsid w:val="006941C8"/>
    <w:rsid w:val="00695A47"/>
    <w:rsid w:val="00696129"/>
    <w:rsid w:val="006961C6"/>
    <w:rsid w:val="00696F11"/>
    <w:rsid w:val="00697863"/>
    <w:rsid w:val="006978A2"/>
    <w:rsid w:val="006A0D8A"/>
    <w:rsid w:val="006A36D7"/>
    <w:rsid w:val="006A3AD5"/>
    <w:rsid w:val="006A512F"/>
    <w:rsid w:val="006A70E2"/>
    <w:rsid w:val="006B18CB"/>
    <w:rsid w:val="006B4070"/>
    <w:rsid w:val="006B55E9"/>
    <w:rsid w:val="006B5E2B"/>
    <w:rsid w:val="006C1FAA"/>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6420"/>
    <w:rsid w:val="006F7A97"/>
    <w:rsid w:val="00700BF6"/>
    <w:rsid w:val="00700FB0"/>
    <w:rsid w:val="007030A8"/>
    <w:rsid w:val="007040D8"/>
    <w:rsid w:val="00704988"/>
    <w:rsid w:val="00704C50"/>
    <w:rsid w:val="00706712"/>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089"/>
    <w:rsid w:val="00762F0B"/>
    <w:rsid w:val="0076408A"/>
    <w:rsid w:val="007739EB"/>
    <w:rsid w:val="00773DD9"/>
    <w:rsid w:val="00774BE7"/>
    <w:rsid w:val="00775F15"/>
    <w:rsid w:val="00776946"/>
    <w:rsid w:val="00776A2A"/>
    <w:rsid w:val="00777754"/>
    <w:rsid w:val="00780256"/>
    <w:rsid w:val="00781306"/>
    <w:rsid w:val="007836C8"/>
    <w:rsid w:val="00787073"/>
    <w:rsid w:val="00791447"/>
    <w:rsid w:val="007930FB"/>
    <w:rsid w:val="00793484"/>
    <w:rsid w:val="007934F1"/>
    <w:rsid w:val="00794229"/>
    <w:rsid w:val="00794C34"/>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5C9"/>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2B16"/>
    <w:rsid w:val="008C4A55"/>
    <w:rsid w:val="008C5E5E"/>
    <w:rsid w:val="008C6781"/>
    <w:rsid w:val="008C6A0D"/>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47DC"/>
    <w:rsid w:val="0094580B"/>
    <w:rsid w:val="0095009A"/>
    <w:rsid w:val="00950ABA"/>
    <w:rsid w:val="009513AF"/>
    <w:rsid w:val="00952C1F"/>
    <w:rsid w:val="00952D0A"/>
    <w:rsid w:val="00953FD7"/>
    <w:rsid w:val="00954732"/>
    <w:rsid w:val="009551F9"/>
    <w:rsid w:val="009555F8"/>
    <w:rsid w:val="00956BD2"/>
    <w:rsid w:val="009608E4"/>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5DEA"/>
    <w:rsid w:val="009876EF"/>
    <w:rsid w:val="0099001A"/>
    <w:rsid w:val="00990860"/>
    <w:rsid w:val="009908C5"/>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C7A05"/>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1EFD"/>
    <w:rsid w:val="00B03860"/>
    <w:rsid w:val="00B05A10"/>
    <w:rsid w:val="00B05D3A"/>
    <w:rsid w:val="00B06244"/>
    <w:rsid w:val="00B0691A"/>
    <w:rsid w:val="00B07AFE"/>
    <w:rsid w:val="00B11252"/>
    <w:rsid w:val="00B1358E"/>
    <w:rsid w:val="00B145B3"/>
    <w:rsid w:val="00B15A64"/>
    <w:rsid w:val="00B17C0F"/>
    <w:rsid w:val="00B17C41"/>
    <w:rsid w:val="00B17FDB"/>
    <w:rsid w:val="00B21966"/>
    <w:rsid w:val="00B22F5B"/>
    <w:rsid w:val="00B240A8"/>
    <w:rsid w:val="00B24B51"/>
    <w:rsid w:val="00B26852"/>
    <w:rsid w:val="00B31B92"/>
    <w:rsid w:val="00B320D9"/>
    <w:rsid w:val="00B321D4"/>
    <w:rsid w:val="00B3281B"/>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3133"/>
    <w:rsid w:val="00B74629"/>
    <w:rsid w:val="00B75F90"/>
    <w:rsid w:val="00B7615F"/>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26CC"/>
    <w:rsid w:val="00B93841"/>
    <w:rsid w:val="00B948D2"/>
    <w:rsid w:val="00B95598"/>
    <w:rsid w:val="00B95B2B"/>
    <w:rsid w:val="00BA24C4"/>
    <w:rsid w:val="00BA478A"/>
    <w:rsid w:val="00BA66F5"/>
    <w:rsid w:val="00BA726F"/>
    <w:rsid w:val="00BB04E0"/>
    <w:rsid w:val="00BB1D85"/>
    <w:rsid w:val="00BC2E70"/>
    <w:rsid w:val="00BC3DD4"/>
    <w:rsid w:val="00BC5048"/>
    <w:rsid w:val="00BC5D3C"/>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E68"/>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403B4"/>
    <w:rsid w:val="00C406DE"/>
    <w:rsid w:val="00C411FE"/>
    <w:rsid w:val="00C41B61"/>
    <w:rsid w:val="00C42886"/>
    <w:rsid w:val="00C43256"/>
    <w:rsid w:val="00C434F9"/>
    <w:rsid w:val="00C4367B"/>
    <w:rsid w:val="00C45CC3"/>
    <w:rsid w:val="00C45CCE"/>
    <w:rsid w:val="00C46170"/>
    <w:rsid w:val="00C467CA"/>
    <w:rsid w:val="00C467D4"/>
    <w:rsid w:val="00C46941"/>
    <w:rsid w:val="00C47381"/>
    <w:rsid w:val="00C50FAA"/>
    <w:rsid w:val="00C51234"/>
    <w:rsid w:val="00C5278E"/>
    <w:rsid w:val="00C538D8"/>
    <w:rsid w:val="00C53FB9"/>
    <w:rsid w:val="00C550EA"/>
    <w:rsid w:val="00C625A6"/>
    <w:rsid w:val="00C62F52"/>
    <w:rsid w:val="00C63AA7"/>
    <w:rsid w:val="00C657F9"/>
    <w:rsid w:val="00C65F90"/>
    <w:rsid w:val="00C666AF"/>
    <w:rsid w:val="00C70C53"/>
    <w:rsid w:val="00C718DA"/>
    <w:rsid w:val="00C7226C"/>
    <w:rsid w:val="00C72BBA"/>
    <w:rsid w:val="00C73873"/>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394F"/>
    <w:rsid w:val="00CD44C9"/>
    <w:rsid w:val="00CD518F"/>
    <w:rsid w:val="00CD769B"/>
    <w:rsid w:val="00CD7BBE"/>
    <w:rsid w:val="00CE2A7F"/>
    <w:rsid w:val="00CE3610"/>
    <w:rsid w:val="00CE45EC"/>
    <w:rsid w:val="00CE51D8"/>
    <w:rsid w:val="00CF00CF"/>
    <w:rsid w:val="00CF24CD"/>
    <w:rsid w:val="00CF5221"/>
    <w:rsid w:val="00CF5822"/>
    <w:rsid w:val="00CF5A9B"/>
    <w:rsid w:val="00CF61A2"/>
    <w:rsid w:val="00CF6672"/>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0B67"/>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42C8"/>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58FE"/>
    <w:rsid w:val="00DB5EFB"/>
    <w:rsid w:val="00DB75E1"/>
    <w:rsid w:val="00DB7BFD"/>
    <w:rsid w:val="00DC253D"/>
    <w:rsid w:val="00DC5031"/>
    <w:rsid w:val="00DC51F3"/>
    <w:rsid w:val="00DC60E2"/>
    <w:rsid w:val="00DC61A2"/>
    <w:rsid w:val="00DD108D"/>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661A"/>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7098"/>
    <w:rsid w:val="00E7793E"/>
    <w:rsid w:val="00E7794B"/>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79CF"/>
    <w:rsid w:val="00F2342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786"/>
    <w:rsid w:val="00FA6E4F"/>
    <w:rsid w:val="00FA70A7"/>
    <w:rsid w:val="00FB0D80"/>
    <w:rsid w:val="00FB1992"/>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82A"/>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B13"/>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35D0-1723-48FB-A1EC-26E40945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3315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2022-04-18T11:03:00Z</dcterms:created>
  <dcterms:modified xsi:type="dcterms:W3CDTF">2022-04-28T13:43:00Z</dcterms:modified>
</cp:coreProperties>
</file>