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417522" w14:paraId="34B8DC7F" w14:textId="77777777" w:rsidTr="0030788E">
        <w:trPr>
          <w:trHeight w:val="958"/>
        </w:trPr>
        <w:tc>
          <w:tcPr>
            <w:tcW w:w="15650" w:type="dxa"/>
            <w:shd w:val="clear" w:color="auto" w:fill="BDD6EE"/>
          </w:tcPr>
          <w:p w14:paraId="4ACBD90B" w14:textId="77777777" w:rsidR="00C975B4" w:rsidRPr="00417522" w:rsidRDefault="00C975B4" w:rsidP="00AC5700">
            <w:pPr>
              <w:tabs>
                <w:tab w:val="left" w:pos="2190"/>
              </w:tabs>
              <w:spacing w:before="120" w:after="120"/>
              <w:ind w:left="283" w:right="283"/>
              <w:jc w:val="center"/>
              <w:rPr>
                <w:rFonts w:ascii="Verdana" w:hAnsi="Verdana"/>
                <w:b/>
                <w:spacing w:val="70"/>
              </w:rPr>
            </w:pPr>
            <w:bookmarkStart w:id="0" w:name="_GoBack"/>
            <w:bookmarkEnd w:id="0"/>
            <w:r w:rsidRPr="00417522">
              <w:rPr>
                <w:rFonts w:ascii="Verdana" w:hAnsi="Verdana"/>
                <w:b/>
                <w:spacing w:val="70"/>
              </w:rPr>
              <w:t>СПРАВКА</w:t>
            </w:r>
          </w:p>
          <w:p w14:paraId="095248A0" w14:textId="77777777" w:rsidR="0023721E" w:rsidRPr="00417522" w:rsidRDefault="00C975B4" w:rsidP="00AC5700">
            <w:pPr>
              <w:tabs>
                <w:tab w:val="left" w:pos="2190"/>
              </w:tabs>
              <w:spacing w:before="120" w:after="120" w:line="360" w:lineRule="auto"/>
              <w:ind w:left="283" w:right="283"/>
              <w:jc w:val="center"/>
              <w:rPr>
                <w:rFonts w:ascii="Verdana" w:hAnsi="Verdana"/>
                <w:b/>
                <w:sz w:val="20"/>
                <w:szCs w:val="20"/>
              </w:rPr>
            </w:pPr>
            <w:r w:rsidRPr="00417522">
              <w:rPr>
                <w:rFonts w:ascii="Verdana" w:hAnsi="Verdana"/>
                <w:b/>
                <w:sz w:val="20"/>
                <w:szCs w:val="20"/>
              </w:rPr>
              <w:t xml:space="preserve">ЗА ОТРАЗЯВАНЕ НА ПОСТЪПИЛИТЕ ПРЕДЛОЖЕНИЯ </w:t>
            </w:r>
            <w:r w:rsidR="00494B17" w:rsidRPr="00417522">
              <w:rPr>
                <w:rFonts w:ascii="Verdana" w:hAnsi="Verdana"/>
                <w:b/>
                <w:sz w:val="20"/>
                <w:szCs w:val="20"/>
              </w:rPr>
              <w:t xml:space="preserve">И СТАНОВИЩА </w:t>
            </w:r>
            <w:r w:rsidRPr="00417522">
              <w:rPr>
                <w:rFonts w:ascii="Verdana" w:hAnsi="Verdana"/>
                <w:b/>
                <w:sz w:val="20"/>
                <w:szCs w:val="20"/>
              </w:rPr>
              <w:t xml:space="preserve">ОТ ОБЩЕСТВЕНИТЕ КОНСУЛТАЦИИ </w:t>
            </w:r>
            <w:r w:rsidR="00494B17" w:rsidRPr="00417522">
              <w:rPr>
                <w:rFonts w:ascii="Verdana" w:hAnsi="Verdana"/>
                <w:b/>
                <w:sz w:val="20"/>
                <w:szCs w:val="20"/>
              </w:rPr>
              <w:t>ПО</w:t>
            </w:r>
            <w:r w:rsidR="00496618" w:rsidRPr="00417522">
              <w:rPr>
                <w:rFonts w:ascii="Verdana" w:hAnsi="Verdana"/>
                <w:b/>
                <w:sz w:val="20"/>
                <w:szCs w:val="20"/>
              </w:rPr>
              <w:t xml:space="preserve"> </w:t>
            </w:r>
            <w:r w:rsidR="00232F51" w:rsidRPr="00417522">
              <w:rPr>
                <w:rFonts w:ascii="Verdana" w:hAnsi="Verdana"/>
                <w:b/>
                <w:sz w:val="20"/>
                <w:szCs w:val="20"/>
              </w:rPr>
              <w:t xml:space="preserve">ПРОЕКТА НА </w:t>
            </w:r>
            <w:r w:rsidR="00F44889" w:rsidRPr="00417522">
              <w:rPr>
                <w:rFonts w:ascii="Verdana" w:hAnsi="Verdana"/>
                <w:b/>
                <w:sz w:val="20"/>
                <w:szCs w:val="20"/>
              </w:rPr>
              <w:t>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tc>
      </w:tr>
    </w:tbl>
    <w:p w14:paraId="32EFBAB8" w14:textId="77777777" w:rsidR="00295C20" w:rsidRPr="00417522" w:rsidRDefault="00295C20">
      <w:pPr>
        <w:rPr>
          <w:rFonts w:ascii="Verdana" w:hAnsi="Verdana"/>
          <w:sz w:val="20"/>
          <w:szCs w:val="20"/>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22"/>
        <w:gridCol w:w="2693"/>
        <w:gridCol w:w="5670"/>
        <w:gridCol w:w="1701"/>
        <w:gridCol w:w="4964"/>
      </w:tblGrid>
      <w:tr w:rsidR="00E220AD" w:rsidRPr="00417522" w14:paraId="394D8C9C" w14:textId="77777777" w:rsidTr="008D3875">
        <w:trPr>
          <w:tblHeader/>
        </w:trPr>
        <w:tc>
          <w:tcPr>
            <w:tcW w:w="622" w:type="dxa"/>
            <w:shd w:val="clear" w:color="auto" w:fill="DEEAF6"/>
            <w:vAlign w:val="center"/>
          </w:tcPr>
          <w:p w14:paraId="31DB02BB" w14:textId="77777777" w:rsidR="00E220AD" w:rsidRPr="00417522" w:rsidRDefault="00E220AD" w:rsidP="008D3875">
            <w:pPr>
              <w:tabs>
                <w:tab w:val="left" w:pos="192"/>
              </w:tabs>
              <w:spacing w:before="40" w:after="40"/>
              <w:jc w:val="center"/>
              <w:rPr>
                <w:rFonts w:ascii="Verdana" w:hAnsi="Verdana"/>
                <w:b/>
                <w:sz w:val="18"/>
                <w:szCs w:val="18"/>
              </w:rPr>
            </w:pPr>
            <w:r w:rsidRPr="00417522">
              <w:rPr>
                <w:rFonts w:ascii="Verdana" w:hAnsi="Verdana"/>
                <w:b/>
                <w:sz w:val="18"/>
                <w:szCs w:val="18"/>
              </w:rPr>
              <w:t>№</w:t>
            </w:r>
          </w:p>
        </w:tc>
        <w:tc>
          <w:tcPr>
            <w:tcW w:w="2693" w:type="dxa"/>
            <w:shd w:val="clear" w:color="auto" w:fill="DEEAF6"/>
            <w:vAlign w:val="center"/>
          </w:tcPr>
          <w:p w14:paraId="3A048A43" w14:textId="38BC8542" w:rsidR="00E220AD" w:rsidRPr="00417522" w:rsidRDefault="00E220AD" w:rsidP="008D3875">
            <w:pPr>
              <w:spacing w:before="40" w:after="40"/>
              <w:jc w:val="center"/>
              <w:rPr>
                <w:rFonts w:ascii="Verdana" w:hAnsi="Verdana"/>
                <w:b/>
                <w:sz w:val="18"/>
                <w:szCs w:val="18"/>
              </w:rPr>
            </w:pPr>
            <w:r w:rsidRPr="00417522">
              <w:rPr>
                <w:rFonts w:ascii="Verdana" w:hAnsi="Verdana"/>
                <w:b/>
                <w:sz w:val="18"/>
                <w:szCs w:val="18"/>
              </w:rPr>
              <w:t>Организация/</w:t>
            </w:r>
            <w:r w:rsidR="008D3875">
              <w:rPr>
                <w:rFonts w:ascii="Verdana" w:hAnsi="Verdana"/>
                <w:b/>
                <w:sz w:val="18"/>
                <w:szCs w:val="18"/>
              </w:rPr>
              <w:br/>
            </w:r>
            <w:r w:rsidRPr="00417522">
              <w:rPr>
                <w:rFonts w:ascii="Verdana" w:hAnsi="Verdana"/>
                <w:b/>
                <w:sz w:val="18"/>
                <w:szCs w:val="18"/>
              </w:rPr>
              <w:t>потребител</w:t>
            </w:r>
          </w:p>
          <w:p w14:paraId="5B390D5F" w14:textId="77777777" w:rsidR="005424B9" w:rsidRPr="00417522" w:rsidRDefault="00B330BC" w:rsidP="008D3875">
            <w:pPr>
              <w:spacing w:before="40" w:after="40"/>
              <w:jc w:val="center"/>
              <w:rPr>
                <w:rFonts w:ascii="Verdana" w:hAnsi="Verdana"/>
                <w:b/>
                <w:sz w:val="14"/>
                <w:szCs w:val="14"/>
              </w:rPr>
            </w:pPr>
            <w:r w:rsidRPr="00417522">
              <w:rPr>
                <w:rFonts w:ascii="Verdana" w:hAnsi="Verdana"/>
                <w:b/>
                <w:sz w:val="14"/>
                <w:szCs w:val="14"/>
              </w:rPr>
              <w:t>(</w:t>
            </w:r>
            <w:r w:rsidR="005424B9" w:rsidRPr="00417522">
              <w:rPr>
                <w:rFonts w:ascii="Verdana" w:hAnsi="Verdana"/>
                <w:b/>
                <w:sz w:val="14"/>
                <w:szCs w:val="14"/>
              </w:rPr>
              <w:t>вкл. начина на получаване на предложението</w:t>
            </w:r>
            <w:r w:rsidRPr="00417522">
              <w:rPr>
                <w:rFonts w:ascii="Verdana" w:hAnsi="Verdana"/>
                <w:b/>
                <w:sz w:val="14"/>
                <w:szCs w:val="14"/>
              </w:rPr>
              <w:t>)</w:t>
            </w:r>
          </w:p>
        </w:tc>
        <w:tc>
          <w:tcPr>
            <w:tcW w:w="5670" w:type="dxa"/>
            <w:tcBorders>
              <w:bottom w:val="single" w:sz="18" w:space="0" w:color="2E74B5"/>
            </w:tcBorders>
            <w:shd w:val="clear" w:color="auto" w:fill="DEEAF6"/>
            <w:vAlign w:val="center"/>
          </w:tcPr>
          <w:p w14:paraId="36C2D7F8" w14:textId="77777777" w:rsidR="00E220AD" w:rsidRPr="00417522" w:rsidRDefault="00494B17" w:rsidP="008D3875">
            <w:pPr>
              <w:spacing w:before="40" w:after="40"/>
              <w:jc w:val="center"/>
              <w:rPr>
                <w:rFonts w:ascii="Verdana" w:hAnsi="Verdana"/>
                <w:b/>
                <w:sz w:val="18"/>
                <w:szCs w:val="18"/>
              </w:rPr>
            </w:pPr>
            <w:r w:rsidRPr="00417522">
              <w:rPr>
                <w:rFonts w:ascii="Verdana" w:hAnsi="Verdana"/>
                <w:b/>
                <w:sz w:val="18"/>
                <w:szCs w:val="18"/>
              </w:rPr>
              <w:t>Предложения и становища</w:t>
            </w:r>
          </w:p>
        </w:tc>
        <w:tc>
          <w:tcPr>
            <w:tcW w:w="1701" w:type="dxa"/>
            <w:tcBorders>
              <w:bottom w:val="single" w:sz="18" w:space="0" w:color="2E74B5"/>
            </w:tcBorders>
            <w:shd w:val="clear" w:color="auto" w:fill="DEEAF6"/>
            <w:vAlign w:val="center"/>
          </w:tcPr>
          <w:p w14:paraId="6BE4127E" w14:textId="77777777" w:rsidR="00E220AD" w:rsidRPr="00417522" w:rsidRDefault="00E220AD" w:rsidP="008D3875">
            <w:pPr>
              <w:spacing w:before="40" w:after="40"/>
              <w:jc w:val="center"/>
              <w:rPr>
                <w:rFonts w:ascii="Verdana" w:hAnsi="Verdana"/>
                <w:b/>
                <w:sz w:val="18"/>
                <w:szCs w:val="18"/>
              </w:rPr>
            </w:pPr>
            <w:r w:rsidRPr="00417522">
              <w:rPr>
                <w:rFonts w:ascii="Verdana" w:hAnsi="Verdana"/>
                <w:b/>
                <w:sz w:val="18"/>
                <w:szCs w:val="18"/>
              </w:rPr>
              <w:t>Приети/</w:t>
            </w:r>
          </w:p>
          <w:p w14:paraId="27A65DF7" w14:textId="77777777" w:rsidR="00E220AD" w:rsidRPr="00417522" w:rsidRDefault="00E220AD" w:rsidP="008D3875">
            <w:pPr>
              <w:spacing w:before="40" w:after="40"/>
              <w:jc w:val="center"/>
              <w:rPr>
                <w:rFonts w:ascii="Verdana" w:hAnsi="Verdana"/>
                <w:b/>
                <w:sz w:val="18"/>
                <w:szCs w:val="18"/>
              </w:rPr>
            </w:pPr>
            <w:r w:rsidRPr="00417522">
              <w:rPr>
                <w:rFonts w:ascii="Verdana" w:hAnsi="Verdana"/>
                <w:b/>
                <w:sz w:val="18"/>
                <w:szCs w:val="18"/>
              </w:rPr>
              <w:t>неприети</w:t>
            </w:r>
          </w:p>
        </w:tc>
        <w:tc>
          <w:tcPr>
            <w:tcW w:w="4964" w:type="dxa"/>
            <w:tcBorders>
              <w:bottom w:val="single" w:sz="18" w:space="0" w:color="2E74B5"/>
            </w:tcBorders>
            <w:shd w:val="clear" w:color="auto" w:fill="DEEAF6"/>
            <w:vAlign w:val="center"/>
          </w:tcPr>
          <w:p w14:paraId="346F9FAD" w14:textId="77777777" w:rsidR="00E220AD" w:rsidRPr="00417522" w:rsidRDefault="00E220AD" w:rsidP="008D3875">
            <w:pPr>
              <w:spacing w:before="40" w:after="40"/>
              <w:jc w:val="center"/>
              <w:rPr>
                <w:rFonts w:ascii="Verdana" w:hAnsi="Verdana"/>
                <w:sz w:val="18"/>
                <w:szCs w:val="18"/>
              </w:rPr>
            </w:pPr>
            <w:r w:rsidRPr="00417522">
              <w:rPr>
                <w:rFonts w:ascii="Verdana" w:hAnsi="Verdana"/>
                <w:b/>
                <w:sz w:val="18"/>
                <w:szCs w:val="18"/>
              </w:rPr>
              <w:t>Мотиви</w:t>
            </w:r>
          </w:p>
        </w:tc>
      </w:tr>
      <w:tr w:rsidR="00486A02" w:rsidRPr="00417522" w14:paraId="722D20D7" w14:textId="77777777" w:rsidTr="008D3875">
        <w:trPr>
          <w:trHeight w:val="596"/>
        </w:trPr>
        <w:tc>
          <w:tcPr>
            <w:tcW w:w="622" w:type="dxa"/>
            <w:vMerge w:val="restart"/>
            <w:shd w:val="clear" w:color="auto" w:fill="auto"/>
          </w:tcPr>
          <w:p w14:paraId="6F181190" w14:textId="495FDE14" w:rsidR="00486A02" w:rsidRPr="00417522" w:rsidRDefault="00486A02"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val="restart"/>
            <w:shd w:val="clear" w:color="auto" w:fill="auto"/>
          </w:tcPr>
          <w:p w14:paraId="0966B9CD" w14:textId="77777777" w:rsidR="00486A02" w:rsidRPr="00417522" w:rsidRDefault="002B2E55" w:rsidP="008D3875">
            <w:pPr>
              <w:spacing w:before="40" w:after="40"/>
              <w:rPr>
                <w:rFonts w:ascii="Verdana" w:hAnsi="Verdana"/>
                <w:b/>
                <w:sz w:val="20"/>
                <w:szCs w:val="20"/>
              </w:rPr>
            </w:pPr>
            <w:r w:rsidRPr="00417522">
              <w:rPr>
                <w:rFonts w:ascii="Verdana" w:hAnsi="Verdana"/>
                <w:b/>
                <w:sz w:val="20"/>
                <w:szCs w:val="20"/>
              </w:rPr>
              <w:t>Катерина Димитрова</w:t>
            </w:r>
          </w:p>
          <w:p w14:paraId="44F2A3F2" w14:textId="77777777" w:rsidR="002B2E55" w:rsidRPr="00417522" w:rsidRDefault="00BA2ED2" w:rsidP="008D3875">
            <w:pPr>
              <w:spacing w:before="40" w:after="40"/>
              <w:rPr>
                <w:rFonts w:ascii="Verdana" w:hAnsi="Verdana"/>
                <w:sz w:val="20"/>
                <w:szCs w:val="20"/>
              </w:rPr>
            </w:pPr>
            <w:r w:rsidRPr="00417522">
              <w:rPr>
                <w:rFonts w:ascii="Verdana" w:hAnsi="Verdana"/>
                <w:sz w:val="20"/>
                <w:szCs w:val="20"/>
              </w:rPr>
              <w:t>(</w:t>
            </w:r>
            <w:r w:rsidR="00963040" w:rsidRPr="00417522">
              <w:rPr>
                <w:rFonts w:ascii="Verdana" w:hAnsi="Verdana"/>
                <w:sz w:val="20"/>
                <w:szCs w:val="20"/>
              </w:rPr>
              <w:t xml:space="preserve">Писмо </w:t>
            </w:r>
            <w:r w:rsidRPr="00417522">
              <w:rPr>
                <w:rFonts w:ascii="Verdana" w:hAnsi="Verdana"/>
                <w:sz w:val="20"/>
                <w:szCs w:val="20"/>
              </w:rPr>
              <w:t>№ 94-561 от 16.03.2022 г.)</w:t>
            </w:r>
          </w:p>
        </w:tc>
        <w:tc>
          <w:tcPr>
            <w:tcW w:w="5670" w:type="dxa"/>
            <w:tcBorders>
              <w:bottom w:val="nil"/>
            </w:tcBorders>
            <w:shd w:val="clear" w:color="auto" w:fill="auto"/>
          </w:tcPr>
          <w:p w14:paraId="2B8856C7" w14:textId="77777777" w:rsidR="00486A02" w:rsidRPr="00417522" w:rsidRDefault="002B2E55" w:rsidP="008D3875">
            <w:pPr>
              <w:spacing w:before="40" w:after="40"/>
              <w:jc w:val="both"/>
              <w:rPr>
                <w:rFonts w:ascii="Verdana" w:hAnsi="Verdana"/>
                <w:sz w:val="20"/>
                <w:szCs w:val="20"/>
              </w:rPr>
            </w:pPr>
            <w:r w:rsidRPr="00417522">
              <w:rPr>
                <w:rFonts w:ascii="Verdana" w:hAnsi="Verdana"/>
                <w:sz w:val="20"/>
                <w:szCs w:val="20"/>
              </w:rPr>
              <w:t>Във връзка с изменение на Наредба № 4 за прилагане на мярка 11 „Биологично земеделие“ имам следните предложения:</w:t>
            </w:r>
          </w:p>
        </w:tc>
        <w:tc>
          <w:tcPr>
            <w:tcW w:w="1701" w:type="dxa"/>
            <w:tcBorders>
              <w:bottom w:val="nil"/>
            </w:tcBorders>
            <w:shd w:val="clear" w:color="auto" w:fill="auto"/>
          </w:tcPr>
          <w:p w14:paraId="2875DE4C" w14:textId="77777777" w:rsidR="00486A02" w:rsidRPr="00417522" w:rsidRDefault="00486A02" w:rsidP="008D3875">
            <w:pPr>
              <w:spacing w:before="40" w:after="40"/>
              <w:rPr>
                <w:rFonts w:ascii="Verdana" w:hAnsi="Verdana"/>
                <w:sz w:val="20"/>
                <w:szCs w:val="20"/>
              </w:rPr>
            </w:pPr>
          </w:p>
        </w:tc>
        <w:tc>
          <w:tcPr>
            <w:tcW w:w="4964" w:type="dxa"/>
            <w:tcBorders>
              <w:bottom w:val="nil"/>
            </w:tcBorders>
            <w:shd w:val="clear" w:color="auto" w:fill="auto"/>
          </w:tcPr>
          <w:p w14:paraId="4CDDC075" w14:textId="77777777" w:rsidR="00486A02" w:rsidRPr="00417522" w:rsidRDefault="00486A02" w:rsidP="008D3875">
            <w:pPr>
              <w:spacing w:before="40" w:after="40"/>
              <w:rPr>
                <w:rFonts w:ascii="Verdana" w:hAnsi="Verdana"/>
                <w:sz w:val="20"/>
                <w:szCs w:val="20"/>
              </w:rPr>
            </w:pPr>
          </w:p>
        </w:tc>
      </w:tr>
      <w:tr w:rsidR="007E2D88" w:rsidRPr="00417522" w14:paraId="30CE0BA6" w14:textId="77777777" w:rsidTr="008D3875">
        <w:trPr>
          <w:trHeight w:val="596"/>
        </w:trPr>
        <w:tc>
          <w:tcPr>
            <w:tcW w:w="622" w:type="dxa"/>
            <w:vMerge/>
            <w:shd w:val="clear" w:color="auto" w:fill="auto"/>
          </w:tcPr>
          <w:p w14:paraId="4851DE3A" w14:textId="77777777" w:rsidR="007E2D88" w:rsidRPr="00417522" w:rsidRDefault="007E2D88"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shd w:val="clear" w:color="auto" w:fill="auto"/>
          </w:tcPr>
          <w:p w14:paraId="07C7364F" w14:textId="77777777" w:rsidR="007E2D88" w:rsidRPr="00417522" w:rsidRDefault="007E2D88" w:rsidP="008D3875">
            <w:pPr>
              <w:spacing w:before="40" w:after="40"/>
              <w:rPr>
                <w:rFonts w:ascii="Verdana" w:hAnsi="Verdana"/>
                <w:b/>
                <w:sz w:val="20"/>
                <w:szCs w:val="20"/>
              </w:rPr>
            </w:pPr>
          </w:p>
        </w:tc>
        <w:tc>
          <w:tcPr>
            <w:tcW w:w="5670" w:type="dxa"/>
            <w:tcBorders>
              <w:top w:val="nil"/>
              <w:bottom w:val="nil"/>
            </w:tcBorders>
            <w:shd w:val="clear" w:color="auto" w:fill="auto"/>
          </w:tcPr>
          <w:p w14:paraId="0EFAC0F2" w14:textId="00AD27CD" w:rsidR="000D3663" w:rsidRPr="00610A68" w:rsidRDefault="007B72CF" w:rsidP="008D3875">
            <w:pPr>
              <w:pStyle w:val="ListParagraph"/>
              <w:spacing w:before="40" w:after="40"/>
              <w:ind w:left="34"/>
              <w:jc w:val="both"/>
              <w:rPr>
                <w:rFonts w:ascii="Verdana" w:hAnsi="Verdana"/>
                <w:sz w:val="20"/>
                <w:szCs w:val="20"/>
                <w:lang w:val="ru-RU"/>
              </w:rPr>
            </w:pPr>
            <w:r>
              <w:rPr>
                <w:rFonts w:ascii="Verdana" w:hAnsi="Verdana"/>
                <w:sz w:val="20"/>
                <w:szCs w:val="20"/>
                <w:lang w:val="ru-RU"/>
              </w:rPr>
              <w:t xml:space="preserve">1. </w:t>
            </w:r>
            <w:r w:rsidR="007E2D88" w:rsidRPr="000D3663">
              <w:rPr>
                <w:rFonts w:ascii="Verdana" w:hAnsi="Verdana"/>
                <w:sz w:val="20"/>
                <w:szCs w:val="20"/>
              </w:rPr>
              <w:t xml:space="preserve">Изискването за оценка за встъпване на насажденията в период на плододаване </w:t>
            </w:r>
            <w:r w:rsidR="008D3875">
              <w:rPr>
                <w:rFonts w:ascii="Verdana" w:hAnsi="Verdana"/>
                <w:sz w:val="20"/>
                <w:szCs w:val="20"/>
              </w:rPr>
              <w:t>д</w:t>
            </w:r>
            <w:r w:rsidR="007E2D88" w:rsidRPr="000D3663">
              <w:rPr>
                <w:rFonts w:ascii="Verdana" w:hAnsi="Verdana"/>
                <w:sz w:val="20"/>
                <w:szCs w:val="20"/>
              </w:rPr>
              <w:t>а отпадне.</w:t>
            </w:r>
          </w:p>
        </w:tc>
        <w:tc>
          <w:tcPr>
            <w:tcW w:w="1701" w:type="dxa"/>
            <w:tcBorders>
              <w:top w:val="nil"/>
              <w:bottom w:val="nil"/>
            </w:tcBorders>
            <w:shd w:val="clear" w:color="auto" w:fill="auto"/>
          </w:tcPr>
          <w:p w14:paraId="44C8C6C0" w14:textId="26781E56" w:rsidR="007E2D88" w:rsidRPr="007B72CF" w:rsidRDefault="00657891" w:rsidP="008D3875">
            <w:pPr>
              <w:spacing w:before="40" w:after="40"/>
              <w:rPr>
                <w:rFonts w:ascii="Verdana" w:hAnsi="Verdana"/>
                <w:color w:val="000000" w:themeColor="text1"/>
                <w:sz w:val="20"/>
                <w:szCs w:val="20"/>
              </w:rPr>
            </w:pPr>
            <w:r w:rsidRPr="007B72CF">
              <w:rPr>
                <w:rFonts w:ascii="Verdana" w:hAnsi="Verdana"/>
                <w:color w:val="000000" w:themeColor="text1"/>
                <w:sz w:val="20"/>
                <w:szCs w:val="20"/>
              </w:rPr>
              <w:t>П</w:t>
            </w:r>
            <w:r w:rsidR="007E2D88" w:rsidRPr="007B72CF">
              <w:rPr>
                <w:rFonts w:ascii="Verdana" w:hAnsi="Verdana"/>
                <w:color w:val="000000" w:themeColor="text1"/>
                <w:sz w:val="20"/>
                <w:szCs w:val="20"/>
              </w:rPr>
              <w:t>риема</w:t>
            </w:r>
            <w:r w:rsidRPr="007B72CF">
              <w:rPr>
                <w:rFonts w:ascii="Verdana" w:hAnsi="Verdana"/>
                <w:color w:val="000000" w:themeColor="text1"/>
                <w:sz w:val="20"/>
                <w:szCs w:val="20"/>
              </w:rPr>
              <w:t xml:space="preserve"> се </w:t>
            </w:r>
          </w:p>
        </w:tc>
        <w:tc>
          <w:tcPr>
            <w:tcW w:w="4964" w:type="dxa"/>
            <w:tcBorders>
              <w:top w:val="nil"/>
              <w:bottom w:val="nil"/>
            </w:tcBorders>
            <w:shd w:val="clear" w:color="auto" w:fill="auto"/>
          </w:tcPr>
          <w:p w14:paraId="48AD060D" w14:textId="69307DEA" w:rsidR="00C80BF0" w:rsidRPr="00417522" w:rsidRDefault="00C80BF0" w:rsidP="008D3875">
            <w:pPr>
              <w:spacing w:before="40" w:after="40"/>
              <w:jc w:val="both"/>
              <w:rPr>
                <w:rFonts w:ascii="Verdana" w:hAnsi="Verdana"/>
                <w:sz w:val="20"/>
                <w:szCs w:val="20"/>
              </w:rPr>
            </w:pPr>
          </w:p>
        </w:tc>
      </w:tr>
      <w:tr w:rsidR="008D3875" w:rsidRPr="00417522" w14:paraId="3F13E48A" w14:textId="77777777" w:rsidTr="008D3875">
        <w:trPr>
          <w:trHeight w:val="596"/>
        </w:trPr>
        <w:tc>
          <w:tcPr>
            <w:tcW w:w="622" w:type="dxa"/>
            <w:vMerge/>
            <w:shd w:val="clear" w:color="auto" w:fill="auto"/>
          </w:tcPr>
          <w:p w14:paraId="663E30D1" w14:textId="77777777" w:rsidR="008D3875" w:rsidRPr="00417522" w:rsidRDefault="008D3875"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shd w:val="clear" w:color="auto" w:fill="auto"/>
          </w:tcPr>
          <w:p w14:paraId="7AE3A74D" w14:textId="77777777" w:rsidR="008D3875" w:rsidRPr="00417522" w:rsidRDefault="008D3875" w:rsidP="008D3875">
            <w:pPr>
              <w:spacing w:before="40" w:after="40"/>
              <w:rPr>
                <w:rFonts w:ascii="Verdana" w:hAnsi="Verdana"/>
                <w:b/>
                <w:sz w:val="20"/>
                <w:szCs w:val="20"/>
              </w:rPr>
            </w:pPr>
          </w:p>
        </w:tc>
        <w:tc>
          <w:tcPr>
            <w:tcW w:w="5670" w:type="dxa"/>
            <w:tcBorders>
              <w:top w:val="nil"/>
              <w:bottom w:val="nil"/>
            </w:tcBorders>
            <w:shd w:val="clear" w:color="auto" w:fill="auto"/>
          </w:tcPr>
          <w:p w14:paraId="0A962BF6" w14:textId="320002ED" w:rsidR="008D3875" w:rsidRPr="007619C9" w:rsidRDefault="008D3875" w:rsidP="008D3875">
            <w:pPr>
              <w:spacing w:before="40" w:after="40"/>
              <w:jc w:val="both"/>
              <w:rPr>
                <w:rFonts w:ascii="Verdana" w:hAnsi="Verdana"/>
                <w:sz w:val="20"/>
                <w:szCs w:val="20"/>
              </w:rPr>
            </w:pPr>
            <w:r w:rsidRPr="007619C9">
              <w:rPr>
                <w:rFonts w:ascii="Verdana" w:hAnsi="Verdana"/>
                <w:sz w:val="20"/>
                <w:szCs w:val="20"/>
              </w:rPr>
              <w:t>2. При проверка на ДФЗ по Мярка 11, задължително БАБХ да взема проба за пестициди.</w:t>
            </w:r>
          </w:p>
        </w:tc>
        <w:tc>
          <w:tcPr>
            <w:tcW w:w="1701" w:type="dxa"/>
            <w:tcBorders>
              <w:top w:val="nil"/>
              <w:bottom w:val="nil"/>
            </w:tcBorders>
            <w:shd w:val="clear" w:color="auto" w:fill="auto"/>
          </w:tcPr>
          <w:p w14:paraId="3E2140ED" w14:textId="027B698A" w:rsidR="008D3875" w:rsidRPr="007619C9" w:rsidRDefault="008D3875" w:rsidP="008D3875">
            <w:pPr>
              <w:spacing w:before="40" w:after="40"/>
              <w:rPr>
                <w:rFonts w:ascii="Verdana" w:hAnsi="Verdana"/>
                <w:sz w:val="20"/>
                <w:szCs w:val="20"/>
              </w:rPr>
            </w:pPr>
            <w:r w:rsidRPr="007619C9">
              <w:rPr>
                <w:rFonts w:ascii="Verdana" w:hAnsi="Verdana"/>
                <w:sz w:val="20"/>
                <w:szCs w:val="20"/>
              </w:rPr>
              <w:t>Не се приема</w:t>
            </w:r>
          </w:p>
        </w:tc>
        <w:tc>
          <w:tcPr>
            <w:tcW w:w="4964" w:type="dxa"/>
            <w:vMerge w:val="restart"/>
            <w:tcBorders>
              <w:top w:val="nil"/>
            </w:tcBorders>
            <w:shd w:val="clear" w:color="auto" w:fill="auto"/>
          </w:tcPr>
          <w:p w14:paraId="445BDB88" w14:textId="77777777" w:rsidR="008D3875" w:rsidRDefault="008D3875" w:rsidP="008D3875">
            <w:pPr>
              <w:spacing w:before="40" w:after="40"/>
              <w:jc w:val="both"/>
              <w:rPr>
                <w:rFonts w:ascii="Verdana" w:hAnsi="Verdana"/>
                <w:sz w:val="20"/>
                <w:szCs w:val="20"/>
              </w:rPr>
            </w:pPr>
            <w:r>
              <w:rPr>
                <w:rFonts w:ascii="Verdana" w:hAnsi="Verdana"/>
                <w:sz w:val="20"/>
                <w:szCs w:val="20"/>
              </w:rPr>
              <w:t>Съгласно одобрената ПРСР 2014-2020 г. б</w:t>
            </w:r>
            <w:r w:rsidRPr="00C0387B">
              <w:rPr>
                <w:rFonts w:ascii="Verdana" w:hAnsi="Verdana"/>
                <w:sz w:val="20"/>
                <w:szCs w:val="20"/>
              </w:rPr>
              <w:t>енефициентите по мярка</w:t>
            </w:r>
            <w:r>
              <w:rPr>
                <w:rFonts w:ascii="Verdana" w:hAnsi="Verdana"/>
                <w:sz w:val="20"/>
                <w:szCs w:val="20"/>
              </w:rPr>
              <w:t xml:space="preserve"> 11 „Биологично земеделие“</w:t>
            </w:r>
            <w:r w:rsidRPr="00C0387B">
              <w:rPr>
                <w:rFonts w:ascii="Verdana" w:hAnsi="Verdana"/>
                <w:sz w:val="20"/>
                <w:szCs w:val="20"/>
              </w:rPr>
              <w:t xml:space="preserve"> трябва да</w:t>
            </w:r>
            <w:r>
              <w:rPr>
                <w:rFonts w:ascii="Verdana" w:hAnsi="Verdana"/>
                <w:sz w:val="20"/>
                <w:szCs w:val="20"/>
              </w:rPr>
              <w:t xml:space="preserve"> </w:t>
            </w:r>
            <w:r w:rsidRPr="00C0387B">
              <w:rPr>
                <w:rFonts w:ascii="Verdana" w:hAnsi="Verdana"/>
                <w:sz w:val="20"/>
                <w:szCs w:val="20"/>
              </w:rPr>
              <w:t xml:space="preserve">спазват изискванията на </w:t>
            </w:r>
            <w:hyperlink r:id="rId8" w:history="1">
              <w:r w:rsidRPr="000453DC">
                <w:rPr>
                  <w:rFonts w:ascii="Verdana" w:hAnsi="Verdana"/>
                  <w:sz w:val="20"/>
                  <w:szCs w:val="20"/>
                </w:rPr>
                <w:t>Регламент (ЕО) № 834/2007 </w:t>
              </w:r>
            </w:hyperlink>
            <w:r w:rsidRPr="000453DC">
              <w:rPr>
                <w:rFonts w:ascii="Verdana" w:hAnsi="Verdana"/>
                <w:sz w:val="20"/>
                <w:szCs w:val="20"/>
              </w:rPr>
              <w:t>на Съвета от 28 юни 2007 г. относно биологичното производство и етикетирането на биологични продукти и за отмяна на </w:t>
            </w:r>
            <w:hyperlink r:id="rId9" w:history="1">
              <w:r w:rsidRPr="000453DC">
                <w:rPr>
                  <w:rFonts w:ascii="Verdana" w:hAnsi="Verdana"/>
                  <w:sz w:val="20"/>
                  <w:szCs w:val="20"/>
                </w:rPr>
                <w:t>Регламент (ЕИО) № 2092/91 </w:t>
              </w:r>
            </w:hyperlink>
            <w:r w:rsidRPr="000453DC">
              <w:rPr>
                <w:rFonts w:ascii="Verdana" w:hAnsi="Verdana"/>
                <w:sz w:val="20"/>
                <w:szCs w:val="20"/>
              </w:rPr>
              <w:t>(</w:t>
            </w:r>
            <w:hyperlink r:id="rId10" w:history="1">
              <w:r w:rsidRPr="000453DC">
                <w:rPr>
                  <w:rFonts w:ascii="Verdana" w:hAnsi="Verdana"/>
                  <w:sz w:val="20"/>
                  <w:szCs w:val="20"/>
                </w:rPr>
                <w:t>Регламент (ЕО) № 834/2007</w:t>
              </w:r>
            </w:hyperlink>
            <w:r w:rsidRPr="000453DC">
              <w:rPr>
                <w:rFonts w:ascii="Verdana" w:hAnsi="Verdana"/>
                <w:sz w:val="20"/>
                <w:szCs w:val="20"/>
              </w:rPr>
              <w:t>) (ОВ L, бр. 189 от 20 юли 2007 г.)</w:t>
            </w:r>
            <w:r>
              <w:rPr>
                <w:rFonts w:ascii="Verdana" w:hAnsi="Verdana"/>
                <w:sz w:val="20"/>
                <w:szCs w:val="20"/>
              </w:rPr>
              <w:t>,</w:t>
            </w:r>
            <w:r w:rsidRPr="00C0387B">
              <w:rPr>
                <w:rFonts w:ascii="Verdana" w:hAnsi="Verdana"/>
                <w:sz w:val="20"/>
                <w:szCs w:val="20"/>
              </w:rPr>
              <w:t xml:space="preserve"> а след 01.01.2022</w:t>
            </w:r>
            <w:r>
              <w:rPr>
                <w:rFonts w:ascii="Verdana" w:hAnsi="Verdana"/>
                <w:sz w:val="20"/>
                <w:szCs w:val="20"/>
              </w:rPr>
              <w:t xml:space="preserve"> </w:t>
            </w:r>
            <w:r w:rsidRPr="00C0387B">
              <w:rPr>
                <w:rFonts w:ascii="Verdana" w:hAnsi="Verdana"/>
                <w:sz w:val="20"/>
                <w:szCs w:val="20"/>
              </w:rPr>
              <w:t>г</w:t>
            </w:r>
            <w:r>
              <w:rPr>
                <w:rFonts w:ascii="Verdana" w:hAnsi="Verdana"/>
                <w:sz w:val="20"/>
                <w:szCs w:val="20"/>
              </w:rPr>
              <w:t>.</w:t>
            </w:r>
            <w:r w:rsidRPr="00C0387B">
              <w:rPr>
                <w:rFonts w:ascii="Verdana" w:hAnsi="Verdana"/>
                <w:sz w:val="20"/>
                <w:szCs w:val="20"/>
              </w:rPr>
              <w:t xml:space="preserve">  на </w:t>
            </w:r>
            <w:bookmarkStart w:id="1" w:name="_Hlk95384762"/>
            <w:r w:rsidRPr="004156FA">
              <w:rPr>
                <w:rFonts w:ascii="Verdana" w:hAnsi="Verdana"/>
                <w:sz w:val="20"/>
                <w:szCs w:val="20"/>
              </w:rPr>
              <w:fldChar w:fldCharType="begin"/>
            </w:r>
            <w:r w:rsidRPr="004156FA">
              <w:rPr>
                <w:rFonts w:ascii="Verdana" w:hAnsi="Verdana"/>
                <w:sz w:val="20"/>
                <w:szCs w:val="20"/>
              </w:rPr>
              <w:instrText xml:space="preserve"> HYPERLINK "javascript:%20NavigateDocument('EU320144R0808');" </w:instrText>
            </w:r>
            <w:r w:rsidRPr="004156FA">
              <w:rPr>
                <w:rFonts w:ascii="Verdana" w:hAnsi="Verdana"/>
                <w:sz w:val="20"/>
                <w:szCs w:val="20"/>
              </w:rPr>
              <w:fldChar w:fldCharType="separate"/>
            </w:r>
            <w:bookmarkStart w:id="2" w:name="_Hlk94626629"/>
            <w:r w:rsidRPr="004156FA">
              <w:rPr>
                <w:rFonts w:ascii="Verdana" w:hAnsi="Verdana"/>
                <w:sz w:val="20"/>
                <w:szCs w:val="20"/>
              </w:rPr>
              <w:t xml:space="preserve">Регламент (ЕС) 2018/848 </w:t>
            </w:r>
            <w:bookmarkEnd w:id="2"/>
            <w:r w:rsidRPr="004156FA">
              <w:rPr>
                <w:rFonts w:ascii="Verdana" w:hAnsi="Verdana"/>
                <w:sz w:val="20"/>
                <w:szCs w:val="20"/>
              </w:rPr>
              <w:t>на Европейския парламент и на Съвета от 30 май 2018 година</w:t>
            </w:r>
            <w:r w:rsidRPr="004156FA">
              <w:rPr>
                <w:rFonts w:ascii="Verdana" w:hAnsi="Verdana"/>
                <w:sz w:val="20"/>
                <w:szCs w:val="20"/>
              </w:rPr>
              <w:fldChar w:fldCharType="end"/>
            </w:r>
            <w:r w:rsidRPr="004156FA">
              <w:rPr>
                <w:rFonts w:ascii="Verdana" w:hAnsi="Verdana"/>
                <w:sz w:val="20"/>
                <w:szCs w:val="20"/>
              </w:rPr>
              <w:t xml:space="preserve"> относно биологичното производство и етикетирането на биологични продукти и за отмяна на Регламент (ЕО) № 834/2007 на Съвета (ОВ, L 150 от 14 юни 2018 г.) (</w:t>
            </w:r>
            <w:bookmarkStart w:id="3" w:name="_Hlk95298394"/>
            <w:r w:rsidRPr="004156FA">
              <w:rPr>
                <w:rFonts w:ascii="Verdana" w:hAnsi="Verdana"/>
                <w:sz w:val="20"/>
                <w:szCs w:val="20"/>
              </w:rPr>
              <w:t>Регламент (ЕС) 2018/848</w:t>
            </w:r>
            <w:bookmarkEnd w:id="1"/>
            <w:bookmarkEnd w:id="3"/>
            <w:r w:rsidRPr="004156FA">
              <w:rPr>
                <w:rFonts w:ascii="Verdana" w:hAnsi="Verdana"/>
                <w:sz w:val="20"/>
                <w:szCs w:val="20"/>
              </w:rPr>
              <w:t xml:space="preserve">) </w:t>
            </w:r>
            <w:r w:rsidRPr="00C0387B">
              <w:rPr>
                <w:rFonts w:ascii="Verdana" w:hAnsi="Verdana"/>
                <w:sz w:val="20"/>
                <w:szCs w:val="20"/>
              </w:rPr>
              <w:t xml:space="preserve">и да имат сключен договор с </w:t>
            </w:r>
            <w:r>
              <w:rPr>
                <w:rFonts w:ascii="Verdana" w:hAnsi="Verdana"/>
                <w:sz w:val="20"/>
                <w:szCs w:val="20"/>
              </w:rPr>
              <w:t>к</w:t>
            </w:r>
            <w:r w:rsidRPr="00C0387B">
              <w:rPr>
                <w:rFonts w:ascii="Verdana" w:hAnsi="Verdana"/>
                <w:sz w:val="20"/>
                <w:szCs w:val="20"/>
              </w:rPr>
              <w:t>онтролиращо лице за биологично производство, одобрено от министъра на земед</w:t>
            </w:r>
            <w:r>
              <w:rPr>
                <w:rFonts w:ascii="Verdana" w:hAnsi="Verdana"/>
                <w:sz w:val="20"/>
                <w:szCs w:val="20"/>
              </w:rPr>
              <w:t>елието</w:t>
            </w:r>
            <w:r w:rsidRPr="00C0387B">
              <w:rPr>
                <w:rFonts w:ascii="Verdana" w:hAnsi="Verdana"/>
                <w:sz w:val="20"/>
                <w:szCs w:val="20"/>
              </w:rPr>
              <w:t xml:space="preserve">, за преминаване към и/или </w:t>
            </w:r>
            <w:r w:rsidRPr="00C0387B">
              <w:rPr>
                <w:rFonts w:ascii="Verdana" w:hAnsi="Verdana"/>
                <w:sz w:val="20"/>
                <w:szCs w:val="20"/>
              </w:rPr>
              <w:lastRenderedPageBreak/>
              <w:t>продължаване на управлението в съответствие с правилата за биологично производство съгласно изискванията на Регламент (ЕО) № 834/2007, а след 01.01.2022 на Регламент</w:t>
            </w:r>
            <w:r>
              <w:rPr>
                <w:rFonts w:ascii="Verdana" w:hAnsi="Verdana"/>
                <w:sz w:val="20"/>
                <w:szCs w:val="20"/>
              </w:rPr>
              <w:t xml:space="preserve"> </w:t>
            </w:r>
            <w:r w:rsidRPr="00C0387B">
              <w:rPr>
                <w:rFonts w:ascii="Verdana" w:hAnsi="Verdana"/>
                <w:sz w:val="20"/>
                <w:szCs w:val="20"/>
              </w:rPr>
              <w:t>(ЕС) 2018/848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r>
              <w:rPr>
                <w:rFonts w:ascii="Verdana" w:hAnsi="Verdana"/>
                <w:sz w:val="20"/>
                <w:szCs w:val="20"/>
              </w:rPr>
              <w:t>.</w:t>
            </w:r>
          </w:p>
          <w:p w14:paraId="1301D856" w14:textId="77777777" w:rsidR="008D3875" w:rsidRDefault="008D3875" w:rsidP="008D3875">
            <w:pPr>
              <w:spacing w:before="40" w:after="40"/>
              <w:jc w:val="both"/>
              <w:rPr>
                <w:rFonts w:ascii="Verdana" w:hAnsi="Verdana"/>
                <w:sz w:val="20"/>
                <w:szCs w:val="20"/>
              </w:rPr>
            </w:pPr>
            <w:r>
              <w:rPr>
                <w:rFonts w:ascii="Verdana" w:hAnsi="Verdana"/>
                <w:sz w:val="20"/>
                <w:szCs w:val="20"/>
              </w:rPr>
              <w:t xml:space="preserve">В </w:t>
            </w:r>
            <w:r w:rsidRPr="00852D6F">
              <w:rPr>
                <w:rFonts w:ascii="Verdana" w:hAnsi="Verdana"/>
                <w:sz w:val="20"/>
                <w:szCs w:val="20"/>
              </w:rPr>
              <w:t>Наредба № 4 от 2015 г. за прилагане на мярка 11 „Биологично земеделие“ от Програмата за развитие на селските райони за периода 2014 – 2020 г.</w:t>
            </w:r>
            <w:r>
              <w:rPr>
                <w:rFonts w:ascii="Verdana" w:hAnsi="Verdana"/>
                <w:sz w:val="20"/>
                <w:szCs w:val="20"/>
              </w:rPr>
              <w:t xml:space="preserve"> няма заложено изискване, как контролиращите лица да извършват своята надзорна дейност върху биологичните оператори. </w:t>
            </w:r>
          </w:p>
          <w:p w14:paraId="48D50C3F" w14:textId="77777777" w:rsidR="008D3875" w:rsidRDefault="008D3875" w:rsidP="008D3875">
            <w:pPr>
              <w:spacing w:before="40" w:after="40"/>
              <w:jc w:val="both"/>
              <w:rPr>
                <w:rFonts w:ascii="Verdana" w:hAnsi="Verdana"/>
                <w:sz w:val="20"/>
                <w:szCs w:val="20"/>
              </w:rPr>
            </w:pPr>
            <w:r>
              <w:rPr>
                <w:rFonts w:ascii="Verdana" w:hAnsi="Verdana"/>
                <w:sz w:val="20"/>
                <w:szCs w:val="20"/>
              </w:rPr>
              <w:t xml:space="preserve">Цитираното в мотивите изискване за вземане на проби от страна контролиращите лица е заложено </w:t>
            </w:r>
            <w:r w:rsidRPr="007C4567">
              <w:rPr>
                <w:rFonts w:ascii="Verdana" w:hAnsi="Verdana"/>
                <w:sz w:val="20"/>
                <w:szCs w:val="20"/>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Pr>
                <w:rFonts w:ascii="Verdana" w:hAnsi="Verdana"/>
                <w:sz w:val="20"/>
                <w:szCs w:val="20"/>
              </w:rPr>
              <w:t>.</w:t>
            </w:r>
          </w:p>
          <w:p w14:paraId="1CC4A5A8" w14:textId="181F58E9" w:rsidR="008D3875" w:rsidRDefault="008D3875" w:rsidP="008D3875">
            <w:pPr>
              <w:spacing w:before="40" w:after="40"/>
              <w:jc w:val="both"/>
              <w:rPr>
                <w:rFonts w:ascii="Verdana" w:hAnsi="Verdana"/>
                <w:sz w:val="20"/>
                <w:szCs w:val="20"/>
              </w:rPr>
            </w:pPr>
            <w:r>
              <w:rPr>
                <w:rFonts w:ascii="Verdana" w:hAnsi="Verdana"/>
                <w:sz w:val="20"/>
                <w:szCs w:val="20"/>
              </w:rPr>
              <w:t xml:space="preserve">При извършване на административните проверки, както и проверките на място, ДФЗ се съобразява с цялото европейско и </w:t>
            </w:r>
            <w:r>
              <w:rPr>
                <w:rFonts w:ascii="Verdana" w:hAnsi="Verdana"/>
                <w:sz w:val="20"/>
                <w:szCs w:val="20"/>
              </w:rPr>
              <w:lastRenderedPageBreak/>
              <w:t>национално законодателство в областта на биологичното земеделие.</w:t>
            </w:r>
          </w:p>
        </w:tc>
      </w:tr>
      <w:tr w:rsidR="008D3875" w:rsidRPr="00417522" w14:paraId="55754BCF" w14:textId="77777777" w:rsidTr="008D3875">
        <w:trPr>
          <w:trHeight w:val="596"/>
        </w:trPr>
        <w:tc>
          <w:tcPr>
            <w:tcW w:w="622" w:type="dxa"/>
            <w:vMerge/>
            <w:shd w:val="clear" w:color="auto" w:fill="auto"/>
          </w:tcPr>
          <w:p w14:paraId="6BA19A7F" w14:textId="77777777" w:rsidR="008D3875" w:rsidRPr="00417522" w:rsidRDefault="008D3875"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shd w:val="clear" w:color="auto" w:fill="auto"/>
          </w:tcPr>
          <w:p w14:paraId="31B0E702" w14:textId="77777777" w:rsidR="008D3875" w:rsidRPr="00417522" w:rsidRDefault="008D3875" w:rsidP="008D3875">
            <w:pPr>
              <w:spacing w:before="40" w:after="40"/>
              <w:rPr>
                <w:rFonts w:ascii="Verdana" w:hAnsi="Verdana"/>
                <w:b/>
                <w:sz w:val="20"/>
                <w:szCs w:val="20"/>
              </w:rPr>
            </w:pPr>
          </w:p>
        </w:tc>
        <w:tc>
          <w:tcPr>
            <w:tcW w:w="5670" w:type="dxa"/>
            <w:tcBorders>
              <w:top w:val="nil"/>
              <w:bottom w:val="nil"/>
            </w:tcBorders>
            <w:shd w:val="clear" w:color="auto" w:fill="auto"/>
          </w:tcPr>
          <w:p w14:paraId="6A9B0EB7"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МОТИВИ</w:t>
            </w:r>
          </w:p>
          <w:p w14:paraId="59907E43"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1. От години проверките на ДФЗ по Мярка 11 са само по документи и без проби</w:t>
            </w:r>
            <w:r>
              <w:rPr>
                <w:rFonts w:ascii="Verdana" w:hAnsi="Verdana"/>
                <w:sz w:val="20"/>
                <w:szCs w:val="20"/>
              </w:rPr>
              <w:t xml:space="preserve"> </w:t>
            </w:r>
            <w:r w:rsidRPr="00417522">
              <w:rPr>
                <w:rFonts w:ascii="Verdana" w:hAnsi="Verdana"/>
                <w:sz w:val="20"/>
                <w:szCs w:val="20"/>
              </w:rPr>
              <w:t>от БАБХ за пестициди</w:t>
            </w:r>
          </w:p>
          <w:p w14:paraId="1748ACE1"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2. В момента НАРЕДБА № 4 задължава контролиращите лица да вземат проби в годината на изтичане на преходния период. Еврорегламентите от своя страна ги задължават да вземат проби на определен малък процент от операторите. И тъй като пробите са скъпи, а и контролиращите лица имат ограничен ресурс от служители, на практика става така, че те вземат проби само от тези оператори с изтичащ преходен период. И не от други. Няма го случайния принцип на изненада, всеки знае коя година ще му вземат проба.</w:t>
            </w:r>
          </w:p>
          <w:p w14:paraId="5A1CF3BA"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 xml:space="preserve">3. Тези два факта благоприятстват използването </w:t>
            </w:r>
            <w:r w:rsidRPr="00417522">
              <w:rPr>
                <w:rFonts w:ascii="Verdana" w:hAnsi="Verdana"/>
                <w:sz w:val="20"/>
                <w:szCs w:val="20"/>
              </w:rPr>
              <w:lastRenderedPageBreak/>
              <w:t>на непозволени вещества от биопроизводители, бенифециенти по Мярка 6.1. и 11. Едните са получили приоритет незаслужено, а другите не би трябвало изобщо да получават средства за биоземеделие.</w:t>
            </w:r>
          </w:p>
          <w:p w14:paraId="23BF050F"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4. Вместо това вече поредна година ще бъдат отрязани реални биопроизводители с млади насаждения, които не са встъпили в плододаване, в случай на поемане на нов ангажимент. И въобще тази Наредба за оценка е много остаряла и неприложима.</w:t>
            </w:r>
          </w:p>
          <w:p w14:paraId="7231C5CC"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5. Това подкопава доверието на хората в биоземеделието изобщо и подменя ценностите му с лъжа.</w:t>
            </w:r>
          </w:p>
          <w:p w14:paraId="7A7E0988" w14:textId="77777777" w:rsidR="008D3875" w:rsidRPr="00417522" w:rsidRDefault="008D3875" w:rsidP="008D3875">
            <w:pPr>
              <w:spacing w:before="40" w:after="40"/>
              <w:jc w:val="both"/>
              <w:rPr>
                <w:rFonts w:ascii="Verdana" w:hAnsi="Verdana"/>
                <w:sz w:val="20"/>
                <w:szCs w:val="20"/>
              </w:rPr>
            </w:pPr>
            <w:r w:rsidRPr="00417522">
              <w:rPr>
                <w:rFonts w:ascii="Verdana" w:hAnsi="Verdana"/>
                <w:sz w:val="20"/>
                <w:szCs w:val="20"/>
              </w:rPr>
              <w:t>6. Не е чудно, че някой от браншовите организации протестират срещу активната намеса на БАБХ в сектора и настояват да има оценка вместо това. Логично е само, ако много от членовете им използват непозволени вещества. Което доказва, какво всъщност се случва масово в сектора.</w:t>
            </w:r>
          </w:p>
        </w:tc>
        <w:tc>
          <w:tcPr>
            <w:tcW w:w="1701" w:type="dxa"/>
            <w:tcBorders>
              <w:top w:val="nil"/>
              <w:bottom w:val="nil"/>
            </w:tcBorders>
            <w:shd w:val="clear" w:color="auto" w:fill="auto"/>
          </w:tcPr>
          <w:p w14:paraId="5040B24C" w14:textId="65FF476E" w:rsidR="008D3875" w:rsidRPr="00417522" w:rsidRDefault="008D3875" w:rsidP="008D3875">
            <w:pPr>
              <w:spacing w:before="40" w:after="40"/>
              <w:rPr>
                <w:rFonts w:ascii="Verdana" w:hAnsi="Verdana"/>
                <w:color w:val="FF0000"/>
                <w:sz w:val="20"/>
                <w:szCs w:val="20"/>
              </w:rPr>
            </w:pPr>
          </w:p>
        </w:tc>
        <w:tc>
          <w:tcPr>
            <w:tcW w:w="4964" w:type="dxa"/>
            <w:vMerge/>
            <w:tcBorders>
              <w:bottom w:val="nil"/>
            </w:tcBorders>
            <w:shd w:val="clear" w:color="auto" w:fill="auto"/>
          </w:tcPr>
          <w:p w14:paraId="654CFC3B" w14:textId="1A5ED4F3" w:rsidR="008D3875" w:rsidRPr="00417522" w:rsidRDefault="008D3875" w:rsidP="008D3875">
            <w:pPr>
              <w:spacing w:before="40" w:after="40"/>
              <w:jc w:val="both"/>
              <w:rPr>
                <w:rFonts w:ascii="Verdana" w:hAnsi="Verdana"/>
                <w:sz w:val="20"/>
                <w:szCs w:val="20"/>
              </w:rPr>
            </w:pPr>
          </w:p>
        </w:tc>
      </w:tr>
      <w:tr w:rsidR="00C80BF0" w:rsidRPr="00417522" w14:paraId="4557D93B" w14:textId="77777777" w:rsidTr="008D3875">
        <w:trPr>
          <w:trHeight w:val="596"/>
        </w:trPr>
        <w:tc>
          <w:tcPr>
            <w:tcW w:w="622" w:type="dxa"/>
            <w:vMerge w:val="restart"/>
            <w:shd w:val="clear" w:color="auto" w:fill="auto"/>
          </w:tcPr>
          <w:p w14:paraId="0FEA1F04" w14:textId="77777777" w:rsidR="00C80BF0" w:rsidRPr="00417522" w:rsidRDefault="00C80BF0"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val="restart"/>
            <w:shd w:val="clear" w:color="auto" w:fill="auto"/>
          </w:tcPr>
          <w:p w14:paraId="23B495A0" w14:textId="77777777" w:rsidR="00C80BF0" w:rsidRPr="00417522" w:rsidRDefault="00C80BF0" w:rsidP="008D3875">
            <w:pPr>
              <w:spacing w:before="40" w:after="40"/>
              <w:rPr>
                <w:rFonts w:ascii="Verdana" w:hAnsi="Verdana"/>
                <w:b/>
                <w:spacing w:val="-2"/>
                <w:sz w:val="20"/>
                <w:szCs w:val="20"/>
              </w:rPr>
            </w:pPr>
            <w:r w:rsidRPr="00417522">
              <w:rPr>
                <w:rFonts w:ascii="Verdana" w:hAnsi="Verdana"/>
                <w:b/>
                <w:sz w:val="20"/>
                <w:szCs w:val="20"/>
              </w:rPr>
              <w:t xml:space="preserve">Българска асоциация </w:t>
            </w:r>
            <w:r w:rsidRPr="00417522">
              <w:rPr>
                <w:rFonts w:ascii="Verdana" w:hAnsi="Verdana"/>
                <w:b/>
                <w:spacing w:val="-2"/>
                <w:sz w:val="20"/>
                <w:szCs w:val="20"/>
              </w:rPr>
              <w:t xml:space="preserve">на </w:t>
            </w:r>
            <w:r w:rsidRPr="008D3875">
              <w:rPr>
                <w:rFonts w:ascii="Verdana" w:hAnsi="Verdana"/>
                <w:b/>
                <w:spacing w:val="-4"/>
                <w:sz w:val="20"/>
                <w:szCs w:val="20"/>
              </w:rPr>
              <w:t>биопроизводителите</w:t>
            </w:r>
          </w:p>
          <w:p w14:paraId="61DCE54D" w14:textId="77777777" w:rsidR="00C80BF0" w:rsidRPr="00417522" w:rsidRDefault="00C80BF0" w:rsidP="008D3875">
            <w:pPr>
              <w:spacing w:before="40" w:after="40"/>
              <w:rPr>
                <w:rFonts w:ascii="Verdana" w:hAnsi="Verdana"/>
                <w:b/>
                <w:sz w:val="20"/>
                <w:szCs w:val="20"/>
              </w:rPr>
            </w:pPr>
            <w:r w:rsidRPr="00417522">
              <w:rPr>
                <w:rFonts w:ascii="Verdana" w:hAnsi="Verdana"/>
                <w:sz w:val="20"/>
                <w:szCs w:val="20"/>
              </w:rPr>
              <w:t>(Писмо № 15-197 от 28.03.2022 г.)</w:t>
            </w:r>
          </w:p>
        </w:tc>
        <w:tc>
          <w:tcPr>
            <w:tcW w:w="5670" w:type="dxa"/>
            <w:tcBorders>
              <w:bottom w:val="nil"/>
            </w:tcBorders>
            <w:shd w:val="clear" w:color="auto" w:fill="auto"/>
          </w:tcPr>
          <w:p w14:paraId="7255B46E"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Във връзка с предложения проект за изменение на Наредбата за изпълнение на мярка 11, бихме искали да направим следните предложения: </w:t>
            </w:r>
          </w:p>
        </w:tc>
        <w:tc>
          <w:tcPr>
            <w:tcW w:w="1701" w:type="dxa"/>
            <w:tcBorders>
              <w:bottom w:val="nil"/>
            </w:tcBorders>
            <w:shd w:val="clear" w:color="auto" w:fill="auto"/>
          </w:tcPr>
          <w:p w14:paraId="5CF7CAA8" w14:textId="77777777" w:rsidR="00C80BF0" w:rsidRPr="00417522" w:rsidRDefault="00C80BF0" w:rsidP="008D3875">
            <w:pPr>
              <w:spacing w:before="40" w:after="40"/>
              <w:rPr>
                <w:rFonts w:ascii="Verdana" w:hAnsi="Verdana"/>
                <w:sz w:val="20"/>
                <w:szCs w:val="20"/>
              </w:rPr>
            </w:pPr>
          </w:p>
        </w:tc>
        <w:tc>
          <w:tcPr>
            <w:tcW w:w="4964" w:type="dxa"/>
            <w:tcBorders>
              <w:bottom w:val="nil"/>
            </w:tcBorders>
            <w:shd w:val="clear" w:color="auto" w:fill="auto"/>
          </w:tcPr>
          <w:p w14:paraId="2926820C" w14:textId="77777777" w:rsidR="00C80BF0" w:rsidRPr="00417522" w:rsidRDefault="00C80BF0" w:rsidP="008D3875">
            <w:pPr>
              <w:spacing w:before="40" w:after="40"/>
              <w:rPr>
                <w:rFonts w:ascii="Verdana" w:hAnsi="Verdana"/>
                <w:sz w:val="20"/>
                <w:szCs w:val="20"/>
              </w:rPr>
            </w:pPr>
          </w:p>
        </w:tc>
      </w:tr>
      <w:tr w:rsidR="00C80BF0" w:rsidRPr="00417522" w14:paraId="49E415BD" w14:textId="77777777" w:rsidTr="008D3875">
        <w:trPr>
          <w:trHeight w:val="596"/>
        </w:trPr>
        <w:tc>
          <w:tcPr>
            <w:tcW w:w="622" w:type="dxa"/>
            <w:vMerge/>
            <w:shd w:val="clear" w:color="auto" w:fill="auto"/>
          </w:tcPr>
          <w:p w14:paraId="5635823A" w14:textId="77777777" w:rsidR="00C80BF0" w:rsidRPr="00417522" w:rsidRDefault="00C80BF0"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shd w:val="clear" w:color="auto" w:fill="auto"/>
          </w:tcPr>
          <w:p w14:paraId="5DD1C415" w14:textId="77777777" w:rsidR="00C80BF0" w:rsidRPr="00417522" w:rsidRDefault="00C80BF0" w:rsidP="008D3875">
            <w:pPr>
              <w:spacing w:before="40" w:after="40"/>
              <w:rPr>
                <w:rFonts w:ascii="Verdana" w:hAnsi="Verdana"/>
                <w:b/>
                <w:sz w:val="20"/>
                <w:szCs w:val="20"/>
              </w:rPr>
            </w:pPr>
          </w:p>
        </w:tc>
        <w:tc>
          <w:tcPr>
            <w:tcW w:w="5670" w:type="dxa"/>
            <w:tcBorders>
              <w:top w:val="nil"/>
              <w:bottom w:val="nil"/>
            </w:tcBorders>
            <w:shd w:val="clear" w:color="auto" w:fill="auto"/>
          </w:tcPr>
          <w:p w14:paraId="535C51BD"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1. </w:t>
            </w:r>
            <w:r w:rsidRPr="00417522">
              <w:rPr>
                <w:rFonts w:ascii="Verdana" w:hAnsi="Verdana"/>
                <w:b/>
                <w:bCs/>
                <w:sz w:val="20"/>
                <w:szCs w:val="20"/>
              </w:rPr>
              <w:t>Да отпадне изискването за представяне на Оценки на трайните насаждения съгласно чл. 39, т. 1 д на наредбата.</w:t>
            </w:r>
          </w:p>
          <w:p w14:paraId="17B8A005"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Въпросното изискване беше прието миналата година без широко обсъждане със заинтересованите страни и без оценка за въздействието - като финансова и административна тежест — върху биологичните земеделски производители. Както неведнъж писахме и предупреждавахме, това изискване затрудни изключително много земеделските производители, тъй като много малко от оценителите изобщо се съгласяваха за направят оценки, съобразени с морално остарялата Наредба за базисните цени на трайните насаждения от 1991 г. Самите оценки натовариха финансово биопроизводителите, които и без това са вложили немалко средства за създаване и поддържане на биологични трайни насаждения. Разглеждането на тези оценки очевидно пък натоварва административния апарат на ДФЗ - РА, тъй като до този момент /24.03.2022/ няма нито един одобрен ангажимент на кандидат, заявил трайни насаждения, придружени с Оценка. </w:t>
            </w:r>
            <w:r w:rsidRPr="00417522">
              <w:rPr>
                <w:rFonts w:ascii="Verdana" w:hAnsi="Verdana"/>
                <w:b/>
                <w:bCs/>
                <w:sz w:val="20"/>
                <w:szCs w:val="20"/>
              </w:rPr>
              <w:t>Вече започна кампанията по подаване на Заявления за 2022 г., а много биопроизводители не знаят имат ли одобрен ангажимент през 2021 г. или не!</w:t>
            </w:r>
          </w:p>
          <w:p w14:paraId="20DFA9EC"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lastRenderedPageBreak/>
              <w:t>Ще повторим мнението си, че тези оценки са напълно излишни. Възрастта на насажденията няма никаква връзка с изискванията на биологичното производство, а посочените максимален брой години на плододаване в за базисните цени на трайните насаждения от 1991 г. са във връзка с изработването на амортизационни планове на някогашните кооперации и в много случаи нямат нищо общо с реалните години на плододаване на някои трайни насаждения. Становища в тази посока в началото на 2021-ва година бяха дадени от много браншови организации, имахме обещания, че Наредбата за базисни цени ще се осъвремени, но нищо от това не беше направено.</w:t>
            </w:r>
          </w:p>
          <w:p w14:paraId="3F868EDD"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Притеснени сме, че много от биопроизводителите, въпреки положените усилия и вложени средства за оценки, ще останат изненадани с отхвърляне на ангажиментите им, и то след края на стопанската и календарната година, когато очакват субсидиите си, направили са разчетите си, взели за заеми срещу тези субсидии...</w:t>
            </w:r>
          </w:p>
          <w:p w14:paraId="28237CBE"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Ако Министерството на земеделието и храните желае да изключи от подпомагане остаряли и неплододаващи градини /орехи, сливи и др, останали от времената на ТКЗС/, то това не бива да бъде през мярката „Биологично земеделие", а чрез създаването на Регистър на трайните насаждения и евентуално определяне кои от тях са амортизиране и не подлежат на подпомагане - всякакво подпомагане, а не само по мярка 11. В противен случай се натоварват хиляди земеделски производители да доказват, че насажденията им са плододаващи, влагайки средства и разчитайки на </w:t>
            </w:r>
            <w:r w:rsidRPr="00417522">
              <w:rPr>
                <w:rFonts w:ascii="Verdana" w:hAnsi="Verdana"/>
                <w:sz w:val="20"/>
                <w:szCs w:val="20"/>
              </w:rPr>
              <w:lastRenderedPageBreak/>
              <w:t>оценители, които до последно не знаеха какво се очаква от тях и задаваха този въпрос към нашата асоциация.</w:t>
            </w:r>
          </w:p>
        </w:tc>
        <w:tc>
          <w:tcPr>
            <w:tcW w:w="1701" w:type="dxa"/>
            <w:tcBorders>
              <w:top w:val="nil"/>
              <w:bottom w:val="nil"/>
            </w:tcBorders>
            <w:shd w:val="clear" w:color="auto" w:fill="auto"/>
          </w:tcPr>
          <w:p w14:paraId="7475514C" w14:textId="5E4AB9DA" w:rsidR="00C80BF0" w:rsidRPr="00417522" w:rsidRDefault="000179AD" w:rsidP="008D3875">
            <w:pPr>
              <w:spacing w:before="40" w:after="40"/>
              <w:rPr>
                <w:rFonts w:ascii="Verdana" w:hAnsi="Verdana"/>
                <w:color w:val="FF0000"/>
                <w:sz w:val="20"/>
                <w:szCs w:val="20"/>
              </w:rPr>
            </w:pPr>
            <w:r w:rsidRPr="000179AD">
              <w:rPr>
                <w:rFonts w:ascii="Verdana" w:hAnsi="Verdana"/>
                <w:color w:val="000000" w:themeColor="text1"/>
                <w:sz w:val="20"/>
                <w:szCs w:val="20"/>
              </w:rPr>
              <w:lastRenderedPageBreak/>
              <w:t>Приема се</w:t>
            </w:r>
          </w:p>
        </w:tc>
        <w:tc>
          <w:tcPr>
            <w:tcW w:w="4964" w:type="dxa"/>
            <w:tcBorders>
              <w:top w:val="nil"/>
              <w:bottom w:val="nil"/>
            </w:tcBorders>
            <w:shd w:val="clear" w:color="auto" w:fill="auto"/>
          </w:tcPr>
          <w:p w14:paraId="2DFFD03A" w14:textId="45BFC1A0" w:rsidR="00C80BF0" w:rsidRPr="00417522" w:rsidRDefault="00C80BF0" w:rsidP="008D3875">
            <w:pPr>
              <w:spacing w:before="40" w:after="40"/>
              <w:jc w:val="both"/>
              <w:rPr>
                <w:rFonts w:ascii="Verdana" w:hAnsi="Verdana"/>
                <w:sz w:val="20"/>
                <w:szCs w:val="20"/>
              </w:rPr>
            </w:pPr>
          </w:p>
        </w:tc>
      </w:tr>
      <w:tr w:rsidR="00C80BF0" w:rsidRPr="00417522" w14:paraId="5E2B58E8" w14:textId="77777777" w:rsidTr="008D3875">
        <w:trPr>
          <w:trHeight w:val="596"/>
        </w:trPr>
        <w:tc>
          <w:tcPr>
            <w:tcW w:w="622" w:type="dxa"/>
            <w:vMerge/>
            <w:shd w:val="clear" w:color="auto" w:fill="auto"/>
          </w:tcPr>
          <w:p w14:paraId="4E22D73D" w14:textId="77777777" w:rsidR="00C80BF0" w:rsidRPr="00417522" w:rsidRDefault="00C80BF0"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shd w:val="clear" w:color="auto" w:fill="auto"/>
          </w:tcPr>
          <w:p w14:paraId="29A8285C" w14:textId="77777777" w:rsidR="00C80BF0" w:rsidRPr="00417522" w:rsidRDefault="00C80BF0" w:rsidP="008D3875">
            <w:pPr>
              <w:spacing w:before="40" w:after="40"/>
              <w:rPr>
                <w:rFonts w:ascii="Verdana" w:hAnsi="Verdana"/>
                <w:b/>
                <w:sz w:val="20"/>
                <w:szCs w:val="20"/>
              </w:rPr>
            </w:pPr>
          </w:p>
        </w:tc>
        <w:tc>
          <w:tcPr>
            <w:tcW w:w="5670" w:type="dxa"/>
            <w:tcBorders>
              <w:top w:val="nil"/>
              <w:bottom w:val="nil"/>
            </w:tcBorders>
            <w:shd w:val="clear" w:color="auto" w:fill="auto"/>
          </w:tcPr>
          <w:p w14:paraId="33212C29"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2. Втори въпрос, който поставяме всяка година, е свързан с изискването парцелите, с които се кандидатства за подпомагане, да бъдат в био слоя </w:t>
            </w:r>
            <w:r w:rsidRPr="00417522">
              <w:rPr>
                <w:rFonts w:ascii="Verdana" w:hAnsi="Verdana"/>
                <w:b/>
                <w:bCs/>
                <w:sz w:val="20"/>
                <w:szCs w:val="20"/>
              </w:rPr>
              <w:t xml:space="preserve">на съответния земеделски производител </w:t>
            </w:r>
            <w:r w:rsidRPr="00417522">
              <w:rPr>
                <w:rFonts w:ascii="Verdana" w:hAnsi="Verdana"/>
                <w:sz w:val="20"/>
                <w:szCs w:val="20"/>
              </w:rPr>
              <w:t xml:space="preserve">към 31.12. на предходната година. </w:t>
            </w:r>
            <w:r w:rsidRPr="00417522">
              <w:rPr>
                <w:rFonts w:ascii="Verdana" w:hAnsi="Verdana"/>
                <w:b/>
                <w:bCs/>
                <w:sz w:val="20"/>
                <w:szCs w:val="20"/>
              </w:rPr>
              <w:t xml:space="preserve">Настояваме това изискване да се прилага за био слоя общо, </w:t>
            </w:r>
            <w:r w:rsidRPr="00417522">
              <w:rPr>
                <w:rFonts w:ascii="Verdana" w:hAnsi="Verdana"/>
                <w:sz w:val="20"/>
                <w:szCs w:val="20"/>
              </w:rPr>
              <w:t>тъй като предвид динамиката на поземлените отношения всяка година се налага прехвърляне на имоти или цели стопанства. Изтичат срокове на арендни договори, на общински договори за наем. При подобно прехвърляне предишният бенефициент следва да задържи парцелите си до 31.12 на съответната година, а новият, за да кандидатства, трябва да ги има и да са под контрол към същата дата.</w:t>
            </w:r>
          </w:p>
        </w:tc>
        <w:tc>
          <w:tcPr>
            <w:tcW w:w="1701" w:type="dxa"/>
            <w:tcBorders>
              <w:top w:val="nil"/>
              <w:bottom w:val="nil"/>
            </w:tcBorders>
            <w:shd w:val="clear" w:color="auto" w:fill="auto"/>
          </w:tcPr>
          <w:p w14:paraId="1AA7F976" w14:textId="77777777" w:rsidR="00C80BF0" w:rsidRPr="00417522" w:rsidRDefault="00C80BF0" w:rsidP="008D3875">
            <w:pPr>
              <w:spacing w:before="40" w:after="40"/>
              <w:rPr>
                <w:rFonts w:ascii="Verdana" w:hAnsi="Verdana"/>
                <w:color w:val="FF0000"/>
                <w:sz w:val="20"/>
                <w:szCs w:val="20"/>
              </w:rPr>
            </w:pPr>
            <w:r w:rsidRPr="00D5741D">
              <w:rPr>
                <w:rFonts w:ascii="Verdana" w:hAnsi="Verdana"/>
                <w:color w:val="000000" w:themeColor="text1"/>
                <w:sz w:val="20"/>
                <w:szCs w:val="20"/>
              </w:rPr>
              <w:t>Не се приема</w:t>
            </w:r>
          </w:p>
        </w:tc>
        <w:tc>
          <w:tcPr>
            <w:tcW w:w="4964" w:type="dxa"/>
            <w:tcBorders>
              <w:top w:val="nil"/>
              <w:bottom w:val="nil"/>
            </w:tcBorders>
            <w:shd w:val="clear" w:color="auto" w:fill="auto"/>
          </w:tcPr>
          <w:p w14:paraId="3919F22B" w14:textId="6BF70DB8" w:rsidR="00C80BF0" w:rsidRDefault="00C80BF0" w:rsidP="008D3875">
            <w:pPr>
              <w:spacing w:before="40" w:after="40"/>
              <w:jc w:val="both"/>
              <w:rPr>
                <w:rFonts w:ascii="Verdana" w:hAnsi="Verdana"/>
                <w:sz w:val="20"/>
                <w:szCs w:val="20"/>
              </w:rPr>
            </w:pPr>
            <w:r w:rsidRPr="0080248E">
              <w:rPr>
                <w:rFonts w:ascii="Verdana" w:hAnsi="Verdana"/>
                <w:sz w:val="20"/>
                <w:szCs w:val="20"/>
              </w:rPr>
              <w:t xml:space="preserve">Съгласно </w:t>
            </w:r>
            <w:r>
              <w:rPr>
                <w:rFonts w:ascii="Verdana" w:hAnsi="Verdana"/>
                <w:sz w:val="20"/>
                <w:szCs w:val="20"/>
              </w:rPr>
              <w:t>одобрената</w:t>
            </w:r>
            <w:r w:rsidRPr="0080248E">
              <w:rPr>
                <w:rFonts w:ascii="Verdana" w:hAnsi="Verdana"/>
                <w:sz w:val="20"/>
                <w:szCs w:val="20"/>
              </w:rPr>
              <w:t xml:space="preserve"> от Европейската комисия ПРСР 2014-2020</w:t>
            </w:r>
            <w:r>
              <w:rPr>
                <w:rFonts w:ascii="Verdana" w:hAnsi="Verdana"/>
                <w:sz w:val="20"/>
                <w:szCs w:val="20"/>
              </w:rPr>
              <w:t xml:space="preserve"> г.</w:t>
            </w:r>
            <w:r w:rsidRPr="0080248E">
              <w:rPr>
                <w:rFonts w:ascii="Verdana" w:hAnsi="Verdana"/>
                <w:sz w:val="20"/>
                <w:szCs w:val="20"/>
              </w:rPr>
              <w:t xml:space="preserve">, подпомагането по мярка 11 „Биологично земеделие“ се предоставя под формата на годишни плащания на хектар, каквото е изискването и на чл. 29 от </w:t>
            </w:r>
            <w:hyperlink r:id="rId11" w:history="1">
              <w:r w:rsidRPr="009C1CE7">
                <w:rPr>
                  <w:rFonts w:ascii="Verdana" w:hAnsi="Verdana"/>
                  <w:sz w:val="20"/>
                  <w:szCs w:val="20"/>
                </w:rPr>
                <w:t>Регламент (ЕС) № 1305/2013</w:t>
              </w:r>
            </w:hyperlink>
            <w:r w:rsidR="00BB467C" w:rsidRPr="00F63AD3">
              <w:rPr>
                <w:rFonts w:ascii="Verdana" w:hAnsi="Verdana"/>
                <w:sz w:val="20"/>
                <w:szCs w:val="20"/>
                <w:lang w:val="ru-RU"/>
              </w:rPr>
              <w:t xml:space="preserve">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w:t>
            </w:r>
            <w:r>
              <w:rPr>
                <w:rFonts w:ascii="Verdana" w:hAnsi="Verdana"/>
                <w:sz w:val="20"/>
                <w:szCs w:val="20"/>
              </w:rPr>
              <w:t>. От стартиране на прилагането на мярка 11 „Биологично земеделие“, ангажиментите са се администрирали на база на календарна година.</w:t>
            </w:r>
          </w:p>
          <w:p w14:paraId="583AADD3" w14:textId="071E00FE" w:rsidR="00C80BF0" w:rsidRPr="00417522" w:rsidRDefault="00C80BF0" w:rsidP="008D3875">
            <w:pPr>
              <w:spacing w:before="40" w:after="40"/>
              <w:jc w:val="both"/>
              <w:rPr>
                <w:rFonts w:ascii="Verdana" w:hAnsi="Verdana"/>
                <w:sz w:val="20"/>
                <w:szCs w:val="20"/>
              </w:rPr>
            </w:pPr>
            <w:r>
              <w:rPr>
                <w:rFonts w:ascii="Verdana" w:hAnsi="Verdana"/>
                <w:sz w:val="20"/>
                <w:szCs w:val="20"/>
              </w:rPr>
              <w:t>Предложението може да се вземе предвид при разписване на националното законодателство, което ще се прилага в следващия програмен период 2023-2027 г.</w:t>
            </w:r>
          </w:p>
        </w:tc>
      </w:tr>
      <w:tr w:rsidR="00C80BF0" w:rsidRPr="00417522" w14:paraId="639889D5" w14:textId="77777777" w:rsidTr="008D3875">
        <w:trPr>
          <w:trHeight w:val="596"/>
        </w:trPr>
        <w:tc>
          <w:tcPr>
            <w:tcW w:w="622" w:type="dxa"/>
            <w:vMerge/>
            <w:shd w:val="clear" w:color="auto" w:fill="auto"/>
          </w:tcPr>
          <w:p w14:paraId="3FFEB3A4" w14:textId="77777777" w:rsidR="00C80BF0" w:rsidRPr="00417522" w:rsidRDefault="00C80BF0"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shd w:val="clear" w:color="auto" w:fill="auto"/>
          </w:tcPr>
          <w:p w14:paraId="293E81FB" w14:textId="77777777" w:rsidR="00C80BF0" w:rsidRPr="00417522" w:rsidRDefault="00C80BF0" w:rsidP="008D3875">
            <w:pPr>
              <w:spacing w:before="40" w:after="40"/>
              <w:rPr>
                <w:rFonts w:ascii="Verdana" w:hAnsi="Verdana"/>
                <w:b/>
                <w:sz w:val="20"/>
                <w:szCs w:val="20"/>
              </w:rPr>
            </w:pPr>
          </w:p>
        </w:tc>
        <w:tc>
          <w:tcPr>
            <w:tcW w:w="5670" w:type="dxa"/>
            <w:tcBorders>
              <w:top w:val="nil"/>
              <w:bottom w:val="single" w:sz="18" w:space="0" w:color="4F81BD" w:themeColor="accent1"/>
            </w:tcBorders>
            <w:shd w:val="clear" w:color="auto" w:fill="auto"/>
          </w:tcPr>
          <w:p w14:paraId="5E0D4722"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3. За пореден път изказваме становището, че </w:t>
            </w:r>
            <w:r w:rsidRPr="00417522">
              <w:rPr>
                <w:rFonts w:ascii="Verdana" w:hAnsi="Verdana"/>
                <w:b/>
                <w:bCs/>
                <w:sz w:val="20"/>
                <w:szCs w:val="20"/>
              </w:rPr>
              <w:t>възстановяването на 100 % от получените субсидии при недпредставяне на сертификат за произведена биопродукция от ВСЕКИ ПАРЦЕЛ, представлява съществено несъответствие между тежестта на нарушението и предвидената санкция.</w:t>
            </w:r>
          </w:p>
          <w:p w14:paraId="3E6ED219" w14:textId="5682FE61"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Парадокс е, че поради невключен в сертификационното писмо с биологичен добив дори един парцел/животно/пчелно семейство, бенефициентът следва да възстанови всички </w:t>
            </w:r>
            <w:r w:rsidRPr="00417522">
              <w:rPr>
                <w:rFonts w:ascii="Verdana" w:hAnsi="Verdana"/>
                <w:sz w:val="20"/>
                <w:szCs w:val="20"/>
              </w:rPr>
              <w:lastRenderedPageBreak/>
              <w:t xml:space="preserve">получени средства от НАЧАЛОТО НА АНГАЖИМЕНТА. В същото време </w:t>
            </w:r>
            <w:r w:rsidR="00AC5700">
              <w:rPr>
                <w:rFonts w:ascii="Verdana" w:hAnsi="Verdana"/>
                <w:sz w:val="20"/>
                <w:szCs w:val="20"/>
              </w:rPr>
              <w:t>–</w:t>
            </w:r>
            <w:r w:rsidRPr="00417522">
              <w:rPr>
                <w:rFonts w:ascii="Verdana" w:hAnsi="Verdana"/>
                <w:sz w:val="20"/>
                <w:szCs w:val="20"/>
              </w:rPr>
              <w:t xml:space="preserve"> ако той намали площите си през петата година с над 10 % /дори с 99%/, а също и ако изцяло се откаже от ангажимента си - ще върне само 20 % от получените субсидии, а след петата година </w:t>
            </w:r>
            <w:r w:rsidR="00AC5700">
              <w:rPr>
                <w:rFonts w:ascii="Verdana" w:hAnsi="Verdana"/>
                <w:sz w:val="20"/>
                <w:szCs w:val="20"/>
              </w:rPr>
              <w:t xml:space="preserve">– </w:t>
            </w:r>
            <w:r w:rsidRPr="00417522">
              <w:rPr>
                <w:rFonts w:ascii="Verdana" w:hAnsi="Verdana"/>
                <w:sz w:val="20"/>
                <w:szCs w:val="20"/>
              </w:rPr>
              <w:t xml:space="preserve"> 10 %.</w:t>
            </w:r>
          </w:p>
          <w:p w14:paraId="3C7ECE64"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Предлагаме следния текст:</w:t>
            </w:r>
          </w:p>
          <w:p w14:paraId="67C0ACD7" w14:textId="77777777" w:rsidR="00C80BF0" w:rsidRPr="00417522" w:rsidRDefault="00C80BF0" w:rsidP="008D3875">
            <w:pPr>
              <w:spacing w:before="40" w:after="40"/>
              <w:jc w:val="both"/>
              <w:rPr>
                <w:rFonts w:ascii="Verdana" w:hAnsi="Verdana"/>
                <w:sz w:val="20"/>
                <w:szCs w:val="20"/>
              </w:rPr>
            </w:pPr>
            <w:r w:rsidRPr="00417522">
              <w:rPr>
                <w:rFonts w:ascii="Verdana" w:hAnsi="Verdana"/>
                <w:b/>
                <w:bCs/>
                <w:sz w:val="20"/>
                <w:szCs w:val="20"/>
              </w:rPr>
              <w:t>При непредставяне на сертификат или писмено доказателство за съответствие на произведените растителни, животински или пчелни продукти с правилата на биологично производство се възстановява 100 % от изплатената финансова помощ;</w:t>
            </w:r>
          </w:p>
          <w:p w14:paraId="65B39E21" w14:textId="77777777" w:rsidR="00C80BF0" w:rsidRPr="00417522" w:rsidRDefault="00C80BF0" w:rsidP="008D3875">
            <w:pPr>
              <w:spacing w:before="40" w:after="40"/>
              <w:jc w:val="both"/>
              <w:rPr>
                <w:rFonts w:ascii="Verdana" w:hAnsi="Verdana"/>
                <w:b/>
                <w:bCs/>
                <w:sz w:val="20"/>
                <w:szCs w:val="20"/>
              </w:rPr>
            </w:pPr>
            <w:r w:rsidRPr="00417522">
              <w:rPr>
                <w:rFonts w:ascii="Verdana" w:hAnsi="Verdana"/>
                <w:b/>
                <w:bCs/>
                <w:sz w:val="20"/>
                <w:szCs w:val="20"/>
              </w:rPr>
              <w:t>При невключване в сертификата или писменото доказателство за съответствие на произведените растителни, животински или пчелни продукти с правилата на биологично производство на отделен парцел/парцели /животни/ пчелни семейства, се възстановява % от изплатената финансова помощ, съответстващ на процентът на площта на съответния парцел/парцели/животни/пчелни семейства спрямо площта на целия ангажимент.</w:t>
            </w:r>
          </w:p>
          <w:p w14:paraId="36C632A7" w14:textId="73E187A6" w:rsidR="00C80BF0" w:rsidRPr="00417522" w:rsidRDefault="00C80BF0" w:rsidP="008D3875">
            <w:pPr>
              <w:spacing w:before="40" w:after="40"/>
              <w:jc w:val="both"/>
              <w:rPr>
                <w:rFonts w:ascii="Verdana" w:hAnsi="Verdana"/>
                <w:sz w:val="20"/>
                <w:szCs w:val="20"/>
              </w:rPr>
            </w:pPr>
            <w:r w:rsidRPr="00417522">
              <w:rPr>
                <w:rFonts w:ascii="Verdana" w:hAnsi="Verdana"/>
                <w:b/>
                <w:bCs/>
                <w:sz w:val="20"/>
                <w:szCs w:val="20"/>
              </w:rPr>
              <w:t>Ако този процент е в рамките на 10 % от площите /животните/ пчелни семейства, включени в ангажимента, не се изплаща помощ само за съответния парцел / животно / пчелно семейство за последната година и не се възстановяват средства.</w:t>
            </w:r>
          </w:p>
          <w:p w14:paraId="6C920243"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Така разписана санкцията ще съответства на дадената възможноств Наредбата за 90 % припокриване на площите по ангажимента за </w:t>
            </w:r>
            <w:r w:rsidRPr="00417522">
              <w:rPr>
                <w:rFonts w:ascii="Verdana" w:hAnsi="Verdana"/>
                <w:sz w:val="20"/>
                <w:szCs w:val="20"/>
              </w:rPr>
              <w:lastRenderedPageBreak/>
              <w:t>всяка една година от ангажимента.</w:t>
            </w:r>
          </w:p>
        </w:tc>
        <w:tc>
          <w:tcPr>
            <w:tcW w:w="1701" w:type="dxa"/>
            <w:tcBorders>
              <w:top w:val="nil"/>
              <w:bottom w:val="single" w:sz="18" w:space="0" w:color="4F81BD" w:themeColor="accent1"/>
            </w:tcBorders>
            <w:shd w:val="clear" w:color="auto" w:fill="auto"/>
          </w:tcPr>
          <w:p w14:paraId="386DBD20" w14:textId="77777777" w:rsidR="00C80BF0" w:rsidRPr="00D5741D" w:rsidRDefault="00C80BF0" w:rsidP="008D3875">
            <w:pPr>
              <w:spacing w:before="40" w:after="40"/>
              <w:rPr>
                <w:rFonts w:ascii="Verdana" w:hAnsi="Verdana"/>
                <w:color w:val="000000" w:themeColor="text1"/>
                <w:sz w:val="20"/>
                <w:szCs w:val="20"/>
              </w:rPr>
            </w:pPr>
            <w:r w:rsidRPr="00D5741D">
              <w:rPr>
                <w:rFonts w:ascii="Verdana" w:hAnsi="Verdana"/>
                <w:color w:val="000000" w:themeColor="text1"/>
                <w:sz w:val="20"/>
                <w:szCs w:val="20"/>
              </w:rPr>
              <w:lastRenderedPageBreak/>
              <w:t xml:space="preserve">Приема се </w:t>
            </w:r>
          </w:p>
        </w:tc>
        <w:tc>
          <w:tcPr>
            <w:tcW w:w="4964" w:type="dxa"/>
            <w:tcBorders>
              <w:top w:val="nil"/>
              <w:bottom w:val="single" w:sz="18" w:space="0" w:color="4F81BD" w:themeColor="accent1"/>
            </w:tcBorders>
            <w:shd w:val="clear" w:color="auto" w:fill="auto"/>
          </w:tcPr>
          <w:p w14:paraId="64FD46F8" w14:textId="77777777" w:rsidR="00C80BF0" w:rsidRPr="00D5741D" w:rsidRDefault="00C80BF0" w:rsidP="008D3875">
            <w:pPr>
              <w:spacing w:before="40" w:after="40"/>
              <w:rPr>
                <w:rFonts w:ascii="Verdana" w:hAnsi="Verdana"/>
                <w:color w:val="000000" w:themeColor="text1"/>
                <w:sz w:val="20"/>
                <w:szCs w:val="20"/>
              </w:rPr>
            </w:pPr>
          </w:p>
        </w:tc>
      </w:tr>
      <w:tr w:rsidR="00C80BF0" w:rsidRPr="00417522" w14:paraId="4233CBD3" w14:textId="77777777" w:rsidTr="008D3875">
        <w:trPr>
          <w:trHeight w:val="596"/>
        </w:trPr>
        <w:tc>
          <w:tcPr>
            <w:tcW w:w="622" w:type="dxa"/>
            <w:vMerge w:val="restart"/>
            <w:shd w:val="clear" w:color="auto" w:fill="auto"/>
          </w:tcPr>
          <w:p w14:paraId="6DECA63D" w14:textId="77777777" w:rsidR="00C80BF0" w:rsidRPr="00417522" w:rsidRDefault="00C80BF0"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val="restart"/>
            <w:shd w:val="clear" w:color="auto" w:fill="auto"/>
          </w:tcPr>
          <w:p w14:paraId="2AB267A6" w14:textId="77777777" w:rsidR="00C80BF0" w:rsidRPr="00417522" w:rsidRDefault="00C80BF0" w:rsidP="008D3875">
            <w:pPr>
              <w:spacing w:before="40" w:after="40"/>
              <w:rPr>
                <w:rFonts w:ascii="Verdana" w:hAnsi="Verdana"/>
                <w:b/>
                <w:sz w:val="20"/>
                <w:szCs w:val="20"/>
              </w:rPr>
            </w:pPr>
            <w:r w:rsidRPr="00417522">
              <w:rPr>
                <w:rFonts w:ascii="Verdana" w:hAnsi="Verdana"/>
                <w:b/>
                <w:sz w:val="20"/>
                <w:szCs w:val="20"/>
              </w:rPr>
              <w:t>sklbp</w:t>
            </w:r>
          </w:p>
          <w:p w14:paraId="193F1DF4" w14:textId="77777777" w:rsidR="00C80BF0" w:rsidRPr="00417522" w:rsidRDefault="00C80BF0" w:rsidP="008D3875">
            <w:pPr>
              <w:spacing w:before="40" w:after="40"/>
              <w:rPr>
                <w:rFonts w:ascii="Verdana" w:hAnsi="Verdana"/>
                <w:b/>
                <w:sz w:val="20"/>
                <w:szCs w:val="20"/>
              </w:rPr>
            </w:pPr>
            <w:r w:rsidRPr="00417522">
              <w:rPr>
                <w:rFonts w:ascii="Verdana" w:hAnsi="Verdana"/>
                <w:b/>
                <w:sz w:val="20"/>
                <w:szCs w:val="20"/>
              </w:rPr>
              <w:t xml:space="preserve">Сдружение на контролиращите лица за биологично производство </w:t>
            </w:r>
          </w:p>
          <w:p w14:paraId="256CDA88" w14:textId="77777777" w:rsidR="00C80BF0" w:rsidRPr="00417522" w:rsidRDefault="00C80BF0" w:rsidP="008D3875">
            <w:pPr>
              <w:spacing w:before="40" w:after="40"/>
              <w:rPr>
                <w:rFonts w:ascii="Verdana" w:hAnsi="Verdana"/>
                <w:b/>
                <w:sz w:val="20"/>
                <w:szCs w:val="20"/>
              </w:rPr>
            </w:pPr>
            <w:r w:rsidRPr="00417522">
              <w:rPr>
                <w:rFonts w:ascii="Verdana" w:hAnsi="Verdana"/>
                <w:sz w:val="20"/>
                <w:szCs w:val="20"/>
              </w:rPr>
              <w:t>(Портал за обществени консултации</w:t>
            </w:r>
            <w:r>
              <w:rPr>
                <w:rFonts w:ascii="Verdana" w:hAnsi="Verdana"/>
                <w:sz w:val="20"/>
                <w:szCs w:val="20"/>
              </w:rPr>
              <w:t xml:space="preserve"> – </w:t>
            </w:r>
            <w:r w:rsidRPr="00974319">
              <w:rPr>
                <w:rFonts w:ascii="Verdana" w:hAnsi="Verdana"/>
                <w:sz w:val="20"/>
                <w:szCs w:val="20"/>
              </w:rPr>
              <w:t>31 март 2022 г. </w:t>
            </w:r>
            <w:r w:rsidRPr="00417522">
              <w:rPr>
                <w:rFonts w:ascii="Verdana" w:hAnsi="Verdana"/>
                <w:sz w:val="20"/>
                <w:szCs w:val="20"/>
              </w:rPr>
              <w:t>)</w:t>
            </w:r>
          </w:p>
        </w:tc>
        <w:tc>
          <w:tcPr>
            <w:tcW w:w="5670" w:type="dxa"/>
            <w:tcBorders>
              <w:top w:val="single" w:sz="18" w:space="0" w:color="4F81BD" w:themeColor="accent1"/>
              <w:bottom w:val="nil"/>
            </w:tcBorders>
            <w:shd w:val="clear" w:color="auto" w:fill="auto"/>
          </w:tcPr>
          <w:p w14:paraId="5C08526B" w14:textId="77777777" w:rsidR="00C80BF0" w:rsidRPr="00417522" w:rsidRDefault="00C80BF0" w:rsidP="008D3875">
            <w:pPr>
              <w:spacing w:before="40" w:after="40"/>
              <w:jc w:val="both"/>
              <w:rPr>
                <w:rFonts w:ascii="Verdana" w:hAnsi="Verdana"/>
                <w:b/>
                <w:sz w:val="20"/>
                <w:szCs w:val="20"/>
              </w:rPr>
            </w:pPr>
            <w:r w:rsidRPr="00417522">
              <w:rPr>
                <w:rFonts w:ascii="Verdana" w:hAnsi="Verdana"/>
                <w:b/>
                <w:sz w:val="20"/>
                <w:szCs w:val="20"/>
              </w:rPr>
              <w:t>§</w:t>
            </w:r>
            <w:r>
              <w:rPr>
                <w:rFonts w:ascii="Verdana" w:hAnsi="Verdana"/>
                <w:b/>
                <w:sz w:val="20"/>
                <w:szCs w:val="20"/>
              </w:rPr>
              <w:t xml:space="preserve"> </w:t>
            </w:r>
            <w:r w:rsidRPr="00417522">
              <w:rPr>
                <w:rFonts w:ascii="Verdana" w:hAnsi="Verdana"/>
                <w:b/>
                <w:sz w:val="20"/>
                <w:szCs w:val="20"/>
              </w:rPr>
              <w:t>3 на проект на НИД на Наредба №4/2015:</w:t>
            </w:r>
          </w:p>
          <w:p w14:paraId="464EC9DB" w14:textId="77777777"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Предложение:</w:t>
            </w:r>
            <w:r w:rsidRPr="00417522">
              <w:rPr>
                <w:rFonts w:ascii="Verdana" w:hAnsi="Verdana"/>
                <w:sz w:val="20"/>
                <w:szCs w:val="20"/>
              </w:rPr>
              <w:t xml:space="preserve"> Текстът, предвиден за замяна да се коригира както следва: „съгласно чл. 10, параграф 4, буква „б“, Приложение II, част I, т. 1.7, подточка 1.7.1 и част II, т. 1.2, подточка 1.2.2 от Регламент (ЕС) № 2018/848“</w:t>
            </w:r>
          </w:p>
          <w:p w14:paraId="57A2C17B" w14:textId="77777777"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Мотиви:</w:t>
            </w:r>
            <w:r w:rsidRPr="00417522">
              <w:rPr>
                <w:rFonts w:ascii="Verdana" w:hAnsi="Verdana"/>
                <w:sz w:val="20"/>
                <w:szCs w:val="20"/>
              </w:rPr>
              <w:t xml:space="preserve"> Допусната е техническа грешка. Част II, т. 12 следва да е Част II, т. 1.2 </w:t>
            </w:r>
          </w:p>
        </w:tc>
        <w:tc>
          <w:tcPr>
            <w:tcW w:w="1701" w:type="dxa"/>
            <w:tcBorders>
              <w:top w:val="single" w:sz="18" w:space="0" w:color="4F81BD" w:themeColor="accent1"/>
              <w:bottom w:val="nil"/>
            </w:tcBorders>
            <w:shd w:val="clear" w:color="auto" w:fill="auto"/>
          </w:tcPr>
          <w:p w14:paraId="19E56D3E" w14:textId="77777777" w:rsidR="00C80BF0" w:rsidRPr="00417522" w:rsidRDefault="00C80BF0" w:rsidP="008D3875">
            <w:pPr>
              <w:spacing w:before="40" w:after="40"/>
              <w:rPr>
                <w:rFonts w:ascii="Verdana" w:hAnsi="Verdana"/>
                <w:color w:val="FF0000"/>
                <w:sz w:val="20"/>
                <w:szCs w:val="20"/>
              </w:rPr>
            </w:pPr>
            <w:r w:rsidRPr="00D5741D">
              <w:rPr>
                <w:rFonts w:ascii="Verdana" w:hAnsi="Verdana"/>
                <w:color w:val="000000" w:themeColor="text1"/>
                <w:sz w:val="20"/>
                <w:szCs w:val="20"/>
              </w:rPr>
              <w:t>Приема се</w:t>
            </w:r>
          </w:p>
        </w:tc>
        <w:tc>
          <w:tcPr>
            <w:tcW w:w="4964" w:type="dxa"/>
            <w:tcBorders>
              <w:top w:val="single" w:sz="18" w:space="0" w:color="4F81BD" w:themeColor="accent1"/>
              <w:bottom w:val="nil"/>
            </w:tcBorders>
            <w:shd w:val="clear" w:color="auto" w:fill="auto"/>
          </w:tcPr>
          <w:p w14:paraId="119CAA09" w14:textId="77777777" w:rsidR="00C80BF0" w:rsidRPr="00417522" w:rsidRDefault="00C80BF0" w:rsidP="008D3875">
            <w:pPr>
              <w:spacing w:before="40" w:after="40"/>
              <w:rPr>
                <w:rFonts w:ascii="Verdana" w:hAnsi="Verdana"/>
                <w:sz w:val="20"/>
                <w:szCs w:val="20"/>
              </w:rPr>
            </w:pPr>
          </w:p>
        </w:tc>
      </w:tr>
      <w:tr w:rsidR="00C80BF0" w:rsidRPr="00417522" w14:paraId="1250F06F" w14:textId="77777777" w:rsidTr="008D3875">
        <w:trPr>
          <w:trHeight w:val="596"/>
        </w:trPr>
        <w:tc>
          <w:tcPr>
            <w:tcW w:w="622" w:type="dxa"/>
            <w:vMerge/>
            <w:shd w:val="clear" w:color="auto" w:fill="auto"/>
          </w:tcPr>
          <w:p w14:paraId="581F2C1A" w14:textId="77777777" w:rsidR="00C80BF0" w:rsidRPr="00417522" w:rsidRDefault="00C80BF0" w:rsidP="008D3875">
            <w:pPr>
              <w:tabs>
                <w:tab w:val="left" w:pos="192"/>
              </w:tabs>
              <w:spacing w:before="40" w:after="40"/>
              <w:jc w:val="center"/>
              <w:rPr>
                <w:rFonts w:ascii="Verdana" w:hAnsi="Verdana"/>
                <w:b/>
                <w:sz w:val="20"/>
                <w:szCs w:val="20"/>
              </w:rPr>
            </w:pPr>
          </w:p>
        </w:tc>
        <w:tc>
          <w:tcPr>
            <w:tcW w:w="2693" w:type="dxa"/>
            <w:vMerge/>
            <w:shd w:val="clear" w:color="auto" w:fill="auto"/>
          </w:tcPr>
          <w:p w14:paraId="3EEBC21A" w14:textId="77777777" w:rsidR="00C80BF0" w:rsidRPr="00417522" w:rsidRDefault="00C80BF0" w:rsidP="008D3875">
            <w:pPr>
              <w:spacing w:before="40" w:after="40"/>
              <w:rPr>
                <w:rFonts w:ascii="Verdana" w:hAnsi="Verdana"/>
                <w:b/>
                <w:sz w:val="20"/>
                <w:szCs w:val="20"/>
              </w:rPr>
            </w:pPr>
          </w:p>
        </w:tc>
        <w:tc>
          <w:tcPr>
            <w:tcW w:w="5670" w:type="dxa"/>
            <w:tcBorders>
              <w:top w:val="nil"/>
              <w:bottom w:val="nil"/>
            </w:tcBorders>
            <w:shd w:val="clear" w:color="auto" w:fill="auto"/>
          </w:tcPr>
          <w:p w14:paraId="7582456B" w14:textId="5457C533"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w:t>
            </w:r>
            <w:r w:rsidR="00AC5700">
              <w:rPr>
                <w:rFonts w:ascii="Verdana" w:hAnsi="Verdana"/>
                <w:b/>
                <w:sz w:val="20"/>
                <w:szCs w:val="20"/>
              </w:rPr>
              <w:t xml:space="preserve"> </w:t>
            </w:r>
            <w:r w:rsidRPr="00417522">
              <w:rPr>
                <w:rFonts w:ascii="Verdana" w:hAnsi="Verdana"/>
                <w:b/>
                <w:sz w:val="20"/>
                <w:szCs w:val="20"/>
              </w:rPr>
              <w:t>17 на проект на НИД на Наредба №4/2015, т. 2:</w:t>
            </w:r>
            <w:r w:rsidRPr="00417522">
              <w:rPr>
                <w:rFonts w:ascii="Verdana" w:hAnsi="Verdana"/>
                <w:sz w:val="20"/>
                <w:szCs w:val="20"/>
              </w:rPr>
              <w:t xml:space="preserve"> „Точка 7 се изменя така: „7. „Сертификат“ е документ, издаван от контролиращо лице на всеки производител или преработвател, който контролира и отговаря на изискванията на Регламент (ЕС) № 2018/848 в областта на своята дейност.“.“</w:t>
            </w:r>
          </w:p>
          <w:p w14:paraId="21AE223E" w14:textId="77777777"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Предложение:</w:t>
            </w:r>
            <w:r w:rsidRPr="00417522">
              <w:rPr>
                <w:rFonts w:ascii="Verdana" w:hAnsi="Verdana"/>
                <w:sz w:val="20"/>
                <w:szCs w:val="20"/>
              </w:rPr>
              <w:t xml:space="preserve"> Текстът, предвиден за замяна да се коригира както следва: „Сертификат“ е документ, издаван от контролиращо лице на оператор или група от оператори, който удостоверява, че дейността на оператора/групата от оператори съответства на изискванията на Регламент (ЕС) № 2018/848. Сертификатът се издава съгласно образеца, посочен в Приложение VI на Регламент (ЕС) № 2018/848 / Приложение I Регламент на изпълнение (ЕС) 2021/1378.“</w:t>
            </w:r>
          </w:p>
          <w:p w14:paraId="30646E7B" w14:textId="77777777"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Мотиви:</w:t>
            </w:r>
            <w:r w:rsidRPr="00417522">
              <w:rPr>
                <w:rFonts w:ascii="Verdana" w:hAnsi="Verdana"/>
                <w:sz w:val="20"/>
                <w:szCs w:val="20"/>
              </w:rPr>
              <w:t xml:space="preserve"> Текста в проекта на НИД е неясен и създава предпоставка за погрешно тълкуване. Европейското право предвижда единен образец на сертификат, чиито образец е посочен в регламентите, цитирани в предложението за </w:t>
            </w:r>
            <w:r w:rsidRPr="00417522">
              <w:rPr>
                <w:rFonts w:ascii="Verdana" w:hAnsi="Verdana"/>
                <w:sz w:val="20"/>
                <w:szCs w:val="20"/>
              </w:rPr>
              <w:lastRenderedPageBreak/>
              <w:t>промяна.</w:t>
            </w:r>
          </w:p>
        </w:tc>
        <w:tc>
          <w:tcPr>
            <w:tcW w:w="1701" w:type="dxa"/>
            <w:tcBorders>
              <w:top w:val="nil"/>
              <w:bottom w:val="nil"/>
            </w:tcBorders>
            <w:shd w:val="clear" w:color="auto" w:fill="auto"/>
          </w:tcPr>
          <w:p w14:paraId="17EF22E0" w14:textId="77777777" w:rsidR="00C80BF0" w:rsidRPr="00D5741D" w:rsidRDefault="00C80BF0" w:rsidP="008D3875">
            <w:pPr>
              <w:spacing w:before="40" w:after="40"/>
              <w:rPr>
                <w:rFonts w:ascii="Verdana" w:hAnsi="Verdana"/>
                <w:color w:val="000000" w:themeColor="text1"/>
                <w:sz w:val="20"/>
                <w:szCs w:val="20"/>
              </w:rPr>
            </w:pPr>
            <w:r w:rsidRPr="00D5741D">
              <w:rPr>
                <w:rFonts w:ascii="Verdana" w:hAnsi="Verdana"/>
                <w:color w:val="000000" w:themeColor="text1"/>
                <w:sz w:val="20"/>
                <w:szCs w:val="20"/>
              </w:rPr>
              <w:lastRenderedPageBreak/>
              <w:t>Приема се</w:t>
            </w:r>
          </w:p>
        </w:tc>
        <w:tc>
          <w:tcPr>
            <w:tcW w:w="4964" w:type="dxa"/>
            <w:tcBorders>
              <w:top w:val="nil"/>
              <w:bottom w:val="nil"/>
            </w:tcBorders>
            <w:shd w:val="clear" w:color="auto" w:fill="auto"/>
          </w:tcPr>
          <w:p w14:paraId="4C19BC13" w14:textId="6EF479A2" w:rsidR="00C80BF0" w:rsidRPr="00417522" w:rsidRDefault="00C80BF0" w:rsidP="008D3875">
            <w:pPr>
              <w:spacing w:before="40" w:after="40"/>
              <w:jc w:val="both"/>
              <w:rPr>
                <w:rFonts w:ascii="Verdana" w:hAnsi="Verdana"/>
                <w:sz w:val="20"/>
                <w:szCs w:val="20"/>
              </w:rPr>
            </w:pPr>
            <w:r>
              <w:rPr>
                <w:rFonts w:ascii="Verdana" w:hAnsi="Verdana"/>
                <w:sz w:val="20"/>
                <w:szCs w:val="20"/>
              </w:rPr>
              <w:t xml:space="preserve">Текстът е коригиран в съответствие с изискванията на </w:t>
            </w:r>
            <w:r w:rsidRPr="00BD7B65">
              <w:rPr>
                <w:rFonts w:ascii="Verdana" w:hAnsi="Verdana"/>
                <w:sz w:val="20"/>
                <w:szCs w:val="20"/>
              </w:rPr>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w:t>
            </w:r>
            <w:r>
              <w:rPr>
                <w:rFonts w:ascii="Verdana" w:hAnsi="Verdana"/>
                <w:sz w:val="20"/>
                <w:szCs w:val="20"/>
              </w:rPr>
              <w:t>.</w:t>
            </w:r>
          </w:p>
        </w:tc>
      </w:tr>
      <w:tr w:rsidR="00C80BF0" w:rsidRPr="00417522" w14:paraId="776FFD1C" w14:textId="77777777" w:rsidTr="008D3875">
        <w:trPr>
          <w:trHeight w:val="596"/>
        </w:trPr>
        <w:tc>
          <w:tcPr>
            <w:tcW w:w="622" w:type="dxa"/>
            <w:vMerge/>
            <w:shd w:val="clear" w:color="auto" w:fill="auto"/>
          </w:tcPr>
          <w:p w14:paraId="46248965" w14:textId="77777777" w:rsidR="00C80BF0" w:rsidRPr="00417522" w:rsidRDefault="00C80BF0" w:rsidP="008D3875">
            <w:pPr>
              <w:tabs>
                <w:tab w:val="left" w:pos="192"/>
              </w:tabs>
              <w:spacing w:before="40" w:after="40"/>
              <w:jc w:val="center"/>
              <w:rPr>
                <w:rFonts w:ascii="Verdana" w:hAnsi="Verdana"/>
                <w:b/>
                <w:sz w:val="20"/>
                <w:szCs w:val="20"/>
              </w:rPr>
            </w:pPr>
          </w:p>
        </w:tc>
        <w:tc>
          <w:tcPr>
            <w:tcW w:w="2693" w:type="dxa"/>
            <w:vMerge/>
            <w:shd w:val="clear" w:color="auto" w:fill="auto"/>
          </w:tcPr>
          <w:p w14:paraId="02B7D4F1" w14:textId="77777777" w:rsidR="00C80BF0" w:rsidRPr="00417522" w:rsidRDefault="00C80BF0" w:rsidP="008D3875">
            <w:pPr>
              <w:spacing w:before="40" w:after="40"/>
              <w:rPr>
                <w:rFonts w:ascii="Verdana" w:hAnsi="Verdana"/>
                <w:b/>
                <w:sz w:val="20"/>
                <w:szCs w:val="20"/>
              </w:rPr>
            </w:pPr>
          </w:p>
        </w:tc>
        <w:tc>
          <w:tcPr>
            <w:tcW w:w="5670" w:type="dxa"/>
            <w:tcBorders>
              <w:top w:val="nil"/>
              <w:bottom w:val="single" w:sz="18" w:space="0" w:color="2E74B5"/>
            </w:tcBorders>
            <w:shd w:val="clear" w:color="auto" w:fill="auto"/>
          </w:tcPr>
          <w:p w14:paraId="6170CE95" w14:textId="77777777" w:rsidR="00C80BF0" w:rsidRPr="00417522" w:rsidRDefault="00C80BF0" w:rsidP="008D3875">
            <w:pPr>
              <w:spacing w:before="40" w:after="40"/>
              <w:jc w:val="both"/>
              <w:rPr>
                <w:rFonts w:ascii="Verdana" w:hAnsi="Verdana"/>
                <w:b/>
                <w:sz w:val="20"/>
                <w:szCs w:val="20"/>
              </w:rPr>
            </w:pPr>
            <w:r w:rsidRPr="00417522">
              <w:rPr>
                <w:rFonts w:ascii="Verdana" w:hAnsi="Verdana"/>
                <w:b/>
                <w:sz w:val="20"/>
                <w:szCs w:val="20"/>
              </w:rPr>
              <w:t>Чл. 33, ал. 1, т. 3 от Наредба №4/2015:</w:t>
            </w:r>
          </w:p>
          <w:p w14:paraId="3FB20A57" w14:textId="77777777"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Предложение:</w:t>
            </w:r>
            <w:r w:rsidRPr="00417522">
              <w:rPr>
                <w:rFonts w:ascii="Verdana" w:hAnsi="Verdana"/>
                <w:sz w:val="20"/>
                <w:szCs w:val="20"/>
              </w:rPr>
              <w:t xml:space="preserve"> Чл. 33, ал. 1, т. 3 от Наредба №4/2015 да се заличи.</w:t>
            </w:r>
          </w:p>
          <w:p w14:paraId="2C437EC7" w14:textId="77777777" w:rsidR="00C80BF0" w:rsidRPr="00417522" w:rsidRDefault="00C80BF0" w:rsidP="008D3875">
            <w:pPr>
              <w:spacing w:before="40" w:after="40"/>
              <w:jc w:val="both"/>
              <w:rPr>
                <w:rFonts w:ascii="Verdana" w:hAnsi="Verdana"/>
                <w:sz w:val="20"/>
                <w:szCs w:val="20"/>
              </w:rPr>
            </w:pPr>
            <w:r w:rsidRPr="00417522">
              <w:rPr>
                <w:rFonts w:ascii="Verdana" w:hAnsi="Verdana"/>
                <w:b/>
                <w:sz w:val="20"/>
                <w:szCs w:val="20"/>
              </w:rPr>
              <w:t>Мотиви:</w:t>
            </w:r>
            <w:r w:rsidRPr="00417522">
              <w:rPr>
                <w:rFonts w:ascii="Verdana" w:hAnsi="Verdana"/>
                <w:sz w:val="20"/>
                <w:szCs w:val="20"/>
              </w:rPr>
              <w:t xml:space="preserve"> Текстът ще постави подпомаганите лица по мярката в невъзможност за изпълнение на разпоредбата.</w:t>
            </w:r>
          </w:p>
          <w:p w14:paraId="34636399"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Сертификатът, който следва да представят подпомаганите лица се издава съгласно образеца, посочен в Приложение VI на Регламент (ЕС) № 2018/848 / Приложение I Регламент на изпълнение (ЕС) 2021/1378. Същия не предвижда посочването на подпомагани парцели с идентификатори по ИСАК, произведена продукция, както и посочването й за парцели. За количества продукция, която да се посочва в сертификата са предвидени съответно т. 2 „Количество на продуктите“ от Част II: Специфични незадъжителни елементи от Приложение VI на Регламент (ЕС) № 2018/848 и т. 1 „Количество на продуктите“ от Част II: Специфични незадъжителни елементи от Регламент на изпълнение (ЕС) 2021/1378. Цитираните точки предвиждат вписването на „Прогнозна оценка на количеството  в килограми, литри или, когато е приложимо, в брой единици“, които да се отнасят към „Наименование на продукта и/или код по КН, както е посочено в Регламент (ЕИО) №2658/87 на Съвета за продукти, попадащи в обхвата на Регламент (ЕС) 2018/848“.</w:t>
            </w:r>
          </w:p>
          <w:p w14:paraId="63F0AD1C"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Член 1, буква а) на Регламент на изпълнение (ЕС) 2021/1378 предвижда издаването на сертификата </w:t>
            </w:r>
            <w:r w:rsidRPr="00417522">
              <w:rPr>
                <w:rFonts w:ascii="Verdana" w:hAnsi="Verdana"/>
                <w:sz w:val="20"/>
                <w:szCs w:val="20"/>
              </w:rPr>
              <w:lastRenderedPageBreak/>
              <w:t>в електронна форма чрез използването на електронната експертна система за контрол на търговията (TRACES), което елиминира възможността за въвеждането на произволна информация при издаването на сертификати.</w:t>
            </w:r>
          </w:p>
          <w:p w14:paraId="232E04C8"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В допълнение разпоредбите на европейското право и националното законодателство предвиждат достъп на Държавен фонд „Земеделие“ до въведената информация от регистъра по чл. 16а, ал. 1, т. 1 от Закона за прилагане на Общата организация на пазарите на земеделски продукти на Европейския съюз. Същото е посочено и в §13, т. 2 от проекта на НИД на Наредба №4/2015.</w:t>
            </w:r>
          </w:p>
        </w:tc>
        <w:tc>
          <w:tcPr>
            <w:tcW w:w="1701" w:type="dxa"/>
            <w:tcBorders>
              <w:top w:val="nil"/>
              <w:bottom w:val="single" w:sz="4" w:space="0" w:color="auto"/>
            </w:tcBorders>
            <w:shd w:val="clear" w:color="auto" w:fill="auto"/>
          </w:tcPr>
          <w:p w14:paraId="377A3EEE" w14:textId="77777777" w:rsidR="00C80BF0" w:rsidRPr="00D5741D" w:rsidRDefault="00C80BF0" w:rsidP="008D3875">
            <w:pPr>
              <w:spacing w:before="40" w:after="40"/>
              <w:rPr>
                <w:rFonts w:ascii="Verdana" w:hAnsi="Verdana"/>
                <w:color w:val="000000" w:themeColor="text1"/>
                <w:sz w:val="20"/>
                <w:szCs w:val="20"/>
              </w:rPr>
            </w:pPr>
            <w:r w:rsidRPr="00D5741D">
              <w:rPr>
                <w:rFonts w:ascii="Verdana" w:hAnsi="Verdana"/>
                <w:color w:val="000000" w:themeColor="text1"/>
                <w:sz w:val="20"/>
                <w:szCs w:val="20"/>
              </w:rPr>
              <w:lastRenderedPageBreak/>
              <w:t>Не се приема</w:t>
            </w:r>
          </w:p>
        </w:tc>
        <w:tc>
          <w:tcPr>
            <w:tcW w:w="4964" w:type="dxa"/>
            <w:tcBorders>
              <w:top w:val="nil"/>
              <w:bottom w:val="single" w:sz="4" w:space="0" w:color="auto"/>
            </w:tcBorders>
            <w:shd w:val="clear" w:color="auto" w:fill="auto"/>
          </w:tcPr>
          <w:p w14:paraId="67CCF4DE" w14:textId="77777777" w:rsidR="00C80BF0" w:rsidRDefault="00C80BF0" w:rsidP="008D3875">
            <w:pPr>
              <w:spacing w:before="40" w:after="40"/>
              <w:jc w:val="both"/>
              <w:rPr>
                <w:rFonts w:ascii="Verdana" w:hAnsi="Verdana"/>
                <w:sz w:val="20"/>
                <w:szCs w:val="20"/>
              </w:rPr>
            </w:pPr>
            <w:r>
              <w:rPr>
                <w:rFonts w:ascii="Verdana" w:hAnsi="Verdana"/>
                <w:sz w:val="20"/>
                <w:szCs w:val="20"/>
              </w:rPr>
              <w:t xml:space="preserve">Съгласно одобрената от ЕК ПРСР 2014-2020 г. всеки бенефициенти е задължен </w:t>
            </w:r>
            <w:r w:rsidRPr="00EC0864">
              <w:rPr>
                <w:rFonts w:ascii="Verdana" w:hAnsi="Verdana"/>
                <w:sz w:val="20"/>
                <w:szCs w:val="20"/>
              </w:rPr>
              <w:t>до края на ангажимента поне веднъж да получат сертификат за съответствие на произведената от него растителна или животинска продукция с правилата на биологичното производство</w:t>
            </w:r>
            <w:r>
              <w:rPr>
                <w:rFonts w:ascii="Verdana" w:hAnsi="Verdana"/>
                <w:sz w:val="20"/>
                <w:szCs w:val="20"/>
              </w:rPr>
              <w:t>.</w:t>
            </w:r>
          </w:p>
          <w:p w14:paraId="3CDAE2A2" w14:textId="77777777" w:rsidR="00C80BF0" w:rsidRDefault="00C80BF0" w:rsidP="008D3875">
            <w:pPr>
              <w:spacing w:before="40" w:after="40"/>
              <w:jc w:val="both"/>
              <w:rPr>
                <w:rFonts w:ascii="Verdana" w:hAnsi="Verdana"/>
                <w:sz w:val="20"/>
                <w:szCs w:val="20"/>
              </w:rPr>
            </w:pPr>
            <w:r>
              <w:rPr>
                <w:rFonts w:ascii="Verdana" w:hAnsi="Verdana"/>
                <w:sz w:val="20"/>
                <w:szCs w:val="20"/>
              </w:rPr>
              <w:t xml:space="preserve">Изискването </w:t>
            </w:r>
            <w:r w:rsidRPr="00E56207">
              <w:rPr>
                <w:rFonts w:ascii="Verdana" w:hAnsi="Verdana"/>
                <w:sz w:val="20"/>
                <w:szCs w:val="20"/>
              </w:rPr>
              <w:t>сертификатът да удостоверява наличие на биологична продукция</w:t>
            </w:r>
            <w:r>
              <w:rPr>
                <w:rFonts w:ascii="Verdana" w:hAnsi="Verdana"/>
                <w:sz w:val="20"/>
                <w:szCs w:val="20"/>
              </w:rPr>
              <w:t xml:space="preserve"> е било валидно още от старта на прилагане на мярка 11 „Биологично земеделие“.</w:t>
            </w:r>
          </w:p>
          <w:p w14:paraId="34352F9A" w14:textId="7C0FBFAD" w:rsidR="00C80BF0" w:rsidRPr="00417522" w:rsidRDefault="00C80BF0" w:rsidP="008D3875">
            <w:pPr>
              <w:spacing w:before="40" w:after="40"/>
              <w:jc w:val="both"/>
              <w:rPr>
                <w:rFonts w:ascii="Verdana" w:hAnsi="Verdana"/>
                <w:sz w:val="20"/>
                <w:szCs w:val="20"/>
              </w:rPr>
            </w:pPr>
            <w:r>
              <w:rPr>
                <w:rFonts w:ascii="Verdana" w:hAnsi="Verdana"/>
                <w:sz w:val="20"/>
                <w:szCs w:val="20"/>
              </w:rPr>
              <w:t xml:space="preserve">Съгласно изискванията на чл. 48, ал. 9 от </w:t>
            </w:r>
            <w:r w:rsidRPr="007C4567">
              <w:rPr>
                <w:rFonts w:ascii="Verdana" w:hAnsi="Verdana"/>
                <w:sz w:val="20"/>
                <w:szCs w:val="20"/>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Pr>
                <w:rFonts w:ascii="Verdana" w:hAnsi="Verdana"/>
                <w:sz w:val="20"/>
                <w:szCs w:val="20"/>
              </w:rPr>
              <w:t xml:space="preserve"> „</w:t>
            </w:r>
            <w:r w:rsidRPr="0007171D">
              <w:rPr>
                <w:rFonts w:ascii="Verdana" w:hAnsi="Verdana"/>
                <w:sz w:val="20"/>
                <w:szCs w:val="20"/>
              </w:rPr>
              <w:t xml:space="preserve">Контролиращото лице издава писмено доказателство по смисъла на чл. 29, параграф 1 от Регламент (ЕО) № 834/2007 на оператор, съответно подизпълнител, с който има сключен договор за контрол и сертификация. Писменото доказателство трябва да отговаря на посочените изисквания в приложения XII и XIIа от Регламент (ЕО) № 889/2008. Във връзка с писменото доказателство по смисъла на чл. 29, параграф 1 от Регламент (ЕО) № 834/2007 контролиращото лице издава </w:t>
            </w:r>
            <w:r w:rsidRPr="0007171D">
              <w:rPr>
                <w:rFonts w:ascii="Verdana" w:hAnsi="Verdana"/>
                <w:sz w:val="20"/>
                <w:szCs w:val="20"/>
              </w:rPr>
              <w:lastRenderedPageBreak/>
              <w:t xml:space="preserve">приложение към него, съдържащо </w:t>
            </w:r>
            <w:r w:rsidRPr="00550655">
              <w:rPr>
                <w:rFonts w:ascii="Verdana" w:hAnsi="Verdana"/>
                <w:sz w:val="20"/>
                <w:szCs w:val="20"/>
              </w:rPr>
              <w:t xml:space="preserve">справка за количеството произведена </w:t>
            </w:r>
            <w:r w:rsidRPr="0007171D">
              <w:rPr>
                <w:rFonts w:ascii="Verdana" w:hAnsi="Verdana"/>
                <w:sz w:val="20"/>
                <w:szCs w:val="20"/>
              </w:rPr>
              <w:t>първично земеделска продукция през съответната година, площите, животните и/или пчелните семейства, от които е произведена, както и наличната на склад продукция от предходни години</w:t>
            </w:r>
            <w:r>
              <w:rPr>
                <w:rFonts w:ascii="Verdana" w:hAnsi="Verdana"/>
                <w:sz w:val="20"/>
                <w:szCs w:val="20"/>
              </w:rPr>
              <w:t>.“</w:t>
            </w:r>
          </w:p>
        </w:tc>
      </w:tr>
      <w:tr w:rsidR="00C80BF0" w:rsidRPr="00417522" w14:paraId="4EA69873" w14:textId="77777777" w:rsidTr="008D3875">
        <w:trPr>
          <w:trHeight w:val="596"/>
        </w:trPr>
        <w:tc>
          <w:tcPr>
            <w:tcW w:w="622" w:type="dxa"/>
            <w:vMerge w:val="restart"/>
            <w:shd w:val="clear" w:color="auto" w:fill="auto"/>
          </w:tcPr>
          <w:p w14:paraId="1E4E1708" w14:textId="77777777" w:rsidR="00C80BF0" w:rsidRPr="00417522" w:rsidRDefault="00C80BF0" w:rsidP="008D3875">
            <w:pPr>
              <w:numPr>
                <w:ilvl w:val="0"/>
                <w:numId w:val="5"/>
              </w:numPr>
              <w:tabs>
                <w:tab w:val="left" w:pos="192"/>
              </w:tabs>
              <w:spacing w:before="40" w:after="40"/>
              <w:ind w:left="0" w:firstLine="0"/>
              <w:jc w:val="center"/>
              <w:rPr>
                <w:rFonts w:ascii="Verdana" w:hAnsi="Verdana"/>
                <w:b/>
                <w:sz w:val="20"/>
                <w:szCs w:val="20"/>
              </w:rPr>
            </w:pPr>
          </w:p>
        </w:tc>
        <w:tc>
          <w:tcPr>
            <w:tcW w:w="2693" w:type="dxa"/>
            <w:vMerge w:val="restart"/>
            <w:shd w:val="clear" w:color="auto" w:fill="auto"/>
          </w:tcPr>
          <w:p w14:paraId="34D64B20" w14:textId="77777777" w:rsidR="00C80BF0" w:rsidRPr="00417522" w:rsidRDefault="00C80BF0" w:rsidP="008D3875">
            <w:pPr>
              <w:spacing w:before="40" w:after="40"/>
              <w:rPr>
                <w:rFonts w:ascii="Verdana" w:hAnsi="Verdana"/>
                <w:b/>
                <w:sz w:val="20"/>
                <w:szCs w:val="20"/>
              </w:rPr>
            </w:pPr>
            <w:r w:rsidRPr="00417522">
              <w:rPr>
                <w:rFonts w:ascii="Verdana" w:hAnsi="Verdana"/>
                <w:b/>
                <w:sz w:val="20"/>
                <w:szCs w:val="20"/>
              </w:rPr>
              <w:t>Национална био асоциация</w:t>
            </w:r>
          </w:p>
          <w:p w14:paraId="1C0CCD77" w14:textId="77777777" w:rsidR="00C80BF0" w:rsidRPr="00417522" w:rsidRDefault="00C80BF0" w:rsidP="008D3875">
            <w:pPr>
              <w:spacing w:before="40" w:after="40"/>
              <w:rPr>
                <w:rFonts w:ascii="Verdana" w:hAnsi="Verdana"/>
                <w:b/>
                <w:sz w:val="20"/>
                <w:szCs w:val="20"/>
              </w:rPr>
            </w:pPr>
            <w:r w:rsidRPr="00417522">
              <w:rPr>
                <w:rFonts w:ascii="Verdana" w:hAnsi="Verdana"/>
                <w:sz w:val="20"/>
                <w:szCs w:val="20"/>
              </w:rPr>
              <w:t>(Писмо № 15-197 от 31.03.2022 г.)</w:t>
            </w:r>
          </w:p>
        </w:tc>
        <w:tc>
          <w:tcPr>
            <w:tcW w:w="5670" w:type="dxa"/>
            <w:tcBorders>
              <w:top w:val="single" w:sz="18" w:space="0" w:color="2E74B5"/>
              <w:bottom w:val="nil"/>
            </w:tcBorders>
            <w:shd w:val="clear" w:color="auto" w:fill="auto"/>
          </w:tcPr>
          <w:p w14:paraId="3233029B"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През миналата година по мярка 11 „Биологично земеделие“ се въведе изискване за допустимост по мярката, земеделските стопани да представят оценка на БЗС парцелите, които заявяват с трайни насаждения в системата ИСАК оценка направена по реда на базисните цени за трайните насаждения.</w:t>
            </w:r>
          </w:p>
          <w:p w14:paraId="69F7CCDF"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Това от своя страна доведе до изключително затруднение в целия земеделски бранш отглеждащ трайни насаждения, причини изключително много загуби и пропуснати ползи, като подейства изключително неблагоприятно на цялата природощадяща дейност на земеделските стопани, прилагащи мярката.</w:t>
            </w:r>
          </w:p>
          <w:p w14:paraId="627B7BAC" w14:textId="77777777" w:rsidR="00C80BF0" w:rsidRPr="00417522" w:rsidRDefault="00C80BF0" w:rsidP="008D3875">
            <w:pPr>
              <w:spacing w:before="40" w:after="40"/>
              <w:jc w:val="both"/>
              <w:rPr>
                <w:rFonts w:ascii="Verdana" w:hAnsi="Verdana"/>
                <w:b/>
                <w:sz w:val="20"/>
                <w:szCs w:val="20"/>
              </w:rPr>
            </w:pPr>
            <w:r w:rsidRPr="00417522">
              <w:rPr>
                <w:rFonts w:ascii="Verdana" w:hAnsi="Verdana"/>
                <w:b/>
                <w:sz w:val="20"/>
                <w:szCs w:val="20"/>
              </w:rPr>
              <w:t>Обективираме нашето твърдение със следните факти :</w:t>
            </w:r>
          </w:p>
        </w:tc>
        <w:tc>
          <w:tcPr>
            <w:tcW w:w="1701" w:type="dxa"/>
            <w:tcBorders>
              <w:top w:val="single" w:sz="18" w:space="0" w:color="2E74B5"/>
              <w:bottom w:val="nil"/>
            </w:tcBorders>
            <w:shd w:val="clear" w:color="auto" w:fill="auto"/>
          </w:tcPr>
          <w:p w14:paraId="36446E92" w14:textId="77777777" w:rsidR="00C80BF0" w:rsidRPr="00417522" w:rsidRDefault="00C80BF0" w:rsidP="008D3875">
            <w:pPr>
              <w:spacing w:before="40" w:after="40"/>
              <w:jc w:val="both"/>
              <w:rPr>
                <w:rFonts w:ascii="Verdana" w:hAnsi="Verdana"/>
                <w:b/>
                <w:sz w:val="20"/>
                <w:szCs w:val="20"/>
              </w:rPr>
            </w:pPr>
          </w:p>
        </w:tc>
        <w:tc>
          <w:tcPr>
            <w:tcW w:w="4964" w:type="dxa"/>
            <w:tcBorders>
              <w:top w:val="single" w:sz="18" w:space="0" w:color="2E74B5"/>
              <w:bottom w:val="nil"/>
            </w:tcBorders>
            <w:shd w:val="clear" w:color="auto" w:fill="auto"/>
          </w:tcPr>
          <w:p w14:paraId="7A529EE4" w14:textId="77777777" w:rsidR="00C80BF0" w:rsidRPr="00417522" w:rsidRDefault="00C80BF0" w:rsidP="008D3875">
            <w:pPr>
              <w:spacing w:before="40" w:after="40"/>
              <w:rPr>
                <w:rFonts w:ascii="Verdana" w:hAnsi="Verdana"/>
                <w:sz w:val="20"/>
                <w:szCs w:val="20"/>
              </w:rPr>
            </w:pPr>
          </w:p>
        </w:tc>
      </w:tr>
      <w:tr w:rsidR="00C80BF0" w:rsidRPr="00417522" w14:paraId="7FF263AC" w14:textId="77777777" w:rsidTr="008D3875">
        <w:trPr>
          <w:trHeight w:val="596"/>
        </w:trPr>
        <w:tc>
          <w:tcPr>
            <w:tcW w:w="622" w:type="dxa"/>
            <w:vMerge/>
            <w:shd w:val="clear" w:color="auto" w:fill="auto"/>
          </w:tcPr>
          <w:p w14:paraId="683344EC" w14:textId="77777777" w:rsidR="00C80BF0" w:rsidRPr="00417522" w:rsidRDefault="00C80BF0" w:rsidP="008D3875">
            <w:pPr>
              <w:tabs>
                <w:tab w:val="left" w:pos="192"/>
              </w:tabs>
              <w:spacing w:before="40" w:after="40"/>
              <w:jc w:val="center"/>
              <w:rPr>
                <w:rFonts w:ascii="Verdana" w:hAnsi="Verdana"/>
                <w:b/>
                <w:sz w:val="20"/>
                <w:szCs w:val="20"/>
              </w:rPr>
            </w:pPr>
          </w:p>
        </w:tc>
        <w:tc>
          <w:tcPr>
            <w:tcW w:w="2693" w:type="dxa"/>
            <w:vMerge/>
            <w:shd w:val="clear" w:color="auto" w:fill="auto"/>
          </w:tcPr>
          <w:p w14:paraId="11E80713" w14:textId="77777777" w:rsidR="00C80BF0" w:rsidRPr="00417522" w:rsidRDefault="00C80BF0" w:rsidP="008D3875">
            <w:pPr>
              <w:spacing w:before="40" w:after="40"/>
              <w:rPr>
                <w:rFonts w:ascii="Verdana" w:hAnsi="Verdana"/>
                <w:b/>
                <w:sz w:val="20"/>
                <w:szCs w:val="20"/>
              </w:rPr>
            </w:pPr>
          </w:p>
        </w:tc>
        <w:tc>
          <w:tcPr>
            <w:tcW w:w="5670" w:type="dxa"/>
            <w:tcBorders>
              <w:top w:val="nil"/>
              <w:bottom w:val="nil"/>
            </w:tcBorders>
            <w:shd w:val="clear" w:color="auto" w:fill="auto"/>
          </w:tcPr>
          <w:p w14:paraId="0D64289D"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1. Не е налице нормативно изискване в Регламент № 848/2015г. в сила от 2022г., относно правилата на ЕС за биологичното производство и етикетирането на биологични продукти, да се </w:t>
            </w:r>
            <w:r w:rsidRPr="00417522">
              <w:rPr>
                <w:rFonts w:ascii="Verdana" w:hAnsi="Verdana"/>
                <w:sz w:val="20"/>
                <w:szCs w:val="20"/>
              </w:rPr>
              <w:lastRenderedPageBreak/>
              <w:t>изисква от земеделските стопани да правят подобен вид оценки на трайните си насаждения нито изискване, за да бъдат допустим бенефициент, същите площи да бъдат плододаващи, каквото изискване вменява българския орган по управление на ПРСР, досежно мярка 11 „Биологично земеделие“, видно от чл. 14, т. 10 от Наредба №4/2015г.</w:t>
            </w:r>
          </w:p>
          <w:p w14:paraId="5676D82A" w14:textId="6D8EBDD8" w:rsidR="00BD404D" w:rsidRPr="00417522" w:rsidRDefault="00C80BF0" w:rsidP="008D3875">
            <w:pPr>
              <w:spacing w:before="40" w:after="40"/>
              <w:jc w:val="both"/>
              <w:rPr>
                <w:rFonts w:ascii="Verdana" w:hAnsi="Verdana"/>
                <w:sz w:val="20"/>
                <w:szCs w:val="20"/>
              </w:rPr>
            </w:pPr>
            <w:r w:rsidRPr="00417522">
              <w:rPr>
                <w:rFonts w:ascii="Verdana" w:hAnsi="Verdana"/>
                <w:sz w:val="20"/>
                <w:szCs w:val="20"/>
              </w:rPr>
              <w:t>Смятаме, че подобно изискване е неправилно, незаконосъобразно и е предложено от некомпетентен орган, тъй като подобно изискване към бенефициентите следва да се изисква само, ако то е провъзгласено чрез нормативните актове на ЕС.</w:t>
            </w:r>
          </w:p>
        </w:tc>
        <w:tc>
          <w:tcPr>
            <w:tcW w:w="1701" w:type="dxa"/>
            <w:tcBorders>
              <w:top w:val="nil"/>
              <w:bottom w:val="nil"/>
            </w:tcBorders>
            <w:shd w:val="clear" w:color="auto" w:fill="auto"/>
          </w:tcPr>
          <w:p w14:paraId="284FA7E3" w14:textId="10618A47" w:rsidR="00C80BF0" w:rsidRPr="00417522" w:rsidRDefault="000179AD" w:rsidP="008D3875">
            <w:pPr>
              <w:spacing w:before="40" w:after="40"/>
              <w:rPr>
                <w:rFonts w:ascii="Verdana" w:hAnsi="Verdana"/>
                <w:color w:val="FF0000"/>
                <w:sz w:val="20"/>
                <w:szCs w:val="20"/>
              </w:rPr>
            </w:pPr>
            <w:r w:rsidRPr="007B72CF">
              <w:rPr>
                <w:rFonts w:ascii="Verdana" w:hAnsi="Verdana"/>
                <w:color w:val="000000" w:themeColor="text1"/>
                <w:sz w:val="20"/>
                <w:szCs w:val="20"/>
              </w:rPr>
              <w:lastRenderedPageBreak/>
              <w:t>Приема се</w:t>
            </w:r>
          </w:p>
        </w:tc>
        <w:tc>
          <w:tcPr>
            <w:tcW w:w="4964" w:type="dxa"/>
            <w:tcBorders>
              <w:top w:val="nil"/>
              <w:bottom w:val="nil"/>
            </w:tcBorders>
            <w:shd w:val="clear" w:color="auto" w:fill="auto"/>
          </w:tcPr>
          <w:p w14:paraId="53A1C43E" w14:textId="09028111" w:rsidR="00BD404D" w:rsidRPr="00417522" w:rsidRDefault="00BD404D" w:rsidP="008D3875">
            <w:pPr>
              <w:spacing w:before="40" w:after="40"/>
              <w:jc w:val="both"/>
              <w:rPr>
                <w:rFonts w:ascii="Verdana" w:hAnsi="Verdana"/>
                <w:sz w:val="20"/>
                <w:szCs w:val="20"/>
              </w:rPr>
            </w:pPr>
          </w:p>
        </w:tc>
      </w:tr>
      <w:tr w:rsidR="00F63AD3" w:rsidRPr="00417522" w14:paraId="7D2EA353" w14:textId="77777777" w:rsidTr="008D3875">
        <w:trPr>
          <w:trHeight w:val="596"/>
        </w:trPr>
        <w:tc>
          <w:tcPr>
            <w:tcW w:w="622" w:type="dxa"/>
            <w:vMerge/>
            <w:shd w:val="clear" w:color="auto" w:fill="auto"/>
          </w:tcPr>
          <w:p w14:paraId="5051A620" w14:textId="77777777" w:rsidR="00F63AD3" w:rsidRPr="00417522" w:rsidRDefault="00F63AD3" w:rsidP="008D3875">
            <w:pPr>
              <w:tabs>
                <w:tab w:val="left" w:pos="192"/>
              </w:tabs>
              <w:spacing w:before="40" w:after="40"/>
              <w:jc w:val="center"/>
              <w:rPr>
                <w:rFonts w:ascii="Verdana" w:hAnsi="Verdana"/>
                <w:b/>
                <w:sz w:val="20"/>
                <w:szCs w:val="20"/>
              </w:rPr>
            </w:pPr>
          </w:p>
        </w:tc>
        <w:tc>
          <w:tcPr>
            <w:tcW w:w="2693" w:type="dxa"/>
            <w:vMerge/>
            <w:shd w:val="clear" w:color="auto" w:fill="auto"/>
          </w:tcPr>
          <w:p w14:paraId="675F01C6" w14:textId="77777777" w:rsidR="00F63AD3" w:rsidRPr="00417522" w:rsidRDefault="00F63AD3" w:rsidP="008D3875">
            <w:pPr>
              <w:spacing w:before="40" w:after="40"/>
              <w:rPr>
                <w:rFonts w:ascii="Verdana" w:hAnsi="Verdana"/>
                <w:b/>
                <w:sz w:val="20"/>
                <w:szCs w:val="20"/>
              </w:rPr>
            </w:pPr>
          </w:p>
        </w:tc>
        <w:tc>
          <w:tcPr>
            <w:tcW w:w="5670" w:type="dxa"/>
            <w:tcBorders>
              <w:top w:val="nil"/>
              <w:bottom w:val="nil"/>
            </w:tcBorders>
            <w:shd w:val="clear" w:color="auto" w:fill="auto"/>
          </w:tcPr>
          <w:p w14:paraId="5D638B98" w14:textId="680EBAC1" w:rsidR="00045494" w:rsidRPr="00417522" w:rsidRDefault="00045494" w:rsidP="008D3875">
            <w:pPr>
              <w:spacing w:before="40" w:after="40"/>
              <w:jc w:val="both"/>
              <w:rPr>
                <w:rFonts w:ascii="Verdana" w:hAnsi="Verdana"/>
                <w:sz w:val="20"/>
                <w:szCs w:val="20"/>
              </w:rPr>
            </w:pPr>
            <w:r w:rsidRPr="00417522">
              <w:rPr>
                <w:rFonts w:ascii="Verdana" w:hAnsi="Verdana"/>
                <w:sz w:val="20"/>
                <w:szCs w:val="20"/>
              </w:rPr>
              <w:t>2. Смятаме, че с допълнителното изискването, което се поставя само върху българските земеделски стопани отглеждащи трайни насаждени</w:t>
            </w:r>
            <w:r w:rsidR="00A415B1">
              <w:rPr>
                <w:rFonts w:ascii="Verdana" w:hAnsi="Verdana"/>
                <w:sz w:val="20"/>
                <w:szCs w:val="20"/>
              </w:rPr>
              <w:t>я, органа по управление на ПРСР</w:t>
            </w:r>
            <w:r w:rsidRPr="00417522">
              <w:rPr>
                <w:rFonts w:ascii="Verdana" w:hAnsi="Verdana"/>
                <w:sz w:val="20"/>
                <w:szCs w:val="20"/>
              </w:rPr>
              <w:t>:</w:t>
            </w:r>
          </w:p>
          <w:p w14:paraId="4EEF2647" w14:textId="77777777" w:rsidR="00045494" w:rsidRPr="00417522" w:rsidRDefault="00045494" w:rsidP="008D3875">
            <w:pPr>
              <w:spacing w:before="40" w:after="40"/>
              <w:jc w:val="both"/>
              <w:rPr>
                <w:rFonts w:ascii="Verdana" w:hAnsi="Verdana"/>
                <w:sz w:val="20"/>
                <w:szCs w:val="20"/>
              </w:rPr>
            </w:pPr>
            <w:r w:rsidRPr="00417522">
              <w:rPr>
                <w:rFonts w:ascii="Verdana" w:hAnsi="Verdana"/>
                <w:sz w:val="20"/>
                <w:szCs w:val="20"/>
              </w:rPr>
              <w:t>- в значителна степен нарушава правата на земеделските стопани, като недопустимо поставя допълнителна преграда, за подпомагане по тази мярка, която не е налице при техните колеги от останалата част на ЕС;</w:t>
            </w:r>
          </w:p>
          <w:p w14:paraId="479C51DA" w14:textId="77777777" w:rsidR="00045494" w:rsidRPr="00417522" w:rsidRDefault="00045494" w:rsidP="008D3875">
            <w:pPr>
              <w:spacing w:before="40" w:after="40"/>
              <w:jc w:val="both"/>
              <w:rPr>
                <w:rFonts w:ascii="Verdana" w:hAnsi="Verdana"/>
                <w:sz w:val="20"/>
                <w:szCs w:val="20"/>
              </w:rPr>
            </w:pPr>
            <w:r w:rsidRPr="00417522">
              <w:rPr>
                <w:rFonts w:ascii="Verdana" w:hAnsi="Verdana"/>
                <w:sz w:val="20"/>
                <w:szCs w:val="20"/>
              </w:rPr>
              <w:t>- налага дискриминация между земеделските стопани, по признак на това, кой какъв вид култура отглежда, като налага допълнителна тежест на стопаните отглеждащи трайни насаждения;</w:t>
            </w:r>
          </w:p>
          <w:p w14:paraId="52FCECCA" w14:textId="77777777" w:rsidR="00045494" w:rsidRPr="00417522" w:rsidRDefault="00045494" w:rsidP="008D3875">
            <w:pPr>
              <w:spacing w:before="40" w:after="40"/>
              <w:jc w:val="both"/>
              <w:rPr>
                <w:rFonts w:ascii="Verdana" w:hAnsi="Verdana"/>
                <w:sz w:val="20"/>
                <w:szCs w:val="20"/>
              </w:rPr>
            </w:pPr>
            <w:r w:rsidRPr="00417522">
              <w:rPr>
                <w:rFonts w:ascii="Verdana" w:hAnsi="Verdana"/>
                <w:sz w:val="20"/>
                <w:szCs w:val="20"/>
              </w:rPr>
              <w:t xml:space="preserve">-в тези тежки за всички времена производства, където както Р. България, така и останалите страни членки на ЕС предприемат политика за допълнително подпомагане към земеделските стопани, за да укрепят и/или да повишат тяхната </w:t>
            </w:r>
            <w:r w:rsidRPr="00417522">
              <w:rPr>
                <w:rFonts w:ascii="Verdana" w:hAnsi="Verdana"/>
                <w:sz w:val="20"/>
                <w:szCs w:val="20"/>
              </w:rPr>
              <w:lastRenderedPageBreak/>
              <w:t>ликвидност, в разрез с тази общоевропейска политика българския орган по управление на ПРСР изисква от земеделските стопани да извършват един значителен разход, водещ до намаление на разполагаемия ликвиден ресурс с който те разполагат;</w:t>
            </w:r>
          </w:p>
          <w:p w14:paraId="42D3F534" w14:textId="248A893C" w:rsidR="00F63AD3" w:rsidRPr="00417522" w:rsidRDefault="00045494" w:rsidP="008D3875">
            <w:pPr>
              <w:spacing w:before="40" w:after="40"/>
              <w:jc w:val="both"/>
              <w:rPr>
                <w:rFonts w:ascii="Verdana" w:hAnsi="Verdana"/>
                <w:sz w:val="20"/>
                <w:szCs w:val="20"/>
              </w:rPr>
            </w:pPr>
            <w:r w:rsidRPr="00417522">
              <w:rPr>
                <w:rFonts w:ascii="Verdana" w:hAnsi="Verdana"/>
                <w:sz w:val="20"/>
                <w:szCs w:val="20"/>
              </w:rPr>
              <w:t>- подпомагането по мярка 11 „Биологично земеделие“, представлява компенсаторно плащане в размер на 50% от извършените разходи и/или пропуснати ползи, които земеделските стопани правят, за да прилагат биологичният начин на производство.   Ви</w:t>
            </w:r>
            <w:r>
              <w:rPr>
                <w:rFonts w:ascii="Verdana" w:hAnsi="Verdana"/>
                <w:sz w:val="20"/>
                <w:szCs w:val="20"/>
              </w:rPr>
              <w:t xml:space="preserve">зираният разход, който правят </w:t>
            </w:r>
            <w:r w:rsidRPr="00417522">
              <w:rPr>
                <w:rFonts w:ascii="Verdana" w:hAnsi="Verdana"/>
                <w:sz w:val="20"/>
                <w:szCs w:val="20"/>
              </w:rPr>
              <w:t>земеделските стопани съобразно самосиндикалната измислица на органа по управление на ПРСР, не е включен като разход,</w:t>
            </w:r>
            <w:r w:rsidR="00104A51">
              <w:rPr>
                <w:rFonts w:ascii="Verdana" w:hAnsi="Verdana"/>
                <w:sz w:val="20"/>
                <w:szCs w:val="20"/>
              </w:rPr>
              <w:t xml:space="preserve"> </w:t>
            </w:r>
            <w:r w:rsidRPr="00417522">
              <w:rPr>
                <w:rFonts w:ascii="Verdana" w:hAnsi="Verdana"/>
                <w:sz w:val="20"/>
                <w:szCs w:val="20"/>
              </w:rPr>
              <w:t>за който се компенсират биологичните производители;</w:t>
            </w:r>
          </w:p>
        </w:tc>
        <w:tc>
          <w:tcPr>
            <w:tcW w:w="1701" w:type="dxa"/>
            <w:tcBorders>
              <w:top w:val="nil"/>
              <w:bottom w:val="nil"/>
            </w:tcBorders>
            <w:shd w:val="clear" w:color="auto" w:fill="auto"/>
          </w:tcPr>
          <w:p w14:paraId="5872916C" w14:textId="65FB77E5" w:rsidR="00F63AD3" w:rsidRPr="003243FE" w:rsidRDefault="00045494" w:rsidP="008D3875">
            <w:pPr>
              <w:spacing w:before="40" w:after="40"/>
              <w:rPr>
                <w:rFonts w:ascii="Verdana" w:hAnsi="Verdana"/>
                <w:color w:val="000000" w:themeColor="text1"/>
                <w:sz w:val="20"/>
                <w:szCs w:val="20"/>
              </w:rPr>
            </w:pPr>
            <w:r w:rsidRPr="00187D7D">
              <w:rPr>
                <w:rFonts w:ascii="Verdana" w:hAnsi="Verdana"/>
                <w:sz w:val="20"/>
                <w:szCs w:val="20"/>
                <w:lang w:val="en-US"/>
              </w:rPr>
              <w:lastRenderedPageBreak/>
              <w:t>Приема се</w:t>
            </w:r>
          </w:p>
        </w:tc>
        <w:tc>
          <w:tcPr>
            <w:tcW w:w="4964" w:type="dxa"/>
            <w:tcBorders>
              <w:top w:val="nil"/>
              <w:bottom w:val="nil"/>
            </w:tcBorders>
            <w:shd w:val="clear" w:color="auto" w:fill="auto"/>
          </w:tcPr>
          <w:p w14:paraId="3E41CBA7" w14:textId="77777777" w:rsidR="00F63AD3" w:rsidRPr="00657891" w:rsidRDefault="00F63AD3" w:rsidP="008D3875">
            <w:pPr>
              <w:spacing w:before="40" w:after="40"/>
              <w:jc w:val="both"/>
              <w:rPr>
                <w:rFonts w:ascii="Verdana" w:hAnsi="Verdana"/>
                <w:sz w:val="20"/>
                <w:szCs w:val="20"/>
              </w:rPr>
            </w:pPr>
          </w:p>
        </w:tc>
      </w:tr>
      <w:tr w:rsidR="00F63AD3" w:rsidRPr="00417522" w14:paraId="4073D80B" w14:textId="77777777" w:rsidTr="008D3875">
        <w:trPr>
          <w:trHeight w:val="596"/>
        </w:trPr>
        <w:tc>
          <w:tcPr>
            <w:tcW w:w="622" w:type="dxa"/>
            <w:vMerge/>
            <w:shd w:val="clear" w:color="auto" w:fill="auto"/>
          </w:tcPr>
          <w:p w14:paraId="4D524A5D" w14:textId="77777777" w:rsidR="00F63AD3" w:rsidRPr="00417522" w:rsidRDefault="00F63AD3" w:rsidP="008D3875">
            <w:pPr>
              <w:tabs>
                <w:tab w:val="left" w:pos="192"/>
              </w:tabs>
              <w:spacing w:before="40" w:after="40"/>
              <w:jc w:val="center"/>
              <w:rPr>
                <w:rFonts w:ascii="Verdana" w:hAnsi="Verdana"/>
                <w:b/>
                <w:sz w:val="20"/>
                <w:szCs w:val="20"/>
              </w:rPr>
            </w:pPr>
          </w:p>
        </w:tc>
        <w:tc>
          <w:tcPr>
            <w:tcW w:w="2693" w:type="dxa"/>
            <w:vMerge/>
            <w:shd w:val="clear" w:color="auto" w:fill="auto"/>
          </w:tcPr>
          <w:p w14:paraId="68FBA2A1" w14:textId="77777777" w:rsidR="00F63AD3" w:rsidRPr="00417522" w:rsidRDefault="00F63AD3" w:rsidP="008D3875">
            <w:pPr>
              <w:spacing w:before="40" w:after="40"/>
              <w:rPr>
                <w:rFonts w:ascii="Verdana" w:hAnsi="Verdana"/>
                <w:b/>
                <w:sz w:val="20"/>
                <w:szCs w:val="20"/>
              </w:rPr>
            </w:pPr>
          </w:p>
        </w:tc>
        <w:tc>
          <w:tcPr>
            <w:tcW w:w="5670" w:type="dxa"/>
            <w:tcBorders>
              <w:top w:val="nil"/>
              <w:bottom w:val="nil"/>
            </w:tcBorders>
            <w:shd w:val="clear" w:color="auto" w:fill="auto"/>
          </w:tcPr>
          <w:p w14:paraId="0E4A9319" w14:textId="77777777" w:rsidR="00F63AD3" w:rsidRPr="00417522" w:rsidRDefault="00F63AD3" w:rsidP="008D3875">
            <w:pPr>
              <w:spacing w:before="40" w:after="40"/>
              <w:jc w:val="both"/>
              <w:rPr>
                <w:rFonts w:ascii="Verdana" w:hAnsi="Verdana"/>
                <w:sz w:val="20"/>
                <w:szCs w:val="20"/>
              </w:rPr>
            </w:pPr>
            <w:r w:rsidRPr="00417522">
              <w:rPr>
                <w:rFonts w:ascii="Verdana" w:hAnsi="Verdana"/>
                <w:sz w:val="20"/>
                <w:szCs w:val="20"/>
              </w:rPr>
              <w:t>3. Абсолютно неприемливо и непонятно за нас, е изискването в чл. 14, т. 10 от Наредба №4/2015г., всички нови кандидати, които заявяват площи с трайни насаждения да правят оценка по реда на наредбата за трайните насаждения и да доказват че същите плододават.</w:t>
            </w:r>
          </w:p>
          <w:p w14:paraId="5DF9D1B0" w14:textId="77777777" w:rsidR="00F63AD3" w:rsidRPr="00417522" w:rsidRDefault="00F63AD3" w:rsidP="008D3875">
            <w:pPr>
              <w:spacing w:before="40" w:after="40"/>
              <w:jc w:val="both"/>
              <w:rPr>
                <w:rFonts w:ascii="Verdana" w:hAnsi="Verdana"/>
                <w:sz w:val="20"/>
                <w:szCs w:val="20"/>
              </w:rPr>
            </w:pPr>
            <w:r w:rsidRPr="00417522">
              <w:rPr>
                <w:rFonts w:ascii="Verdana" w:hAnsi="Verdana"/>
                <w:sz w:val="20"/>
                <w:szCs w:val="20"/>
              </w:rPr>
              <w:t>- мярката допуска в процеса на подпомагане да влизат нови насаждения неплододаващи, като те следва да имат реализиран добив от всеки заявен парцел доказват до 5-тата година от ангажимента, чрез представения от тях сертификат издаден от съответния контролен орган;</w:t>
            </w:r>
          </w:p>
          <w:p w14:paraId="189AFA52" w14:textId="53EE4233" w:rsidR="00F63AD3" w:rsidRPr="00417522" w:rsidRDefault="00F63AD3" w:rsidP="008D3875">
            <w:pPr>
              <w:spacing w:before="40" w:after="40"/>
              <w:jc w:val="both"/>
              <w:rPr>
                <w:rFonts w:ascii="Verdana" w:hAnsi="Verdana"/>
                <w:sz w:val="20"/>
                <w:szCs w:val="20"/>
              </w:rPr>
            </w:pPr>
            <w:r w:rsidRPr="00417522">
              <w:rPr>
                <w:rFonts w:ascii="Verdana" w:hAnsi="Verdana"/>
                <w:sz w:val="20"/>
                <w:szCs w:val="20"/>
              </w:rPr>
              <w:t xml:space="preserve">- това за нас е една абсолютно неприемлива и компрометираща органа по управление на ПРСР дискриминация, която се извършва спрямо новите земеделски стопани, които проявят желание да се </w:t>
            </w:r>
            <w:r w:rsidRPr="00417522">
              <w:rPr>
                <w:rFonts w:ascii="Verdana" w:hAnsi="Verdana"/>
                <w:sz w:val="20"/>
                <w:szCs w:val="20"/>
              </w:rPr>
              <w:lastRenderedPageBreak/>
              <w:t>занимават с биологично земеделие.</w:t>
            </w:r>
          </w:p>
        </w:tc>
        <w:tc>
          <w:tcPr>
            <w:tcW w:w="1701" w:type="dxa"/>
            <w:tcBorders>
              <w:top w:val="nil"/>
              <w:bottom w:val="nil"/>
            </w:tcBorders>
            <w:shd w:val="clear" w:color="auto" w:fill="auto"/>
          </w:tcPr>
          <w:p w14:paraId="0C81CA9F" w14:textId="049C08F6" w:rsidR="00F63AD3" w:rsidRPr="00187D7D" w:rsidRDefault="00F63AD3" w:rsidP="008D3875">
            <w:pPr>
              <w:spacing w:before="40" w:after="40"/>
              <w:rPr>
                <w:rFonts w:ascii="Verdana" w:hAnsi="Verdana"/>
                <w:sz w:val="20"/>
                <w:szCs w:val="20"/>
              </w:rPr>
            </w:pPr>
            <w:r w:rsidRPr="00187D7D">
              <w:rPr>
                <w:rFonts w:ascii="Verdana" w:hAnsi="Verdana"/>
                <w:sz w:val="20"/>
                <w:szCs w:val="20"/>
                <w:lang w:val="en-US"/>
              </w:rPr>
              <w:lastRenderedPageBreak/>
              <w:t xml:space="preserve">Приема се </w:t>
            </w:r>
          </w:p>
        </w:tc>
        <w:tc>
          <w:tcPr>
            <w:tcW w:w="4964" w:type="dxa"/>
            <w:tcBorders>
              <w:top w:val="nil"/>
              <w:bottom w:val="nil"/>
            </w:tcBorders>
            <w:shd w:val="clear" w:color="auto" w:fill="auto"/>
          </w:tcPr>
          <w:p w14:paraId="6A46FD64" w14:textId="77777777" w:rsidR="00F63AD3" w:rsidRPr="00187D7D" w:rsidRDefault="00F63AD3" w:rsidP="008D3875">
            <w:pPr>
              <w:spacing w:before="40" w:after="40"/>
              <w:jc w:val="both"/>
              <w:rPr>
                <w:rFonts w:ascii="Verdana" w:hAnsi="Verdana"/>
                <w:sz w:val="20"/>
                <w:szCs w:val="20"/>
              </w:rPr>
            </w:pPr>
          </w:p>
        </w:tc>
      </w:tr>
      <w:tr w:rsidR="00C80BF0" w:rsidRPr="00417522" w14:paraId="57EC789F" w14:textId="77777777" w:rsidTr="008D3875">
        <w:trPr>
          <w:trHeight w:val="596"/>
        </w:trPr>
        <w:tc>
          <w:tcPr>
            <w:tcW w:w="622" w:type="dxa"/>
            <w:vMerge/>
            <w:shd w:val="clear" w:color="auto" w:fill="auto"/>
          </w:tcPr>
          <w:p w14:paraId="5644849E" w14:textId="77777777" w:rsidR="00C80BF0" w:rsidRPr="00417522" w:rsidRDefault="00C80BF0" w:rsidP="008D3875">
            <w:pPr>
              <w:tabs>
                <w:tab w:val="left" w:pos="192"/>
              </w:tabs>
              <w:spacing w:before="40" w:after="40"/>
              <w:jc w:val="center"/>
              <w:rPr>
                <w:rFonts w:ascii="Verdana" w:hAnsi="Verdana"/>
                <w:b/>
                <w:sz w:val="20"/>
                <w:szCs w:val="20"/>
              </w:rPr>
            </w:pPr>
          </w:p>
        </w:tc>
        <w:tc>
          <w:tcPr>
            <w:tcW w:w="2693" w:type="dxa"/>
            <w:vMerge/>
            <w:shd w:val="clear" w:color="auto" w:fill="auto"/>
          </w:tcPr>
          <w:p w14:paraId="1DA0771E" w14:textId="77777777" w:rsidR="00C80BF0" w:rsidRPr="00417522" w:rsidRDefault="00C80BF0" w:rsidP="008D3875">
            <w:pPr>
              <w:spacing w:before="40" w:after="40"/>
              <w:rPr>
                <w:rFonts w:ascii="Verdana" w:hAnsi="Verdana"/>
                <w:b/>
                <w:sz w:val="20"/>
                <w:szCs w:val="20"/>
              </w:rPr>
            </w:pPr>
          </w:p>
        </w:tc>
        <w:tc>
          <w:tcPr>
            <w:tcW w:w="5670" w:type="dxa"/>
            <w:tcBorders>
              <w:top w:val="nil"/>
              <w:bottom w:val="nil"/>
            </w:tcBorders>
            <w:shd w:val="clear" w:color="auto" w:fill="auto"/>
          </w:tcPr>
          <w:p w14:paraId="30068BF2"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4. През годините назад много земеделски био стопани станаха жертва по чисто административна причина, да не могат да припокрият заявените от тях площи с минимум 90%, спрямо първоначалното одобрение. За съжаление органа по управление на ПРСР, дори не предприе обсъждане, нито пожела да коментира тори род проблеми, по начин с който да облекчи земеделските стопани. Това е ясен знак, че той не се вълнува от реалните проблеми на реални, дребни и средни стопанства.</w:t>
            </w:r>
          </w:p>
          <w:p w14:paraId="063398C9"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Припомняме, че ние предложихме, процента на припокриване, да е съобразно площта, която заявяват стопани. Тъй като най-уязвима група, при изискването за припокриване са именно най-малките стопанства. Тъй като те заявяват малки по обем площи и малко изкривяване при очертанията се явява фатално.</w:t>
            </w:r>
          </w:p>
        </w:tc>
        <w:tc>
          <w:tcPr>
            <w:tcW w:w="1701" w:type="dxa"/>
            <w:tcBorders>
              <w:top w:val="nil"/>
              <w:bottom w:val="nil"/>
            </w:tcBorders>
            <w:shd w:val="clear" w:color="auto" w:fill="auto"/>
          </w:tcPr>
          <w:p w14:paraId="047910A5" w14:textId="77777777" w:rsidR="00C80BF0" w:rsidRPr="00417522" w:rsidRDefault="00C80BF0" w:rsidP="008D3875">
            <w:pPr>
              <w:spacing w:before="40" w:after="40"/>
              <w:rPr>
                <w:rFonts w:ascii="Verdana" w:hAnsi="Verdana"/>
                <w:color w:val="FF0000"/>
                <w:sz w:val="20"/>
                <w:szCs w:val="20"/>
              </w:rPr>
            </w:pPr>
            <w:r w:rsidRPr="00B422CB">
              <w:rPr>
                <w:rFonts w:ascii="Verdana" w:hAnsi="Verdana"/>
                <w:color w:val="000000" w:themeColor="text1"/>
                <w:sz w:val="20"/>
                <w:szCs w:val="20"/>
              </w:rPr>
              <w:t>Не се приема</w:t>
            </w:r>
          </w:p>
        </w:tc>
        <w:tc>
          <w:tcPr>
            <w:tcW w:w="4964" w:type="dxa"/>
            <w:tcBorders>
              <w:top w:val="nil"/>
              <w:bottom w:val="nil"/>
            </w:tcBorders>
            <w:shd w:val="clear" w:color="auto" w:fill="auto"/>
          </w:tcPr>
          <w:p w14:paraId="33803134" w14:textId="55201D73" w:rsidR="00C80BF0" w:rsidRPr="00417522" w:rsidRDefault="00C80BF0" w:rsidP="008D3875">
            <w:pPr>
              <w:spacing w:before="40" w:after="40"/>
              <w:jc w:val="both"/>
              <w:rPr>
                <w:rFonts w:ascii="Verdana" w:hAnsi="Verdana"/>
                <w:sz w:val="20"/>
                <w:szCs w:val="20"/>
              </w:rPr>
            </w:pPr>
            <w:r w:rsidRPr="00657891">
              <w:rPr>
                <w:rFonts w:ascii="Verdana" w:hAnsi="Verdana"/>
                <w:sz w:val="20"/>
                <w:szCs w:val="20"/>
              </w:rPr>
              <w:t xml:space="preserve">В одобрената от ЕК ПРСР 2014-2020 г. е посочено, че във връзка с чл. 47 от  </w:t>
            </w:r>
            <w:hyperlink r:id="rId12" w:history="1">
              <w:r w:rsidRPr="00657891">
                <w:rPr>
                  <w:rFonts w:ascii="Verdana" w:hAnsi="Verdana"/>
                  <w:sz w:val="20"/>
                  <w:szCs w:val="20"/>
                </w:rPr>
                <w:t xml:space="preserve">Регламент </w:t>
              </w:r>
            </w:hyperlink>
            <w:r w:rsidR="00CD09F7">
              <w:rPr>
                <w:rFonts w:ascii="Verdana" w:hAnsi="Verdana"/>
                <w:sz w:val="20"/>
                <w:szCs w:val="20"/>
              </w:rPr>
              <w:t>(Е</w:t>
            </w:r>
            <w:r w:rsidR="00CD09F7" w:rsidRPr="00F63AD3">
              <w:rPr>
                <w:rFonts w:ascii="Verdana" w:hAnsi="Verdana"/>
                <w:sz w:val="20"/>
                <w:szCs w:val="20"/>
                <w:lang w:val="ru-RU"/>
              </w:rPr>
              <w:t>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w:t>
            </w:r>
            <w:r w:rsidR="00CD09F7">
              <w:rPr>
                <w:rFonts w:ascii="Verdana" w:hAnsi="Verdana"/>
                <w:sz w:val="20"/>
                <w:szCs w:val="20"/>
              </w:rPr>
              <w:t>,</w:t>
            </w:r>
            <w:r w:rsidRPr="00657891">
              <w:rPr>
                <w:rFonts w:ascii="Verdana" w:hAnsi="Verdana"/>
                <w:sz w:val="20"/>
                <w:szCs w:val="20"/>
              </w:rPr>
              <w:t xml:space="preserve"> одобрената за подкрепа площ за извършване на дейности по направление „Биологично растениевъдство“ може да варира до 10%,</w:t>
            </w:r>
            <w:r w:rsidRPr="00173C00">
              <w:rPr>
                <w:rFonts w:ascii="Verdana" w:hAnsi="Verdana"/>
                <w:sz w:val="20"/>
                <w:szCs w:val="20"/>
              </w:rPr>
              <w:t xml:space="preserve"> но не по-малко от минимално определената площ за съответно направление през периода на прилагане на поетото задължение. В този случай бенефициентът няма да връща предоставената помощ и ще получава плащания за намаления размер на земята за оставащия период за изпълнение на задължението</w:t>
            </w:r>
          </w:p>
        </w:tc>
      </w:tr>
      <w:tr w:rsidR="00C80BF0" w:rsidRPr="00417522" w14:paraId="6AB76DB8" w14:textId="77777777" w:rsidTr="008D3875">
        <w:trPr>
          <w:trHeight w:val="596"/>
        </w:trPr>
        <w:tc>
          <w:tcPr>
            <w:tcW w:w="622" w:type="dxa"/>
            <w:vMerge/>
            <w:shd w:val="clear" w:color="auto" w:fill="auto"/>
          </w:tcPr>
          <w:p w14:paraId="25DC58B6" w14:textId="77777777" w:rsidR="00C80BF0" w:rsidRPr="00417522" w:rsidRDefault="00C80BF0" w:rsidP="008D3875">
            <w:pPr>
              <w:tabs>
                <w:tab w:val="left" w:pos="192"/>
              </w:tabs>
              <w:spacing w:before="40" w:after="40"/>
              <w:jc w:val="center"/>
              <w:rPr>
                <w:rFonts w:ascii="Verdana" w:hAnsi="Verdana"/>
                <w:b/>
                <w:sz w:val="20"/>
                <w:szCs w:val="20"/>
              </w:rPr>
            </w:pPr>
          </w:p>
        </w:tc>
        <w:tc>
          <w:tcPr>
            <w:tcW w:w="2693" w:type="dxa"/>
            <w:vMerge/>
            <w:shd w:val="clear" w:color="auto" w:fill="auto"/>
          </w:tcPr>
          <w:p w14:paraId="1143F5A4" w14:textId="77777777" w:rsidR="00C80BF0" w:rsidRPr="00417522" w:rsidRDefault="00C80BF0" w:rsidP="008D3875">
            <w:pPr>
              <w:spacing w:before="40" w:after="40"/>
              <w:rPr>
                <w:rFonts w:ascii="Verdana" w:hAnsi="Verdana"/>
                <w:b/>
                <w:sz w:val="20"/>
                <w:szCs w:val="20"/>
              </w:rPr>
            </w:pPr>
          </w:p>
        </w:tc>
        <w:tc>
          <w:tcPr>
            <w:tcW w:w="5670" w:type="dxa"/>
            <w:tcBorders>
              <w:top w:val="nil"/>
              <w:bottom w:val="nil"/>
            </w:tcBorders>
            <w:shd w:val="clear" w:color="auto" w:fill="auto"/>
          </w:tcPr>
          <w:p w14:paraId="77335EE7"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Уважаеми г-н Министър,</w:t>
            </w:r>
          </w:p>
          <w:p w14:paraId="08CCCB51"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Уважаеми господа Заместник-министри,</w:t>
            </w:r>
          </w:p>
          <w:p w14:paraId="33A09E98"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Преди време по Ваши данни за една нощ биологичните площи в Р. България са се „изпарили", спадайки до 1.7% от общата обработваема площ. Основната причина за това се намира под един покрив с Вас и се нарича Дирекция „Развитие на селските райони“, компетентен орган от управление на средствата по ПРСР.</w:t>
            </w:r>
          </w:p>
          <w:p w14:paraId="33F10197" w14:textId="1C7ED78B"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 xml:space="preserve">След като визираният орган се упражнява да извършва и прилага всякакви лобистки схеми на </w:t>
            </w:r>
            <w:r w:rsidRPr="00417522">
              <w:rPr>
                <w:rFonts w:ascii="Verdana" w:hAnsi="Verdana"/>
                <w:sz w:val="20"/>
                <w:szCs w:val="20"/>
              </w:rPr>
              <w:lastRenderedPageBreak/>
              <w:t>подпомагане, със средства от ЕС и провалени няколко програмни периода, на път сме да провалим не само настоящия програмен период, а и този, който тепърва предстои.</w:t>
            </w:r>
          </w:p>
          <w:p w14:paraId="3FD6C590"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Молим, сериозно да се замислите след като парите на ЕС са изтекли в небитието, резултат - нулев, кой ни е виновен за това.!?</w:t>
            </w:r>
          </w:p>
          <w:p w14:paraId="2D65F8A2"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Моля да предприемете нужните усилия, вникнете внимателно във всяка една нормативна промяна през годините назад, и сами вижте, как парите изтичат, след като се отвори съответната нормативна вратичка за това.</w:t>
            </w:r>
          </w:p>
        </w:tc>
        <w:tc>
          <w:tcPr>
            <w:tcW w:w="1701" w:type="dxa"/>
            <w:tcBorders>
              <w:top w:val="nil"/>
              <w:bottom w:val="nil"/>
            </w:tcBorders>
            <w:shd w:val="clear" w:color="auto" w:fill="auto"/>
          </w:tcPr>
          <w:p w14:paraId="3C003817" w14:textId="3E01F120" w:rsidR="00C80BF0" w:rsidRPr="00417522" w:rsidRDefault="00C80BF0" w:rsidP="008D3875">
            <w:pPr>
              <w:spacing w:before="40" w:after="40"/>
              <w:jc w:val="both"/>
              <w:rPr>
                <w:rFonts w:ascii="Verdana" w:hAnsi="Verdana"/>
                <w:sz w:val="20"/>
                <w:szCs w:val="20"/>
              </w:rPr>
            </w:pPr>
          </w:p>
        </w:tc>
        <w:tc>
          <w:tcPr>
            <w:tcW w:w="4964" w:type="dxa"/>
            <w:tcBorders>
              <w:top w:val="nil"/>
              <w:bottom w:val="nil"/>
            </w:tcBorders>
            <w:shd w:val="clear" w:color="auto" w:fill="auto"/>
          </w:tcPr>
          <w:p w14:paraId="6F74B101" w14:textId="77777777" w:rsidR="00C80BF0" w:rsidRPr="00417522" w:rsidRDefault="00C80BF0" w:rsidP="008D3875">
            <w:pPr>
              <w:spacing w:before="40" w:after="40"/>
              <w:jc w:val="both"/>
              <w:rPr>
                <w:rFonts w:ascii="Verdana" w:hAnsi="Verdana"/>
                <w:sz w:val="20"/>
                <w:szCs w:val="20"/>
              </w:rPr>
            </w:pPr>
          </w:p>
        </w:tc>
      </w:tr>
      <w:tr w:rsidR="00C80BF0" w:rsidRPr="00417522" w14:paraId="4EAF7331" w14:textId="77777777" w:rsidTr="008D3875">
        <w:trPr>
          <w:trHeight w:val="596"/>
        </w:trPr>
        <w:tc>
          <w:tcPr>
            <w:tcW w:w="622" w:type="dxa"/>
            <w:vMerge/>
            <w:tcBorders>
              <w:bottom w:val="single" w:sz="18" w:space="0" w:color="2E74B5"/>
            </w:tcBorders>
            <w:shd w:val="clear" w:color="auto" w:fill="auto"/>
          </w:tcPr>
          <w:p w14:paraId="19F91D83" w14:textId="77777777" w:rsidR="00C80BF0" w:rsidRPr="00417522" w:rsidRDefault="00C80BF0" w:rsidP="008D3875">
            <w:pPr>
              <w:tabs>
                <w:tab w:val="left" w:pos="192"/>
              </w:tabs>
              <w:spacing w:before="40" w:after="40"/>
              <w:jc w:val="center"/>
              <w:rPr>
                <w:rFonts w:ascii="Verdana" w:hAnsi="Verdana"/>
                <w:b/>
                <w:sz w:val="20"/>
                <w:szCs w:val="20"/>
              </w:rPr>
            </w:pPr>
          </w:p>
        </w:tc>
        <w:tc>
          <w:tcPr>
            <w:tcW w:w="2693" w:type="dxa"/>
            <w:vMerge/>
            <w:tcBorders>
              <w:bottom w:val="single" w:sz="18" w:space="0" w:color="2E74B5"/>
            </w:tcBorders>
            <w:shd w:val="clear" w:color="auto" w:fill="auto"/>
          </w:tcPr>
          <w:p w14:paraId="04EDF320" w14:textId="77777777" w:rsidR="00C80BF0" w:rsidRPr="00417522" w:rsidRDefault="00C80BF0" w:rsidP="008D3875">
            <w:pPr>
              <w:spacing w:before="40" w:after="40"/>
              <w:rPr>
                <w:rFonts w:ascii="Verdana" w:hAnsi="Verdana"/>
                <w:b/>
                <w:sz w:val="20"/>
                <w:szCs w:val="20"/>
              </w:rPr>
            </w:pPr>
          </w:p>
        </w:tc>
        <w:tc>
          <w:tcPr>
            <w:tcW w:w="5670" w:type="dxa"/>
            <w:tcBorders>
              <w:top w:val="nil"/>
              <w:bottom w:val="single" w:sz="18" w:space="0" w:color="2E74B5"/>
            </w:tcBorders>
            <w:shd w:val="clear" w:color="auto" w:fill="auto"/>
          </w:tcPr>
          <w:p w14:paraId="3794BF82"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Предвид гореизложеното, ние</w:t>
            </w:r>
          </w:p>
          <w:p w14:paraId="6083B07F"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ПРЕДЛАГАМЕ:</w:t>
            </w:r>
          </w:p>
          <w:p w14:paraId="3716E2E9" w14:textId="77777777" w:rsidR="00C80BF0" w:rsidRPr="00417522" w:rsidRDefault="00C80BF0" w:rsidP="008D3875">
            <w:pPr>
              <w:spacing w:before="40" w:after="40"/>
              <w:jc w:val="both"/>
              <w:rPr>
                <w:rFonts w:ascii="Verdana" w:hAnsi="Verdana"/>
                <w:sz w:val="20"/>
                <w:szCs w:val="20"/>
              </w:rPr>
            </w:pPr>
            <w:r w:rsidRPr="00417522">
              <w:rPr>
                <w:rFonts w:ascii="Verdana" w:hAnsi="Verdana"/>
                <w:sz w:val="20"/>
                <w:szCs w:val="20"/>
              </w:rPr>
              <w:t>Изцяло да се отмени изискването да бъдат представяни безсмислени оценки по реда на наредбата за базисните цени на трайните насаждения, като условие за допустимост по подпомагане по мярка 11 „Биологично земеделие“.</w:t>
            </w:r>
          </w:p>
          <w:p w14:paraId="040BD845" w14:textId="77777777" w:rsidR="00C80BF0" w:rsidRPr="00417522" w:rsidRDefault="00C80BF0" w:rsidP="008D3875">
            <w:pPr>
              <w:spacing w:before="40" w:after="40"/>
              <w:jc w:val="both"/>
              <w:rPr>
                <w:rFonts w:ascii="Verdana" w:hAnsi="Verdana"/>
                <w:b/>
                <w:sz w:val="20"/>
                <w:szCs w:val="20"/>
              </w:rPr>
            </w:pPr>
            <w:r w:rsidRPr="00417522">
              <w:rPr>
                <w:rFonts w:ascii="Verdana" w:hAnsi="Verdana"/>
                <w:sz w:val="20"/>
                <w:szCs w:val="20"/>
              </w:rPr>
              <w:t>ПРЕДИ ПРИЕМАНЕ НА ОКОНЧАТЕЛНИЯ ВАРИАНТ НА НАРЕДБАТА И ПРЕДИ ПУБЛИКУВАНЕ, ЖЕЛАЕМ СРЕЩА МЕЖДУ РЕСОРНИЯ ЗАМЕСТНИК МИНИСТЪР И БРАНШОВИТЕ ОРГАНИЗАЦИИ, АНГАЖИРАНИ С БИОЗЕМЕДЕЛИЕ.</w:t>
            </w:r>
          </w:p>
        </w:tc>
        <w:tc>
          <w:tcPr>
            <w:tcW w:w="1701" w:type="dxa"/>
            <w:tcBorders>
              <w:top w:val="nil"/>
              <w:bottom w:val="single" w:sz="18" w:space="0" w:color="2E74B5"/>
            </w:tcBorders>
            <w:shd w:val="clear" w:color="auto" w:fill="auto"/>
          </w:tcPr>
          <w:p w14:paraId="55747774" w14:textId="5C63B9AD" w:rsidR="00C80BF0" w:rsidRPr="007619C9" w:rsidRDefault="000179AD" w:rsidP="008D3875">
            <w:pPr>
              <w:spacing w:before="40" w:after="40"/>
              <w:jc w:val="both"/>
              <w:rPr>
                <w:rFonts w:ascii="Verdana" w:hAnsi="Verdana"/>
                <w:sz w:val="20"/>
                <w:szCs w:val="20"/>
              </w:rPr>
            </w:pPr>
            <w:r w:rsidRPr="007B72CF">
              <w:rPr>
                <w:rFonts w:ascii="Verdana" w:hAnsi="Verdana"/>
                <w:color w:val="000000" w:themeColor="text1"/>
                <w:sz w:val="20"/>
                <w:szCs w:val="20"/>
              </w:rPr>
              <w:t>Приема се</w:t>
            </w:r>
          </w:p>
        </w:tc>
        <w:tc>
          <w:tcPr>
            <w:tcW w:w="4964" w:type="dxa"/>
            <w:tcBorders>
              <w:top w:val="nil"/>
              <w:bottom w:val="single" w:sz="18" w:space="0" w:color="2E74B5"/>
            </w:tcBorders>
            <w:shd w:val="clear" w:color="auto" w:fill="auto"/>
          </w:tcPr>
          <w:p w14:paraId="7017734E" w14:textId="78D71708" w:rsidR="00C80BF0" w:rsidRPr="007619C9" w:rsidRDefault="00C80BF0" w:rsidP="008D3875">
            <w:pPr>
              <w:spacing w:before="40" w:after="40"/>
              <w:jc w:val="both"/>
              <w:rPr>
                <w:rFonts w:ascii="Verdana" w:hAnsi="Verdana"/>
                <w:sz w:val="20"/>
                <w:szCs w:val="20"/>
              </w:rPr>
            </w:pPr>
          </w:p>
        </w:tc>
      </w:tr>
    </w:tbl>
    <w:p w14:paraId="34456FBA" w14:textId="332B93C5" w:rsidR="00AC5700" w:rsidRPr="00417522" w:rsidRDefault="00AC5700" w:rsidP="00F45EA0">
      <w:pPr>
        <w:spacing w:line="360" w:lineRule="auto"/>
        <w:rPr>
          <w:color w:val="000000" w:themeColor="text1"/>
          <w:sz w:val="23"/>
          <w:szCs w:val="23"/>
        </w:rPr>
      </w:pPr>
    </w:p>
    <w:sectPr w:rsidR="00AC5700" w:rsidRPr="00417522" w:rsidSect="009E3AF5">
      <w:footerReference w:type="even" r:id="rId13"/>
      <w:footerReference w:type="default" r:id="rId14"/>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1653" w14:textId="77777777" w:rsidR="0045377E" w:rsidRDefault="0045377E">
      <w:r>
        <w:separator/>
      </w:r>
    </w:p>
  </w:endnote>
  <w:endnote w:type="continuationSeparator" w:id="0">
    <w:p w14:paraId="0FD8F87A" w14:textId="77777777" w:rsidR="0045377E" w:rsidRDefault="0045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919B" w14:textId="77777777" w:rsidR="0007171D" w:rsidRDefault="0007171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0D06F" w14:textId="77777777" w:rsidR="0007171D" w:rsidRDefault="0007171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09132"/>
      <w:docPartObj>
        <w:docPartGallery w:val="Page Numbers (Bottom of Page)"/>
        <w:docPartUnique/>
      </w:docPartObj>
    </w:sdtPr>
    <w:sdtEndPr>
      <w:rPr>
        <w:noProof/>
        <w:sz w:val="20"/>
        <w:szCs w:val="20"/>
      </w:rPr>
    </w:sdtEndPr>
    <w:sdtContent>
      <w:p w14:paraId="7B6BA367" w14:textId="32B37DE7" w:rsidR="0007171D" w:rsidRPr="00295C20" w:rsidRDefault="0007171D" w:rsidP="00295C20">
        <w:pPr>
          <w:pStyle w:val="Footer"/>
          <w:jc w:val="right"/>
          <w:rPr>
            <w:sz w:val="20"/>
            <w:szCs w:val="20"/>
          </w:rPr>
        </w:pPr>
        <w:r w:rsidRPr="00295C20">
          <w:rPr>
            <w:sz w:val="20"/>
            <w:szCs w:val="20"/>
          </w:rPr>
          <w:fldChar w:fldCharType="begin"/>
        </w:r>
        <w:r w:rsidRPr="00295C20">
          <w:rPr>
            <w:sz w:val="20"/>
            <w:szCs w:val="20"/>
          </w:rPr>
          <w:instrText xml:space="preserve"> PAGE   \* MERGEFORMAT </w:instrText>
        </w:r>
        <w:r w:rsidRPr="00295C20">
          <w:rPr>
            <w:sz w:val="20"/>
            <w:szCs w:val="20"/>
          </w:rPr>
          <w:fldChar w:fldCharType="separate"/>
        </w:r>
        <w:r w:rsidR="00F45EA0">
          <w:rPr>
            <w:noProof/>
            <w:sz w:val="20"/>
            <w:szCs w:val="20"/>
          </w:rPr>
          <w:t>12</w:t>
        </w:r>
        <w:r w:rsidRPr="00295C2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0BFDB" w14:textId="77777777" w:rsidR="0045377E" w:rsidRDefault="0045377E">
      <w:r>
        <w:separator/>
      </w:r>
    </w:p>
  </w:footnote>
  <w:footnote w:type="continuationSeparator" w:id="0">
    <w:p w14:paraId="4F03EC37" w14:textId="77777777" w:rsidR="0045377E" w:rsidRDefault="00453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5130"/>
    <w:multiLevelType w:val="singleLevel"/>
    <w:tmpl w:val="D15AEA54"/>
    <w:lvl w:ilvl="0">
      <w:start w:val="2"/>
      <w:numFmt w:val="decimal"/>
      <w:lvlText w:val="%1."/>
      <w:legacy w:legacy="1" w:legacySpace="0" w:legacyIndent="701"/>
      <w:lvlJc w:val="left"/>
      <w:rPr>
        <w:rFonts w:ascii="Times New Roman" w:hAnsi="Times New Roman" w:cs="Times New Roman"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multilevel"/>
    <w:tmpl w:val="F664DD24"/>
    <w:lvl w:ilvl="0">
      <w:start w:val="1"/>
      <w:numFmt w:val="decimal"/>
      <w:suff w:val="space"/>
      <w:lvlText w:val="%1."/>
      <w:lvlJc w:val="left"/>
      <w:pPr>
        <w:ind w:left="643" w:hanging="36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4" w15:restartNumberingAfterBreak="0">
    <w:nsid w:val="68AA7EC4"/>
    <w:multiLevelType w:val="hybridMultilevel"/>
    <w:tmpl w:val="0E18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668A"/>
    <w:rsid w:val="000101A6"/>
    <w:rsid w:val="000115D5"/>
    <w:rsid w:val="00016086"/>
    <w:rsid w:val="000179AD"/>
    <w:rsid w:val="000200AF"/>
    <w:rsid w:val="0002259F"/>
    <w:rsid w:val="00024421"/>
    <w:rsid w:val="0002544E"/>
    <w:rsid w:val="00025DD3"/>
    <w:rsid w:val="000279C9"/>
    <w:rsid w:val="00033183"/>
    <w:rsid w:val="00033409"/>
    <w:rsid w:val="00033713"/>
    <w:rsid w:val="000357B4"/>
    <w:rsid w:val="00044E65"/>
    <w:rsid w:val="000453DC"/>
    <w:rsid w:val="00045494"/>
    <w:rsid w:val="0004610E"/>
    <w:rsid w:val="0005435E"/>
    <w:rsid w:val="0005470C"/>
    <w:rsid w:val="000572CA"/>
    <w:rsid w:val="0006091E"/>
    <w:rsid w:val="00062907"/>
    <w:rsid w:val="00062ADE"/>
    <w:rsid w:val="00062F02"/>
    <w:rsid w:val="00063E4B"/>
    <w:rsid w:val="000673CE"/>
    <w:rsid w:val="0007004B"/>
    <w:rsid w:val="0007171D"/>
    <w:rsid w:val="000718C7"/>
    <w:rsid w:val="00075594"/>
    <w:rsid w:val="0008079F"/>
    <w:rsid w:val="00082171"/>
    <w:rsid w:val="00084700"/>
    <w:rsid w:val="000902D1"/>
    <w:rsid w:val="00090401"/>
    <w:rsid w:val="000937D4"/>
    <w:rsid w:val="000943E0"/>
    <w:rsid w:val="000953A8"/>
    <w:rsid w:val="00097783"/>
    <w:rsid w:val="000A08BE"/>
    <w:rsid w:val="000A1017"/>
    <w:rsid w:val="000A1B79"/>
    <w:rsid w:val="000A1E49"/>
    <w:rsid w:val="000A228F"/>
    <w:rsid w:val="000B298E"/>
    <w:rsid w:val="000B2EB1"/>
    <w:rsid w:val="000B3D5F"/>
    <w:rsid w:val="000B6D57"/>
    <w:rsid w:val="000C46A7"/>
    <w:rsid w:val="000C5E61"/>
    <w:rsid w:val="000D3663"/>
    <w:rsid w:val="000D4198"/>
    <w:rsid w:val="000E3570"/>
    <w:rsid w:val="000F02C5"/>
    <w:rsid w:val="000F31C8"/>
    <w:rsid w:val="000F3490"/>
    <w:rsid w:val="00102685"/>
    <w:rsid w:val="00104A51"/>
    <w:rsid w:val="0010687D"/>
    <w:rsid w:val="001143E4"/>
    <w:rsid w:val="0011484F"/>
    <w:rsid w:val="00115EDD"/>
    <w:rsid w:val="00120ABA"/>
    <w:rsid w:val="001305E1"/>
    <w:rsid w:val="00133A14"/>
    <w:rsid w:val="00133CF9"/>
    <w:rsid w:val="00134E1D"/>
    <w:rsid w:val="0013629D"/>
    <w:rsid w:val="00141BFB"/>
    <w:rsid w:val="00144034"/>
    <w:rsid w:val="001440FE"/>
    <w:rsid w:val="0014437A"/>
    <w:rsid w:val="00144706"/>
    <w:rsid w:val="001547BD"/>
    <w:rsid w:val="00155CAF"/>
    <w:rsid w:val="001668E1"/>
    <w:rsid w:val="00173C00"/>
    <w:rsid w:val="00175004"/>
    <w:rsid w:val="00177AA6"/>
    <w:rsid w:val="001808B4"/>
    <w:rsid w:val="0018509E"/>
    <w:rsid w:val="00187D7D"/>
    <w:rsid w:val="001948B0"/>
    <w:rsid w:val="001A0680"/>
    <w:rsid w:val="001B4CD8"/>
    <w:rsid w:val="001C3C11"/>
    <w:rsid w:val="001D362A"/>
    <w:rsid w:val="001E4FE9"/>
    <w:rsid w:val="001E64F2"/>
    <w:rsid w:val="001F0567"/>
    <w:rsid w:val="001F1F60"/>
    <w:rsid w:val="001F314D"/>
    <w:rsid w:val="0020103A"/>
    <w:rsid w:val="00201455"/>
    <w:rsid w:val="00206678"/>
    <w:rsid w:val="0021035B"/>
    <w:rsid w:val="00210DA0"/>
    <w:rsid w:val="00214B75"/>
    <w:rsid w:val="00215178"/>
    <w:rsid w:val="00221143"/>
    <w:rsid w:val="002217C0"/>
    <w:rsid w:val="00221B68"/>
    <w:rsid w:val="00230E0E"/>
    <w:rsid w:val="00230E19"/>
    <w:rsid w:val="00232F51"/>
    <w:rsid w:val="00233C04"/>
    <w:rsid w:val="002348DC"/>
    <w:rsid w:val="002369C8"/>
    <w:rsid w:val="0023721E"/>
    <w:rsid w:val="002375B3"/>
    <w:rsid w:val="00237A17"/>
    <w:rsid w:val="00241F4C"/>
    <w:rsid w:val="0024350A"/>
    <w:rsid w:val="0024444A"/>
    <w:rsid w:val="002536A8"/>
    <w:rsid w:val="00257983"/>
    <w:rsid w:val="00260F55"/>
    <w:rsid w:val="002632C1"/>
    <w:rsid w:val="00263E76"/>
    <w:rsid w:val="002640E1"/>
    <w:rsid w:val="0027210E"/>
    <w:rsid w:val="00272EE3"/>
    <w:rsid w:val="00273219"/>
    <w:rsid w:val="00276C88"/>
    <w:rsid w:val="002804CF"/>
    <w:rsid w:val="00282A08"/>
    <w:rsid w:val="002900C5"/>
    <w:rsid w:val="00293CA6"/>
    <w:rsid w:val="0029482B"/>
    <w:rsid w:val="00295B2B"/>
    <w:rsid w:val="00295C20"/>
    <w:rsid w:val="002964C1"/>
    <w:rsid w:val="002A0706"/>
    <w:rsid w:val="002A0C5D"/>
    <w:rsid w:val="002A3B76"/>
    <w:rsid w:val="002A59D9"/>
    <w:rsid w:val="002A5A11"/>
    <w:rsid w:val="002B2E55"/>
    <w:rsid w:val="002C03AF"/>
    <w:rsid w:val="002C5843"/>
    <w:rsid w:val="002C7F10"/>
    <w:rsid w:val="002D083C"/>
    <w:rsid w:val="002D2176"/>
    <w:rsid w:val="002E24E0"/>
    <w:rsid w:val="002E537C"/>
    <w:rsid w:val="002E57D4"/>
    <w:rsid w:val="002E5E3F"/>
    <w:rsid w:val="002E6ADF"/>
    <w:rsid w:val="002F0752"/>
    <w:rsid w:val="002F1207"/>
    <w:rsid w:val="002F7B2A"/>
    <w:rsid w:val="00300B99"/>
    <w:rsid w:val="00300D63"/>
    <w:rsid w:val="003039A5"/>
    <w:rsid w:val="00306298"/>
    <w:rsid w:val="0030788E"/>
    <w:rsid w:val="00311D23"/>
    <w:rsid w:val="00312FB3"/>
    <w:rsid w:val="00314F63"/>
    <w:rsid w:val="003154C2"/>
    <w:rsid w:val="00315F7A"/>
    <w:rsid w:val="00316618"/>
    <w:rsid w:val="00321BD0"/>
    <w:rsid w:val="003243FE"/>
    <w:rsid w:val="00326B58"/>
    <w:rsid w:val="003336CE"/>
    <w:rsid w:val="00333BD7"/>
    <w:rsid w:val="00346856"/>
    <w:rsid w:val="00351063"/>
    <w:rsid w:val="003528B4"/>
    <w:rsid w:val="003640F0"/>
    <w:rsid w:val="003711A6"/>
    <w:rsid w:val="0037191E"/>
    <w:rsid w:val="00374D5B"/>
    <w:rsid w:val="00376F43"/>
    <w:rsid w:val="00377A96"/>
    <w:rsid w:val="00377FE2"/>
    <w:rsid w:val="00382E43"/>
    <w:rsid w:val="00384B8B"/>
    <w:rsid w:val="00387130"/>
    <w:rsid w:val="00387162"/>
    <w:rsid w:val="00395655"/>
    <w:rsid w:val="00397DBB"/>
    <w:rsid w:val="003A060F"/>
    <w:rsid w:val="003C1F1E"/>
    <w:rsid w:val="003C563D"/>
    <w:rsid w:val="003C5C7B"/>
    <w:rsid w:val="003D6231"/>
    <w:rsid w:val="003D6790"/>
    <w:rsid w:val="003E361D"/>
    <w:rsid w:val="003F2026"/>
    <w:rsid w:val="003F3728"/>
    <w:rsid w:val="003F7612"/>
    <w:rsid w:val="003F7CD4"/>
    <w:rsid w:val="00407815"/>
    <w:rsid w:val="00414F26"/>
    <w:rsid w:val="004156FA"/>
    <w:rsid w:val="00415D7B"/>
    <w:rsid w:val="00417315"/>
    <w:rsid w:val="00417522"/>
    <w:rsid w:val="00420A7D"/>
    <w:rsid w:val="00420F8B"/>
    <w:rsid w:val="0042418B"/>
    <w:rsid w:val="0042440B"/>
    <w:rsid w:val="00430245"/>
    <w:rsid w:val="00430323"/>
    <w:rsid w:val="00432C86"/>
    <w:rsid w:val="004344EF"/>
    <w:rsid w:val="004361F2"/>
    <w:rsid w:val="004376C2"/>
    <w:rsid w:val="004427B2"/>
    <w:rsid w:val="00442824"/>
    <w:rsid w:val="004444E8"/>
    <w:rsid w:val="00446EC1"/>
    <w:rsid w:val="0045180F"/>
    <w:rsid w:val="00452217"/>
    <w:rsid w:val="0045377E"/>
    <w:rsid w:val="00453C28"/>
    <w:rsid w:val="00453E85"/>
    <w:rsid w:val="00455D0B"/>
    <w:rsid w:val="0046759A"/>
    <w:rsid w:val="00467C52"/>
    <w:rsid w:val="0047261C"/>
    <w:rsid w:val="0047742A"/>
    <w:rsid w:val="00486A02"/>
    <w:rsid w:val="00487E51"/>
    <w:rsid w:val="00494B17"/>
    <w:rsid w:val="00495EBD"/>
    <w:rsid w:val="00496618"/>
    <w:rsid w:val="004A0A82"/>
    <w:rsid w:val="004A207E"/>
    <w:rsid w:val="004A27CC"/>
    <w:rsid w:val="004A285F"/>
    <w:rsid w:val="004A55AC"/>
    <w:rsid w:val="004A5E2A"/>
    <w:rsid w:val="004A6AE4"/>
    <w:rsid w:val="004A70C4"/>
    <w:rsid w:val="004B2E13"/>
    <w:rsid w:val="004B3313"/>
    <w:rsid w:val="004B4C8E"/>
    <w:rsid w:val="004B4FC8"/>
    <w:rsid w:val="004B5B51"/>
    <w:rsid w:val="004B735F"/>
    <w:rsid w:val="004C1080"/>
    <w:rsid w:val="004C420B"/>
    <w:rsid w:val="004C682D"/>
    <w:rsid w:val="004D24E9"/>
    <w:rsid w:val="004D3191"/>
    <w:rsid w:val="004D41A5"/>
    <w:rsid w:val="004E0260"/>
    <w:rsid w:val="004E4897"/>
    <w:rsid w:val="004E6D10"/>
    <w:rsid w:val="004F17EA"/>
    <w:rsid w:val="004F2B1B"/>
    <w:rsid w:val="004F4B94"/>
    <w:rsid w:val="004F70FF"/>
    <w:rsid w:val="004F7953"/>
    <w:rsid w:val="0050084D"/>
    <w:rsid w:val="00501E0F"/>
    <w:rsid w:val="00501E65"/>
    <w:rsid w:val="00504470"/>
    <w:rsid w:val="0050577E"/>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0655"/>
    <w:rsid w:val="005531AA"/>
    <w:rsid w:val="00554B28"/>
    <w:rsid w:val="00554CC1"/>
    <w:rsid w:val="00563FA3"/>
    <w:rsid w:val="005644C8"/>
    <w:rsid w:val="00564E98"/>
    <w:rsid w:val="00567155"/>
    <w:rsid w:val="00572DD6"/>
    <w:rsid w:val="00583A7E"/>
    <w:rsid w:val="005913D0"/>
    <w:rsid w:val="00597D5D"/>
    <w:rsid w:val="005A338B"/>
    <w:rsid w:val="005A3845"/>
    <w:rsid w:val="005A6C42"/>
    <w:rsid w:val="005C2DFD"/>
    <w:rsid w:val="005C43C6"/>
    <w:rsid w:val="005C7DE0"/>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2A3A"/>
    <w:rsid w:val="006040E1"/>
    <w:rsid w:val="00604A61"/>
    <w:rsid w:val="00610231"/>
    <w:rsid w:val="00610A68"/>
    <w:rsid w:val="00615561"/>
    <w:rsid w:val="00617D55"/>
    <w:rsid w:val="006240D8"/>
    <w:rsid w:val="00626132"/>
    <w:rsid w:val="00634DDD"/>
    <w:rsid w:val="00635C1E"/>
    <w:rsid w:val="00635EB6"/>
    <w:rsid w:val="006361E3"/>
    <w:rsid w:val="0063730A"/>
    <w:rsid w:val="00642470"/>
    <w:rsid w:val="00642D90"/>
    <w:rsid w:val="00645DFC"/>
    <w:rsid w:val="00651565"/>
    <w:rsid w:val="006544A0"/>
    <w:rsid w:val="00656642"/>
    <w:rsid w:val="00657891"/>
    <w:rsid w:val="006712A6"/>
    <w:rsid w:val="00671E4E"/>
    <w:rsid w:val="0067456E"/>
    <w:rsid w:val="00675133"/>
    <w:rsid w:val="006802C1"/>
    <w:rsid w:val="00690FE6"/>
    <w:rsid w:val="00691BD4"/>
    <w:rsid w:val="00694141"/>
    <w:rsid w:val="006A3BA2"/>
    <w:rsid w:val="006A512F"/>
    <w:rsid w:val="006B4070"/>
    <w:rsid w:val="006C4389"/>
    <w:rsid w:val="006C4AA7"/>
    <w:rsid w:val="006C71AC"/>
    <w:rsid w:val="006D1F20"/>
    <w:rsid w:val="006D4254"/>
    <w:rsid w:val="006D5F6F"/>
    <w:rsid w:val="006D6C3E"/>
    <w:rsid w:val="006D7881"/>
    <w:rsid w:val="006D7E56"/>
    <w:rsid w:val="006E23DE"/>
    <w:rsid w:val="006E2A67"/>
    <w:rsid w:val="006E32E7"/>
    <w:rsid w:val="006E3D3C"/>
    <w:rsid w:val="006E46A3"/>
    <w:rsid w:val="006E7B3B"/>
    <w:rsid w:val="006F220D"/>
    <w:rsid w:val="006F282A"/>
    <w:rsid w:val="006F33DD"/>
    <w:rsid w:val="006F35F8"/>
    <w:rsid w:val="006F5A3E"/>
    <w:rsid w:val="006F6420"/>
    <w:rsid w:val="00707A8E"/>
    <w:rsid w:val="0071354E"/>
    <w:rsid w:val="007160B3"/>
    <w:rsid w:val="00716B72"/>
    <w:rsid w:val="00717426"/>
    <w:rsid w:val="00720625"/>
    <w:rsid w:val="0072098B"/>
    <w:rsid w:val="00721D75"/>
    <w:rsid w:val="00723D89"/>
    <w:rsid w:val="00724E79"/>
    <w:rsid w:val="00731B88"/>
    <w:rsid w:val="00732DEB"/>
    <w:rsid w:val="007362B1"/>
    <w:rsid w:val="007362EB"/>
    <w:rsid w:val="00736C03"/>
    <w:rsid w:val="00737BC4"/>
    <w:rsid w:val="00737D3E"/>
    <w:rsid w:val="007431DE"/>
    <w:rsid w:val="007516D1"/>
    <w:rsid w:val="00756290"/>
    <w:rsid w:val="00756A19"/>
    <w:rsid w:val="0075759F"/>
    <w:rsid w:val="0076108C"/>
    <w:rsid w:val="007619C9"/>
    <w:rsid w:val="00761B5E"/>
    <w:rsid w:val="0076408A"/>
    <w:rsid w:val="00764E46"/>
    <w:rsid w:val="00774BE7"/>
    <w:rsid w:val="00777754"/>
    <w:rsid w:val="00781306"/>
    <w:rsid w:val="007836C8"/>
    <w:rsid w:val="007934D1"/>
    <w:rsid w:val="007934F1"/>
    <w:rsid w:val="00794229"/>
    <w:rsid w:val="007A4982"/>
    <w:rsid w:val="007B1141"/>
    <w:rsid w:val="007B24F7"/>
    <w:rsid w:val="007B2B2A"/>
    <w:rsid w:val="007B72CF"/>
    <w:rsid w:val="007C4567"/>
    <w:rsid w:val="007C6C8E"/>
    <w:rsid w:val="007D6B06"/>
    <w:rsid w:val="007E249E"/>
    <w:rsid w:val="007E2D88"/>
    <w:rsid w:val="007E633B"/>
    <w:rsid w:val="007E6AD6"/>
    <w:rsid w:val="007F135A"/>
    <w:rsid w:val="0080232E"/>
    <w:rsid w:val="0080248E"/>
    <w:rsid w:val="00802B95"/>
    <w:rsid w:val="00812789"/>
    <w:rsid w:val="00815358"/>
    <w:rsid w:val="00826F86"/>
    <w:rsid w:val="00831124"/>
    <w:rsid w:val="00831D3C"/>
    <w:rsid w:val="00831E9A"/>
    <w:rsid w:val="00833124"/>
    <w:rsid w:val="00842C8D"/>
    <w:rsid w:val="00844CC3"/>
    <w:rsid w:val="00845BC3"/>
    <w:rsid w:val="008476BF"/>
    <w:rsid w:val="008508D5"/>
    <w:rsid w:val="00852D6F"/>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C34"/>
    <w:rsid w:val="008A5E27"/>
    <w:rsid w:val="008A721D"/>
    <w:rsid w:val="008B06E6"/>
    <w:rsid w:val="008B3F39"/>
    <w:rsid w:val="008B5EE2"/>
    <w:rsid w:val="008C0503"/>
    <w:rsid w:val="008C4A55"/>
    <w:rsid w:val="008C5E5E"/>
    <w:rsid w:val="008D08F5"/>
    <w:rsid w:val="008D2350"/>
    <w:rsid w:val="008D3875"/>
    <w:rsid w:val="008D579B"/>
    <w:rsid w:val="008D583E"/>
    <w:rsid w:val="008D7523"/>
    <w:rsid w:val="008D7657"/>
    <w:rsid w:val="008E1CC8"/>
    <w:rsid w:val="008E24D8"/>
    <w:rsid w:val="008E3AC0"/>
    <w:rsid w:val="008E734F"/>
    <w:rsid w:val="008E7705"/>
    <w:rsid w:val="008E77F4"/>
    <w:rsid w:val="008E7E4D"/>
    <w:rsid w:val="008F009D"/>
    <w:rsid w:val="008F35DB"/>
    <w:rsid w:val="008F4969"/>
    <w:rsid w:val="008F4B04"/>
    <w:rsid w:val="008F6393"/>
    <w:rsid w:val="009011CA"/>
    <w:rsid w:val="00905EB8"/>
    <w:rsid w:val="00905F3A"/>
    <w:rsid w:val="0090782D"/>
    <w:rsid w:val="0091523F"/>
    <w:rsid w:val="0091558A"/>
    <w:rsid w:val="00917058"/>
    <w:rsid w:val="00924F7D"/>
    <w:rsid w:val="00925E57"/>
    <w:rsid w:val="009312BE"/>
    <w:rsid w:val="0094334A"/>
    <w:rsid w:val="00943E2F"/>
    <w:rsid w:val="00952D0A"/>
    <w:rsid w:val="00953FD7"/>
    <w:rsid w:val="009551F9"/>
    <w:rsid w:val="0096190A"/>
    <w:rsid w:val="00963040"/>
    <w:rsid w:val="00963117"/>
    <w:rsid w:val="00963AE2"/>
    <w:rsid w:val="00972F4C"/>
    <w:rsid w:val="00974319"/>
    <w:rsid w:val="00975F5E"/>
    <w:rsid w:val="00977612"/>
    <w:rsid w:val="009827FE"/>
    <w:rsid w:val="00983B09"/>
    <w:rsid w:val="00990860"/>
    <w:rsid w:val="00990FC4"/>
    <w:rsid w:val="0099513B"/>
    <w:rsid w:val="0099537B"/>
    <w:rsid w:val="00996B48"/>
    <w:rsid w:val="009A0B9A"/>
    <w:rsid w:val="009A19C4"/>
    <w:rsid w:val="009B1744"/>
    <w:rsid w:val="009B1EE9"/>
    <w:rsid w:val="009B568A"/>
    <w:rsid w:val="009C1CE7"/>
    <w:rsid w:val="009D04CA"/>
    <w:rsid w:val="009D0944"/>
    <w:rsid w:val="009D6D2E"/>
    <w:rsid w:val="009D753B"/>
    <w:rsid w:val="009E0CEB"/>
    <w:rsid w:val="009E3AF5"/>
    <w:rsid w:val="009E6C5E"/>
    <w:rsid w:val="009E7717"/>
    <w:rsid w:val="009E7FF1"/>
    <w:rsid w:val="00A02072"/>
    <w:rsid w:val="00A05271"/>
    <w:rsid w:val="00A11227"/>
    <w:rsid w:val="00A11D46"/>
    <w:rsid w:val="00A13067"/>
    <w:rsid w:val="00A13BF0"/>
    <w:rsid w:val="00A163D9"/>
    <w:rsid w:val="00A23116"/>
    <w:rsid w:val="00A23452"/>
    <w:rsid w:val="00A26499"/>
    <w:rsid w:val="00A27F81"/>
    <w:rsid w:val="00A30636"/>
    <w:rsid w:val="00A31338"/>
    <w:rsid w:val="00A32258"/>
    <w:rsid w:val="00A3356F"/>
    <w:rsid w:val="00A3568B"/>
    <w:rsid w:val="00A415B1"/>
    <w:rsid w:val="00A4509D"/>
    <w:rsid w:val="00A50CD4"/>
    <w:rsid w:val="00A50E7A"/>
    <w:rsid w:val="00A53909"/>
    <w:rsid w:val="00A55756"/>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27A"/>
    <w:rsid w:val="00A90530"/>
    <w:rsid w:val="00A917A9"/>
    <w:rsid w:val="00A91B63"/>
    <w:rsid w:val="00A94B87"/>
    <w:rsid w:val="00A9750F"/>
    <w:rsid w:val="00A97D39"/>
    <w:rsid w:val="00AA599A"/>
    <w:rsid w:val="00AA695D"/>
    <w:rsid w:val="00AB5812"/>
    <w:rsid w:val="00AB7845"/>
    <w:rsid w:val="00AC135D"/>
    <w:rsid w:val="00AC2072"/>
    <w:rsid w:val="00AC5700"/>
    <w:rsid w:val="00AD3F9D"/>
    <w:rsid w:val="00AD4746"/>
    <w:rsid w:val="00AD5010"/>
    <w:rsid w:val="00AD5763"/>
    <w:rsid w:val="00AE20C4"/>
    <w:rsid w:val="00AE2731"/>
    <w:rsid w:val="00AE4C05"/>
    <w:rsid w:val="00AE6BE8"/>
    <w:rsid w:val="00AE6FA9"/>
    <w:rsid w:val="00AF2498"/>
    <w:rsid w:val="00B0691A"/>
    <w:rsid w:val="00B17C41"/>
    <w:rsid w:val="00B17FDB"/>
    <w:rsid w:val="00B2156C"/>
    <w:rsid w:val="00B22922"/>
    <w:rsid w:val="00B24B51"/>
    <w:rsid w:val="00B31B92"/>
    <w:rsid w:val="00B320D9"/>
    <w:rsid w:val="00B321D4"/>
    <w:rsid w:val="00B330B9"/>
    <w:rsid w:val="00B330BC"/>
    <w:rsid w:val="00B3495F"/>
    <w:rsid w:val="00B34AF6"/>
    <w:rsid w:val="00B34CBF"/>
    <w:rsid w:val="00B40DAD"/>
    <w:rsid w:val="00B422CB"/>
    <w:rsid w:val="00B42361"/>
    <w:rsid w:val="00B429D4"/>
    <w:rsid w:val="00B458D2"/>
    <w:rsid w:val="00B46CBD"/>
    <w:rsid w:val="00B5191C"/>
    <w:rsid w:val="00B5758A"/>
    <w:rsid w:val="00B6355E"/>
    <w:rsid w:val="00B65B84"/>
    <w:rsid w:val="00B7272A"/>
    <w:rsid w:val="00B73133"/>
    <w:rsid w:val="00B74629"/>
    <w:rsid w:val="00B75F90"/>
    <w:rsid w:val="00B8036D"/>
    <w:rsid w:val="00B84A5C"/>
    <w:rsid w:val="00B85830"/>
    <w:rsid w:val="00B87124"/>
    <w:rsid w:val="00B948D2"/>
    <w:rsid w:val="00BA2ED2"/>
    <w:rsid w:val="00BA478A"/>
    <w:rsid w:val="00BA66F5"/>
    <w:rsid w:val="00BA726F"/>
    <w:rsid w:val="00BA7368"/>
    <w:rsid w:val="00BB467C"/>
    <w:rsid w:val="00BC1E66"/>
    <w:rsid w:val="00BD0FA0"/>
    <w:rsid w:val="00BD2B98"/>
    <w:rsid w:val="00BD404D"/>
    <w:rsid w:val="00BD7B65"/>
    <w:rsid w:val="00BD7BD3"/>
    <w:rsid w:val="00BE0D0E"/>
    <w:rsid w:val="00BE395D"/>
    <w:rsid w:val="00BE42FE"/>
    <w:rsid w:val="00BE482D"/>
    <w:rsid w:val="00BF0159"/>
    <w:rsid w:val="00BF4B1A"/>
    <w:rsid w:val="00C03495"/>
    <w:rsid w:val="00C0387B"/>
    <w:rsid w:val="00C10D4F"/>
    <w:rsid w:val="00C1385A"/>
    <w:rsid w:val="00C144C6"/>
    <w:rsid w:val="00C1565E"/>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64170"/>
    <w:rsid w:val="00C65D59"/>
    <w:rsid w:val="00C66E00"/>
    <w:rsid w:val="00C677EB"/>
    <w:rsid w:val="00C718DA"/>
    <w:rsid w:val="00C73873"/>
    <w:rsid w:val="00C75FCC"/>
    <w:rsid w:val="00C80BF0"/>
    <w:rsid w:val="00C8543C"/>
    <w:rsid w:val="00C86431"/>
    <w:rsid w:val="00C9316D"/>
    <w:rsid w:val="00C975B4"/>
    <w:rsid w:val="00C97FB9"/>
    <w:rsid w:val="00CA155E"/>
    <w:rsid w:val="00CA2E10"/>
    <w:rsid w:val="00CA7999"/>
    <w:rsid w:val="00CB4E0C"/>
    <w:rsid w:val="00CB6814"/>
    <w:rsid w:val="00CD09F7"/>
    <w:rsid w:val="00CD1405"/>
    <w:rsid w:val="00CE3610"/>
    <w:rsid w:val="00CE43A6"/>
    <w:rsid w:val="00CF24CD"/>
    <w:rsid w:val="00CF5221"/>
    <w:rsid w:val="00CF5822"/>
    <w:rsid w:val="00CF5A9B"/>
    <w:rsid w:val="00CF61A2"/>
    <w:rsid w:val="00CF6672"/>
    <w:rsid w:val="00D03A5F"/>
    <w:rsid w:val="00D112D3"/>
    <w:rsid w:val="00D11E74"/>
    <w:rsid w:val="00D11FEB"/>
    <w:rsid w:val="00D144A4"/>
    <w:rsid w:val="00D17EFB"/>
    <w:rsid w:val="00D22435"/>
    <w:rsid w:val="00D23711"/>
    <w:rsid w:val="00D25823"/>
    <w:rsid w:val="00D2649F"/>
    <w:rsid w:val="00D33234"/>
    <w:rsid w:val="00D36CA4"/>
    <w:rsid w:val="00D37896"/>
    <w:rsid w:val="00D41A30"/>
    <w:rsid w:val="00D469E3"/>
    <w:rsid w:val="00D50EB5"/>
    <w:rsid w:val="00D532DC"/>
    <w:rsid w:val="00D5741D"/>
    <w:rsid w:val="00D62EB8"/>
    <w:rsid w:val="00D63557"/>
    <w:rsid w:val="00D64EEA"/>
    <w:rsid w:val="00D71C75"/>
    <w:rsid w:val="00D72BF2"/>
    <w:rsid w:val="00D76AAD"/>
    <w:rsid w:val="00D76DCC"/>
    <w:rsid w:val="00D806B8"/>
    <w:rsid w:val="00D8109C"/>
    <w:rsid w:val="00D82A70"/>
    <w:rsid w:val="00D83702"/>
    <w:rsid w:val="00D838C4"/>
    <w:rsid w:val="00D96DF5"/>
    <w:rsid w:val="00DA0F8B"/>
    <w:rsid w:val="00DA4C8E"/>
    <w:rsid w:val="00DA7323"/>
    <w:rsid w:val="00DB5EFB"/>
    <w:rsid w:val="00DB75E1"/>
    <w:rsid w:val="00DC60E2"/>
    <w:rsid w:val="00DC6ABB"/>
    <w:rsid w:val="00DD139E"/>
    <w:rsid w:val="00DD4DA6"/>
    <w:rsid w:val="00DD7AA4"/>
    <w:rsid w:val="00DE1C7B"/>
    <w:rsid w:val="00DE370C"/>
    <w:rsid w:val="00DE48BE"/>
    <w:rsid w:val="00DE5436"/>
    <w:rsid w:val="00DE5489"/>
    <w:rsid w:val="00DF4AC7"/>
    <w:rsid w:val="00DF568A"/>
    <w:rsid w:val="00DF5EF4"/>
    <w:rsid w:val="00E00230"/>
    <w:rsid w:val="00E00442"/>
    <w:rsid w:val="00E015B8"/>
    <w:rsid w:val="00E02445"/>
    <w:rsid w:val="00E02715"/>
    <w:rsid w:val="00E0521D"/>
    <w:rsid w:val="00E074E3"/>
    <w:rsid w:val="00E13B7B"/>
    <w:rsid w:val="00E17D9D"/>
    <w:rsid w:val="00E2203D"/>
    <w:rsid w:val="00E220AD"/>
    <w:rsid w:val="00E222BB"/>
    <w:rsid w:val="00E26258"/>
    <w:rsid w:val="00E27FFC"/>
    <w:rsid w:val="00E352D8"/>
    <w:rsid w:val="00E36D56"/>
    <w:rsid w:val="00E377AA"/>
    <w:rsid w:val="00E41613"/>
    <w:rsid w:val="00E41BB3"/>
    <w:rsid w:val="00E4386E"/>
    <w:rsid w:val="00E52B88"/>
    <w:rsid w:val="00E53B43"/>
    <w:rsid w:val="00E55296"/>
    <w:rsid w:val="00E56207"/>
    <w:rsid w:val="00E61E3D"/>
    <w:rsid w:val="00E61F16"/>
    <w:rsid w:val="00E67755"/>
    <w:rsid w:val="00E72CDA"/>
    <w:rsid w:val="00E76BD1"/>
    <w:rsid w:val="00E76FE0"/>
    <w:rsid w:val="00E7793E"/>
    <w:rsid w:val="00E7794B"/>
    <w:rsid w:val="00E804F0"/>
    <w:rsid w:val="00E8474D"/>
    <w:rsid w:val="00E87046"/>
    <w:rsid w:val="00E9569E"/>
    <w:rsid w:val="00E96851"/>
    <w:rsid w:val="00EA151B"/>
    <w:rsid w:val="00EA3777"/>
    <w:rsid w:val="00EA759A"/>
    <w:rsid w:val="00EA7FE4"/>
    <w:rsid w:val="00EB06DD"/>
    <w:rsid w:val="00EB0E85"/>
    <w:rsid w:val="00EB648A"/>
    <w:rsid w:val="00EB6C95"/>
    <w:rsid w:val="00EB6E90"/>
    <w:rsid w:val="00EB71B3"/>
    <w:rsid w:val="00EC0864"/>
    <w:rsid w:val="00EC103F"/>
    <w:rsid w:val="00EC1C43"/>
    <w:rsid w:val="00EC2608"/>
    <w:rsid w:val="00EC4ADF"/>
    <w:rsid w:val="00EC5DBC"/>
    <w:rsid w:val="00ED364A"/>
    <w:rsid w:val="00ED7690"/>
    <w:rsid w:val="00EE137A"/>
    <w:rsid w:val="00EE22E1"/>
    <w:rsid w:val="00EE70F7"/>
    <w:rsid w:val="00EF21BC"/>
    <w:rsid w:val="00EF3B04"/>
    <w:rsid w:val="00EF72B0"/>
    <w:rsid w:val="00F00C40"/>
    <w:rsid w:val="00F00CD5"/>
    <w:rsid w:val="00F03EE5"/>
    <w:rsid w:val="00F04A79"/>
    <w:rsid w:val="00F06310"/>
    <w:rsid w:val="00F12F9E"/>
    <w:rsid w:val="00F15297"/>
    <w:rsid w:val="00F23427"/>
    <w:rsid w:val="00F256C2"/>
    <w:rsid w:val="00F37E2C"/>
    <w:rsid w:val="00F42C7D"/>
    <w:rsid w:val="00F43176"/>
    <w:rsid w:val="00F44889"/>
    <w:rsid w:val="00F44CFD"/>
    <w:rsid w:val="00F456C2"/>
    <w:rsid w:val="00F45EA0"/>
    <w:rsid w:val="00F51B36"/>
    <w:rsid w:val="00F521F4"/>
    <w:rsid w:val="00F52803"/>
    <w:rsid w:val="00F54AC6"/>
    <w:rsid w:val="00F61E91"/>
    <w:rsid w:val="00F63AD3"/>
    <w:rsid w:val="00F72CEA"/>
    <w:rsid w:val="00F76679"/>
    <w:rsid w:val="00F7694A"/>
    <w:rsid w:val="00F771E4"/>
    <w:rsid w:val="00F80CD3"/>
    <w:rsid w:val="00F80FDF"/>
    <w:rsid w:val="00F8787B"/>
    <w:rsid w:val="00F87E94"/>
    <w:rsid w:val="00F92145"/>
    <w:rsid w:val="00F93CB3"/>
    <w:rsid w:val="00F941BD"/>
    <w:rsid w:val="00F94AD9"/>
    <w:rsid w:val="00F94C2A"/>
    <w:rsid w:val="00F97925"/>
    <w:rsid w:val="00F97DD0"/>
    <w:rsid w:val="00FA1F66"/>
    <w:rsid w:val="00FA2196"/>
    <w:rsid w:val="00FA26A0"/>
    <w:rsid w:val="00FA2D8D"/>
    <w:rsid w:val="00FA3B4C"/>
    <w:rsid w:val="00FB0D80"/>
    <w:rsid w:val="00FB1992"/>
    <w:rsid w:val="00FB4BB4"/>
    <w:rsid w:val="00FB55BD"/>
    <w:rsid w:val="00FC3975"/>
    <w:rsid w:val="00FD0C75"/>
    <w:rsid w:val="00FD2E83"/>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E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602A3A"/>
    <w:pPr>
      <w:ind w:left="720"/>
      <w:contextualSpacing/>
    </w:pPr>
  </w:style>
  <w:style w:type="character" w:styleId="Emphasis">
    <w:name w:val="Emphasis"/>
    <w:basedOn w:val="DefaultParagraphFont"/>
    <w:uiPriority w:val="20"/>
    <w:qFormat/>
    <w:rsid w:val="00102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42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3882505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EU32007R08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NavigateDocument('EU32013R13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EU32013R13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20NavigateDocument('EU32007R0834');" TargetMode="External"/><Relationship Id="rId4" Type="http://schemas.openxmlformats.org/officeDocument/2006/relationships/settings" Target="settings.xml"/><Relationship Id="rId9" Type="http://schemas.openxmlformats.org/officeDocument/2006/relationships/hyperlink" Target="javascript:%20NavigateDocument('EU31991R209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59B6-8921-4ECB-A3C9-FF567A15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2022-04-11T12:43:00Z</dcterms:created>
  <dcterms:modified xsi:type="dcterms:W3CDTF">2022-04-20T06:21:00Z</dcterms:modified>
</cp:coreProperties>
</file>