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42" w:rsidRDefault="00E92B42">
      <w:pPr>
        <w:rPr>
          <w:rFonts w:ascii="Verdana" w:hAnsi="Verdana"/>
          <w:sz w:val="20"/>
          <w:szCs w:val="20"/>
        </w:rPr>
      </w:pPr>
      <w:bookmarkStart w:id="0" w:name="_GoBack"/>
      <w:bookmarkEnd w:id="0"/>
    </w:p>
    <w:p w:rsidR="00AB7BE9" w:rsidRPr="00AB7BE9" w:rsidRDefault="00AB7BE9">
      <w:pPr>
        <w:rPr>
          <w:rFonts w:ascii="Verdana" w:hAnsi="Verdana"/>
          <w:sz w:val="20"/>
          <w:szCs w:val="20"/>
        </w:rPr>
      </w:pPr>
    </w:p>
    <w:p w:rsidR="0069042D" w:rsidRPr="00AB7BE9" w:rsidRDefault="0069042D">
      <w:pPr>
        <w:rPr>
          <w:rFonts w:ascii="Verdana" w:hAnsi="Verdana"/>
          <w:sz w:val="20"/>
          <w:szCs w:val="20"/>
        </w:rPr>
      </w:pPr>
    </w:p>
    <w:tbl>
      <w:tblPr>
        <w:tblW w:w="15650"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9B04AD" w:rsidRPr="000500BB" w:rsidTr="00F124AA">
        <w:trPr>
          <w:trHeight w:val="958"/>
          <w:jc w:val="center"/>
        </w:trPr>
        <w:tc>
          <w:tcPr>
            <w:tcW w:w="15650" w:type="dxa"/>
            <w:shd w:val="clear" w:color="auto" w:fill="BDD6EE"/>
          </w:tcPr>
          <w:p w:rsidR="009B04AD" w:rsidRPr="000500BB" w:rsidRDefault="009B04AD" w:rsidP="00F124AA">
            <w:pPr>
              <w:tabs>
                <w:tab w:val="left" w:pos="2190"/>
              </w:tabs>
              <w:jc w:val="center"/>
              <w:rPr>
                <w:rFonts w:ascii="Verdana" w:hAnsi="Verdana"/>
                <w:b/>
                <w:spacing w:val="-4"/>
                <w:sz w:val="22"/>
                <w:szCs w:val="22"/>
              </w:rPr>
            </w:pPr>
          </w:p>
          <w:p w:rsidR="009B04AD" w:rsidRPr="000500BB" w:rsidRDefault="009B04AD" w:rsidP="00A374BF">
            <w:pPr>
              <w:tabs>
                <w:tab w:val="left" w:pos="2190"/>
              </w:tabs>
              <w:spacing w:line="360" w:lineRule="auto"/>
              <w:ind w:left="340" w:right="340"/>
              <w:jc w:val="center"/>
              <w:rPr>
                <w:rFonts w:ascii="Verdana" w:hAnsi="Verdana"/>
                <w:b/>
                <w:sz w:val="22"/>
                <w:szCs w:val="22"/>
              </w:rPr>
            </w:pPr>
            <w:r w:rsidRPr="000500BB">
              <w:rPr>
                <w:rFonts w:ascii="Verdana" w:hAnsi="Verdana"/>
                <w:b/>
                <w:sz w:val="22"/>
                <w:szCs w:val="22"/>
              </w:rPr>
              <w:t>СПРАВКА</w:t>
            </w:r>
          </w:p>
          <w:p w:rsidR="009B04AD" w:rsidRPr="000500BB" w:rsidRDefault="009B04AD" w:rsidP="00A374BF">
            <w:pPr>
              <w:tabs>
                <w:tab w:val="left" w:pos="2190"/>
              </w:tabs>
              <w:spacing w:line="360" w:lineRule="auto"/>
              <w:ind w:left="340" w:right="340"/>
              <w:jc w:val="center"/>
              <w:rPr>
                <w:rFonts w:ascii="Verdana" w:hAnsi="Verdana"/>
                <w:b/>
                <w:spacing w:val="-4"/>
                <w:sz w:val="20"/>
                <w:szCs w:val="20"/>
              </w:rPr>
            </w:pPr>
            <w:r w:rsidRPr="000500BB">
              <w:rPr>
                <w:rFonts w:ascii="Verdana" w:hAnsi="Verdana"/>
                <w:b/>
                <w:spacing w:val="-4"/>
                <w:sz w:val="20"/>
                <w:szCs w:val="20"/>
              </w:rPr>
              <w:t xml:space="preserve">ЗА ОТРАЗЯВАНЕ НА ПОСТЪПИЛИТЕ ПРЕДЛОЖЕНИЯ И СТАНОВИЩА ОТ ПРОВЕДЕНАТА ОБЩЕСТВЕНА КОНСУЛТАЦИЯ НА ПРОЕКТА </w:t>
            </w:r>
            <w:r w:rsidR="0069042D" w:rsidRPr="000500BB">
              <w:rPr>
                <w:rFonts w:ascii="Verdana" w:hAnsi="Verdana"/>
                <w:b/>
                <w:spacing w:val="-4"/>
                <w:sz w:val="20"/>
                <w:szCs w:val="20"/>
              </w:rPr>
              <w:t>НА НАРЕДБА ЗА ИЗМЕНЕНИЕ И ДОПЪЛНЕНИЕ НА НАРЕДБА № 7 ОТ 2015 Г. ЗА ПРИЛАГАНЕ НА МЯРКА 10 „АГРОЕКОЛОГИЯ И КЛИМАТ“ ОТ ПРОГРАМАТА ЗА РАЗВИТИЕ НА СЕЛСКИТЕ РАЙОНИ ЗА ПЕРИОДА 2014 – 2020 Г.</w:t>
            </w:r>
          </w:p>
        </w:tc>
      </w:tr>
    </w:tbl>
    <w:p w:rsidR="009B04AD" w:rsidRPr="000500BB" w:rsidRDefault="009B04AD">
      <w:pPr>
        <w:rPr>
          <w:rFonts w:ascii="Verdana" w:hAnsi="Verdana"/>
          <w:sz w:val="10"/>
          <w:szCs w:val="10"/>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19"/>
        <w:gridCol w:w="2588"/>
        <w:gridCol w:w="6065"/>
        <w:gridCol w:w="1688"/>
        <w:gridCol w:w="4690"/>
      </w:tblGrid>
      <w:tr w:rsidR="00E92B42" w:rsidRPr="000500BB" w:rsidTr="009B04AD">
        <w:trPr>
          <w:tblHeader/>
          <w:jc w:val="center"/>
        </w:trPr>
        <w:tc>
          <w:tcPr>
            <w:tcW w:w="619" w:type="dxa"/>
            <w:tcBorders>
              <w:top w:val="single" w:sz="36" w:space="0" w:color="2E74B5"/>
              <w:left w:val="single" w:sz="24" w:space="0" w:color="2E74B5"/>
              <w:bottom w:val="single" w:sz="24" w:space="0" w:color="2E74B5"/>
              <w:right w:val="single" w:sz="18" w:space="0" w:color="2E74B5"/>
            </w:tcBorders>
            <w:shd w:val="clear" w:color="auto" w:fill="DEEAF6"/>
            <w:vAlign w:val="center"/>
          </w:tcPr>
          <w:p w:rsidR="00E92B42" w:rsidRPr="000500BB" w:rsidRDefault="00D84303" w:rsidP="00FF1355">
            <w:pPr>
              <w:tabs>
                <w:tab w:val="left" w:pos="192"/>
              </w:tabs>
              <w:spacing w:before="60" w:after="20"/>
              <w:jc w:val="center"/>
              <w:rPr>
                <w:rFonts w:ascii="Verdana" w:hAnsi="Verdana"/>
                <w:b/>
                <w:sz w:val="18"/>
                <w:szCs w:val="18"/>
              </w:rPr>
            </w:pPr>
            <w:r w:rsidRPr="000500BB">
              <w:rPr>
                <w:rFonts w:ascii="Verdana" w:hAnsi="Verdana"/>
                <w:b/>
                <w:sz w:val="18"/>
                <w:szCs w:val="18"/>
              </w:rPr>
              <w:t>№</w:t>
            </w:r>
          </w:p>
        </w:tc>
        <w:tc>
          <w:tcPr>
            <w:tcW w:w="2588" w:type="dxa"/>
            <w:tcBorders>
              <w:top w:val="single" w:sz="36" w:space="0" w:color="2E74B5"/>
              <w:left w:val="single" w:sz="18" w:space="0" w:color="2E74B5"/>
              <w:bottom w:val="single" w:sz="24" w:space="0" w:color="2E74B5"/>
              <w:right w:val="single" w:sz="18" w:space="0" w:color="2E74B5"/>
            </w:tcBorders>
            <w:shd w:val="clear" w:color="auto" w:fill="DEEAF6"/>
            <w:vAlign w:val="center"/>
          </w:tcPr>
          <w:p w:rsidR="00E92B42" w:rsidRPr="000500BB" w:rsidRDefault="00D84303" w:rsidP="00FF1355">
            <w:pPr>
              <w:spacing w:before="60" w:after="20"/>
              <w:jc w:val="center"/>
              <w:rPr>
                <w:rFonts w:ascii="Verdana" w:hAnsi="Verdana"/>
                <w:b/>
                <w:sz w:val="18"/>
                <w:szCs w:val="18"/>
              </w:rPr>
            </w:pPr>
            <w:r w:rsidRPr="000500BB">
              <w:rPr>
                <w:rFonts w:ascii="Verdana" w:hAnsi="Verdana"/>
                <w:b/>
                <w:sz w:val="18"/>
                <w:szCs w:val="18"/>
              </w:rPr>
              <w:t>Организация/</w:t>
            </w:r>
            <w:r w:rsidRPr="000500BB">
              <w:rPr>
                <w:rFonts w:ascii="Verdana" w:hAnsi="Verdana"/>
                <w:b/>
                <w:sz w:val="18"/>
                <w:szCs w:val="18"/>
              </w:rPr>
              <w:br/>
              <w:t>потребител</w:t>
            </w:r>
          </w:p>
          <w:p w:rsidR="00E92B42" w:rsidRPr="000500BB" w:rsidRDefault="00D84303" w:rsidP="00A374BF">
            <w:pPr>
              <w:spacing w:after="40"/>
              <w:jc w:val="center"/>
              <w:rPr>
                <w:rFonts w:ascii="Verdana" w:hAnsi="Verdana"/>
                <w:b/>
                <w:sz w:val="14"/>
                <w:szCs w:val="14"/>
              </w:rPr>
            </w:pPr>
            <w:r w:rsidRPr="000500BB">
              <w:rPr>
                <w:rFonts w:ascii="Verdana" w:hAnsi="Verdana"/>
                <w:b/>
                <w:sz w:val="14"/>
                <w:szCs w:val="14"/>
              </w:rPr>
              <w:t>(вкл. начина на получаване на предложението)</w:t>
            </w:r>
          </w:p>
        </w:tc>
        <w:tc>
          <w:tcPr>
            <w:tcW w:w="6065" w:type="dxa"/>
            <w:tcBorders>
              <w:top w:val="single" w:sz="36" w:space="0" w:color="2E74B5"/>
              <w:left w:val="single" w:sz="18" w:space="0" w:color="2E74B5"/>
              <w:bottom w:val="single" w:sz="24" w:space="0" w:color="2E74B5"/>
              <w:right w:val="single" w:sz="18" w:space="0" w:color="2E74B5"/>
            </w:tcBorders>
            <w:shd w:val="clear" w:color="auto" w:fill="DEEAF6"/>
            <w:vAlign w:val="center"/>
          </w:tcPr>
          <w:p w:rsidR="00E92B42" w:rsidRPr="000500BB" w:rsidRDefault="00D84303" w:rsidP="00FF1355">
            <w:pPr>
              <w:spacing w:before="60" w:after="20"/>
              <w:jc w:val="center"/>
              <w:rPr>
                <w:rFonts w:ascii="Verdana" w:hAnsi="Verdana"/>
                <w:b/>
                <w:sz w:val="18"/>
                <w:szCs w:val="18"/>
              </w:rPr>
            </w:pPr>
            <w:r w:rsidRPr="000500BB">
              <w:rPr>
                <w:rFonts w:ascii="Verdana" w:hAnsi="Verdana"/>
                <w:b/>
                <w:sz w:val="18"/>
                <w:szCs w:val="18"/>
              </w:rPr>
              <w:t>Бележки и предложения</w:t>
            </w:r>
          </w:p>
        </w:tc>
        <w:tc>
          <w:tcPr>
            <w:tcW w:w="1688" w:type="dxa"/>
            <w:tcBorders>
              <w:top w:val="single" w:sz="36" w:space="0" w:color="2E74B5"/>
              <w:left w:val="single" w:sz="18" w:space="0" w:color="2E74B5"/>
              <w:bottom w:val="single" w:sz="24" w:space="0" w:color="2E74B5"/>
              <w:right w:val="single" w:sz="18" w:space="0" w:color="2E74B5"/>
            </w:tcBorders>
            <w:shd w:val="clear" w:color="auto" w:fill="DEEAF6"/>
            <w:vAlign w:val="center"/>
          </w:tcPr>
          <w:p w:rsidR="00E92B42" w:rsidRPr="000500BB" w:rsidRDefault="00D84303" w:rsidP="00FF1355">
            <w:pPr>
              <w:spacing w:before="60" w:after="20"/>
              <w:jc w:val="center"/>
              <w:rPr>
                <w:rFonts w:ascii="Verdana" w:hAnsi="Verdana"/>
                <w:b/>
                <w:sz w:val="18"/>
                <w:szCs w:val="18"/>
              </w:rPr>
            </w:pPr>
            <w:r w:rsidRPr="000500BB">
              <w:rPr>
                <w:rFonts w:ascii="Verdana" w:hAnsi="Verdana"/>
                <w:b/>
                <w:sz w:val="18"/>
                <w:szCs w:val="18"/>
              </w:rPr>
              <w:t>Приети/</w:t>
            </w:r>
          </w:p>
          <w:p w:rsidR="00E92B42" w:rsidRPr="000500BB" w:rsidRDefault="00D84303" w:rsidP="00FF1355">
            <w:pPr>
              <w:spacing w:before="60" w:after="20"/>
              <w:jc w:val="center"/>
              <w:rPr>
                <w:rFonts w:ascii="Verdana" w:hAnsi="Verdana"/>
                <w:b/>
                <w:sz w:val="18"/>
                <w:szCs w:val="18"/>
              </w:rPr>
            </w:pPr>
            <w:r w:rsidRPr="000500BB">
              <w:rPr>
                <w:rFonts w:ascii="Verdana" w:hAnsi="Verdana"/>
                <w:b/>
                <w:sz w:val="18"/>
                <w:szCs w:val="18"/>
              </w:rPr>
              <w:t>неприети</w:t>
            </w:r>
          </w:p>
        </w:tc>
        <w:tc>
          <w:tcPr>
            <w:tcW w:w="4690" w:type="dxa"/>
            <w:tcBorders>
              <w:top w:val="single" w:sz="36" w:space="0" w:color="2E74B5"/>
              <w:left w:val="single" w:sz="18" w:space="0" w:color="2E74B5"/>
              <w:bottom w:val="single" w:sz="24" w:space="0" w:color="2E74B5"/>
              <w:right w:val="single" w:sz="24" w:space="0" w:color="2E74B5"/>
            </w:tcBorders>
            <w:shd w:val="clear" w:color="auto" w:fill="DEEAF6"/>
            <w:vAlign w:val="center"/>
          </w:tcPr>
          <w:p w:rsidR="00E92B42" w:rsidRPr="000500BB" w:rsidRDefault="00D84303" w:rsidP="00FF1355">
            <w:pPr>
              <w:spacing w:before="60" w:after="20"/>
              <w:jc w:val="center"/>
              <w:rPr>
                <w:rFonts w:ascii="Verdana" w:hAnsi="Verdana"/>
                <w:sz w:val="18"/>
                <w:szCs w:val="18"/>
              </w:rPr>
            </w:pPr>
            <w:r w:rsidRPr="000500BB">
              <w:rPr>
                <w:rFonts w:ascii="Verdana" w:hAnsi="Verdana"/>
                <w:b/>
                <w:sz w:val="18"/>
                <w:szCs w:val="18"/>
              </w:rPr>
              <w:t>Мотиви</w:t>
            </w:r>
          </w:p>
        </w:tc>
      </w:tr>
      <w:tr w:rsidR="0069042D" w:rsidRPr="000500BB" w:rsidTr="009B04AD">
        <w:trPr>
          <w:jc w:val="center"/>
        </w:trPr>
        <w:tc>
          <w:tcPr>
            <w:tcW w:w="619" w:type="dxa"/>
            <w:vMerge w:val="restart"/>
            <w:tcBorders>
              <w:top w:val="single" w:sz="24" w:space="0" w:color="2E74B5"/>
              <w:left w:val="single" w:sz="24" w:space="0" w:color="2E74B5"/>
              <w:bottom w:val="nil"/>
              <w:right w:val="single" w:sz="18" w:space="0" w:color="2E74B5"/>
            </w:tcBorders>
            <w:shd w:val="clear" w:color="auto" w:fill="auto"/>
          </w:tcPr>
          <w:p w:rsidR="0069042D" w:rsidRPr="000500BB" w:rsidRDefault="0069042D" w:rsidP="0069042D">
            <w:pPr>
              <w:pStyle w:val="ListParagraph"/>
              <w:numPr>
                <w:ilvl w:val="0"/>
                <w:numId w:val="30"/>
              </w:numPr>
              <w:tabs>
                <w:tab w:val="left" w:pos="192"/>
              </w:tabs>
              <w:spacing w:before="60" w:after="20"/>
              <w:jc w:val="center"/>
              <w:rPr>
                <w:rFonts w:ascii="Verdana" w:hAnsi="Verdana"/>
                <w:b/>
                <w:color w:val="FF0000"/>
                <w:sz w:val="18"/>
                <w:szCs w:val="18"/>
              </w:rPr>
            </w:pPr>
          </w:p>
        </w:tc>
        <w:tc>
          <w:tcPr>
            <w:tcW w:w="2588" w:type="dxa"/>
            <w:vMerge w:val="restart"/>
            <w:tcBorders>
              <w:top w:val="single" w:sz="24" w:space="0" w:color="2E74B5"/>
              <w:left w:val="single" w:sz="18" w:space="0" w:color="2E74B5"/>
              <w:bottom w:val="nil"/>
              <w:right w:val="single" w:sz="18" w:space="0" w:color="2E74B5"/>
            </w:tcBorders>
            <w:shd w:val="clear" w:color="auto" w:fill="auto"/>
          </w:tcPr>
          <w:p w:rsidR="0069042D" w:rsidRPr="000500BB" w:rsidRDefault="0069042D" w:rsidP="0069042D">
            <w:pPr>
              <w:spacing w:before="60" w:after="20"/>
              <w:rPr>
                <w:rFonts w:ascii="Verdana" w:hAnsi="Verdana"/>
                <w:sz w:val="18"/>
                <w:szCs w:val="18"/>
              </w:rPr>
            </w:pPr>
            <w:r w:rsidRPr="000500BB">
              <w:rPr>
                <w:rFonts w:ascii="Verdana" w:hAnsi="Verdana"/>
                <w:sz w:val="18"/>
                <w:szCs w:val="18"/>
              </w:rPr>
              <w:t xml:space="preserve">Съюз на животновъдите в България – </w:t>
            </w:r>
          </w:p>
          <w:p w:rsidR="0069042D" w:rsidRPr="000500BB" w:rsidRDefault="0069042D" w:rsidP="00A374BF">
            <w:pPr>
              <w:spacing w:before="60" w:after="20"/>
              <w:rPr>
                <w:rFonts w:ascii="Verdana" w:hAnsi="Verdana"/>
                <w:sz w:val="18"/>
                <w:szCs w:val="18"/>
              </w:rPr>
            </w:pPr>
            <w:r w:rsidRPr="000500BB">
              <w:rPr>
                <w:rFonts w:ascii="Verdana" w:hAnsi="Verdana"/>
                <w:sz w:val="18"/>
                <w:szCs w:val="18"/>
              </w:rPr>
              <w:t xml:space="preserve">регистрирано в Министерство на земеделието </w:t>
            </w:r>
            <w:r w:rsidR="00A374BF">
              <w:rPr>
                <w:rFonts w:ascii="Verdana" w:hAnsi="Verdana"/>
                <w:sz w:val="18"/>
                <w:szCs w:val="18"/>
              </w:rPr>
              <w:t xml:space="preserve">– </w:t>
            </w:r>
            <w:r w:rsidRPr="000500BB">
              <w:rPr>
                <w:rFonts w:ascii="Verdana" w:hAnsi="Verdana"/>
                <w:sz w:val="18"/>
                <w:szCs w:val="18"/>
              </w:rPr>
              <w:t>№ 62-159 от 17.03.2022 г.</w:t>
            </w:r>
          </w:p>
        </w:tc>
        <w:tc>
          <w:tcPr>
            <w:tcW w:w="6065" w:type="dxa"/>
            <w:tcBorders>
              <w:top w:val="single" w:sz="24" w:space="0" w:color="2E74B5"/>
              <w:left w:val="single" w:sz="18" w:space="0" w:color="2E74B5"/>
              <w:bottom w:val="nil"/>
              <w:right w:val="single" w:sz="18" w:space="0" w:color="2E74B5"/>
            </w:tcBorders>
            <w:shd w:val="clear" w:color="auto" w:fill="auto"/>
          </w:tcPr>
          <w:p w:rsidR="0069042D" w:rsidRPr="000500BB" w:rsidRDefault="00F71CE2" w:rsidP="0069042D">
            <w:pPr>
              <w:widowControl w:val="0"/>
              <w:tabs>
                <w:tab w:val="left" w:pos="1565"/>
              </w:tabs>
              <w:autoSpaceDE w:val="0"/>
              <w:autoSpaceDN w:val="0"/>
              <w:spacing w:before="60" w:after="20"/>
              <w:jc w:val="both"/>
              <w:rPr>
                <w:rFonts w:ascii="Verdana" w:hAnsi="Verdana"/>
                <w:sz w:val="18"/>
                <w:szCs w:val="18"/>
              </w:rPr>
            </w:pPr>
            <w:r w:rsidRPr="000500BB">
              <w:rPr>
                <w:rFonts w:ascii="Verdana" w:hAnsi="Verdana"/>
                <w:sz w:val="18"/>
                <w:szCs w:val="18"/>
              </w:rPr>
              <w:t>Във връзка с предложените изменения в ПРСР за периода 2014 – 2020 година и прилаганите дейности по направление „Традиционни практики за сезонна паша (пасторализъм)“ от мярка 10 „Агроекология и климат“ в националните паркове и писмо от МОСВ с № 05-08-325/ 14.02.2022 г. до национални паркове, с което се определя издаването на разрешителни за паша предимно на бенефициенти с овце и появата на нови желаещи собственици на овце.</w:t>
            </w:r>
          </w:p>
        </w:tc>
        <w:tc>
          <w:tcPr>
            <w:tcW w:w="1688" w:type="dxa"/>
            <w:tcBorders>
              <w:top w:val="single" w:sz="24" w:space="0" w:color="2E74B5"/>
              <w:left w:val="single" w:sz="18" w:space="0" w:color="2E74B5"/>
              <w:bottom w:val="nil"/>
              <w:right w:val="single" w:sz="18" w:space="0" w:color="2E74B5"/>
            </w:tcBorders>
            <w:shd w:val="clear" w:color="auto" w:fill="auto"/>
          </w:tcPr>
          <w:p w:rsidR="0069042D" w:rsidRPr="000500BB" w:rsidRDefault="0069042D" w:rsidP="0069042D">
            <w:pPr>
              <w:spacing w:before="60" w:after="20"/>
              <w:rPr>
                <w:rFonts w:ascii="Verdana" w:hAnsi="Verdana"/>
                <w:color w:val="FF0000"/>
                <w:sz w:val="18"/>
                <w:szCs w:val="18"/>
              </w:rPr>
            </w:pPr>
          </w:p>
        </w:tc>
        <w:tc>
          <w:tcPr>
            <w:tcW w:w="4690" w:type="dxa"/>
            <w:tcBorders>
              <w:top w:val="single" w:sz="24" w:space="0" w:color="2E74B5"/>
              <w:left w:val="single" w:sz="18" w:space="0" w:color="2E74B5"/>
              <w:bottom w:val="nil"/>
              <w:right w:val="single" w:sz="24" w:space="0" w:color="2E74B5"/>
            </w:tcBorders>
            <w:shd w:val="clear" w:color="auto" w:fill="auto"/>
          </w:tcPr>
          <w:p w:rsidR="0069042D" w:rsidRPr="000500BB" w:rsidRDefault="0069042D" w:rsidP="0069042D">
            <w:pPr>
              <w:spacing w:before="60" w:after="20"/>
              <w:rPr>
                <w:rFonts w:ascii="Verdana" w:hAnsi="Verdana"/>
                <w:color w:val="FF0000"/>
                <w:sz w:val="18"/>
                <w:szCs w:val="18"/>
              </w:rPr>
            </w:pPr>
          </w:p>
        </w:tc>
      </w:tr>
      <w:tr w:rsidR="0069042D" w:rsidRPr="000500BB" w:rsidTr="009B04AD">
        <w:trPr>
          <w:jc w:val="center"/>
        </w:trPr>
        <w:tc>
          <w:tcPr>
            <w:tcW w:w="619" w:type="dxa"/>
            <w:vMerge/>
            <w:tcBorders>
              <w:top w:val="nil"/>
              <w:left w:val="single" w:sz="24" w:space="0" w:color="2E74B5"/>
              <w:bottom w:val="nil"/>
              <w:right w:val="single" w:sz="18" w:space="0" w:color="2E74B5"/>
            </w:tcBorders>
            <w:shd w:val="clear" w:color="auto" w:fill="auto"/>
          </w:tcPr>
          <w:p w:rsidR="0069042D" w:rsidRPr="000500BB" w:rsidRDefault="0069042D" w:rsidP="0069042D">
            <w:pPr>
              <w:tabs>
                <w:tab w:val="left" w:pos="192"/>
              </w:tabs>
              <w:spacing w:before="60" w:after="20"/>
              <w:ind w:left="284"/>
              <w:jc w:val="center"/>
              <w:rPr>
                <w:rFonts w:ascii="Verdana" w:hAnsi="Verdana"/>
                <w:b/>
                <w:color w:val="FF0000"/>
                <w:sz w:val="18"/>
                <w:szCs w:val="18"/>
              </w:rPr>
            </w:pPr>
          </w:p>
        </w:tc>
        <w:tc>
          <w:tcPr>
            <w:tcW w:w="2588" w:type="dxa"/>
            <w:vMerge/>
            <w:tcBorders>
              <w:top w:val="nil"/>
              <w:left w:val="single" w:sz="18" w:space="0" w:color="2E74B5"/>
              <w:bottom w:val="nil"/>
              <w:right w:val="single" w:sz="18" w:space="0" w:color="2E74B5"/>
            </w:tcBorders>
            <w:shd w:val="clear" w:color="auto" w:fill="auto"/>
          </w:tcPr>
          <w:p w:rsidR="0069042D" w:rsidRPr="000500BB" w:rsidRDefault="0069042D" w:rsidP="0069042D">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69042D" w:rsidRPr="000500BB" w:rsidRDefault="00F71CE2" w:rsidP="00F71CE2">
            <w:pPr>
              <w:pStyle w:val="ListParagraph"/>
              <w:widowControl w:val="0"/>
              <w:autoSpaceDE w:val="0"/>
              <w:autoSpaceDN w:val="0"/>
              <w:adjustRightInd w:val="0"/>
              <w:spacing w:before="60" w:after="20"/>
              <w:ind w:left="0"/>
              <w:jc w:val="both"/>
              <w:rPr>
                <w:rFonts w:ascii="Verdana" w:hAnsi="Verdana"/>
                <w:sz w:val="18"/>
                <w:szCs w:val="18"/>
              </w:rPr>
            </w:pPr>
            <w:r w:rsidRPr="000500BB">
              <w:rPr>
                <w:rFonts w:ascii="Verdana" w:hAnsi="Verdana"/>
                <w:sz w:val="18"/>
                <w:szCs w:val="18"/>
              </w:rPr>
              <w:t>Би било редно да бъде открит прием по мярка 10 „Агроекология и климат“ за бенефициенти с овце.</w:t>
            </w:r>
          </w:p>
        </w:tc>
        <w:tc>
          <w:tcPr>
            <w:tcW w:w="1688" w:type="dxa"/>
            <w:tcBorders>
              <w:top w:val="nil"/>
              <w:left w:val="single" w:sz="18" w:space="0" w:color="2E74B5"/>
              <w:bottom w:val="nil"/>
              <w:right w:val="single" w:sz="18" w:space="0" w:color="2E74B5"/>
            </w:tcBorders>
            <w:shd w:val="clear" w:color="auto" w:fill="auto"/>
          </w:tcPr>
          <w:p w:rsidR="0069042D" w:rsidRPr="000500BB" w:rsidRDefault="0069042D" w:rsidP="0069042D">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69042D" w:rsidRPr="000500BB" w:rsidRDefault="0069042D" w:rsidP="0069042D">
            <w:pPr>
              <w:spacing w:before="60" w:after="20"/>
              <w:rPr>
                <w:rFonts w:ascii="Verdana" w:hAnsi="Verdana"/>
                <w:color w:val="FF0000"/>
                <w:sz w:val="18"/>
                <w:szCs w:val="18"/>
              </w:rPr>
            </w:pPr>
          </w:p>
        </w:tc>
      </w:tr>
      <w:tr w:rsidR="0069042D" w:rsidRPr="000500BB" w:rsidTr="009B04AD">
        <w:trPr>
          <w:jc w:val="center"/>
        </w:trPr>
        <w:tc>
          <w:tcPr>
            <w:tcW w:w="619" w:type="dxa"/>
            <w:tcBorders>
              <w:top w:val="nil"/>
              <w:left w:val="single" w:sz="24" w:space="0" w:color="2E74B5"/>
              <w:bottom w:val="nil"/>
              <w:right w:val="single" w:sz="18" w:space="0" w:color="2E74B5"/>
            </w:tcBorders>
            <w:shd w:val="clear" w:color="auto" w:fill="auto"/>
          </w:tcPr>
          <w:p w:rsidR="0069042D" w:rsidRPr="000500BB" w:rsidRDefault="0069042D" w:rsidP="0069042D">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69042D" w:rsidRPr="000500BB" w:rsidRDefault="0069042D" w:rsidP="0069042D">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69042D" w:rsidRPr="000500BB" w:rsidRDefault="00F71CE2" w:rsidP="0069042D">
            <w:pPr>
              <w:spacing w:before="60" w:after="20"/>
              <w:jc w:val="both"/>
              <w:rPr>
                <w:rFonts w:ascii="Verdana" w:hAnsi="Verdana"/>
                <w:sz w:val="18"/>
                <w:szCs w:val="18"/>
              </w:rPr>
            </w:pPr>
            <w:r w:rsidRPr="000500BB">
              <w:rPr>
                <w:rFonts w:ascii="Verdana" w:hAnsi="Verdana"/>
                <w:sz w:val="18"/>
                <w:szCs w:val="18"/>
              </w:rPr>
              <w:t>в Чл. 8 - на Наредбата се създава ал. 5</w:t>
            </w:r>
          </w:p>
        </w:tc>
        <w:tc>
          <w:tcPr>
            <w:tcW w:w="1688" w:type="dxa"/>
            <w:tcBorders>
              <w:top w:val="nil"/>
              <w:left w:val="single" w:sz="18" w:space="0" w:color="2E74B5"/>
              <w:bottom w:val="nil"/>
              <w:right w:val="single" w:sz="18" w:space="0" w:color="2E74B5"/>
            </w:tcBorders>
            <w:shd w:val="clear" w:color="auto" w:fill="auto"/>
          </w:tcPr>
          <w:p w:rsidR="0069042D" w:rsidRPr="000500BB" w:rsidRDefault="0069042D" w:rsidP="0069042D">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69042D" w:rsidRPr="000500BB" w:rsidRDefault="0069042D" w:rsidP="0069042D">
            <w:pPr>
              <w:spacing w:before="60" w:after="20"/>
              <w:rPr>
                <w:rFonts w:ascii="Verdana" w:hAnsi="Verdana"/>
                <w:color w:val="FF0000"/>
                <w:sz w:val="18"/>
                <w:szCs w:val="18"/>
              </w:rPr>
            </w:pPr>
          </w:p>
        </w:tc>
      </w:tr>
      <w:tr w:rsidR="00F71CE2" w:rsidRPr="000500BB" w:rsidTr="009B04AD">
        <w:trPr>
          <w:jc w:val="center"/>
        </w:trPr>
        <w:tc>
          <w:tcPr>
            <w:tcW w:w="619" w:type="dxa"/>
            <w:tcBorders>
              <w:top w:val="nil"/>
              <w:left w:val="single" w:sz="24" w:space="0" w:color="2E74B5"/>
              <w:bottom w:val="nil"/>
              <w:right w:val="single" w:sz="18" w:space="0" w:color="2E74B5"/>
            </w:tcBorders>
            <w:shd w:val="clear" w:color="auto" w:fill="auto"/>
          </w:tcPr>
          <w:p w:rsidR="00F71CE2" w:rsidRPr="000500BB" w:rsidRDefault="00F71CE2" w:rsidP="00F71CE2">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F71CE2" w:rsidRPr="000500BB" w:rsidRDefault="00F71CE2" w:rsidP="00F71CE2">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F71CE2" w:rsidRPr="000500BB" w:rsidRDefault="00F71CE2" w:rsidP="00F71CE2">
            <w:pPr>
              <w:spacing w:before="60" w:after="20"/>
              <w:jc w:val="both"/>
              <w:rPr>
                <w:rFonts w:ascii="Verdana" w:hAnsi="Verdana"/>
                <w:sz w:val="18"/>
                <w:szCs w:val="18"/>
              </w:rPr>
            </w:pPr>
            <w:r w:rsidRPr="000500BB">
              <w:rPr>
                <w:rFonts w:ascii="Verdana" w:hAnsi="Verdana"/>
                <w:sz w:val="18"/>
                <w:szCs w:val="18"/>
              </w:rPr>
              <w:t>Отваря се нов прием за кандидати с овце по направление „Традиционни практики за сезонна паша“ (Пасторализъм) в национални паркове.</w:t>
            </w:r>
          </w:p>
        </w:tc>
        <w:tc>
          <w:tcPr>
            <w:tcW w:w="1688" w:type="dxa"/>
            <w:tcBorders>
              <w:top w:val="nil"/>
              <w:left w:val="single" w:sz="18" w:space="0" w:color="2E74B5"/>
              <w:bottom w:val="nil"/>
              <w:right w:val="single" w:sz="18" w:space="0" w:color="2E74B5"/>
            </w:tcBorders>
            <w:shd w:val="clear" w:color="auto" w:fill="auto"/>
          </w:tcPr>
          <w:p w:rsidR="00F71CE2" w:rsidRPr="000500BB" w:rsidRDefault="00F71CE2" w:rsidP="00CB2E1E">
            <w:pPr>
              <w:spacing w:before="60" w:after="20"/>
              <w:rPr>
                <w:rFonts w:ascii="Verdana" w:hAnsi="Verdana"/>
                <w:color w:val="FF0000"/>
                <w:sz w:val="18"/>
                <w:szCs w:val="18"/>
              </w:rPr>
            </w:pPr>
            <w:r w:rsidRPr="004A5136">
              <w:rPr>
                <w:rFonts w:ascii="Verdana" w:hAnsi="Verdana"/>
                <w:sz w:val="18"/>
                <w:szCs w:val="18"/>
              </w:rPr>
              <w:t>Приема се</w:t>
            </w:r>
          </w:p>
        </w:tc>
        <w:tc>
          <w:tcPr>
            <w:tcW w:w="4690" w:type="dxa"/>
            <w:tcBorders>
              <w:top w:val="nil"/>
              <w:left w:val="single" w:sz="18" w:space="0" w:color="2E74B5"/>
              <w:bottom w:val="nil"/>
              <w:right w:val="single" w:sz="24" w:space="0" w:color="2E74B5"/>
            </w:tcBorders>
            <w:shd w:val="clear" w:color="auto" w:fill="auto"/>
          </w:tcPr>
          <w:p w:rsidR="00F71CE2" w:rsidRPr="000500BB" w:rsidRDefault="00F71CE2" w:rsidP="00F71CE2">
            <w:pPr>
              <w:spacing w:before="60" w:after="20"/>
              <w:rPr>
                <w:rFonts w:ascii="Verdana" w:hAnsi="Verdana"/>
                <w:color w:val="FF0000"/>
                <w:sz w:val="18"/>
                <w:szCs w:val="18"/>
              </w:rPr>
            </w:pPr>
          </w:p>
        </w:tc>
      </w:tr>
      <w:tr w:rsidR="000500BB" w:rsidRPr="000500BB" w:rsidTr="00ED4BD2">
        <w:trPr>
          <w:jc w:val="center"/>
        </w:trPr>
        <w:tc>
          <w:tcPr>
            <w:tcW w:w="619" w:type="dxa"/>
            <w:vMerge w:val="restart"/>
            <w:tcBorders>
              <w:top w:val="single" w:sz="24" w:space="0" w:color="2E74B5"/>
              <w:left w:val="single" w:sz="24" w:space="0" w:color="2E74B5"/>
              <w:bottom w:val="nil"/>
              <w:right w:val="single" w:sz="18" w:space="0" w:color="2E74B5"/>
            </w:tcBorders>
            <w:shd w:val="clear" w:color="auto" w:fill="auto"/>
          </w:tcPr>
          <w:p w:rsidR="000500BB" w:rsidRPr="000500BB" w:rsidRDefault="000500BB" w:rsidP="00DE26A4">
            <w:pPr>
              <w:pStyle w:val="ListParagraph"/>
              <w:numPr>
                <w:ilvl w:val="0"/>
                <w:numId w:val="30"/>
              </w:numPr>
              <w:tabs>
                <w:tab w:val="left" w:pos="192"/>
              </w:tabs>
              <w:spacing w:before="60" w:after="20"/>
              <w:jc w:val="center"/>
              <w:rPr>
                <w:rFonts w:ascii="Verdana" w:hAnsi="Verdana"/>
                <w:b/>
                <w:color w:val="FF0000"/>
                <w:sz w:val="18"/>
                <w:szCs w:val="18"/>
              </w:rPr>
            </w:pPr>
          </w:p>
        </w:tc>
        <w:tc>
          <w:tcPr>
            <w:tcW w:w="2588" w:type="dxa"/>
            <w:vMerge w:val="restart"/>
            <w:tcBorders>
              <w:top w:val="single" w:sz="24" w:space="0" w:color="2E74B5"/>
              <w:left w:val="single" w:sz="18" w:space="0" w:color="2E74B5"/>
              <w:bottom w:val="nil"/>
              <w:right w:val="single" w:sz="18" w:space="0" w:color="2E74B5"/>
            </w:tcBorders>
            <w:shd w:val="clear" w:color="auto" w:fill="auto"/>
          </w:tcPr>
          <w:p w:rsidR="000500BB" w:rsidRPr="000500BB" w:rsidRDefault="000500BB" w:rsidP="00ED4BD2">
            <w:pPr>
              <w:spacing w:before="60" w:after="20"/>
              <w:rPr>
                <w:rFonts w:ascii="Verdana" w:hAnsi="Verdana"/>
                <w:sz w:val="18"/>
                <w:szCs w:val="18"/>
              </w:rPr>
            </w:pPr>
            <w:r w:rsidRPr="000500BB">
              <w:rPr>
                <w:rFonts w:ascii="Verdana" w:hAnsi="Verdana"/>
                <w:sz w:val="18"/>
                <w:szCs w:val="18"/>
              </w:rPr>
              <w:t xml:space="preserve">Национална био асоциация – </w:t>
            </w:r>
          </w:p>
          <w:p w:rsidR="000500BB" w:rsidRPr="000500BB" w:rsidRDefault="000500BB" w:rsidP="000500BB">
            <w:pPr>
              <w:spacing w:before="60" w:after="20"/>
              <w:rPr>
                <w:rFonts w:ascii="Verdana" w:hAnsi="Verdana"/>
                <w:sz w:val="18"/>
                <w:szCs w:val="18"/>
              </w:rPr>
            </w:pPr>
            <w:r w:rsidRPr="000500BB">
              <w:rPr>
                <w:rFonts w:ascii="Verdana" w:hAnsi="Verdana"/>
                <w:sz w:val="18"/>
                <w:szCs w:val="18"/>
              </w:rPr>
              <w:t>регистрирано в Министерство на земеделието</w:t>
            </w:r>
            <w:r w:rsidR="00A374BF">
              <w:rPr>
                <w:rFonts w:ascii="Verdana" w:hAnsi="Verdana"/>
                <w:sz w:val="18"/>
                <w:szCs w:val="18"/>
              </w:rPr>
              <w:t xml:space="preserve"> –</w:t>
            </w:r>
            <w:r w:rsidRPr="000500BB">
              <w:rPr>
                <w:rFonts w:ascii="Verdana" w:hAnsi="Verdana"/>
                <w:sz w:val="18"/>
                <w:szCs w:val="18"/>
              </w:rPr>
              <w:t xml:space="preserve"> № 15-189 от 24.03.2022 г.</w:t>
            </w:r>
          </w:p>
        </w:tc>
        <w:tc>
          <w:tcPr>
            <w:tcW w:w="6065" w:type="dxa"/>
            <w:tcBorders>
              <w:top w:val="single" w:sz="24" w:space="0" w:color="2E74B5"/>
              <w:left w:val="single" w:sz="18" w:space="0" w:color="2E74B5"/>
              <w:bottom w:val="nil"/>
              <w:right w:val="single" w:sz="18" w:space="0" w:color="2E74B5"/>
            </w:tcBorders>
            <w:shd w:val="clear" w:color="auto" w:fill="auto"/>
          </w:tcPr>
          <w:p w:rsidR="000500BB" w:rsidRPr="000500BB" w:rsidRDefault="000500BB" w:rsidP="000500BB">
            <w:pPr>
              <w:widowControl w:val="0"/>
              <w:tabs>
                <w:tab w:val="left" w:pos="1565"/>
              </w:tabs>
              <w:autoSpaceDE w:val="0"/>
              <w:autoSpaceDN w:val="0"/>
              <w:spacing w:before="60" w:after="20"/>
              <w:jc w:val="both"/>
              <w:rPr>
                <w:rFonts w:ascii="Verdana" w:hAnsi="Verdana"/>
                <w:sz w:val="18"/>
                <w:szCs w:val="18"/>
              </w:rPr>
            </w:pPr>
            <w:r w:rsidRPr="000500BB">
              <w:rPr>
                <w:rFonts w:ascii="Verdana" w:hAnsi="Verdana"/>
                <w:sz w:val="18"/>
                <w:szCs w:val="18"/>
              </w:rPr>
              <w:t>След като се запознахме с:</w:t>
            </w:r>
          </w:p>
          <w:p w:rsidR="000500BB" w:rsidRPr="000500BB" w:rsidRDefault="000500BB" w:rsidP="000500BB">
            <w:pPr>
              <w:widowControl w:val="0"/>
              <w:tabs>
                <w:tab w:val="left" w:pos="1565"/>
              </w:tabs>
              <w:autoSpaceDE w:val="0"/>
              <w:autoSpaceDN w:val="0"/>
              <w:spacing w:before="60" w:after="20"/>
              <w:jc w:val="both"/>
              <w:rPr>
                <w:rFonts w:ascii="Verdana" w:hAnsi="Verdana"/>
                <w:sz w:val="18"/>
                <w:szCs w:val="18"/>
              </w:rPr>
            </w:pPr>
            <w:r w:rsidRPr="000500BB">
              <w:rPr>
                <w:rFonts w:ascii="Verdana" w:hAnsi="Verdana"/>
                <w:sz w:val="18"/>
                <w:szCs w:val="18"/>
              </w:rPr>
              <w:t>- проекта на НИД на Наредба №7/2015 г. за прилагане на мярка 10 „Агроекология и климат“, качен на интернет сайта на МЗм и Доклад към визирания проект на наредба, в законоустановения срок, изразяваме пред Вас и нашето становище</w:t>
            </w:r>
          </w:p>
        </w:tc>
        <w:tc>
          <w:tcPr>
            <w:tcW w:w="1688" w:type="dxa"/>
            <w:tcBorders>
              <w:top w:val="single" w:sz="24" w:space="0" w:color="2E74B5"/>
              <w:left w:val="single" w:sz="18" w:space="0" w:color="2E74B5"/>
              <w:bottom w:val="nil"/>
              <w:right w:val="single" w:sz="18" w:space="0" w:color="2E74B5"/>
            </w:tcBorders>
            <w:shd w:val="clear" w:color="auto" w:fill="auto"/>
          </w:tcPr>
          <w:p w:rsidR="000500BB" w:rsidRPr="000500BB" w:rsidRDefault="000500BB" w:rsidP="00ED4BD2">
            <w:pPr>
              <w:spacing w:before="60" w:after="20"/>
              <w:rPr>
                <w:rFonts w:ascii="Verdana" w:hAnsi="Verdana"/>
                <w:color w:val="FF0000"/>
                <w:sz w:val="18"/>
                <w:szCs w:val="18"/>
              </w:rPr>
            </w:pPr>
          </w:p>
        </w:tc>
        <w:tc>
          <w:tcPr>
            <w:tcW w:w="4690" w:type="dxa"/>
            <w:tcBorders>
              <w:top w:val="single" w:sz="24" w:space="0" w:color="2E74B5"/>
              <w:left w:val="single" w:sz="18" w:space="0" w:color="2E74B5"/>
              <w:bottom w:val="nil"/>
              <w:right w:val="single" w:sz="24" w:space="0" w:color="2E74B5"/>
            </w:tcBorders>
            <w:shd w:val="clear" w:color="auto" w:fill="auto"/>
          </w:tcPr>
          <w:p w:rsidR="002912D4" w:rsidRPr="000500BB" w:rsidRDefault="002912D4" w:rsidP="00CB2E1E">
            <w:pPr>
              <w:spacing w:before="60" w:after="20"/>
              <w:jc w:val="both"/>
              <w:rPr>
                <w:rFonts w:ascii="Verdana" w:hAnsi="Verdana"/>
                <w:color w:val="FF0000"/>
                <w:sz w:val="18"/>
                <w:szCs w:val="18"/>
              </w:rPr>
            </w:pPr>
          </w:p>
        </w:tc>
      </w:tr>
      <w:tr w:rsidR="000500BB" w:rsidRPr="000500BB" w:rsidTr="00ED4BD2">
        <w:trPr>
          <w:jc w:val="center"/>
        </w:trPr>
        <w:tc>
          <w:tcPr>
            <w:tcW w:w="619" w:type="dxa"/>
            <w:vMerge/>
            <w:tcBorders>
              <w:top w:val="nil"/>
              <w:left w:val="single" w:sz="24" w:space="0" w:color="2E74B5"/>
              <w:bottom w:val="nil"/>
              <w:right w:val="single" w:sz="18" w:space="0" w:color="2E74B5"/>
            </w:tcBorders>
            <w:shd w:val="clear" w:color="auto" w:fill="auto"/>
          </w:tcPr>
          <w:p w:rsidR="000500BB" w:rsidRPr="000500BB" w:rsidRDefault="000500BB" w:rsidP="00ED4BD2">
            <w:pPr>
              <w:tabs>
                <w:tab w:val="left" w:pos="192"/>
              </w:tabs>
              <w:spacing w:before="60" w:after="20"/>
              <w:ind w:left="284"/>
              <w:jc w:val="center"/>
              <w:rPr>
                <w:rFonts w:ascii="Verdana" w:hAnsi="Verdana"/>
                <w:b/>
                <w:color w:val="FF0000"/>
                <w:sz w:val="18"/>
                <w:szCs w:val="18"/>
              </w:rPr>
            </w:pPr>
          </w:p>
        </w:tc>
        <w:tc>
          <w:tcPr>
            <w:tcW w:w="2588" w:type="dxa"/>
            <w:vMerge/>
            <w:tcBorders>
              <w:top w:val="nil"/>
              <w:left w:val="single" w:sz="18" w:space="0" w:color="2E74B5"/>
              <w:bottom w:val="nil"/>
              <w:right w:val="single" w:sz="18" w:space="0" w:color="2E74B5"/>
            </w:tcBorders>
            <w:shd w:val="clear" w:color="auto" w:fill="auto"/>
          </w:tcPr>
          <w:p w:rsidR="000500BB" w:rsidRPr="000500BB" w:rsidRDefault="000500BB" w:rsidP="00ED4BD2">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4C2A19" w:rsidRPr="004C2A19" w:rsidRDefault="004C2A19" w:rsidP="004C2A19">
            <w:pPr>
              <w:widowControl w:val="0"/>
              <w:autoSpaceDE w:val="0"/>
              <w:autoSpaceDN w:val="0"/>
              <w:adjustRightInd w:val="0"/>
              <w:spacing w:before="60" w:after="20"/>
              <w:jc w:val="both"/>
              <w:rPr>
                <w:rFonts w:ascii="Verdana" w:hAnsi="Verdana"/>
                <w:sz w:val="18"/>
                <w:szCs w:val="18"/>
              </w:rPr>
            </w:pPr>
            <w:r w:rsidRPr="004C2A19">
              <w:rPr>
                <w:rFonts w:ascii="Verdana" w:hAnsi="Verdana"/>
                <w:sz w:val="18"/>
                <w:szCs w:val="18"/>
              </w:rPr>
              <w:t>През миналата година по направление „Контрол на почвената ерозия</w:t>
            </w:r>
            <w:r>
              <w:rPr>
                <w:rFonts w:ascii="Verdana" w:hAnsi="Verdana"/>
                <w:sz w:val="18"/>
                <w:szCs w:val="18"/>
              </w:rPr>
              <w:t>“</w:t>
            </w:r>
            <w:r w:rsidRPr="004C2A19">
              <w:rPr>
                <w:rFonts w:ascii="Verdana" w:hAnsi="Verdana"/>
                <w:sz w:val="18"/>
                <w:szCs w:val="18"/>
              </w:rPr>
              <w:t xml:space="preserve"> се въведе изменение в дейността на мярката, като се изискваше от земеделските стопани, да започнат да окопават вътрешно редовото пространство на трайните насаждения. Като за сметка на това Дирекция РСР, увеличи компенсаторното плащане за новата дейност с подигравателното 1 €/ха /евро/.</w:t>
            </w:r>
          </w:p>
          <w:p w:rsidR="000500BB" w:rsidRDefault="004C2A19" w:rsidP="004C2A19">
            <w:pPr>
              <w:pStyle w:val="ListParagraph"/>
              <w:widowControl w:val="0"/>
              <w:autoSpaceDE w:val="0"/>
              <w:autoSpaceDN w:val="0"/>
              <w:adjustRightInd w:val="0"/>
              <w:spacing w:before="60" w:after="20"/>
              <w:ind w:left="0"/>
              <w:jc w:val="both"/>
              <w:rPr>
                <w:rFonts w:ascii="Verdana" w:hAnsi="Verdana"/>
                <w:sz w:val="18"/>
                <w:szCs w:val="18"/>
              </w:rPr>
            </w:pPr>
            <w:r w:rsidRPr="004C2A19">
              <w:rPr>
                <w:rFonts w:ascii="Verdana" w:hAnsi="Verdana"/>
                <w:sz w:val="18"/>
                <w:szCs w:val="18"/>
              </w:rPr>
              <w:t xml:space="preserve">Това от своя страна доведе до изключително затруднение в </w:t>
            </w:r>
            <w:r w:rsidRPr="004C2A19">
              <w:rPr>
                <w:rFonts w:ascii="Verdana" w:hAnsi="Verdana"/>
                <w:sz w:val="18"/>
                <w:szCs w:val="18"/>
              </w:rPr>
              <w:lastRenderedPageBreak/>
              <w:t>целия земеделски бранш отглеждащ трайни насаждения, причини изключително много загуби и пропуснати ползи, като подейства изключително неблагоприятно на цялата природощадяща дейност на земеделските стопани, прилагащи мярката.</w:t>
            </w:r>
          </w:p>
          <w:p w:rsidR="004C2A19" w:rsidRPr="000500BB" w:rsidRDefault="004C2A19" w:rsidP="004C2A19">
            <w:pPr>
              <w:pStyle w:val="ListParagraph"/>
              <w:widowControl w:val="0"/>
              <w:autoSpaceDE w:val="0"/>
              <w:autoSpaceDN w:val="0"/>
              <w:adjustRightInd w:val="0"/>
              <w:spacing w:before="60" w:after="20"/>
              <w:ind w:left="0"/>
              <w:jc w:val="both"/>
              <w:rPr>
                <w:rFonts w:ascii="Verdana" w:hAnsi="Verdana"/>
                <w:sz w:val="18"/>
                <w:szCs w:val="18"/>
              </w:rPr>
            </w:pPr>
            <w:r w:rsidRPr="004C2A19">
              <w:rPr>
                <w:rFonts w:ascii="Verdana" w:hAnsi="Verdana"/>
                <w:sz w:val="18"/>
                <w:szCs w:val="18"/>
              </w:rPr>
              <w:t>Обективираме нашето твърдение със следните факти:</w:t>
            </w:r>
          </w:p>
        </w:tc>
        <w:tc>
          <w:tcPr>
            <w:tcW w:w="1688" w:type="dxa"/>
            <w:tcBorders>
              <w:top w:val="nil"/>
              <w:left w:val="single" w:sz="18" w:space="0" w:color="2E74B5"/>
              <w:bottom w:val="nil"/>
              <w:right w:val="single" w:sz="18" w:space="0" w:color="2E74B5"/>
            </w:tcBorders>
            <w:shd w:val="clear" w:color="auto" w:fill="auto"/>
          </w:tcPr>
          <w:p w:rsidR="000500BB" w:rsidRPr="000500BB" w:rsidRDefault="000500BB" w:rsidP="00ED4BD2">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0500BB" w:rsidRPr="000500BB" w:rsidRDefault="000500BB" w:rsidP="00ED4BD2">
            <w:pPr>
              <w:spacing w:before="60" w:after="20"/>
              <w:rPr>
                <w:rFonts w:ascii="Verdana" w:hAnsi="Verdana"/>
                <w:color w:val="FF0000"/>
                <w:sz w:val="18"/>
                <w:szCs w:val="18"/>
              </w:rPr>
            </w:pPr>
          </w:p>
        </w:tc>
      </w:tr>
      <w:tr w:rsidR="000500BB"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0500BB" w:rsidRPr="000500BB" w:rsidRDefault="000500BB" w:rsidP="00ED4BD2">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0500BB" w:rsidRPr="000500BB" w:rsidRDefault="000500BB" w:rsidP="00ED4BD2">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4C2A19" w:rsidRPr="004C2A19" w:rsidRDefault="004C2A19" w:rsidP="004C2A19">
            <w:pPr>
              <w:spacing w:before="60" w:after="20"/>
              <w:jc w:val="both"/>
              <w:rPr>
                <w:rFonts w:ascii="Verdana" w:hAnsi="Verdana"/>
                <w:sz w:val="18"/>
                <w:szCs w:val="18"/>
              </w:rPr>
            </w:pPr>
            <w:r w:rsidRPr="004C2A19">
              <w:rPr>
                <w:rFonts w:ascii="Verdana" w:hAnsi="Verdana"/>
                <w:sz w:val="18"/>
                <w:szCs w:val="18"/>
              </w:rPr>
              <w:t>1. Земеделските стопани значително увеличиха разходите си за почвообработка, след като се наложи да окопават целите вътрешно редови пространства, на площите си от трайни насаждения, което значително увеличи н разходните норми за гориво на единица площ.</w:t>
            </w:r>
          </w:p>
          <w:p w:rsidR="000500BB" w:rsidRPr="000500BB" w:rsidRDefault="004C2A19" w:rsidP="00ED4BD2">
            <w:pPr>
              <w:spacing w:before="60" w:after="20"/>
              <w:jc w:val="both"/>
              <w:rPr>
                <w:rFonts w:ascii="Verdana" w:hAnsi="Verdana"/>
                <w:sz w:val="18"/>
                <w:szCs w:val="18"/>
              </w:rPr>
            </w:pPr>
            <w:r w:rsidRPr="004C2A19">
              <w:rPr>
                <w:rFonts w:ascii="Verdana" w:hAnsi="Verdana"/>
                <w:sz w:val="18"/>
                <w:szCs w:val="18"/>
              </w:rPr>
              <w:t>Увеличения разход на гориво от напълно излишната и необоснована операция, с която се извършва окопаване, значително увеличи вредните емисионни стойности на изгорели газове, конто машините излишно генерират в атмосферата в резултат на нормативната промяна.</w:t>
            </w:r>
          </w:p>
        </w:tc>
        <w:tc>
          <w:tcPr>
            <w:tcW w:w="1688" w:type="dxa"/>
            <w:tcBorders>
              <w:top w:val="nil"/>
              <w:left w:val="single" w:sz="18" w:space="0" w:color="2E74B5"/>
              <w:bottom w:val="nil"/>
              <w:right w:val="single" w:sz="18" w:space="0" w:color="2E74B5"/>
            </w:tcBorders>
            <w:shd w:val="clear" w:color="auto" w:fill="auto"/>
          </w:tcPr>
          <w:p w:rsidR="000500BB" w:rsidRPr="000500BB" w:rsidRDefault="000500BB" w:rsidP="00ED4BD2">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0500BB" w:rsidRPr="000500BB" w:rsidRDefault="000500BB" w:rsidP="00ED4BD2">
            <w:pPr>
              <w:spacing w:before="60" w:after="20"/>
              <w:rPr>
                <w:rFonts w:ascii="Verdana" w:hAnsi="Verdana"/>
                <w:color w:val="FF0000"/>
                <w:sz w:val="18"/>
                <w:szCs w:val="18"/>
              </w:rPr>
            </w:pPr>
          </w:p>
        </w:tc>
      </w:tr>
      <w:tr w:rsidR="004C2A19"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4C2A19" w:rsidRPr="000500BB" w:rsidRDefault="004C2A19" w:rsidP="00ED4BD2">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4C2A19" w:rsidRPr="000500BB" w:rsidRDefault="004C2A19" w:rsidP="00ED4BD2">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4C2A19" w:rsidRPr="000500BB" w:rsidRDefault="004C2A19" w:rsidP="00ED4BD2">
            <w:pPr>
              <w:spacing w:before="60" w:after="20"/>
              <w:jc w:val="both"/>
              <w:rPr>
                <w:rFonts w:ascii="Verdana" w:hAnsi="Verdana"/>
                <w:sz w:val="18"/>
                <w:szCs w:val="18"/>
              </w:rPr>
            </w:pPr>
            <w:r w:rsidRPr="004C2A19">
              <w:rPr>
                <w:rFonts w:ascii="Verdana" w:hAnsi="Verdana"/>
                <w:sz w:val="18"/>
                <w:szCs w:val="18"/>
              </w:rPr>
              <w:t>2. На стопаните се наложи, да окопават вече зачимените площи, намиращи се във вътрешно редовото пространство. По този начин се заличи цялата тяхна агроекологична дейност осъществявана през годините назад, за която дейност са получавали н подпомагане, именно да извършват окосяване, за да се зачими цялата площ на парцелите заети с трайни насаждения.</w:t>
            </w:r>
          </w:p>
        </w:tc>
        <w:tc>
          <w:tcPr>
            <w:tcW w:w="1688" w:type="dxa"/>
            <w:tcBorders>
              <w:top w:val="nil"/>
              <w:left w:val="single" w:sz="18" w:space="0" w:color="2E74B5"/>
              <w:bottom w:val="nil"/>
              <w:right w:val="single" w:sz="18" w:space="0" w:color="2E74B5"/>
            </w:tcBorders>
            <w:shd w:val="clear" w:color="auto" w:fill="auto"/>
          </w:tcPr>
          <w:p w:rsidR="004C2A19" w:rsidRPr="000500BB" w:rsidRDefault="004C2A19" w:rsidP="00ED4BD2">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4C2A19" w:rsidRPr="000500BB" w:rsidRDefault="004C2A19" w:rsidP="00ED4BD2">
            <w:pPr>
              <w:spacing w:before="60" w:after="20"/>
              <w:rPr>
                <w:rFonts w:ascii="Verdana" w:hAnsi="Verdana"/>
                <w:color w:val="FF0000"/>
                <w:sz w:val="18"/>
                <w:szCs w:val="18"/>
              </w:rPr>
            </w:pPr>
          </w:p>
        </w:tc>
      </w:tr>
      <w:tr w:rsidR="004C2A19"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4C2A19" w:rsidRPr="000500BB" w:rsidRDefault="004C2A19" w:rsidP="004C2A19">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jc w:val="both"/>
              <w:rPr>
                <w:rFonts w:ascii="Verdana" w:hAnsi="Verdana"/>
                <w:sz w:val="18"/>
                <w:szCs w:val="18"/>
              </w:rPr>
            </w:pPr>
            <w:r w:rsidRPr="004C2A19">
              <w:rPr>
                <w:rFonts w:ascii="Verdana" w:hAnsi="Verdana"/>
                <w:sz w:val="18"/>
                <w:szCs w:val="18"/>
              </w:rPr>
              <w:t xml:space="preserve">3. Окопаните площи, във вътрешно редовото пространство изключително много затрудни отглеждането на трайните насаждения, като нанесе </w:t>
            </w:r>
            <w:r>
              <w:rPr>
                <w:rFonts w:ascii="Verdana" w:hAnsi="Verdana"/>
                <w:sz w:val="18"/>
                <w:szCs w:val="18"/>
              </w:rPr>
              <w:t>и не малки щети върху тях, като</w:t>
            </w:r>
            <w:r w:rsidRPr="004C2A19">
              <w:rPr>
                <w:rFonts w:ascii="Verdana" w:hAnsi="Verdana"/>
                <w:sz w:val="18"/>
                <w:szCs w:val="18"/>
              </w:rPr>
              <w:t>:</w:t>
            </w:r>
          </w:p>
        </w:tc>
        <w:tc>
          <w:tcPr>
            <w:tcW w:w="16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r>
      <w:tr w:rsidR="004C2A19"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4C2A19" w:rsidRPr="000500BB" w:rsidRDefault="004C2A19" w:rsidP="004C2A19">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jc w:val="both"/>
              <w:rPr>
                <w:rFonts w:ascii="Verdana" w:hAnsi="Verdana"/>
                <w:sz w:val="18"/>
                <w:szCs w:val="18"/>
              </w:rPr>
            </w:pPr>
            <w:r w:rsidRPr="004C2A19">
              <w:rPr>
                <w:rFonts w:ascii="Verdana" w:hAnsi="Verdana"/>
                <w:sz w:val="18"/>
                <w:szCs w:val="18"/>
              </w:rPr>
              <w:t>- дейността нанесе щети върху кореновата система на насажденията;</w:t>
            </w:r>
          </w:p>
        </w:tc>
        <w:tc>
          <w:tcPr>
            <w:tcW w:w="16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r>
      <w:tr w:rsidR="004C2A19"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4C2A19" w:rsidRPr="000500BB" w:rsidRDefault="004C2A19" w:rsidP="004C2A19">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jc w:val="both"/>
              <w:rPr>
                <w:rFonts w:ascii="Verdana" w:hAnsi="Verdana"/>
                <w:sz w:val="18"/>
                <w:szCs w:val="18"/>
              </w:rPr>
            </w:pPr>
            <w:r w:rsidRPr="004C2A19">
              <w:rPr>
                <w:rFonts w:ascii="Verdana" w:hAnsi="Verdana"/>
                <w:sz w:val="18"/>
                <w:szCs w:val="18"/>
              </w:rPr>
              <w:t>- върху вече окопаваните площи, започна да изниква друг вид трева, различна от нискостеблената в масива, която предизвика изключително голямо ново заплевяване на нивите, тъй като там намират благоприятно място за съществуване високостеблени треви, които иначе ги нямаше в масивите, тъй като бяха вече зачимени;</w:t>
            </w:r>
          </w:p>
        </w:tc>
        <w:tc>
          <w:tcPr>
            <w:tcW w:w="16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r>
      <w:tr w:rsidR="004C2A19"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4C2A19" w:rsidRPr="000500BB" w:rsidRDefault="004C2A19" w:rsidP="004C2A19">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4C2A19" w:rsidRPr="004C2A19" w:rsidRDefault="004C2A19" w:rsidP="004C2A19">
            <w:pPr>
              <w:spacing w:before="60" w:after="20"/>
              <w:jc w:val="both"/>
              <w:rPr>
                <w:rFonts w:ascii="Verdana" w:hAnsi="Verdana"/>
                <w:sz w:val="18"/>
                <w:szCs w:val="18"/>
              </w:rPr>
            </w:pPr>
            <w:r w:rsidRPr="004C2A19">
              <w:rPr>
                <w:rFonts w:ascii="Verdana" w:hAnsi="Verdana"/>
                <w:sz w:val="18"/>
                <w:szCs w:val="18"/>
              </w:rPr>
              <w:t>- след дъждовен период на окопаната площи се образува сбор на вода п кал, което пречи на преминаването на машините или работниците впоследствие;</w:t>
            </w:r>
          </w:p>
        </w:tc>
        <w:tc>
          <w:tcPr>
            <w:tcW w:w="16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r>
      <w:tr w:rsidR="004C2A19"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4C2A19" w:rsidRPr="000500BB" w:rsidRDefault="004C2A19" w:rsidP="004C2A19">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4C2A19" w:rsidRPr="004C2A19" w:rsidRDefault="004C2A19" w:rsidP="004C2A19">
            <w:pPr>
              <w:spacing w:before="60" w:after="20"/>
              <w:jc w:val="both"/>
              <w:rPr>
                <w:rFonts w:ascii="Verdana" w:hAnsi="Verdana"/>
                <w:sz w:val="18"/>
                <w:szCs w:val="18"/>
              </w:rPr>
            </w:pPr>
            <w:r w:rsidRPr="004C2A19">
              <w:rPr>
                <w:rFonts w:ascii="Verdana" w:hAnsi="Verdana"/>
                <w:sz w:val="18"/>
                <w:szCs w:val="18"/>
              </w:rPr>
              <w:t xml:space="preserve">- във вътрешно редовото пространство, намираха убежище н </w:t>
            </w:r>
            <w:r w:rsidRPr="004C2A19">
              <w:rPr>
                <w:rFonts w:ascii="Verdana" w:hAnsi="Verdana"/>
                <w:sz w:val="18"/>
                <w:szCs w:val="18"/>
              </w:rPr>
              <w:lastRenderedPageBreak/>
              <w:t>много животински видове, като влечуги, костенурки, птици - пъд</w:t>
            </w:r>
            <w:r w:rsidR="000E39FC">
              <w:rPr>
                <w:rFonts w:ascii="Verdana" w:hAnsi="Verdana"/>
                <w:sz w:val="18"/>
                <w:szCs w:val="18"/>
              </w:rPr>
              <w:t>пъдъци, фазани, гургулици и др.</w:t>
            </w:r>
            <w:r w:rsidRPr="004C2A19">
              <w:rPr>
                <w:rFonts w:ascii="Verdana" w:hAnsi="Verdana"/>
                <w:sz w:val="18"/>
                <w:szCs w:val="18"/>
              </w:rPr>
              <w:t xml:space="preserve"> От момента в който започнахме да окопаваме, всички тези местообитания и гнезда на животни тотално се унищожиха. Голяма част от животните, конто обитаваха местата около дърветата, загинаха или останаха без поколение, тъй като погинаха от механизацията и изискването да окопаваме това пространство.</w:t>
            </w:r>
          </w:p>
        </w:tc>
        <w:tc>
          <w:tcPr>
            <w:tcW w:w="16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r>
      <w:tr w:rsidR="004C2A19"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4C2A19" w:rsidRPr="000500BB" w:rsidRDefault="004C2A19" w:rsidP="004C2A19">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4C2A19" w:rsidRPr="004C2A19" w:rsidRDefault="004C2A19" w:rsidP="004C2A19">
            <w:pPr>
              <w:spacing w:before="60" w:after="20"/>
              <w:jc w:val="both"/>
              <w:rPr>
                <w:rFonts w:ascii="Verdana" w:hAnsi="Verdana"/>
                <w:sz w:val="18"/>
                <w:szCs w:val="18"/>
              </w:rPr>
            </w:pPr>
            <w:r w:rsidRPr="004C2A19">
              <w:rPr>
                <w:rFonts w:ascii="Verdana" w:hAnsi="Verdana"/>
                <w:sz w:val="18"/>
                <w:szCs w:val="18"/>
              </w:rPr>
              <w:t xml:space="preserve">4. Всички земеделски стопани, които започнаха да прилагат окопаване на вътрешно редовото пространство, се сблъскаха с тотални </w:t>
            </w:r>
            <w:r>
              <w:rPr>
                <w:rFonts w:ascii="Verdana" w:hAnsi="Verdana"/>
                <w:sz w:val="18"/>
                <w:szCs w:val="18"/>
              </w:rPr>
              <w:t>щети</w:t>
            </w:r>
            <w:r w:rsidRPr="004C2A19">
              <w:rPr>
                <w:rFonts w:ascii="Verdana" w:hAnsi="Verdana"/>
                <w:sz w:val="18"/>
                <w:szCs w:val="18"/>
              </w:rPr>
              <w:t xml:space="preserve"> </w:t>
            </w:r>
            <w:r>
              <w:rPr>
                <w:rFonts w:ascii="Verdana" w:hAnsi="Verdana"/>
                <w:sz w:val="18"/>
                <w:szCs w:val="18"/>
              </w:rPr>
              <w:t>и</w:t>
            </w:r>
            <w:r w:rsidRPr="004C2A19">
              <w:rPr>
                <w:rFonts w:ascii="Verdana" w:hAnsi="Verdana"/>
                <w:sz w:val="18"/>
                <w:szCs w:val="18"/>
              </w:rPr>
              <w:t xml:space="preserve"> загуба на продукция. Механизираната техника за да извърши тази дейност, преминава изключително близко до насажденията, от една страна това причинява щети по самата техника (счупени</w:t>
            </w:r>
            <w:r>
              <w:rPr>
                <w:rFonts w:ascii="Verdana" w:hAnsi="Verdana"/>
                <w:sz w:val="18"/>
                <w:szCs w:val="18"/>
              </w:rPr>
              <w:t xml:space="preserve"> </w:t>
            </w:r>
            <w:r w:rsidRPr="004C2A19">
              <w:rPr>
                <w:rFonts w:ascii="Verdana" w:hAnsi="Verdana"/>
                <w:sz w:val="18"/>
                <w:szCs w:val="18"/>
              </w:rPr>
              <w:t>прозорци, изкривени огледала, врати, фарове и др.)</w:t>
            </w:r>
            <w:r>
              <w:rPr>
                <w:rFonts w:ascii="Verdana" w:hAnsi="Verdana"/>
                <w:sz w:val="18"/>
                <w:szCs w:val="18"/>
              </w:rPr>
              <w:t>,</w:t>
            </w:r>
            <w:r w:rsidRPr="004C2A19">
              <w:rPr>
                <w:rFonts w:ascii="Verdana" w:hAnsi="Verdana"/>
                <w:sz w:val="18"/>
                <w:szCs w:val="18"/>
              </w:rPr>
              <w:t xml:space="preserve"> а от друга страна се предизвика погиване на значителна част от реколтата, тъй като плодовете падаха на земята, след като премине техниката.</w:t>
            </w:r>
          </w:p>
        </w:tc>
        <w:tc>
          <w:tcPr>
            <w:tcW w:w="16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r>
      <w:tr w:rsidR="004C2A19"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4C2A19" w:rsidRPr="000500BB" w:rsidRDefault="004C2A19" w:rsidP="004C2A19">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4C2A19" w:rsidRPr="000500BB" w:rsidRDefault="00DE26A4" w:rsidP="00DE26A4">
            <w:pPr>
              <w:spacing w:before="60" w:after="20"/>
              <w:jc w:val="both"/>
              <w:rPr>
                <w:rFonts w:ascii="Verdana" w:hAnsi="Verdana"/>
                <w:sz w:val="18"/>
                <w:szCs w:val="18"/>
              </w:rPr>
            </w:pPr>
            <w:r w:rsidRPr="00DE26A4">
              <w:rPr>
                <w:rFonts w:ascii="Verdana" w:hAnsi="Verdana"/>
                <w:sz w:val="18"/>
                <w:szCs w:val="18"/>
              </w:rPr>
              <w:t>5. В изпълнение на своето законово задължение ДФ „Земеделие“ – РА, започна да извършва теренни проверки по направление „Контрол на почвената ерозия“, съобразно новите изисквания по дейността. Малкото разумни земеделци, които отказаха да изпълнят тези нелепи услови по мярката, бяха санкционирани жестоко, което доведе и до финансови затруднения при същите, тъй като не можаха да получат подпомагане.</w:t>
            </w:r>
          </w:p>
        </w:tc>
        <w:tc>
          <w:tcPr>
            <w:tcW w:w="16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r>
      <w:tr w:rsidR="00DE26A4"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DE26A4" w:rsidRPr="000500BB" w:rsidRDefault="00DE26A4" w:rsidP="004C2A19">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DE26A4" w:rsidRPr="000500BB" w:rsidRDefault="00DE26A4" w:rsidP="004C2A19">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DE26A4" w:rsidRPr="00DE26A4" w:rsidRDefault="00DE26A4" w:rsidP="00DE26A4">
            <w:pPr>
              <w:spacing w:before="60" w:after="20"/>
              <w:jc w:val="both"/>
              <w:rPr>
                <w:rFonts w:ascii="Verdana" w:hAnsi="Verdana"/>
                <w:sz w:val="18"/>
                <w:szCs w:val="18"/>
              </w:rPr>
            </w:pPr>
            <w:r w:rsidRPr="00DE26A4">
              <w:rPr>
                <w:rFonts w:ascii="Verdana" w:hAnsi="Verdana"/>
                <w:sz w:val="18"/>
                <w:szCs w:val="18"/>
              </w:rPr>
              <w:t>Друга изключително зловредна промяна през миналата година е промяната, с която се изисква земеделските стопани да представят оценка по реда на базисните цени на трайните насаждения. Това се въведе уж да спрем заявяването на площи, конто не са в процес на плододаване.</w:t>
            </w:r>
          </w:p>
        </w:tc>
        <w:tc>
          <w:tcPr>
            <w:tcW w:w="1688" w:type="dxa"/>
            <w:tcBorders>
              <w:top w:val="nil"/>
              <w:left w:val="single" w:sz="18" w:space="0" w:color="2E74B5"/>
              <w:bottom w:val="nil"/>
              <w:right w:val="single" w:sz="18" w:space="0" w:color="2E74B5"/>
            </w:tcBorders>
            <w:shd w:val="clear" w:color="auto" w:fill="auto"/>
          </w:tcPr>
          <w:p w:rsidR="00DE26A4" w:rsidRPr="000500BB" w:rsidRDefault="00DE26A4" w:rsidP="004C2A19">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DE26A4" w:rsidRPr="000500BB" w:rsidRDefault="00DE26A4" w:rsidP="004C2A19">
            <w:pPr>
              <w:spacing w:before="60" w:after="20"/>
              <w:rPr>
                <w:rFonts w:ascii="Verdana" w:hAnsi="Verdana"/>
                <w:color w:val="FF0000"/>
                <w:sz w:val="18"/>
                <w:szCs w:val="18"/>
              </w:rPr>
            </w:pPr>
          </w:p>
        </w:tc>
      </w:tr>
      <w:tr w:rsidR="00DE26A4"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DE26A4" w:rsidRPr="000500BB" w:rsidRDefault="00DE26A4" w:rsidP="004C2A19">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DE26A4" w:rsidRPr="000500BB" w:rsidRDefault="00DE26A4" w:rsidP="004C2A19">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DE26A4" w:rsidRPr="00DE26A4" w:rsidRDefault="00DE26A4" w:rsidP="00DE26A4">
            <w:pPr>
              <w:spacing w:before="60" w:after="20"/>
              <w:jc w:val="both"/>
              <w:rPr>
                <w:rFonts w:ascii="Verdana" w:hAnsi="Verdana"/>
                <w:sz w:val="18"/>
                <w:szCs w:val="18"/>
              </w:rPr>
            </w:pPr>
            <w:r w:rsidRPr="00DE26A4">
              <w:rPr>
                <w:rFonts w:ascii="Verdana" w:hAnsi="Verdana"/>
                <w:sz w:val="18"/>
                <w:szCs w:val="18"/>
              </w:rPr>
              <w:t>Видно от резултатите от миналата кампания, тези очаквания изобщо не се оправдаха, но:</w:t>
            </w:r>
          </w:p>
        </w:tc>
        <w:tc>
          <w:tcPr>
            <w:tcW w:w="1688" w:type="dxa"/>
            <w:tcBorders>
              <w:top w:val="nil"/>
              <w:left w:val="single" w:sz="18" w:space="0" w:color="2E74B5"/>
              <w:bottom w:val="nil"/>
              <w:right w:val="single" w:sz="18" w:space="0" w:color="2E74B5"/>
            </w:tcBorders>
            <w:shd w:val="clear" w:color="auto" w:fill="auto"/>
          </w:tcPr>
          <w:p w:rsidR="00DE26A4" w:rsidRPr="000500BB" w:rsidRDefault="00DE26A4" w:rsidP="004C2A19">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DE26A4" w:rsidRPr="000500BB" w:rsidRDefault="00DE26A4" w:rsidP="004C2A19">
            <w:pPr>
              <w:spacing w:before="60" w:after="20"/>
              <w:rPr>
                <w:rFonts w:ascii="Verdana" w:hAnsi="Verdana"/>
                <w:color w:val="FF0000"/>
                <w:sz w:val="18"/>
                <w:szCs w:val="18"/>
              </w:rPr>
            </w:pPr>
          </w:p>
        </w:tc>
      </w:tr>
      <w:tr w:rsidR="00DE26A4"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DE26A4" w:rsidRPr="000500BB" w:rsidRDefault="00DE26A4" w:rsidP="004C2A19">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DE26A4" w:rsidRPr="000500BB" w:rsidRDefault="00DE26A4" w:rsidP="004C2A19">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DE26A4" w:rsidRPr="00DE26A4" w:rsidRDefault="00DE26A4" w:rsidP="00DE26A4">
            <w:pPr>
              <w:spacing w:before="60" w:after="20"/>
              <w:jc w:val="both"/>
              <w:rPr>
                <w:rFonts w:ascii="Verdana" w:hAnsi="Verdana"/>
                <w:sz w:val="18"/>
                <w:szCs w:val="18"/>
              </w:rPr>
            </w:pPr>
            <w:r w:rsidRPr="00DE26A4">
              <w:rPr>
                <w:rFonts w:ascii="Verdana" w:hAnsi="Verdana"/>
                <w:sz w:val="18"/>
                <w:szCs w:val="18"/>
              </w:rPr>
              <w:t>- нанесоха значителни финансови щети на земеделските стопани, които плащаха за тази недомислица, да нравят финансова оценка ма трайните си насаждения;</w:t>
            </w:r>
          </w:p>
        </w:tc>
        <w:tc>
          <w:tcPr>
            <w:tcW w:w="1688" w:type="dxa"/>
            <w:tcBorders>
              <w:top w:val="nil"/>
              <w:left w:val="single" w:sz="18" w:space="0" w:color="2E74B5"/>
              <w:bottom w:val="nil"/>
              <w:right w:val="single" w:sz="18" w:space="0" w:color="2E74B5"/>
            </w:tcBorders>
            <w:shd w:val="clear" w:color="auto" w:fill="auto"/>
          </w:tcPr>
          <w:p w:rsidR="00DE26A4" w:rsidRPr="000500BB" w:rsidRDefault="00DE26A4" w:rsidP="004C2A19">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DE26A4" w:rsidRPr="000500BB" w:rsidRDefault="00DE26A4" w:rsidP="004C2A19">
            <w:pPr>
              <w:spacing w:before="60" w:after="20"/>
              <w:rPr>
                <w:rFonts w:ascii="Verdana" w:hAnsi="Verdana"/>
                <w:color w:val="FF0000"/>
                <w:sz w:val="18"/>
                <w:szCs w:val="18"/>
              </w:rPr>
            </w:pPr>
          </w:p>
        </w:tc>
      </w:tr>
      <w:tr w:rsidR="004C2A19"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4C2A19" w:rsidRPr="000500BB" w:rsidRDefault="004C2A19" w:rsidP="004C2A19">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4C2A19" w:rsidRPr="000500BB" w:rsidRDefault="00DE26A4" w:rsidP="00DE26A4">
            <w:pPr>
              <w:spacing w:before="60" w:after="20"/>
              <w:jc w:val="both"/>
              <w:rPr>
                <w:rFonts w:ascii="Verdana" w:hAnsi="Verdana"/>
                <w:sz w:val="18"/>
                <w:szCs w:val="18"/>
              </w:rPr>
            </w:pPr>
            <w:r w:rsidRPr="00DE26A4">
              <w:rPr>
                <w:rFonts w:ascii="Verdana" w:hAnsi="Verdana"/>
                <w:sz w:val="18"/>
                <w:szCs w:val="18"/>
              </w:rPr>
              <w:t xml:space="preserve">- не малка част от добросъвестните земеделски стопани нямаха възможност да платят това безумие и останаха без </w:t>
            </w:r>
            <w:r w:rsidRPr="00DE26A4">
              <w:rPr>
                <w:rFonts w:ascii="Verdana" w:hAnsi="Verdana"/>
                <w:sz w:val="18"/>
                <w:szCs w:val="18"/>
              </w:rPr>
              <w:lastRenderedPageBreak/>
              <w:t>полагащото им се подпомагане.</w:t>
            </w:r>
          </w:p>
        </w:tc>
        <w:tc>
          <w:tcPr>
            <w:tcW w:w="1688" w:type="dxa"/>
            <w:tcBorders>
              <w:top w:val="nil"/>
              <w:left w:val="single" w:sz="18" w:space="0" w:color="2E74B5"/>
              <w:bottom w:val="nil"/>
              <w:right w:val="single" w:sz="18"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4C2A19" w:rsidRPr="000500BB" w:rsidRDefault="004C2A19" w:rsidP="004C2A19">
            <w:pPr>
              <w:spacing w:before="60" w:after="20"/>
              <w:rPr>
                <w:rFonts w:ascii="Verdana" w:hAnsi="Verdana"/>
                <w:color w:val="FF0000"/>
                <w:sz w:val="18"/>
                <w:szCs w:val="18"/>
              </w:rPr>
            </w:pPr>
          </w:p>
        </w:tc>
      </w:tr>
      <w:tr w:rsidR="00DE26A4"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DE26A4" w:rsidRPr="000500BB" w:rsidRDefault="00DE26A4" w:rsidP="004C2A19">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DE26A4" w:rsidRPr="000500BB" w:rsidRDefault="00DE26A4" w:rsidP="004C2A19">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DE26A4" w:rsidRPr="00DE26A4" w:rsidRDefault="00DE26A4" w:rsidP="00DE26A4">
            <w:pPr>
              <w:spacing w:before="60" w:after="20"/>
              <w:jc w:val="both"/>
              <w:rPr>
                <w:rFonts w:ascii="Verdana" w:hAnsi="Verdana"/>
                <w:sz w:val="18"/>
                <w:szCs w:val="18"/>
              </w:rPr>
            </w:pPr>
            <w:r w:rsidRPr="00DE26A4">
              <w:rPr>
                <w:rFonts w:ascii="Verdana" w:hAnsi="Verdana"/>
                <w:sz w:val="18"/>
                <w:szCs w:val="18"/>
              </w:rPr>
              <w:t>Няма никаква логика мероприятия по контрол на почвената ерозия да се прилагат в насаждения, които плододават, а в неплододаващи да не се прилагат. Мярката касае опазване на почвата, и не зависи от периода на плододаване на културите!</w:t>
            </w:r>
          </w:p>
        </w:tc>
        <w:tc>
          <w:tcPr>
            <w:tcW w:w="1688" w:type="dxa"/>
            <w:tcBorders>
              <w:top w:val="nil"/>
              <w:left w:val="single" w:sz="18" w:space="0" w:color="2E74B5"/>
              <w:bottom w:val="nil"/>
              <w:right w:val="single" w:sz="18" w:space="0" w:color="2E74B5"/>
            </w:tcBorders>
            <w:shd w:val="clear" w:color="auto" w:fill="auto"/>
          </w:tcPr>
          <w:p w:rsidR="00DE26A4" w:rsidRPr="000500BB" w:rsidRDefault="00DE26A4" w:rsidP="004C2A19">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DE26A4" w:rsidRPr="000500BB" w:rsidRDefault="00DE26A4" w:rsidP="004C2A19">
            <w:pPr>
              <w:spacing w:before="60" w:after="20"/>
              <w:rPr>
                <w:rFonts w:ascii="Verdana" w:hAnsi="Verdana"/>
                <w:color w:val="FF0000"/>
                <w:sz w:val="18"/>
                <w:szCs w:val="18"/>
              </w:rPr>
            </w:pPr>
          </w:p>
        </w:tc>
      </w:tr>
      <w:tr w:rsidR="00DE26A4"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DE26A4" w:rsidRPr="000500BB" w:rsidRDefault="00DE26A4" w:rsidP="004C2A19">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DE26A4" w:rsidRPr="000500BB" w:rsidRDefault="00DE26A4" w:rsidP="004C2A19">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DE26A4" w:rsidRPr="00DE26A4" w:rsidRDefault="00DE26A4" w:rsidP="00DE26A4">
            <w:pPr>
              <w:spacing w:before="60" w:after="20"/>
              <w:jc w:val="both"/>
              <w:rPr>
                <w:rFonts w:ascii="Verdana" w:hAnsi="Verdana"/>
                <w:sz w:val="18"/>
                <w:szCs w:val="18"/>
              </w:rPr>
            </w:pPr>
            <w:r w:rsidRPr="00DE26A4">
              <w:rPr>
                <w:rFonts w:ascii="Verdana" w:hAnsi="Verdana"/>
                <w:sz w:val="18"/>
                <w:szCs w:val="18"/>
              </w:rPr>
              <w:t>Предвид гореизложеното, ние</w:t>
            </w:r>
            <w:r>
              <w:rPr>
                <w:rFonts w:ascii="Verdana" w:hAnsi="Verdana"/>
                <w:sz w:val="18"/>
                <w:szCs w:val="18"/>
              </w:rPr>
              <w:t xml:space="preserve"> предлагаме:</w:t>
            </w:r>
          </w:p>
        </w:tc>
        <w:tc>
          <w:tcPr>
            <w:tcW w:w="1688" w:type="dxa"/>
            <w:tcBorders>
              <w:top w:val="nil"/>
              <w:left w:val="single" w:sz="18" w:space="0" w:color="2E74B5"/>
              <w:bottom w:val="nil"/>
              <w:right w:val="single" w:sz="18" w:space="0" w:color="2E74B5"/>
            </w:tcBorders>
            <w:shd w:val="clear" w:color="auto" w:fill="auto"/>
          </w:tcPr>
          <w:p w:rsidR="00DE26A4" w:rsidRPr="000500BB" w:rsidRDefault="00DE26A4" w:rsidP="004C2A19">
            <w:pPr>
              <w:spacing w:before="60" w:after="20"/>
              <w:rPr>
                <w:rFonts w:ascii="Verdana" w:hAnsi="Verdana"/>
                <w:color w:val="FF0000"/>
                <w:sz w:val="18"/>
                <w:szCs w:val="18"/>
              </w:rPr>
            </w:pPr>
          </w:p>
        </w:tc>
        <w:tc>
          <w:tcPr>
            <w:tcW w:w="4690" w:type="dxa"/>
            <w:tcBorders>
              <w:top w:val="nil"/>
              <w:left w:val="single" w:sz="18" w:space="0" w:color="2E74B5"/>
              <w:bottom w:val="nil"/>
              <w:right w:val="single" w:sz="24" w:space="0" w:color="2E74B5"/>
            </w:tcBorders>
            <w:shd w:val="clear" w:color="auto" w:fill="auto"/>
          </w:tcPr>
          <w:p w:rsidR="00DE26A4" w:rsidRPr="000500BB" w:rsidRDefault="00DE26A4" w:rsidP="004C2A19">
            <w:pPr>
              <w:spacing w:before="60" w:after="20"/>
              <w:rPr>
                <w:rFonts w:ascii="Verdana" w:hAnsi="Verdana"/>
                <w:color w:val="FF0000"/>
                <w:sz w:val="18"/>
                <w:szCs w:val="18"/>
              </w:rPr>
            </w:pPr>
          </w:p>
        </w:tc>
      </w:tr>
      <w:tr w:rsidR="00DE26A4" w:rsidRPr="003A0DBC" w:rsidTr="00ED4BD2">
        <w:trPr>
          <w:jc w:val="center"/>
        </w:trPr>
        <w:tc>
          <w:tcPr>
            <w:tcW w:w="619" w:type="dxa"/>
            <w:tcBorders>
              <w:top w:val="nil"/>
              <w:left w:val="single" w:sz="24" w:space="0" w:color="2E74B5"/>
              <w:bottom w:val="nil"/>
              <w:right w:val="single" w:sz="18" w:space="0" w:color="2E74B5"/>
            </w:tcBorders>
            <w:shd w:val="clear" w:color="auto" w:fill="auto"/>
          </w:tcPr>
          <w:p w:rsidR="00DE26A4" w:rsidRPr="003A0DBC" w:rsidRDefault="00DE26A4" w:rsidP="00DE26A4">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DE26A4" w:rsidRPr="003A0DBC" w:rsidRDefault="00DE26A4" w:rsidP="00DE26A4">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DE26A4" w:rsidRPr="003A0DBC" w:rsidRDefault="00DE26A4" w:rsidP="00DE26A4">
            <w:pPr>
              <w:spacing w:before="60" w:after="20"/>
              <w:jc w:val="both"/>
              <w:rPr>
                <w:rFonts w:ascii="Verdana" w:hAnsi="Verdana"/>
                <w:sz w:val="18"/>
                <w:szCs w:val="18"/>
              </w:rPr>
            </w:pPr>
            <w:r w:rsidRPr="003A0DBC">
              <w:rPr>
                <w:rFonts w:ascii="Verdana" w:hAnsi="Verdana"/>
                <w:sz w:val="18"/>
                <w:szCs w:val="18"/>
              </w:rPr>
              <w:t>1. Да се отменят направените миналата година изменения, с които се въведе изискване да се окопават трайните насаждения във вътрешно редовото пространство.</w:t>
            </w:r>
          </w:p>
        </w:tc>
        <w:tc>
          <w:tcPr>
            <w:tcW w:w="1688" w:type="dxa"/>
            <w:tcBorders>
              <w:top w:val="nil"/>
              <w:left w:val="single" w:sz="18" w:space="0" w:color="2E74B5"/>
              <w:bottom w:val="nil"/>
              <w:right w:val="single" w:sz="18" w:space="0" w:color="2E74B5"/>
            </w:tcBorders>
            <w:shd w:val="clear" w:color="auto" w:fill="auto"/>
          </w:tcPr>
          <w:p w:rsidR="00DE26A4" w:rsidRPr="003A0DBC" w:rsidRDefault="00DE26A4" w:rsidP="00DE26A4">
            <w:pPr>
              <w:spacing w:before="60" w:after="20"/>
              <w:rPr>
                <w:rFonts w:ascii="Verdana" w:hAnsi="Verdana"/>
                <w:color w:val="FF0000"/>
                <w:sz w:val="18"/>
                <w:szCs w:val="18"/>
              </w:rPr>
            </w:pPr>
            <w:r w:rsidRPr="004A5136">
              <w:rPr>
                <w:rFonts w:ascii="Verdana" w:hAnsi="Verdana"/>
                <w:sz w:val="18"/>
                <w:szCs w:val="18"/>
              </w:rPr>
              <w:t>Не се приема</w:t>
            </w:r>
          </w:p>
        </w:tc>
        <w:tc>
          <w:tcPr>
            <w:tcW w:w="4690" w:type="dxa"/>
            <w:tcBorders>
              <w:top w:val="nil"/>
              <w:left w:val="single" w:sz="18" w:space="0" w:color="2E74B5"/>
              <w:bottom w:val="nil"/>
              <w:right w:val="single" w:sz="24" w:space="0" w:color="2E74B5"/>
            </w:tcBorders>
            <w:shd w:val="clear" w:color="auto" w:fill="auto"/>
          </w:tcPr>
          <w:p w:rsidR="00DE26A4" w:rsidRPr="003A0DBC" w:rsidRDefault="002912D4" w:rsidP="003A0DBC">
            <w:pPr>
              <w:jc w:val="both"/>
              <w:rPr>
                <w:rFonts w:ascii="Verdana" w:eastAsia="Calibri" w:hAnsi="Verdana"/>
                <w:bCs/>
                <w:sz w:val="18"/>
                <w:szCs w:val="22"/>
              </w:rPr>
            </w:pPr>
            <w:r w:rsidRPr="003A0DBC">
              <w:rPr>
                <w:rFonts w:ascii="Verdana" w:eastAsia="Calibri" w:hAnsi="Verdana"/>
                <w:bCs/>
                <w:sz w:val="18"/>
                <w:szCs w:val="22"/>
              </w:rPr>
              <w:t>Съгласно взето Решение на петнадесето заседание на Комитета за наблюдение (КН)</w:t>
            </w:r>
            <w:r w:rsidR="003A0DBC">
              <w:rPr>
                <w:rFonts w:ascii="Verdana" w:eastAsia="Calibri" w:hAnsi="Verdana"/>
                <w:bCs/>
                <w:sz w:val="18"/>
                <w:szCs w:val="22"/>
              </w:rPr>
              <w:t xml:space="preserve"> </w:t>
            </w:r>
            <w:r w:rsidRPr="003A0DBC">
              <w:rPr>
                <w:rFonts w:ascii="Verdana" w:eastAsia="Calibri" w:hAnsi="Verdana"/>
                <w:bCs/>
                <w:sz w:val="18"/>
                <w:szCs w:val="22"/>
              </w:rPr>
              <w:t>на Програмата за ра</w:t>
            </w:r>
            <w:r w:rsidR="003A0DBC">
              <w:rPr>
                <w:rFonts w:ascii="Verdana" w:eastAsia="Calibri" w:hAnsi="Verdana"/>
                <w:bCs/>
                <w:sz w:val="18"/>
                <w:szCs w:val="22"/>
              </w:rPr>
              <w:t xml:space="preserve">звитие на селските райони (2014 – </w:t>
            </w:r>
            <w:r w:rsidRPr="003A0DBC">
              <w:rPr>
                <w:rFonts w:ascii="Verdana" w:eastAsia="Calibri" w:hAnsi="Verdana"/>
                <w:bCs/>
                <w:sz w:val="18"/>
                <w:szCs w:val="22"/>
              </w:rPr>
              <w:t xml:space="preserve">2020) проведено на 22.12.2020 г., в т. 3 от заседанието, КН одобри предложенията за допълнение към 10-то изменение и допълнение на Програмата за развитие на селските райони (2014-2020) и упълномощи Управляващия орган на Програмата да го изпрати официално (чрез SFC) на Европейската комисия и даде мандат на Управляващия орган да договори окончателния вариант на промените в преговорния процес с Европейската комисия. Едно от измененията приети от КН е допълнението за поддържане на нисък тревостой на междуредовото затревяване и вътрешноредово окопаване на насажденията в дейността „затревяване на междуредията на лозята и трайните насаждения“. В допълнение, следва да се има предвид, че за изчисленията на конкретните нива на подпомагане по мярка 10 „Агроекология и климат“ в България е използван модел, оценяващ пропуснатите ползи и направените допълнителни разходи за всяко отделно направление на мярката и конкретните, допустими и изискуеми дейности. С изменението УО е актуализирал размерите на подпомагане, като актуализацията на Методологията е изготвена от доц. д-р Божидар Иванов, като описание на методологията и агрономическите прогнози и </w:t>
            </w:r>
            <w:r w:rsidRPr="003A0DBC">
              <w:rPr>
                <w:rFonts w:ascii="Verdana" w:eastAsia="Calibri" w:hAnsi="Verdana"/>
                <w:bCs/>
                <w:sz w:val="18"/>
                <w:szCs w:val="22"/>
              </w:rPr>
              <w:lastRenderedPageBreak/>
              <w:t>параметри, включително описание на базовите изисквания, посочени в член 28, параграф 2 от Регламент (ЕС) № 1305/2013, които имат отношение към всеки конкретен вид ангажимент, използвани като референтна точка при изчисленията за оправдаване на допълнителни разходи, пропуснати ползи поради поетия ангажимент. Методологията за определяне на компенсаторните плащания по мярка 10 „Агроекология и климат“, са изменени и актуализирани, и са приета с гласуване на петнадесетото заседание на Комитета за наблюдение (КН) на Програмата за развитие на селските райони (2014-2020) на 22.12.2020 г., от членовете на КН. В методологията за определяне на компенсаторните плащания по мярката се посочва, че „основните компоненти за изчисляване на плащането са механизираните дейности по окопаване на вътрешноредията и по-честото окосяване, за поддържане на нисък тревостой на междуредията“.  Следва да се има предвид, че изискванията по наредбата за прилагане на мярката не биха могли да бъд</w:t>
            </w:r>
            <w:r w:rsidRPr="003A0DBC">
              <w:rPr>
                <w:rFonts w:ascii="Verdana" w:eastAsia="Calibri" w:hAnsi="Verdana"/>
                <w:bCs/>
                <w:sz w:val="18"/>
                <w:szCs w:val="22"/>
                <w:lang w:val="en-US"/>
              </w:rPr>
              <w:t>a</w:t>
            </w:r>
            <w:r w:rsidRPr="003A0DBC">
              <w:rPr>
                <w:rFonts w:ascii="Verdana" w:eastAsia="Calibri" w:hAnsi="Verdana"/>
                <w:bCs/>
                <w:sz w:val="18"/>
                <w:szCs w:val="22"/>
              </w:rPr>
              <w:t>т различна от въведените и приети изменения на ПРСР.</w:t>
            </w:r>
          </w:p>
        </w:tc>
      </w:tr>
      <w:tr w:rsidR="00DE26A4" w:rsidRPr="000500BB" w:rsidTr="00ED4BD2">
        <w:trPr>
          <w:jc w:val="center"/>
        </w:trPr>
        <w:tc>
          <w:tcPr>
            <w:tcW w:w="619" w:type="dxa"/>
            <w:tcBorders>
              <w:top w:val="nil"/>
              <w:left w:val="single" w:sz="24" w:space="0" w:color="2E74B5"/>
              <w:bottom w:val="nil"/>
              <w:right w:val="single" w:sz="18" w:space="0" w:color="2E74B5"/>
            </w:tcBorders>
            <w:shd w:val="clear" w:color="auto" w:fill="auto"/>
          </w:tcPr>
          <w:p w:rsidR="00DE26A4" w:rsidRPr="000500BB" w:rsidRDefault="00DE26A4" w:rsidP="00DE26A4">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nil"/>
              <w:right w:val="single" w:sz="18" w:space="0" w:color="2E74B5"/>
            </w:tcBorders>
            <w:shd w:val="clear" w:color="auto" w:fill="auto"/>
          </w:tcPr>
          <w:p w:rsidR="00DE26A4" w:rsidRPr="000500BB" w:rsidRDefault="00DE26A4" w:rsidP="00DE26A4">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rsidR="00DE26A4" w:rsidRPr="00DE26A4" w:rsidRDefault="00DE26A4" w:rsidP="00DE26A4">
            <w:pPr>
              <w:spacing w:before="60" w:after="20"/>
              <w:jc w:val="both"/>
              <w:rPr>
                <w:rFonts w:ascii="Verdana" w:hAnsi="Verdana"/>
                <w:sz w:val="18"/>
                <w:szCs w:val="18"/>
              </w:rPr>
            </w:pPr>
            <w:r w:rsidRPr="00DE26A4">
              <w:rPr>
                <w:rFonts w:ascii="Verdana" w:hAnsi="Verdana"/>
                <w:sz w:val="18"/>
                <w:szCs w:val="18"/>
              </w:rPr>
              <w:t>2.</w:t>
            </w:r>
            <w:r>
              <w:rPr>
                <w:rFonts w:ascii="Verdana" w:hAnsi="Verdana"/>
                <w:sz w:val="18"/>
                <w:szCs w:val="18"/>
              </w:rPr>
              <w:t xml:space="preserve"> </w:t>
            </w:r>
            <w:r w:rsidRPr="00DE26A4">
              <w:rPr>
                <w:rFonts w:ascii="Verdana" w:hAnsi="Verdana"/>
                <w:sz w:val="18"/>
                <w:szCs w:val="18"/>
              </w:rPr>
              <w:t>Изцяло да се отмени изискването да бъдат представяни безсмислени оценки по реда на наредбата за базисните цени на трайните насаждения.</w:t>
            </w:r>
          </w:p>
        </w:tc>
        <w:tc>
          <w:tcPr>
            <w:tcW w:w="1688" w:type="dxa"/>
            <w:tcBorders>
              <w:top w:val="nil"/>
              <w:left w:val="single" w:sz="18" w:space="0" w:color="2E74B5"/>
              <w:bottom w:val="nil"/>
              <w:right w:val="single" w:sz="18" w:space="0" w:color="2E74B5"/>
            </w:tcBorders>
            <w:shd w:val="clear" w:color="auto" w:fill="auto"/>
          </w:tcPr>
          <w:p w:rsidR="00DE26A4" w:rsidRPr="000500BB" w:rsidRDefault="00DE26A4" w:rsidP="00DE26A4">
            <w:pPr>
              <w:spacing w:before="60" w:after="20"/>
              <w:rPr>
                <w:rFonts w:ascii="Verdana" w:hAnsi="Verdana"/>
                <w:color w:val="FF0000"/>
                <w:sz w:val="18"/>
                <w:szCs w:val="18"/>
              </w:rPr>
            </w:pPr>
            <w:r w:rsidRPr="004A5136">
              <w:rPr>
                <w:rFonts w:ascii="Verdana" w:hAnsi="Verdana"/>
                <w:sz w:val="18"/>
                <w:szCs w:val="18"/>
              </w:rPr>
              <w:t>Не се приема</w:t>
            </w:r>
          </w:p>
        </w:tc>
        <w:tc>
          <w:tcPr>
            <w:tcW w:w="4690" w:type="dxa"/>
            <w:tcBorders>
              <w:top w:val="nil"/>
              <w:left w:val="single" w:sz="18" w:space="0" w:color="2E74B5"/>
              <w:bottom w:val="nil"/>
              <w:right w:val="single" w:sz="24" w:space="0" w:color="2E74B5"/>
            </w:tcBorders>
            <w:shd w:val="clear" w:color="auto" w:fill="auto"/>
          </w:tcPr>
          <w:p w:rsidR="00DE26A4" w:rsidRPr="003A0DBC" w:rsidRDefault="002912D4" w:rsidP="002912D4">
            <w:pPr>
              <w:spacing w:before="60" w:after="20"/>
              <w:jc w:val="both"/>
              <w:rPr>
                <w:rFonts w:ascii="Verdana" w:hAnsi="Verdana"/>
                <w:color w:val="FF0000"/>
                <w:sz w:val="18"/>
                <w:szCs w:val="18"/>
              </w:rPr>
            </w:pPr>
            <w:r w:rsidRPr="003A0DBC">
              <w:rPr>
                <w:rFonts w:ascii="Verdana" w:eastAsia="Calibri" w:hAnsi="Verdana"/>
                <w:bCs/>
                <w:sz w:val="18"/>
                <w:szCs w:val="22"/>
              </w:rPr>
              <w:t xml:space="preserve">Трайните насаждения, които са обект на подпомагане следва да са в период на плододаване по Наредбата за базисните цени на трайните насаждения, приета с Постановление № 151 на Министерския съвет от 1991 г. (обн., ДВ, бр. 65 от 1991 г.). Съгласно чл. 4 от Регламент (ЕС) № 1307/2013 на Европейския парламент и на Съвета от 17 декември 2013 година за установяване на правила за директни плащания за земеделски стопани по схеми за подпомагане в рамките на общата селскостопанска политика „трайни насаждения“ означава култури, за които не се прилага сеитбооборот, различни от постоянно </w:t>
            </w:r>
            <w:r w:rsidRPr="003A0DBC">
              <w:rPr>
                <w:rFonts w:ascii="Verdana" w:eastAsia="Calibri" w:hAnsi="Verdana"/>
                <w:bCs/>
                <w:sz w:val="18"/>
                <w:szCs w:val="22"/>
              </w:rPr>
              <w:lastRenderedPageBreak/>
              <w:t>затревени площи и постоянни пасища, които заемат земята в продължение на пет или повече години и дават реколта многократно…“</w:t>
            </w:r>
          </w:p>
        </w:tc>
      </w:tr>
      <w:tr w:rsidR="00DE26A4" w:rsidRPr="000500BB" w:rsidTr="00ED4BD2">
        <w:trPr>
          <w:jc w:val="center"/>
        </w:trPr>
        <w:tc>
          <w:tcPr>
            <w:tcW w:w="619" w:type="dxa"/>
            <w:tcBorders>
              <w:top w:val="nil"/>
              <w:left w:val="single" w:sz="24" w:space="0" w:color="2E74B5"/>
              <w:bottom w:val="single" w:sz="24" w:space="0" w:color="4F81BD" w:themeColor="accent1"/>
              <w:right w:val="single" w:sz="18" w:space="0" w:color="2E74B5"/>
            </w:tcBorders>
            <w:shd w:val="clear" w:color="auto" w:fill="auto"/>
          </w:tcPr>
          <w:p w:rsidR="00DE26A4" w:rsidRPr="000500BB" w:rsidRDefault="00DE26A4" w:rsidP="00DE26A4">
            <w:pPr>
              <w:tabs>
                <w:tab w:val="left" w:pos="192"/>
              </w:tabs>
              <w:spacing w:before="60" w:after="20"/>
              <w:ind w:left="284"/>
              <w:jc w:val="center"/>
              <w:rPr>
                <w:rFonts w:ascii="Verdana" w:hAnsi="Verdana"/>
                <w:b/>
                <w:color w:val="FF0000"/>
                <w:sz w:val="18"/>
                <w:szCs w:val="18"/>
              </w:rPr>
            </w:pPr>
          </w:p>
        </w:tc>
        <w:tc>
          <w:tcPr>
            <w:tcW w:w="2588" w:type="dxa"/>
            <w:tcBorders>
              <w:top w:val="nil"/>
              <w:left w:val="single" w:sz="18" w:space="0" w:color="2E74B5"/>
              <w:bottom w:val="single" w:sz="24" w:space="0" w:color="4F81BD" w:themeColor="accent1"/>
              <w:right w:val="single" w:sz="18" w:space="0" w:color="2E74B5"/>
            </w:tcBorders>
            <w:shd w:val="clear" w:color="auto" w:fill="auto"/>
          </w:tcPr>
          <w:p w:rsidR="00DE26A4" w:rsidRPr="000500BB" w:rsidRDefault="00DE26A4" w:rsidP="00DE26A4">
            <w:pPr>
              <w:spacing w:before="60" w:after="20"/>
              <w:rPr>
                <w:rFonts w:ascii="Verdana" w:hAnsi="Verdana"/>
                <w:sz w:val="18"/>
                <w:szCs w:val="18"/>
              </w:rPr>
            </w:pPr>
          </w:p>
        </w:tc>
        <w:tc>
          <w:tcPr>
            <w:tcW w:w="6065" w:type="dxa"/>
            <w:tcBorders>
              <w:top w:val="nil"/>
              <w:left w:val="single" w:sz="18" w:space="0" w:color="2E74B5"/>
              <w:bottom w:val="single" w:sz="24" w:space="0" w:color="4F81BD" w:themeColor="accent1"/>
              <w:right w:val="single" w:sz="18" w:space="0" w:color="2E74B5"/>
            </w:tcBorders>
            <w:shd w:val="clear" w:color="auto" w:fill="auto"/>
          </w:tcPr>
          <w:p w:rsidR="00DE26A4" w:rsidRPr="00DE26A4" w:rsidRDefault="00DE26A4" w:rsidP="00DE26A4">
            <w:pPr>
              <w:spacing w:before="60" w:after="20"/>
              <w:jc w:val="both"/>
              <w:rPr>
                <w:rFonts w:ascii="Verdana" w:hAnsi="Verdana"/>
                <w:sz w:val="18"/>
                <w:szCs w:val="18"/>
              </w:rPr>
            </w:pPr>
            <w:r w:rsidRPr="00DE26A4">
              <w:rPr>
                <w:rFonts w:ascii="Verdana" w:hAnsi="Verdana"/>
                <w:sz w:val="18"/>
                <w:szCs w:val="18"/>
              </w:rPr>
              <w:t xml:space="preserve">Преди приемане на окончателния вариант на наредбата и преди публикуване, желаем среща между ресорния заместник министър </w:t>
            </w:r>
            <w:r>
              <w:rPr>
                <w:rFonts w:ascii="Verdana" w:hAnsi="Verdana"/>
                <w:sz w:val="18"/>
                <w:szCs w:val="18"/>
              </w:rPr>
              <w:t>и</w:t>
            </w:r>
            <w:r w:rsidRPr="00DE26A4">
              <w:rPr>
                <w:rFonts w:ascii="Verdana" w:hAnsi="Verdana"/>
                <w:sz w:val="18"/>
                <w:szCs w:val="18"/>
              </w:rPr>
              <w:t xml:space="preserve"> браншовите организации, ангажирани с биоземеделие и овощарство.</w:t>
            </w:r>
          </w:p>
        </w:tc>
        <w:tc>
          <w:tcPr>
            <w:tcW w:w="1688" w:type="dxa"/>
            <w:tcBorders>
              <w:top w:val="nil"/>
              <w:left w:val="single" w:sz="18" w:space="0" w:color="2E74B5"/>
              <w:bottom w:val="single" w:sz="24" w:space="0" w:color="4F81BD" w:themeColor="accent1"/>
              <w:right w:val="single" w:sz="18" w:space="0" w:color="2E74B5"/>
            </w:tcBorders>
            <w:shd w:val="clear" w:color="auto" w:fill="auto"/>
          </w:tcPr>
          <w:p w:rsidR="00DE26A4" w:rsidRPr="000500BB" w:rsidRDefault="00DE26A4" w:rsidP="00DE26A4">
            <w:pPr>
              <w:spacing w:before="60" w:after="20"/>
              <w:rPr>
                <w:rFonts w:ascii="Verdana" w:hAnsi="Verdana"/>
                <w:color w:val="FF0000"/>
                <w:sz w:val="18"/>
                <w:szCs w:val="18"/>
              </w:rPr>
            </w:pPr>
          </w:p>
        </w:tc>
        <w:tc>
          <w:tcPr>
            <w:tcW w:w="4690" w:type="dxa"/>
            <w:tcBorders>
              <w:top w:val="nil"/>
              <w:left w:val="single" w:sz="18" w:space="0" w:color="2E74B5"/>
              <w:bottom w:val="single" w:sz="24" w:space="0" w:color="4F81BD" w:themeColor="accent1"/>
              <w:right w:val="single" w:sz="24" w:space="0" w:color="2E74B5"/>
            </w:tcBorders>
            <w:shd w:val="clear" w:color="auto" w:fill="auto"/>
          </w:tcPr>
          <w:p w:rsidR="00DE26A4" w:rsidRPr="000500BB" w:rsidRDefault="00DE26A4" w:rsidP="00DE26A4">
            <w:pPr>
              <w:spacing w:before="60" w:after="20"/>
              <w:rPr>
                <w:rFonts w:ascii="Verdana" w:hAnsi="Verdana"/>
                <w:color w:val="FF0000"/>
                <w:sz w:val="18"/>
                <w:szCs w:val="18"/>
              </w:rPr>
            </w:pPr>
          </w:p>
        </w:tc>
      </w:tr>
    </w:tbl>
    <w:p w:rsidR="005C0FDF" w:rsidRDefault="005C0FDF" w:rsidP="00871C04">
      <w:pPr>
        <w:spacing w:line="360" w:lineRule="auto"/>
        <w:ind w:left="283"/>
        <w:rPr>
          <w:rFonts w:ascii="Verdana" w:hAnsi="Verdana"/>
          <w:b/>
          <w:bCs/>
          <w:caps/>
          <w:color w:val="000000"/>
          <w:sz w:val="20"/>
          <w:szCs w:val="20"/>
          <w:lang w:eastAsia="en-US"/>
        </w:rPr>
      </w:pPr>
    </w:p>
    <w:p w:rsidR="005C0FDF" w:rsidRDefault="005C0FDF" w:rsidP="00871C04">
      <w:pPr>
        <w:spacing w:line="360" w:lineRule="auto"/>
        <w:ind w:left="283"/>
        <w:rPr>
          <w:rFonts w:ascii="Verdana" w:hAnsi="Verdana"/>
          <w:b/>
          <w:bCs/>
          <w:caps/>
          <w:color w:val="000000"/>
          <w:sz w:val="20"/>
          <w:szCs w:val="20"/>
          <w:lang w:eastAsia="en-US"/>
        </w:rPr>
      </w:pPr>
    </w:p>
    <w:p w:rsidR="005C0FDF" w:rsidRDefault="005C0FDF" w:rsidP="00871C04">
      <w:pPr>
        <w:spacing w:line="360" w:lineRule="auto"/>
        <w:ind w:left="283"/>
        <w:rPr>
          <w:rFonts w:ascii="Verdana" w:hAnsi="Verdana"/>
          <w:b/>
          <w:bCs/>
          <w:caps/>
          <w:color w:val="000000"/>
          <w:sz w:val="20"/>
          <w:szCs w:val="20"/>
          <w:lang w:eastAsia="en-US"/>
        </w:rPr>
      </w:pPr>
    </w:p>
    <w:p w:rsidR="005C0FDF" w:rsidRDefault="005C0FDF" w:rsidP="00871C04">
      <w:pPr>
        <w:spacing w:line="360" w:lineRule="auto"/>
        <w:ind w:left="283"/>
        <w:rPr>
          <w:rFonts w:ascii="Verdana" w:hAnsi="Verdana"/>
          <w:b/>
          <w:bCs/>
          <w:caps/>
          <w:color w:val="000000"/>
          <w:sz w:val="20"/>
          <w:szCs w:val="20"/>
          <w:lang w:eastAsia="en-US"/>
        </w:rPr>
      </w:pPr>
    </w:p>
    <w:sectPr w:rsidR="005C0FDF">
      <w:footerReference w:type="even" r:id="rId9"/>
      <w:footerReference w:type="default" r:id="rId10"/>
      <w:pgSz w:w="16838" w:h="11906" w:orient="landscape" w:code="9"/>
      <w:pgMar w:top="907"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40" w:rsidRDefault="007E0440">
      <w:r>
        <w:separator/>
      </w:r>
    </w:p>
  </w:endnote>
  <w:endnote w:type="continuationSeparator" w:id="0">
    <w:p w:rsidR="007E0440" w:rsidRDefault="007E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42" w:rsidRDefault="00D84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2B42" w:rsidRDefault="00E92B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E92B42" w:rsidRDefault="00D84303">
        <w:pPr>
          <w:pStyle w:val="Foot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BC7834">
          <w:rPr>
            <w:noProof/>
            <w:sz w:val="18"/>
            <w:szCs w:val="18"/>
          </w:rPr>
          <w:t>6</w:t>
        </w:r>
        <w:r>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40" w:rsidRDefault="007E0440">
      <w:r>
        <w:separator/>
      </w:r>
    </w:p>
  </w:footnote>
  <w:footnote w:type="continuationSeparator" w:id="0">
    <w:p w:rsidR="007E0440" w:rsidRDefault="007E0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nsid w:val="016941F4"/>
    <w:multiLevelType w:val="hybridMultilevel"/>
    <w:tmpl w:val="06F4250E"/>
    <w:lvl w:ilvl="0" w:tplc="BBE8642A">
      <w:start w:val="1"/>
      <w:numFmt w:val="decimal"/>
      <w:lvlText w:val="%1."/>
      <w:lvlJc w:val="left"/>
      <w:pPr>
        <w:ind w:left="1069"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3">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4">
    <w:nsid w:val="1BAC4B01"/>
    <w:multiLevelType w:val="hybridMultilevel"/>
    <w:tmpl w:val="14D0CF0A"/>
    <w:lvl w:ilvl="0" w:tplc="49B29C2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C6727"/>
    <w:multiLevelType w:val="multilevel"/>
    <w:tmpl w:val="F63E6F8A"/>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6">
    <w:nsid w:val="1E2D525B"/>
    <w:multiLevelType w:val="multilevel"/>
    <w:tmpl w:val="F63E6F8A"/>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7">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CA45A94"/>
    <w:multiLevelType w:val="multilevel"/>
    <w:tmpl w:val="F63E6F8A"/>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4">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5">
    <w:nsid w:val="393E2C3A"/>
    <w:multiLevelType w:val="singleLevel"/>
    <w:tmpl w:val="CF882D90"/>
    <w:lvl w:ilvl="0">
      <w:start w:val="1"/>
      <w:numFmt w:val="russianLower"/>
      <w:lvlText w:val="%1)"/>
      <w:lvlJc w:val="left"/>
    </w:lvl>
  </w:abstractNum>
  <w:abstractNum w:abstractNumId="16">
    <w:nsid w:val="3BC37A8C"/>
    <w:multiLevelType w:val="singleLevel"/>
    <w:tmpl w:val="596280AA"/>
    <w:lvl w:ilvl="0">
      <w:start w:val="3"/>
      <w:numFmt w:val="russianLower"/>
      <w:lvlText w:val="%1)"/>
      <w:lvlJc w:val="left"/>
    </w:lvl>
  </w:abstractNum>
  <w:abstractNum w:abstractNumId="17">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7056EE"/>
    <w:multiLevelType w:val="hybridMultilevel"/>
    <w:tmpl w:val="B34C0A94"/>
    <w:lvl w:ilvl="0" w:tplc="5FCA5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2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43A0C1B"/>
    <w:multiLevelType w:val="multilevel"/>
    <w:tmpl w:val="F63E6F8A"/>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3">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4">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6">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7">
    <w:nsid w:val="6B1D0ACB"/>
    <w:multiLevelType w:val="multilevel"/>
    <w:tmpl w:val="F63E6F8A"/>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8">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9">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1"/>
  </w:num>
  <w:num w:numId="2">
    <w:abstractNumId w:val="10"/>
  </w:num>
  <w:num w:numId="3">
    <w:abstractNumId w:val="29"/>
  </w:num>
  <w:num w:numId="4">
    <w:abstractNumId w:val="31"/>
  </w:num>
  <w:num w:numId="5">
    <w:abstractNumId w:val="22"/>
  </w:num>
  <w:num w:numId="6">
    <w:abstractNumId w:val="12"/>
  </w:num>
  <w:num w:numId="7">
    <w:abstractNumId w:val="24"/>
  </w:num>
  <w:num w:numId="8">
    <w:abstractNumId w:val="30"/>
  </w:num>
  <w:num w:numId="9">
    <w:abstractNumId w:val="8"/>
  </w:num>
  <w:num w:numId="10">
    <w:abstractNumId w:val="15"/>
  </w:num>
  <w:num w:numId="11">
    <w:abstractNumId w:val="16"/>
  </w:num>
  <w:num w:numId="12">
    <w:abstractNumId w:val="11"/>
  </w:num>
  <w:num w:numId="13">
    <w:abstractNumId w:val="7"/>
  </w:num>
  <w:num w:numId="14">
    <w:abstractNumId w:val="17"/>
  </w:num>
  <w:num w:numId="15">
    <w:abstractNumId w:val="18"/>
  </w:num>
  <w:num w:numId="16">
    <w:abstractNumId w:val="28"/>
  </w:num>
  <w:num w:numId="17">
    <w:abstractNumId w:val="2"/>
  </w:num>
  <w:num w:numId="18">
    <w:abstractNumId w:val="13"/>
  </w:num>
  <w:num w:numId="19">
    <w:abstractNumId w:val="25"/>
  </w:num>
  <w:num w:numId="20">
    <w:abstractNumId w:val="20"/>
  </w:num>
  <w:num w:numId="21">
    <w:abstractNumId w:val="3"/>
  </w:num>
  <w:num w:numId="22">
    <w:abstractNumId w:val="26"/>
  </w:num>
  <w:num w:numId="23">
    <w:abstractNumId w:val="0"/>
  </w:num>
  <w:num w:numId="24">
    <w:abstractNumId w:val="14"/>
  </w:num>
  <w:num w:numId="25">
    <w:abstractNumId w:val="23"/>
  </w:num>
  <w:num w:numId="26">
    <w:abstractNumId w:val="4"/>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7"/>
  </w:num>
  <w:num w:numId="31">
    <w:abstractNumId w:val="6"/>
  </w:num>
  <w:num w:numId="32">
    <w:abstractNumId w:val="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42"/>
    <w:rsid w:val="000500BB"/>
    <w:rsid w:val="00053B45"/>
    <w:rsid w:val="000734FC"/>
    <w:rsid w:val="000D1A17"/>
    <w:rsid w:val="000E39FC"/>
    <w:rsid w:val="000E3B0E"/>
    <w:rsid w:val="001D7C2A"/>
    <w:rsid w:val="0020343B"/>
    <w:rsid w:val="002912D4"/>
    <w:rsid w:val="002A3752"/>
    <w:rsid w:val="002F5A8F"/>
    <w:rsid w:val="00302A18"/>
    <w:rsid w:val="0036253C"/>
    <w:rsid w:val="00377FEA"/>
    <w:rsid w:val="003A0DBC"/>
    <w:rsid w:val="00421BCB"/>
    <w:rsid w:val="00470E9F"/>
    <w:rsid w:val="004A5136"/>
    <w:rsid w:val="004B6621"/>
    <w:rsid w:val="004C2A19"/>
    <w:rsid w:val="00567D90"/>
    <w:rsid w:val="005A404C"/>
    <w:rsid w:val="005C0FDF"/>
    <w:rsid w:val="0069042D"/>
    <w:rsid w:val="007E0440"/>
    <w:rsid w:val="008040EB"/>
    <w:rsid w:val="008362FD"/>
    <w:rsid w:val="00871C04"/>
    <w:rsid w:val="008A69DC"/>
    <w:rsid w:val="008F36DE"/>
    <w:rsid w:val="009B04AD"/>
    <w:rsid w:val="00A374BF"/>
    <w:rsid w:val="00AB7BE9"/>
    <w:rsid w:val="00AF082C"/>
    <w:rsid w:val="00B743E3"/>
    <w:rsid w:val="00BC7834"/>
    <w:rsid w:val="00C23E0D"/>
    <w:rsid w:val="00C424C0"/>
    <w:rsid w:val="00C5556A"/>
    <w:rsid w:val="00C93C85"/>
    <w:rsid w:val="00CB2E1E"/>
    <w:rsid w:val="00CD2BAB"/>
    <w:rsid w:val="00CF33AF"/>
    <w:rsid w:val="00D10A07"/>
    <w:rsid w:val="00D51A42"/>
    <w:rsid w:val="00D731B6"/>
    <w:rsid w:val="00D84303"/>
    <w:rsid w:val="00DC6104"/>
    <w:rsid w:val="00DE26A4"/>
    <w:rsid w:val="00E5039D"/>
    <w:rsid w:val="00E56A97"/>
    <w:rsid w:val="00E92B42"/>
    <w:rsid w:val="00F02C05"/>
    <w:rsid w:val="00F71CE2"/>
    <w:rsid w:val="00FF1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bg-BG"/>
    </w:rPr>
  </w:style>
  <w:style w:type="paragraph" w:styleId="Heading1">
    <w:name w:val="heading 1"/>
    <w:basedOn w:val="Normal"/>
    <w:next w:val="Normal"/>
    <w:qFormat/>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pPr>
      <w:tabs>
        <w:tab w:val="center" w:pos="4536"/>
        <w:tab w:val="right" w:pos="9072"/>
      </w:tabs>
    </w:pPr>
  </w:style>
  <w:style w:type="paragraph" w:styleId="BodyTextIndent">
    <w:name w:val="Body Text Indent"/>
    <w:basedOn w:val="Normal"/>
    <w:pPr>
      <w:ind w:left="720" w:firstLine="720"/>
    </w:pPr>
    <w:rPr>
      <w:szCs w:val="20"/>
      <w:lang w:eastAsia="en-US"/>
    </w:rPr>
  </w:style>
  <w:style w:type="paragraph" w:styleId="Title">
    <w:name w:val="Title"/>
    <w:basedOn w:val="Normal"/>
    <w:qFormat/>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pPr>
      <w:spacing w:after="60"/>
      <w:jc w:val="center"/>
      <w:outlineLvl w:val="1"/>
    </w:pPr>
    <w:rPr>
      <w:rFonts w:ascii="Arial" w:hAnsi="Arial" w:cs="Arial"/>
      <w:lang w:eastAsia="en-US"/>
    </w:rPr>
  </w:style>
  <w:style w:type="character" w:styleId="Hyperlink">
    <w:name w:val="Hyperlink"/>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Pr>
      <w:sz w:val="24"/>
      <w:szCs w:val="24"/>
      <w:lang w:val="bg-BG" w:eastAsia="bg-BG" w:bidi="ar-SA"/>
    </w:rPr>
  </w:style>
  <w:style w:type="paragraph" w:styleId="BalloonText">
    <w:name w:val="Balloon Text"/>
    <w:basedOn w:val="Normal"/>
    <w:semiHidden/>
    <w:rPr>
      <w:rFonts w:ascii="Tahoma" w:hAnsi="Tahoma" w:cs="Tahoma"/>
      <w:sz w:val="16"/>
      <w:szCs w:val="16"/>
    </w:rPr>
  </w:style>
  <w:style w:type="character" w:customStyle="1" w:styleId="samedocreference1">
    <w:name w:val="samedocreference1"/>
    <w:rPr>
      <w:i w:val="0"/>
      <w:iCs w:val="0"/>
      <w:color w:val="8B0000"/>
      <w:u w:val="single"/>
    </w:rPr>
  </w:style>
  <w:style w:type="character" w:customStyle="1" w:styleId="newdocreference1">
    <w:name w:val="newdocreference1"/>
    <w:rPr>
      <w:i w:val="0"/>
      <w:iCs w:val="0"/>
      <w:color w:val="0000FF"/>
      <w:u w:val="sing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bg-BG" w:eastAsia="bg-BG"/>
    </w:rPr>
  </w:style>
  <w:style w:type="character" w:styleId="Strong">
    <w:name w:val="Strong"/>
    <w:uiPriority w:val="22"/>
    <w:qFormat/>
    <w:rPr>
      <w:b/>
      <w:bCs/>
    </w:rPr>
  </w:style>
  <w:style w:type="character" w:styleId="Emphasis">
    <w:name w:val="Emphasis"/>
    <w:uiPriority w:val="20"/>
    <w:qFormat/>
    <w:rPr>
      <w:i/>
      <w:iCs/>
    </w:rPr>
  </w:style>
  <w:style w:type="character" w:customStyle="1" w:styleId="ldef1">
    <w:name w:val="ldef1"/>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Pr>
      <w:sz w:val="24"/>
      <w:szCs w:val="24"/>
      <w:lang w:eastAsia="bg-BG"/>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pPr>
      <w:spacing w:before="100" w:beforeAutospacing="1" w:after="100" w:afterAutospacing="1"/>
    </w:pPr>
    <w:rPr>
      <w:lang w:val="en-US" w:eastAsia="en-US"/>
    </w:rPr>
  </w:style>
  <w:style w:type="paragraph" w:customStyle="1" w:styleId="TableParagraph">
    <w:name w:val="Table Paragraph"/>
    <w:basedOn w:val="Normal"/>
    <w:uiPriority w:val="1"/>
    <w:qFormat/>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style>
  <w:style w:type="paragraph" w:customStyle="1" w:styleId="Default">
    <w:name w:val="Default"/>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lang w:val="en-US" w:eastAsia="en-US"/>
    </w:rPr>
  </w:style>
  <w:style w:type="paragraph" w:styleId="CommentSubject">
    <w:name w:val="annotation subject"/>
    <w:basedOn w:val="CommentText"/>
    <w:next w:val="CommentText"/>
    <w:link w:val="CommentSubjectChar"/>
    <w:semiHidden/>
    <w:unhideWhenUsed/>
    <w:pPr>
      <w:spacing w:after="0"/>
    </w:pPr>
    <w:rPr>
      <w:rFonts w:ascii="Times New Roman" w:eastAsia="Times New Roman" w:hAnsi="Times New Roman" w:cs="Times New Roman"/>
      <w:b/>
      <w:bCs/>
      <w:lang w:val="bg-BG" w:eastAsia="bg-BG"/>
    </w:rPr>
  </w:style>
  <w:style w:type="character" w:customStyle="1" w:styleId="CommentSubjectChar">
    <w:name w:val="Comment Subject Char"/>
    <w:basedOn w:val="CommentTextChar"/>
    <w:link w:val="CommentSubject"/>
    <w:semiHidden/>
    <w:rPr>
      <w:rFonts w:asciiTheme="minorHAnsi" w:eastAsiaTheme="minorEastAsia" w:hAnsiTheme="minorHAnsi" w:cstheme="minorBidi"/>
      <w:b/>
      <w:bCs/>
      <w:lang w:val="en-US"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bg-BG"/>
    </w:rPr>
  </w:style>
  <w:style w:type="paragraph" w:styleId="Heading1">
    <w:name w:val="heading 1"/>
    <w:basedOn w:val="Normal"/>
    <w:next w:val="Normal"/>
    <w:qFormat/>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pPr>
      <w:tabs>
        <w:tab w:val="center" w:pos="4536"/>
        <w:tab w:val="right" w:pos="9072"/>
      </w:tabs>
    </w:pPr>
  </w:style>
  <w:style w:type="paragraph" w:styleId="BodyTextIndent">
    <w:name w:val="Body Text Indent"/>
    <w:basedOn w:val="Normal"/>
    <w:pPr>
      <w:ind w:left="720" w:firstLine="720"/>
    </w:pPr>
    <w:rPr>
      <w:szCs w:val="20"/>
      <w:lang w:eastAsia="en-US"/>
    </w:rPr>
  </w:style>
  <w:style w:type="paragraph" w:styleId="Title">
    <w:name w:val="Title"/>
    <w:basedOn w:val="Normal"/>
    <w:qFormat/>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pPr>
      <w:spacing w:after="60"/>
      <w:jc w:val="center"/>
      <w:outlineLvl w:val="1"/>
    </w:pPr>
    <w:rPr>
      <w:rFonts w:ascii="Arial" w:hAnsi="Arial" w:cs="Arial"/>
      <w:lang w:eastAsia="en-US"/>
    </w:rPr>
  </w:style>
  <w:style w:type="character" w:styleId="Hyperlink">
    <w:name w:val="Hyperlink"/>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Pr>
      <w:sz w:val="24"/>
      <w:szCs w:val="24"/>
      <w:lang w:val="bg-BG" w:eastAsia="bg-BG" w:bidi="ar-SA"/>
    </w:rPr>
  </w:style>
  <w:style w:type="paragraph" w:styleId="BalloonText">
    <w:name w:val="Balloon Text"/>
    <w:basedOn w:val="Normal"/>
    <w:semiHidden/>
    <w:rPr>
      <w:rFonts w:ascii="Tahoma" w:hAnsi="Tahoma" w:cs="Tahoma"/>
      <w:sz w:val="16"/>
      <w:szCs w:val="16"/>
    </w:rPr>
  </w:style>
  <w:style w:type="character" w:customStyle="1" w:styleId="samedocreference1">
    <w:name w:val="samedocreference1"/>
    <w:rPr>
      <w:i w:val="0"/>
      <w:iCs w:val="0"/>
      <w:color w:val="8B0000"/>
      <w:u w:val="single"/>
    </w:rPr>
  </w:style>
  <w:style w:type="character" w:customStyle="1" w:styleId="newdocreference1">
    <w:name w:val="newdocreference1"/>
    <w:rPr>
      <w:i w:val="0"/>
      <w:iCs w:val="0"/>
      <w:color w:val="0000FF"/>
      <w:u w:val="sing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bg-BG" w:eastAsia="bg-BG"/>
    </w:rPr>
  </w:style>
  <w:style w:type="character" w:styleId="Strong">
    <w:name w:val="Strong"/>
    <w:uiPriority w:val="22"/>
    <w:qFormat/>
    <w:rPr>
      <w:b/>
      <w:bCs/>
    </w:rPr>
  </w:style>
  <w:style w:type="character" w:styleId="Emphasis">
    <w:name w:val="Emphasis"/>
    <w:uiPriority w:val="20"/>
    <w:qFormat/>
    <w:rPr>
      <w:i/>
      <w:iCs/>
    </w:rPr>
  </w:style>
  <w:style w:type="character" w:customStyle="1" w:styleId="ldef1">
    <w:name w:val="ldef1"/>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Pr>
      <w:sz w:val="24"/>
      <w:szCs w:val="24"/>
      <w:lang w:eastAsia="bg-BG"/>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pPr>
      <w:spacing w:before="100" w:beforeAutospacing="1" w:after="100" w:afterAutospacing="1"/>
    </w:pPr>
    <w:rPr>
      <w:lang w:val="en-US" w:eastAsia="en-US"/>
    </w:rPr>
  </w:style>
  <w:style w:type="paragraph" w:customStyle="1" w:styleId="TableParagraph">
    <w:name w:val="Table Paragraph"/>
    <w:basedOn w:val="Normal"/>
    <w:uiPriority w:val="1"/>
    <w:qFormat/>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style>
  <w:style w:type="paragraph" w:customStyle="1" w:styleId="Default">
    <w:name w:val="Default"/>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lang w:val="en-US" w:eastAsia="en-US"/>
    </w:rPr>
  </w:style>
  <w:style w:type="paragraph" w:styleId="CommentSubject">
    <w:name w:val="annotation subject"/>
    <w:basedOn w:val="CommentText"/>
    <w:next w:val="CommentText"/>
    <w:link w:val="CommentSubjectChar"/>
    <w:semiHidden/>
    <w:unhideWhenUsed/>
    <w:pPr>
      <w:spacing w:after="0"/>
    </w:pPr>
    <w:rPr>
      <w:rFonts w:ascii="Times New Roman" w:eastAsia="Times New Roman" w:hAnsi="Times New Roman" w:cs="Times New Roman"/>
      <w:b/>
      <w:bCs/>
      <w:lang w:val="bg-BG" w:eastAsia="bg-BG"/>
    </w:rPr>
  </w:style>
  <w:style w:type="character" w:customStyle="1" w:styleId="CommentSubjectChar">
    <w:name w:val="Comment Subject Char"/>
    <w:basedOn w:val="CommentTextChar"/>
    <w:link w:val="CommentSubject"/>
    <w:semiHidden/>
    <w:rPr>
      <w:rFonts w:asciiTheme="minorHAnsi" w:eastAsiaTheme="minorEastAsia" w:hAnsiTheme="minorHAnsi" w:cstheme="minorBidi"/>
      <w:b/>
      <w:bCs/>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044293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8CD3-9A0B-41AE-BC5B-3AED8166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9703</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2022-04-15T13:05:00Z</dcterms:created>
  <dcterms:modified xsi:type="dcterms:W3CDTF">2022-04-15T13:05:00Z</dcterms:modified>
</cp:coreProperties>
</file>