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DF4894" w14:paraId="667A25CB" w14:textId="77777777" w:rsidTr="002B2268">
        <w:trPr>
          <w:trHeight w:val="958"/>
          <w:jc w:val="center"/>
        </w:trPr>
        <w:tc>
          <w:tcPr>
            <w:tcW w:w="15650" w:type="dxa"/>
            <w:shd w:val="clear" w:color="auto" w:fill="BDD6EE"/>
          </w:tcPr>
          <w:p w14:paraId="59F1AA65" w14:textId="77777777" w:rsidR="00330507" w:rsidRPr="00DF4894" w:rsidRDefault="00330507" w:rsidP="00CD02E0">
            <w:pPr>
              <w:tabs>
                <w:tab w:val="left" w:pos="2190"/>
              </w:tabs>
              <w:ind w:left="284" w:right="284"/>
              <w:jc w:val="center"/>
              <w:rPr>
                <w:rFonts w:ascii="Verdana" w:hAnsi="Verdana"/>
                <w:b/>
                <w:spacing w:val="-4"/>
                <w:sz w:val="22"/>
                <w:szCs w:val="22"/>
              </w:rPr>
            </w:pPr>
          </w:p>
          <w:p w14:paraId="646FD7FE" w14:textId="57509164" w:rsidR="00C975B4" w:rsidRPr="00DF4894" w:rsidRDefault="00CD02E0" w:rsidP="00CD02E0">
            <w:pPr>
              <w:tabs>
                <w:tab w:val="left" w:pos="2190"/>
              </w:tabs>
              <w:spacing w:line="360" w:lineRule="auto"/>
              <w:ind w:left="284" w:right="284"/>
              <w:jc w:val="center"/>
              <w:rPr>
                <w:rFonts w:ascii="Verdana" w:hAnsi="Verdana"/>
                <w:b/>
                <w:spacing w:val="4"/>
                <w:sz w:val="22"/>
                <w:szCs w:val="22"/>
              </w:rPr>
            </w:pPr>
            <w:r w:rsidRPr="00DF4894">
              <w:rPr>
                <w:rFonts w:ascii="Verdana" w:hAnsi="Verdana"/>
                <w:b/>
                <w:spacing w:val="4"/>
                <w:sz w:val="22"/>
                <w:szCs w:val="22"/>
              </w:rPr>
              <w:t>СПРАВКА</w:t>
            </w:r>
          </w:p>
          <w:p w14:paraId="31BE240F" w14:textId="7CB2CA84" w:rsidR="00E220AD" w:rsidRPr="00DF4894" w:rsidRDefault="00CD02E0" w:rsidP="00515FEC">
            <w:pPr>
              <w:spacing w:line="360" w:lineRule="auto"/>
              <w:ind w:left="284" w:right="284"/>
              <w:jc w:val="center"/>
              <w:rPr>
                <w:rFonts w:ascii="Verdana" w:hAnsi="Verdana"/>
                <w:b/>
                <w:sz w:val="20"/>
                <w:szCs w:val="20"/>
                <w:lang w:eastAsia="en-US"/>
              </w:rPr>
            </w:pPr>
            <w:r w:rsidRPr="00DF4894">
              <w:rPr>
                <w:rFonts w:ascii="Verdana" w:hAnsi="Verdana"/>
                <w:b/>
                <w:spacing w:val="-4"/>
                <w:sz w:val="20"/>
                <w:szCs w:val="20"/>
              </w:rPr>
              <w:t>ЗА ОТРАЗЯВАНЕ НА ПОСТЪПИЛИТЕ ПРЕДЛОЖЕНИЯ И СТАНОВИЩА ОТ ПРОВЕДЕНАТА ОБЩЕСТВЕНА КОНСУЛТАЦИЯ</w:t>
            </w:r>
            <w:r w:rsidR="00515FEC" w:rsidRPr="00DF4894">
              <w:rPr>
                <w:rFonts w:ascii="Verdana" w:hAnsi="Verdana"/>
                <w:b/>
                <w:spacing w:val="-4"/>
                <w:sz w:val="20"/>
                <w:szCs w:val="20"/>
              </w:rPr>
              <w:t xml:space="preserve"> ПО</w:t>
            </w:r>
            <w:r w:rsidRPr="00DF4894">
              <w:rPr>
                <w:rFonts w:ascii="Verdana" w:hAnsi="Verdana"/>
                <w:b/>
                <w:spacing w:val="-4"/>
                <w:sz w:val="20"/>
                <w:szCs w:val="20"/>
              </w:rPr>
              <w:t xml:space="preserve"> </w:t>
            </w:r>
            <w:r w:rsidR="00A463D4" w:rsidRPr="00DF4894">
              <w:rPr>
                <w:rFonts w:ascii="Verdana" w:hAnsi="Verdana"/>
                <w:b/>
                <w:spacing w:val="-4"/>
                <w:sz w:val="20"/>
                <w:szCs w:val="20"/>
                <w:lang w:eastAsia="en-US"/>
              </w:rPr>
              <w:t>ПРОЕКТА НА НАРЕДБА ЗА ИЗМЕНЕНИЕ И ДОПЪЛНЕНИЕ НА НАРЕДБА № 5 ОТ 2015 Г. ЗА ПРИЛАГАНЕ НА МЯРКА 12 „ПЛАЩАНИЯ ПО НАТУРА 2000 И РАМКОВАТА ДИРЕКТИВА ЗА ВОДИТЕ“ ОТ ПРОГРАМАТА ЗА РАЗВИТИЕ НА СЕЛСКИТЕ РАЙОНИ ЗА ПЕРИОДА 2014 – 2020 Г.</w:t>
            </w:r>
          </w:p>
        </w:tc>
      </w:tr>
    </w:tbl>
    <w:p w14:paraId="7708CE7C" w14:textId="77777777" w:rsidR="00230821" w:rsidRPr="00DF4894"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40"/>
        <w:gridCol w:w="2691"/>
        <w:gridCol w:w="6268"/>
        <w:gridCol w:w="1629"/>
        <w:gridCol w:w="4522"/>
      </w:tblGrid>
      <w:tr w:rsidR="00E220AD" w:rsidRPr="00DF4894" w14:paraId="1F91426D" w14:textId="77777777" w:rsidTr="005D5B71">
        <w:trPr>
          <w:tblHeader/>
          <w:jc w:val="center"/>
        </w:trPr>
        <w:tc>
          <w:tcPr>
            <w:tcW w:w="540" w:type="dxa"/>
            <w:tcBorders>
              <w:top w:val="single" w:sz="24" w:space="0" w:color="2E74B5"/>
              <w:left w:val="single" w:sz="24" w:space="0" w:color="2E74B5"/>
              <w:bottom w:val="single" w:sz="24" w:space="0" w:color="2E74B5"/>
              <w:right w:val="single" w:sz="18" w:space="0" w:color="2E74B5"/>
            </w:tcBorders>
            <w:shd w:val="clear" w:color="auto" w:fill="DEEAF6"/>
            <w:vAlign w:val="center"/>
          </w:tcPr>
          <w:p w14:paraId="27E660E9" w14:textId="77777777" w:rsidR="00E220AD" w:rsidRPr="00DF4894" w:rsidRDefault="00E220AD" w:rsidP="005D5B71">
            <w:pPr>
              <w:tabs>
                <w:tab w:val="left" w:pos="192"/>
              </w:tabs>
              <w:spacing w:before="40" w:after="60"/>
              <w:jc w:val="center"/>
              <w:rPr>
                <w:rFonts w:ascii="Verdana" w:hAnsi="Verdana"/>
                <w:b/>
                <w:sz w:val="20"/>
                <w:szCs w:val="20"/>
              </w:rPr>
            </w:pPr>
            <w:r w:rsidRPr="00DF4894">
              <w:rPr>
                <w:rFonts w:ascii="Verdana" w:hAnsi="Verdana"/>
                <w:b/>
                <w:sz w:val="20"/>
                <w:szCs w:val="20"/>
              </w:rPr>
              <w:t>№</w:t>
            </w:r>
          </w:p>
        </w:tc>
        <w:tc>
          <w:tcPr>
            <w:tcW w:w="2691"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4C2099D8" w14:textId="77777777" w:rsidR="00E220AD" w:rsidRPr="00DF4894" w:rsidRDefault="00E220AD" w:rsidP="005D5B71">
            <w:pPr>
              <w:spacing w:before="40"/>
              <w:jc w:val="center"/>
              <w:rPr>
                <w:rFonts w:ascii="Verdana" w:hAnsi="Verdana"/>
                <w:b/>
                <w:sz w:val="20"/>
                <w:szCs w:val="20"/>
              </w:rPr>
            </w:pPr>
            <w:r w:rsidRPr="00DF4894">
              <w:rPr>
                <w:rFonts w:ascii="Verdana" w:hAnsi="Verdana"/>
                <w:b/>
                <w:sz w:val="20"/>
                <w:szCs w:val="20"/>
              </w:rPr>
              <w:t>Организация/</w:t>
            </w:r>
            <w:r w:rsidR="00230821" w:rsidRPr="00DF4894">
              <w:rPr>
                <w:rFonts w:ascii="Verdana" w:hAnsi="Verdana"/>
                <w:b/>
                <w:sz w:val="20"/>
                <w:szCs w:val="20"/>
              </w:rPr>
              <w:br/>
            </w:r>
            <w:r w:rsidRPr="00DF4894">
              <w:rPr>
                <w:rFonts w:ascii="Verdana" w:hAnsi="Verdana"/>
                <w:b/>
                <w:sz w:val="20"/>
                <w:szCs w:val="20"/>
              </w:rPr>
              <w:t>потребител</w:t>
            </w:r>
          </w:p>
          <w:p w14:paraId="19BACD16" w14:textId="77777777" w:rsidR="005424B9" w:rsidRPr="005D5B71" w:rsidRDefault="00291E9B" w:rsidP="005D5B71">
            <w:pPr>
              <w:spacing w:after="60"/>
              <w:jc w:val="center"/>
              <w:rPr>
                <w:rFonts w:ascii="Verdana" w:hAnsi="Verdana"/>
                <w:b/>
                <w:sz w:val="14"/>
                <w:szCs w:val="14"/>
              </w:rPr>
            </w:pPr>
            <w:r w:rsidRPr="005D5B71">
              <w:rPr>
                <w:rFonts w:ascii="Verdana" w:hAnsi="Verdana"/>
                <w:b/>
                <w:sz w:val="14"/>
                <w:szCs w:val="14"/>
              </w:rPr>
              <w:t>(</w:t>
            </w:r>
            <w:r w:rsidR="005424B9" w:rsidRPr="005D5B71">
              <w:rPr>
                <w:rFonts w:ascii="Verdana" w:hAnsi="Verdana"/>
                <w:b/>
                <w:sz w:val="14"/>
                <w:szCs w:val="14"/>
              </w:rPr>
              <w:t>вкл. начина на получаване на предложението</w:t>
            </w:r>
            <w:r w:rsidRPr="005D5B71">
              <w:rPr>
                <w:rFonts w:ascii="Verdana" w:hAnsi="Verdana"/>
                <w:b/>
                <w:sz w:val="14"/>
                <w:szCs w:val="14"/>
              </w:rPr>
              <w:t>)</w:t>
            </w:r>
          </w:p>
        </w:tc>
        <w:tc>
          <w:tcPr>
            <w:tcW w:w="6268"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2E5A81C3" w14:textId="77777777" w:rsidR="00E220AD" w:rsidRPr="00DF4894" w:rsidRDefault="00E220AD" w:rsidP="005D5B71">
            <w:pPr>
              <w:spacing w:before="40" w:after="60"/>
              <w:jc w:val="center"/>
              <w:rPr>
                <w:rFonts w:ascii="Verdana" w:hAnsi="Verdana"/>
                <w:b/>
                <w:sz w:val="20"/>
                <w:szCs w:val="20"/>
              </w:rPr>
            </w:pPr>
            <w:r w:rsidRPr="00DF4894">
              <w:rPr>
                <w:rFonts w:ascii="Verdana" w:hAnsi="Verdana"/>
                <w:b/>
                <w:sz w:val="20"/>
                <w:szCs w:val="20"/>
              </w:rPr>
              <w:t>Бележки и предложения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6130D53A" w14:textId="77777777" w:rsidR="00E220AD" w:rsidRPr="00DF4894" w:rsidRDefault="00E220AD" w:rsidP="005D5B71">
            <w:pPr>
              <w:spacing w:before="40" w:after="60"/>
              <w:jc w:val="center"/>
              <w:rPr>
                <w:rFonts w:ascii="Verdana" w:hAnsi="Verdana"/>
                <w:b/>
                <w:sz w:val="20"/>
                <w:szCs w:val="20"/>
              </w:rPr>
            </w:pPr>
            <w:r w:rsidRPr="00DF4894">
              <w:rPr>
                <w:rFonts w:ascii="Verdana" w:hAnsi="Verdana"/>
                <w:b/>
                <w:sz w:val="20"/>
                <w:szCs w:val="20"/>
              </w:rPr>
              <w:t>Приети/</w:t>
            </w:r>
          </w:p>
          <w:p w14:paraId="29710589" w14:textId="77777777" w:rsidR="00E220AD" w:rsidRPr="00DF4894" w:rsidRDefault="00E220AD" w:rsidP="005D5B71">
            <w:pPr>
              <w:spacing w:before="40" w:after="60"/>
              <w:jc w:val="center"/>
              <w:rPr>
                <w:rFonts w:ascii="Verdana" w:hAnsi="Verdana"/>
                <w:b/>
                <w:sz w:val="20"/>
                <w:szCs w:val="20"/>
              </w:rPr>
            </w:pPr>
            <w:r w:rsidRPr="00DF4894">
              <w:rPr>
                <w:rFonts w:ascii="Verdana" w:hAnsi="Verdana"/>
                <w:b/>
                <w:sz w:val="20"/>
                <w:szCs w:val="20"/>
              </w:rPr>
              <w:t>неприети</w:t>
            </w:r>
          </w:p>
        </w:tc>
        <w:tc>
          <w:tcPr>
            <w:tcW w:w="4522" w:type="dxa"/>
            <w:tcBorders>
              <w:top w:val="single" w:sz="24" w:space="0" w:color="2E74B5"/>
              <w:left w:val="single" w:sz="18" w:space="0" w:color="2E74B5"/>
              <w:bottom w:val="single" w:sz="24" w:space="0" w:color="2E74B5"/>
              <w:right w:val="single" w:sz="24" w:space="0" w:color="2E74B5"/>
            </w:tcBorders>
            <w:shd w:val="clear" w:color="auto" w:fill="DEEAF6"/>
            <w:vAlign w:val="center"/>
          </w:tcPr>
          <w:p w14:paraId="6FEE2F16" w14:textId="77777777" w:rsidR="00E220AD" w:rsidRPr="00DF4894" w:rsidRDefault="00E220AD" w:rsidP="005D5B71">
            <w:pPr>
              <w:spacing w:before="40" w:after="60"/>
              <w:jc w:val="center"/>
              <w:rPr>
                <w:rFonts w:ascii="Verdana" w:hAnsi="Verdana"/>
                <w:sz w:val="20"/>
                <w:szCs w:val="20"/>
              </w:rPr>
            </w:pPr>
            <w:r w:rsidRPr="00DF4894">
              <w:rPr>
                <w:rFonts w:ascii="Verdana" w:hAnsi="Verdana"/>
                <w:b/>
                <w:sz w:val="20"/>
                <w:szCs w:val="20"/>
              </w:rPr>
              <w:t>Мотиви</w:t>
            </w:r>
          </w:p>
        </w:tc>
      </w:tr>
      <w:tr w:rsidR="00E554DE" w:rsidRPr="00DF4894" w14:paraId="49CA4A51" w14:textId="77777777" w:rsidTr="009528F0">
        <w:trPr>
          <w:trHeight w:val="302"/>
          <w:jc w:val="center"/>
        </w:trPr>
        <w:tc>
          <w:tcPr>
            <w:tcW w:w="540" w:type="dxa"/>
            <w:tcBorders>
              <w:top w:val="single" w:sz="24" w:space="0" w:color="2E74B5"/>
              <w:left w:val="single" w:sz="24" w:space="0" w:color="2E74B5"/>
              <w:bottom w:val="nil"/>
              <w:right w:val="single" w:sz="18" w:space="0" w:color="2E74B5"/>
            </w:tcBorders>
            <w:shd w:val="clear" w:color="auto" w:fill="auto"/>
          </w:tcPr>
          <w:p w14:paraId="6B2901B7" w14:textId="11E3A983" w:rsidR="00E554DE" w:rsidRPr="00DF4894" w:rsidRDefault="00E554DE" w:rsidP="005D5B71">
            <w:pPr>
              <w:pStyle w:val="ListParagraph"/>
              <w:numPr>
                <w:ilvl w:val="0"/>
                <w:numId w:val="28"/>
              </w:numPr>
              <w:tabs>
                <w:tab w:val="left" w:pos="192"/>
              </w:tabs>
              <w:spacing w:before="40" w:after="60"/>
              <w:ind w:left="414" w:hanging="357"/>
              <w:rPr>
                <w:rFonts w:ascii="Verdana" w:hAnsi="Verdana"/>
                <w:b/>
                <w:color w:val="FF0000"/>
                <w:sz w:val="20"/>
                <w:szCs w:val="20"/>
              </w:rPr>
            </w:pPr>
          </w:p>
        </w:tc>
        <w:tc>
          <w:tcPr>
            <w:tcW w:w="2691" w:type="dxa"/>
            <w:tcBorders>
              <w:top w:val="single" w:sz="24" w:space="0" w:color="2E74B5"/>
              <w:left w:val="single" w:sz="18" w:space="0" w:color="2E74B5"/>
              <w:bottom w:val="nil"/>
              <w:right w:val="single" w:sz="18" w:space="0" w:color="2E74B5"/>
            </w:tcBorders>
            <w:shd w:val="clear" w:color="auto" w:fill="auto"/>
          </w:tcPr>
          <w:p w14:paraId="6B25976C" w14:textId="5376F400" w:rsidR="00E554DE" w:rsidRPr="00DF4894" w:rsidRDefault="00200965" w:rsidP="005D5B71">
            <w:pPr>
              <w:spacing w:before="40" w:after="60"/>
              <w:rPr>
                <w:rFonts w:ascii="Verdana" w:hAnsi="Verdana"/>
                <w:sz w:val="20"/>
                <w:szCs w:val="20"/>
              </w:rPr>
            </w:pPr>
            <w:hyperlink r:id="rId8" w:history="1">
              <w:r w:rsidR="005B257C" w:rsidRPr="00DF4894">
                <w:rPr>
                  <w:rStyle w:val="Hyperlink"/>
                  <w:rFonts w:ascii="Verdana" w:hAnsi="Verdana"/>
                  <w:sz w:val="20"/>
                  <w:szCs w:val="20"/>
                </w:rPr>
                <w:t>info@wildcity.bg</w:t>
              </w:r>
            </w:hyperlink>
            <w:r w:rsidR="005B257C" w:rsidRPr="00DF4894">
              <w:rPr>
                <w:rFonts w:ascii="Verdana" w:hAnsi="Verdana"/>
                <w:sz w:val="20"/>
                <w:szCs w:val="20"/>
              </w:rPr>
              <w:t xml:space="preserve"> </w:t>
            </w:r>
          </w:p>
          <w:p w14:paraId="1F33CC3C" w14:textId="50B31305" w:rsidR="00E554DE" w:rsidRPr="00DF4894" w:rsidRDefault="00E554DE" w:rsidP="005D5B71">
            <w:pPr>
              <w:spacing w:before="40" w:after="60"/>
              <w:rPr>
                <w:rFonts w:ascii="Verdana" w:hAnsi="Verdana"/>
                <w:sz w:val="20"/>
                <w:szCs w:val="20"/>
              </w:rPr>
            </w:pPr>
            <w:r w:rsidRPr="00DF4894">
              <w:rPr>
                <w:rFonts w:ascii="Verdana" w:hAnsi="Verdana"/>
                <w:sz w:val="20"/>
                <w:szCs w:val="20"/>
              </w:rPr>
              <w:t>(</w:t>
            </w:r>
            <w:r w:rsidR="00E42E7A" w:rsidRPr="00DF4894">
              <w:rPr>
                <w:rFonts w:ascii="Verdana" w:hAnsi="Verdana"/>
                <w:sz w:val="20"/>
                <w:szCs w:val="20"/>
              </w:rPr>
              <w:t>по електронен път на 04 март 2022 г.</w:t>
            </w:r>
            <w:r w:rsidRPr="00DF4894">
              <w:rPr>
                <w:rFonts w:ascii="Verdana" w:hAnsi="Verdana"/>
                <w:sz w:val="20"/>
                <w:szCs w:val="20"/>
              </w:rPr>
              <w:t>)</w:t>
            </w:r>
          </w:p>
        </w:tc>
        <w:tc>
          <w:tcPr>
            <w:tcW w:w="6268" w:type="dxa"/>
            <w:tcBorders>
              <w:top w:val="single" w:sz="24" w:space="0" w:color="2E74B5"/>
              <w:left w:val="single" w:sz="18" w:space="0" w:color="2E74B5"/>
              <w:bottom w:val="nil"/>
              <w:right w:val="single" w:sz="18" w:space="0" w:color="2E74B5"/>
            </w:tcBorders>
            <w:shd w:val="clear" w:color="auto" w:fill="auto"/>
          </w:tcPr>
          <w:p w14:paraId="295070C7" w14:textId="77777777" w:rsidR="00E554DE" w:rsidRDefault="002A3C9B" w:rsidP="005D5B71">
            <w:pPr>
              <w:spacing w:before="40" w:after="60"/>
              <w:jc w:val="both"/>
              <w:rPr>
                <w:rFonts w:ascii="Verdana" w:hAnsi="Verdana"/>
                <w:spacing w:val="2"/>
                <w:sz w:val="20"/>
                <w:szCs w:val="20"/>
              </w:rPr>
            </w:pPr>
            <w:r w:rsidRPr="00DF4894">
              <w:rPr>
                <w:rFonts w:ascii="Verdana" w:hAnsi="Verdana"/>
                <w:spacing w:val="2"/>
                <w:sz w:val="20"/>
                <w:szCs w:val="20"/>
              </w:rPr>
              <w:t xml:space="preserve">Здравейте, пиша ви като земеделски производител в село Добростан, </w:t>
            </w:r>
            <w:r w:rsidR="00421059" w:rsidRPr="00DF4894">
              <w:rPr>
                <w:rFonts w:ascii="Verdana" w:hAnsi="Verdana"/>
                <w:spacing w:val="2"/>
                <w:sz w:val="20"/>
                <w:szCs w:val="20"/>
              </w:rPr>
              <w:t xml:space="preserve">община </w:t>
            </w:r>
            <w:r w:rsidRPr="00DF4894">
              <w:rPr>
                <w:rFonts w:ascii="Verdana" w:hAnsi="Verdana"/>
                <w:spacing w:val="2"/>
                <w:sz w:val="20"/>
                <w:szCs w:val="20"/>
              </w:rPr>
              <w:t xml:space="preserve">Асеновград, селото и земите ми се намират на 1330 м надморска височина, а ставките по Натура 2000 са абсурдни, към 2015 год. бяха що годе добре, но след това незнайно защо ги намалиха, което няма никаква логика, моето предложение е да се преразглеждат ставките и да променят във възходящ ред. </w:t>
            </w:r>
          </w:p>
          <w:p w14:paraId="212ECBED" w14:textId="26446598" w:rsidR="005D5B71" w:rsidRPr="00DF4894" w:rsidRDefault="005D5B71" w:rsidP="005D5B71">
            <w:pPr>
              <w:spacing w:before="40" w:after="60"/>
              <w:jc w:val="both"/>
              <w:rPr>
                <w:rFonts w:ascii="Verdana" w:hAnsi="Verdana"/>
                <w:spacing w:val="2"/>
                <w:sz w:val="20"/>
                <w:szCs w:val="20"/>
              </w:rPr>
            </w:pPr>
            <w:r w:rsidRPr="00DF4894">
              <w:rPr>
                <w:rFonts w:ascii="Verdana" w:hAnsi="Verdana"/>
                <w:spacing w:val="2"/>
                <w:sz w:val="20"/>
                <w:szCs w:val="20"/>
              </w:rPr>
              <w:t>Лека вечер! И Успех!</w:t>
            </w:r>
          </w:p>
        </w:tc>
        <w:tc>
          <w:tcPr>
            <w:tcW w:w="1629" w:type="dxa"/>
            <w:tcBorders>
              <w:top w:val="single" w:sz="24" w:space="0" w:color="2E74B5"/>
              <w:left w:val="single" w:sz="18" w:space="0" w:color="2E74B5"/>
              <w:bottom w:val="nil"/>
              <w:right w:val="single" w:sz="18" w:space="0" w:color="2E74B5"/>
            </w:tcBorders>
            <w:shd w:val="clear" w:color="auto" w:fill="auto"/>
          </w:tcPr>
          <w:p w14:paraId="1B520A6F" w14:textId="61EECB1A" w:rsidR="00E554DE" w:rsidRPr="00DF4894" w:rsidRDefault="00535482" w:rsidP="005D5B71">
            <w:pPr>
              <w:spacing w:before="40" w:after="60"/>
              <w:rPr>
                <w:rFonts w:ascii="Verdana" w:hAnsi="Verdana"/>
                <w:color w:val="FF0000"/>
                <w:sz w:val="20"/>
                <w:szCs w:val="20"/>
              </w:rPr>
            </w:pPr>
            <w:r w:rsidRPr="00DF4894">
              <w:rPr>
                <w:rFonts w:ascii="Verdana" w:hAnsi="Verdana"/>
                <w:sz w:val="20"/>
                <w:szCs w:val="20"/>
              </w:rPr>
              <w:t>Не се приема</w:t>
            </w:r>
          </w:p>
        </w:tc>
        <w:tc>
          <w:tcPr>
            <w:tcW w:w="4522" w:type="dxa"/>
            <w:tcBorders>
              <w:top w:val="single" w:sz="24" w:space="0" w:color="2E74B5"/>
              <w:left w:val="single" w:sz="18" w:space="0" w:color="2E74B5"/>
              <w:bottom w:val="nil"/>
              <w:right w:val="single" w:sz="24" w:space="0" w:color="2E74B5"/>
            </w:tcBorders>
            <w:shd w:val="clear" w:color="auto" w:fill="auto"/>
          </w:tcPr>
          <w:p w14:paraId="1D40079C" w14:textId="74E27BA6" w:rsidR="006F406B" w:rsidRPr="00DF4894" w:rsidRDefault="006F406B" w:rsidP="005D5B71">
            <w:pPr>
              <w:pStyle w:val="xmsonormal"/>
              <w:spacing w:before="40" w:beforeAutospacing="0" w:after="60" w:afterAutospacing="0"/>
              <w:jc w:val="both"/>
              <w:rPr>
                <w:rFonts w:ascii="Verdana" w:hAnsi="Verdana" w:cs="Calibri"/>
                <w:color w:val="000000"/>
                <w:sz w:val="20"/>
                <w:szCs w:val="20"/>
                <w:shd w:val="clear" w:color="auto" w:fill="FFFFFF"/>
                <w:lang w:val="bg-BG"/>
              </w:rPr>
            </w:pPr>
            <w:r w:rsidRPr="00DF4894">
              <w:rPr>
                <w:rFonts w:ascii="Verdana" w:hAnsi="Verdana" w:cs="Calibri"/>
                <w:color w:val="000000"/>
                <w:sz w:val="20"/>
                <w:szCs w:val="20"/>
                <w:shd w:val="clear" w:color="auto" w:fill="FFFFFF"/>
                <w:lang w:val="bg-BG"/>
              </w:rPr>
              <w:t xml:space="preserve">Съгласно чл. 62, параграф 2 от </w:t>
            </w:r>
            <w:hyperlink r:id="rId9" w:history="1">
              <w:r w:rsidRPr="00DF4894">
                <w:rPr>
                  <w:rFonts w:ascii="Verdana" w:hAnsi="Verdana" w:cs="Calibri"/>
                  <w:color w:val="000000"/>
                  <w:sz w:val="20"/>
                  <w:szCs w:val="20"/>
                  <w:shd w:val="clear" w:color="auto" w:fill="FFFFFF"/>
                  <w:lang w:val="bg-BG"/>
                </w:rPr>
                <w:t>Регламент (ЕС) № 1305/2013 </w:t>
              </w:r>
            </w:hyperlink>
            <w:r w:rsidRPr="00DF4894">
              <w:rPr>
                <w:rFonts w:ascii="Verdana" w:hAnsi="Verdana" w:cs="Calibri"/>
                <w:color w:val="000000"/>
                <w:sz w:val="20"/>
                <w:szCs w:val="20"/>
                <w:shd w:val="clear" w:color="auto" w:fill="FFFFFF"/>
                <w:lang w:val="bg-BG"/>
              </w:rPr>
              <w:t>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10" w:history="1">
              <w:r w:rsidRPr="00DF4894">
                <w:rPr>
                  <w:rFonts w:ascii="Verdana" w:hAnsi="Verdana" w:cs="Calibri"/>
                  <w:color w:val="000000"/>
                  <w:sz w:val="20"/>
                  <w:szCs w:val="20"/>
                  <w:shd w:val="clear" w:color="auto" w:fill="FFFFFF"/>
                  <w:lang w:val="bg-BG"/>
                </w:rPr>
                <w:t>Регламент (ЕО) № 1698/2005 </w:t>
              </w:r>
            </w:hyperlink>
            <w:r w:rsidRPr="00DF4894">
              <w:rPr>
                <w:rFonts w:ascii="Verdana" w:hAnsi="Verdana" w:cs="Calibri"/>
                <w:color w:val="000000"/>
                <w:sz w:val="20"/>
                <w:szCs w:val="20"/>
                <w:shd w:val="clear" w:color="auto" w:fill="FFFFFF"/>
                <w:lang w:val="bg-BG"/>
              </w:rPr>
              <w:t xml:space="preserve">на Съвета </w:t>
            </w:r>
            <w:r w:rsidRPr="00DF4894">
              <w:rPr>
                <w:rFonts w:ascii="Verdana" w:hAnsi="Verdana" w:cs="Tahoma"/>
                <w:color w:val="000000"/>
                <w:sz w:val="20"/>
                <w:szCs w:val="20"/>
                <w:shd w:val="clear" w:color="auto" w:fill="FFFFFF"/>
                <w:lang w:val="bg-BG"/>
              </w:rPr>
              <w:t>(ОВ L, бр. 347 от 20 декември 2013 г.)</w:t>
            </w:r>
            <w:r w:rsidRPr="00DF4894">
              <w:rPr>
                <w:rFonts w:ascii="Verdana" w:hAnsi="Verdana" w:cs="Calibri"/>
                <w:color w:val="000000"/>
                <w:sz w:val="20"/>
                <w:szCs w:val="20"/>
                <w:shd w:val="clear" w:color="auto" w:fill="FFFFFF"/>
                <w:lang w:val="bg-BG"/>
              </w:rPr>
              <w:t>,</w:t>
            </w:r>
            <w:r w:rsidRPr="00DF4894">
              <w:rPr>
                <w:rFonts w:ascii="Verdana" w:hAnsi="Verdana" w:cs="Tahoma"/>
                <w:color w:val="000000"/>
                <w:sz w:val="20"/>
                <w:szCs w:val="20"/>
                <w:shd w:val="clear" w:color="auto" w:fill="FFFFFF"/>
                <w:lang w:val="bg-BG" w:eastAsia="bg-BG"/>
              </w:rPr>
              <w:t xml:space="preserve"> </w:t>
            </w:r>
            <w:r w:rsidRPr="00DF4894">
              <w:rPr>
                <w:rFonts w:ascii="Verdana" w:hAnsi="Verdana" w:cs="Calibri"/>
                <w:color w:val="000000"/>
                <w:sz w:val="20"/>
                <w:szCs w:val="20"/>
                <w:shd w:val="clear" w:color="auto" w:fill="FFFFFF"/>
                <w:lang w:val="bg-BG"/>
              </w:rPr>
              <w:t xml:space="preserve">когато помощта се отпуска въз основа на стандартни разходи или допълнителни разходи и пропуснати доходи в съответствие с член 21, параграф 1, букви „а“ и „б“, по отношение на пропуснати доходи и разходи за поддръжка, и с членове 28-31, 33 и 34, държавите членки гарантират, че съответните изчисления са адекватни и точни, както и че са направени предварително въз основа на честен, справедлив и проверим метод на изчисление. За тази цел орган, който е </w:t>
            </w:r>
            <w:r w:rsidRPr="00DF4894">
              <w:rPr>
                <w:rFonts w:ascii="Verdana" w:hAnsi="Verdana" w:cs="Calibri"/>
                <w:color w:val="000000"/>
                <w:sz w:val="20"/>
                <w:szCs w:val="20"/>
                <w:shd w:val="clear" w:color="auto" w:fill="FFFFFF"/>
                <w:lang w:val="bg-BG"/>
              </w:rPr>
              <w:lastRenderedPageBreak/>
              <w:t xml:space="preserve">функционално независим от органите, отговарящи за изпълнението на програмата, и който разполага с подходящите експертни знания, прави изчисленията или потвърждава адекватността и точността на изчисленията. </w:t>
            </w:r>
          </w:p>
          <w:p w14:paraId="3566F4CE" w14:textId="0D931B26" w:rsidR="00E554DE" w:rsidRPr="00DF4894" w:rsidRDefault="006F406B" w:rsidP="005D5B71">
            <w:pPr>
              <w:pStyle w:val="xmsonormal"/>
              <w:spacing w:before="40" w:beforeAutospacing="0" w:after="60" w:afterAutospacing="0"/>
              <w:jc w:val="both"/>
              <w:rPr>
                <w:rFonts w:ascii="Verdana" w:hAnsi="Verdana"/>
                <w:sz w:val="20"/>
                <w:szCs w:val="20"/>
                <w:lang w:val="bg-BG"/>
              </w:rPr>
            </w:pPr>
            <w:r w:rsidRPr="00DF4894">
              <w:rPr>
                <w:rFonts w:ascii="Verdana" w:hAnsi="Verdana" w:cs="Calibri"/>
                <w:color w:val="000000"/>
                <w:sz w:val="20"/>
                <w:szCs w:val="20"/>
                <w:shd w:val="clear" w:color="auto" w:fill="FFFFFF"/>
                <w:lang w:val="bg-BG"/>
              </w:rPr>
              <w:t xml:space="preserve">С оглед на това е възложено на външен изпълнител определянето на компесаторните плащания по мярката. Извършен е анализ, като са отчетени пропуснатите ползи и допълнителните разходи за изпълнение на заложените дейности и изисквания във връзка със забраните за земеделска дейност и изисквания </w:t>
            </w:r>
            <w:r w:rsidRPr="00DF4894">
              <w:rPr>
                <w:rFonts w:ascii="Verdana" w:hAnsi="Verdana" w:cs="Tahoma"/>
                <w:color w:val="000000"/>
                <w:sz w:val="20"/>
                <w:szCs w:val="20"/>
                <w:shd w:val="clear" w:color="auto" w:fill="FFFFFF"/>
                <w:lang w:val="bg-BG"/>
              </w:rPr>
              <w:t xml:space="preserve">за спазване на забраните за земеделска дейност, включени в издадените от министъра на околната среда и водите заповеди за обявяване на съответната защитена зона. </w:t>
            </w:r>
          </w:p>
        </w:tc>
      </w:tr>
      <w:tr w:rsidR="009528F0" w:rsidRPr="00DF4894" w14:paraId="1B21D471" w14:textId="77777777" w:rsidTr="009528F0">
        <w:trPr>
          <w:trHeight w:val="302"/>
          <w:jc w:val="center"/>
        </w:trPr>
        <w:tc>
          <w:tcPr>
            <w:tcW w:w="540" w:type="dxa"/>
            <w:tcBorders>
              <w:top w:val="single" w:sz="24" w:space="0" w:color="2E74B5"/>
              <w:left w:val="single" w:sz="24" w:space="0" w:color="2E74B5"/>
              <w:bottom w:val="nil"/>
              <w:right w:val="single" w:sz="18" w:space="0" w:color="2E74B5"/>
            </w:tcBorders>
            <w:shd w:val="clear" w:color="auto" w:fill="auto"/>
          </w:tcPr>
          <w:p w14:paraId="13418750" w14:textId="4747617D" w:rsidR="009528F0" w:rsidRPr="00DF4894" w:rsidRDefault="009528F0" w:rsidP="005D5B71">
            <w:pPr>
              <w:pStyle w:val="ListParagraph"/>
              <w:numPr>
                <w:ilvl w:val="0"/>
                <w:numId w:val="28"/>
              </w:numPr>
              <w:tabs>
                <w:tab w:val="left" w:pos="192"/>
              </w:tabs>
              <w:spacing w:before="40" w:after="60"/>
              <w:ind w:left="414" w:hanging="357"/>
              <w:rPr>
                <w:rFonts w:ascii="Verdana" w:hAnsi="Verdana"/>
                <w:b/>
                <w:color w:val="FF0000"/>
                <w:sz w:val="20"/>
                <w:szCs w:val="20"/>
              </w:rPr>
            </w:pPr>
          </w:p>
        </w:tc>
        <w:tc>
          <w:tcPr>
            <w:tcW w:w="2691" w:type="dxa"/>
            <w:tcBorders>
              <w:top w:val="single" w:sz="24" w:space="0" w:color="2E74B5"/>
              <w:left w:val="single" w:sz="18" w:space="0" w:color="2E74B5"/>
              <w:bottom w:val="nil"/>
              <w:right w:val="single" w:sz="18" w:space="0" w:color="2E74B5"/>
            </w:tcBorders>
            <w:shd w:val="clear" w:color="auto" w:fill="auto"/>
          </w:tcPr>
          <w:p w14:paraId="4BD71071" w14:textId="77777777" w:rsidR="009528F0" w:rsidRPr="00DF4894" w:rsidRDefault="009528F0" w:rsidP="005D5B71">
            <w:pPr>
              <w:spacing w:before="40" w:after="60"/>
              <w:rPr>
                <w:rFonts w:ascii="Verdana" w:hAnsi="Verdana"/>
                <w:sz w:val="20"/>
                <w:szCs w:val="20"/>
              </w:rPr>
            </w:pPr>
            <w:r w:rsidRPr="00DF4894">
              <w:rPr>
                <w:rFonts w:ascii="Verdana" w:hAnsi="Verdana"/>
                <w:sz w:val="20"/>
                <w:szCs w:val="20"/>
              </w:rPr>
              <w:t>Илиян Пламенов</w:t>
            </w:r>
          </w:p>
          <w:p w14:paraId="53F0C581" w14:textId="122B96FB" w:rsidR="009528F0" w:rsidRPr="00DF4894" w:rsidRDefault="009528F0" w:rsidP="005D5B71">
            <w:pPr>
              <w:spacing w:before="40" w:after="60"/>
              <w:rPr>
                <w:rFonts w:ascii="Verdana" w:hAnsi="Verdana"/>
                <w:sz w:val="20"/>
                <w:szCs w:val="20"/>
              </w:rPr>
            </w:pPr>
            <w:r w:rsidRPr="00DF4894">
              <w:rPr>
                <w:rFonts w:ascii="Verdana" w:hAnsi="Verdana"/>
                <w:sz w:val="20"/>
                <w:szCs w:val="20"/>
              </w:rPr>
              <w:t>(по електронен път на 21 март 2022 г.)</w:t>
            </w:r>
          </w:p>
        </w:tc>
        <w:tc>
          <w:tcPr>
            <w:tcW w:w="6268" w:type="dxa"/>
            <w:tcBorders>
              <w:top w:val="single" w:sz="24" w:space="0" w:color="2E74B5"/>
              <w:left w:val="single" w:sz="18" w:space="0" w:color="2E74B5"/>
              <w:bottom w:val="nil"/>
              <w:right w:val="single" w:sz="18" w:space="0" w:color="2E74B5"/>
            </w:tcBorders>
            <w:shd w:val="clear" w:color="auto" w:fill="auto"/>
          </w:tcPr>
          <w:p w14:paraId="3106ADF0" w14:textId="77777777" w:rsidR="009528F0" w:rsidRPr="00DF4894" w:rsidRDefault="009528F0" w:rsidP="005D5B71">
            <w:pPr>
              <w:spacing w:before="40" w:after="60"/>
              <w:jc w:val="both"/>
              <w:rPr>
                <w:rFonts w:ascii="Verdana" w:hAnsi="Verdana"/>
                <w:spacing w:val="2"/>
                <w:sz w:val="20"/>
                <w:szCs w:val="20"/>
              </w:rPr>
            </w:pPr>
            <w:r w:rsidRPr="00DF4894">
              <w:rPr>
                <w:rFonts w:ascii="Verdana" w:hAnsi="Verdana"/>
                <w:spacing w:val="2"/>
                <w:sz w:val="20"/>
                <w:szCs w:val="20"/>
              </w:rPr>
              <w:t>Уважаеми господин министър Иванов,</w:t>
            </w:r>
          </w:p>
          <w:p w14:paraId="56D5BD9A" w14:textId="684BA082" w:rsidR="009528F0" w:rsidRPr="00DF4894" w:rsidRDefault="009528F0" w:rsidP="005D5B71">
            <w:pPr>
              <w:spacing w:before="40" w:after="60"/>
              <w:jc w:val="both"/>
              <w:rPr>
                <w:rFonts w:ascii="Verdana" w:hAnsi="Verdana"/>
                <w:sz w:val="20"/>
                <w:szCs w:val="20"/>
              </w:rPr>
            </w:pPr>
            <w:r w:rsidRPr="00DF4894">
              <w:rPr>
                <w:rFonts w:ascii="Verdana" w:hAnsi="Verdana"/>
                <w:sz w:val="20"/>
                <w:szCs w:val="20"/>
              </w:rPr>
              <w:t>на основание чл. 26, ал. 4 от Закона за нормативните актове (ЗНА), във връзка с чл. 26, ал. 2 от ЗНА, по повод обществената консултация на проект на Наредба за изменение и допълнение на Наредба № 5 от 2015 г. за прилагане на мярка 12 „Плащания по Натура 2000 и Рамковата директива за водите” (Наредбата) от Програмата за развитие на селските райони за периода 2014 – 2020 г. (Програмата), публикуван на Портала за обществени консултации (Портала) на 18.02.2022 г., представям на Вашето внимание следните предложения и коментари.</w:t>
            </w:r>
          </w:p>
        </w:tc>
        <w:tc>
          <w:tcPr>
            <w:tcW w:w="1629" w:type="dxa"/>
            <w:tcBorders>
              <w:top w:val="single" w:sz="24" w:space="0" w:color="2E74B5"/>
              <w:left w:val="single" w:sz="18" w:space="0" w:color="2E74B5"/>
              <w:bottom w:val="nil"/>
              <w:right w:val="single" w:sz="18" w:space="0" w:color="2E74B5"/>
            </w:tcBorders>
            <w:shd w:val="clear" w:color="auto" w:fill="auto"/>
          </w:tcPr>
          <w:p w14:paraId="60D7B1AF" w14:textId="77777777" w:rsidR="009528F0" w:rsidRPr="00DF4894" w:rsidRDefault="009528F0" w:rsidP="005D5B71">
            <w:pPr>
              <w:spacing w:before="40" w:after="6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4DC86043" w14:textId="77777777" w:rsidR="009528F0" w:rsidRPr="00DF4894" w:rsidRDefault="009528F0" w:rsidP="005D5B71">
            <w:pPr>
              <w:spacing w:before="40" w:after="60"/>
              <w:rPr>
                <w:rFonts w:ascii="Verdana" w:hAnsi="Verdana"/>
                <w:color w:val="FF0000"/>
                <w:sz w:val="20"/>
                <w:szCs w:val="20"/>
              </w:rPr>
            </w:pPr>
          </w:p>
        </w:tc>
      </w:tr>
      <w:tr w:rsidR="009528F0" w:rsidRPr="00DF4894" w14:paraId="1B40B476"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151BDCF1" w14:textId="77777777" w:rsidR="009528F0" w:rsidRPr="00DF4894" w:rsidRDefault="009528F0"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68F7D0BB" w14:textId="77777777" w:rsidR="009528F0" w:rsidRPr="00DF4894" w:rsidRDefault="009528F0"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60F8535" w14:textId="3D1B595F" w:rsidR="009528F0" w:rsidRPr="00DF4894" w:rsidRDefault="001A2FE6" w:rsidP="005D5B71">
            <w:pPr>
              <w:spacing w:before="40" w:after="60"/>
              <w:jc w:val="both"/>
              <w:rPr>
                <w:rFonts w:ascii="Verdana" w:hAnsi="Verdana"/>
                <w:sz w:val="20"/>
                <w:szCs w:val="20"/>
              </w:rPr>
            </w:pPr>
            <w:r w:rsidRPr="00DF4894">
              <w:rPr>
                <w:rFonts w:ascii="Verdana" w:hAnsi="Verdana"/>
                <w:spacing w:val="2"/>
                <w:sz w:val="20"/>
                <w:szCs w:val="20"/>
              </w:rPr>
              <w:t xml:space="preserve">1. </w:t>
            </w:r>
            <w:r w:rsidRPr="00DF4894">
              <w:rPr>
                <w:rFonts w:ascii="Verdana" w:hAnsi="Verdana"/>
                <w:sz w:val="20"/>
                <w:szCs w:val="20"/>
              </w:rPr>
              <w:t>Изразявам мнение, че е много уместно и методически правилно, че информацията за компенсаторните плащания, за които земеделските стопани ще могат кандидатстват през 2022 г., е обособена в ново отделно приложение № 1 б към чл. 7, ал. 4 от Наредбата.</w:t>
            </w:r>
          </w:p>
        </w:tc>
        <w:tc>
          <w:tcPr>
            <w:tcW w:w="1629" w:type="dxa"/>
            <w:tcBorders>
              <w:top w:val="nil"/>
              <w:left w:val="single" w:sz="18" w:space="0" w:color="2E74B5"/>
              <w:bottom w:val="nil"/>
              <w:right w:val="single" w:sz="18" w:space="0" w:color="2E74B5"/>
            </w:tcBorders>
            <w:shd w:val="clear" w:color="auto" w:fill="auto"/>
          </w:tcPr>
          <w:p w14:paraId="1C75EB9E" w14:textId="77777777" w:rsidR="009528F0" w:rsidRPr="00DF4894" w:rsidRDefault="009528F0" w:rsidP="005D5B71">
            <w:pPr>
              <w:spacing w:before="40" w:after="6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2DCCA10" w14:textId="77777777" w:rsidR="009528F0" w:rsidRPr="00DF4894" w:rsidRDefault="009528F0" w:rsidP="005D5B71">
            <w:pPr>
              <w:spacing w:before="40" w:after="60"/>
              <w:rPr>
                <w:rFonts w:ascii="Verdana" w:hAnsi="Verdana"/>
                <w:color w:val="FF0000"/>
                <w:sz w:val="20"/>
                <w:szCs w:val="20"/>
              </w:rPr>
            </w:pPr>
          </w:p>
        </w:tc>
      </w:tr>
      <w:tr w:rsidR="009528F0" w:rsidRPr="00DF4894" w14:paraId="613896AB"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71D1F446" w14:textId="77777777" w:rsidR="009528F0" w:rsidRPr="00DF4894" w:rsidRDefault="009528F0"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1E9511E6" w14:textId="77777777" w:rsidR="009528F0" w:rsidRPr="00DF4894" w:rsidRDefault="009528F0"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7DC70C1" w14:textId="28DB4C88" w:rsidR="009528F0" w:rsidRPr="00DF4894" w:rsidRDefault="00E46940" w:rsidP="005D5B71">
            <w:pPr>
              <w:spacing w:before="40" w:after="60"/>
              <w:jc w:val="both"/>
              <w:rPr>
                <w:rFonts w:ascii="Verdana" w:hAnsi="Verdana"/>
                <w:spacing w:val="2"/>
                <w:sz w:val="20"/>
                <w:szCs w:val="20"/>
              </w:rPr>
            </w:pPr>
            <w:r w:rsidRPr="00DF4894">
              <w:rPr>
                <w:rFonts w:ascii="Verdana" w:hAnsi="Verdana"/>
                <w:spacing w:val="2"/>
                <w:sz w:val="20"/>
                <w:szCs w:val="20"/>
              </w:rPr>
              <w:t>2. В предложеният проект за промени съществува неяснота по отношение на 13-те защитени зони от екологична мрежа „Натура 2000”, които попадат в обхвата едновременно на двете директиви – Директива 2009/147/ЕО (Директива за опазване на дивите птици) и Директива 92/43/ЕИО (Директива за опазване на природните местообитания и на дивата флора и фауна). Характерно за тези 13 защитени зони е, че и по двете директиви те са обявени: с една и съща заповед (с последващи нейни изменения и допълнения), с едно и също име, с един и същ код, с една и съща площ, с едни и същи граници. Тези 13 защитени зони са: BG0000113 Витоша, BG0000209 Пирин, BG0000240 Студенец, BG0000241 Сребърна, BG0000242 Залив Ченгене скеле, BG0000270 Атанасовско езеро, BG0000271 Мандра – Пода, BG0000273 Бургаско езеро, BG0000399 Българка, BG0000494 Централен Балкан, BG0000495 Рила, BG0000496 Рилски манастир, BG0002018 Остров Вардим. В предложеният за обсъждане проект на наредба материята, отнасяща се към тези 13 защитени зони не е регламентирана достатъчно ясно. Видно от проекта на наредба, всичките 13 защитени зони са включени в Таблица № 1 към Приложение № 1 б към чл. 7, ал. 4 от Наредбата. За тази таблица, обаче, изрично е посочено в нейното заглавие, че се отнася единствено за „Компенсаторни плащания по защитени зони по Директива 2009/147/ЕО за земеделски земи в евро/ха“, т.е. отнася се за защитените зони по Директива за опазване на дивите птици. Обстоятелството, че в чл. 5, ал. 4 от действащата наредба е посочено, че компенсаторни плащания се получават за селскостопанска дейност „в една зона”, не създава необходимата достатъчна яснота по отношение изброяването на 13-те защитени зони в приложението към наредбата, тъй като всяка от тези защитени зони е „една”, въпреки, че е обявена и по двете директиви. Ето защо, бих искал да Ви предложа в проекта на наредба, изрично да се добави следният текст по отношение на защитените зони, които са в обхвата едновременно на двете директиви:</w:t>
            </w:r>
          </w:p>
        </w:tc>
        <w:tc>
          <w:tcPr>
            <w:tcW w:w="1629" w:type="dxa"/>
            <w:tcBorders>
              <w:top w:val="nil"/>
              <w:left w:val="single" w:sz="18" w:space="0" w:color="2E74B5"/>
              <w:bottom w:val="nil"/>
              <w:right w:val="single" w:sz="18" w:space="0" w:color="2E74B5"/>
            </w:tcBorders>
            <w:shd w:val="clear" w:color="auto" w:fill="auto"/>
          </w:tcPr>
          <w:p w14:paraId="3EDE91E7" w14:textId="77777777" w:rsidR="009528F0" w:rsidRPr="00DF4894" w:rsidRDefault="009528F0" w:rsidP="005D5B71">
            <w:pPr>
              <w:spacing w:before="40" w:after="6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B901312" w14:textId="77777777" w:rsidR="009528F0" w:rsidRPr="00DF4894" w:rsidRDefault="009528F0" w:rsidP="005D5B71">
            <w:pPr>
              <w:spacing w:before="40" w:after="60"/>
              <w:rPr>
                <w:rFonts w:ascii="Verdana" w:hAnsi="Verdana"/>
                <w:color w:val="FF0000"/>
                <w:sz w:val="20"/>
                <w:szCs w:val="20"/>
              </w:rPr>
            </w:pPr>
          </w:p>
        </w:tc>
      </w:tr>
      <w:tr w:rsidR="009528F0" w:rsidRPr="00DF4894" w14:paraId="34D8D41F"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12180B8B" w14:textId="77777777" w:rsidR="009528F0" w:rsidRPr="00DF4894" w:rsidRDefault="009528F0"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3F7F91C3" w14:textId="77777777" w:rsidR="009528F0" w:rsidRPr="00DF4894" w:rsidRDefault="009528F0"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C07BD82" w14:textId="666312EC" w:rsidR="009528F0" w:rsidRPr="00DF4894" w:rsidRDefault="00E46940" w:rsidP="005D5B71">
            <w:pPr>
              <w:spacing w:before="40" w:after="60"/>
              <w:jc w:val="both"/>
              <w:rPr>
                <w:rFonts w:ascii="Verdana" w:hAnsi="Verdana"/>
                <w:sz w:val="20"/>
                <w:szCs w:val="20"/>
              </w:rPr>
            </w:pPr>
            <w:r w:rsidRPr="00DF4894">
              <w:rPr>
                <w:rFonts w:ascii="Verdana" w:hAnsi="Verdana"/>
                <w:sz w:val="20"/>
                <w:szCs w:val="20"/>
              </w:rPr>
              <w:t>В параграф 3 от проекта на Наредба, в точка 3, се създава второ изречение със следното съдържание: „Добавя се и следното второ изречение: „Защитените зони, попадащи едновременно в обхвата на Директива 2009/147/ЕО и на Директива 92/43/ЕИО, се включват само към Таблица № 1 към Приложение № 1 б към чл. 7, ал. 4 от Наредбата.”</w:t>
            </w:r>
          </w:p>
        </w:tc>
        <w:tc>
          <w:tcPr>
            <w:tcW w:w="1629" w:type="dxa"/>
            <w:tcBorders>
              <w:top w:val="nil"/>
              <w:left w:val="single" w:sz="18" w:space="0" w:color="2E74B5"/>
              <w:bottom w:val="nil"/>
              <w:right w:val="single" w:sz="18" w:space="0" w:color="2E74B5"/>
            </w:tcBorders>
            <w:shd w:val="clear" w:color="auto" w:fill="auto"/>
          </w:tcPr>
          <w:p w14:paraId="6FFDEBA1" w14:textId="26D66BD0" w:rsidR="009528F0" w:rsidRPr="00DF4894" w:rsidRDefault="001A2FE6" w:rsidP="005D5B71">
            <w:pPr>
              <w:spacing w:before="40" w:after="60"/>
              <w:rPr>
                <w:rFonts w:ascii="Verdana" w:hAnsi="Verdana"/>
                <w:color w:val="FF0000"/>
                <w:sz w:val="20"/>
                <w:szCs w:val="20"/>
              </w:rPr>
            </w:pPr>
            <w:r w:rsidRPr="00DF4894">
              <w:rPr>
                <w:rFonts w:ascii="Verdana" w:hAnsi="Verdana"/>
                <w:spacing w:val="2"/>
                <w:sz w:val="20"/>
                <w:szCs w:val="20"/>
              </w:rPr>
              <w:t>Приема се</w:t>
            </w:r>
            <w:r w:rsidR="00535482" w:rsidRPr="00DF4894">
              <w:rPr>
                <w:rFonts w:ascii="Verdana" w:hAnsi="Verdana"/>
                <w:spacing w:val="2"/>
                <w:sz w:val="20"/>
                <w:szCs w:val="20"/>
              </w:rPr>
              <w:t xml:space="preserve"> частично</w:t>
            </w:r>
          </w:p>
        </w:tc>
        <w:tc>
          <w:tcPr>
            <w:tcW w:w="4522" w:type="dxa"/>
            <w:tcBorders>
              <w:top w:val="nil"/>
              <w:left w:val="single" w:sz="18" w:space="0" w:color="2E74B5"/>
              <w:bottom w:val="nil"/>
              <w:right w:val="single" w:sz="24" w:space="0" w:color="2E74B5"/>
            </w:tcBorders>
            <w:shd w:val="clear" w:color="auto" w:fill="auto"/>
          </w:tcPr>
          <w:p w14:paraId="7B4583A9" w14:textId="0F53F10C" w:rsidR="009528F0" w:rsidRPr="00DF4894" w:rsidRDefault="006F406B" w:rsidP="005D5B71">
            <w:pPr>
              <w:spacing w:before="40" w:after="60"/>
              <w:jc w:val="both"/>
              <w:rPr>
                <w:rFonts w:ascii="Verdana" w:hAnsi="Verdana"/>
                <w:color w:val="FF0000"/>
                <w:sz w:val="20"/>
                <w:szCs w:val="20"/>
              </w:rPr>
            </w:pPr>
            <w:r w:rsidRPr="00DF4894">
              <w:rPr>
                <w:rFonts w:ascii="Verdana" w:hAnsi="Verdana"/>
                <w:spacing w:val="2"/>
                <w:sz w:val="20"/>
                <w:szCs w:val="20"/>
              </w:rPr>
              <w:t>Направеното предложение е отразено</w:t>
            </w:r>
            <w:r w:rsidR="00BC5603" w:rsidRPr="00DF4894">
              <w:rPr>
                <w:rFonts w:ascii="Verdana" w:hAnsi="Verdana"/>
                <w:spacing w:val="2"/>
                <w:sz w:val="20"/>
                <w:szCs w:val="20"/>
              </w:rPr>
              <w:t xml:space="preserve"> като пояснение под Таблица № 3</w:t>
            </w:r>
            <w:r w:rsidR="004E1E46" w:rsidRPr="00DF4894">
              <w:rPr>
                <w:rFonts w:ascii="Verdana" w:hAnsi="Verdana"/>
                <w:spacing w:val="2"/>
                <w:sz w:val="20"/>
                <w:szCs w:val="20"/>
              </w:rPr>
              <w:t>,</w:t>
            </w:r>
            <w:r w:rsidRPr="00DF4894">
              <w:rPr>
                <w:rFonts w:ascii="Verdana" w:hAnsi="Verdana"/>
                <w:spacing w:val="2"/>
                <w:sz w:val="20"/>
                <w:szCs w:val="20"/>
              </w:rPr>
              <w:t xml:space="preserve"> в новосъздаденото приложение № 1б към чл. 7, ал. 4.</w:t>
            </w:r>
            <w:r w:rsidRPr="00DF4894">
              <w:rPr>
                <w:rFonts w:ascii="Verdana" w:hAnsi="Verdana"/>
                <w:color w:val="FF0000"/>
                <w:sz w:val="20"/>
                <w:szCs w:val="20"/>
              </w:rPr>
              <w:t xml:space="preserve"> </w:t>
            </w:r>
          </w:p>
        </w:tc>
      </w:tr>
      <w:tr w:rsidR="001A2FE6" w:rsidRPr="00DF4894" w14:paraId="6AB12D3E"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5EFBF6C3" w14:textId="77777777" w:rsidR="001A2FE6" w:rsidRPr="00DF4894" w:rsidRDefault="001A2FE6"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03367C4C" w14:textId="77777777" w:rsidR="001A2FE6" w:rsidRPr="00DF4894" w:rsidRDefault="001A2FE6"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C4B20D6" w14:textId="19AF2AC8" w:rsidR="001A2FE6" w:rsidRPr="00DF4894" w:rsidRDefault="00BC7E5F" w:rsidP="005D5B71">
            <w:pPr>
              <w:spacing w:before="40" w:after="60"/>
              <w:jc w:val="both"/>
              <w:rPr>
                <w:rFonts w:ascii="Verdana" w:hAnsi="Verdana"/>
                <w:spacing w:val="2"/>
                <w:sz w:val="20"/>
                <w:szCs w:val="20"/>
              </w:rPr>
            </w:pPr>
            <w:r w:rsidRPr="00DF4894">
              <w:rPr>
                <w:rFonts w:ascii="Verdana" w:hAnsi="Verdana"/>
                <w:spacing w:val="2"/>
                <w:sz w:val="20"/>
                <w:szCs w:val="20"/>
              </w:rPr>
              <w:t>Основание за подобна редакция е съобразяването с разпоредбата на чл. 5, ал. 4 от Наредбата, но така също и обстоятелството, че обявяването на 13-те защитени зони по „Директивата за опазване на природните местообитания и на дивата флора и фауна” е извършено чрез изменение и допълнение в заповедта за обявяване на съответната защитена зона по „Директивата за опазване на дивите птици”, т.е. заповедта е една и първоначално, т.е. преди няколко години, е обявена в изпълнение на задълженията по „Директивата за опазване на дивите птици”. Но без изричен указващ текст защо 13-те защитени зони липсват от Таблица № 2, въпреки че са по „Директивата за опазване на природните местообитания и на дивата флора и фауна”, въпросът стои неясен, подвеждащ и висящ, както по отношение на земеделските производители, които планират да кандидатстват по мярка 12 от Програмата, така и по отношение на други заинтересовани физически лица и юридически лица. Както е видно, тези 13 защитени зони са сред най-обширните в страната.</w:t>
            </w:r>
          </w:p>
        </w:tc>
        <w:tc>
          <w:tcPr>
            <w:tcW w:w="1629" w:type="dxa"/>
            <w:tcBorders>
              <w:top w:val="nil"/>
              <w:left w:val="single" w:sz="18" w:space="0" w:color="2E74B5"/>
              <w:bottom w:val="nil"/>
              <w:right w:val="single" w:sz="18" w:space="0" w:color="2E74B5"/>
            </w:tcBorders>
            <w:shd w:val="clear" w:color="auto" w:fill="auto"/>
          </w:tcPr>
          <w:p w14:paraId="4937988C" w14:textId="77777777" w:rsidR="001A2FE6" w:rsidRPr="00DF4894" w:rsidRDefault="001A2FE6" w:rsidP="005D5B71">
            <w:pPr>
              <w:spacing w:before="40" w:after="6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4E4056D" w14:textId="77777777" w:rsidR="001A2FE6" w:rsidRPr="00DF4894" w:rsidRDefault="001A2FE6" w:rsidP="005D5B71">
            <w:pPr>
              <w:spacing w:before="40" w:after="60"/>
              <w:rPr>
                <w:rFonts w:ascii="Verdana" w:hAnsi="Verdana"/>
                <w:color w:val="FF0000"/>
                <w:sz w:val="20"/>
                <w:szCs w:val="20"/>
              </w:rPr>
            </w:pPr>
          </w:p>
        </w:tc>
      </w:tr>
      <w:tr w:rsidR="001A2FE6" w:rsidRPr="00DF4894" w14:paraId="14B05242"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2E98721F" w14:textId="77777777" w:rsidR="001A2FE6" w:rsidRPr="00DF4894" w:rsidRDefault="001A2FE6"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295EC8E2" w14:textId="77777777" w:rsidR="001A2FE6" w:rsidRPr="00DF4894" w:rsidRDefault="001A2FE6"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44D53BA" w14:textId="7239B0FE" w:rsidR="001A2FE6" w:rsidRPr="00DF4894" w:rsidRDefault="00E46940" w:rsidP="005D5B71">
            <w:pPr>
              <w:spacing w:before="40" w:after="60"/>
              <w:jc w:val="both"/>
              <w:rPr>
                <w:rFonts w:ascii="Verdana" w:hAnsi="Verdana"/>
                <w:spacing w:val="-2"/>
                <w:sz w:val="20"/>
                <w:szCs w:val="20"/>
              </w:rPr>
            </w:pPr>
            <w:r w:rsidRPr="00DF4894">
              <w:rPr>
                <w:rFonts w:ascii="Verdana" w:hAnsi="Verdana"/>
                <w:spacing w:val="-2"/>
                <w:sz w:val="20"/>
                <w:szCs w:val="20"/>
              </w:rPr>
              <w:t>Отделно от споменатите 13 защитени зони по двете директиви, има още една защитена зона с едно и също име по двете директиви: „Централен Балкан – буфер”, но тя е обявена с два различни кода, и в проекта на наредба методически правилно е включена както в Таблица № 1, така и в Таблица № 2 към Приложение № 1 б към чл. 7, ал. 4 от Наредбата.</w:t>
            </w:r>
          </w:p>
        </w:tc>
        <w:tc>
          <w:tcPr>
            <w:tcW w:w="1629" w:type="dxa"/>
            <w:tcBorders>
              <w:top w:val="nil"/>
              <w:left w:val="single" w:sz="18" w:space="0" w:color="2E74B5"/>
              <w:bottom w:val="nil"/>
              <w:right w:val="single" w:sz="18" w:space="0" w:color="2E74B5"/>
            </w:tcBorders>
            <w:shd w:val="clear" w:color="auto" w:fill="auto"/>
          </w:tcPr>
          <w:p w14:paraId="1591E74E" w14:textId="77777777" w:rsidR="001A2FE6" w:rsidRPr="00DF4894" w:rsidRDefault="001A2FE6" w:rsidP="005D5B71">
            <w:pPr>
              <w:spacing w:before="40" w:after="6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96361EC" w14:textId="77777777" w:rsidR="001A2FE6" w:rsidRPr="00DF4894" w:rsidRDefault="001A2FE6" w:rsidP="005D5B71">
            <w:pPr>
              <w:spacing w:before="40" w:after="60"/>
              <w:rPr>
                <w:rFonts w:ascii="Verdana" w:hAnsi="Verdana"/>
                <w:color w:val="FF0000"/>
                <w:sz w:val="20"/>
                <w:szCs w:val="20"/>
              </w:rPr>
            </w:pPr>
          </w:p>
        </w:tc>
      </w:tr>
      <w:tr w:rsidR="00BC7E5F" w:rsidRPr="00DF4894" w14:paraId="5D6A5912"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0235BDD0" w14:textId="77777777" w:rsidR="00BC7E5F" w:rsidRPr="00DF4894" w:rsidRDefault="00BC7E5F"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62BF862A" w14:textId="77777777" w:rsidR="00BC7E5F" w:rsidRPr="00DF4894" w:rsidRDefault="00BC7E5F"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688ADC8A" w14:textId="2C8D7F35" w:rsidR="00BC7E5F" w:rsidRPr="00DF4894" w:rsidRDefault="001E523B" w:rsidP="005D5B71">
            <w:pPr>
              <w:spacing w:before="40" w:after="60"/>
              <w:jc w:val="both"/>
              <w:rPr>
                <w:rFonts w:ascii="Verdana" w:hAnsi="Verdana"/>
                <w:sz w:val="20"/>
                <w:szCs w:val="20"/>
              </w:rPr>
            </w:pPr>
            <w:r w:rsidRPr="00DF4894">
              <w:rPr>
                <w:rFonts w:ascii="Verdana" w:hAnsi="Verdana"/>
                <w:sz w:val="20"/>
                <w:szCs w:val="20"/>
              </w:rPr>
              <w:t>3. В проекта на наредба, в параграф 4, в Таблица № 1, в празната клетка над колоните с номер от 4 до 14, включително, бих искал да предложа да се въведе съответен текст. Имайки предвид, че информацията в тези колони пряко следва разпоредбите на чл. 7, ал. 1, т. 1 – т. 8, включително, предлагам във въпросната празна клетка да се впише текста „Вид на забраната”. Предложеният в проекта вид на клетката без текст не позволява лесно и ясно да се разбере смисъла на таблицата.</w:t>
            </w:r>
          </w:p>
        </w:tc>
        <w:tc>
          <w:tcPr>
            <w:tcW w:w="1629" w:type="dxa"/>
            <w:tcBorders>
              <w:top w:val="nil"/>
              <w:left w:val="single" w:sz="18" w:space="0" w:color="2E74B5"/>
              <w:bottom w:val="nil"/>
              <w:right w:val="single" w:sz="18" w:space="0" w:color="2E74B5"/>
            </w:tcBorders>
            <w:shd w:val="clear" w:color="auto" w:fill="auto"/>
          </w:tcPr>
          <w:p w14:paraId="323B7E77" w14:textId="0AF2E348" w:rsidR="00BC7E5F" w:rsidRPr="00DF4894" w:rsidRDefault="001E523B" w:rsidP="005D5B71">
            <w:pPr>
              <w:spacing w:before="40" w:after="60"/>
              <w:rPr>
                <w:rFonts w:ascii="Verdana" w:hAnsi="Verdana"/>
                <w:color w:val="FF0000"/>
                <w:sz w:val="20"/>
                <w:szCs w:val="20"/>
              </w:rPr>
            </w:pPr>
            <w:r w:rsidRPr="00DF4894">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2F6F5706" w14:textId="02B0FBF3" w:rsidR="00BC7E5F" w:rsidRPr="0085481D" w:rsidRDefault="008835D8" w:rsidP="005D5B71">
            <w:pPr>
              <w:spacing w:before="40" w:after="60"/>
              <w:jc w:val="both"/>
              <w:rPr>
                <w:rFonts w:ascii="Verdana" w:hAnsi="Verdana"/>
                <w:spacing w:val="2"/>
                <w:sz w:val="20"/>
                <w:szCs w:val="20"/>
              </w:rPr>
            </w:pPr>
            <w:r w:rsidRPr="0085481D">
              <w:rPr>
                <w:rFonts w:ascii="Verdana" w:hAnsi="Verdana"/>
                <w:spacing w:val="2"/>
                <w:sz w:val="20"/>
                <w:szCs w:val="20"/>
              </w:rPr>
              <w:t xml:space="preserve">В съответствие с чл. 48, ал. 2 от </w:t>
            </w:r>
            <w:r w:rsidR="00122D91">
              <w:rPr>
                <w:rFonts w:ascii="Verdana" w:hAnsi="Verdana"/>
                <w:spacing w:val="2"/>
                <w:sz w:val="20"/>
                <w:szCs w:val="20"/>
              </w:rPr>
              <w:t xml:space="preserve">    </w:t>
            </w:r>
            <w:r w:rsidRPr="0085481D">
              <w:rPr>
                <w:rFonts w:ascii="Verdana" w:hAnsi="Verdana"/>
                <w:spacing w:val="2"/>
                <w:sz w:val="20"/>
                <w:szCs w:val="20"/>
              </w:rPr>
              <w:t xml:space="preserve">Указ № 883 от 1974 г. за прилагане на Закона за нормативните актове приложение № 1б към чл. 7, ал. 4 съответства  действащите към настоящия момент приложение № 1 към чл. 7, ал. 4 и приложение № 1а към чл. 7, ал. 4. Именно затова е създадена таблица № 3, в която е обяснено съдържанието двете </w:t>
            </w:r>
            <w:r w:rsidR="00122D91">
              <w:rPr>
                <w:rFonts w:ascii="Verdana" w:hAnsi="Verdana"/>
                <w:spacing w:val="2"/>
                <w:sz w:val="20"/>
                <w:szCs w:val="20"/>
              </w:rPr>
              <w:t xml:space="preserve">  </w:t>
            </w:r>
            <w:r w:rsidRPr="0085481D">
              <w:rPr>
                <w:rFonts w:ascii="Verdana" w:hAnsi="Verdana"/>
                <w:spacing w:val="2"/>
                <w:sz w:val="20"/>
                <w:szCs w:val="20"/>
              </w:rPr>
              <w:t xml:space="preserve">таблици № 1 и 2. </w:t>
            </w:r>
            <w:r w:rsidR="000F5A09" w:rsidRPr="0085481D">
              <w:rPr>
                <w:rFonts w:ascii="Verdana" w:hAnsi="Verdana"/>
                <w:spacing w:val="2"/>
                <w:sz w:val="20"/>
                <w:szCs w:val="20"/>
              </w:rPr>
              <w:t>За уреждане на една и съща материя следва да има един и същ правно-технически подход с оглед на формулиране на ясни и точни разпоредби.</w:t>
            </w:r>
          </w:p>
        </w:tc>
      </w:tr>
      <w:tr w:rsidR="006F406B" w:rsidRPr="00DF4894" w14:paraId="33B27EEB"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66E1AE2A" w14:textId="77777777" w:rsidR="006F406B" w:rsidRPr="00DF4894" w:rsidRDefault="006F406B"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7AE36283" w14:textId="77777777" w:rsidR="006F406B" w:rsidRPr="00DF4894" w:rsidRDefault="006F406B"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004732F4" w14:textId="098A13E6" w:rsidR="006F406B" w:rsidRPr="00DF4894" w:rsidRDefault="006F406B" w:rsidP="005D5B71">
            <w:pPr>
              <w:spacing w:before="40" w:after="60"/>
              <w:jc w:val="both"/>
              <w:rPr>
                <w:rFonts w:ascii="Verdana" w:hAnsi="Verdana"/>
                <w:spacing w:val="-2"/>
                <w:sz w:val="20"/>
                <w:szCs w:val="20"/>
              </w:rPr>
            </w:pPr>
            <w:r w:rsidRPr="00DF4894">
              <w:rPr>
                <w:rFonts w:ascii="Verdana" w:hAnsi="Verdana"/>
                <w:spacing w:val="-2"/>
                <w:sz w:val="20"/>
                <w:szCs w:val="20"/>
              </w:rPr>
              <w:t xml:space="preserve">4. </w:t>
            </w:r>
            <w:r w:rsidRPr="00DF4894">
              <w:rPr>
                <w:rFonts w:ascii="Verdana" w:hAnsi="Verdana"/>
                <w:sz w:val="20"/>
                <w:szCs w:val="20"/>
              </w:rPr>
              <w:t>В проекта на наредба, в параграф 4, в Таблица № 2, в празната клетка над колоните с номер от 4 до 14, включително, бих искал да предложа да се въведе съответен текст. Имайки предвид, че информацията в тези колони пряко следва разпоредбите на чл. 7, ал. 1, т. 1 – т. 8, включително, предлагам във въпросната празна клетка да се впише текста „Вид на забраната”. Предложеният в проекта вид на клетката без текст не позволява лесно и ясно да се разбере смисъла на таблицата.</w:t>
            </w:r>
          </w:p>
        </w:tc>
        <w:tc>
          <w:tcPr>
            <w:tcW w:w="1629" w:type="dxa"/>
            <w:tcBorders>
              <w:top w:val="nil"/>
              <w:left w:val="single" w:sz="18" w:space="0" w:color="2E74B5"/>
              <w:bottom w:val="nil"/>
              <w:right w:val="single" w:sz="18" w:space="0" w:color="2E74B5"/>
            </w:tcBorders>
            <w:shd w:val="clear" w:color="auto" w:fill="auto"/>
          </w:tcPr>
          <w:p w14:paraId="467A7BC1" w14:textId="6EDE5D8A" w:rsidR="006F406B" w:rsidRPr="00DF4894" w:rsidRDefault="006F406B" w:rsidP="005D5B71">
            <w:pPr>
              <w:spacing w:before="40" w:after="60"/>
              <w:rPr>
                <w:rFonts w:ascii="Verdana" w:hAnsi="Verdana"/>
                <w:sz w:val="20"/>
                <w:szCs w:val="20"/>
              </w:rPr>
            </w:pPr>
            <w:r w:rsidRPr="00DF4894">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63EA6F08" w14:textId="26C5C093" w:rsidR="006F406B" w:rsidRPr="00122D91" w:rsidRDefault="006F406B" w:rsidP="005D5B71">
            <w:pPr>
              <w:spacing w:before="40" w:after="60"/>
              <w:jc w:val="both"/>
              <w:rPr>
                <w:rFonts w:ascii="Verdana" w:hAnsi="Verdana"/>
                <w:spacing w:val="4"/>
                <w:sz w:val="20"/>
                <w:szCs w:val="20"/>
              </w:rPr>
            </w:pPr>
            <w:r w:rsidRPr="00122D91">
              <w:rPr>
                <w:rFonts w:ascii="Verdana" w:hAnsi="Verdana"/>
                <w:spacing w:val="4"/>
                <w:sz w:val="20"/>
                <w:szCs w:val="20"/>
              </w:rPr>
              <w:t xml:space="preserve">В съответствие с чл. 48, ал. 2 от </w:t>
            </w:r>
            <w:r w:rsidR="00122D91">
              <w:rPr>
                <w:rFonts w:ascii="Verdana" w:hAnsi="Verdana"/>
                <w:spacing w:val="4"/>
                <w:sz w:val="20"/>
                <w:szCs w:val="20"/>
              </w:rPr>
              <w:t xml:space="preserve">   </w:t>
            </w:r>
            <w:r w:rsidRPr="00122D91">
              <w:rPr>
                <w:rFonts w:ascii="Verdana" w:hAnsi="Verdana"/>
                <w:spacing w:val="4"/>
                <w:sz w:val="20"/>
                <w:szCs w:val="20"/>
              </w:rPr>
              <w:t xml:space="preserve">Указ </w:t>
            </w:r>
            <w:r w:rsidR="00122D91" w:rsidRPr="00122D91">
              <w:rPr>
                <w:rFonts w:ascii="Verdana" w:hAnsi="Verdana"/>
                <w:spacing w:val="4"/>
                <w:sz w:val="20"/>
                <w:szCs w:val="20"/>
              </w:rPr>
              <w:t xml:space="preserve"> </w:t>
            </w:r>
            <w:r w:rsidRPr="00122D91">
              <w:rPr>
                <w:rFonts w:ascii="Verdana" w:hAnsi="Verdana"/>
                <w:spacing w:val="4"/>
                <w:sz w:val="20"/>
                <w:szCs w:val="20"/>
              </w:rPr>
              <w:t xml:space="preserve">№ 883 от 1974 г. за прилагане на Закона за нормативните актове приложение № 1б към чл. 7, ал. 4 съответства  действащите към настоящия момент приложение № 1 към чл. 7, ал. 4 и приложение № 1а към чл. 7, ал. 4. </w:t>
            </w:r>
            <w:r w:rsidR="008835D8" w:rsidRPr="00122D91">
              <w:rPr>
                <w:rFonts w:ascii="Verdana" w:hAnsi="Verdana"/>
                <w:spacing w:val="4"/>
                <w:sz w:val="20"/>
                <w:szCs w:val="20"/>
              </w:rPr>
              <w:t xml:space="preserve">Именно затова е създадена таблица № 3, в която е обяснено съдържанието двете </w:t>
            </w:r>
            <w:r w:rsidR="00122D91">
              <w:rPr>
                <w:rFonts w:ascii="Verdana" w:hAnsi="Verdana"/>
                <w:spacing w:val="4"/>
                <w:sz w:val="20"/>
                <w:szCs w:val="20"/>
              </w:rPr>
              <w:t xml:space="preserve"> </w:t>
            </w:r>
            <w:r w:rsidR="008835D8" w:rsidRPr="00122D91">
              <w:rPr>
                <w:rFonts w:ascii="Verdana" w:hAnsi="Verdana"/>
                <w:spacing w:val="4"/>
                <w:sz w:val="20"/>
                <w:szCs w:val="20"/>
              </w:rPr>
              <w:t>таблици № 1 и 2. Обръщаме внимание, че възприетият подход за изготвяне на приложенията към чл. 7, ал. 4 действа от 2015 г. и съответно се прилага от Държавен фонд „Земеделие“ и от земеделските стопани.</w:t>
            </w:r>
          </w:p>
        </w:tc>
      </w:tr>
      <w:tr w:rsidR="006F406B" w:rsidRPr="00DF4894" w14:paraId="391583E5"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490F90C9" w14:textId="77777777" w:rsidR="006F406B" w:rsidRPr="00DF4894" w:rsidRDefault="006F406B"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75325764" w14:textId="77777777" w:rsidR="006F406B" w:rsidRPr="00DF4894" w:rsidRDefault="006F406B"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74F9882" w14:textId="4944E5F3" w:rsidR="006F406B" w:rsidRPr="00DF4894" w:rsidRDefault="006F406B" w:rsidP="005D5B71">
            <w:pPr>
              <w:spacing w:before="40" w:after="60"/>
              <w:jc w:val="both"/>
              <w:rPr>
                <w:rFonts w:ascii="Verdana" w:hAnsi="Verdana"/>
                <w:spacing w:val="-2"/>
                <w:sz w:val="20"/>
                <w:szCs w:val="20"/>
              </w:rPr>
            </w:pPr>
            <w:r w:rsidRPr="00DF4894">
              <w:rPr>
                <w:rFonts w:ascii="Verdana" w:hAnsi="Verdana"/>
                <w:spacing w:val="-2"/>
                <w:sz w:val="20"/>
                <w:szCs w:val="20"/>
              </w:rPr>
              <w:t>5. В проекта на наредба, в параграф 4, в Таблица № 3, ред 1, текстът „№ на Колона” предлагам да се промени на „№ на колона”, т.е. с малка буква „к”.</w:t>
            </w:r>
          </w:p>
        </w:tc>
        <w:tc>
          <w:tcPr>
            <w:tcW w:w="1629" w:type="dxa"/>
            <w:tcBorders>
              <w:top w:val="nil"/>
              <w:left w:val="single" w:sz="18" w:space="0" w:color="2E74B5"/>
              <w:bottom w:val="nil"/>
              <w:right w:val="single" w:sz="18" w:space="0" w:color="2E74B5"/>
            </w:tcBorders>
            <w:shd w:val="clear" w:color="auto" w:fill="auto"/>
          </w:tcPr>
          <w:p w14:paraId="339A6C66" w14:textId="25BB62DF" w:rsidR="006F406B" w:rsidRPr="00DF4894" w:rsidRDefault="006F406B" w:rsidP="005D5B71">
            <w:pPr>
              <w:spacing w:before="40" w:after="60"/>
              <w:rPr>
                <w:rFonts w:ascii="Verdana" w:hAnsi="Verdana"/>
                <w:color w:val="FF0000"/>
                <w:sz w:val="20"/>
                <w:szCs w:val="20"/>
              </w:rPr>
            </w:pPr>
            <w:r w:rsidRPr="00DF4894">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463D4F3C" w14:textId="3D29FBA2" w:rsidR="006F406B" w:rsidRPr="00DF4894" w:rsidRDefault="006F406B" w:rsidP="005D5B71">
            <w:pPr>
              <w:spacing w:before="40" w:after="60"/>
              <w:rPr>
                <w:rFonts w:ascii="Verdana" w:hAnsi="Verdana"/>
                <w:color w:val="FF0000"/>
                <w:sz w:val="20"/>
                <w:szCs w:val="20"/>
              </w:rPr>
            </w:pPr>
          </w:p>
        </w:tc>
      </w:tr>
      <w:tr w:rsidR="006F406B" w:rsidRPr="00DF4894" w14:paraId="5B9AC103"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4720D88E" w14:textId="77777777" w:rsidR="006F406B" w:rsidRPr="00DF4894" w:rsidRDefault="006F406B"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522097DA" w14:textId="77777777" w:rsidR="006F406B" w:rsidRPr="00DF4894" w:rsidRDefault="006F406B"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476E5EFC" w14:textId="6172FA2B" w:rsidR="00122D91" w:rsidRPr="00DF4894" w:rsidRDefault="006F406B" w:rsidP="005D5B71">
            <w:pPr>
              <w:spacing w:before="40" w:after="60"/>
              <w:jc w:val="both"/>
              <w:rPr>
                <w:rFonts w:ascii="Verdana" w:hAnsi="Verdana"/>
                <w:spacing w:val="-2"/>
                <w:sz w:val="20"/>
                <w:szCs w:val="20"/>
              </w:rPr>
            </w:pPr>
            <w:r w:rsidRPr="00DF4894">
              <w:rPr>
                <w:rFonts w:ascii="Verdana" w:hAnsi="Verdana"/>
                <w:spacing w:val="-2"/>
                <w:sz w:val="20"/>
                <w:szCs w:val="20"/>
              </w:rPr>
              <w:t>6. В проекта на наредба, в параграф. 4, в Таблица № 3, ред 3, текстът „КОД НА ЗАЩИТЕНАТА ЗОНА” предлагам да се промени на „Код на защитената зона”. Министерството на земеделието би следвало да си припомни, че в българския език не е прието текст да се изписва само с главни букви или само с малки букви. В допълнение, изписването на думи само с главни букви се счита за крещене. В допълнение, според някои изследователи, изписването на текст само с малки букви има един смисъл, а изписването на същия текст само с главни букви има друг смисъл. Тези окултни псевдонорми, обаче не са общоприети и не са популярни, въпреки че някои правителствени ведомства ги използват. Така че, би било коректно и почтено Министерството на земеделието да се придържа към общоприетият начин на изготвяне на нормативни актове на книжовен коренен български език, и да не използва слабо известни окултни диалекти или окултни жаргони.</w:t>
            </w:r>
          </w:p>
        </w:tc>
        <w:tc>
          <w:tcPr>
            <w:tcW w:w="1629" w:type="dxa"/>
            <w:tcBorders>
              <w:top w:val="nil"/>
              <w:left w:val="single" w:sz="18" w:space="0" w:color="2E74B5"/>
              <w:bottom w:val="nil"/>
              <w:right w:val="single" w:sz="18" w:space="0" w:color="2E74B5"/>
            </w:tcBorders>
            <w:shd w:val="clear" w:color="auto" w:fill="auto"/>
          </w:tcPr>
          <w:p w14:paraId="703ECCC0" w14:textId="16D56FBD" w:rsidR="006F406B" w:rsidRPr="00DF4894" w:rsidRDefault="006F406B" w:rsidP="005D5B71">
            <w:pPr>
              <w:spacing w:before="40" w:after="60"/>
              <w:rPr>
                <w:rFonts w:ascii="Verdana" w:hAnsi="Verdana"/>
                <w:color w:val="FF0000"/>
                <w:sz w:val="20"/>
                <w:szCs w:val="20"/>
              </w:rPr>
            </w:pPr>
            <w:r w:rsidRPr="00DF4894">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3441CE79" w14:textId="434ED5DE" w:rsidR="006F406B" w:rsidRPr="00122D91" w:rsidRDefault="006F406B" w:rsidP="005D5B71">
            <w:pPr>
              <w:spacing w:before="40" w:after="60"/>
              <w:jc w:val="both"/>
              <w:rPr>
                <w:rFonts w:ascii="Verdana" w:hAnsi="Verdana"/>
                <w:color w:val="FF0000"/>
                <w:spacing w:val="4"/>
                <w:sz w:val="20"/>
                <w:szCs w:val="20"/>
              </w:rPr>
            </w:pPr>
            <w:r w:rsidRPr="00122D91">
              <w:rPr>
                <w:rFonts w:ascii="Verdana" w:hAnsi="Verdana"/>
                <w:spacing w:val="4"/>
                <w:sz w:val="20"/>
                <w:szCs w:val="20"/>
              </w:rPr>
              <w:t xml:space="preserve">В </w:t>
            </w:r>
            <w:r w:rsidR="00122D91">
              <w:rPr>
                <w:rFonts w:ascii="Verdana" w:hAnsi="Verdana"/>
                <w:spacing w:val="4"/>
                <w:sz w:val="20"/>
                <w:szCs w:val="20"/>
              </w:rPr>
              <w:t xml:space="preserve">съответствие с чл. 48, ал. 2 от    </w:t>
            </w:r>
            <w:r w:rsidRPr="00122D91">
              <w:rPr>
                <w:rFonts w:ascii="Verdana" w:hAnsi="Verdana"/>
                <w:spacing w:val="4"/>
                <w:sz w:val="20"/>
                <w:szCs w:val="20"/>
              </w:rPr>
              <w:t xml:space="preserve">Указ № 883 от 1974 г. за прилагане на Закона за нормативните актове приложение № 1б към чл. 7, ал. 4 съответства  действащите към настоящия момент приложение № 1 към чл. 7, ал. 4 и приложение № 1а към чл. 7, ал. 4. За уреждане на една и съща материя следва да има един и същ правно-технически подход с оглед на формулиране на ясни и точни разпоредби. Изписването с главни букви </w:t>
            </w:r>
            <w:r w:rsidR="0056050D" w:rsidRPr="00122D91">
              <w:rPr>
                <w:rFonts w:ascii="Verdana" w:hAnsi="Verdana"/>
                <w:spacing w:val="4"/>
                <w:sz w:val="20"/>
                <w:szCs w:val="20"/>
              </w:rPr>
              <w:t xml:space="preserve">в случая е да съсредоточи вниманието на земеделските стопани към съответните колони и тяхното съдържание. </w:t>
            </w:r>
          </w:p>
        </w:tc>
      </w:tr>
      <w:tr w:rsidR="006F406B" w:rsidRPr="00DF4894" w14:paraId="786C2843"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68A2FC93" w14:textId="77777777" w:rsidR="006F406B" w:rsidRPr="00DF4894" w:rsidRDefault="006F406B"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4FC08225" w14:textId="77777777" w:rsidR="006F406B" w:rsidRPr="00DF4894" w:rsidRDefault="006F406B"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274DB11D" w14:textId="7A9EB4E9" w:rsidR="006F406B" w:rsidRPr="00DF4894" w:rsidRDefault="006F406B" w:rsidP="005D5B71">
            <w:pPr>
              <w:spacing w:before="40" w:after="60"/>
              <w:jc w:val="both"/>
              <w:rPr>
                <w:rFonts w:ascii="Verdana" w:hAnsi="Verdana"/>
                <w:spacing w:val="-2"/>
                <w:sz w:val="20"/>
                <w:szCs w:val="20"/>
              </w:rPr>
            </w:pPr>
            <w:r w:rsidRPr="00DF4894">
              <w:rPr>
                <w:rFonts w:ascii="Verdana" w:hAnsi="Verdana"/>
                <w:spacing w:val="-2"/>
                <w:sz w:val="20"/>
                <w:szCs w:val="20"/>
              </w:rPr>
              <w:t>7. В проекта на наредба, в параграф 4, в Таблица № 3, ред 4, текстът „ИМЕ НА ЗАЩИТЕНАТА ЗОНА” предлагам да се промени на „Име на защитената зона”. Министерството на земеделието би следвало да си припомни, че в българския език не е прието текст да се изписва само с главни букви или само с малки букви. В допълнение, изписването на думи само с главни букви се счита за крещене. В допълнение, според някои изследователи, изписването на текст само с малки букви има един смисъл, а изписването на същия текст само с главни букви има друг смисъл. Тези окултни псевдонорми, обаче не са общоприети и не са популярни, въпреки че някои правителствени ведомства ги използват. Така че, би било коректно и почтено Министерството на земеделието да се придържа към общоприетият начин на изготвяне на нормативни актове на книжовен коренен български език, и да не използва слабо известни окултни диалекти или окултни жаргони.</w:t>
            </w:r>
          </w:p>
        </w:tc>
        <w:tc>
          <w:tcPr>
            <w:tcW w:w="1629" w:type="dxa"/>
            <w:tcBorders>
              <w:top w:val="nil"/>
              <w:left w:val="single" w:sz="18" w:space="0" w:color="2E74B5"/>
              <w:bottom w:val="nil"/>
              <w:right w:val="single" w:sz="18" w:space="0" w:color="2E74B5"/>
            </w:tcBorders>
            <w:shd w:val="clear" w:color="auto" w:fill="auto"/>
          </w:tcPr>
          <w:p w14:paraId="6A90800C" w14:textId="318B546A" w:rsidR="006F406B" w:rsidRPr="00DF4894" w:rsidRDefault="006F406B" w:rsidP="005D5B71">
            <w:pPr>
              <w:spacing w:before="40" w:after="60"/>
              <w:rPr>
                <w:rFonts w:ascii="Verdana" w:hAnsi="Verdana"/>
                <w:color w:val="FF0000"/>
                <w:sz w:val="20"/>
                <w:szCs w:val="20"/>
              </w:rPr>
            </w:pPr>
            <w:r w:rsidRPr="00DF4894">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448D3662" w14:textId="5CEE818B" w:rsidR="006F406B" w:rsidRPr="00825052" w:rsidRDefault="006F406B" w:rsidP="005D5B71">
            <w:pPr>
              <w:spacing w:before="40" w:after="60"/>
              <w:jc w:val="both"/>
              <w:rPr>
                <w:rFonts w:ascii="Verdana" w:hAnsi="Verdana"/>
                <w:color w:val="FF0000"/>
                <w:spacing w:val="4"/>
                <w:sz w:val="20"/>
                <w:szCs w:val="20"/>
              </w:rPr>
            </w:pPr>
            <w:r w:rsidRPr="00825052">
              <w:rPr>
                <w:rFonts w:ascii="Verdana" w:hAnsi="Verdana"/>
                <w:spacing w:val="4"/>
                <w:sz w:val="20"/>
                <w:szCs w:val="20"/>
              </w:rPr>
              <w:t xml:space="preserve">В съответствие с чл. 48, ал. 2 от </w:t>
            </w:r>
            <w:r w:rsidR="00825052">
              <w:rPr>
                <w:rFonts w:ascii="Verdana" w:hAnsi="Verdana"/>
                <w:spacing w:val="4"/>
                <w:sz w:val="20"/>
                <w:szCs w:val="20"/>
              </w:rPr>
              <w:t xml:space="preserve">   </w:t>
            </w:r>
            <w:r w:rsidRPr="00825052">
              <w:rPr>
                <w:rFonts w:ascii="Verdana" w:hAnsi="Verdana"/>
                <w:spacing w:val="4"/>
                <w:sz w:val="20"/>
                <w:szCs w:val="20"/>
              </w:rPr>
              <w:t>Указ № 883 от 1974 г. за прилагане на Закона за нормативните актове приложение № 1б към чл. 7, ал. 4 съответства  действащите към настоящия момент приложение № 1 към чл. 7, ал. 4 и приложение № 1а към чл. 7, ал. 4. За уреждане на една и съща материя следва да има един и същ правно-технически подход с оглед на формулиране на ясни и точни разпоредби.</w:t>
            </w:r>
            <w:r w:rsidR="0056050D" w:rsidRPr="00825052">
              <w:rPr>
                <w:rFonts w:ascii="Verdana" w:hAnsi="Verdana"/>
                <w:spacing w:val="4"/>
                <w:sz w:val="20"/>
                <w:szCs w:val="20"/>
              </w:rPr>
              <w:t xml:space="preserve"> Изписването с главни букви в случая е да съсредоточи вниманието на земеделските стопани към съответните колони и тяхното съдържание.</w:t>
            </w:r>
          </w:p>
        </w:tc>
      </w:tr>
      <w:tr w:rsidR="006F406B" w:rsidRPr="00DF4894" w14:paraId="134E6A64"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44FBC94C" w14:textId="77777777" w:rsidR="006F406B" w:rsidRPr="00DF4894" w:rsidRDefault="006F406B"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0A664B25" w14:textId="77777777" w:rsidR="006F406B" w:rsidRPr="00DF4894" w:rsidRDefault="006F406B"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115D7873" w14:textId="0048B927" w:rsidR="006F406B" w:rsidRPr="00DF4894" w:rsidRDefault="006F406B" w:rsidP="005D5B71">
            <w:pPr>
              <w:spacing w:before="40" w:after="60"/>
              <w:jc w:val="both"/>
              <w:rPr>
                <w:rFonts w:ascii="Verdana" w:hAnsi="Verdana"/>
                <w:spacing w:val="2"/>
                <w:sz w:val="20"/>
                <w:szCs w:val="20"/>
              </w:rPr>
            </w:pPr>
            <w:r w:rsidRPr="00DF4894">
              <w:rPr>
                <w:rFonts w:ascii="Verdana" w:hAnsi="Verdana"/>
                <w:spacing w:val="2"/>
                <w:sz w:val="20"/>
                <w:szCs w:val="20"/>
              </w:rPr>
              <w:t>8. В проекта на наредба, в параграф 4, в Таблица № 3, от ред 5 „Премахване на …”, включително, до ред 15 „Употреба на изкуствени …”, включително, следва да се има предвид, че съдържанието на тези редове следва да съответства на разпоредбите в чл. 7, ал. 1, т. 1, включително, до т. 8, включително, от действащата наредба. В предложеният проект, обаче, това не е така и виждаме съществено отклонение. В чл. 7, ал. 1, т. 1 – т. 8 от действащата наредба, на всеки ред е посочено, че това е „забрана за …”, а в предложеното ново Приложение № 1 б, в Таблица № 3, думите „забрана” на всеки от тези редове са пропуснати, и при прочитане на таблицата се оказва, че са изброени разрешени дейности, а не забранени дейности. Това представлява недопустима манипулация и изопачаване както на действащата Наредба, така и на предложения проект на наредба, и освен това е незаконосъобразно. Ето защо, бих искал да предложа по отношение на редовете от 5-ти, включително, до 15-ти, включително, в началото на всеки ред да се добави думата „Забрана за …”. Изразявам мнение, че Министерството на земеделието би следвало да избягва и да се ограничава от въвеждане и използване на манипулативни, объркващи, подвеждащи и двусмислени разпоредби, тъй като това не е правилно и не съдейства за увеличаване на доверието и на авторитета му сред заинтересованите физически и юридически лица.</w:t>
            </w:r>
          </w:p>
        </w:tc>
        <w:tc>
          <w:tcPr>
            <w:tcW w:w="1629" w:type="dxa"/>
            <w:tcBorders>
              <w:top w:val="nil"/>
              <w:left w:val="single" w:sz="18" w:space="0" w:color="2E74B5"/>
              <w:bottom w:val="nil"/>
              <w:right w:val="single" w:sz="18" w:space="0" w:color="2E74B5"/>
            </w:tcBorders>
            <w:shd w:val="clear" w:color="auto" w:fill="auto"/>
          </w:tcPr>
          <w:p w14:paraId="49E29B7C" w14:textId="083A574A" w:rsidR="006F406B" w:rsidRPr="00DF4894" w:rsidRDefault="006F406B" w:rsidP="005D5B71">
            <w:pPr>
              <w:spacing w:before="40" w:after="60"/>
              <w:rPr>
                <w:rFonts w:ascii="Verdana" w:hAnsi="Verdana"/>
                <w:color w:val="FF0000"/>
                <w:sz w:val="20"/>
                <w:szCs w:val="20"/>
              </w:rPr>
            </w:pPr>
            <w:r w:rsidRPr="00DF4894">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1573B75F" w14:textId="4357C029" w:rsidR="006F406B" w:rsidRPr="000803BF" w:rsidRDefault="006F406B" w:rsidP="005D5B71">
            <w:pPr>
              <w:spacing w:before="40" w:after="60"/>
              <w:jc w:val="both"/>
              <w:rPr>
                <w:rFonts w:ascii="Verdana" w:hAnsi="Verdana"/>
                <w:color w:val="FF0000"/>
                <w:spacing w:val="4"/>
                <w:sz w:val="20"/>
                <w:szCs w:val="20"/>
              </w:rPr>
            </w:pPr>
            <w:r w:rsidRPr="000803BF">
              <w:rPr>
                <w:rFonts w:ascii="Verdana" w:hAnsi="Verdana"/>
                <w:spacing w:val="4"/>
                <w:sz w:val="20"/>
                <w:szCs w:val="20"/>
              </w:rPr>
              <w:t xml:space="preserve">В съответствие с чл. 48, ал. 2 от </w:t>
            </w:r>
            <w:r w:rsidR="000803BF">
              <w:rPr>
                <w:rFonts w:ascii="Verdana" w:hAnsi="Verdana"/>
                <w:spacing w:val="4"/>
                <w:sz w:val="20"/>
                <w:szCs w:val="20"/>
              </w:rPr>
              <w:t xml:space="preserve">   </w:t>
            </w:r>
            <w:r w:rsidRPr="000803BF">
              <w:rPr>
                <w:rFonts w:ascii="Verdana" w:hAnsi="Verdana"/>
                <w:spacing w:val="4"/>
                <w:sz w:val="20"/>
                <w:szCs w:val="20"/>
              </w:rPr>
              <w:t>Указ № 883 от 1974 г. за прилагане на Закона за нормативните актове приложение № 1б към чл. 7, ал. 4 съответства  действащите към настоящия момент приложение № 1 към чл. 7, ал. 4 и приложение № 1а към чл. 7, ал. 4. За уреждане на една и съща материя следва да има един и същ правно-технически подход с оглед на формулиране на ясни и точни разпоредби.</w:t>
            </w:r>
            <w:r w:rsidR="00010EAA" w:rsidRPr="000803BF">
              <w:rPr>
                <w:rFonts w:ascii="Verdana" w:hAnsi="Verdana"/>
                <w:spacing w:val="4"/>
                <w:sz w:val="20"/>
                <w:szCs w:val="20"/>
              </w:rPr>
              <w:t xml:space="preserve"> Отделно следва да се има предвид, че не би могло да се направи извод, че се касае за разрешени дейности, тъй като </w:t>
            </w:r>
            <w:r w:rsidR="00492232" w:rsidRPr="000803BF">
              <w:rPr>
                <w:rFonts w:ascii="Verdana" w:hAnsi="Verdana"/>
                <w:spacing w:val="4"/>
                <w:sz w:val="20"/>
                <w:szCs w:val="20"/>
              </w:rPr>
              <w:t xml:space="preserve">изрично в чл. 7, </w:t>
            </w:r>
            <w:r w:rsidR="000803BF">
              <w:rPr>
                <w:rFonts w:ascii="Verdana" w:hAnsi="Verdana"/>
                <w:spacing w:val="4"/>
                <w:sz w:val="20"/>
                <w:szCs w:val="20"/>
              </w:rPr>
              <w:t xml:space="preserve"> </w:t>
            </w:r>
            <w:r w:rsidR="00492232" w:rsidRPr="000803BF">
              <w:rPr>
                <w:rFonts w:ascii="Verdana" w:hAnsi="Verdana"/>
                <w:spacing w:val="4"/>
                <w:sz w:val="20"/>
                <w:szCs w:val="20"/>
              </w:rPr>
              <w:t>ал. 4, към която разпоредба е създадено приложение №</w:t>
            </w:r>
            <w:r w:rsidR="0042283C">
              <w:rPr>
                <w:rFonts w:ascii="Verdana" w:hAnsi="Verdana"/>
                <w:spacing w:val="4"/>
                <w:sz w:val="20"/>
                <w:szCs w:val="20"/>
              </w:rPr>
              <w:t xml:space="preserve"> </w:t>
            </w:r>
            <w:r w:rsidR="00492232" w:rsidRPr="000803BF">
              <w:rPr>
                <w:rFonts w:ascii="Verdana" w:hAnsi="Verdana"/>
                <w:spacing w:val="4"/>
                <w:sz w:val="20"/>
                <w:szCs w:val="20"/>
              </w:rPr>
              <w:t xml:space="preserve">1б, е посочено, че финансовата помощ се предоставя за спазване на съответните забрани. В тази връзка, за да е по ясен текстът, е възприет подход да не се повтаря отново думата „забрана“, а само да се посочи съответната забрана в таблица № 3. </w:t>
            </w:r>
            <w:r w:rsidRPr="000803BF">
              <w:rPr>
                <w:rFonts w:ascii="Verdana" w:hAnsi="Verdana"/>
                <w:spacing w:val="4"/>
                <w:sz w:val="20"/>
                <w:szCs w:val="20"/>
              </w:rPr>
              <w:t xml:space="preserve"> </w:t>
            </w:r>
          </w:p>
        </w:tc>
      </w:tr>
      <w:tr w:rsidR="006F406B" w:rsidRPr="00DF4894" w14:paraId="659FD83E"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763A54DA" w14:textId="77777777" w:rsidR="006F406B" w:rsidRPr="00DF4894" w:rsidRDefault="006F406B"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36D6329F" w14:textId="77777777" w:rsidR="006F406B" w:rsidRPr="00DF4894" w:rsidRDefault="006F406B"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5260C851" w14:textId="0E8FED1E" w:rsidR="006F406B" w:rsidRPr="00DF4894" w:rsidRDefault="006F406B" w:rsidP="005D5B71">
            <w:pPr>
              <w:spacing w:before="40" w:after="60"/>
              <w:jc w:val="both"/>
              <w:rPr>
                <w:rFonts w:ascii="Verdana" w:hAnsi="Verdana"/>
                <w:spacing w:val="2"/>
                <w:sz w:val="20"/>
                <w:szCs w:val="20"/>
              </w:rPr>
            </w:pPr>
            <w:r w:rsidRPr="00DF4894">
              <w:rPr>
                <w:rFonts w:ascii="Verdana" w:hAnsi="Verdana"/>
                <w:spacing w:val="2"/>
                <w:sz w:val="20"/>
                <w:szCs w:val="20"/>
              </w:rPr>
              <w:t>9. В проекта на наредба, в параграф 4, в Таблица № 3, на редове 16, 17, 18, е записано „Ограничения за …”. Тези редове следва да съответстват на съдържанието на чл. 7, ал. 2, т. 1 – до т. 3, включително. Видно от действащата наредба, там и в трите точки е използвана думата „забрани”. Съответно, не е допустимо и не е законосъобразно, едни и същи действия, в наредбата да са наречени „забрани”, а в приложението към наредбата да са наречени „ограничения”. Ето защо, бих искал да предложа в проекта на наредба, в параграф 4, в Таблица № 3, на редове 16, 17, 18, думата „Ограничения” да се промени на „Забрани”.</w:t>
            </w:r>
          </w:p>
        </w:tc>
        <w:tc>
          <w:tcPr>
            <w:tcW w:w="1629" w:type="dxa"/>
            <w:tcBorders>
              <w:top w:val="nil"/>
              <w:left w:val="single" w:sz="18" w:space="0" w:color="2E74B5"/>
              <w:bottom w:val="nil"/>
              <w:right w:val="single" w:sz="18" w:space="0" w:color="2E74B5"/>
            </w:tcBorders>
            <w:shd w:val="clear" w:color="auto" w:fill="auto"/>
          </w:tcPr>
          <w:p w14:paraId="65F19AFF" w14:textId="413379AA" w:rsidR="006F406B" w:rsidRPr="00DF4894" w:rsidRDefault="006F406B" w:rsidP="005D5B71">
            <w:pPr>
              <w:spacing w:before="40" w:after="60"/>
              <w:rPr>
                <w:rFonts w:ascii="Verdana" w:hAnsi="Verdana"/>
                <w:color w:val="FF0000"/>
                <w:sz w:val="20"/>
                <w:szCs w:val="20"/>
              </w:rPr>
            </w:pPr>
            <w:r w:rsidRPr="00DF4894">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00D42519" w14:textId="7DBF3DCE" w:rsidR="006F406B" w:rsidRPr="00140D39" w:rsidRDefault="00492232" w:rsidP="005D5B71">
            <w:pPr>
              <w:spacing w:before="40" w:after="60"/>
              <w:jc w:val="both"/>
              <w:rPr>
                <w:rFonts w:ascii="Verdana" w:hAnsi="Verdana"/>
                <w:spacing w:val="4"/>
                <w:sz w:val="20"/>
                <w:szCs w:val="20"/>
              </w:rPr>
            </w:pPr>
            <w:r w:rsidRPr="00140D39">
              <w:rPr>
                <w:rFonts w:ascii="Verdana" w:hAnsi="Verdana"/>
                <w:spacing w:val="4"/>
                <w:sz w:val="20"/>
                <w:szCs w:val="20"/>
              </w:rPr>
              <w:t xml:space="preserve">В съответствие с чл. 48, ал. 2 от </w:t>
            </w:r>
            <w:r w:rsidR="00140D39">
              <w:rPr>
                <w:rFonts w:ascii="Verdana" w:hAnsi="Verdana"/>
                <w:spacing w:val="4"/>
                <w:sz w:val="20"/>
                <w:szCs w:val="20"/>
              </w:rPr>
              <w:t xml:space="preserve">   </w:t>
            </w:r>
            <w:r w:rsidRPr="00140D39">
              <w:rPr>
                <w:rFonts w:ascii="Verdana" w:hAnsi="Verdana"/>
                <w:spacing w:val="4"/>
                <w:sz w:val="20"/>
                <w:szCs w:val="20"/>
              </w:rPr>
              <w:t>Указ № 883 от 1974 г. за прилагане на Закона за нормативните актове приложение № 1б към чл. 7, ал. 4 съответства  действащите към настоящия момент приложение № 1 към чл. 7, ал. 4 и приложение № 1а към чл. 7, ал. 4. За уреждане на една и съща материя следва да има един и същ правно-технически подход с оглед на формулиране на ясни и точни разпоредби</w:t>
            </w:r>
            <w:r w:rsidR="008835D8" w:rsidRPr="00140D39">
              <w:rPr>
                <w:rFonts w:ascii="Verdana" w:hAnsi="Verdana"/>
                <w:spacing w:val="4"/>
                <w:sz w:val="20"/>
                <w:szCs w:val="20"/>
              </w:rPr>
              <w:t>.</w:t>
            </w:r>
          </w:p>
        </w:tc>
      </w:tr>
      <w:tr w:rsidR="006F406B" w:rsidRPr="00DF4894" w14:paraId="07DC387B" w14:textId="77777777" w:rsidTr="009528F0">
        <w:trPr>
          <w:trHeight w:val="302"/>
          <w:jc w:val="center"/>
        </w:trPr>
        <w:tc>
          <w:tcPr>
            <w:tcW w:w="540" w:type="dxa"/>
            <w:tcBorders>
              <w:top w:val="nil"/>
              <w:left w:val="single" w:sz="24" w:space="0" w:color="2E74B5"/>
              <w:bottom w:val="nil"/>
              <w:right w:val="single" w:sz="18" w:space="0" w:color="2E74B5"/>
            </w:tcBorders>
            <w:shd w:val="clear" w:color="auto" w:fill="auto"/>
          </w:tcPr>
          <w:p w14:paraId="11C19C74" w14:textId="77777777" w:rsidR="006F406B" w:rsidRPr="00DF4894" w:rsidRDefault="006F406B"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4B9BCF2E" w14:textId="77777777" w:rsidR="006F406B" w:rsidRPr="00DF4894" w:rsidRDefault="006F406B"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367E4AA" w14:textId="575D6A96" w:rsidR="006F406B" w:rsidRPr="00DF4894" w:rsidRDefault="006F406B" w:rsidP="005D5B71">
            <w:pPr>
              <w:spacing w:before="40" w:after="60"/>
              <w:jc w:val="both"/>
              <w:rPr>
                <w:rFonts w:ascii="Verdana" w:hAnsi="Verdana"/>
                <w:sz w:val="20"/>
                <w:szCs w:val="20"/>
              </w:rPr>
            </w:pPr>
            <w:r w:rsidRPr="00DF4894">
              <w:rPr>
                <w:rFonts w:ascii="Verdana" w:hAnsi="Verdana"/>
                <w:sz w:val="20"/>
                <w:szCs w:val="20"/>
              </w:rPr>
              <w:t>10. Бих искал да предложа Министерството на земеделието в своята дейност, включително при изготвяне на нормативната уредба, да използва български наименования на растителните и животинските видове. Чуждестранните наименования, както и наименованията на латински език, могат да се преведат и представят чрез една или две български думи, буквално или чрез съответствие, и по такъв начин би следвало да се въвеждат в българския правен мир и в земеделския отрасъл. Такива са и изискванията на ЗНА и на Указ № 883 за прилагане на ЗНА. Конкретно по отношение на Наредба № 5 от 2015 г. бих искал да предложа създаването на нов параграф 5 в проекта на наредба, със следното съдържание:</w:t>
            </w:r>
          </w:p>
        </w:tc>
        <w:tc>
          <w:tcPr>
            <w:tcW w:w="1629" w:type="dxa"/>
            <w:tcBorders>
              <w:top w:val="nil"/>
              <w:left w:val="single" w:sz="18" w:space="0" w:color="2E74B5"/>
              <w:bottom w:val="nil"/>
              <w:right w:val="single" w:sz="18" w:space="0" w:color="2E74B5"/>
            </w:tcBorders>
            <w:shd w:val="clear" w:color="auto" w:fill="auto"/>
          </w:tcPr>
          <w:p w14:paraId="33BC1624" w14:textId="77777777" w:rsidR="006F406B" w:rsidRPr="00DF4894" w:rsidRDefault="006F406B" w:rsidP="005D5B71">
            <w:pPr>
              <w:spacing w:before="40" w:after="6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1AA2863" w14:textId="77777777" w:rsidR="006F406B" w:rsidRPr="00DF4894" w:rsidRDefault="006F406B" w:rsidP="005D5B71">
            <w:pPr>
              <w:spacing w:before="40" w:after="60"/>
              <w:rPr>
                <w:rFonts w:ascii="Verdana" w:hAnsi="Verdana"/>
                <w:color w:val="FF0000"/>
                <w:sz w:val="20"/>
                <w:szCs w:val="20"/>
              </w:rPr>
            </w:pPr>
          </w:p>
        </w:tc>
      </w:tr>
      <w:tr w:rsidR="006F406B" w:rsidRPr="00DF4894" w14:paraId="3276C388" w14:textId="77777777" w:rsidTr="008F5C99">
        <w:trPr>
          <w:trHeight w:val="302"/>
          <w:jc w:val="center"/>
        </w:trPr>
        <w:tc>
          <w:tcPr>
            <w:tcW w:w="540" w:type="dxa"/>
            <w:tcBorders>
              <w:top w:val="nil"/>
              <w:left w:val="single" w:sz="24" w:space="0" w:color="2E74B5"/>
              <w:bottom w:val="nil"/>
              <w:right w:val="single" w:sz="18" w:space="0" w:color="2E74B5"/>
            </w:tcBorders>
            <w:shd w:val="clear" w:color="auto" w:fill="auto"/>
          </w:tcPr>
          <w:p w14:paraId="79E9B36D" w14:textId="77777777" w:rsidR="006F406B" w:rsidRPr="00DF4894" w:rsidRDefault="006F406B"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nil"/>
              <w:right w:val="single" w:sz="18" w:space="0" w:color="2E74B5"/>
            </w:tcBorders>
            <w:shd w:val="clear" w:color="auto" w:fill="auto"/>
          </w:tcPr>
          <w:p w14:paraId="15955755" w14:textId="77777777" w:rsidR="006F406B" w:rsidRPr="00DF4894" w:rsidRDefault="006F406B" w:rsidP="005D5B71">
            <w:pPr>
              <w:spacing w:before="40" w:after="60"/>
              <w:rPr>
                <w:rFonts w:ascii="Verdana" w:hAnsi="Verdana"/>
                <w:sz w:val="20"/>
                <w:szCs w:val="20"/>
              </w:rPr>
            </w:pPr>
          </w:p>
        </w:tc>
        <w:tc>
          <w:tcPr>
            <w:tcW w:w="6268" w:type="dxa"/>
            <w:tcBorders>
              <w:top w:val="nil"/>
              <w:left w:val="single" w:sz="18" w:space="0" w:color="2E74B5"/>
              <w:bottom w:val="nil"/>
              <w:right w:val="single" w:sz="18" w:space="0" w:color="2E74B5"/>
            </w:tcBorders>
            <w:shd w:val="clear" w:color="auto" w:fill="auto"/>
          </w:tcPr>
          <w:p w14:paraId="3DC45AAF" w14:textId="77777777" w:rsidR="006F406B" w:rsidRPr="00DF4894" w:rsidRDefault="006F406B" w:rsidP="005D5B71">
            <w:pPr>
              <w:spacing w:before="40" w:after="60"/>
              <w:jc w:val="both"/>
              <w:rPr>
                <w:rFonts w:ascii="Verdana" w:hAnsi="Verdana"/>
                <w:sz w:val="20"/>
                <w:szCs w:val="20"/>
              </w:rPr>
            </w:pPr>
            <w:r w:rsidRPr="00DF4894">
              <w:rPr>
                <w:rFonts w:ascii="Verdana" w:hAnsi="Verdana"/>
                <w:sz w:val="20"/>
                <w:szCs w:val="20"/>
              </w:rPr>
              <w:t>параграф 5. т. 1. В Приложение № 2 към чл. 13, т. 3 от Наредбата, в т. 3, в абзаца при второто тире, думата „айлант” се заменя с думите „китайски ясен”.</w:t>
            </w:r>
          </w:p>
          <w:p w14:paraId="1D441FBD" w14:textId="30D7D320" w:rsidR="006F406B" w:rsidRPr="00DF4894" w:rsidRDefault="006F406B" w:rsidP="005D5B71">
            <w:pPr>
              <w:spacing w:before="40" w:after="60"/>
              <w:jc w:val="both"/>
              <w:rPr>
                <w:rFonts w:ascii="Verdana" w:hAnsi="Verdana"/>
                <w:sz w:val="20"/>
                <w:szCs w:val="20"/>
              </w:rPr>
            </w:pPr>
            <w:r w:rsidRPr="00DF4894">
              <w:rPr>
                <w:rFonts w:ascii="Verdana" w:hAnsi="Verdana"/>
                <w:sz w:val="20"/>
                <w:szCs w:val="20"/>
              </w:rPr>
              <w:t>Предложените параграфи № 5 и № 6 в проекта на Министерството на земеделието стават съответно № 6 и № 7.</w:t>
            </w:r>
          </w:p>
        </w:tc>
        <w:tc>
          <w:tcPr>
            <w:tcW w:w="1629" w:type="dxa"/>
            <w:tcBorders>
              <w:top w:val="nil"/>
              <w:left w:val="single" w:sz="18" w:space="0" w:color="2E74B5"/>
              <w:bottom w:val="nil"/>
              <w:right w:val="single" w:sz="18" w:space="0" w:color="2E74B5"/>
            </w:tcBorders>
            <w:shd w:val="clear" w:color="auto" w:fill="auto"/>
          </w:tcPr>
          <w:p w14:paraId="5982508D" w14:textId="3CF0950C" w:rsidR="006F406B" w:rsidRPr="00DF4894" w:rsidRDefault="006F406B" w:rsidP="005D5B71">
            <w:pPr>
              <w:spacing w:before="40" w:after="60"/>
              <w:rPr>
                <w:rFonts w:ascii="Verdana" w:hAnsi="Verdana"/>
                <w:color w:val="FF0000"/>
                <w:sz w:val="20"/>
                <w:szCs w:val="20"/>
              </w:rPr>
            </w:pPr>
            <w:r w:rsidRPr="00DF4894">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77592895" w14:textId="259AB1E6" w:rsidR="006F406B" w:rsidRPr="00DF4894" w:rsidRDefault="004A76BF" w:rsidP="005D5B71">
            <w:pPr>
              <w:spacing w:before="40" w:after="60"/>
              <w:jc w:val="both"/>
              <w:rPr>
                <w:rFonts w:ascii="Calibri" w:hAnsi="Calibri" w:cs="Calibri"/>
                <w:sz w:val="22"/>
                <w:szCs w:val="22"/>
                <w:lang w:eastAsia="en-US"/>
              </w:rPr>
            </w:pPr>
            <w:r w:rsidRPr="00DF4894">
              <w:rPr>
                <w:rFonts w:ascii="Verdana" w:hAnsi="Verdana"/>
                <w:sz w:val="20"/>
                <w:szCs w:val="20"/>
              </w:rPr>
              <w:t>Айлант (Ailanthus altissima) е растителен вид, част от Списъка на Съюза с инвазивни чужди видове, информацията е публикувана на официалната интернет страница на Министерство на околната среда и водите.</w:t>
            </w:r>
          </w:p>
        </w:tc>
      </w:tr>
      <w:tr w:rsidR="006F406B" w:rsidRPr="00DF4894" w14:paraId="049743E7" w14:textId="77777777" w:rsidTr="008F5C99">
        <w:trPr>
          <w:trHeight w:val="302"/>
          <w:jc w:val="center"/>
        </w:trPr>
        <w:tc>
          <w:tcPr>
            <w:tcW w:w="540" w:type="dxa"/>
            <w:tcBorders>
              <w:top w:val="nil"/>
              <w:left w:val="single" w:sz="24" w:space="0" w:color="2E74B5"/>
              <w:bottom w:val="single" w:sz="24" w:space="0" w:color="2E74B5"/>
              <w:right w:val="single" w:sz="18" w:space="0" w:color="2E74B5"/>
            </w:tcBorders>
            <w:shd w:val="clear" w:color="auto" w:fill="auto"/>
          </w:tcPr>
          <w:p w14:paraId="4DBB8CF5" w14:textId="77777777" w:rsidR="006F406B" w:rsidRPr="00DF4894" w:rsidRDefault="006F406B" w:rsidP="005D5B71">
            <w:pPr>
              <w:tabs>
                <w:tab w:val="left" w:pos="192"/>
              </w:tabs>
              <w:spacing w:before="40" w:after="60"/>
              <w:ind w:left="360"/>
              <w:rPr>
                <w:rFonts w:ascii="Verdana" w:hAnsi="Verdana"/>
                <w:b/>
                <w:color w:val="FF0000"/>
                <w:sz w:val="20"/>
                <w:szCs w:val="20"/>
              </w:rPr>
            </w:pPr>
          </w:p>
        </w:tc>
        <w:tc>
          <w:tcPr>
            <w:tcW w:w="2691" w:type="dxa"/>
            <w:tcBorders>
              <w:top w:val="nil"/>
              <w:left w:val="single" w:sz="18" w:space="0" w:color="2E74B5"/>
              <w:bottom w:val="single" w:sz="24" w:space="0" w:color="2E74B5"/>
              <w:right w:val="single" w:sz="18" w:space="0" w:color="2E74B5"/>
            </w:tcBorders>
            <w:shd w:val="clear" w:color="auto" w:fill="auto"/>
          </w:tcPr>
          <w:p w14:paraId="2F1B6EA4" w14:textId="77777777" w:rsidR="006F406B" w:rsidRPr="00DF4894" w:rsidRDefault="006F406B" w:rsidP="005D5B71">
            <w:pPr>
              <w:spacing w:before="40" w:after="60"/>
              <w:rPr>
                <w:rFonts w:ascii="Verdana" w:hAnsi="Verdana"/>
                <w:sz w:val="20"/>
                <w:szCs w:val="20"/>
              </w:rPr>
            </w:pPr>
          </w:p>
        </w:tc>
        <w:tc>
          <w:tcPr>
            <w:tcW w:w="6268" w:type="dxa"/>
            <w:tcBorders>
              <w:top w:val="nil"/>
              <w:left w:val="single" w:sz="18" w:space="0" w:color="2E74B5"/>
              <w:bottom w:val="single" w:sz="24" w:space="0" w:color="2E74B5"/>
              <w:right w:val="single" w:sz="18" w:space="0" w:color="2E74B5"/>
            </w:tcBorders>
            <w:shd w:val="clear" w:color="auto" w:fill="auto"/>
          </w:tcPr>
          <w:p w14:paraId="4A706909" w14:textId="1B77B24B" w:rsidR="006F406B" w:rsidRPr="00DF4894" w:rsidRDefault="006F406B" w:rsidP="005D5B71">
            <w:pPr>
              <w:spacing w:before="40" w:after="60"/>
              <w:jc w:val="both"/>
              <w:rPr>
                <w:rFonts w:ascii="Verdana" w:hAnsi="Verdana"/>
                <w:sz w:val="20"/>
                <w:szCs w:val="20"/>
              </w:rPr>
            </w:pPr>
            <w:r w:rsidRPr="00DF4894">
              <w:rPr>
                <w:rFonts w:ascii="Verdana" w:hAnsi="Verdana"/>
                <w:sz w:val="20"/>
                <w:szCs w:val="20"/>
              </w:rPr>
              <w:t>11. На основание на чл. 26, ал. 5, изр. 1 и изр. 2 от ЗНА, след завършване на обществената консултация и преди приемане на нормативния акт, ще очаквам да публикувате на Интернет сайта на Министерството на земеделието и на Портала, справката за отразяване на постъпилите предложения и коментари, заедно с обосновка за неприетите.</w:t>
            </w:r>
          </w:p>
        </w:tc>
        <w:tc>
          <w:tcPr>
            <w:tcW w:w="1629" w:type="dxa"/>
            <w:tcBorders>
              <w:top w:val="nil"/>
              <w:left w:val="single" w:sz="18" w:space="0" w:color="2E74B5"/>
              <w:bottom w:val="single" w:sz="24" w:space="0" w:color="2E74B5"/>
              <w:right w:val="single" w:sz="18" w:space="0" w:color="2E74B5"/>
            </w:tcBorders>
            <w:shd w:val="clear" w:color="auto" w:fill="auto"/>
          </w:tcPr>
          <w:p w14:paraId="557A67D8" w14:textId="3CDFF5ED" w:rsidR="006F406B" w:rsidRPr="00DF4894" w:rsidRDefault="006F406B" w:rsidP="005D5B71">
            <w:pPr>
              <w:spacing w:before="40" w:after="60"/>
              <w:rPr>
                <w:rFonts w:ascii="Verdana" w:hAnsi="Verdana"/>
                <w:color w:val="FF0000"/>
                <w:sz w:val="20"/>
                <w:szCs w:val="20"/>
              </w:rPr>
            </w:pPr>
            <w:r w:rsidRPr="00DF4894">
              <w:rPr>
                <w:rFonts w:ascii="Verdana" w:hAnsi="Verdana"/>
                <w:sz w:val="20"/>
                <w:szCs w:val="20"/>
              </w:rPr>
              <w:t xml:space="preserve">Приема се </w:t>
            </w:r>
          </w:p>
        </w:tc>
        <w:tc>
          <w:tcPr>
            <w:tcW w:w="4522" w:type="dxa"/>
            <w:tcBorders>
              <w:top w:val="nil"/>
              <w:left w:val="single" w:sz="18" w:space="0" w:color="2E74B5"/>
              <w:bottom w:val="single" w:sz="24" w:space="0" w:color="2E74B5"/>
              <w:right w:val="single" w:sz="24" w:space="0" w:color="2E74B5"/>
            </w:tcBorders>
            <w:shd w:val="clear" w:color="auto" w:fill="auto"/>
          </w:tcPr>
          <w:p w14:paraId="53EEA0AF" w14:textId="77777777" w:rsidR="006F406B" w:rsidRPr="00DF4894" w:rsidRDefault="006F406B" w:rsidP="005D5B71">
            <w:pPr>
              <w:spacing w:before="40" w:after="60"/>
              <w:rPr>
                <w:rFonts w:ascii="Verdana" w:hAnsi="Verdana"/>
                <w:color w:val="FF0000"/>
                <w:sz w:val="20"/>
                <w:szCs w:val="20"/>
              </w:rPr>
            </w:pPr>
          </w:p>
        </w:tc>
      </w:tr>
    </w:tbl>
    <w:p w14:paraId="58152114" w14:textId="1D1FE97B" w:rsidR="00216466" w:rsidRPr="00DF4894" w:rsidRDefault="00216466" w:rsidP="00797C76">
      <w:pPr>
        <w:rPr>
          <w:rFonts w:ascii="Verdana" w:hAnsi="Verdana"/>
          <w:bCs/>
          <w:smallCaps/>
          <w:sz w:val="18"/>
          <w:szCs w:val="18"/>
        </w:rPr>
      </w:pPr>
      <w:bookmarkStart w:id="0" w:name="_GoBack"/>
      <w:bookmarkEnd w:id="0"/>
    </w:p>
    <w:sectPr w:rsidR="00216466" w:rsidRPr="00DF4894" w:rsidSect="00DF4894">
      <w:footerReference w:type="even" r:id="rId11"/>
      <w:footerReference w:type="default" r:id="rId12"/>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F674" w14:textId="77777777" w:rsidR="001D2CC4" w:rsidRDefault="001D2CC4">
      <w:r>
        <w:separator/>
      </w:r>
    </w:p>
  </w:endnote>
  <w:endnote w:type="continuationSeparator" w:id="0">
    <w:p w14:paraId="324B9A66" w14:textId="77777777" w:rsidR="001D2CC4" w:rsidRDefault="001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6C1B92" w:rsidRDefault="006C1B92"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6C1B92" w:rsidRDefault="006C1B92"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0A9E594C" w:rsidR="006C1B92" w:rsidRPr="00AF12B7" w:rsidRDefault="006C1B92"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200965">
          <w:rPr>
            <w:noProof/>
            <w:sz w:val="18"/>
            <w:szCs w:val="18"/>
          </w:rPr>
          <w:t>8</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30016" w14:textId="77777777" w:rsidR="001D2CC4" w:rsidRDefault="001D2CC4">
      <w:r>
        <w:separator/>
      </w:r>
    </w:p>
  </w:footnote>
  <w:footnote w:type="continuationSeparator" w:id="0">
    <w:p w14:paraId="6377B077" w14:textId="77777777" w:rsidR="001D2CC4" w:rsidRDefault="001D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09802F7"/>
    <w:multiLevelType w:val="multilevel"/>
    <w:tmpl w:val="BD52629C"/>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15:restartNumberingAfterBreak="0">
    <w:nsid w:val="393E2C3A"/>
    <w:multiLevelType w:val="singleLevel"/>
    <w:tmpl w:val="CF882D90"/>
    <w:lvl w:ilvl="0">
      <w:start w:val="1"/>
      <w:numFmt w:val="russianLower"/>
      <w:lvlText w:val="%1)"/>
      <w:lvlJc w:val="left"/>
    </w:lvl>
  </w:abstractNum>
  <w:abstractNum w:abstractNumId="13" w15:restartNumberingAfterBreak="0">
    <w:nsid w:val="3BC37A8C"/>
    <w:multiLevelType w:val="singleLevel"/>
    <w:tmpl w:val="596280AA"/>
    <w:lvl w:ilvl="0">
      <w:start w:val="3"/>
      <w:numFmt w:val="russianLower"/>
      <w:lvlText w:val="%1)"/>
      <w:lvlJc w:val="left"/>
    </w:lvl>
  </w:abstractNum>
  <w:abstractNum w:abstractNumId="14"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3A0C1B"/>
    <w:multiLevelType w:val="hybridMultilevel"/>
    <w:tmpl w:val="FCF008F0"/>
    <w:lvl w:ilvl="0" w:tplc="31ACFF76">
      <w:start w:val="1"/>
      <w:numFmt w:val="decimal"/>
      <w:lvlText w:val="%1."/>
      <w:lvlJc w:val="left"/>
      <w:pPr>
        <w:ind w:left="785" w:hanging="360"/>
      </w:pPr>
      <w:rPr>
        <w:color w:val="auto"/>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0"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3"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4"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5"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27"/>
  </w:num>
  <w:num w:numId="5">
    <w:abstractNumId w:val="19"/>
  </w:num>
  <w:num w:numId="6">
    <w:abstractNumId w:val="9"/>
  </w:num>
  <w:num w:numId="7">
    <w:abstractNumId w:val="21"/>
  </w:num>
  <w:num w:numId="8">
    <w:abstractNumId w:val="26"/>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5"/>
  </w:num>
  <w:num w:numId="16">
    <w:abstractNumId w:val="24"/>
  </w:num>
  <w:num w:numId="17">
    <w:abstractNumId w:val="1"/>
  </w:num>
  <w:num w:numId="18">
    <w:abstractNumId w:val="10"/>
  </w:num>
  <w:num w:numId="19">
    <w:abstractNumId w:val="22"/>
  </w:num>
  <w:num w:numId="20">
    <w:abstractNumId w:val="17"/>
  </w:num>
  <w:num w:numId="21">
    <w:abstractNumId w:val="2"/>
  </w:num>
  <w:num w:numId="22">
    <w:abstractNumId w:val="23"/>
  </w:num>
  <w:num w:numId="23">
    <w:abstractNumId w:val="0"/>
  </w:num>
  <w:num w:numId="24">
    <w:abstractNumId w:val="11"/>
  </w:num>
  <w:num w:numId="25">
    <w:abstractNumId w:val="20"/>
  </w:num>
  <w:num w:numId="26">
    <w:abstractNumId w:val="3"/>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101A6"/>
    <w:rsid w:val="00010282"/>
    <w:rsid w:val="00010EAA"/>
    <w:rsid w:val="000115D5"/>
    <w:rsid w:val="00012CAB"/>
    <w:rsid w:val="000132DD"/>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02F"/>
    <w:rsid w:val="000718C7"/>
    <w:rsid w:val="000737E5"/>
    <w:rsid w:val="000741C8"/>
    <w:rsid w:val="00075594"/>
    <w:rsid w:val="000757FC"/>
    <w:rsid w:val="000769B1"/>
    <w:rsid w:val="000803BF"/>
    <w:rsid w:val="0008079F"/>
    <w:rsid w:val="00081D6F"/>
    <w:rsid w:val="00082171"/>
    <w:rsid w:val="00082B47"/>
    <w:rsid w:val="000836C6"/>
    <w:rsid w:val="00084700"/>
    <w:rsid w:val="00086434"/>
    <w:rsid w:val="000902D1"/>
    <w:rsid w:val="00090401"/>
    <w:rsid w:val="000937D4"/>
    <w:rsid w:val="00093F30"/>
    <w:rsid w:val="00094AB2"/>
    <w:rsid w:val="000953A8"/>
    <w:rsid w:val="00096C33"/>
    <w:rsid w:val="00097783"/>
    <w:rsid w:val="000A084C"/>
    <w:rsid w:val="000A1017"/>
    <w:rsid w:val="000A2286"/>
    <w:rsid w:val="000A228F"/>
    <w:rsid w:val="000A3E16"/>
    <w:rsid w:val="000B279A"/>
    <w:rsid w:val="000B298E"/>
    <w:rsid w:val="000B2EB1"/>
    <w:rsid w:val="000B354E"/>
    <w:rsid w:val="000B3D5F"/>
    <w:rsid w:val="000B64C2"/>
    <w:rsid w:val="000B6D57"/>
    <w:rsid w:val="000B7061"/>
    <w:rsid w:val="000B7EFE"/>
    <w:rsid w:val="000C036A"/>
    <w:rsid w:val="000C0D7A"/>
    <w:rsid w:val="000C1697"/>
    <w:rsid w:val="000C4224"/>
    <w:rsid w:val="000C46A7"/>
    <w:rsid w:val="000C5247"/>
    <w:rsid w:val="000C5E61"/>
    <w:rsid w:val="000C65D0"/>
    <w:rsid w:val="000D0414"/>
    <w:rsid w:val="000D1E2E"/>
    <w:rsid w:val="000D2F9F"/>
    <w:rsid w:val="000D31EF"/>
    <w:rsid w:val="000D3F6C"/>
    <w:rsid w:val="000D3F7C"/>
    <w:rsid w:val="000D4198"/>
    <w:rsid w:val="000E145B"/>
    <w:rsid w:val="000E3570"/>
    <w:rsid w:val="000E38E0"/>
    <w:rsid w:val="000E6A80"/>
    <w:rsid w:val="000F02C5"/>
    <w:rsid w:val="000F1019"/>
    <w:rsid w:val="000F31C8"/>
    <w:rsid w:val="000F3490"/>
    <w:rsid w:val="000F4E61"/>
    <w:rsid w:val="000F5A09"/>
    <w:rsid w:val="000F5EC8"/>
    <w:rsid w:val="000F73D3"/>
    <w:rsid w:val="000F7A3E"/>
    <w:rsid w:val="001012EC"/>
    <w:rsid w:val="0010283F"/>
    <w:rsid w:val="0010687D"/>
    <w:rsid w:val="00110FB3"/>
    <w:rsid w:val="001143E4"/>
    <w:rsid w:val="001146B4"/>
    <w:rsid w:val="0011484F"/>
    <w:rsid w:val="0011552E"/>
    <w:rsid w:val="00115EDD"/>
    <w:rsid w:val="00116995"/>
    <w:rsid w:val="00116B49"/>
    <w:rsid w:val="00116FC6"/>
    <w:rsid w:val="001171CC"/>
    <w:rsid w:val="00120ABA"/>
    <w:rsid w:val="00121BA5"/>
    <w:rsid w:val="00122D91"/>
    <w:rsid w:val="001251BE"/>
    <w:rsid w:val="00125F9E"/>
    <w:rsid w:val="001311AD"/>
    <w:rsid w:val="00131D33"/>
    <w:rsid w:val="00131DA5"/>
    <w:rsid w:val="00133A14"/>
    <w:rsid w:val="001345AD"/>
    <w:rsid w:val="00134E1D"/>
    <w:rsid w:val="001353E6"/>
    <w:rsid w:val="001356D7"/>
    <w:rsid w:val="0013629D"/>
    <w:rsid w:val="00140C69"/>
    <w:rsid w:val="00140D39"/>
    <w:rsid w:val="00141BFB"/>
    <w:rsid w:val="00144034"/>
    <w:rsid w:val="001440FE"/>
    <w:rsid w:val="0014437A"/>
    <w:rsid w:val="00150E61"/>
    <w:rsid w:val="00150EA4"/>
    <w:rsid w:val="00152D3A"/>
    <w:rsid w:val="001551C4"/>
    <w:rsid w:val="00155A70"/>
    <w:rsid w:val="00155CAF"/>
    <w:rsid w:val="0016097E"/>
    <w:rsid w:val="001621CA"/>
    <w:rsid w:val="00162248"/>
    <w:rsid w:val="001668E1"/>
    <w:rsid w:val="00167D39"/>
    <w:rsid w:val="00167F77"/>
    <w:rsid w:val="00170505"/>
    <w:rsid w:val="0017183E"/>
    <w:rsid w:val="00172CCB"/>
    <w:rsid w:val="00175004"/>
    <w:rsid w:val="00177AA6"/>
    <w:rsid w:val="00177CAC"/>
    <w:rsid w:val="00177D2B"/>
    <w:rsid w:val="001808B4"/>
    <w:rsid w:val="0018509E"/>
    <w:rsid w:val="0019192E"/>
    <w:rsid w:val="00192D6A"/>
    <w:rsid w:val="001948B0"/>
    <w:rsid w:val="00195AD0"/>
    <w:rsid w:val="00195DA3"/>
    <w:rsid w:val="00196671"/>
    <w:rsid w:val="001A02C9"/>
    <w:rsid w:val="001A0680"/>
    <w:rsid w:val="001A29AE"/>
    <w:rsid w:val="001A2FE6"/>
    <w:rsid w:val="001A3975"/>
    <w:rsid w:val="001A3D29"/>
    <w:rsid w:val="001B4CD8"/>
    <w:rsid w:val="001C23BF"/>
    <w:rsid w:val="001C5BF3"/>
    <w:rsid w:val="001C6E95"/>
    <w:rsid w:val="001D23F0"/>
    <w:rsid w:val="001D2756"/>
    <w:rsid w:val="001D2CC4"/>
    <w:rsid w:val="001D362A"/>
    <w:rsid w:val="001D60F3"/>
    <w:rsid w:val="001E13F5"/>
    <w:rsid w:val="001E174B"/>
    <w:rsid w:val="001E317C"/>
    <w:rsid w:val="001E4FB9"/>
    <w:rsid w:val="001E4FE9"/>
    <w:rsid w:val="001E4FEC"/>
    <w:rsid w:val="001E523B"/>
    <w:rsid w:val="001E64F2"/>
    <w:rsid w:val="001F0567"/>
    <w:rsid w:val="001F0866"/>
    <w:rsid w:val="001F1BB7"/>
    <w:rsid w:val="001F1F60"/>
    <w:rsid w:val="001F22A3"/>
    <w:rsid w:val="001F2736"/>
    <w:rsid w:val="001F314D"/>
    <w:rsid w:val="001F4710"/>
    <w:rsid w:val="001F6BC2"/>
    <w:rsid w:val="001F718C"/>
    <w:rsid w:val="00200292"/>
    <w:rsid w:val="00200965"/>
    <w:rsid w:val="0020103A"/>
    <w:rsid w:val="00201455"/>
    <w:rsid w:val="00201739"/>
    <w:rsid w:val="0020584E"/>
    <w:rsid w:val="00206678"/>
    <w:rsid w:val="00210233"/>
    <w:rsid w:val="0021035B"/>
    <w:rsid w:val="00212D43"/>
    <w:rsid w:val="0021436C"/>
    <w:rsid w:val="00214B75"/>
    <w:rsid w:val="00215178"/>
    <w:rsid w:val="00216466"/>
    <w:rsid w:val="00220442"/>
    <w:rsid w:val="00221143"/>
    <w:rsid w:val="002217C0"/>
    <w:rsid w:val="00221B68"/>
    <w:rsid w:val="00223F2E"/>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72CF"/>
    <w:rsid w:val="002500BD"/>
    <w:rsid w:val="002536A8"/>
    <w:rsid w:val="00254CE4"/>
    <w:rsid w:val="002552EF"/>
    <w:rsid w:val="00257983"/>
    <w:rsid w:val="00260F55"/>
    <w:rsid w:val="002632C1"/>
    <w:rsid w:val="00263E76"/>
    <w:rsid w:val="002640E1"/>
    <w:rsid w:val="00264B95"/>
    <w:rsid w:val="0027210E"/>
    <w:rsid w:val="00272EE3"/>
    <w:rsid w:val="00273219"/>
    <w:rsid w:val="00273678"/>
    <w:rsid w:val="00273CAC"/>
    <w:rsid w:val="0027620A"/>
    <w:rsid w:val="002804CF"/>
    <w:rsid w:val="002820C6"/>
    <w:rsid w:val="00282A08"/>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3C9B"/>
    <w:rsid w:val="002A50DD"/>
    <w:rsid w:val="002A5290"/>
    <w:rsid w:val="002A59D9"/>
    <w:rsid w:val="002A5A11"/>
    <w:rsid w:val="002A67D5"/>
    <w:rsid w:val="002B2268"/>
    <w:rsid w:val="002B4A91"/>
    <w:rsid w:val="002C03AF"/>
    <w:rsid w:val="002C1BB7"/>
    <w:rsid w:val="002C2EEA"/>
    <w:rsid w:val="002C3BA2"/>
    <w:rsid w:val="002C475B"/>
    <w:rsid w:val="002C5843"/>
    <w:rsid w:val="002C7F10"/>
    <w:rsid w:val="002D083C"/>
    <w:rsid w:val="002D18C3"/>
    <w:rsid w:val="002D2176"/>
    <w:rsid w:val="002D629F"/>
    <w:rsid w:val="002E0082"/>
    <w:rsid w:val="002E03DD"/>
    <w:rsid w:val="002E4664"/>
    <w:rsid w:val="002E537C"/>
    <w:rsid w:val="002E57D4"/>
    <w:rsid w:val="002E5E3F"/>
    <w:rsid w:val="002E6ADF"/>
    <w:rsid w:val="002E73FF"/>
    <w:rsid w:val="002F0752"/>
    <w:rsid w:val="002F4AF6"/>
    <w:rsid w:val="002F7B2A"/>
    <w:rsid w:val="003009B2"/>
    <w:rsid w:val="00300B99"/>
    <w:rsid w:val="00300D63"/>
    <w:rsid w:val="003034CD"/>
    <w:rsid w:val="003039A5"/>
    <w:rsid w:val="00306298"/>
    <w:rsid w:val="00312FB3"/>
    <w:rsid w:val="00314B98"/>
    <w:rsid w:val="00314F63"/>
    <w:rsid w:val="003154C2"/>
    <w:rsid w:val="00316618"/>
    <w:rsid w:val="00321BD0"/>
    <w:rsid w:val="00322547"/>
    <w:rsid w:val="0032394D"/>
    <w:rsid w:val="003246BD"/>
    <w:rsid w:val="00326B58"/>
    <w:rsid w:val="003302BD"/>
    <w:rsid w:val="00330507"/>
    <w:rsid w:val="00330936"/>
    <w:rsid w:val="003336CE"/>
    <w:rsid w:val="00333BD7"/>
    <w:rsid w:val="00340212"/>
    <w:rsid w:val="00344138"/>
    <w:rsid w:val="00345060"/>
    <w:rsid w:val="00345B9F"/>
    <w:rsid w:val="00346856"/>
    <w:rsid w:val="00351063"/>
    <w:rsid w:val="00352461"/>
    <w:rsid w:val="003555CD"/>
    <w:rsid w:val="00356131"/>
    <w:rsid w:val="00362508"/>
    <w:rsid w:val="003628A2"/>
    <w:rsid w:val="003640F0"/>
    <w:rsid w:val="003645F1"/>
    <w:rsid w:val="00367DA5"/>
    <w:rsid w:val="0037191E"/>
    <w:rsid w:val="00371937"/>
    <w:rsid w:val="003737F2"/>
    <w:rsid w:val="00377A96"/>
    <w:rsid w:val="00377FE2"/>
    <w:rsid w:val="00382966"/>
    <w:rsid w:val="003845BB"/>
    <w:rsid w:val="00384B8B"/>
    <w:rsid w:val="00387130"/>
    <w:rsid w:val="00387162"/>
    <w:rsid w:val="003903E2"/>
    <w:rsid w:val="00390D8E"/>
    <w:rsid w:val="00395655"/>
    <w:rsid w:val="003A060F"/>
    <w:rsid w:val="003A48EE"/>
    <w:rsid w:val="003A7841"/>
    <w:rsid w:val="003B4449"/>
    <w:rsid w:val="003B629A"/>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232F"/>
    <w:rsid w:val="003E361D"/>
    <w:rsid w:val="003E64F9"/>
    <w:rsid w:val="003F2026"/>
    <w:rsid w:val="003F29BC"/>
    <w:rsid w:val="003F3728"/>
    <w:rsid w:val="003F6D22"/>
    <w:rsid w:val="003F7612"/>
    <w:rsid w:val="003F7CD4"/>
    <w:rsid w:val="004027A6"/>
    <w:rsid w:val="0040510D"/>
    <w:rsid w:val="00407815"/>
    <w:rsid w:val="00414F26"/>
    <w:rsid w:val="00415D7B"/>
    <w:rsid w:val="00417315"/>
    <w:rsid w:val="00420A7D"/>
    <w:rsid w:val="00420F8B"/>
    <w:rsid w:val="00421059"/>
    <w:rsid w:val="0042283C"/>
    <w:rsid w:val="0042418B"/>
    <w:rsid w:val="0042440B"/>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46DE"/>
    <w:rsid w:val="004674A7"/>
    <w:rsid w:val="0046759A"/>
    <w:rsid w:val="00467C52"/>
    <w:rsid w:val="00470D89"/>
    <w:rsid w:val="004719B1"/>
    <w:rsid w:val="0047261C"/>
    <w:rsid w:val="004739BA"/>
    <w:rsid w:val="004739E7"/>
    <w:rsid w:val="004741D2"/>
    <w:rsid w:val="00475298"/>
    <w:rsid w:val="00483378"/>
    <w:rsid w:val="00483594"/>
    <w:rsid w:val="00487E51"/>
    <w:rsid w:val="00490845"/>
    <w:rsid w:val="00492232"/>
    <w:rsid w:val="00493B7A"/>
    <w:rsid w:val="004942CA"/>
    <w:rsid w:val="0049486D"/>
    <w:rsid w:val="00496618"/>
    <w:rsid w:val="004972E2"/>
    <w:rsid w:val="004A0A82"/>
    <w:rsid w:val="004A207E"/>
    <w:rsid w:val="004A27CC"/>
    <w:rsid w:val="004A285F"/>
    <w:rsid w:val="004A55AC"/>
    <w:rsid w:val="004A5E2A"/>
    <w:rsid w:val="004A6AE4"/>
    <w:rsid w:val="004A70C4"/>
    <w:rsid w:val="004A76BF"/>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E0260"/>
    <w:rsid w:val="004E16EE"/>
    <w:rsid w:val="004E1E46"/>
    <w:rsid w:val="004E3F53"/>
    <w:rsid w:val="004E4897"/>
    <w:rsid w:val="004E6D10"/>
    <w:rsid w:val="004F09FD"/>
    <w:rsid w:val="004F11C4"/>
    <w:rsid w:val="004F17EA"/>
    <w:rsid w:val="004F275F"/>
    <w:rsid w:val="004F2B1B"/>
    <w:rsid w:val="004F4B94"/>
    <w:rsid w:val="004F70FF"/>
    <w:rsid w:val="004F77AB"/>
    <w:rsid w:val="004F7953"/>
    <w:rsid w:val="0050084D"/>
    <w:rsid w:val="00501E0F"/>
    <w:rsid w:val="00501E65"/>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82"/>
    <w:rsid w:val="005354D0"/>
    <w:rsid w:val="00540693"/>
    <w:rsid w:val="005408A3"/>
    <w:rsid w:val="00540C53"/>
    <w:rsid w:val="00540EEE"/>
    <w:rsid w:val="00541692"/>
    <w:rsid w:val="00541EBE"/>
    <w:rsid w:val="005424B9"/>
    <w:rsid w:val="00543E05"/>
    <w:rsid w:val="005462B1"/>
    <w:rsid w:val="00550BC0"/>
    <w:rsid w:val="005525EA"/>
    <w:rsid w:val="005531AA"/>
    <w:rsid w:val="00554B28"/>
    <w:rsid w:val="00554CC1"/>
    <w:rsid w:val="0056050D"/>
    <w:rsid w:val="00560A43"/>
    <w:rsid w:val="00563FA3"/>
    <w:rsid w:val="005644C8"/>
    <w:rsid w:val="00564500"/>
    <w:rsid w:val="00564E98"/>
    <w:rsid w:val="00565E93"/>
    <w:rsid w:val="00566018"/>
    <w:rsid w:val="00572F83"/>
    <w:rsid w:val="00573E06"/>
    <w:rsid w:val="005778C6"/>
    <w:rsid w:val="00577AC1"/>
    <w:rsid w:val="005818DD"/>
    <w:rsid w:val="00583A7E"/>
    <w:rsid w:val="00586A0B"/>
    <w:rsid w:val="00586BD9"/>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257C"/>
    <w:rsid w:val="005B6646"/>
    <w:rsid w:val="005B7002"/>
    <w:rsid w:val="005C2DFD"/>
    <w:rsid w:val="005C43C6"/>
    <w:rsid w:val="005C4BE7"/>
    <w:rsid w:val="005C61F4"/>
    <w:rsid w:val="005C7A87"/>
    <w:rsid w:val="005D0610"/>
    <w:rsid w:val="005D06F0"/>
    <w:rsid w:val="005D094A"/>
    <w:rsid w:val="005D0F46"/>
    <w:rsid w:val="005D1127"/>
    <w:rsid w:val="005D1DDD"/>
    <w:rsid w:val="005D276C"/>
    <w:rsid w:val="005D3B47"/>
    <w:rsid w:val="005D47E7"/>
    <w:rsid w:val="005D5B4B"/>
    <w:rsid w:val="005D5B71"/>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511A"/>
    <w:rsid w:val="00617D55"/>
    <w:rsid w:val="00617F06"/>
    <w:rsid w:val="006222B2"/>
    <w:rsid w:val="006240D8"/>
    <w:rsid w:val="00626132"/>
    <w:rsid w:val="006310A1"/>
    <w:rsid w:val="006317AC"/>
    <w:rsid w:val="0063318F"/>
    <w:rsid w:val="00633884"/>
    <w:rsid w:val="00634DDD"/>
    <w:rsid w:val="006361E3"/>
    <w:rsid w:val="00636320"/>
    <w:rsid w:val="0063730A"/>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712A6"/>
    <w:rsid w:val="00671910"/>
    <w:rsid w:val="00671E4E"/>
    <w:rsid w:val="00673257"/>
    <w:rsid w:val="0067456E"/>
    <w:rsid w:val="00675133"/>
    <w:rsid w:val="00676037"/>
    <w:rsid w:val="006773A2"/>
    <w:rsid w:val="00677D9A"/>
    <w:rsid w:val="006802C1"/>
    <w:rsid w:val="006818E8"/>
    <w:rsid w:val="00681C2B"/>
    <w:rsid w:val="00682E63"/>
    <w:rsid w:val="00685E6E"/>
    <w:rsid w:val="00686496"/>
    <w:rsid w:val="00690FE6"/>
    <w:rsid w:val="00691BD4"/>
    <w:rsid w:val="006940E7"/>
    <w:rsid w:val="00694141"/>
    <w:rsid w:val="006941C8"/>
    <w:rsid w:val="00697863"/>
    <w:rsid w:val="006A0D8A"/>
    <w:rsid w:val="006A343F"/>
    <w:rsid w:val="006A36D7"/>
    <w:rsid w:val="006A3AD5"/>
    <w:rsid w:val="006A512F"/>
    <w:rsid w:val="006A5395"/>
    <w:rsid w:val="006A70E2"/>
    <w:rsid w:val="006B20EC"/>
    <w:rsid w:val="006B4070"/>
    <w:rsid w:val="006B5E2B"/>
    <w:rsid w:val="006C1B92"/>
    <w:rsid w:val="006C1FAA"/>
    <w:rsid w:val="006C5DD9"/>
    <w:rsid w:val="006C605F"/>
    <w:rsid w:val="006C6A82"/>
    <w:rsid w:val="006D1DF2"/>
    <w:rsid w:val="006D1F20"/>
    <w:rsid w:val="006D2BDD"/>
    <w:rsid w:val="006D4254"/>
    <w:rsid w:val="006D5F6F"/>
    <w:rsid w:val="006D6C3E"/>
    <w:rsid w:val="006D6CEA"/>
    <w:rsid w:val="006D70A7"/>
    <w:rsid w:val="006D745F"/>
    <w:rsid w:val="006D7881"/>
    <w:rsid w:val="006D7E56"/>
    <w:rsid w:val="006E01F0"/>
    <w:rsid w:val="006E23DE"/>
    <w:rsid w:val="006E31CC"/>
    <w:rsid w:val="006E32E7"/>
    <w:rsid w:val="006E3D3C"/>
    <w:rsid w:val="006E46A3"/>
    <w:rsid w:val="006E4DC3"/>
    <w:rsid w:val="006E58C1"/>
    <w:rsid w:val="006E7B3B"/>
    <w:rsid w:val="006F282A"/>
    <w:rsid w:val="006F33DD"/>
    <w:rsid w:val="006F35F8"/>
    <w:rsid w:val="006F406B"/>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FC7"/>
    <w:rsid w:val="007160B3"/>
    <w:rsid w:val="00716B72"/>
    <w:rsid w:val="00717394"/>
    <w:rsid w:val="00717743"/>
    <w:rsid w:val="007201DC"/>
    <w:rsid w:val="00720625"/>
    <w:rsid w:val="0072098B"/>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2B84"/>
    <w:rsid w:val="00753049"/>
    <w:rsid w:val="00756242"/>
    <w:rsid w:val="00756290"/>
    <w:rsid w:val="00756A19"/>
    <w:rsid w:val="0076108C"/>
    <w:rsid w:val="00761B5E"/>
    <w:rsid w:val="0076408A"/>
    <w:rsid w:val="00773DD9"/>
    <w:rsid w:val="00774BE7"/>
    <w:rsid w:val="00775304"/>
    <w:rsid w:val="00776A84"/>
    <w:rsid w:val="00777754"/>
    <w:rsid w:val="007806A8"/>
    <w:rsid w:val="00781306"/>
    <w:rsid w:val="00781635"/>
    <w:rsid w:val="007836C8"/>
    <w:rsid w:val="00790ADA"/>
    <w:rsid w:val="0079117E"/>
    <w:rsid w:val="007934F1"/>
    <w:rsid w:val="00794229"/>
    <w:rsid w:val="00795A1B"/>
    <w:rsid w:val="00796217"/>
    <w:rsid w:val="007970F0"/>
    <w:rsid w:val="007971F3"/>
    <w:rsid w:val="00797C76"/>
    <w:rsid w:val="007A1BCA"/>
    <w:rsid w:val="007A30DD"/>
    <w:rsid w:val="007A3401"/>
    <w:rsid w:val="007A4157"/>
    <w:rsid w:val="007B0FAB"/>
    <w:rsid w:val="007B1141"/>
    <w:rsid w:val="007B24F7"/>
    <w:rsid w:val="007B3D33"/>
    <w:rsid w:val="007B47A9"/>
    <w:rsid w:val="007B4CFC"/>
    <w:rsid w:val="007B5C10"/>
    <w:rsid w:val="007B6FFE"/>
    <w:rsid w:val="007C0484"/>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5A"/>
    <w:rsid w:val="007F5275"/>
    <w:rsid w:val="00800079"/>
    <w:rsid w:val="0080232E"/>
    <w:rsid w:val="00803CA0"/>
    <w:rsid w:val="008053FB"/>
    <w:rsid w:val="008059AC"/>
    <w:rsid w:val="008125C1"/>
    <w:rsid w:val="00812789"/>
    <w:rsid w:val="00813EBF"/>
    <w:rsid w:val="00817D17"/>
    <w:rsid w:val="00821662"/>
    <w:rsid w:val="00824BA3"/>
    <w:rsid w:val="00825052"/>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C8D"/>
    <w:rsid w:val="008434D2"/>
    <w:rsid w:val="00844CC3"/>
    <w:rsid w:val="00845BC3"/>
    <w:rsid w:val="00846E8D"/>
    <w:rsid w:val="008476BF"/>
    <w:rsid w:val="00847CFC"/>
    <w:rsid w:val="008508D5"/>
    <w:rsid w:val="008509AF"/>
    <w:rsid w:val="0085319B"/>
    <w:rsid w:val="00853C0E"/>
    <w:rsid w:val="0085481D"/>
    <w:rsid w:val="00854E7C"/>
    <w:rsid w:val="00855317"/>
    <w:rsid w:val="00855962"/>
    <w:rsid w:val="00857187"/>
    <w:rsid w:val="00860921"/>
    <w:rsid w:val="00860FE7"/>
    <w:rsid w:val="00861994"/>
    <w:rsid w:val="00861CE5"/>
    <w:rsid w:val="0086226E"/>
    <w:rsid w:val="00864193"/>
    <w:rsid w:val="0086505F"/>
    <w:rsid w:val="00865EE3"/>
    <w:rsid w:val="0086600C"/>
    <w:rsid w:val="00872A86"/>
    <w:rsid w:val="00873354"/>
    <w:rsid w:val="00874481"/>
    <w:rsid w:val="00875D88"/>
    <w:rsid w:val="00881967"/>
    <w:rsid w:val="008835B5"/>
    <w:rsid w:val="008835D8"/>
    <w:rsid w:val="0088605D"/>
    <w:rsid w:val="00887913"/>
    <w:rsid w:val="00890675"/>
    <w:rsid w:val="0089123B"/>
    <w:rsid w:val="00891BE7"/>
    <w:rsid w:val="00893267"/>
    <w:rsid w:val="0089415A"/>
    <w:rsid w:val="00894526"/>
    <w:rsid w:val="00894946"/>
    <w:rsid w:val="0089506D"/>
    <w:rsid w:val="008968DF"/>
    <w:rsid w:val="00897F84"/>
    <w:rsid w:val="008A00BC"/>
    <w:rsid w:val="008A0B79"/>
    <w:rsid w:val="008A1687"/>
    <w:rsid w:val="008A2346"/>
    <w:rsid w:val="008A2DF5"/>
    <w:rsid w:val="008A3A73"/>
    <w:rsid w:val="008A43AD"/>
    <w:rsid w:val="008A4DBD"/>
    <w:rsid w:val="008A52D8"/>
    <w:rsid w:val="008A5E27"/>
    <w:rsid w:val="008A6FF9"/>
    <w:rsid w:val="008A721D"/>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512"/>
    <w:rsid w:val="008D7657"/>
    <w:rsid w:val="008E1CC8"/>
    <w:rsid w:val="008E24D8"/>
    <w:rsid w:val="008E2A45"/>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5C99"/>
    <w:rsid w:val="008F6393"/>
    <w:rsid w:val="008F6748"/>
    <w:rsid w:val="00900BF9"/>
    <w:rsid w:val="00901E19"/>
    <w:rsid w:val="00901F49"/>
    <w:rsid w:val="00902FF9"/>
    <w:rsid w:val="00904B60"/>
    <w:rsid w:val="00905EB8"/>
    <w:rsid w:val="00905F3A"/>
    <w:rsid w:val="009066B0"/>
    <w:rsid w:val="0090679B"/>
    <w:rsid w:val="0090782D"/>
    <w:rsid w:val="00912765"/>
    <w:rsid w:val="0091523F"/>
    <w:rsid w:val="0091558A"/>
    <w:rsid w:val="009167F2"/>
    <w:rsid w:val="00917058"/>
    <w:rsid w:val="00923C45"/>
    <w:rsid w:val="00924F7D"/>
    <w:rsid w:val="0092693D"/>
    <w:rsid w:val="0093024B"/>
    <w:rsid w:val="00931102"/>
    <w:rsid w:val="009312BE"/>
    <w:rsid w:val="00932D4A"/>
    <w:rsid w:val="00936B7F"/>
    <w:rsid w:val="009373FD"/>
    <w:rsid w:val="00937544"/>
    <w:rsid w:val="009415CD"/>
    <w:rsid w:val="0094334A"/>
    <w:rsid w:val="00943E2F"/>
    <w:rsid w:val="00944EC7"/>
    <w:rsid w:val="00950B10"/>
    <w:rsid w:val="00952765"/>
    <w:rsid w:val="009528F0"/>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B09"/>
    <w:rsid w:val="00984646"/>
    <w:rsid w:val="0098541A"/>
    <w:rsid w:val="00990860"/>
    <w:rsid w:val="00990FC4"/>
    <w:rsid w:val="00991FDD"/>
    <w:rsid w:val="00992009"/>
    <w:rsid w:val="00992B9B"/>
    <w:rsid w:val="0099513B"/>
    <w:rsid w:val="00995D64"/>
    <w:rsid w:val="009965B4"/>
    <w:rsid w:val="00996B48"/>
    <w:rsid w:val="009A1269"/>
    <w:rsid w:val="009A19C4"/>
    <w:rsid w:val="009A453C"/>
    <w:rsid w:val="009B1744"/>
    <w:rsid w:val="009B1EE9"/>
    <w:rsid w:val="009B3DAC"/>
    <w:rsid w:val="009B568A"/>
    <w:rsid w:val="009C08B5"/>
    <w:rsid w:val="009C4545"/>
    <w:rsid w:val="009C4DFC"/>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63D9"/>
    <w:rsid w:val="00A16F07"/>
    <w:rsid w:val="00A23452"/>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6303"/>
    <w:rsid w:val="00A463D4"/>
    <w:rsid w:val="00A50CD4"/>
    <w:rsid w:val="00A52FAE"/>
    <w:rsid w:val="00A53909"/>
    <w:rsid w:val="00A548D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6B61"/>
    <w:rsid w:val="00A85598"/>
    <w:rsid w:val="00A856B0"/>
    <w:rsid w:val="00A8607A"/>
    <w:rsid w:val="00A86D8D"/>
    <w:rsid w:val="00A90530"/>
    <w:rsid w:val="00A917A9"/>
    <w:rsid w:val="00A919EA"/>
    <w:rsid w:val="00A91A2A"/>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D3F9D"/>
    <w:rsid w:val="00AD4746"/>
    <w:rsid w:val="00AD5010"/>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6E73"/>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5167A"/>
    <w:rsid w:val="00B5191C"/>
    <w:rsid w:val="00B51F46"/>
    <w:rsid w:val="00B556DA"/>
    <w:rsid w:val="00B5758A"/>
    <w:rsid w:val="00B6338C"/>
    <w:rsid w:val="00B6355E"/>
    <w:rsid w:val="00B64471"/>
    <w:rsid w:val="00B65B84"/>
    <w:rsid w:val="00B7272A"/>
    <w:rsid w:val="00B728C8"/>
    <w:rsid w:val="00B73133"/>
    <w:rsid w:val="00B74629"/>
    <w:rsid w:val="00B75F90"/>
    <w:rsid w:val="00B8036D"/>
    <w:rsid w:val="00B803D5"/>
    <w:rsid w:val="00B82C78"/>
    <w:rsid w:val="00B84A5C"/>
    <w:rsid w:val="00B87124"/>
    <w:rsid w:val="00B92D10"/>
    <w:rsid w:val="00B93671"/>
    <w:rsid w:val="00B93841"/>
    <w:rsid w:val="00B948D2"/>
    <w:rsid w:val="00B94908"/>
    <w:rsid w:val="00B95598"/>
    <w:rsid w:val="00BA34A2"/>
    <w:rsid w:val="00BA478A"/>
    <w:rsid w:val="00BA66F5"/>
    <w:rsid w:val="00BA726F"/>
    <w:rsid w:val="00BB09EF"/>
    <w:rsid w:val="00BB5958"/>
    <w:rsid w:val="00BC09A4"/>
    <w:rsid w:val="00BC2111"/>
    <w:rsid w:val="00BC5603"/>
    <w:rsid w:val="00BC61FD"/>
    <w:rsid w:val="00BC6272"/>
    <w:rsid w:val="00BC7E5F"/>
    <w:rsid w:val="00BD0FA0"/>
    <w:rsid w:val="00BD0FD6"/>
    <w:rsid w:val="00BD284B"/>
    <w:rsid w:val="00BD2B98"/>
    <w:rsid w:val="00BD2F6E"/>
    <w:rsid w:val="00BD7382"/>
    <w:rsid w:val="00BD7BD3"/>
    <w:rsid w:val="00BE0D0E"/>
    <w:rsid w:val="00BE1037"/>
    <w:rsid w:val="00BE379A"/>
    <w:rsid w:val="00BE395D"/>
    <w:rsid w:val="00BE482D"/>
    <w:rsid w:val="00BE5DB7"/>
    <w:rsid w:val="00BE6BFB"/>
    <w:rsid w:val="00BF0159"/>
    <w:rsid w:val="00BF0847"/>
    <w:rsid w:val="00BF3308"/>
    <w:rsid w:val="00BF5B8B"/>
    <w:rsid w:val="00C00B69"/>
    <w:rsid w:val="00C00CF3"/>
    <w:rsid w:val="00C01B41"/>
    <w:rsid w:val="00C03495"/>
    <w:rsid w:val="00C104FE"/>
    <w:rsid w:val="00C118F2"/>
    <w:rsid w:val="00C11946"/>
    <w:rsid w:val="00C1385A"/>
    <w:rsid w:val="00C20CDA"/>
    <w:rsid w:val="00C20DC3"/>
    <w:rsid w:val="00C216FA"/>
    <w:rsid w:val="00C221F5"/>
    <w:rsid w:val="00C2421A"/>
    <w:rsid w:val="00C27D33"/>
    <w:rsid w:val="00C31286"/>
    <w:rsid w:val="00C31A5B"/>
    <w:rsid w:val="00C32478"/>
    <w:rsid w:val="00C34C0E"/>
    <w:rsid w:val="00C35EF2"/>
    <w:rsid w:val="00C403B4"/>
    <w:rsid w:val="00C406DE"/>
    <w:rsid w:val="00C411FE"/>
    <w:rsid w:val="00C416F7"/>
    <w:rsid w:val="00C41B61"/>
    <w:rsid w:val="00C422DB"/>
    <w:rsid w:val="00C434F9"/>
    <w:rsid w:val="00C447AD"/>
    <w:rsid w:val="00C45CC3"/>
    <w:rsid w:val="00C45CCE"/>
    <w:rsid w:val="00C46170"/>
    <w:rsid w:val="00C4634D"/>
    <w:rsid w:val="00C467CA"/>
    <w:rsid w:val="00C467D4"/>
    <w:rsid w:val="00C46941"/>
    <w:rsid w:val="00C47381"/>
    <w:rsid w:val="00C47FAD"/>
    <w:rsid w:val="00C5278E"/>
    <w:rsid w:val="00C538D8"/>
    <w:rsid w:val="00C550EA"/>
    <w:rsid w:val="00C569AB"/>
    <w:rsid w:val="00C57F0D"/>
    <w:rsid w:val="00C6176A"/>
    <w:rsid w:val="00C63AA7"/>
    <w:rsid w:val="00C666AF"/>
    <w:rsid w:val="00C711DA"/>
    <w:rsid w:val="00C71863"/>
    <w:rsid w:val="00C718DA"/>
    <w:rsid w:val="00C72BBA"/>
    <w:rsid w:val="00C73873"/>
    <w:rsid w:val="00C75FCC"/>
    <w:rsid w:val="00C80322"/>
    <w:rsid w:val="00C8108F"/>
    <w:rsid w:val="00C8433A"/>
    <w:rsid w:val="00C85C00"/>
    <w:rsid w:val="00C86431"/>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D02E0"/>
    <w:rsid w:val="00CD056E"/>
    <w:rsid w:val="00CD0B50"/>
    <w:rsid w:val="00CD1405"/>
    <w:rsid w:val="00CD518F"/>
    <w:rsid w:val="00CE192F"/>
    <w:rsid w:val="00CE2A7F"/>
    <w:rsid w:val="00CE3610"/>
    <w:rsid w:val="00CE5CE6"/>
    <w:rsid w:val="00CF00CF"/>
    <w:rsid w:val="00CF24CD"/>
    <w:rsid w:val="00CF2922"/>
    <w:rsid w:val="00CF3D00"/>
    <w:rsid w:val="00CF4EF2"/>
    <w:rsid w:val="00CF5221"/>
    <w:rsid w:val="00CF5822"/>
    <w:rsid w:val="00CF5841"/>
    <w:rsid w:val="00CF5A9B"/>
    <w:rsid w:val="00CF61A2"/>
    <w:rsid w:val="00CF6672"/>
    <w:rsid w:val="00D01B92"/>
    <w:rsid w:val="00D03A5F"/>
    <w:rsid w:val="00D03C40"/>
    <w:rsid w:val="00D049A7"/>
    <w:rsid w:val="00D04F6A"/>
    <w:rsid w:val="00D07E6A"/>
    <w:rsid w:val="00D11E74"/>
    <w:rsid w:val="00D11FEB"/>
    <w:rsid w:val="00D13DED"/>
    <w:rsid w:val="00D144A4"/>
    <w:rsid w:val="00D20423"/>
    <w:rsid w:val="00D20698"/>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50A41"/>
    <w:rsid w:val="00D52ABB"/>
    <w:rsid w:val="00D5313C"/>
    <w:rsid w:val="00D532DC"/>
    <w:rsid w:val="00D53C62"/>
    <w:rsid w:val="00D62F5A"/>
    <w:rsid w:val="00D63557"/>
    <w:rsid w:val="00D63E9B"/>
    <w:rsid w:val="00D71C75"/>
    <w:rsid w:val="00D76AAD"/>
    <w:rsid w:val="00D76DCC"/>
    <w:rsid w:val="00D82A70"/>
    <w:rsid w:val="00D82B55"/>
    <w:rsid w:val="00D83702"/>
    <w:rsid w:val="00D838C4"/>
    <w:rsid w:val="00D85B99"/>
    <w:rsid w:val="00D863D3"/>
    <w:rsid w:val="00D9659F"/>
    <w:rsid w:val="00D96BC4"/>
    <w:rsid w:val="00D96DF5"/>
    <w:rsid w:val="00DA01F4"/>
    <w:rsid w:val="00DA0F8B"/>
    <w:rsid w:val="00DA2400"/>
    <w:rsid w:val="00DA4C8E"/>
    <w:rsid w:val="00DA704B"/>
    <w:rsid w:val="00DB4FE0"/>
    <w:rsid w:val="00DB5EFB"/>
    <w:rsid w:val="00DB75E1"/>
    <w:rsid w:val="00DC60E2"/>
    <w:rsid w:val="00DC61A2"/>
    <w:rsid w:val="00DD0B73"/>
    <w:rsid w:val="00DD139E"/>
    <w:rsid w:val="00DD4DA6"/>
    <w:rsid w:val="00DD529D"/>
    <w:rsid w:val="00DD5BC5"/>
    <w:rsid w:val="00DD7AA4"/>
    <w:rsid w:val="00DE1C7B"/>
    <w:rsid w:val="00DE33B8"/>
    <w:rsid w:val="00DE370C"/>
    <w:rsid w:val="00DE48BE"/>
    <w:rsid w:val="00DE4ACD"/>
    <w:rsid w:val="00DE5489"/>
    <w:rsid w:val="00DF25A4"/>
    <w:rsid w:val="00DF32C0"/>
    <w:rsid w:val="00DF40F8"/>
    <w:rsid w:val="00DF4894"/>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74E3"/>
    <w:rsid w:val="00E12CA3"/>
    <w:rsid w:val="00E13B7B"/>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454D"/>
    <w:rsid w:val="00E352D8"/>
    <w:rsid w:val="00E36D56"/>
    <w:rsid w:val="00E377AA"/>
    <w:rsid w:val="00E404A7"/>
    <w:rsid w:val="00E41613"/>
    <w:rsid w:val="00E4166F"/>
    <w:rsid w:val="00E41BB3"/>
    <w:rsid w:val="00E42966"/>
    <w:rsid w:val="00E42E7A"/>
    <w:rsid w:val="00E46940"/>
    <w:rsid w:val="00E47313"/>
    <w:rsid w:val="00E47E16"/>
    <w:rsid w:val="00E52B88"/>
    <w:rsid w:val="00E53B43"/>
    <w:rsid w:val="00E53BC4"/>
    <w:rsid w:val="00E54558"/>
    <w:rsid w:val="00E55296"/>
    <w:rsid w:val="00E554DE"/>
    <w:rsid w:val="00E603BE"/>
    <w:rsid w:val="00E61C1E"/>
    <w:rsid w:val="00E61E3D"/>
    <w:rsid w:val="00E61F16"/>
    <w:rsid w:val="00E65C58"/>
    <w:rsid w:val="00E6688E"/>
    <w:rsid w:val="00E67755"/>
    <w:rsid w:val="00E67830"/>
    <w:rsid w:val="00E67A45"/>
    <w:rsid w:val="00E721A2"/>
    <w:rsid w:val="00E72CDA"/>
    <w:rsid w:val="00E76BD1"/>
    <w:rsid w:val="00E77098"/>
    <w:rsid w:val="00E7793E"/>
    <w:rsid w:val="00E7794B"/>
    <w:rsid w:val="00E77A8F"/>
    <w:rsid w:val="00E804F0"/>
    <w:rsid w:val="00E8474D"/>
    <w:rsid w:val="00E87046"/>
    <w:rsid w:val="00E87FB2"/>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431B"/>
    <w:rsid w:val="00EF4920"/>
    <w:rsid w:val="00EF4D25"/>
    <w:rsid w:val="00EF72B0"/>
    <w:rsid w:val="00EF7E8F"/>
    <w:rsid w:val="00F00C40"/>
    <w:rsid w:val="00F00CD5"/>
    <w:rsid w:val="00F010D9"/>
    <w:rsid w:val="00F01245"/>
    <w:rsid w:val="00F01280"/>
    <w:rsid w:val="00F03EE5"/>
    <w:rsid w:val="00F04A79"/>
    <w:rsid w:val="00F05DE8"/>
    <w:rsid w:val="00F06310"/>
    <w:rsid w:val="00F12F9E"/>
    <w:rsid w:val="00F15297"/>
    <w:rsid w:val="00F20732"/>
    <w:rsid w:val="00F21CF6"/>
    <w:rsid w:val="00F228CA"/>
    <w:rsid w:val="00F23427"/>
    <w:rsid w:val="00F26EAA"/>
    <w:rsid w:val="00F30D37"/>
    <w:rsid w:val="00F334DB"/>
    <w:rsid w:val="00F37E2C"/>
    <w:rsid w:val="00F413E2"/>
    <w:rsid w:val="00F426EE"/>
    <w:rsid w:val="00F43176"/>
    <w:rsid w:val="00F43699"/>
    <w:rsid w:val="00F4413E"/>
    <w:rsid w:val="00F4439D"/>
    <w:rsid w:val="00F44CFD"/>
    <w:rsid w:val="00F456C2"/>
    <w:rsid w:val="00F4570D"/>
    <w:rsid w:val="00F45B0C"/>
    <w:rsid w:val="00F465D5"/>
    <w:rsid w:val="00F5180C"/>
    <w:rsid w:val="00F51B36"/>
    <w:rsid w:val="00F521F4"/>
    <w:rsid w:val="00F54121"/>
    <w:rsid w:val="00F548F8"/>
    <w:rsid w:val="00F54AC6"/>
    <w:rsid w:val="00F57008"/>
    <w:rsid w:val="00F6176E"/>
    <w:rsid w:val="00F61E91"/>
    <w:rsid w:val="00F72936"/>
    <w:rsid w:val="00F733FD"/>
    <w:rsid w:val="00F73987"/>
    <w:rsid w:val="00F75DFC"/>
    <w:rsid w:val="00F7694A"/>
    <w:rsid w:val="00F80721"/>
    <w:rsid w:val="00F80CD3"/>
    <w:rsid w:val="00F80FDF"/>
    <w:rsid w:val="00F86557"/>
    <w:rsid w:val="00F86B8A"/>
    <w:rsid w:val="00F86FC4"/>
    <w:rsid w:val="00F8787B"/>
    <w:rsid w:val="00F87E94"/>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9E9"/>
    <w:rsid w:val="00FD593C"/>
    <w:rsid w:val="00FD6185"/>
    <w:rsid w:val="00FE05A8"/>
    <w:rsid w:val="00FE09D2"/>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paragraph" w:customStyle="1" w:styleId="xmsonormal">
    <w:name w:val="x_msonormal"/>
    <w:basedOn w:val="Normal"/>
    <w:rsid w:val="006F406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342195107">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1849250">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071956">
      <w:bodyDiv w:val="1"/>
      <w:marLeft w:val="0"/>
      <w:marRight w:val="0"/>
      <w:marTop w:val="0"/>
      <w:marBottom w:val="0"/>
      <w:divBdr>
        <w:top w:val="none" w:sz="0" w:space="0" w:color="auto"/>
        <w:left w:val="none" w:sz="0" w:space="0" w:color="auto"/>
        <w:bottom w:val="none" w:sz="0" w:space="0" w:color="auto"/>
        <w:right w:val="none" w:sz="0" w:space="0" w:color="auto"/>
      </w:divBdr>
      <w:divsChild>
        <w:div w:id="1023090266">
          <w:marLeft w:val="0"/>
          <w:marRight w:val="0"/>
          <w:marTop w:val="0"/>
          <w:marBottom w:val="0"/>
          <w:divBdr>
            <w:top w:val="none" w:sz="0" w:space="0" w:color="auto"/>
            <w:left w:val="none" w:sz="0" w:space="0" w:color="auto"/>
            <w:bottom w:val="none" w:sz="0" w:space="0" w:color="auto"/>
            <w:right w:val="none" w:sz="0" w:space="0" w:color="auto"/>
          </w:divBdr>
        </w:div>
        <w:div w:id="1621645731">
          <w:marLeft w:val="0"/>
          <w:marRight w:val="0"/>
          <w:marTop w:val="0"/>
          <w:marBottom w:val="0"/>
          <w:divBdr>
            <w:top w:val="none" w:sz="0" w:space="0" w:color="auto"/>
            <w:left w:val="none" w:sz="0" w:space="0" w:color="auto"/>
            <w:bottom w:val="none" w:sz="0" w:space="0" w:color="auto"/>
            <w:right w:val="none" w:sz="0" w:space="0" w:color="auto"/>
          </w:divBdr>
        </w:div>
        <w:div w:id="1803110156">
          <w:marLeft w:val="0"/>
          <w:marRight w:val="0"/>
          <w:marTop w:val="0"/>
          <w:marBottom w:val="0"/>
          <w:divBdr>
            <w:top w:val="none" w:sz="0" w:space="0" w:color="auto"/>
            <w:left w:val="none" w:sz="0" w:space="0" w:color="auto"/>
            <w:bottom w:val="none" w:sz="0" w:space="0" w:color="auto"/>
            <w:right w:val="none" w:sz="0" w:space="0" w:color="auto"/>
          </w:divBdr>
        </w:div>
        <w:div w:id="1155604316">
          <w:marLeft w:val="0"/>
          <w:marRight w:val="0"/>
          <w:marTop w:val="0"/>
          <w:marBottom w:val="0"/>
          <w:divBdr>
            <w:top w:val="none" w:sz="0" w:space="0" w:color="auto"/>
            <w:left w:val="none" w:sz="0" w:space="0" w:color="auto"/>
            <w:bottom w:val="none" w:sz="0" w:space="0" w:color="auto"/>
            <w:right w:val="none" w:sz="0" w:space="0" w:color="auto"/>
          </w:divBdr>
        </w:div>
        <w:div w:id="663241537">
          <w:marLeft w:val="0"/>
          <w:marRight w:val="0"/>
          <w:marTop w:val="0"/>
          <w:marBottom w:val="0"/>
          <w:divBdr>
            <w:top w:val="none" w:sz="0" w:space="0" w:color="auto"/>
            <w:left w:val="none" w:sz="0" w:space="0" w:color="auto"/>
            <w:bottom w:val="none" w:sz="0" w:space="0" w:color="auto"/>
            <w:right w:val="none" w:sz="0" w:space="0" w:color="auto"/>
          </w:divBdr>
        </w:div>
        <w:div w:id="942693125">
          <w:marLeft w:val="0"/>
          <w:marRight w:val="0"/>
          <w:marTop w:val="0"/>
          <w:marBottom w:val="0"/>
          <w:divBdr>
            <w:top w:val="none" w:sz="0" w:space="0" w:color="auto"/>
            <w:left w:val="none" w:sz="0" w:space="0" w:color="auto"/>
            <w:bottom w:val="none" w:sz="0" w:space="0" w:color="auto"/>
            <w:right w:val="none" w:sz="0" w:space="0" w:color="auto"/>
          </w:divBdr>
        </w:div>
      </w:divsChild>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dcity.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20NavigateDocument('EU32005R1698');" TargetMode="External"/><Relationship Id="rId4" Type="http://schemas.openxmlformats.org/officeDocument/2006/relationships/settings" Target="settings.xml"/><Relationship Id="rId9" Type="http://schemas.openxmlformats.org/officeDocument/2006/relationships/hyperlink" Target="javascript:%20NavigateDocument('EU32013R13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36B4-48B0-437D-BDB8-FB28F27A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16939</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2022-03-24T11:50:00Z</dcterms:created>
  <dcterms:modified xsi:type="dcterms:W3CDTF">2022-03-30T09:48:00Z</dcterms:modified>
</cp:coreProperties>
</file>