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96348D" w14:textId="0A081882" w:rsidR="00AE3813" w:rsidRDefault="00AE3813" w:rsidP="008907F4">
      <w:pPr>
        <w:spacing w:after="0"/>
        <w:jc w:val="left"/>
        <w:rPr>
          <w:rFonts w:ascii="Arial" w:hAnsi="Arial"/>
          <w:noProof/>
          <w:lang w:eastAsia="en-GB"/>
        </w:rPr>
      </w:pPr>
      <w:bookmarkStart w:id="0" w:name="_GoBack"/>
      <w:bookmarkEnd w:id="0"/>
    </w:p>
    <w:p w14:paraId="73A0D7F0" w14:textId="5933851D" w:rsidR="00A04DCC" w:rsidRDefault="00A04DCC" w:rsidP="008907F4">
      <w:pPr>
        <w:spacing w:after="0"/>
        <w:jc w:val="left"/>
        <w:rPr>
          <w:rFonts w:ascii="Arial" w:hAnsi="Arial"/>
          <w:noProof/>
          <w:lang w:eastAsia="en-GB"/>
        </w:rPr>
      </w:pPr>
    </w:p>
    <w:p w14:paraId="2886A1B9" w14:textId="79FD757F" w:rsidR="00A04DCC" w:rsidRDefault="00A04DCC" w:rsidP="008907F4">
      <w:pPr>
        <w:spacing w:after="0"/>
        <w:jc w:val="left"/>
        <w:rPr>
          <w:rFonts w:ascii="Arial" w:hAnsi="Arial"/>
          <w:noProof/>
          <w:lang w:eastAsia="en-GB"/>
        </w:rPr>
      </w:pPr>
    </w:p>
    <w:p w14:paraId="0B918393" w14:textId="1933A913" w:rsidR="00A04DCC" w:rsidRDefault="00A04DCC" w:rsidP="008907F4">
      <w:pPr>
        <w:spacing w:after="0"/>
        <w:jc w:val="left"/>
        <w:rPr>
          <w:rFonts w:ascii="Arial" w:hAnsi="Arial"/>
          <w:noProof/>
          <w:lang w:eastAsia="en-GB"/>
        </w:rPr>
      </w:pPr>
    </w:p>
    <w:p w14:paraId="6DEA0741" w14:textId="77777777" w:rsidR="00A04DCC" w:rsidRDefault="00A04DCC" w:rsidP="008907F4">
      <w:pPr>
        <w:spacing w:after="0"/>
        <w:jc w:val="left"/>
        <w:rPr>
          <w:rFonts w:ascii="Arial" w:hAnsi="Arial"/>
          <w:noProof/>
          <w:lang w:eastAsia="en-GB"/>
        </w:rPr>
      </w:pPr>
    </w:p>
    <w:p w14:paraId="6193FD6F" w14:textId="5F65B970" w:rsidR="00AE3813" w:rsidRDefault="00AE3813" w:rsidP="008907F4">
      <w:pPr>
        <w:spacing w:after="0"/>
        <w:jc w:val="left"/>
        <w:rPr>
          <w:rFonts w:ascii="Arial" w:hAnsi="Arial"/>
          <w:noProof/>
          <w:lang w:eastAsia="en-GB"/>
        </w:rPr>
      </w:pPr>
    </w:p>
    <w:p w14:paraId="5C87F69F" w14:textId="77777777" w:rsidR="00AE3813" w:rsidRPr="00AD5B3D" w:rsidRDefault="00AE3813" w:rsidP="008907F4">
      <w:pPr>
        <w:spacing w:after="0"/>
        <w:jc w:val="left"/>
        <w:rPr>
          <w:rFonts w:ascii="Arial" w:hAnsi="Arial"/>
          <w:noProof/>
          <w:lang w:eastAsia="en-GB"/>
        </w:rPr>
      </w:pPr>
    </w:p>
    <w:p w14:paraId="61193E92" w14:textId="72045456" w:rsidR="008907F4" w:rsidRPr="00AD5B3D" w:rsidRDefault="003171C9" w:rsidP="003171C9">
      <w:pPr>
        <w:spacing w:after="0"/>
        <w:jc w:val="center"/>
        <w:rPr>
          <w:rFonts w:ascii="Arial" w:hAnsi="Arial"/>
          <w:noProof/>
        </w:rPr>
      </w:pPr>
      <w:r>
        <w:rPr>
          <w:rFonts w:ascii="Verdana" w:hAnsi="Verdana"/>
          <w:noProof/>
          <w:lang w:val="en-US"/>
        </w:rPr>
        <w:drawing>
          <wp:inline distT="0" distB="0" distL="0" distR="0" wp14:anchorId="2B2461C0" wp14:editId="2DC6DBFE">
            <wp:extent cx="3220720" cy="2163445"/>
            <wp:effectExtent l="0" t="0" r="0" b="8255"/>
            <wp:docPr id="1" name="Picture 1" descr="flag_yellow_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ag_yellow_low"/>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20720" cy="2163445"/>
                    </a:xfrm>
                    <a:prstGeom prst="rect">
                      <a:avLst/>
                    </a:prstGeom>
                    <a:noFill/>
                    <a:ln>
                      <a:noFill/>
                    </a:ln>
                  </pic:spPr>
                </pic:pic>
              </a:graphicData>
            </a:graphic>
          </wp:inline>
        </w:drawing>
      </w:r>
    </w:p>
    <w:p w14:paraId="20824407" w14:textId="77777777" w:rsidR="008907F4" w:rsidRPr="00AD5B3D" w:rsidRDefault="008907F4" w:rsidP="008907F4">
      <w:pPr>
        <w:spacing w:after="0"/>
        <w:jc w:val="left"/>
        <w:rPr>
          <w:rFonts w:ascii="Arial" w:hAnsi="Arial"/>
        </w:rPr>
      </w:pPr>
    </w:p>
    <w:p w14:paraId="407883FB" w14:textId="77777777" w:rsidR="008907F4" w:rsidRDefault="008907F4" w:rsidP="008907F4">
      <w:pPr>
        <w:spacing w:after="0"/>
        <w:rPr>
          <w:rFonts w:ascii="Arial" w:hAnsi="Arial"/>
        </w:rPr>
      </w:pPr>
    </w:p>
    <w:p w14:paraId="6A6BF9F1" w14:textId="77777777" w:rsidR="008907F4" w:rsidRPr="00AD5B3D" w:rsidRDefault="008907F4" w:rsidP="008907F4">
      <w:pPr>
        <w:spacing w:after="0"/>
        <w:rPr>
          <w:rFonts w:ascii="Arial" w:hAnsi="Arial"/>
        </w:rPr>
      </w:pPr>
    </w:p>
    <w:p w14:paraId="4B607083" w14:textId="0874C97B" w:rsidR="008907F4" w:rsidRPr="00900AB9" w:rsidRDefault="008907F4" w:rsidP="2FA6B974">
      <w:pPr>
        <w:spacing w:after="0"/>
        <w:ind w:left="-426" w:right="-435"/>
        <w:jc w:val="center"/>
        <w:rPr>
          <w:rFonts w:ascii="EC Square Sans Pro Medium" w:eastAsia="Times New Roman" w:hAnsi="EC Square Sans Pro Medium" w:cs="Times New Roman"/>
          <w:b/>
          <w:bCs/>
          <w:sz w:val="48"/>
          <w:szCs w:val="48"/>
        </w:rPr>
      </w:pPr>
      <w:r>
        <w:rPr>
          <w:rFonts w:ascii="EC Square Sans Pro Medium" w:hAnsi="EC Square Sans Pro Medium"/>
          <w:b/>
          <w:bCs/>
          <w:sz w:val="48"/>
          <w:szCs w:val="48"/>
        </w:rPr>
        <w:t>Насърчаване на селскостопанската продукция (AGRIP SIMPLE)</w:t>
      </w:r>
    </w:p>
    <w:p w14:paraId="4DC922E3" w14:textId="77777777" w:rsidR="008907F4" w:rsidRPr="00BD7242" w:rsidRDefault="008907F4" w:rsidP="008907F4">
      <w:pPr>
        <w:spacing w:after="0"/>
        <w:jc w:val="center"/>
        <w:rPr>
          <w:rFonts w:ascii="EC Square Sans Pro Light" w:eastAsia="Times New Roman" w:hAnsi="EC Square Sans Pro Light" w:cs="Times New Roman"/>
          <w:b/>
          <w:sz w:val="20"/>
          <w:szCs w:val="20"/>
        </w:rPr>
      </w:pPr>
    </w:p>
    <w:p w14:paraId="384C3B60" w14:textId="77777777" w:rsidR="008907F4" w:rsidRPr="00BD7242" w:rsidRDefault="008907F4" w:rsidP="008907F4">
      <w:pPr>
        <w:spacing w:after="0"/>
        <w:jc w:val="center"/>
        <w:rPr>
          <w:rFonts w:ascii="EC Square Sans Pro Light" w:eastAsia="Times New Roman" w:hAnsi="EC Square Sans Pro Light" w:cs="Times New Roman"/>
          <w:b/>
          <w:sz w:val="20"/>
          <w:szCs w:val="20"/>
        </w:rPr>
      </w:pPr>
    </w:p>
    <w:p w14:paraId="5F8EB4B4" w14:textId="0CE1F34A" w:rsidR="008907F4" w:rsidRPr="00BD7242" w:rsidRDefault="2FA6B974" w:rsidP="2FA6B974">
      <w:pPr>
        <w:spacing w:after="0"/>
        <w:jc w:val="center"/>
        <w:rPr>
          <w:rFonts w:ascii="EC Square Sans Pro Light" w:eastAsia="Times New Roman" w:hAnsi="EC Square Sans Pro Light" w:cs="Times New Roman"/>
          <w:b/>
          <w:bCs/>
          <w:sz w:val="48"/>
          <w:szCs w:val="48"/>
        </w:rPr>
      </w:pPr>
      <w:r>
        <w:rPr>
          <w:rFonts w:ascii="EC Square Sans Pro Light" w:hAnsi="EC Square Sans Pro Light"/>
          <w:b/>
          <w:bCs/>
          <w:sz w:val="48"/>
          <w:szCs w:val="48"/>
        </w:rPr>
        <w:t>Образец на споразумение за отпускане за безвъзмездни средства</w:t>
      </w:r>
    </w:p>
    <w:p w14:paraId="00B74DA3" w14:textId="77777777" w:rsidR="008907F4" w:rsidRPr="00BD7242" w:rsidRDefault="008907F4" w:rsidP="008907F4">
      <w:pPr>
        <w:spacing w:after="0"/>
        <w:jc w:val="center"/>
        <w:rPr>
          <w:rFonts w:ascii="EC Square Sans Pro Light" w:eastAsia="Times New Roman" w:hAnsi="EC Square Sans Pro Light" w:cs="Times New Roman"/>
          <w:b/>
          <w:sz w:val="48"/>
          <w:szCs w:val="48"/>
        </w:rPr>
      </w:pPr>
    </w:p>
    <w:p w14:paraId="132A1D71" w14:textId="3AC927C4" w:rsidR="008907F4" w:rsidRPr="0074785F" w:rsidRDefault="008907F4" w:rsidP="2FA6B974">
      <w:pPr>
        <w:autoSpaceDE w:val="0"/>
        <w:autoSpaceDN w:val="0"/>
        <w:adjustRightInd w:val="0"/>
        <w:spacing w:after="0"/>
        <w:jc w:val="center"/>
        <w:rPr>
          <w:rFonts w:ascii="EC Square Sans Pro Light" w:eastAsia="Times New Roman" w:hAnsi="EC Square Sans Pro Light" w:cs="Times New Roman"/>
          <w:b/>
          <w:bCs/>
          <w:color w:val="000000" w:themeColor="text1"/>
          <w:sz w:val="30"/>
          <w:szCs w:val="30"/>
        </w:rPr>
      </w:pPr>
      <w:r>
        <w:rPr>
          <w:rFonts w:ascii="EC Square Sans Pro Light" w:hAnsi="EC Square Sans Pro Light"/>
          <w:b/>
          <w:bCs/>
          <w:color w:val="000000"/>
          <w:sz w:val="30"/>
          <w:szCs w:val="30"/>
        </w:rPr>
        <w:t>(AGRIP SIMPLE MGA — за един и повече бенефициери)</w:t>
      </w:r>
    </w:p>
    <w:p w14:paraId="51B82682" w14:textId="77777777" w:rsidR="008907F4" w:rsidRPr="0074785F" w:rsidRDefault="008907F4" w:rsidP="008907F4">
      <w:pPr>
        <w:spacing w:after="0"/>
        <w:jc w:val="center"/>
        <w:rPr>
          <w:rFonts w:ascii="EC Square Sans Pro Light" w:eastAsia="Times New Roman" w:hAnsi="EC Square Sans Pro Light" w:cs="Times New Roman"/>
          <w:b/>
          <w:sz w:val="20"/>
          <w:szCs w:val="20"/>
          <w:lang w:val="it-IT"/>
        </w:rPr>
      </w:pPr>
    </w:p>
    <w:p w14:paraId="20AA1FE2" w14:textId="77777777" w:rsidR="008907F4" w:rsidRDefault="008907F4" w:rsidP="008907F4">
      <w:pPr>
        <w:spacing w:after="0"/>
        <w:jc w:val="center"/>
        <w:rPr>
          <w:rFonts w:ascii="EC Square Sans Pro Light" w:eastAsia="Times New Roman" w:hAnsi="EC Square Sans Pro Light" w:cs="Times New Roman"/>
          <w:b/>
          <w:sz w:val="20"/>
          <w:szCs w:val="20"/>
          <w:lang w:val="it-IT"/>
        </w:rPr>
      </w:pPr>
    </w:p>
    <w:p w14:paraId="3995EA62" w14:textId="77777777" w:rsidR="008907F4" w:rsidRDefault="008907F4" w:rsidP="008907F4">
      <w:pPr>
        <w:spacing w:after="0"/>
        <w:jc w:val="center"/>
        <w:rPr>
          <w:rFonts w:ascii="EC Square Sans Pro Light" w:eastAsia="Times New Roman" w:hAnsi="EC Square Sans Pro Light" w:cs="Times New Roman"/>
          <w:b/>
          <w:sz w:val="20"/>
          <w:szCs w:val="20"/>
          <w:lang w:val="it-IT"/>
        </w:rPr>
      </w:pPr>
    </w:p>
    <w:p w14:paraId="474D7DCE" w14:textId="699B64B1" w:rsidR="008907F4" w:rsidRDefault="008907F4" w:rsidP="008907F4">
      <w:pPr>
        <w:spacing w:after="0"/>
        <w:jc w:val="center"/>
        <w:rPr>
          <w:rFonts w:ascii="EC Square Sans Pro Light" w:eastAsia="Times New Roman" w:hAnsi="EC Square Sans Pro Light" w:cs="Times New Roman"/>
          <w:b/>
          <w:sz w:val="20"/>
          <w:szCs w:val="20"/>
          <w:lang w:val="it-IT"/>
        </w:rPr>
      </w:pPr>
    </w:p>
    <w:p w14:paraId="0972BCAF" w14:textId="43CE976B" w:rsidR="00486F44" w:rsidRDefault="00486F44" w:rsidP="008907F4">
      <w:pPr>
        <w:spacing w:after="0"/>
        <w:jc w:val="center"/>
        <w:rPr>
          <w:rFonts w:ascii="EC Square Sans Pro Light" w:eastAsia="Times New Roman" w:hAnsi="EC Square Sans Pro Light" w:cs="Times New Roman"/>
          <w:b/>
          <w:sz w:val="20"/>
          <w:szCs w:val="20"/>
          <w:lang w:val="it-IT"/>
        </w:rPr>
      </w:pPr>
    </w:p>
    <w:p w14:paraId="6793C427" w14:textId="7D0EC404" w:rsidR="00486F44" w:rsidRDefault="00486F44" w:rsidP="008907F4">
      <w:pPr>
        <w:spacing w:after="0"/>
        <w:jc w:val="center"/>
        <w:rPr>
          <w:rFonts w:ascii="EC Square Sans Pro Light" w:eastAsia="Times New Roman" w:hAnsi="EC Square Sans Pro Light" w:cs="Times New Roman"/>
          <w:b/>
          <w:sz w:val="20"/>
          <w:szCs w:val="20"/>
          <w:lang w:val="it-IT"/>
        </w:rPr>
      </w:pPr>
    </w:p>
    <w:p w14:paraId="3A82B874" w14:textId="7E9FC302" w:rsidR="00486F44" w:rsidRDefault="00486F44" w:rsidP="008907F4">
      <w:pPr>
        <w:spacing w:after="0"/>
        <w:jc w:val="center"/>
        <w:rPr>
          <w:rFonts w:ascii="EC Square Sans Pro Light" w:eastAsia="Times New Roman" w:hAnsi="EC Square Sans Pro Light" w:cs="Times New Roman"/>
          <w:b/>
          <w:sz w:val="20"/>
          <w:szCs w:val="20"/>
          <w:lang w:val="it-IT"/>
        </w:rPr>
      </w:pPr>
    </w:p>
    <w:p w14:paraId="52093204" w14:textId="2C425E81" w:rsidR="00486F44" w:rsidRDefault="00486F44" w:rsidP="008907F4">
      <w:pPr>
        <w:spacing w:after="0"/>
        <w:jc w:val="center"/>
        <w:rPr>
          <w:rFonts w:ascii="EC Square Sans Pro Light" w:eastAsia="Times New Roman" w:hAnsi="EC Square Sans Pro Light" w:cs="Times New Roman"/>
          <w:b/>
          <w:sz w:val="20"/>
          <w:szCs w:val="20"/>
          <w:lang w:val="it-IT"/>
        </w:rPr>
      </w:pPr>
    </w:p>
    <w:p w14:paraId="09305229" w14:textId="77777777" w:rsidR="00486F44" w:rsidRDefault="00486F44" w:rsidP="008907F4">
      <w:pPr>
        <w:spacing w:after="0"/>
        <w:jc w:val="center"/>
        <w:rPr>
          <w:rFonts w:ascii="EC Square Sans Pro Light" w:eastAsia="Times New Roman" w:hAnsi="EC Square Sans Pro Light" w:cs="Times New Roman"/>
          <w:b/>
          <w:sz w:val="20"/>
          <w:szCs w:val="20"/>
          <w:lang w:val="it-IT"/>
        </w:rPr>
      </w:pPr>
    </w:p>
    <w:p w14:paraId="02E01744" w14:textId="77777777" w:rsidR="008907F4" w:rsidRPr="0074785F" w:rsidRDefault="008907F4" w:rsidP="008907F4">
      <w:pPr>
        <w:spacing w:after="0"/>
        <w:jc w:val="center"/>
        <w:rPr>
          <w:rFonts w:ascii="EC Square Sans Pro Light" w:eastAsia="Times New Roman" w:hAnsi="EC Square Sans Pro Light" w:cs="Times New Roman"/>
          <w:b/>
          <w:sz w:val="20"/>
          <w:szCs w:val="20"/>
          <w:lang w:val="it-IT"/>
        </w:rPr>
      </w:pPr>
    </w:p>
    <w:p w14:paraId="69E92D7E" w14:textId="70EA21F7" w:rsidR="008907F4" w:rsidRPr="00223C36" w:rsidRDefault="008907F4" w:rsidP="008907F4">
      <w:pPr>
        <w:spacing w:after="0"/>
        <w:jc w:val="center"/>
        <w:rPr>
          <w:rFonts w:ascii="EC Square Sans Pro Light" w:eastAsia="Times New Roman" w:hAnsi="EC Square Sans Pro Light" w:cs="Times New Roman"/>
          <w:b/>
          <w:sz w:val="20"/>
          <w:szCs w:val="20"/>
        </w:rPr>
      </w:pPr>
      <w:r>
        <w:rPr>
          <w:rFonts w:ascii="EC Square Sans Pro Light" w:hAnsi="EC Square Sans Pro Light"/>
          <w:b/>
          <w:sz w:val="20"/>
          <w:szCs w:val="20"/>
        </w:rPr>
        <w:t>Версия 1.1</w:t>
      </w:r>
    </w:p>
    <w:p w14:paraId="2919005D" w14:textId="7BD25B50" w:rsidR="003171C9" w:rsidRDefault="00494E5D" w:rsidP="2FA6B974">
      <w:pPr>
        <w:spacing w:after="0"/>
        <w:jc w:val="center"/>
        <w:rPr>
          <w:rFonts w:ascii="EC Square Sans Pro Light" w:eastAsia="Times New Roman" w:hAnsi="EC Square Sans Pro Light" w:cs="Times New Roman"/>
          <w:b/>
          <w:bCs/>
          <w:sz w:val="20"/>
          <w:szCs w:val="20"/>
        </w:rPr>
        <w:sectPr w:rsidR="003171C9" w:rsidSect="00753027">
          <w:headerReference w:type="even" r:id="rId12"/>
          <w:headerReference w:type="default" r:id="rId13"/>
          <w:footerReference w:type="even" r:id="rId14"/>
          <w:footerReference w:type="default" r:id="rId15"/>
          <w:headerReference w:type="first" r:id="rId16"/>
          <w:footerReference w:type="first" r:id="rId17"/>
          <w:pgSz w:w="11906" w:h="16838"/>
          <w:pgMar w:top="1589" w:right="1558" w:bottom="1418" w:left="1418" w:header="709" w:footer="918" w:gutter="0"/>
          <w:pgNumType w:start="1"/>
          <w:cols w:space="708"/>
          <w:docGrid w:linePitch="360"/>
        </w:sectPr>
      </w:pPr>
      <w:r>
        <w:rPr>
          <w:rFonts w:ascii="EC Square Sans Pro Light" w:hAnsi="EC Square Sans Pro Light"/>
          <w:b/>
          <w:bCs/>
          <w:sz w:val="20"/>
          <w:szCs w:val="20"/>
        </w:rPr>
        <w:t>01 януари 2022 г.</w:t>
      </w:r>
    </w:p>
    <w:p w14:paraId="318337E8" w14:textId="2E8E6DDA" w:rsidR="008907F4" w:rsidRPr="002205AB" w:rsidRDefault="008907F4" w:rsidP="00D70B47">
      <w:pPr>
        <w:rPr>
          <w:lang w:val="en-US"/>
        </w:rPr>
      </w:pPr>
    </w:p>
    <w:p w14:paraId="5F16D69A" w14:textId="77777777" w:rsidR="008907F4" w:rsidRPr="00AD5B3D" w:rsidRDefault="008907F4" w:rsidP="008907F4">
      <w:pPr>
        <w:rPr>
          <w:rFonts w:eastAsia="Calibri" w:cs="Times New Roman"/>
        </w:rPr>
      </w:pPr>
    </w:p>
    <w:p w14:paraId="7D96B590" w14:textId="77777777" w:rsidR="008907F4" w:rsidRDefault="008907F4" w:rsidP="008907F4">
      <w:pPr>
        <w:rPr>
          <w:snapToGrid w:val="0"/>
        </w:rPr>
      </w:pPr>
    </w:p>
    <w:tbl>
      <w:tblPr>
        <w:tblW w:w="9228"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45" w:type="dxa"/>
          <w:right w:w="45" w:type="dxa"/>
        </w:tblCellMar>
        <w:tblLook w:val="04A0" w:firstRow="1" w:lastRow="0" w:firstColumn="1" w:lastColumn="0" w:noHBand="0" w:noVBand="1"/>
      </w:tblPr>
      <w:tblGrid>
        <w:gridCol w:w="1101"/>
        <w:gridCol w:w="1525"/>
        <w:gridCol w:w="6602"/>
      </w:tblGrid>
      <w:tr w:rsidR="008907F4" w:rsidRPr="00F95FE4" w14:paraId="0446E790" w14:textId="77777777" w:rsidTr="2FA6B974">
        <w:trPr>
          <w:jc w:val="center"/>
        </w:trPr>
        <w:tc>
          <w:tcPr>
            <w:tcW w:w="9228" w:type="dxa"/>
            <w:gridSpan w:val="3"/>
            <w:tcBorders>
              <w:top w:val="single" w:sz="4" w:space="0" w:color="808080" w:themeColor="text1" w:themeTint="7F"/>
              <w:left w:val="single" w:sz="4" w:space="0" w:color="808080" w:themeColor="text1" w:themeTint="7F"/>
              <w:bottom w:val="single" w:sz="4" w:space="0" w:color="808080" w:themeColor="text1" w:themeTint="7F"/>
              <w:right w:val="single" w:sz="4" w:space="0" w:color="808080" w:themeColor="text1" w:themeTint="7F"/>
            </w:tcBorders>
            <w:vAlign w:val="center"/>
          </w:tcPr>
          <w:p w14:paraId="19C0609B" w14:textId="77777777" w:rsidR="008907F4" w:rsidRPr="00F95FE4" w:rsidRDefault="2FA6B974" w:rsidP="2FA6B974">
            <w:pPr>
              <w:spacing w:before="60" w:after="60"/>
              <w:jc w:val="center"/>
              <w:rPr>
                <w:rFonts w:ascii="Verdana" w:hAnsi="Verdana"/>
                <w:b/>
                <w:bCs/>
                <w:sz w:val="20"/>
                <w:szCs w:val="20"/>
              </w:rPr>
            </w:pPr>
            <w:bookmarkStart w:id="1" w:name="_Toc406422007"/>
            <w:r>
              <w:rPr>
                <w:rFonts w:ascii="Verdana" w:hAnsi="Verdana"/>
                <w:b/>
                <w:bCs/>
                <w:sz w:val="20"/>
                <w:szCs w:val="20"/>
              </w:rPr>
              <w:t>ХРОНОЛОГИЯ НА ПРОМЕНИТЕ</w:t>
            </w:r>
            <w:bookmarkEnd w:id="1"/>
          </w:p>
        </w:tc>
      </w:tr>
      <w:tr w:rsidR="008907F4" w:rsidRPr="00F95FE4" w14:paraId="78AF95BA" w14:textId="77777777" w:rsidTr="2FA6B974">
        <w:trPr>
          <w:jc w:val="center"/>
        </w:trPr>
        <w:tc>
          <w:tcPr>
            <w:tcW w:w="1101" w:type="dxa"/>
            <w:tcBorders>
              <w:top w:val="single" w:sz="4" w:space="0" w:color="808080" w:themeColor="text1" w:themeTint="7F"/>
              <w:left w:val="single" w:sz="4" w:space="0" w:color="808080" w:themeColor="text1" w:themeTint="7F"/>
              <w:bottom w:val="single" w:sz="4" w:space="0" w:color="808080" w:themeColor="text1" w:themeTint="7F"/>
              <w:right w:val="single" w:sz="4" w:space="0" w:color="808080" w:themeColor="text1" w:themeTint="7F"/>
            </w:tcBorders>
            <w:vAlign w:val="center"/>
          </w:tcPr>
          <w:p w14:paraId="2F2E3D34" w14:textId="77777777" w:rsidR="008907F4" w:rsidRPr="00F95FE4" w:rsidRDefault="2FA6B974" w:rsidP="2FA6B974">
            <w:pPr>
              <w:spacing w:before="60" w:after="60"/>
              <w:jc w:val="center"/>
              <w:rPr>
                <w:rFonts w:ascii="Verdana" w:hAnsi="Verdana"/>
                <w:b/>
                <w:bCs/>
                <w:sz w:val="20"/>
                <w:szCs w:val="20"/>
              </w:rPr>
            </w:pPr>
            <w:bookmarkStart w:id="2" w:name="_Toc406422008"/>
            <w:r>
              <w:rPr>
                <w:rFonts w:ascii="Verdana" w:hAnsi="Verdana"/>
                <w:b/>
                <w:bCs/>
                <w:sz w:val="20"/>
                <w:szCs w:val="20"/>
              </w:rPr>
              <w:t>Версия</w:t>
            </w:r>
            <w:bookmarkEnd w:id="2"/>
          </w:p>
        </w:tc>
        <w:tc>
          <w:tcPr>
            <w:tcW w:w="1525" w:type="dxa"/>
            <w:tcBorders>
              <w:top w:val="single" w:sz="4" w:space="0" w:color="808080" w:themeColor="text1" w:themeTint="7F"/>
              <w:left w:val="single" w:sz="4" w:space="0" w:color="808080" w:themeColor="text1" w:themeTint="7F"/>
              <w:bottom w:val="single" w:sz="4" w:space="0" w:color="808080" w:themeColor="text1" w:themeTint="7F"/>
              <w:right w:val="single" w:sz="4" w:space="0" w:color="808080" w:themeColor="text1" w:themeTint="7F"/>
            </w:tcBorders>
            <w:vAlign w:val="center"/>
          </w:tcPr>
          <w:p w14:paraId="1BEECF15" w14:textId="77777777" w:rsidR="008907F4" w:rsidRPr="00F95FE4" w:rsidRDefault="2FA6B974" w:rsidP="2FA6B974">
            <w:pPr>
              <w:spacing w:before="60" w:after="60"/>
              <w:jc w:val="center"/>
              <w:rPr>
                <w:rFonts w:ascii="Verdana" w:hAnsi="Verdana"/>
                <w:b/>
                <w:bCs/>
                <w:sz w:val="20"/>
                <w:szCs w:val="20"/>
              </w:rPr>
            </w:pPr>
            <w:bookmarkStart w:id="3" w:name="_Toc406422009"/>
            <w:r>
              <w:rPr>
                <w:rFonts w:ascii="Verdana" w:hAnsi="Verdana"/>
                <w:b/>
                <w:bCs/>
                <w:sz w:val="20"/>
                <w:szCs w:val="20"/>
              </w:rPr>
              <w:t>Дата на публикуване</w:t>
            </w:r>
            <w:bookmarkEnd w:id="3"/>
          </w:p>
        </w:tc>
        <w:tc>
          <w:tcPr>
            <w:tcW w:w="6602" w:type="dxa"/>
            <w:tcBorders>
              <w:top w:val="single" w:sz="4" w:space="0" w:color="808080" w:themeColor="text1" w:themeTint="7F"/>
              <w:left w:val="single" w:sz="4" w:space="0" w:color="808080" w:themeColor="text1" w:themeTint="7F"/>
              <w:bottom w:val="single" w:sz="4" w:space="0" w:color="808080" w:themeColor="text1" w:themeTint="7F"/>
              <w:right w:val="single" w:sz="4" w:space="0" w:color="808080" w:themeColor="text1" w:themeTint="7F"/>
            </w:tcBorders>
            <w:vAlign w:val="center"/>
          </w:tcPr>
          <w:p w14:paraId="338B0E47" w14:textId="77777777" w:rsidR="008907F4" w:rsidRPr="00F95FE4" w:rsidRDefault="2FA6B974" w:rsidP="2FA6B974">
            <w:pPr>
              <w:spacing w:before="60" w:after="60"/>
              <w:jc w:val="center"/>
              <w:rPr>
                <w:rFonts w:ascii="Verdana" w:hAnsi="Verdana"/>
                <w:b/>
                <w:bCs/>
                <w:sz w:val="20"/>
                <w:szCs w:val="20"/>
              </w:rPr>
            </w:pPr>
            <w:bookmarkStart w:id="4" w:name="_Toc406422010"/>
            <w:r>
              <w:rPr>
                <w:rFonts w:ascii="Verdana" w:hAnsi="Verdana"/>
                <w:b/>
                <w:bCs/>
                <w:sz w:val="20"/>
                <w:szCs w:val="20"/>
              </w:rPr>
              <w:t>Промени</w:t>
            </w:r>
            <w:bookmarkEnd w:id="4"/>
          </w:p>
        </w:tc>
      </w:tr>
      <w:tr w:rsidR="00CC63AC" w:rsidRPr="00F95FE4" w14:paraId="7B48443F" w14:textId="77777777" w:rsidTr="00BA435D">
        <w:trPr>
          <w:jc w:val="center"/>
        </w:trPr>
        <w:tc>
          <w:tcPr>
            <w:tcW w:w="1101" w:type="dxa"/>
            <w:tcBorders>
              <w:top w:val="single" w:sz="4" w:space="0" w:color="808080"/>
              <w:left w:val="single" w:sz="4" w:space="0" w:color="808080"/>
              <w:bottom w:val="single" w:sz="4" w:space="0" w:color="808080"/>
              <w:right w:val="single" w:sz="4" w:space="0" w:color="808080"/>
            </w:tcBorders>
          </w:tcPr>
          <w:p w14:paraId="3C8D553F" w14:textId="77777777" w:rsidR="00CC63AC" w:rsidRPr="00F95FE4" w:rsidRDefault="00CC63AC" w:rsidP="00BA435D">
            <w:pPr>
              <w:spacing w:before="60" w:after="60"/>
              <w:jc w:val="center"/>
              <w:rPr>
                <w:rFonts w:ascii="Verdana" w:hAnsi="Verdana"/>
                <w:sz w:val="18"/>
                <w:szCs w:val="18"/>
              </w:rPr>
            </w:pPr>
            <w:r>
              <w:rPr>
                <w:rFonts w:ascii="Verdana" w:hAnsi="Verdana"/>
                <w:sz w:val="18"/>
                <w:szCs w:val="18"/>
              </w:rPr>
              <w:t>1.0 ПРОЕКТ</w:t>
            </w:r>
          </w:p>
        </w:tc>
        <w:tc>
          <w:tcPr>
            <w:tcW w:w="1525" w:type="dxa"/>
            <w:tcBorders>
              <w:top w:val="single" w:sz="4" w:space="0" w:color="808080"/>
              <w:left w:val="single" w:sz="4" w:space="0" w:color="808080"/>
              <w:bottom w:val="single" w:sz="4" w:space="0" w:color="808080"/>
              <w:right w:val="single" w:sz="4" w:space="0" w:color="808080"/>
            </w:tcBorders>
          </w:tcPr>
          <w:p w14:paraId="150C1DCB" w14:textId="77777777" w:rsidR="00CC63AC" w:rsidRPr="00F95FE4" w:rsidRDefault="00CC63AC" w:rsidP="00BA435D">
            <w:pPr>
              <w:spacing w:before="60" w:after="60"/>
              <w:jc w:val="center"/>
              <w:rPr>
                <w:rFonts w:ascii="Verdana" w:hAnsi="Verdana"/>
                <w:sz w:val="18"/>
                <w:szCs w:val="18"/>
              </w:rPr>
            </w:pPr>
            <w:r>
              <w:rPr>
                <w:rFonts w:ascii="Verdana" w:hAnsi="Verdana"/>
                <w:sz w:val="18"/>
                <w:szCs w:val="18"/>
              </w:rPr>
              <w:t>28.1.2021 г.</w:t>
            </w:r>
          </w:p>
        </w:tc>
        <w:tc>
          <w:tcPr>
            <w:tcW w:w="6602" w:type="dxa"/>
            <w:tcBorders>
              <w:top w:val="single" w:sz="4" w:space="0" w:color="808080"/>
              <w:left w:val="single" w:sz="4" w:space="0" w:color="808080"/>
              <w:bottom w:val="single" w:sz="4" w:space="0" w:color="808080"/>
              <w:right w:val="single" w:sz="4" w:space="0" w:color="808080"/>
            </w:tcBorders>
          </w:tcPr>
          <w:p w14:paraId="0CDFA84D" w14:textId="7FC4903D" w:rsidR="00CC63AC" w:rsidRPr="00F95FE4" w:rsidRDefault="00CC63AC" w:rsidP="007757E1">
            <w:pPr>
              <w:pStyle w:val="ListParagraph"/>
              <w:numPr>
                <w:ilvl w:val="0"/>
                <w:numId w:val="47"/>
              </w:numPr>
              <w:spacing w:before="60" w:after="60"/>
              <w:ind w:left="392"/>
              <w:rPr>
                <w:rFonts w:ascii="Verdana" w:hAnsi="Verdana"/>
                <w:sz w:val="18"/>
                <w:szCs w:val="18"/>
              </w:rPr>
            </w:pPr>
            <w:r>
              <w:rPr>
                <w:rFonts w:ascii="Verdana" w:hAnsi="Verdana"/>
                <w:sz w:val="18"/>
                <w:szCs w:val="18"/>
              </w:rPr>
              <w:t>Първоначална версия (AGRIP MULTI)</w:t>
            </w:r>
          </w:p>
        </w:tc>
      </w:tr>
      <w:tr w:rsidR="008907F4" w:rsidRPr="00F95FE4" w14:paraId="57767D12" w14:textId="77777777" w:rsidTr="2FA6B974">
        <w:trPr>
          <w:jc w:val="center"/>
        </w:trPr>
        <w:tc>
          <w:tcPr>
            <w:tcW w:w="1101" w:type="dxa"/>
            <w:tcBorders>
              <w:top w:val="single" w:sz="4" w:space="0" w:color="808080" w:themeColor="text1" w:themeTint="7F"/>
              <w:left w:val="single" w:sz="4" w:space="0" w:color="808080" w:themeColor="text1" w:themeTint="7F"/>
              <w:bottom w:val="single" w:sz="4" w:space="0" w:color="808080" w:themeColor="text1" w:themeTint="7F"/>
              <w:right w:val="single" w:sz="4" w:space="0" w:color="808080" w:themeColor="text1" w:themeTint="7F"/>
            </w:tcBorders>
          </w:tcPr>
          <w:p w14:paraId="030FFBE8" w14:textId="63226CFD" w:rsidR="008907F4" w:rsidRPr="00F95FE4" w:rsidRDefault="0020330A" w:rsidP="0020330A">
            <w:pPr>
              <w:spacing w:before="60" w:after="60"/>
              <w:jc w:val="center"/>
              <w:rPr>
                <w:rFonts w:ascii="Verdana" w:hAnsi="Verdana"/>
                <w:sz w:val="18"/>
                <w:szCs w:val="18"/>
              </w:rPr>
            </w:pPr>
            <w:r>
              <w:rPr>
                <w:rFonts w:ascii="Verdana" w:hAnsi="Verdana"/>
                <w:sz w:val="18"/>
                <w:szCs w:val="18"/>
                <w:highlight w:val="yellow"/>
              </w:rPr>
              <w:t>1.0</w:t>
            </w:r>
          </w:p>
        </w:tc>
        <w:tc>
          <w:tcPr>
            <w:tcW w:w="1525" w:type="dxa"/>
            <w:tcBorders>
              <w:top w:val="single" w:sz="4" w:space="0" w:color="808080" w:themeColor="text1" w:themeTint="7F"/>
              <w:left w:val="single" w:sz="4" w:space="0" w:color="808080" w:themeColor="text1" w:themeTint="7F"/>
              <w:bottom w:val="single" w:sz="4" w:space="0" w:color="808080" w:themeColor="text1" w:themeTint="7F"/>
              <w:right w:val="single" w:sz="4" w:space="0" w:color="808080" w:themeColor="text1" w:themeTint="7F"/>
            </w:tcBorders>
          </w:tcPr>
          <w:p w14:paraId="173FA629" w14:textId="53A54942" w:rsidR="008907F4" w:rsidRPr="00F95FE4" w:rsidRDefault="00494E5D" w:rsidP="00494E5D">
            <w:pPr>
              <w:spacing w:before="60" w:after="60"/>
              <w:jc w:val="center"/>
              <w:rPr>
                <w:rFonts w:ascii="Verdana" w:hAnsi="Verdana"/>
                <w:sz w:val="18"/>
                <w:szCs w:val="18"/>
              </w:rPr>
            </w:pPr>
            <w:bookmarkStart w:id="5" w:name="_Toc406422011"/>
            <w:r>
              <w:rPr>
                <w:rFonts w:ascii="Verdana" w:hAnsi="Verdana"/>
                <w:sz w:val="18"/>
                <w:szCs w:val="18"/>
              </w:rPr>
              <w:t>1.6.2021 г.</w:t>
            </w:r>
            <w:bookmarkEnd w:id="5"/>
          </w:p>
        </w:tc>
        <w:tc>
          <w:tcPr>
            <w:tcW w:w="6602" w:type="dxa"/>
            <w:tcBorders>
              <w:top w:val="single" w:sz="4" w:space="0" w:color="808080" w:themeColor="text1" w:themeTint="7F"/>
              <w:left w:val="single" w:sz="4" w:space="0" w:color="808080" w:themeColor="text1" w:themeTint="7F"/>
              <w:bottom w:val="single" w:sz="4" w:space="0" w:color="808080" w:themeColor="text1" w:themeTint="7F"/>
              <w:right w:val="single" w:sz="4" w:space="0" w:color="808080" w:themeColor="text1" w:themeTint="7F"/>
            </w:tcBorders>
          </w:tcPr>
          <w:p w14:paraId="7FD6332F" w14:textId="2B937D4F" w:rsidR="008907F4" w:rsidRPr="00F95FE4" w:rsidRDefault="2FA6B974" w:rsidP="007757E1">
            <w:pPr>
              <w:pStyle w:val="ListParagraph"/>
              <w:numPr>
                <w:ilvl w:val="0"/>
                <w:numId w:val="47"/>
              </w:numPr>
              <w:spacing w:before="60" w:after="60"/>
              <w:ind w:left="392"/>
              <w:rPr>
                <w:rFonts w:ascii="Verdana" w:hAnsi="Verdana"/>
                <w:sz w:val="18"/>
                <w:szCs w:val="18"/>
              </w:rPr>
            </w:pPr>
            <w:bookmarkStart w:id="6" w:name="_Toc406422012"/>
            <w:r>
              <w:rPr>
                <w:rFonts w:ascii="Verdana" w:hAnsi="Verdana"/>
                <w:sz w:val="18"/>
                <w:szCs w:val="18"/>
              </w:rPr>
              <w:t>Първоначална версия.</w:t>
            </w:r>
            <w:bookmarkEnd w:id="6"/>
          </w:p>
        </w:tc>
      </w:tr>
      <w:tr w:rsidR="007757E1" w:rsidRPr="00F95FE4" w14:paraId="7D93F5FA" w14:textId="77777777" w:rsidTr="2FA6B974">
        <w:trPr>
          <w:jc w:val="center"/>
        </w:trPr>
        <w:tc>
          <w:tcPr>
            <w:tcW w:w="1101" w:type="dxa"/>
            <w:tcBorders>
              <w:top w:val="single" w:sz="4" w:space="0" w:color="808080" w:themeColor="text1" w:themeTint="7F"/>
              <w:left w:val="single" w:sz="4" w:space="0" w:color="808080" w:themeColor="text1" w:themeTint="7F"/>
              <w:bottom w:val="single" w:sz="4" w:space="0" w:color="808080" w:themeColor="text1" w:themeTint="7F"/>
              <w:right w:val="single" w:sz="4" w:space="0" w:color="808080" w:themeColor="text1" w:themeTint="7F"/>
            </w:tcBorders>
          </w:tcPr>
          <w:p w14:paraId="77A90410" w14:textId="7B71ACE4" w:rsidR="007757E1" w:rsidRPr="00F95FE4" w:rsidRDefault="007757E1" w:rsidP="007757E1">
            <w:pPr>
              <w:spacing w:before="60" w:after="60"/>
              <w:jc w:val="center"/>
              <w:rPr>
                <w:rFonts w:ascii="Verdana" w:hAnsi="Verdana"/>
                <w:sz w:val="18"/>
                <w:szCs w:val="18"/>
              </w:rPr>
            </w:pPr>
            <w:r>
              <w:rPr>
                <w:rFonts w:ascii="Verdana" w:hAnsi="Verdana"/>
                <w:sz w:val="18"/>
                <w:szCs w:val="18"/>
              </w:rPr>
              <w:t>1.1</w:t>
            </w:r>
          </w:p>
        </w:tc>
        <w:tc>
          <w:tcPr>
            <w:tcW w:w="1525" w:type="dxa"/>
            <w:tcBorders>
              <w:top w:val="single" w:sz="4" w:space="0" w:color="808080" w:themeColor="text1" w:themeTint="7F"/>
              <w:left w:val="single" w:sz="4" w:space="0" w:color="808080" w:themeColor="text1" w:themeTint="7F"/>
              <w:bottom w:val="single" w:sz="4" w:space="0" w:color="808080" w:themeColor="text1" w:themeTint="7F"/>
              <w:right w:val="single" w:sz="4" w:space="0" w:color="808080" w:themeColor="text1" w:themeTint="7F"/>
            </w:tcBorders>
          </w:tcPr>
          <w:p w14:paraId="2A0DC290" w14:textId="304BA554" w:rsidR="007757E1" w:rsidRPr="00F95FE4" w:rsidRDefault="002164F0" w:rsidP="002164F0">
            <w:pPr>
              <w:spacing w:before="60" w:after="60"/>
              <w:jc w:val="center"/>
              <w:rPr>
                <w:rFonts w:ascii="Verdana" w:hAnsi="Verdana"/>
                <w:sz w:val="18"/>
                <w:szCs w:val="18"/>
              </w:rPr>
            </w:pPr>
            <w:r>
              <w:rPr>
                <w:rFonts w:ascii="Verdana" w:hAnsi="Verdana"/>
                <w:sz w:val="18"/>
                <w:szCs w:val="18"/>
              </w:rPr>
              <w:t>1.1.2022 г.</w:t>
            </w:r>
          </w:p>
        </w:tc>
        <w:tc>
          <w:tcPr>
            <w:tcW w:w="6602" w:type="dxa"/>
            <w:tcBorders>
              <w:top w:val="single" w:sz="4" w:space="0" w:color="808080" w:themeColor="text1" w:themeTint="7F"/>
              <w:left w:val="single" w:sz="4" w:space="0" w:color="808080" w:themeColor="text1" w:themeTint="7F"/>
              <w:bottom w:val="single" w:sz="4" w:space="0" w:color="808080" w:themeColor="text1" w:themeTint="7F"/>
              <w:right w:val="single" w:sz="4" w:space="0" w:color="808080" w:themeColor="text1" w:themeTint="7F"/>
            </w:tcBorders>
          </w:tcPr>
          <w:p w14:paraId="272DB6E6" w14:textId="77777777" w:rsidR="007757E1" w:rsidRPr="00A05C55" w:rsidRDefault="007757E1" w:rsidP="007757E1">
            <w:pPr>
              <w:numPr>
                <w:ilvl w:val="0"/>
                <w:numId w:val="47"/>
              </w:numPr>
              <w:spacing w:before="60" w:after="60"/>
              <w:ind w:left="392"/>
              <w:rPr>
                <w:rFonts w:ascii="Verdana" w:eastAsia="Times New Roman" w:hAnsi="Verdana" w:cs="Times New Roman"/>
                <w:sz w:val="18"/>
                <w:szCs w:val="18"/>
              </w:rPr>
            </w:pPr>
            <w:r>
              <w:rPr>
                <w:rFonts w:ascii="Verdana" w:hAnsi="Verdana"/>
                <w:sz w:val="18"/>
                <w:szCs w:val="18"/>
              </w:rPr>
              <w:t xml:space="preserve">Промени в Приложение 5: актуализация на препратките към правната рамка за търговските марки (Регламент (ЕС) 2017/1001 и Директива (ЕС) 2015/2436) </w:t>
            </w:r>
          </w:p>
          <w:p w14:paraId="5EACE234" w14:textId="77777777" w:rsidR="0092218B" w:rsidRDefault="0092218B" w:rsidP="0092218B">
            <w:pPr>
              <w:pStyle w:val="ListParagraph"/>
              <w:numPr>
                <w:ilvl w:val="0"/>
                <w:numId w:val="47"/>
              </w:numPr>
              <w:spacing w:before="60" w:after="60"/>
              <w:ind w:left="817"/>
              <w:rPr>
                <w:rFonts w:ascii="Verdana" w:hAnsi="Verdana"/>
                <w:sz w:val="18"/>
                <w:szCs w:val="18"/>
              </w:rPr>
            </w:pPr>
          </w:p>
          <w:p w14:paraId="6CEDE5C0" w14:textId="296EDB94" w:rsidR="007757E1" w:rsidRPr="00F95FE4" w:rsidRDefault="0092218B" w:rsidP="0092218B">
            <w:pPr>
              <w:pStyle w:val="ListParagraph"/>
              <w:numPr>
                <w:ilvl w:val="0"/>
                <w:numId w:val="47"/>
              </w:numPr>
              <w:spacing w:before="60" w:after="60"/>
              <w:ind w:left="817"/>
              <w:rPr>
                <w:rFonts w:ascii="Verdana" w:hAnsi="Verdana"/>
                <w:sz w:val="18"/>
                <w:szCs w:val="18"/>
              </w:rPr>
            </w:pPr>
            <w:r>
              <w:rPr>
                <w:rFonts w:ascii="Verdana" w:hAnsi="Verdana"/>
                <w:sz w:val="18"/>
                <w:szCs w:val="18"/>
              </w:rPr>
              <w:t>позоваване на основаните на храни насоки за хранителния режим (ОХНХР) на национално равнище</w:t>
            </w:r>
          </w:p>
        </w:tc>
      </w:tr>
      <w:tr w:rsidR="008907F4" w:rsidRPr="00F95FE4" w14:paraId="05B13267" w14:textId="77777777" w:rsidTr="2FA6B974">
        <w:trPr>
          <w:jc w:val="center"/>
        </w:trPr>
        <w:tc>
          <w:tcPr>
            <w:tcW w:w="1101" w:type="dxa"/>
            <w:tcBorders>
              <w:top w:val="single" w:sz="4" w:space="0" w:color="808080" w:themeColor="text1" w:themeTint="7F"/>
              <w:left w:val="single" w:sz="4" w:space="0" w:color="808080" w:themeColor="text1" w:themeTint="7F"/>
              <w:bottom w:val="single" w:sz="4" w:space="0" w:color="808080" w:themeColor="text1" w:themeTint="7F"/>
              <w:right w:val="single" w:sz="4" w:space="0" w:color="808080" w:themeColor="text1" w:themeTint="7F"/>
            </w:tcBorders>
          </w:tcPr>
          <w:p w14:paraId="30506225" w14:textId="77777777" w:rsidR="008907F4" w:rsidRPr="00F95FE4" w:rsidRDefault="008907F4" w:rsidP="00B217B2">
            <w:pPr>
              <w:spacing w:before="60" w:after="60"/>
              <w:jc w:val="center"/>
              <w:rPr>
                <w:rFonts w:ascii="Verdana" w:hAnsi="Verdana"/>
                <w:sz w:val="18"/>
                <w:szCs w:val="18"/>
              </w:rPr>
            </w:pPr>
          </w:p>
        </w:tc>
        <w:tc>
          <w:tcPr>
            <w:tcW w:w="1525" w:type="dxa"/>
            <w:tcBorders>
              <w:top w:val="single" w:sz="4" w:space="0" w:color="808080" w:themeColor="text1" w:themeTint="7F"/>
              <w:left w:val="single" w:sz="4" w:space="0" w:color="808080" w:themeColor="text1" w:themeTint="7F"/>
              <w:bottom w:val="single" w:sz="4" w:space="0" w:color="808080" w:themeColor="text1" w:themeTint="7F"/>
              <w:right w:val="single" w:sz="4" w:space="0" w:color="808080" w:themeColor="text1" w:themeTint="7F"/>
            </w:tcBorders>
          </w:tcPr>
          <w:p w14:paraId="16D1F5B1" w14:textId="77777777" w:rsidR="008907F4" w:rsidRPr="00F95FE4" w:rsidRDefault="008907F4" w:rsidP="00B217B2">
            <w:pPr>
              <w:spacing w:before="60" w:after="60"/>
              <w:jc w:val="center"/>
              <w:rPr>
                <w:rFonts w:ascii="Verdana" w:hAnsi="Verdana"/>
                <w:sz w:val="18"/>
                <w:szCs w:val="18"/>
              </w:rPr>
            </w:pPr>
          </w:p>
        </w:tc>
        <w:tc>
          <w:tcPr>
            <w:tcW w:w="6602" w:type="dxa"/>
            <w:tcBorders>
              <w:top w:val="single" w:sz="4" w:space="0" w:color="808080" w:themeColor="text1" w:themeTint="7F"/>
              <w:left w:val="single" w:sz="4" w:space="0" w:color="808080" w:themeColor="text1" w:themeTint="7F"/>
              <w:bottom w:val="single" w:sz="4" w:space="0" w:color="808080" w:themeColor="text1" w:themeTint="7F"/>
              <w:right w:val="single" w:sz="4" w:space="0" w:color="808080" w:themeColor="text1" w:themeTint="7F"/>
            </w:tcBorders>
          </w:tcPr>
          <w:p w14:paraId="0FCB4F63" w14:textId="77777777" w:rsidR="008907F4" w:rsidRPr="00F95FE4" w:rsidRDefault="008907F4" w:rsidP="00B217B2">
            <w:pPr>
              <w:spacing w:before="60" w:after="60"/>
              <w:rPr>
                <w:rFonts w:ascii="Verdana" w:hAnsi="Verdana"/>
                <w:sz w:val="18"/>
                <w:szCs w:val="18"/>
              </w:rPr>
            </w:pPr>
          </w:p>
        </w:tc>
      </w:tr>
      <w:tr w:rsidR="008907F4" w:rsidRPr="00F95FE4" w14:paraId="7BCA4260" w14:textId="77777777" w:rsidTr="2FA6B974">
        <w:trPr>
          <w:jc w:val="center"/>
        </w:trPr>
        <w:tc>
          <w:tcPr>
            <w:tcW w:w="1101" w:type="dxa"/>
            <w:tcBorders>
              <w:top w:val="single" w:sz="4" w:space="0" w:color="808080" w:themeColor="text1" w:themeTint="7F"/>
              <w:left w:val="single" w:sz="4" w:space="0" w:color="808080" w:themeColor="text1" w:themeTint="7F"/>
              <w:bottom w:val="single" w:sz="4" w:space="0" w:color="808080" w:themeColor="text1" w:themeTint="7F"/>
              <w:right w:val="single" w:sz="4" w:space="0" w:color="808080" w:themeColor="text1" w:themeTint="7F"/>
            </w:tcBorders>
          </w:tcPr>
          <w:p w14:paraId="79E75E0D" w14:textId="77777777" w:rsidR="008907F4" w:rsidRPr="00F95FE4" w:rsidRDefault="008907F4" w:rsidP="00B217B2">
            <w:pPr>
              <w:spacing w:before="60" w:after="60"/>
              <w:jc w:val="center"/>
              <w:rPr>
                <w:rFonts w:ascii="Verdana" w:hAnsi="Verdana"/>
                <w:sz w:val="18"/>
                <w:szCs w:val="18"/>
              </w:rPr>
            </w:pPr>
          </w:p>
        </w:tc>
        <w:tc>
          <w:tcPr>
            <w:tcW w:w="1525" w:type="dxa"/>
            <w:tcBorders>
              <w:top w:val="single" w:sz="4" w:space="0" w:color="808080" w:themeColor="text1" w:themeTint="7F"/>
              <w:left w:val="single" w:sz="4" w:space="0" w:color="808080" w:themeColor="text1" w:themeTint="7F"/>
              <w:bottom w:val="single" w:sz="4" w:space="0" w:color="808080" w:themeColor="text1" w:themeTint="7F"/>
              <w:right w:val="single" w:sz="4" w:space="0" w:color="808080" w:themeColor="text1" w:themeTint="7F"/>
            </w:tcBorders>
          </w:tcPr>
          <w:p w14:paraId="3C100140" w14:textId="77777777" w:rsidR="008907F4" w:rsidRPr="00F95FE4" w:rsidRDefault="008907F4" w:rsidP="00B217B2">
            <w:pPr>
              <w:spacing w:before="60" w:after="60"/>
              <w:jc w:val="center"/>
              <w:rPr>
                <w:rFonts w:ascii="Verdana" w:hAnsi="Verdana"/>
                <w:sz w:val="18"/>
                <w:szCs w:val="18"/>
              </w:rPr>
            </w:pPr>
          </w:p>
        </w:tc>
        <w:tc>
          <w:tcPr>
            <w:tcW w:w="6602" w:type="dxa"/>
            <w:tcBorders>
              <w:top w:val="single" w:sz="4" w:space="0" w:color="808080" w:themeColor="text1" w:themeTint="7F"/>
              <w:left w:val="single" w:sz="4" w:space="0" w:color="808080" w:themeColor="text1" w:themeTint="7F"/>
              <w:bottom w:val="single" w:sz="4" w:space="0" w:color="808080" w:themeColor="text1" w:themeTint="7F"/>
              <w:right w:val="single" w:sz="4" w:space="0" w:color="808080" w:themeColor="text1" w:themeTint="7F"/>
            </w:tcBorders>
          </w:tcPr>
          <w:p w14:paraId="4D0CB6B6" w14:textId="77777777" w:rsidR="008907F4" w:rsidRPr="00F95FE4" w:rsidRDefault="008907F4" w:rsidP="00B217B2">
            <w:pPr>
              <w:spacing w:before="60" w:after="60"/>
              <w:rPr>
                <w:rFonts w:ascii="Verdana" w:hAnsi="Verdana"/>
                <w:sz w:val="18"/>
                <w:szCs w:val="18"/>
              </w:rPr>
            </w:pPr>
          </w:p>
        </w:tc>
      </w:tr>
      <w:tr w:rsidR="008907F4" w:rsidRPr="00F95FE4" w14:paraId="35D68361" w14:textId="77777777" w:rsidTr="2FA6B974">
        <w:trPr>
          <w:jc w:val="center"/>
        </w:trPr>
        <w:tc>
          <w:tcPr>
            <w:tcW w:w="1101" w:type="dxa"/>
            <w:tcBorders>
              <w:top w:val="single" w:sz="4" w:space="0" w:color="808080" w:themeColor="text1" w:themeTint="7F"/>
              <w:left w:val="single" w:sz="4" w:space="0" w:color="808080" w:themeColor="text1" w:themeTint="7F"/>
              <w:bottom w:val="single" w:sz="4" w:space="0" w:color="808080" w:themeColor="text1" w:themeTint="7F"/>
              <w:right w:val="single" w:sz="4" w:space="0" w:color="808080" w:themeColor="text1" w:themeTint="7F"/>
            </w:tcBorders>
          </w:tcPr>
          <w:p w14:paraId="19614A0C" w14:textId="77777777" w:rsidR="008907F4" w:rsidRPr="00F95FE4" w:rsidRDefault="008907F4" w:rsidP="00B217B2">
            <w:pPr>
              <w:spacing w:before="60" w:after="60"/>
              <w:jc w:val="center"/>
              <w:rPr>
                <w:rFonts w:ascii="Verdana" w:hAnsi="Verdana"/>
                <w:sz w:val="18"/>
                <w:szCs w:val="18"/>
              </w:rPr>
            </w:pPr>
          </w:p>
        </w:tc>
        <w:tc>
          <w:tcPr>
            <w:tcW w:w="1525" w:type="dxa"/>
            <w:tcBorders>
              <w:top w:val="single" w:sz="4" w:space="0" w:color="808080" w:themeColor="text1" w:themeTint="7F"/>
              <w:left w:val="single" w:sz="4" w:space="0" w:color="808080" w:themeColor="text1" w:themeTint="7F"/>
              <w:bottom w:val="single" w:sz="4" w:space="0" w:color="808080" w:themeColor="text1" w:themeTint="7F"/>
              <w:right w:val="single" w:sz="4" w:space="0" w:color="808080" w:themeColor="text1" w:themeTint="7F"/>
            </w:tcBorders>
          </w:tcPr>
          <w:p w14:paraId="44627ADC" w14:textId="77777777" w:rsidR="008907F4" w:rsidRPr="00F95FE4" w:rsidRDefault="008907F4" w:rsidP="00B217B2">
            <w:pPr>
              <w:spacing w:before="60" w:after="60"/>
              <w:jc w:val="center"/>
              <w:rPr>
                <w:rFonts w:ascii="Verdana" w:hAnsi="Verdana"/>
                <w:sz w:val="18"/>
                <w:szCs w:val="18"/>
              </w:rPr>
            </w:pPr>
          </w:p>
        </w:tc>
        <w:tc>
          <w:tcPr>
            <w:tcW w:w="6602" w:type="dxa"/>
            <w:tcBorders>
              <w:top w:val="single" w:sz="4" w:space="0" w:color="808080" w:themeColor="text1" w:themeTint="7F"/>
              <w:left w:val="single" w:sz="4" w:space="0" w:color="808080" w:themeColor="text1" w:themeTint="7F"/>
              <w:bottom w:val="single" w:sz="4" w:space="0" w:color="808080" w:themeColor="text1" w:themeTint="7F"/>
              <w:right w:val="single" w:sz="4" w:space="0" w:color="808080" w:themeColor="text1" w:themeTint="7F"/>
            </w:tcBorders>
          </w:tcPr>
          <w:p w14:paraId="11103539" w14:textId="77777777" w:rsidR="008907F4" w:rsidRPr="00F95FE4" w:rsidRDefault="008907F4" w:rsidP="00B217B2">
            <w:pPr>
              <w:spacing w:before="60" w:after="60"/>
              <w:rPr>
                <w:rFonts w:ascii="Verdana" w:hAnsi="Verdana"/>
                <w:sz w:val="18"/>
                <w:szCs w:val="18"/>
              </w:rPr>
            </w:pPr>
          </w:p>
        </w:tc>
      </w:tr>
      <w:tr w:rsidR="008907F4" w:rsidRPr="00F95FE4" w14:paraId="3A2D3533" w14:textId="77777777" w:rsidTr="2FA6B974">
        <w:trPr>
          <w:jc w:val="center"/>
        </w:trPr>
        <w:tc>
          <w:tcPr>
            <w:tcW w:w="1101" w:type="dxa"/>
            <w:tcBorders>
              <w:top w:val="single" w:sz="4" w:space="0" w:color="808080" w:themeColor="text1" w:themeTint="7F"/>
              <w:left w:val="single" w:sz="4" w:space="0" w:color="808080" w:themeColor="text1" w:themeTint="7F"/>
              <w:bottom w:val="single" w:sz="4" w:space="0" w:color="808080" w:themeColor="text1" w:themeTint="7F"/>
              <w:right w:val="single" w:sz="4" w:space="0" w:color="808080" w:themeColor="text1" w:themeTint="7F"/>
            </w:tcBorders>
          </w:tcPr>
          <w:p w14:paraId="017AF882" w14:textId="77777777" w:rsidR="008907F4" w:rsidRPr="00F95FE4" w:rsidRDefault="008907F4" w:rsidP="00B217B2">
            <w:pPr>
              <w:spacing w:before="60" w:after="60"/>
              <w:jc w:val="center"/>
              <w:rPr>
                <w:rFonts w:ascii="Verdana" w:hAnsi="Verdana"/>
                <w:sz w:val="18"/>
                <w:szCs w:val="18"/>
              </w:rPr>
            </w:pPr>
          </w:p>
        </w:tc>
        <w:tc>
          <w:tcPr>
            <w:tcW w:w="1525" w:type="dxa"/>
            <w:tcBorders>
              <w:top w:val="single" w:sz="4" w:space="0" w:color="808080" w:themeColor="text1" w:themeTint="7F"/>
              <w:left w:val="single" w:sz="4" w:space="0" w:color="808080" w:themeColor="text1" w:themeTint="7F"/>
              <w:bottom w:val="single" w:sz="4" w:space="0" w:color="808080" w:themeColor="text1" w:themeTint="7F"/>
              <w:right w:val="single" w:sz="4" w:space="0" w:color="808080" w:themeColor="text1" w:themeTint="7F"/>
            </w:tcBorders>
          </w:tcPr>
          <w:p w14:paraId="659C45A7" w14:textId="77777777" w:rsidR="008907F4" w:rsidRPr="00F95FE4" w:rsidRDefault="008907F4" w:rsidP="00B217B2">
            <w:pPr>
              <w:spacing w:before="60" w:after="60"/>
              <w:jc w:val="center"/>
              <w:rPr>
                <w:rFonts w:ascii="Verdana" w:hAnsi="Verdana"/>
                <w:sz w:val="18"/>
                <w:szCs w:val="18"/>
              </w:rPr>
            </w:pPr>
          </w:p>
        </w:tc>
        <w:tc>
          <w:tcPr>
            <w:tcW w:w="6602" w:type="dxa"/>
            <w:tcBorders>
              <w:top w:val="single" w:sz="4" w:space="0" w:color="808080" w:themeColor="text1" w:themeTint="7F"/>
              <w:left w:val="single" w:sz="4" w:space="0" w:color="808080" w:themeColor="text1" w:themeTint="7F"/>
              <w:bottom w:val="single" w:sz="4" w:space="0" w:color="808080" w:themeColor="text1" w:themeTint="7F"/>
              <w:right w:val="single" w:sz="4" w:space="0" w:color="808080" w:themeColor="text1" w:themeTint="7F"/>
            </w:tcBorders>
          </w:tcPr>
          <w:p w14:paraId="3728FAE0" w14:textId="77777777" w:rsidR="008907F4" w:rsidRPr="00F95FE4" w:rsidRDefault="008907F4" w:rsidP="00B217B2">
            <w:pPr>
              <w:spacing w:before="60" w:after="60"/>
              <w:rPr>
                <w:rFonts w:ascii="Verdana" w:hAnsi="Verdana"/>
                <w:sz w:val="18"/>
                <w:szCs w:val="18"/>
              </w:rPr>
            </w:pPr>
          </w:p>
        </w:tc>
      </w:tr>
      <w:tr w:rsidR="008907F4" w:rsidRPr="00F95FE4" w14:paraId="781024DB" w14:textId="77777777" w:rsidTr="2FA6B974">
        <w:trPr>
          <w:jc w:val="center"/>
        </w:trPr>
        <w:tc>
          <w:tcPr>
            <w:tcW w:w="1101" w:type="dxa"/>
            <w:tcBorders>
              <w:top w:val="single" w:sz="4" w:space="0" w:color="808080" w:themeColor="text1" w:themeTint="7F"/>
              <w:left w:val="single" w:sz="4" w:space="0" w:color="808080" w:themeColor="text1" w:themeTint="7F"/>
              <w:bottom w:val="single" w:sz="4" w:space="0" w:color="808080" w:themeColor="text1" w:themeTint="7F"/>
              <w:right w:val="single" w:sz="4" w:space="0" w:color="808080" w:themeColor="text1" w:themeTint="7F"/>
            </w:tcBorders>
          </w:tcPr>
          <w:p w14:paraId="735EA67D" w14:textId="77777777" w:rsidR="008907F4" w:rsidRPr="00F95FE4" w:rsidRDefault="008907F4" w:rsidP="00B217B2">
            <w:pPr>
              <w:spacing w:before="60" w:after="60"/>
              <w:jc w:val="center"/>
              <w:rPr>
                <w:rFonts w:ascii="Verdana" w:hAnsi="Verdana"/>
                <w:sz w:val="18"/>
                <w:szCs w:val="18"/>
              </w:rPr>
            </w:pPr>
          </w:p>
        </w:tc>
        <w:tc>
          <w:tcPr>
            <w:tcW w:w="1525" w:type="dxa"/>
            <w:tcBorders>
              <w:top w:val="single" w:sz="4" w:space="0" w:color="808080" w:themeColor="text1" w:themeTint="7F"/>
              <w:left w:val="single" w:sz="4" w:space="0" w:color="808080" w:themeColor="text1" w:themeTint="7F"/>
              <w:bottom w:val="single" w:sz="4" w:space="0" w:color="808080" w:themeColor="text1" w:themeTint="7F"/>
              <w:right w:val="single" w:sz="4" w:space="0" w:color="808080" w:themeColor="text1" w:themeTint="7F"/>
            </w:tcBorders>
          </w:tcPr>
          <w:p w14:paraId="1125F5C2" w14:textId="77777777" w:rsidR="008907F4" w:rsidRPr="00F95FE4" w:rsidRDefault="008907F4" w:rsidP="00B217B2">
            <w:pPr>
              <w:spacing w:before="60" w:after="60"/>
              <w:jc w:val="center"/>
              <w:rPr>
                <w:rFonts w:ascii="Verdana" w:hAnsi="Verdana"/>
                <w:sz w:val="18"/>
                <w:szCs w:val="18"/>
              </w:rPr>
            </w:pPr>
          </w:p>
        </w:tc>
        <w:tc>
          <w:tcPr>
            <w:tcW w:w="6602" w:type="dxa"/>
            <w:tcBorders>
              <w:top w:val="single" w:sz="4" w:space="0" w:color="808080" w:themeColor="text1" w:themeTint="7F"/>
              <w:left w:val="single" w:sz="4" w:space="0" w:color="808080" w:themeColor="text1" w:themeTint="7F"/>
              <w:bottom w:val="single" w:sz="4" w:space="0" w:color="808080" w:themeColor="text1" w:themeTint="7F"/>
              <w:right w:val="single" w:sz="4" w:space="0" w:color="808080" w:themeColor="text1" w:themeTint="7F"/>
            </w:tcBorders>
          </w:tcPr>
          <w:p w14:paraId="7851E020" w14:textId="77777777" w:rsidR="008907F4" w:rsidRPr="00F95FE4" w:rsidRDefault="008907F4" w:rsidP="00B217B2">
            <w:pPr>
              <w:spacing w:before="60" w:after="60"/>
              <w:rPr>
                <w:rFonts w:ascii="Verdana" w:hAnsi="Verdana"/>
                <w:sz w:val="18"/>
                <w:szCs w:val="18"/>
              </w:rPr>
            </w:pPr>
          </w:p>
        </w:tc>
      </w:tr>
    </w:tbl>
    <w:p w14:paraId="1E62E1DE" w14:textId="77777777" w:rsidR="008907F4" w:rsidRDefault="008907F4" w:rsidP="008907F4">
      <w:pPr>
        <w:rPr>
          <w:snapToGrid w:val="0"/>
        </w:rPr>
      </w:pPr>
    </w:p>
    <w:p w14:paraId="527FC250" w14:textId="77777777" w:rsidR="008907F4" w:rsidRPr="00494E5D" w:rsidRDefault="008907F4" w:rsidP="008907F4">
      <w:pPr>
        <w:spacing w:line="276" w:lineRule="auto"/>
        <w:jc w:val="left"/>
        <w:rPr>
          <w:b/>
          <w:szCs w:val="24"/>
        </w:rPr>
      </w:pPr>
      <w:r>
        <w:br w:type="page"/>
      </w:r>
    </w:p>
    <w:p w14:paraId="6C4714AC" w14:textId="462312C4" w:rsidR="00A547E2" w:rsidRDefault="008907F4" w:rsidP="2FA6B974">
      <w:pPr>
        <w:spacing w:after="0"/>
        <w:ind w:left="360"/>
        <w:jc w:val="center"/>
        <w:rPr>
          <w:b/>
          <w:bCs/>
          <w:color w:val="4AA55B"/>
        </w:rPr>
      </w:pPr>
      <w:r>
        <w:rPr>
          <w:b/>
          <w:bCs/>
          <w:color w:val="4AA55B"/>
        </w:rPr>
        <w:lastRenderedPageBreak/>
        <w:t xml:space="preserve">ОБРАЗЕЦ НА СПОРАЗУМЕНИЕ ЗА ОТПУСКАНЕ НА БЕЗВЪЗМЕЗДНИ СРЕДСТВА ПО </w:t>
      </w:r>
    </w:p>
    <w:p w14:paraId="0A4E478A" w14:textId="0D62D2E6" w:rsidR="008907F4" w:rsidRPr="00D97B0A" w:rsidRDefault="008907F4" w:rsidP="2FA6B974">
      <w:pPr>
        <w:spacing w:after="0"/>
        <w:ind w:left="360"/>
        <w:jc w:val="center"/>
        <w:rPr>
          <w:rFonts w:ascii="TimesNewRomanPS" w:hAnsi="TimesNewRomanPS" w:cs="Times New Roman"/>
          <w:b/>
          <w:bCs/>
          <w:color w:val="4AA55B"/>
          <w:sz w:val="20"/>
          <w:szCs w:val="20"/>
          <w:vertAlign w:val="superscript"/>
        </w:rPr>
      </w:pPr>
      <w:r>
        <w:rPr>
          <w:b/>
          <w:bCs/>
          <w:color w:val="4AA55B"/>
        </w:rPr>
        <w:t>ОБИКНОВЕНИ ПРОГРАМИ ЗА НАСЪРЧАВАНЕ НА СЕЛСКОСТОПАНСКАТА ПРОДУКЦИЯ (AGRIP SIMPLE)</w:t>
      </w:r>
    </w:p>
    <w:p w14:paraId="781B2FC1" w14:textId="2874F6D0" w:rsidR="008907F4" w:rsidRPr="00D97B0A" w:rsidRDefault="008907F4" w:rsidP="008907F4">
      <w:pPr>
        <w:spacing w:after="0"/>
        <w:ind w:left="360"/>
        <w:jc w:val="center"/>
        <w:rPr>
          <w:b/>
          <w:color w:val="4AA55B"/>
          <w:szCs w:val="24"/>
        </w:rPr>
      </w:pPr>
      <w:r>
        <w:rPr>
          <w:b/>
          <w:color w:val="4AA55B"/>
          <w:szCs w:val="24"/>
        </w:rPr>
        <w:t>(AGRIP SIMPLE MGA — ЗА ЕДИН И ПОВЕЧЕ БЕНЕФИЦИЕРИ)</w:t>
      </w:r>
    </w:p>
    <w:p w14:paraId="4603E8E9" w14:textId="77777777" w:rsidR="008907F4" w:rsidRPr="005170C7" w:rsidRDefault="008907F4" w:rsidP="008907F4">
      <w:pPr>
        <w:spacing w:after="0"/>
        <w:ind w:left="360"/>
        <w:jc w:val="center"/>
        <w:rPr>
          <w:b/>
          <w:szCs w:val="24"/>
          <w:lang w:val="it-IT"/>
        </w:rPr>
      </w:pPr>
    </w:p>
    <w:p w14:paraId="1F0B1EC5" w14:textId="77777777" w:rsidR="008907F4" w:rsidRPr="00D97B0A" w:rsidRDefault="008907F4" w:rsidP="2FA6B974">
      <w:pPr>
        <w:pStyle w:val="ListParagraph"/>
        <w:numPr>
          <w:ilvl w:val="0"/>
          <w:numId w:val="54"/>
        </w:numPr>
        <w:spacing w:after="0"/>
        <w:rPr>
          <w:rFonts w:ascii="Arial" w:hAnsi="Arial" w:cs="Arial"/>
          <w:b/>
          <w:bCs/>
          <w:color w:val="4AA55B"/>
          <w:sz w:val="18"/>
          <w:szCs w:val="18"/>
        </w:rPr>
      </w:pPr>
      <w:r>
        <w:rPr>
          <w:rFonts w:ascii="Arial" w:hAnsi="Arial"/>
          <w:b/>
          <w:bCs/>
          <w:snapToGrid w:val="0"/>
          <w:color w:val="4AA55B"/>
          <w:sz w:val="18"/>
          <w:szCs w:val="18"/>
        </w:rPr>
        <w:t>Варианти [</w:t>
      </w:r>
      <w:r>
        <w:rPr>
          <w:rFonts w:ascii="Arial" w:hAnsi="Arial"/>
          <w:b/>
          <w:bCs/>
          <w:i/>
          <w:iCs/>
          <w:snapToGrid w:val="0"/>
          <w:color w:val="4AA55B"/>
          <w:sz w:val="18"/>
          <w:szCs w:val="18"/>
        </w:rPr>
        <w:t>в зелени квадратни скоби</w:t>
      </w:r>
      <w:r>
        <w:rPr>
          <w:rFonts w:ascii="Arial" w:hAnsi="Arial"/>
          <w:b/>
          <w:bCs/>
          <w:snapToGrid w:val="0"/>
          <w:color w:val="4AA55B"/>
          <w:sz w:val="18"/>
          <w:szCs w:val="18"/>
        </w:rPr>
        <w:t>]: трябва да бъде избран приложимият вариант, неизбраните варианти следва да бъдат изтрити.</w:t>
      </w:r>
    </w:p>
    <w:p w14:paraId="08A8232B" w14:textId="77777777" w:rsidR="008907F4" w:rsidRPr="00D97B0A" w:rsidRDefault="008907F4" w:rsidP="2FA6B974">
      <w:pPr>
        <w:pStyle w:val="ListParagraph"/>
        <w:numPr>
          <w:ilvl w:val="0"/>
          <w:numId w:val="54"/>
        </w:numPr>
        <w:spacing w:after="0"/>
        <w:rPr>
          <w:rFonts w:ascii="Arial" w:hAnsi="Arial" w:cs="Arial"/>
          <w:b/>
          <w:bCs/>
          <w:color w:val="4AA55B"/>
          <w:sz w:val="18"/>
          <w:szCs w:val="18"/>
        </w:rPr>
      </w:pPr>
      <w:r>
        <w:rPr>
          <w:rFonts w:ascii="Arial" w:hAnsi="Arial"/>
          <w:b/>
          <w:bCs/>
          <w:snapToGrid w:val="0"/>
          <w:color w:val="4AA55B"/>
          <w:sz w:val="18"/>
          <w:szCs w:val="18"/>
        </w:rPr>
        <w:t>За полетата в [</w:t>
      </w:r>
      <w:r>
        <w:rPr>
          <w:rFonts w:ascii="Arial" w:hAnsi="Arial"/>
          <w:b/>
          <w:bCs/>
          <w:snapToGrid w:val="0"/>
          <w:color w:val="4AA55B"/>
          <w:sz w:val="18"/>
          <w:szCs w:val="18"/>
          <w:highlight w:val="lightGray"/>
        </w:rPr>
        <w:t>сиво в квадратни скоби</w:t>
      </w:r>
      <w:r>
        <w:rPr>
          <w:rFonts w:ascii="Arial" w:hAnsi="Arial"/>
          <w:b/>
          <w:bCs/>
          <w:snapToGrid w:val="0"/>
          <w:color w:val="4AA55B"/>
          <w:sz w:val="18"/>
          <w:szCs w:val="18"/>
        </w:rPr>
        <w:t xml:space="preserve">]: попълнете съответните данни/съответната информация. </w:t>
      </w:r>
    </w:p>
    <w:p w14:paraId="3559D38E" w14:textId="5EB23BF2" w:rsidR="008907F4" w:rsidRPr="004931E1" w:rsidRDefault="008907F4" w:rsidP="2FA6B974">
      <w:pPr>
        <w:pStyle w:val="ListParagraph"/>
        <w:keepLines/>
        <w:numPr>
          <w:ilvl w:val="0"/>
          <w:numId w:val="54"/>
        </w:numPr>
        <w:spacing w:after="0"/>
        <w:rPr>
          <w:rFonts w:ascii="Arial" w:hAnsi="Arial"/>
          <w:b/>
          <w:bCs/>
          <w:color w:val="4AA55B"/>
          <w:sz w:val="18"/>
          <w:szCs w:val="18"/>
        </w:rPr>
      </w:pPr>
      <w:r>
        <w:rPr>
          <w:rFonts w:ascii="Arial" w:hAnsi="Arial"/>
          <w:b/>
          <w:bCs/>
          <w:snapToGrid w:val="0"/>
          <w:color w:val="4AA55B"/>
          <w:sz w:val="18"/>
          <w:szCs w:val="18"/>
        </w:rPr>
        <w:t>Текстът в</w:t>
      </w:r>
      <w:r>
        <w:rPr>
          <w:rFonts w:ascii="Arial" w:hAnsi="Arial"/>
          <w:b/>
          <w:bCs/>
          <w:snapToGrid w:val="0"/>
          <w:color w:val="7F7F7F" w:themeColor="text1" w:themeTint="80"/>
          <w:sz w:val="18"/>
          <w:szCs w:val="18"/>
        </w:rPr>
        <w:t xml:space="preserve"> сиво</w:t>
      </w:r>
      <w:r>
        <w:rPr>
          <w:rFonts w:ascii="Arial" w:hAnsi="Arial"/>
          <w:b/>
          <w:bCs/>
          <w:snapToGrid w:val="0"/>
          <w:color w:val="4AA55B"/>
          <w:sz w:val="18"/>
          <w:szCs w:val="18"/>
        </w:rPr>
        <w:t xml:space="preserve"> означава, че текстът, използван в други програми на ЕС, не е приложим за тази програма.</w:t>
      </w:r>
    </w:p>
    <w:p w14:paraId="76B29C7C" w14:textId="02402964" w:rsidR="004931E1" w:rsidRPr="00D97B0A" w:rsidRDefault="004931E1" w:rsidP="2FA6B974">
      <w:pPr>
        <w:pStyle w:val="ListParagraph"/>
        <w:keepLines/>
        <w:numPr>
          <w:ilvl w:val="0"/>
          <w:numId w:val="54"/>
        </w:numPr>
        <w:spacing w:after="0"/>
        <w:rPr>
          <w:rFonts w:ascii="Arial" w:hAnsi="Arial"/>
          <w:b/>
          <w:bCs/>
          <w:color w:val="4AA55B"/>
          <w:sz w:val="18"/>
          <w:szCs w:val="18"/>
        </w:rPr>
      </w:pPr>
      <w:r>
        <w:rPr>
          <w:rFonts w:ascii="Arial" w:hAnsi="Arial"/>
          <w:b/>
          <w:bCs/>
          <w:color w:val="4AA55B"/>
          <w:sz w:val="18"/>
          <w:szCs w:val="18"/>
        </w:rPr>
        <w:t xml:space="preserve">Текстът в </w:t>
      </w:r>
      <w:r>
        <w:rPr>
          <w:rFonts w:ascii="Arial" w:hAnsi="Arial"/>
          <w:b/>
          <w:bCs/>
          <w:color w:val="4AA55B"/>
          <w:sz w:val="18"/>
          <w:szCs w:val="18"/>
          <w:shd w:val="clear" w:color="auto" w:fill="CCFFFF"/>
        </w:rPr>
        <w:t>синьо</w:t>
      </w:r>
      <w:r>
        <w:rPr>
          <w:rFonts w:ascii="Arial" w:hAnsi="Arial"/>
          <w:b/>
          <w:bCs/>
          <w:color w:val="4AA55B"/>
          <w:sz w:val="18"/>
          <w:szCs w:val="18"/>
        </w:rPr>
        <w:t xml:space="preserve"> означава текст специално за безвъзмездни средства, отпускани с хартиен носител.</w:t>
      </w:r>
    </w:p>
    <w:p w14:paraId="5215CB7F" w14:textId="77777777" w:rsidR="008907F4" w:rsidRDefault="008907F4" w:rsidP="008907F4">
      <w:pPr>
        <w:rPr>
          <w:b/>
          <w:snapToGrid w:val="0"/>
          <w:szCs w:val="24"/>
        </w:rPr>
      </w:pPr>
    </w:p>
    <w:p w14:paraId="292CA9F8" w14:textId="77777777" w:rsidR="008907F4" w:rsidRPr="005170C7" w:rsidRDefault="2FA6B974" w:rsidP="2FA6B974">
      <w:pPr>
        <w:tabs>
          <w:tab w:val="left" w:pos="851"/>
        </w:tabs>
        <w:rPr>
          <w:rFonts w:eastAsia="Calibri" w:cs="Times New Roman"/>
          <w:b/>
          <w:bCs/>
        </w:rPr>
      </w:pPr>
      <w:r>
        <w:rPr>
          <w:b/>
          <w:bCs/>
        </w:rPr>
        <w:t xml:space="preserve">Бележка относно използваните термини </w:t>
      </w:r>
    </w:p>
    <w:tbl>
      <w:tblPr>
        <w:tblW w:w="0" w:type="auto"/>
        <w:tblInd w:w="534"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ook w:val="04A0" w:firstRow="1" w:lastRow="0" w:firstColumn="1" w:lastColumn="0" w:noHBand="0" w:noVBand="1"/>
      </w:tblPr>
      <w:tblGrid>
        <w:gridCol w:w="4109"/>
        <w:gridCol w:w="3829"/>
      </w:tblGrid>
      <w:tr w:rsidR="008907F4" w:rsidRPr="005170C7" w14:paraId="73A348D0" w14:textId="77777777" w:rsidTr="2FA6B974">
        <w:tc>
          <w:tcPr>
            <w:tcW w:w="4109" w:type="dxa"/>
            <w:shd w:val="clear" w:color="auto" w:fill="F2F2F2" w:themeFill="background1" w:themeFillShade="F2"/>
          </w:tcPr>
          <w:p w14:paraId="318158F9" w14:textId="77777777" w:rsidR="008907F4" w:rsidRPr="00B62FEF" w:rsidRDefault="008907F4" w:rsidP="2FA6B974">
            <w:pPr>
              <w:tabs>
                <w:tab w:val="left" w:pos="851"/>
              </w:tabs>
              <w:spacing w:before="120" w:after="120"/>
              <w:rPr>
                <w:rFonts w:eastAsia="Calibri" w:cs="Times New Roman"/>
                <w:b/>
                <w:bCs/>
                <w:sz w:val="20"/>
                <w:szCs w:val="20"/>
              </w:rPr>
            </w:pPr>
            <w:r>
              <w:rPr>
                <w:b/>
                <w:bCs/>
                <w:sz w:val="20"/>
                <w:szCs w:val="20"/>
                <w:shd w:val="clear" w:color="auto" w:fill="CCFFFF"/>
              </w:rPr>
              <w:t>Термини, използвани в настоящото споразумение</w:t>
            </w:r>
            <w:r>
              <w:rPr>
                <w:b/>
                <w:bCs/>
                <w:sz w:val="20"/>
                <w:szCs w:val="20"/>
              </w:rPr>
              <w:t>:</w:t>
            </w:r>
          </w:p>
        </w:tc>
        <w:tc>
          <w:tcPr>
            <w:tcW w:w="3829" w:type="dxa"/>
            <w:shd w:val="clear" w:color="auto" w:fill="F2F2F2" w:themeFill="background1" w:themeFillShade="F2"/>
          </w:tcPr>
          <w:p w14:paraId="4A3F260B" w14:textId="68EA4D0A" w:rsidR="008907F4" w:rsidRPr="00B62FEF" w:rsidRDefault="00B62FEF" w:rsidP="2FA6B974">
            <w:pPr>
              <w:tabs>
                <w:tab w:val="left" w:pos="851"/>
              </w:tabs>
              <w:spacing w:before="120" w:after="120"/>
              <w:rPr>
                <w:rFonts w:eastAsia="Calibri" w:cs="Times New Roman"/>
                <w:b/>
                <w:bCs/>
                <w:sz w:val="20"/>
                <w:szCs w:val="20"/>
              </w:rPr>
            </w:pPr>
            <w:r>
              <w:rPr>
                <w:b/>
                <w:bCs/>
                <w:sz w:val="20"/>
                <w:szCs w:val="20"/>
                <w:shd w:val="clear" w:color="auto" w:fill="CCFFFF"/>
              </w:rPr>
              <w:t>Съответстващи термини в законодателните актове</w:t>
            </w:r>
            <w:r>
              <w:rPr>
                <w:b/>
                <w:bCs/>
                <w:sz w:val="20"/>
                <w:szCs w:val="20"/>
              </w:rPr>
              <w:t>:</w:t>
            </w:r>
          </w:p>
        </w:tc>
      </w:tr>
      <w:tr w:rsidR="008907F4" w:rsidRPr="005170C7" w14:paraId="7F98D310" w14:textId="77777777" w:rsidTr="2FA6B974">
        <w:tc>
          <w:tcPr>
            <w:tcW w:w="4109" w:type="dxa"/>
            <w:shd w:val="clear" w:color="auto" w:fill="auto"/>
          </w:tcPr>
          <w:p w14:paraId="5A2D4514" w14:textId="77777777" w:rsidR="008907F4" w:rsidRPr="00920868" w:rsidRDefault="2FA6B974" w:rsidP="2FA6B974">
            <w:pPr>
              <w:tabs>
                <w:tab w:val="left" w:pos="851"/>
              </w:tabs>
              <w:spacing w:before="120" w:after="120"/>
              <w:rPr>
                <w:rFonts w:eastAsia="Calibri" w:cs="Times New Roman"/>
                <w:sz w:val="20"/>
                <w:szCs w:val="20"/>
              </w:rPr>
            </w:pPr>
            <w:r>
              <w:rPr>
                <w:sz w:val="20"/>
                <w:szCs w:val="20"/>
              </w:rPr>
              <w:t xml:space="preserve">Дейност </w:t>
            </w:r>
          </w:p>
        </w:tc>
        <w:tc>
          <w:tcPr>
            <w:tcW w:w="3829" w:type="dxa"/>
            <w:shd w:val="clear" w:color="auto" w:fill="auto"/>
          </w:tcPr>
          <w:p w14:paraId="15BFF14D" w14:textId="77777777" w:rsidR="008907F4" w:rsidRPr="00920868" w:rsidRDefault="2FA6B974" w:rsidP="2FA6B974">
            <w:pPr>
              <w:tabs>
                <w:tab w:val="left" w:pos="851"/>
              </w:tabs>
              <w:spacing w:before="120" w:after="120"/>
              <w:rPr>
                <w:rFonts w:eastAsia="Calibri" w:cs="Times New Roman"/>
                <w:sz w:val="20"/>
                <w:szCs w:val="20"/>
              </w:rPr>
            </w:pPr>
            <w:r>
              <w:rPr>
                <w:sz w:val="20"/>
                <w:szCs w:val="20"/>
              </w:rPr>
              <w:t>Програма</w:t>
            </w:r>
          </w:p>
        </w:tc>
      </w:tr>
      <w:tr w:rsidR="008907F4" w:rsidRPr="005170C7" w14:paraId="6E66EF08" w14:textId="77777777" w:rsidTr="2FA6B974">
        <w:tc>
          <w:tcPr>
            <w:tcW w:w="4109" w:type="dxa"/>
            <w:shd w:val="clear" w:color="auto" w:fill="auto"/>
          </w:tcPr>
          <w:p w14:paraId="24E60094" w14:textId="77777777" w:rsidR="008907F4" w:rsidRPr="00920868" w:rsidRDefault="2FA6B974" w:rsidP="2FA6B974">
            <w:pPr>
              <w:tabs>
                <w:tab w:val="left" w:pos="851"/>
              </w:tabs>
              <w:spacing w:before="120" w:after="120"/>
              <w:rPr>
                <w:rFonts w:eastAsia="Calibri" w:cs="Times New Roman"/>
                <w:sz w:val="20"/>
                <w:szCs w:val="20"/>
              </w:rPr>
            </w:pPr>
            <w:r>
              <w:rPr>
                <w:sz w:val="20"/>
                <w:szCs w:val="20"/>
              </w:rPr>
              <w:t>Споразумение (за отпускане на безвъзмездни средства)</w:t>
            </w:r>
          </w:p>
        </w:tc>
        <w:tc>
          <w:tcPr>
            <w:tcW w:w="3829" w:type="dxa"/>
            <w:shd w:val="clear" w:color="auto" w:fill="auto"/>
          </w:tcPr>
          <w:p w14:paraId="26B0F9AB" w14:textId="77777777" w:rsidR="008907F4" w:rsidRPr="00920868" w:rsidRDefault="2FA6B974" w:rsidP="2FA6B974">
            <w:pPr>
              <w:tabs>
                <w:tab w:val="left" w:pos="851"/>
              </w:tabs>
              <w:spacing w:before="120" w:after="120"/>
              <w:rPr>
                <w:rFonts w:eastAsia="Calibri" w:cs="Times New Roman"/>
                <w:sz w:val="20"/>
                <w:szCs w:val="20"/>
              </w:rPr>
            </w:pPr>
            <w:r>
              <w:rPr>
                <w:sz w:val="20"/>
                <w:szCs w:val="20"/>
              </w:rPr>
              <w:t>Договор</w:t>
            </w:r>
          </w:p>
        </w:tc>
      </w:tr>
      <w:tr w:rsidR="008907F4" w:rsidRPr="005170C7" w14:paraId="68F1468D" w14:textId="77777777" w:rsidTr="2FA6B974">
        <w:tc>
          <w:tcPr>
            <w:tcW w:w="4109" w:type="dxa"/>
            <w:shd w:val="clear" w:color="auto" w:fill="auto"/>
          </w:tcPr>
          <w:p w14:paraId="7DED04E8" w14:textId="77777777" w:rsidR="008907F4" w:rsidRPr="00920868" w:rsidRDefault="2FA6B974" w:rsidP="2FA6B974">
            <w:pPr>
              <w:tabs>
                <w:tab w:val="left" w:pos="851"/>
              </w:tabs>
              <w:spacing w:before="120" w:after="120"/>
              <w:rPr>
                <w:rFonts w:eastAsia="Calibri" w:cs="Times New Roman"/>
                <w:sz w:val="20"/>
                <w:szCs w:val="20"/>
              </w:rPr>
            </w:pPr>
            <w:r>
              <w:rPr>
                <w:sz w:val="20"/>
                <w:szCs w:val="20"/>
              </w:rPr>
              <w:t>Бенефициер</w:t>
            </w:r>
          </w:p>
        </w:tc>
        <w:tc>
          <w:tcPr>
            <w:tcW w:w="3829" w:type="dxa"/>
            <w:shd w:val="clear" w:color="auto" w:fill="auto"/>
          </w:tcPr>
          <w:p w14:paraId="08E233FE" w14:textId="77777777" w:rsidR="008907F4" w:rsidRPr="00920868" w:rsidRDefault="2FA6B974" w:rsidP="2FA6B974">
            <w:pPr>
              <w:tabs>
                <w:tab w:val="left" w:pos="851"/>
              </w:tabs>
              <w:spacing w:before="120" w:after="120"/>
              <w:rPr>
                <w:rFonts w:eastAsia="Calibri" w:cs="Times New Roman"/>
                <w:sz w:val="20"/>
                <w:szCs w:val="20"/>
              </w:rPr>
            </w:pPr>
            <w:r>
              <w:rPr>
                <w:sz w:val="20"/>
                <w:szCs w:val="20"/>
              </w:rPr>
              <w:t>Предлагаща организация</w:t>
            </w:r>
          </w:p>
        </w:tc>
      </w:tr>
      <w:tr w:rsidR="008907F4" w:rsidRPr="005170C7" w14:paraId="48D825FF" w14:textId="77777777" w:rsidTr="2FA6B974">
        <w:tc>
          <w:tcPr>
            <w:tcW w:w="4109" w:type="dxa"/>
            <w:shd w:val="clear" w:color="auto" w:fill="auto"/>
          </w:tcPr>
          <w:p w14:paraId="0B2C80AB" w14:textId="77777777" w:rsidR="008907F4" w:rsidRPr="00920868" w:rsidRDefault="2FA6B974" w:rsidP="2FA6B974">
            <w:pPr>
              <w:tabs>
                <w:tab w:val="left" w:pos="851"/>
              </w:tabs>
              <w:spacing w:before="120" w:after="120"/>
              <w:rPr>
                <w:rFonts w:eastAsia="Calibri" w:cs="Times New Roman"/>
                <w:sz w:val="20"/>
                <w:szCs w:val="20"/>
              </w:rPr>
            </w:pPr>
            <w:r>
              <w:rPr>
                <w:sz w:val="20"/>
                <w:szCs w:val="20"/>
              </w:rPr>
              <w:t>Безвъзмездни средства</w:t>
            </w:r>
          </w:p>
        </w:tc>
        <w:tc>
          <w:tcPr>
            <w:tcW w:w="3829" w:type="dxa"/>
            <w:shd w:val="clear" w:color="auto" w:fill="auto"/>
          </w:tcPr>
          <w:p w14:paraId="4550D3BF" w14:textId="77777777" w:rsidR="008907F4" w:rsidRPr="00920868" w:rsidRDefault="2FA6B974" w:rsidP="2FA6B974">
            <w:pPr>
              <w:tabs>
                <w:tab w:val="left" w:pos="851"/>
              </w:tabs>
              <w:spacing w:before="120" w:after="120"/>
              <w:rPr>
                <w:rFonts w:eastAsia="Calibri" w:cs="Times New Roman"/>
                <w:sz w:val="20"/>
                <w:szCs w:val="20"/>
              </w:rPr>
            </w:pPr>
            <w:r>
              <w:rPr>
                <w:sz w:val="20"/>
                <w:szCs w:val="20"/>
              </w:rPr>
              <w:t>Финансова вноска на Съюза</w:t>
            </w:r>
          </w:p>
        </w:tc>
      </w:tr>
      <w:tr w:rsidR="008907F4" w:rsidRPr="005170C7" w14:paraId="61554C58" w14:textId="77777777" w:rsidTr="2FA6B974">
        <w:tc>
          <w:tcPr>
            <w:tcW w:w="4109" w:type="dxa"/>
            <w:shd w:val="clear" w:color="auto" w:fill="auto"/>
          </w:tcPr>
          <w:p w14:paraId="273678C9" w14:textId="77777777" w:rsidR="008907F4" w:rsidRPr="00920868" w:rsidRDefault="2FA6B974" w:rsidP="2FA6B974">
            <w:pPr>
              <w:tabs>
                <w:tab w:val="left" w:pos="851"/>
              </w:tabs>
              <w:spacing w:before="120" w:after="120"/>
              <w:rPr>
                <w:rFonts w:eastAsia="Calibri" w:cs="Times New Roman"/>
                <w:sz w:val="20"/>
                <w:szCs w:val="20"/>
              </w:rPr>
            </w:pPr>
            <w:r>
              <w:rPr>
                <w:sz w:val="20"/>
                <w:szCs w:val="20"/>
              </w:rPr>
              <w:t>Дебитно известие</w:t>
            </w:r>
          </w:p>
        </w:tc>
        <w:tc>
          <w:tcPr>
            <w:tcW w:w="3829" w:type="dxa"/>
            <w:shd w:val="clear" w:color="auto" w:fill="auto"/>
          </w:tcPr>
          <w:p w14:paraId="6FC485FE" w14:textId="77777777" w:rsidR="008907F4" w:rsidRPr="00920868" w:rsidRDefault="2FA6B974" w:rsidP="2FA6B974">
            <w:pPr>
              <w:tabs>
                <w:tab w:val="left" w:pos="851"/>
              </w:tabs>
              <w:spacing w:before="120" w:after="120"/>
              <w:rPr>
                <w:rFonts w:eastAsia="Calibri" w:cs="Times New Roman"/>
                <w:sz w:val="20"/>
                <w:szCs w:val="20"/>
              </w:rPr>
            </w:pPr>
            <w:r>
              <w:rPr>
                <w:sz w:val="20"/>
                <w:szCs w:val="20"/>
              </w:rPr>
              <w:t>Нареждане за събиране на суми</w:t>
            </w:r>
          </w:p>
        </w:tc>
      </w:tr>
      <w:tr w:rsidR="008907F4" w:rsidRPr="005170C7" w14:paraId="4CC383B1" w14:textId="77777777" w:rsidTr="2FA6B974">
        <w:tc>
          <w:tcPr>
            <w:tcW w:w="4109" w:type="dxa"/>
            <w:shd w:val="clear" w:color="auto" w:fill="auto"/>
          </w:tcPr>
          <w:p w14:paraId="205EBB8A" w14:textId="59193B90" w:rsidR="008907F4" w:rsidRPr="00920868" w:rsidRDefault="00034F22" w:rsidP="2FA6B974">
            <w:pPr>
              <w:tabs>
                <w:tab w:val="left" w:pos="851"/>
              </w:tabs>
              <w:spacing w:before="120" w:after="120"/>
              <w:rPr>
                <w:rFonts w:eastAsia="Calibri" w:cs="Times New Roman"/>
                <w:sz w:val="20"/>
                <w:szCs w:val="20"/>
              </w:rPr>
            </w:pPr>
            <w:r>
              <w:rPr>
                <w:sz w:val="20"/>
                <w:szCs w:val="20"/>
              </w:rPr>
              <w:t>Периодичен отчет</w:t>
            </w:r>
          </w:p>
        </w:tc>
        <w:tc>
          <w:tcPr>
            <w:tcW w:w="3829" w:type="dxa"/>
            <w:shd w:val="clear" w:color="auto" w:fill="auto"/>
          </w:tcPr>
          <w:p w14:paraId="6D4D625D" w14:textId="166C5C62" w:rsidR="008907F4" w:rsidRPr="00920868" w:rsidRDefault="00034F22" w:rsidP="2FA6B974">
            <w:pPr>
              <w:tabs>
                <w:tab w:val="left" w:pos="851"/>
              </w:tabs>
              <w:spacing w:before="120" w:after="120"/>
              <w:rPr>
                <w:rFonts w:eastAsia="Calibri" w:cs="Times New Roman"/>
                <w:sz w:val="20"/>
                <w:szCs w:val="20"/>
              </w:rPr>
            </w:pPr>
            <w:r>
              <w:rPr>
                <w:sz w:val="20"/>
                <w:szCs w:val="20"/>
              </w:rPr>
              <w:t>Междинен отчет</w:t>
            </w:r>
          </w:p>
        </w:tc>
      </w:tr>
      <w:tr w:rsidR="008907F4" w:rsidRPr="005170C7" w14:paraId="0A8FAE67" w14:textId="77777777" w:rsidTr="2FA6B974">
        <w:tc>
          <w:tcPr>
            <w:tcW w:w="4109" w:type="dxa"/>
            <w:shd w:val="clear" w:color="auto" w:fill="auto"/>
          </w:tcPr>
          <w:p w14:paraId="03A00B86" w14:textId="77777777" w:rsidR="008907F4" w:rsidRPr="00920868" w:rsidRDefault="2FA6B974" w:rsidP="2FA6B974">
            <w:pPr>
              <w:tabs>
                <w:tab w:val="left" w:pos="851"/>
              </w:tabs>
              <w:spacing w:before="120" w:after="120"/>
              <w:rPr>
                <w:rFonts w:eastAsia="Calibri" w:cs="Times New Roman"/>
                <w:sz w:val="20"/>
                <w:szCs w:val="20"/>
              </w:rPr>
            </w:pPr>
            <w:r>
              <w:rPr>
                <w:sz w:val="20"/>
                <w:szCs w:val="20"/>
              </w:rPr>
              <w:t>Гаранция за предварителното финансиране</w:t>
            </w:r>
          </w:p>
        </w:tc>
        <w:tc>
          <w:tcPr>
            <w:tcW w:w="3829" w:type="dxa"/>
            <w:shd w:val="clear" w:color="auto" w:fill="auto"/>
          </w:tcPr>
          <w:p w14:paraId="2DE6CE93" w14:textId="77777777" w:rsidR="008907F4" w:rsidRPr="00920868" w:rsidRDefault="2FA6B974" w:rsidP="2FA6B974">
            <w:pPr>
              <w:tabs>
                <w:tab w:val="left" w:pos="851"/>
              </w:tabs>
              <w:spacing w:before="120" w:after="120"/>
              <w:rPr>
                <w:rFonts w:eastAsia="Calibri" w:cs="Times New Roman"/>
                <w:sz w:val="20"/>
                <w:szCs w:val="20"/>
              </w:rPr>
            </w:pPr>
            <w:r>
              <w:rPr>
                <w:sz w:val="20"/>
                <w:szCs w:val="20"/>
              </w:rPr>
              <w:t xml:space="preserve">Обезпечение </w:t>
            </w:r>
          </w:p>
        </w:tc>
      </w:tr>
      <w:tr w:rsidR="008907F4" w:rsidRPr="005170C7" w14:paraId="3D1147E3" w14:textId="77777777" w:rsidTr="2FA6B974">
        <w:tc>
          <w:tcPr>
            <w:tcW w:w="4109" w:type="dxa"/>
            <w:shd w:val="clear" w:color="auto" w:fill="auto"/>
          </w:tcPr>
          <w:p w14:paraId="45226675" w14:textId="77777777" w:rsidR="008907F4" w:rsidRPr="00920868" w:rsidRDefault="2FA6B974" w:rsidP="2FA6B974">
            <w:pPr>
              <w:tabs>
                <w:tab w:val="left" w:pos="851"/>
              </w:tabs>
              <w:spacing w:before="120" w:after="120"/>
              <w:rPr>
                <w:rFonts w:eastAsia="Calibri" w:cs="Times New Roman"/>
                <w:sz w:val="20"/>
                <w:szCs w:val="20"/>
              </w:rPr>
            </w:pPr>
            <w:r>
              <w:rPr>
                <w:sz w:val="20"/>
                <w:szCs w:val="20"/>
              </w:rPr>
              <w:t>Предварително финансиране (плащане)</w:t>
            </w:r>
          </w:p>
        </w:tc>
        <w:tc>
          <w:tcPr>
            <w:tcW w:w="3829" w:type="dxa"/>
            <w:shd w:val="clear" w:color="auto" w:fill="auto"/>
          </w:tcPr>
          <w:p w14:paraId="53C16374" w14:textId="77777777" w:rsidR="008907F4" w:rsidRPr="00920868" w:rsidRDefault="2FA6B974" w:rsidP="2FA6B974">
            <w:pPr>
              <w:tabs>
                <w:tab w:val="left" w:pos="851"/>
              </w:tabs>
              <w:spacing w:before="120" w:after="120"/>
              <w:rPr>
                <w:rFonts w:eastAsia="Calibri" w:cs="Times New Roman"/>
                <w:sz w:val="20"/>
                <w:szCs w:val="20"/>
              </w:rPr>
            </w:pPr>
            <w:r>
              <w:rPr>
                <w:sz w:val="20"/>
                <w:szCs w:val="20"/>
              </w:rPr>
              <w:t>Аванс (плащане)</w:t>
            </w:r>
          </w:p>
        </w:tc>
      </w:tr>
      <w:tr w:rsidR="008907F4" w:rsidRPr="005170C7" w14:paraId="5863BB13" w14:textId="77777777" w:rsidTr="2FA6B974">
        <w:tc>
          <w:tcPr>
            <w:tcW w:w="4109" w:type="dxa"/>
            <w:shd w:val="clear" w:color="auto" w:fill="auto"/>
          </w:tcPr>
          <w:p w14:paraId="5AFF94C6" w14:textId="77777777" w:rsidR="008907F4" w:rsidRPr="00920868" w:rsidRDefault="2FA6B974" w:rsidP="2FA6B974">
            <w:pPr>
              <w:tabs>
                <w:tab w:val="left" w:pos="851"/>
              </w:tabs>
              <w:spacing w:before="120" w:after="120"/>
              <w:rPr>
                <w:rFonts w:eastAsia="Calibri" w:cs="Times New Roman"/>
                <w:sz w:val="20"/>
                <w:szCs w:val="20"/>
              </w:rPr>
            </w:pPr>
            <w:r>
              <w:rPr>
                <w:sz w:val="20"/>
                <w:szCs w:val="20"/>
              </w:rPr>
              <w:t xml:space="preserve">Подизпълнител </w:t>
            </w:r>
          </w:p>
        </w:tc>
        <w:tc>
          <w:tcPr>
            <w:tcW w:w="3829" w:type="dxa"/>
            <w:shd w:val="clear" w:color="auto" w:fill="auto"/>
          </w:tcPr>
          <w:p w14:paraId="19FB4A72" w14:textId="77777777" w:rsidR="008907F4" w:rsidRPr="00920868" w:rsidRDefault="2FA6B974" w:rsidP="2FA6B974">
            <w:pPr>
              <w:tabs>
                <w:tab w:val="left" w:pos="851"/>
              </w:tabs>
              <w:spacing w:before="120" w:after="120"/>
              <w:rPr>
                <w:rFonts w:eastAsia="Calibri" w:cs="Times New Roman"/>
                <w:sz w:val="20"/>
                <w:szCs w:val="20"/>
              </w:rPr>
            </w:pPr>
            <w:r>
              <w:rPr>
                <w:sz w:val="20"/>
                <w:szCs w:val="20"/>
              </w:rPr>
              <w:t>Подизпълнител, включително изпълняващ орган</w:t>
            </w:r>
          </w:p>
        </w:tc>
      </w:tr>
    </w:tbl>
    <w:p w14:paraId="050CA292" w14:textId="77777777" w:rsidR="008907F4" w:rsidRDefault="008907F4" w:rsidP="008907F4">
      <w:pPr>
        <w:spacing w:line="276" w:lineRule="auto"/>
        <w:jc w:val="left"/>
        <w:rPr>
          <w:rFonts w:ascii="Arial" w:hAnsi="Arial" w:cs="Arial"/>
          <w:b/>
          <w:color w:val="4AA55B"/>
          <w:sz w:val="20"/>
          <w:szCs w:val="20"/>
        </w:rPr>
      </w:pPr>
      <w:r>
        <w:br w:type="page"/>
      </w:r>
    </w:p>
    <w:p w14:paraId="1BF247DF" w14:textId="77777777" w:rsidR="00A04DCC" w:rsidRPr="00A04DCC" w:rsidRDefault="2FA6B974" w:rsidP="2FA6B974">
      <w:pPr>
        <w:pStyle w:val="Header"/>
      </w:pPr>
      <w:r>
        <w:lastRenderedPageBreak/>
        <w:t>[</w:t>
      </w:r>
      <w:r>
        <w:rPr>
          <w:highlight w:val="lightGray"/>
        </w:rPr>
        <w:t>Въведете заглавната част на предоставящия орган</w:t>
      </w:r>
      <w:r>
        <w:t>]</w:t>
      </w:r>
    </w:p>
    <w:p w14:paraId="50C56646" w14:textId="77777777" w:rsidR="008907F4" w:rsidRPr="005A1ACA" w:rsidRDefault="008907F4" w:rsidP="008907F4">
      <w:pPr>
        <w:spacing w:line="276" w:lineRule="auto"/>
        <w:jc w:val="left"/>
        <w:rPr>
          <w:rFonts w:cs="Times New Roman"/>
          <w:szCs w:val="20"/>
        </w:rPr>
      </w:pPr>
    </w:p>
    <w:p w14:paraId="3FF15DDA" w14:textId="77777777" w:rsidR="008907F4" w:rsidRDefault="008907F4" w:rsidP="008907F4">
      <w:pPr>
        <w:spacing w:after="0"/>
        <w:jc w:val="center"/>
        <w:rPr>
          <w:b/>
          <w:szCs w:val="24"/>
        </w:rPr>
      </w:pPr>
    </w:p>
    <w:p w14:paraId="29AA468B" w14:textId="77777777" w:rsidR="008907F4" w:rsidRPr="00C95057" w:rsidRDefault="2FA6B974" w:rsidP="7269CCFB">
      <w:pPr>
        <w:pStyle w:val="Heading1"/>
        <w:jc w:val="center"/>
      </w:pPr>
      <w:bookmarkStart w:id="7" w:name="_Toc24116043"/>
      <w:bookmarkStart w:id="8" w:name="_Toc24126520"/>
      <w:bookmarkStart w:id="9" w:name="_Toc95924911"/>
      <w:r>
        <w:t>СПОРАЗУМЕНИЕ ЗА ОТПУСКАНЕ НА БЕЗВЪЗМЕЗДНИ СРЕДСТВА</w:t>
      </w:r>
      <w:bookmarkEnd w:id="7"/>
      <w:bookmarkEnd w:id="8"/>
      <w:bookmarkEnd w:id="9"/>
    </w:p>
    <w:p w14:paraId="04610DE1" w14:textId="77777777" w:rsidR="008907F4" w:rsidRPr="00947A09" w:rsidRDefault="2FA6B974" w:rsidP="2FA6B974">
      <w:pPr>
        <w:jc w:val="center"/>
        <w:rPr>
          <w:highlight w:val="yellow"/>
        </w:rPr>
      </w:pPr>
      <w:r>
        <w:rPr>
          <w:b/>
          <w:bCs/>
        </w:rPr>
        <w:t>Проект [</w:t>
      </w:r>
      <w:r>
        <w:rPr>
          <w:b/>
          <w:bCs/>
          <w:highlight w:val="lightGray"/>
        </w:rPr>
        <w:t>въведете номер</w:t>
      </w:r>
      <w:r>
        <w:rPr>
          <w:b/>
          <w:bCs/>
        </w:rPr>
        <w:t>] — [</w:t>
      </w:r>
      <w:r>
        <w:rPr>
          <w:b/>
          <w:bCs/>
          <w:highlight w:val="lightGray"/>
        </w:rPr>
        <w:t>въведете съкращение</w:t>
      </w:r>
      <w:r>
        <w:rPr>
          <w:b/>
          <w:bCs/>
        </w:rPr>
        <w:t>]</w:t>
      </w:r>
    </w:p>
    <w:p w14:paraId="036B665E" w14:textId="77777777" w:rsidR="003171C9" w:rsidRPr="003171C9" w:rsidRDefault="2FA6B974" w:rsidP="003171C9">
      <w:pPr>
        <w:pStyle w:val="Heading6"/>
        <w:jc w:val="left"/>
      </w:pPr>
      <w:bookmarkStart w:id="10" w:name="_Toc61784233"/>
      <w:bookmarkStart w:id="11" w:name="_Toc61794566"/>
      <w:bookmarkStart w:id="12" w:name="_Toc95924912"/>
      <w:r>
        <w:t>ПРЕАМБЮЛ</w:t>
      </w:r>
      <w:bookmarkEnd w:id="10"/>
      <w:bookmarkEnd w:id="11"/>
      <w:bookmarkEnd w:id="12"/>
    </w:p>
    <w:p w14:paraId="1A5E19E0" w14:textId="5E6D7A46" w:rsidR="008907F4" w:rsidRDefault="2FA6B974" w:rsidP="7269CCFB">
      <w:pPr>
        <w:rPr>
          <w:szCs w:val="24"/>
        </w:rPr>
      </w:pPr>
      <w:r>
        <w:t xml:space="preserve">Настоящото </w:t>
      </w:r>
      <w:r>
        <w:rPr>
          <w:b/>
          <w:bCs/>
        </w:rPr>
        <w:t>споразумение</w:t>
      </w:r>
      <w:r>
        <w:t xml:space="preserve"> („споразумението“) се сключва </w:t>
      </w:r>
      <w:r>
        <w:rPr>
          <w:b/>
          <w:bCs/>
        </w:rPr>
        <w:t>между</w:t>
      </w:r>
      <w:r>
        <w:t xml:space="preserve"> следните страни: </w:t>
      </w:r>
    </w:p>
    <w:p w14:paraId="27137580" w14:textId="77777777" w:rsidR="008907F4" w:rsidRDefault="2FA6B974" w:rsidP="2FA6B974">
      <w:pPr>
        <w:rPr>
          <w:b/>
          <w:bCs/>
        </w:rPr>
      </w:pPr>
      <w:r>
        <w:rPr>
          <w:b/>
          <w:bCs/>
        </w:rPr>
        <w:t>от една страна</w:t>
      </w:r>
      <w:r>
        <w:t>,</w:t>
      </w:r>
    </w:p>
    <w:p w14:paraId="308F8226" w14:textId="1071EDDF" w:rsidR="008907F4" w:rsidRDefault="008907F4" w:rsidP="2FA6B974">
      <w:pPr>
        <w:rPr>
          <w:b/>
          <w:bCs/>
          <w:i/>
          <w:iCs/>
          <w:color w:val="4AA55B"/>
        </w:rPr>
      </w:pPr>
      <w:r>
        <w:t>[</w:t>
      </w:r>
      <w:r>
        <w:rPr>
          <w:b/>
          <w:bCs/>
          <w:highlight w:val="lightGray"/>
        </w:rPr>
        <w:t>пълното официално наименование на компетентния орган (съкратено наименование), адрес</w:t>
      </w:r>
      <w:r>
        <w:t xml:space="preserve">], </w:t>
      </w:r>
      <w:r>
        <w:rPr>
          <w:shd w:val="clear" w:color="auto" w:fill="CCFFFF"/>
        </w:rPr>
        <w:t>действащ от името и за сметка на</w:t>
      </w:r>
      <w:r>
        <w:t xml:space="preserve"> [</w:t>
      </w:r>
      <w:r>
        <w:rPr>
          <w:highlight w:val="lightGray"/>
        </w:rPr>
        <w:t>име на държавата членка</w:t>
      </w:r>
      <w:r>
        <w:t>]</w:t>
      </w:r>
      <w:r>
        <w:rPr>
          <w:b/>
          <w:bCs/>
        </w:rPr>
        <w:t xml:space="preserve"> </w:t>
      </w:r>
      <w:r>
        <w:t xml:space="preserve">(„предоставящия орган“), </w:t>
      </w:r>
      <w:r>
        <w:rPr>
          <w:shd w:val="clear" w:color="auto" w:fill="CCFFFF"/>
        </w:rPr>
        <w:t>представлявана за целите на подписването на настоящото споразумение от</w:t>
      </w:r>
      <w:r>
        <w:t xml:space="preserve"> [</w:t>
      </w:r>
      <w:r>
        <w:rPr>
          <w:highlight w:val="lightGray"/>
        </w:rPr>
        <w:t>име и фамилия, длъжност</w:t>
      </w:r>
      <w:r>
        <w:t>],</w:t>
      </w:r>
    </w:p>
    <w:p w14:paraId="0C80ACB2" w14:textId="77777777" w:rsidR="008907F4" w:rsidRDefault="2FA6B974" w:rsidP="2FA6B974">
      <w:pPr>
        <w:rPr>
          <w:b/>
          <w:bCs/>
        </w:rPr>
      </w:pPr>
      <w:r>
        <w:rPr>
          <w:b/>
          <w:bCs/>
        </w:rPr>
        <w:t xml:space="preserve">и, </w:t>
      </w:r>
    </w:p>
    <w:p w14:paraId="3F6DE7AE" w14:textId="77777777" w:rsidR="008907F4" w:rsidRPr="004E085B" w:rsidRDefault="2FA6B974" w:rsidP="2FA6B974">
      <w:pPr>
        <w:rPr>
          <w:b/>
          <w:bCs/>
        </w:rPr>
      </w:pPr>
      <w:r>
        <w:rPr>
          <w:b/>
          <w:bCs/>
        </w:rPr>
        <w:t>от друга страна</w:t>
      </w:r>
      <w:r>
        <w:t>,</w:t>
      </w:r>
    </w:p>
    <w:p w14:paraId="765DCED5" w14:textId="77777777" w:rsidR="008907F4" w:rsidRDefault="2FA6B974" w:rsidP="008907F4">
      <w:pPr>
        <w:rPr>
          <w:szCs w:val="24"/>
        </w:rPr>
      </w:pPr>
      <w:r>
        <w:t>1. „координатора“:</w:t>
      </w:r>
    </w:p>
    <w:p w14:paraId="07D4AC4E" w14:textId="1F5EA018" w:rsidR="008907F4" w:rsidRPr="001705CD" w:rsidRDefault="008907F4" w:rsidP="008907F4">
      <w:pPr>
        <w:rPr>
          <w:szCs w:val="24"/>
        </w:rPr>
      </w:pPr>
      <w:r>
        <w:t>[</w:t>
      </w:r>
      <w:r>
        <w:rPr>
          <w:b/>
          <w:bCs/>
          <w:highlight w:val="lightGray"/>
        </w:rPr>
        <w:t>пълно официално наименование на КООР (съкратено наименование)</w:t>
      </w:r>
      <w:r>
        <w:t>], със седалище [</w:t>
      </w:r>
      <w:r>
        <w:rPr>
          <w:highlight w:val="lightGray"/>
        </w:rPr>
        <w:t>пълен официален адрес</w:t>
      </w:r>
      <w:r>
        <w:t xml:space="preserve">] </w:t>
      </w:r>
      <w:r>
        <w:rPr>
          <w:i/>
          <w:iCs/>
          <w:color w:val="4AA55B"/>
          <w:shd w:val="clear" w:color="auto" w:fill="CCFFFF"/>
        </w:rPr>
        <w:t>[ВАРИАНТ за регистрирани по ДДС бенефициери:</w:t>
      </w:r>
      <w:r>
        <w:rPr>
          <w:shd w:val="clear" w:color="auto" w:fill="CCFFFF"/>
        </w:rPr>
        <w:t>, номер по ДДС</w:t>
      </w:r>
      <w:r>
        <w:t xml:space="preserve"> [</w:t>
      </w:r>
      <w:r>
        <w:rPr>
          <w:highlight w:val="lightGray"/>
        </w:rPr>
        <w:t>въведете номера</w:t>
      </w:r>
      <w:r>
        <w:rPr>
          <w:i/>
          <w:iCs/>
          <w:color w:val="4AA55B"/>
        </w:rPr>
        <w:t>]</w:t>
      </w:r>
      <w:r>
        <w:t xml:space="preserve">], </w:t>
      </w:r>
      <w:r>
        <w:rPr>
          <w:shd w:val="clear" w:color="auto" w:fill="CCFFFF"/>
        </w:rPr>
        <w:t>представляван за целите на подписване на споразумението от</w:t>
      </w:r>
      <w:r>
        <w:t xml:space="preserve"> [</w:t>
      </w:r>
      <w:r>
        <w:rPr>
          <w:highlight w:val="lightGray"/>
        </w:rPr>
        <w:t>име и фамилия, длъжност</w:t>
      </w:r>
      <w:r>
        <w:t>],</w:t>
      </w:r>
    </w:p>
    <w:p w14:paraId="04E2E79C" w14:textId="44713A17" w:rsidR="008907F4" w:rsidRPr="004E085B" w:rsidRDefault="2FA6B974" w:rsidP="2FA6B974">
      <w:pPr>
        <w:rPr>
          <w:i/>
          <w:iCs/>
        </w:rPr>
      </w:pPr>
      <w:r>
        <w:rPr>
          <w:i/>
          <w:iCs/>
          <w:color w:val="4AA55B"/>
        </w:rPr>
        <w:t>[</w:t>
      </w:r>
      <w:r>
        <w:t>и следните други бенефициери,</w:t>
      </w:r>
      <w:r>
        <w:rPr>
          <w:b/>
          <w:bCs/>
        </w:rPr>
        <w:t xml:space="preserve"> </w:t>
      </w:r>
      <w:r>
        <w:t>при условие че подпишат „формуляра за присъединяване“ (вж. приложение 3 и член 40):</w:t>
      </w:r>
    </w:p>
    <w:p w14:paraId="0FDBF2CA" w14:textId="239AB3A6" w:rsidR="008907F4" w:rsidRDefault="008907F4" w:rsidP="2FA6B974">
      <w:pPr>
        <w:rPr>
          <w:i/>
          <w:iCs/>
        </w:rPr>
      </w:pPr>
      <w:r>
        <w:t>2. [</w:t>
      </w:r>
      <w:r>
        <w:rPr>
          <w:b/>
          <w:bCs/>
          <w:highlight w:val="lightGray"/>
        </w:rPr>
        <w:t>пълно официално наименование на БЕН (съкратено наименование)</w:t>
      </w:r>
      <w:r>
        <w:t>],  със седалище [</w:t>
      </w:r>
      <w:r>
        <w:rPr>
          <w:highlight w:val="lightGray"/>
        </w:rPr>
        <w:t>пълен официален адрес</w:t>
      </w:r>
      <w:r>
        <w:t>]</w:t>
      </w:r>
      <w:r>
        <w:rPr>
          <w:i/>
          <w:iCs/>
          <w:color w:val="4AA55B"/>
        </w:rPr>
        <w:t>[</w:t>
      </w:r>
      <w:r>
        <w:rPr>
          <w:i/>
          <w:iCs/>
          <w:color w:val="4AA55B"/>
          <w:shd w:val="clear" w:color="auto" w:fill="CCFFFF"/>
        </w:rPr>
        <w:t>ВАРИАНТ за бенефициери с идентификационен номер по ДДС:</w:t>
      </w:r>
      <w:r>
        <w:rPr>
          <w:shd w:val="clear" w:color="auto" w:fill="CCFFFF"/>
        </w:rPr>
        <w:t>, идентификационен номер по ДДС</w:t>
      </w:r>
      <w:r>
        <w:t xml:space="preserve"> [</w:t>
      </w:r>
      <w:r>
        <w:rPr>
          <w:highlight w:val="lightGray"/>
        </w:rPr>
        <w:t>въведете номер</w:t>
      </w:r>
      <w:r>
        <w:t>]</w:t>
      </w:r>
      <w:r>
        <w:rPr>
          <w:i/>
          <w:iCs/>
          <w:color w:val="4AA55B"/>
        </w:rPr>
        <w:t>]</w:t>
      </w:r>
      <w:r>
        <w:t>,</w:t>
      </w:r>
      <w:r>
        <w:rPr>
          <w:i/>
          <w:iCs/>
        </w:rPr>
        <w:t xml:space="preserve"> </w:t>
      </w:r>
    </w:p>
    <w:p w14:paraId="03FDDBD2" w14:textId="77777777" w:rsidR="008907F4" w:rsidRPr="000A6398" w:rsidRDefault="2FA6B974" w:rsidP="008907F4">
      <w:pPr>
        <w:rPr>
          <w:szCs w:val="24"/>
        </w:rPr>
      </w:pPr>
      <w:r>
        <w:rPr>
          <w:i/>
          <w:iCs/>
          <w:color w:val="4AA55B"/>
        </w:rPr>
        <w:t xml:space="preserve"> </w:t>
      </w:r>
      <w:r>
        <w:t>[</w:t>
      </w:r>
      <w:r>
        <w:rPr>
          <w:highlight w:val="lightGray"/>
        </w:rPr>
        <w:t>повтаря се за всеки отделен бенефициер</w:t>
      </w:r>
      <w:r>
        <w:t>]</w:t>
      </w:r>
      <w:r>
        <w:rPr>
          <w:i/>
          <w:iCs/>
          <w:color w:val="4AA55B"/>
        </w:rPr>
        <w:t xml:space="preserve"> ]</w:t>
      </w:r>
    </w:p>
    <w:p w14:paraId="3CE6AFC0" w14:textId="77777777" w:rsidR="008907F4" w:rsidRPr="00165036" w:rsidRDefault="2FA6B974" w:rsidP="008907F4">
      <w:pPr>
        <w:rPr>
          <w:szCs w:val="24"/>
        </w:rPr>
      </w:pPr>
      <w:r>
        <w:t>Ако не е посочено друго, упоменаванията на „бенефициер“ или „бенефициери“ включват координатора и свързани субекти (ако има такива).</w:t>
      </w:r>
    </w:p>
    <w:p w14:paraId="78F135E2" w14:textId="77777777" w:rsidR="008907F4" w:rsidRDefault="2FA6B974" w:rsidP="2FA6B974">
      <w:pPr>
        <w:tabs>
          <w:tab w:val="left" w:pos="851"/>
        </w:tabs>
        <w:rPr>
          <w:rFonts w:eastAsia="Calibri" w:cs="Times New Roman"/>
        </w:rPr>
      </w:pPr>
      <w:r>
        <w:t>Ако само един бенефициер подпише споразумението за отпускане на безвъзмездни средства („безвъзмездни средства за един бенефициер“), ще се счита —</w:t>
      </w:r>
      <w:r>
        <w:rPr>
          <w:b/>
          <w:bCs/>
        </w:rPr>
        <w:t xml:space="preserve"> </w:t>
      </w:r>
      <w:r>
        <w:t>mutatis mutandis</w:t>
      </w:r>
      <w:r>
        <w:rPr>
          <w:b/>
          <w:bCs/>
        </w:rPr>
        <w:t> </w:t>
      </w:r>
      <w:r>
        <w:t>—</w:t>
      </w:r>
      <w:r>
        <w:rPr>
          <w:b/>
          <w:bCs/>
        </w:rPr>
        <w:t xml:space="preserve"> </w:t>
      </w:r>
      <w:r>
        <w:t>че всички разпоредби, отнасящи се до „координатора“ или „бенефициерите“, се отнасят до бенефициера.</w:t>
      </w:r>
    </w:p>
    <w:p w14:paraId="58AD16D6" w14:textId="68D4B12F" w:rsidR="008907F4" w:rsidRPr="00325CCD" w:rsidRDefault="008907F4" w:rsidP="003171C9">
      <w:pPr>
        <w:shd w:val="clear" w:color="auto" w:fill="CCFFFF"/>
        <w:tabs>
          <w:tab w:val="left" w:pos="851"/>
        </w:tabs>
      </w:pPr>
      <w:r>
        <w:lastRenderedPageBreak/>
        <w:t>като взеха предвид Регламент (ЕС) № 1144/2014 на Европейския парламент и на Съвета от 22 октомври 2014 г. за мерките за информиране и насърчаване, свързани със селскостопанските продукти, прилагани на вътрешния пазар и в трети държави, и за отмяна на Регламент (ЕО) № 3/2008 на Съвета</w:t>
      </w:r>
      <w:r>
        <w:rPr>
          <w:rStyle w:val="FootnoteReference"/>
        </w:rPr>
        <w:footnoteReference w:id="2"/>
      </w:r>
      <w:r>
        <w:t xml:space="preserve">, </w:t>
      </w:r>
    </w:p>
    <w:p w14:paraId="0351F3C7" w14:textId="77777777" w:rsidR="008907F4" w:rsidRPr="00325CCD" w:rsidRDefault="008907F4" w:rsidP="003171C9">
      <w:pPr>
        <w:shd w:val="clear" w:color="auto" w:fill="CCFFFF"/>
        <w:tabs>
          <w:tab w:val="left" w:pos="851"/>
        </w:tabs>
      </w:pPr>
      <w:r>
        <w:t>като взеха предвид Делегиран регламент (ЕС) 2015/1829 на Комисията от 23 април 2015 г. за допълване на Регламент (ЕС) № 1144/2014 на Европейския парламент и на Съвета за мерките за информиране и насърчаване, свързани със селскостопанските продукти, прилагани на вътрешния пазар и в трети държави</w:t>
      </w:r>
      <w:r>
        <w:rPr>
          <w:rStyle w:val="FootnoteReference"/>
        </w:rPr>
        <w:footnoteReference w:id="3"/>
      </w:r>
      <w:r>
        <w:t xml:space="preserve">, </w:t>
      </w:r>
    </w:p>
    <w:p w14:paraId="7A01B936" w14:textId="77777777" w:rsidR="008907F4" w:rsidRPr="00BC2C4B" w:rsidRDefault="008907F4" w:rsidP="2FA6B974">
      <w:pPr>
        <w:shd w:val="clear" w:color="auto" w:fill="CCFFFF"/>
        <w:tabs>
          <w:tab w:val="left" w:pos="851"/>
        </w:tabs>
        <w:rPr>
          <w:rFonts w:eastAsia="Times New Roman" w:cs="Times New Roman"/>
        </w:rPr>
      </w:pPr>
      <w:r>
        <w:t>като взеха предвид Регламент за изпълнение (ЕС) 2015/1831 на Комисията от 7 октомври 2015 година за определяне на правила за прилагане на Регламент (ЕС) № 1144/2014 на Европейския парламент и на Съвета за мерките за информиране и насърчаване, свързани със селскостопанските продукти, прилагани на вътрешния пазар и в трети държави</w:t>
      </w:r>
      <w:r>
        <w:rPr>
          <w:rStyle w:val="FootnoteReference"/>
        </w:rPr>
        <w:footnoteReference w:id="4"/>
      </w:r>
      <w:r>
        <w:t>,</w:t>
      </w:r>
    </w:p>
    <w:p w14:paraId="2F2B34FF" w14:textId="424872C5" w:rsidR="008907F4" w:rsidRPr="00746F84" w:rsidRDefault="2FA6B974" w:rsidP="2FA6B974">
      <w:pPr>
        <w:rPr>
          <w:rFonts w:eastAsia="Times New Roman"/>
        </w:rPr>
      </w:pPr>
      <w:r>
        <w:t xml:space="preserve">горепосочените страни са съгласни да сключат настоящото споразумение. </w:t>
      </w:r>
    </w:p>
    <w:p w14:paraId="279CE617" w14:textId="77777777" w:rsidR="008907F4" w:rsidRPr="006A36D8" w:rsidRDefault="2FA6B974" w:rsidP="008907F4">
      <w:pPr>
        <w:tabs>
          <w:tab w:val="left" w:pos="1260"/>
        </w:tabs>
        <w:rPr>
          <w:szCs w:val="24"/>
        </w:rPr>
      </w:pPr>
      <w:r>
        <w:t xml:space="preserve">Като полагат подписите си под споразумението и формулярите за присъединяване, бенефициерите приемат безвъзмездните средства и се съгласяват да изпълнят дейността на своя собствена отговорност и в съответствие със споразумението, както и съгласно всички задължения и условия, предвидени в него. </w:t>
      </w:r>
    </w:p>
    <w:p w14:paraId="42764576" w14:textId="77777777" w:rsidR="003171C9" w:rsidRPr="006A36D8" w:rsidRDefault="2FA6B974" w:rsidP="2FA6B974">
      <w:pPr>
        <w:tabs>
          <w:tab w:val="left" w:pos="1260"/>
        </w:tabs>
        <w:rPr>
          <w:rFonts w:eastAsia="Times New Roman"/>
        </w:rPr>
      </w:pPr>
      <w:r>
        <w:t>Споразумението се състои от:</w:t>
      </w:r>
    </w:p>
    <w:p w14:paraId="4E53A3D2" w14:textId="77777777" w:rsidR="003171C9" w:rsidRPr="000131AD" w:rsidRDefault="2FA6B974" w:rsidP="003171C9">
      <w:pPr>
        <w:tabs>
          <w:tab w:val="left" w:pos="1260"/>
        </w:tabs>
        <w:rPr>
          <w:szCs w:val="24"/>
        </w:rPr>
      </w:pPr>
      <w:r>
        <w:t>Преамбюл</w:t>
      </w:r>
    </w:p>
    <w:p w14:paraId="79C094F7" w14:textId="77777777" w:rsidR="003171C9" w:rsidRPr="000131AD" w:rsidRDefault="2FA6B974" w:rsidP="2FA6B974">
      <w:pPr>
        <w:tabs>
          <w:tab w:val="left" w:pos="1260"/>
        </w:tabs>
        <w:rPr>
          <w:rFonts w:eastAsia="Times New Roman"/>
        </w:rPr>
      </w:pPr>
      <w:r>
        <w:t>Ред и условия (включително Технически спецификации)</w:t>
      </w:r>
    </w:p>
    <w:p w14:paraId="7A8F2B0C" w14:textId="77777777" w:rsidR="008907F4" w:rsidRPr="006A36D8" w:rsidRDefault="008907F4" w:rsidP="008907F4">
      <w:pPr>
        <w:tabs>
          <w:tab w:val="left" w:pos="1276"/>
        </w:tabs>
        <w:rPr>
          <w:szCs w:val="24"/>
        </w:rPr>
      </w:pPr>
      <w:r>
        <w:t xml:space="preserve">Приложение 1 </w:t>
      </w:r>
      <w:r>
        <w:tab/>
        <w:t xml:space="preserve">Описание на дейността </w:t>
      </w:r>
    </w:p>
    <w:p w14:paraId="61737573" w14:textId="77777777" w:rsidR="008907F4" w:rsidRDefault="008907F4" w:rsidP="008907F4">
      <w:pPr>
        <w:tabs>
          <w:tab w:val="left" w:pos="1276"/>
        </w:tabs>
        <w:rPr>
          <w:szCs w:val="24"/>
        </w:rPr>
      </w:pPr>
      <w:r>
        <w:t xml:space="preserve">Приложение 2 </w:t>
      </w:r>
      <w:r>
        <w:tab/>
        <w:t>Прогнозен бюджет за дейността</w:t>
      </w:r>
    </w:p>
    <w:p w14:paraId="394EB403" w14:textId="77777777" w:rsidR="00CF7824" w:rsidRPr="00746F84" w:rsidRDefault="00CF7824" w:rsidP="2FA6B974">
      <w:pPr>
        <w:tabs>
          <w:tab w:val="left" w:pos="1276"/>
        </w:tabs>
        <w:rPr>
          <w:i/>
          <w:iCs/>
          <w:color w:val="808080" w:themeColor="text1" w:themeTint="7F"/>
        </w:rPr>
      </w:pPr>
      <w:r>
        <w:t>Приложение 2а</w:t>
      </w:r>
      <w:r>
        <w:rPr>
          <w:i/>
          <w:iCs/>
        </w:rPr>
        <w:t xml:space="preserve"> </w:t>
      </w:r>
      <w:r>
        <w:tab/>
        <w:t>Допълнителна информация относно единичните разходи и вноски (ако е приложимо)</w:t>
      </w:r>
      <w:r>
        <w:rPr>
          <w:i/>
          <w:iCs/>
          <w:color w:val="4AA55B"/>
        </w:rPr>
        <w:t xml:space="preserve"> </w:t>
      </w:r>
    </w:p>
    <w:p w14:paraId="256DB3FD" w14:textId="3590E2FB" w:rsidR="008907F4" w:rsidRPr="00746F84" w:rsidRDefault="008907F4" w:rsidP="7269CCFB">
      <w:pPr>
        <w:tabs>
          <w:tab w:val="left" w:pos="1276"/>
        </w:tabs>
        <w:ind w:left="1275" w:hanging="1275"/>
        <w:rPr>
          <w:szCs w:val="24"/>
        </w:rPr>
      </w:pPr>
      <w:r>
        <w:t>Приложение 3</w:t>
      </w:r>
      <w:r>
        <w:rPr>
          <w:i/>
          <w:iCs/>
        </w:rPr>
        <w:t xml:space="preserve"> </w:t>
      </w:r>
      <w:r>
        <w:tab/>
        <w:t>Формуляри за присъединяване</w:t>
      </w:r>
      <w:r>
        <w:rPr>
          <w:rStyle w:val="FootnoteReference"/>
        </w:rPr>
        <w:footnoteReference w:id="5"/>
      </w:r>
    </w:p>
    <w:p w14:paraId="7C9ECA5F" w14:textId="7F24BF4F" w:rsidR="008907F4" w:rsidRPr="00746F84" w:rsidRDefault="008907F4" w:rsidP="008907F4">
      <w:pPr>
        <w:tabs>
          <w:tab w:val="left" w:pos="1276"/>
        </w:tabs>
        <w:rPr>
          <w:szCs w:val="24"/>
        </w:rPr>
      </w:pPr>
      <w:r>
        <w:t>Приложение 4</w:t>
      </w:r>
      <w:r>
        <w:tab/>
        <w:t>Образец на финансовите отчети</w:t>
      </w:r>
    </w:p>
    <w:p w14:paraId="72C69A11" w14:textId="77777777" w:rsidR="008907F4" w:rsidRDefault="008907F4" w:rsidP="008907F4">
      <w:pPr>
        <w:tabs>
          <w:tab w:val="left" w:pos="1276"/>
        </w:tabs>
        <w:rPr>
          <w:szCs w:val="24"/>
        </w:rPr>
      </w:pPr>
      <w:r>
        <w:t>Приложение 5</w:t>
      </w:r>
      <w:r>
        <w:tab/>
        <w:t xml:space="preserve">Специални правила </w:t>
      </w:r>
    </w:p>
    <w:p w14:paraId="48116C3F" w14:textId="5CE20DE1" w:rsidR="008907F4" w:rsidRPr="005A1DB5" w:rsidRDefault="008907F4" w:rsidP="7269CCFB">
      <w:pPr>
        <w:tabs>
          <w:tab w:val="left" w:pos="1276"/>
        </w:tabs>
        <w:rPr>
          <w:szCs w:val="24"/>
        </w:rPr>
      </w:pPr>
      <w:r>
        <w:rPr>
          <w:shd w:val="clear" w:color="auto" w:fill="CCFFFF"/>
        </w:rPr>
        <w:t>Приложение 6</w:t>
      </w:r>
      <w:r>
        <w:tab/>
      </w:r>
      <w:r>
        <w:rPr>
          <w:shd w:val="clear" w:color="auto" w:fill="CCFFFF"/>
        </w:rPr>
        <w:t>Образец на сертификата за финансовите отчети (СФО)</w:t>
      </w:r>
      <w:r>
        <w:rPr>
          <w:rStyle w:val="FootnoteReference"/>
        </w:rPr>
        <w:t xml:space="preserve"> </w:t>
      </w:r>
      <w:r>
        <w:rPr>
          <w:rStyle w:val="FootnoteReference"/>
        </w:rPr>
        <w:footnoteReference w:id="6"/>
      </w:r>
    </w:p>
    <w:p w14:paraId="5F728048" w14:textId="1C6A5906" w:rsidR="008907F4" w:rsidRPr="003249E5" w:rsidRDefault="008907F4" w:rsidP="008907F4">
      <w:pPr>
        <w:tabs>
          <w:tab w:val="left" w:pos="1276"/>
        </w:tabs>
        <w:rPr>
          <w:szCs w:val="24"/>
        </w:rPr>
      </w:pPr>
      <w:r>
        <w:rPr>
          <w:shd w:val="clear" w:color="auto" w:fill="CCFFFF"/>
        </w:rPr>
        <w:lastRenderedPageBreak/>
        <w:t>Приложение 7</w:t>
      </w:r>
      <w:r>
        <w:tab/>
      </w:r>
      <w:r>
        <w:rPr>
          <w:shd w:val="clear" w:color="auto" w:fill="CCFFFF"/>
        </w:rPr>
        <w:t>Образец на периодичните технически отчети</w:t>
      </w:r>
    </w:p>
    <w:p w14:paraId="46B02A5D" w14:textId="365B5A4C" w:rsidR="008907F4" w:rsidRPr="005A1DB5" w:rsidRDefault="008907F4" w:rsidP="008907F4">
      <w:pPr>
        <w:tabs>
          <w:tab w:val="left" w:pos="1276"/>
        </w:tabs>
        <w:rPr>
          <w:szCs w:val="24"/>
        </w:rPr>
      </w:pPr>
      <w:r>
        <w:rPr>
          <w:shd w:val="clear" w:color="auto" w:fill="CCFFFF"/>
        </w:rPr>
        <w:t>Приложение 8</w:t>
      </w:r>
      <w:r>
        <w:tab/>
      </w:r>
      <w:r>
        <w:rPr>
          <w:shd w:val="clear" w:color="auto" w:fill="CCFFFF"/>
        </w:rPr>
        <w:t>Образец на окончателния технически отчет</w:t>
      </w:r>
    </w:p>
    <w:p w14:paraId="0B40C8F8" w14:textId="0BD35D91" w:rsidR="008907F4" w:rsidRDefault="008907F4" w:rsidP="00260A0A">
      <w:pPr>
        <w:tabs>
          <w:tab w:val="left" w:pos="1276"/>
        </w:tabs>
        <w:rPr>
          <w:b/>
          <w:szCs w:val="24"/>
        </w:rPr>
      </w:pPr>
      <w:r>
        <w:br w:type="page"/>
      </w:r>
    </w:p>
    <w:p w14:paraId="4F6A8CFD" w14:textId="77777777" w:rsidR="008907F4" w:rsidRPr="00ED345A" w:rsidRDefault="2FA6B974" w:rsidP="008907F4">
      <w:pPr>
        <w:pStyle w:val="Heading1"/>
        <w:jc w:val="center"/>
      </w:pPr>
      <w:bookmarkStart w:id="13" w:name="_Toc24116044"/>
      <w:bookmarkStart w:id="14" w:name="_Toc24126521"/>
      <w:bookmarkStart w:id="15" w:name="_Toc95924913"/>
      <w:r>
        <w:lastRenderedPageBreak/>
        <w:t>РЕД И УСЛОВИЯ</w:t>
      </w:r>
      <w:bookmarkEnd w:id="13"/>
      <w:bookmarkEnd w:id="14"/>
      <w:bookmarkEnd w:id="15"/>
    </w:p>
    <w:p w14:paraId="45AF96E8" w14:textId="77777777" w:rsidR="008907F4" w:rsidRDefault="008907F4" w:rsidP="008907F4">
      <w:pPr>
        <w:rPr>
          <w:b/>
          <w:sz w:val="20"/>
          <w:szCs w:val="20"/>
          <w:u w:val="single"/>
        </w:rPr>
      </w:pPr>
    </w:p>
    <w:p w14:paraId="7C3D29AE" w14:textId="77777777" w:rsidR="008907F4" w:rsidRPr="00AB4AE4" w:rsidRDefault="2FA6B974" w:rsidP="2FA6B974">
      <w:pPr>
        <w:rPr>
          <w:b/>
          <w:bCs/>
          <w:sz w:val="20"/>
          <w:szCs w:val="20"/>
          <w:u w:val="single"/>
        </w:rPr>
      </w:pPr>
      <w:r>
        <w:rPr>
          <w:b/>
          <w:bCs/>
          <w:sz w:val="20"/>
          <w:szCs w:val="20"/>
          <w:u w:val="single"/>
        </w:rPr>
        <w:t>СЪДЪРЖАНИЕ</w:t>
      </w:r>
    </w:p>
    <w:p w14:paraId="0546322E" w14:textId="5B5F49D7" w:rsidR="0058288C" w:rsidRDefault="008907F4">
      <w:pPr>
        <w:pStyle w:val="TOC1"/>
        <w:rPr>
          <w:rFonts w:asciiTheme="minorHAnsi" w:eastAsiaTheme="minorEastAsia" w:hAnsiTheme="minorHAnsi" w:cstheme="minorBidi"/>
          <w:b w:val="0"/>
          <w:caps w:val="0"/>
          <w:sz w:val="22"/>
          <w:szCs w:val="22"/>
          <w:lang w:val="en-US"/>
        </w:rPr>
      </w:pPr>
      <w:r>
        <w:rPr>
          <w:szCs w:val="24"/>
        </w:rPr>
        <w:fldChar w:fldCharType="begin"/>
      </w:r>
      <w:r>
        <w:rPr>
          <w:szCs w:val="24"/>
        </w:rPr>
        <w:instrText xml:space="preserve"> TOC \o "1-5" \h \z \u \t "Heading 6;6" </w:instrText>
      </w:r>
      <w:r>
        <w:rPr>
          <w:szCs w:val="24"/>
        </w:rPr>
        <w:fldChar w:fldCharType="separate"/>
      </w:r>
      <w:hyperlink w:anchor="_Toc95924911" w:history="1">
        <w:r w:rsidR="0058288C" w:rsidRPr="001A38AD">
          <w:rPr>
            <w:rStyle w:val="Hyperlink"/>
          </w:rPr>
          <w:t>СПОРАЗУМЕНИЕ ЗА ОТПУСКАНЕ НА БЕЗВЪЗМЕЗДНИ СРЕДСТВА</w:t>
        </w:r>
        <w:r w:rsidR="0058288C">
          <w:rPr>
            <w:webHidden/>
          </w:rPr>
          <w:tab/>
        </w:r>
        <w:r w:rsidR="0058288C">
          <w:rPr>
            <w:webHidden/>
          </w:rPr>
          <w:fldChar w:fldCharType="begin"/>
        </w:r>
        <w:r w:rsidR="0058288C">
          <w:rPr>
            <w:webHidden/>
          </w:rPr>
          <w:instrText xml:space="preserve"> PAGEREF _Toc95924911 \h </w:instrText>
        </w:r>
        <w:r w:rsidR="0058288C">
          <w:rPr>
            <w:webHidden/>
          </w:rPr>
        </w:r>
        <w:r w:rsidR="0058288C">
          <w:rPr>
            <w:webHidden/>
          </w:rPr>
          <w:fldChar w:fldCharType="separate"/>
        </w:r>
        <w:r w:rsidR="0058288C">
          <w:rPr>
            <w:webHidden/>
          </w:rPr>
          <w:t>4</w:t>
        </w:r>
        <w:r w:rsidR="0058288C">
          <w:rPr>
            <w:webHidden/>
          </w:rPr>
          <w:fldChar w:fldCharType="end"/>
        </w:r>
      </w:hyperlink>
    </w:p>
    <w:p w14:paraId="70FFB8E5" w14:textId="3BEB56A4" w:rsidR="0058288C" w:rsidRDefault="00613C5F">
      <w:pPr>
        <w:pStyle w:val="TOC6"/>
        <w:rPr>
          <w:rFonts w:asciiTheme="minorHAnsi" w:hAnsiTheme="minorHAnsi"/>
          <w:b w:val="0"/>
          <w:noProof/>
          <w:sz w:val="22"/>
          <w:lang w:val="en-US" w:eastAsia="en-US"/>
        </w:rPr>
      </w:pPr>
      <w:hyperlink w:anchor="_Toc95924912" w:history="1">
        <w:r w:rsidR="0058288C" w:rsidRPr="001A38AD">
          <w:rPr>
            <w:rStyle w:val="Hyperlink"/>
            <w:noProof/>
          </w:rPr>
          <w:t>ПРЕАМБЮЛ</w:t>
        </w:r>
        <w:r w:rsidR="0058288C">
          <w:rPr>
            <w:noProof/>
            <w:webHidden/>
          </w:rPr>
          <w:tab/>
        </w:r>
        <w:r w:rsidR="0058288C">
          <w:rPr>
            <w:noProof/>
            <w:webHidden/>
          </w:rPr>
          <w:fldChar w:fldCharType="begin"/>
        </w:r>
        <w:r w:rsidR="0058288C">
          <w:rPr>
            <w:noProof/>
            <w:webHidden/>
          </w:rPr>
          <w:instrText xml:space="preserve"> PAGEREF _Toc95924912 \h </w:instrText>
        </w:r>
        <w:r w:rsidR="0058288C">
          <w:rPr>
            <w:noProof/>
            <w:webHidden/>
          </w:rPr>
        </w:r>
        <w:r w:rsidR="0058288C">
          <w:rPr>
            <w:noProof/>
            <w:webHidden/>
          </w:rPr>
          <w:fldChar w:fldCharType="separate"/>
        </w:r>
        <w:r w:rsidR="0058288C">
          <w:rPr>
            <w:noProof/>
            <w:webHidden/>
          </w:rPr>
          <w:t>4</w:t>
        </w:r>
        <w:r w:rsidR="0058288C">
          <w:rPr>
            <w:noProof/>
            <w:webHidden/>
          </w:rPr>
          <w:fldChar w:fldCharType="end"/>
        </w:r>
      </w:hyperlink>
    </w:p>
    <w:p w14:paraId="1D650D26" w14:textId="5EFBDCA1" w:rsidR="0058288C" w:rsidRDefault="00613C5F">
      <w:pPr>
        <w:pStyle w:val="TOC1"/>
        <w:rPr>
          <w:rFonts w:asciiTheme="minorHAnsi" w:eastAsiaTheme="minorEastAsia" w:hAnsiTheme="minorHAnsi" w:cstheme="minorBidi"/>
          <w:b w:val="0"/>
          <w:caps w:val="0"/>
          <w:sz w:val="22"/>
          <w:szCs w:val="22"/>
          <w:lang w:val="en-US"/>
        </w:rPr>
      </w:pPr>
      <w:hyperlink w:anchor="_Toc95924913" w:history="1">
        <w:r w:rsidR="0058288C" w:rsidRPr="001A38AD">
          <w:rPr>
            <w:rStyle w:val="Hyperlink"/>
          </w:rPr>
          <w:t>РЕД И УСЛОВИЯ</w:t>
        </w:r>
        <w:r w:rsidR="0058288C">
          <w:rPr>
            <w:webHidden/>
          </w:rPr>
          <w:tab/>
        </w:r>
        <w:r w:rsidR="0058288C">
          <w:rPr>
            <w:webHidden/>
          </w:rPr>
          <w:fldChar w:fldCharType="begin"/>
        </w:r>
        <w:r w:rsidR="0058288C">
          <w:rPr>
            <w:webHidden/>
          </w:rPr>
          <w:instrText xml:space="preserve"> PAGEREF _Toc95924913 \h </w:instrText>
        </w:r>
        <w:r w:rsidR="0058288C">
          <w:rPr>
            <w:webHidden/>
          </w:rPr>
        </w:r>
        <w:r w:rsidR="0058288C">
          <w:rPr>
            <w:webHidden/>
          </w:rPr>
          <w:fldChar w:fldCharType="separate"/>
        </w:r>
        <w:r w:rsidR="0058288C">
          <w:rPr>
            <w:webHidden/>
          </w:rPr>
          <w:t>7</w:t>
        </w:r>
        <w:r w:rsidR="0058288C">
          <w:rPr>
            <w:webHidden/>
          </w:rPr>
          <w:fldChar w:fldCharType="end"/>
        </w:r>
      </w:hyperlink>
    </w:p>
    <w:p w14:paraId="48B62A45" w14:textId="047F3F30" w:rsidR="0058288C" w:rsidRDefault="00613C5F">
      <w:pPr>
        <w:pStyle w:val="TOC6"/>
        <w:rPr>
          <w:rFonts w:asciiTheme="minorHAnsi" w:hAnsiTheme="minorHAnsi"/>
          <w:b w:val="0"/>
          <w:noProof/>
          <w:sz w:val="22"/>
          <w:lang w:val="en-US" w:eastAsia="en-US"/>
        </w:rPr>
      </w:pPr>
      <w:hyperlink w:anchor="_Toc95924914" w:history="1">
        <w:r w:rsidR="0058288C" w:rsidRPr="001A38AD">
          <w:rPr>
            <w:rStyle w:val="Hyperlink"/>
            <w:noProof/>
          </w:rPr>
          <w:t>ТЕХНИЧЕСКИ СПЕЦИФИКАЦИИ</w:t>
        </w:r>
        <w:r w:rsidR="0058288C">
          <w:rPr>
            <w:noProof/>
            <w:webHidden/>
          </w:rPr>
          <w:tab/>
        </w:r>
        <w:r w:rsidR="0058288C">
          <w:rPr>
            <w:noProof/>
            <w:webHidden/>
          </w:rPr>
          <w:fldChar w:fldCharType="begin"/>
        </w:r>
        <w:r w:rsidR="0058288C">
          <w:rPr>
            <w:noProof/>
            <w:webHidden/>
          </w:rPr>
          <w:instrText xml:space="preserve"> PAGEREF _Toc95924914 \h </w:instrText>
        </w:r>
        <w:r w:rsidR="0058288C">
          <w:rPr>
            <w:noProof/>
            <w:webHidden/>
          </w:rPr>
        </w:r>
        <w:r w:rsidR="0058288C">
          <w:rPr>
            <w:noProof/>
            <w:webHidden/>
          </w:rPr>
          <w:fldChar w:fldCharType="separate"/>
        </w:r>
        <w:r w:rsidR="0058288C">
          <w:rPr>
            <w:noProof/>
            <w:webHidden/>
          </w:rPr>
          <w:t>12</w:t>
        </w:r>
        <w:r w:rsidR="0058288C">
          <w:rPr>
            <w:noProof/>
            <w:webHidden/>
          </w:rPr>
          <w:fldChar w:fldCharType="end"/>
        </w:r>
      </w:hyperlink>
    </w:p>
    <w:p w14:paraId="0F806D24" w14:textId="67060478" w:rsidR="0058288C" w:rsidRDefault="00613C5F">
      <w:pPr>
        <w:pStyle w:val="TOC1"/>
        <w:rPr>
          <w:rFonts w:asciiTheme="minorHAnsi" w:eastAsiaTheme="minorEastAsia" w:hAnsiTheme="minorHAnsi" w:cstheme="minorBidi"/>
          <w:b w:val="0"/>
          <w:caps w:val="0"/>
          <w:sz w:val="22"/>
          <w:szCs w:val="22"/>
          <w:lang w:val="en-US"/>
        </w:rPr>
      </w:pPr>
      <w:hyperlink w:anchor="_Toc95924915" w:history="1">
        <w:r w:rsidR="0058288C" w:rsidRPr="001A38AD">
          <w:rPr>
            <w:rStyle w:val="Hyperlink"/>
          </w:rPr>
          <w:t xml:space="preserve">ГЛАВА 1 </w:t>
        </w:r>
        <w:r w:rsidR="0058288C">
          <w:rPr>
            <w:rFonts w:asciiTheme="minorHAnsi" w:eastAsiaTheme="minorEastAsia" w:hAnsiTheme="minorHAnsi" w:cstheme="minorBidi"/>
            <w:b w:val="0"/>
            <w:caps w:val="0"/>
            <w:sz w:val="22"/>
            <w:szCs w:val="22"/>
            <w:lang w:val="en-US"/>
          </w:rPr>
          <w:tab/>
        </w:r>
        <w:r w:rsidR="0058288C" w:rsidRPr="001A38AD">
          <w:rPr>
            <w:rStyle w:val="Hyperlink"/>
          </w:rPr>
          <w:t>ОБЩИ ПОЛОЖЕНИЯ</w:t>
        </w:r>
        <w:r w:rsidR="0058288C">
          <w:rPr>
            <w:webHidden/>
          </w:rPr>
          <w:tab/>
        </w:r>
        <w:r w:rsidR="0058288C">
          <w:rPr>
            <w:webHidden/>
          </w:rPr>
          <w:fldChar w:fldCharType="begin"/>
        </w:r>
        <w:r w:rsidR="0058288C">
          <w:rPr>
            <w:webHidden/>
          </w:rPr>
          <w:instrText xml:space="preserve"> PAGEREF _Toc95924915 \h </w:instrText>
        </w:r>
        <w:r w:rsidR="0058288C">
          <w:rPr>
            <w:webHidden/>
          </w:rPr>
        </w:r>
        <w:r w:rsidR="0058288C">
          <w:rPr>
            <w:webHidden/>
          </w:rPr>
          <w:fldChar w:fldCharType="separate"/>
        </w:r>
        <w:r w:rsidR="0058288C">
          <w:rPr>
            <w:webHidden/>
          </w:rPr>
          <w:t>17</w:t>
        </w:r>
        <w:r w:rsidR="0058288C">
          <w:rPr>
            <w:webHidden/>
          </w:rPr>
          <w:fldChar w:fldCharType="end"/>
        </w:r>
      </w:hyperlink>
    </w:p>
    <w:p w14:paraId="4CE7A9E9" w14:textId="5968FCDC" w:rsidR="0058288C" w:rsidRDefault="00613C5F">
      <w:pPr>
        <w:pStyle w:val="TOC4"/>
        <w:rPr>
          <w:rFonts w:asciiTheme="minorHAnsi" w:eastAsiaTheme="minorEastAsia" w:hAnsiTheme="minorHAnsi" w:cstheme="minorBidi"/>
          <w:noProof/>
          <w:sz w:val="22"/>
          <w:szCs w:val="22"/>
          <w:lang w:val="en-US"/>
        </w:rPr>
      </w:pPr>
      <w:hyperlink w:anchor="_Toc95924916" w:history="1">
        <w:r w:rsidR="0058288C" w:rsidRPr="001A38AD">
          <w:rPr>
            <w:rStyle w:val="Hyperlink"/>
            <w:noProof/>
          </w:rPr>
          <w:t>ЧЛЕН 1 — ПРЕДМЕТ НА СПОРАЗУМЕНИЕТО</w:t>
        </w:r>
        <w:r w:rsidR="0058288C">
          <w:rPr>
            <w:noProof/>
            <w:webHidden/>
          </w:rPr>
          <w:tab/>
        </w:r>
        <w:r w:rsidR="0058288C">
          <w:rPr>
            <w:noProof/>
            <w:webHidden/>
          </w:rPr>
          <w:fldChar w:fldCharType="begin"/>
        </w:r>
        <w:r w:rsidR="0058288C">
          <w:rPr>
            <w:noProof/>
            <w:webHidden/>
          </w:rPr>
          <w:instrText xml:space="preserve"> PAGEREF _Toc95924916 \h </w:instrText>
        </w:r>
        <w:r w:rsidR="0058288C">
          <w:rPr>
            <w:noProof/>
            <w:webHidden/>
          </w:rPr>
        </w:r>
        <w:r w:rsidR="0058288C">
          <w:rPr>
            <w:noProof/>
            <w:webHidden/>
          </w:rPr>
          <w:fldChar w:fldCharType="separate"/>
        </w:r>
        <w:r w:rsidR="0058288C">
          <w:rPr>
            <w:noProof/>
            <w:webHidden/>
          </w:rPr>
          <w:t>17</w:t>
        </w:r>
        <w:r w:rsidR="0058288C">
          <w:rPr>
            <w:noProof/>
            <w:webHidden/>
          </w:rPr>
          <w:fldChar w:fldCharType="end"/>
        </w:r>
      </w:hyperlink>
    </w:p>
    <w:p w14:paraId="6E6E3372" w14:textId="77A93EF1" w:rsidR="0058288C" w:rsidRDefault="00613C5F">
      <w:pPr>
        <w:pStyle w:val="TOC4"/>
        <w:rPr>
          <w:rFonts w:asciiTheme="minorHAnsi" w:eastAsiaTheme="minorEastAsia" w:hAnsiTheme="minorHAnsi" w:cstheme="minorBidi"/>
          <w:noProof/>
          <w:sz w:val="22"/>
          <w:szCs w:val="22"/>
          <w:lang w:val="en-US"/>
        </w:rPr>
      </w:pPr>
      <w:hyperlink w:anchor="_Toc95924917" w:history="1">
        <w:r w:rsidR="0058288C" w:rsidRPr="001A38AD">
          <w:rPr>
            <w:rStyle w:val="Hyperlink"/>
            <w:noProof/>
          </w:rPr>
          <w:t>ЧЛЕН 2 — ОПРЕДЕЛЕНИЯ</w:t>
        </w:r>
        <w:r w:rsidR="0058288C">
          <w:rPr>
            <w:noProof/>
            <w:webHidden/>
          </w:rPr>
          <w:tab/>
        </w:r>
        <w:r w:rsidR="0058288C">
          <w:rPr>
            <w:noProof/>
            <w:webHidden/>
          </w:rPr>
          <w:fldChar w:fldCharType="begin"/>
        </w:r>
        <w:r w:rsidR="0058288C">
          <w:rPr>
            <w:noProof/>
            <w:webHidden/>
          </w:rPr>
          <w:instrText xml:space="preserve"> PAGEREF _Toc95924917 \h </w:instrText>
        </w:r>
        <w:r w:rsidR="0058288C">
          <w:rPr>
            <w:noProof/>
            <w:webHidden/>
          </w:rPr>
        </w:r>
        <w:r w:rsidR="0058288C">
          <w:rPr>
            <w:noProof/>
            <w:webHidden/>
          </w:rPr>
          <w:fldChar w:fldCharType="separate"/>
        </w:r>
        <w:r w:rsidR="0058288C">
          <w:rPr>
            <w:noProof/>
            <w:webHidden/>
          </w:rPr>
          <w:t>17</w:t>
        </w:r>
        <w:r w:rsidR="0058288C">
          <w:rPr>
            <w:noProof/>
            <w:webHidden/>
          </w:rPr>
          <w:fldChar w:fldCharType="end"/>
        </w:r>
      </w:hyperlink>
    </w:p>
    <w:p w14:paraId="14B89A85" w14:textId="22ACD90E" w:rsidR="0058288C" w:rsidRDefault="00613C5F">
      <w:pPr>
        <w:pStyle w:val="TOC1"/>
        <w:rPr>
          <w:rFonts w:asciiTheme="minorHAnsi" w:eastAsiaTheme="minorEastAsia" w:hAnsiTheme="minorHAnsi" w:cstheme="minorBidi"/>
          <w:b w:val="0"/>
          <w:caps w:val="0"/>
          <w:sz w:val="22"/>
          <w:szCs w:val="22"/>
          <w:lang w:val="en-US"/>
        </w:rPr>
      </w:pPr>
      <w:hyperlink w:anchor="_Toc95924918" w:history="1">
        <w:r w:rsidR="0058288C" w:rsidRPr="001A38AD">
          <w:rPr>
            <w:rStyle w:val="Hyperlink"/>
          </w:rPr>
          <w:t xml:space="preserve">ГЛАВА 2 </w:t>
        </w:r>
        <w:r w:rsidR="0058288C">
          <w:rPr>
            <w:rFonts w:asciiTheme="minorHAnsi" w:eastAsiaTheme="minorEastAsia" w:hAnsiTheme="minorHAnsi" w:cstheme="minorBidi"/>
            <w:b w:val="0"/>
            <w:caps w:val="0"/>
            <w:sz w:val="22"/>
            <w:szCs w:val="22"/>
            <w:lang w:val="en-US"/>
          </w:rPr>
          <w:tab/>
        </w:r>
        <w:r w:rsidR="0058288C" w:rsidRPr="001A38AD">
          <w:rPr>
            <w:rStyle w:val="Hyperlink"/>
          </w:rPr>
          <w:t>ДЕЙНОСТ</w:t>
        </w:r>
        <w:r w:rsidR="0058288C">
          <w:rPr>
            <w:webHidden/>
          </w:rPr>
          <w:tab/>
        </w:r>
        <w:r w:rsidR="0058288C">
          <w:rPr>
            <w:webHidden/>
          </w:rPr>
          <w:fldChar w:fldCharType="begin"/>
        </w:r>
        <w:r w:rsidR="0058288C">
          <w:rPr>
            <w:webHidden/>
          </w:rPr>
          <w:instrText xml:space="preserve"> PAGEREF _Toc95924918 \h </w:instrText>
        </w:r>
        <w:r w:rsidR="0058288C">
          <w:rPr>
            <w:webHidden/>
          </w:rPr>
        </w:r>
        <w:r w:rsidR="0058288C">
          <w:rPr>
            <w:webHidden/>
          </w:rPr>
          <w:fldChar w:fldCharType="separate"/>
        </w:r>
        <w:r w:rsidR="0058288C">
          <w:rPr>
            <w:webHidden/>
          </w:rPr>
          <w:t>19</w:t>
        </w:r>
        <w:r w:rsidR="0058288C">
          <w:rPr>
            <w:webHidden/>
          </w:rPr>
          <w:fldChar w:fldCharType="end"/>
        </w:r>
      </w:hyperlink>
    </w:p>
    <w:p w14:paraId="090CAEC5" w14:textId="34DD317A" w:rsidR="0058288C" w:rsidRDefault="00613C5F">
      <w:pPr>
        <w:pStyle w:val="TOC4"/>
        <w:rPr>
          <w:rFonts w:asciiTheme="minorHAnsi" w:eastAsiaTheme="minorEastAsia" w:hAnsiTheme="minorHAnsi" w:cstheme="minorBidi"/>
          <w:noProof/>
          <w:sz w:val="22"/>
          <w:szCs w:val="22"/>
          <w:lang w:val="en-US"/>
        </w:rPr>
      </w:pPr>
      <w:hyperlink w:anchor="_Toc95924919" w:history="1">
        <w:r w:rsidR="0058288C" w:rsidRPr="001A38AD">
          <w:rPr>
            <w:rStyle w:val="Hyperlink"/>
            <w:noProof/>
          </w:rPr>
          <w:t>ЧЛЕН 3 — ДЕЙНОСТ</w:t>
        </w:r>
        <w:r w:rsidR="0058288C">
          <w:rPr>
            <w:noProof/>
            <w:webHidden/>
          </w:rPr>
          <w:tab/>
        </w:r>
        <w:r w:rsidR="0058288C">
          <w:rPr>
            <w:noProof/>
            <w:webHidden/>
          </w:rPr>
          <w:fldChar w:fldCharType="begin"/>
        </w:r>
        <w:r w:rsidR="0058288C">
          <w:rPr>
            <w:noProof/>
            <w:webHidden/>
          </w:rPr>
          <w:instrText xml:space="preserve"> PAGEREF _Toc95924919 \h </w:instrText>
        </w:r>
        <w:r w:rsidR="0058288C">
          <w:rPr>
            <w:noProof/>
            <w:webHidden/>
          </w:rPr>
        </w:r>
        <w:r w:rsidR="0058288C">
          <w:rPr>
            <w:noProof/>
            <w:webHidden/>
          </w:rPr>
          <w:fldChar w:fldCharType="separate"/>
        </w:r>
        <w:r w:rsidR="0058288C">
          <w:rPr>
            <w:noProof/>
            <w:webHidden/>
          </w:rPr>
          <w:t>19</w:t>
        </w:r>
        <w:r w:rsidR="0058288C">
          <w:rPr>
            <w:noProof/>
            <w:webHidden/>
          </w:rPr>
          <w:fldChar w:fldCharType="end"/>
        </w:r>
      </w:hyperlink>
    </w:p>
    <w:p w14:paraId="469975DC" w14:textId="6E0A4294" w:rsidR="0058288C" w:rsidRDefault="00613C5F">
      <w:pPr>
        <w:pStyle w:val="TOC4"/>
        <w:rPr>
          <w:rFonts w:asciiTheme="minorHAnsi" w:eastAsiaTheme="minorEastAsia" w:hAnsiTheme="minorHAnsi" w:cstheme="minorBidi"/>
          <w:noProof/>
          <w:sz w:val="22"/>
          <w:szCs w:val="22"/>
          <w:lang w:val="en-US"/>
        </w:rPr>
      </w:pPr>
      <w:hyperlink w:anchor="_Toc95924920" w:history="1">
        <w:r w:rsidR="0058288C" w:rsidRPr="001A38AD">
          <w:rPr>
            <w:rStyle w:val="Hyperlink"/>
            <w:noProof/>
          </w:rPr>
          <w:t>ЧЛЕН 4 — ПРОДЪЛЖИТЕЛНОСТ И НАЧАЛНА ДАТА</w:t>
        </w:r>
        <w:r w:rsidR="0058288C">
          <w:rPr>
            <w:noProof/>
            <w:webHidden/>
          </w:rPr>
          <w:tab/>
        </w:r>
        <w:r w:rsidR="0058288C">
          <w:rPr>
            <w:noProof/>
            <w:webHidden/>
          </w:rPr>
          <w:fldChar w:fldCharType="begin"/>
        </w:r>
        <w:r w:rsidR="0058288C">
          <w:rPr>
            <w:noProof/>
            <w:webHidden/>
          </w:rPr>
          <w:instrText xml:space="preserve"> PAGEREF _Toc95924920 \h </w:instrText>
        </w:r>
        <w:r w:rsidR="0058288C">
          <w:rPr>
            <w:noProof/>
            <w:webHidden/>
          </w:rPr>
        </w:r>
        <w:r w:rsidR="0058288C">
          <w:rPr>
            <w:noProof/>
            <w:webHidden/>
          </w:rPr>
          <w:fldChar w:fldCharType="separate"/>
        </w:r>
        <w:r w:rsidR="0058288C">
          <w:rPr>
            <w:noProof/>
            <w:webHidden/>
          </w:rPr>
          <w:t>19</w:t>
        </w:r>
        <w:r w:rsidR="0058288C">
          <w:rPr>
            <w:noProof/>
            <w:webHidden/>
          </w:rPr>
          <w:fldChar w:fldCharType="end"/>
        </w:r>
      </w:hyperlink>
    </w:p>
    <w:p w14:paraId="084B5EE7" w14:textId="7417720E" w:rsidR="0058288C" w:rsidRDefault="00613C5F">
      <w:pPr>
        <w:pStyle w:val="TOC1"/>
        <w:rPr>
          <w:rFonts w:asciiTheme="minorHAnsi" w:eastAsiaTheme="minorEastAsia" w:hAnsiTheme="minorHAnsi" w:cstheme="minorBidi"/>
          <w:b w:val="0"/>
          <w:caps w:val="0"/>
          <w:sz w:val="22"/>
          <w:szCs w:val="22"/>
          <w:lang w:val="en-US"/>
        </w:rPr>
      </w:pPr>
      <w:hyperlink w:anchor="_Toc95924921" w:history="1">
        <w:r w:rsidR="0058288C" w:rsidRPr="001A38AD">
          <w:rPr>
            <w:rStyle w:val="Hyperlink"/>
          </w:rPr>
          <w:t xml:space="preserve">ГЛАВА 3 </w:t>
        </w:r>
        <w:r w:rsidR="0058288C">
          <w:rPr>
            <w:rFonts w:asciiTheme="minorHAnsi" w:eastAsiaTheme="minorEastAsia" w:hAnsiTheme="minorHAnsi" w:cstheme="minorBidi"/>
            <w:b w:val="0"/>
            <w:caps w:val="0"/>
            <w:sz w:val="22"/>
            <w:szCs w:val="22"/>
            <w:lang w:val="en-US"/>
          </w:rPr>
          <w:tab/>
        </w:r>
        <w:r w:rsidR="0058288C" w:rsidRPr="001A38AD">
          <w:rPr>
            <w:rStyle w:val="Hyperlink"/>
          </w:rPr>
          <w:t>БЕЗВЪЗМЕЗДНИ СРЕДСТВА</w:t>
        </w:r>
        <w:r w:rsidR="0058288C">
          <w:rPr>
            <w:webHidden/>
          </w:rPr>
          <w:tab/>
        </w:r>
        <w:r w:rsidR="0058288C">
          <w:rPr>
            <w:webHidden/>
          </w:rPr>
          <w:fldChar w:fldCharType="begin"/>
        </w:r>
        <w:r w:rsidR="0058288C">
          <w:rPr>
            <w:webHidden/>
          </w:rPr>
          <w:instrText xml:space="preserve"> PAGEREF _Toc95924921 \h </w:instrText>
        </w:r>
        <w:r w:rsidR="0058288C">
          <w:rPr>
            <w:webHidden/>
          </w:rPr>
        </w:r>
        <w:r w:rsidR="0058288C">
          <w:rPr>
            <w:webHidden/>
          </w:rPr>
          <w:fldChar w:fldCharType="separate"/>
        </w:r>
        <w:r w:rsidR="0058288C">
          <w:rPr>
            <w:webHidden/>
          </w:rPr>
          <w:t>19</w:t>
        </w:r>
        <w:r w:rsidR="0058288C">
          <w:rPr>
            <w:webHidden/>
          </w:rPr>
          <w:fldChar w:fldCharType="end"/>
        </w:r>
      </w:hyperlink>
    </w:p>
    <w:p w14:paraId="4E847F8F" w14:textId="0E594B87" w:rsidR="0058288C" w:rsidRDefault="00613C5F">
      <w:pPr>
        <w:pStyle w:val="TOC4"/>
        <w:rPr>
          <w:rFonts w:asciiTheme="minorHAnsi" w:eastAsiaTheme="minorEastAsia" w:hAnsiTheme="minorHAnsi" w:cstheme="minorBidi"/>
          <w:noProof/>
          <w:sz w:val="22"/>
          <w:szCs w:val="22"/>
          <w:lang w:val="en-US"/>
        </w:rPr>
      </w:pPr>
      <w:hyperlink w:anchor="_Toc95924922" w:history="1">
        <w:r w:rsidR="0058288C" w:rsidRPr="001A38AD">
          <w:rPr>
            <w:rStyle w:val="Hyperlink"/>
            <w:noProof/>
          </w:rPr>
          <w:t>ЧЛЕН 5 — БЕЗВЪЗМЕЗДНИ СРЕДСТВА</w:t>
        </w:r>
        <w:r w:rsidR="0058288C">
          <w:rPr>
            <w:noProof/>
            <w:webHidden/>
          </w:rPr>
          <w:tab/>
        </w:r>
        <w:r w:rsidR="0058288C">
          <w:rPr>
            <w:noProof/>
            <w:webHidden/>
          </w:rPr>
          <w:fldChar w:fldCharType="begin"/>
        </w:r>
        <w:r w:rsidR="0058288C">
          <w:rPr>
            <w:noProof/>
            <w:webHidden/>
          </w:rPr>
          <w:instrText xml:space="preserve"> PAGEREF _Toc95924922 \h </w:instrText>
        </w:r>
        <w:r w:rsidR="0058288C">
          <w:rPr>
            <w:noProof/>
            <w:webHidden/>
          </w:rPr>
        </w:r>
        <w:r w:rsidR="0058288C">
          <w:rPr>
            <w:noProof/>
            <w:webHidden/>
          </w:rPr>
          <w:fldChar w:fldCharType="separate"/>
        </w:r>
        <w:r w:rsidR="0058288C">
          <w:rPr>
            <w:noProof/>
            <w:webHidden/>
          </w:rPr>
          <w:t>19</w:t>
        </w:r>
        <w:r w:rsidR="0058288C">
          <w:rPr>
            <w:noProof/>
            <w:webHidden/>
          </w:rPr>
          <w:fldChar w:fldCharType="end"/>
        </w:r>
      </w:hyperlink>
    </w:p>
    <w:p w14:paraId="4C1E8144" w14:textId="25A6360D" w:rsidR="0058288C" w:rsidRDefault="00613C5F">
      <w:pPr>
        <w:pStyle w:val="TOC5"/>
        <w:rPr>
          <w:rFonts w:asciiTheme="minorHAnsi" w:eastAsiaTheme="minorEastAsia" w:hAnsiTheme="minorHAnsi" w:cstheme="minorBidi"/>
          <w:noProof/>
          <w:sz w:val="22"/>
          <w:szCs w:val="22"/>
          <w:lang w:val="en-US"/>
        </w:rPr>
      </w:pPr>
      <w:hyperlink w:anchor="_Toc95924923" w:history="1">
        <w:r w:rsidR="0058288C" w:rsidRPr="001A38AD">
          <w:rPr>
            <w:rStyle w:val="Hyperlink"/>
            <w:noProof/>
          </w:rPr>
          <w:t>5.1</w:t>
        </w:r>
        <w:r w:rsidR="0058288C">
          <w:rPr>
            <w:rFonts w:asciiTheme="minorHAnsi" w:eastAsiaTheme="minorEastAsia" w:hAnsiTheme="minorHAnsi" w:cstheme="minorBidi"/>
            <w:noProof/>
            <w:sz w:val="22"/>
            <w:szCs w:val="22"/>
            <w:lang w:val="en-US"/>
          </w:rPr>
          <w:tab/>
        </w:r>
        <w:r w:rsidR="0058288C" w:rsidRPr="001A38AD">
          <w:rPr>
            <w:rStyle w:val="Hyperlink"/>
            <w:noProof/>
          </w:rPr>
          <w:t>Форма на безвъзмездните средства</w:t>
        </w:r>
        <w:r w:rsidR="0058288C">
          <w:rPr>
            <w:noProof/>
            <w:webHidden/>
          </w:rPr>
          <w:tab/>
        </w:r>
        <w:r w:rsidR="0058288C">
          <w:rPr>
            <w:noProof/>
            <w:webHidden/>
          </w:rPr>
          <w:fldChar w:fldCharType="begin"/>
        </w:r>
        <w:r w:rsidR="0058288C">
          <w:rPr>
            <w:noProof/>
            <w:webHidden/>
          </w:rPr>
          <w:instrText xml:space="preserve"> PAGEREF _Toc95924923 \h </w:instrText>
        </w:r>
        <w:r w:rsidR="0058288C">
          <w:rPr>
            <w:noProof/>
            <w:webHidden/>
          </w:rPr>
        </w:r>
        <w:r w:rsidR="0058288C">
          <w:rPr>
            <w:noProof/>
            <w:webHidden/>
          </w:rPr>
          <w:fldChar w:fldCharType="separate"/>
        </w:r>
        <w:r w:rsidR="0058288C">
          <w:rPr>
            <w:noProof/>
            <w:webHidden/>
          </w:rPr>
          <w:t>19</w:t>
        </w:r>
        <w:r w:rsidR="0058288C">
          <w:rPr>
            <w:noProof/>
            <w:webHidden/>
          </w:rPr>
          <w:fldChar w:fldCharType="end"/>
        </w:r>
      </w:hyperlink>
    </w:p>
    <w:p w14:paraId="4951F242" w14:textId="4A411CDE" w:rsidR="0058288C" w:rsidRDefault="00613C5F">
      <w:pPr>
        <w:pStyle w:val="TOC5"/>
        <w:rPr>
          <w:rFonts w:asciiTheme="minorHAnsi" w:eastAsiaTheme="minorEastAsia" w:hAnsiTheme="minorHAnsi" w:cstheme="minorBidi"/>
          <w:noProof/>
          <w:sz w:val="22"/>
          <w:szCs w:val="22"/>
          <w:lang w:val="en-US"/>
        </w:rPr>
      </w:pPr>
      <w:hyperlink w:anchor="_Toc95924924" w:history="1">
        <w:r w:rsidR="0058288C" w:rsidRPr="001A38AD">
          <w:rPr>
            <w:rStyle w:val="Hyperlink"/>
            <w:noProof/>
          </w:rPr>
          <w:t>5.2</w:t>
        </w:r>
        <w:r w:rsidR="0058288C">
          <w:rPr>
            <w:rFonts w:asciiTheme="minorHAnsi" w:eastAsiaTheme="minorEastAsia" w:hAnsiTheme="minorHAnsi" w:cstheme="minorBidi"/>
            <w:noProof/>
            <w:sz w:val="22"/>
            <w:szCs w:val="22"/>
            <w:lang w:val="en-US"/>
          </w:rPr>
          <w:tab/>
        </w:r>
        <w:r w:rsidR="0058288C" w:rsidRPr="001A38AD">
          <w:rPr>
            <w:rStyle w:val="Hyperlink"/>
            <w:noProof/>
          </w:rPr>
          <w:t>Максимален размер на безвъзмездните средства</w:t>
        </w:r>
        <w:r w:rsidR="0058288C">
          <w:rPr>
            <w:noProof/>
            <w:webHidden/>
          </w:rPr>
          <w:tab/>
        </w:r>
        <w:r w:rsidR="0058288C">
          <w:rPr>
            <w:noProof/>
            <w:webHidden/>
          </w:rPr>
          <w:fldChar w:fldCharType="begin"/>
        </w:r>
        <w:r w:rsidR="0058288C">
          <w:rPr>
            <w:noProof/>
            <w:webHidden/>
          </w:rPr>
          <w:instrText xml:space="preserve"> PAGEREF _Toc95924924 \h </w:instrText>
        </w:r>
        <w:r w:rsidR="0058288C">
          <w:rPr>
            <w:noProof/>
            <w:webHidden/>
          </w:rPr>
        </w:r>
        <w:r w:rsidR="0058288C">
          <w:rPr>
            <w:noProof/>
            <w:webHidden/>
          </w:rPr>
          <w:fldChar w:fldCharType="separate"/>
        </w:r>
        <w:r w:rsidR="0058288C">
          <w:rPr>
            <w:noProof/>
            <w:webHidden/>
          </w:rPr>
          <w:t>19</w:t>
        </w:r>
        <w:r w:rsidR="0058288C">
          <w:rPr>
            <w:noProof/>
            <w:webHidden/>
          </w:rPr>
          <w:fldChar w:fldCharType="end"/>
        </w:r>
      </w:hyperlink>
    </w:p>
    <w:p w14:paraId="67C79EAC" w14:textId="1261598C" w:rsidR="0058288C" w:rsidRDefault="00613C5F">
      <w:pPr>
        <w:pStyle w:val="TOC5"/>
        <w:rPr>
          <w:rFonts w:asciiTheme="minorHAnsi" w:eastAsiaTheme="minorEastAsia" w:hAnsiTheme="minorHAnsi" w:cstheme="minorBidi"/>
          <w:noProof/>
          <w:sz w:val="22"/>
          <w:szCs w:val="22"/>
          <w:lang w:val="en-US"/>
        </w:rPr>
      </w:pPr>
      <w:hyperlink w:anchor="_Toc95924925" w:history="1">
        <w:r w:rsidR="0058288C" w:rsidRPr="001A38AD">
          <w:rPr>
            <w:rStyle w:val="Hyperlink"/>
            <w:noProof/>
          </w:rPr>
          <w:t>5.3</w:t>
        </w:r>
        <w:r w:rsidR="0058288C">
          <w:rPr>
            <w:rFonts w:asciiTheme="minorHAnsi" w:eastAsiaTheme="minorEastAsia" w:hAnsiTheme="minorHAnsi" w:cstheme="minorBidi"/>
            <w:noProof/>
            <w:sz w:val="22"/>
            <w:szCs w:val="22"/>
            <w:lang w:val="en-US"/>
          </w:rPr>
          <w:tab/>
        </w:r>
        <w:r w:rsidR="0058288C" w:rsidRPr="001A38AD">
          <w:rPr>
            <w:rStyle w:val="Hyperlink"/>
            <w:noProof/>
          </w:rPr>
          <w:t>Процент на финансиране</w:t>
        </w:r>
        <w:r w:rsidR="0058288C">
          <w:rPr>
            <w:noProof/>
            <w:webHidden/>
          </w:rPr>
          <w:tab/>
        </w:r>
        <w:r w:rsidR="0058288C">
          <w:rPr>
            <w:noProof/>
            <w:webHidden/>
          </w:rPr>
          <w:fldChar w:fldCharType="begin"/>
        </w:r>
        <w:r w:rsidR="0058288C">
          <w:rPr>
            <w:noProof/>
            <w:webHidden/>
          </w:rPr>
          <w:instrText xml:space="preserve"> PAGEREF _Toc95924925 \h </w:instrText>
        </w:r>
        <w:r w:rsidR="0058288C">
          <w:rPr>
            <w:noProof/>
            <w:webHidden/>
          </w:rPr>
        </w:r>
        <w:r w:rsidR="0058288C">
          <w:rPr>
            <w:noProof/>
            <w:webHidden/>
          </w:rPr>
          <w:fldChar w:fldCharType="separate"/>
        </w:r>
        <w:r w:rsidR="0058288C">
          <w:rPr>
            <w:noProof/>
            <w:webHidden/>
          </w:rPr>
          <w:t>19</w:t>
        </w:r>
        <w:r w:rsidR="0058288C">
          <w:rPr>
            <w:noProof/>
            <w:webHidden/>
          </w:rPr>
          <w:fldChar w:fldCharType="end"/>
        </w:r>
      </w:hyperlink>
    </w:p>
    <w:p w14:paraId="701F1E5F" w14:textId="0C4E4DE5" w:rsidR="0058288C" w:rsidRDefault="00613C5F">
      <w:pPr>
        <w:pStyle w:val="TOC5"/>
        <w:rPr>
          <w:rFonts w:asciiTheme="minorHAnsi" w:eastAsiaTheme="minorEastAsia" w:hAnsiTheme="minorHAnsi" w:cstheme="minorBidi"/>
          <w:noProof/>
          <w:sz w:val="22"/>
          <w:szCs w:val="22"/>
          <w:lang w:val="en-US"/>
        </w:rPr>
      </w:pPr>
      <w:hyperlink w:anchor="_Toc95924926" w:history="1">
        <w:r w:rsidR="0058288C" w:rsidRPr="001A38AD">
          <w:rPr>
            <w:rStyle w:val="Hyperlink"/>
            <w:noProof/>
          </w:rPr>
          <w:t>5.4</w:t>
        </w:r>
        <w:r w:rsidR="0058288C">
          <w:rPr>
            <w:rFonts w:asciiTheme="minorHAnsi" w:eastAsiaTheme="minorEastAsia" w:hAnsiTheme="minorHAnsi" w:cstheme="minorBidi"/>
            <w:noProof/>
            <w:sz w:val="22"/>
            <w:szCs w:val="22"/>
            <w:lang w:val="en-US"/>
          </w:rPr>
          <w:tab/>
        </w:r>
        <w:r w:rsidR="0058288C" w:rsidRPr="001A38AD">
          <w:rPr>
            <w:rStyle w:val="Hyperlink"/>
            <w:noProof/>
          </w:rPr>
          <w:t>Прогнозен бюджет, бюджетни категории и форми на финансиране</w:t>
        </w:r>
        <w:r w:rsidR="0058288C">
          <w:rPr>
            <w:noProof/>
            <w:webHidden/>
          </w:rPr>
          <w:tab/>
        </w:r>
        <w:r w:rsidR="0058288C">
          <w:rPr>
            <w:noProof/>
            <w:webHidden/>
          </w:rPr>
          <w:fldChar w:fldCharType="begin"/>
        </w:r>
        <w:r w:rsidR="0058288C">
          <w:rPr>
            <w:noProof/>
            <w:webHidden/>
          </w:rPr>
          <w:instrText xml:space="preserve"> PAGEREF _Toc95924926 \h </w:instrText>
        </w:r>
        <w:r w:rsidR="0058288C">
          <w:rPr>
            <w:noProof/>
            <w:webHidden/>
          </w:rPr>
        </w:r>
        <w:r w:rsidR="0058288C">
          <w:rPr>
            <w:noProof/>
            <w:webHidden/>
          </w:rPr>
          <w:fldChar w:fldCharType="separate"/>
        </w:r>
        <w:r w:rsidR="0058288C">
          <w:rPr>
            <w:noProof/>
            <w:webHidden/>
          </w:rPr>
          <w:t>20</w:t>
        </w:r>
        <w:r w:rsidR="0058288C">
          <w:rPr>
            <w:noProof/>
            <w:webHidden/>
          </w:rPr>
          <w:fldChar w:fldCharType="end"/>
        </w:r>
      </w:hyperlink>
    </w:p>
    <w:p w14:paraId="74DD264F" w14:textId="2B2A6568" w:rsidR="0058288C" w:rsidRDefault="00613C5F">
      <w:pPr>
        <w:pStyle w:val="TOC5"/>
        <w:rPr>
          <w:rFonts w:asciiTheme="minorHAnsi" w:eastAsiaTheme="minorEastAsia" w:hAnsiTheme="minorHAnsi" w:cstheme="minorBidi"/>
          <w:noProof/>
          <w:sz w:val="22"/>
          <w:szCs w:val="22"/>
          <w:lang w:val="en-US"/>
        </w:rPr>
      </w:pPr>
      <w:hyperlink w:anchor="_Toc95924927" w:history="1">
        <w:r w:rsidR="0058288C" w:rsidRPr="001A38AD">
          <w:rPr>
            <w:rStyle w:val="Hyperlink"/>
            <w:noProof/>
          </w:rPr>
          <w:t>5.5</w:t>
        </w:r>
        <w:r w:rsidR="0058288C">
          <w:rPr>
            <w:rFonts w:asciiTheme="minorHAnsi" w:eastAsiaTheme="minorEastAsia" w:hAnsiTheme="minorHAnsi" w:cstheme="minorBidi"/>
            <w:noProof/>
            <w:sz w:val="22"/>
            <w:szCs w:val="22"/>
            <w:lang w:val="en-US"/>
          </w:rPr>
          <w:tab/>
        </w:r>
        <w:r w:rsidR="0058288C" w:rsidRPr="001A38AD">
          <w:rPr>
            <w:rStyle w:val="Hyperlink"/>
            <w:noProof/>
          </w:rPr>
          <w:t>Бюджетна гъвкавост</w:t>
        </w:r>
        <w:r w:rsidR="0058288C">
          <w:rPr>
            <w:noProof/>
            <w:webHidden/>
          </w:rPr>
          <w:tab/>
        </w:r>
        <w:r w:rsidR="0058288C">
          <w:rPr>
            <w:noProof/>
            <w:webHidden/>
          </w:rPr>
          <w:fldChar w:fldCharType="begin"/>
        </w:r>
        <w:r w:rsidR="0058288C">
          <w:rPr>
            <w:noProof/>
            <w:webHidden/>
          </w:rPr>
          <w:instrText xml:space="preserve"> PAGEREF _Toc95924927 \h </w:instrText>
        </w:r>
        <w:r w:rsidR="0058288C">
          <w:rPr>
            <w:noProof/>
            <w:webHidden/>
          </w:rPr>
        </w:r>
        <w:r w:rsidR="0058288C">
          <w:rPr>
            <w:noProof/>
            <w:webHidden/>
          </w:rPr>
          <w:fldChar w:fldCharType="separate"/>
        </w:r>
        <w:r w:rsidR="0058288C">
          <w:rPr>
            <w:noProof/>
            <w:webHidden/>
          </w:rPr>
          <w:t>20</w:t>
        </w:r>
        <w:r w:rsidR="0058288C">
          <w:rPr>
            <w:noProof/>
            <w:webHidden/>
          </w:rPr>
          <w:fldChar w:fldCharType="end"/>
        </w:r>
      </w:hyperlink>
    </w:p>
    <w:p w14:paraId="63139205" w14:textId="6C593688" w:rsidR="0058288C" w:rsidRDefault="00613C5F">
      <w:pPr>
        <w:pStyle w:val="TOC4"/>
        <w:rPr>
          <w:rFonts w:asciiTheme="minorHAnsi" w:eastAsiaTheme="minorEastAsia" w:hAnsiTheme="minorHAnsi" w:cstheme="minorBidi"/>
          <w:noProof/>
          <w:sz w:val="22"/>
          <w:szCs w:val="22"/>
          <w:lang w:val="en-US"/>
        </w:rPr>
      </w:pPr>
      <w:hyperlink w:anchor="_Toc95924928" w:history="1">
        <w:r w:rsidR="0058288C" w:rsidRPr="001A38AD">
          <w:rPr>
            <w:rStyle w:val="Hyperlink"/>
            <w:noProof/>
          </w:rPr>
          <w:t>ЧЛЕН 6 — ДОПУСТИМИ И НЕДОПУСТИМИ РАЗХОДИ И ВНОСКИ</w:t>
        </w:r>
        <w:r w:rsidR="0058288C">
          <w:rPr>
            <w:noProof/>
            <w:webHidden/>
          </w:rPr>
          <w:tab/>
        </w:r>
        <w:r w:rsidR="0058288C">
          <w:rPr>
            <w:noProof/>
            <w:webHidden/>
          </w:rPr>
          <w:fldChar w:fldCharType="begin"/>
        </w:r>
        <w:r w:rsidR="0058288C">
          <w:rPr>
            <w:noProof/>
            <w:webHidden/>
          </w:rPr>
          <w:instrText xml:space="preserve"> PAGEREF _Toc95924928 \h </w:instrText>
        </w:r>
        <w:r w:rsidR="0058288C">
          <w:rPr>
            <w:noProof/>
            <w:webHidden/>
          </w:rPr>
        </w:r>
        <w:r w:rsidR="0058288C">
          <w:rPr>
            <w:noProof/>
            <w:webHidden/>
          </w:rPr>
          <w:fldChar w:fldCharType="separate"/>
        </w:r>
        <w:r w:rsidR="0058288C">
          <w:rPr>
            <w:noProof/>
            <w:webHidden/>
          </w:rPr>
          <w:t>20</w:t>
        </w:r>
        <w:r w:rsidR="0058288C">
          <w:rPr>
            <w:noProof/>
            <w:webHidden/>
          </w:rPr>
          <w:fldChar w:fldCharType="end"/>
        </w:r>
      </w:hyperlink>
    </w:p>
    <w:p w14:paraId="00D5A442" w14:textId="301FEC72" w:rsidR="0058288C" w:rsidRDefault="00613C5F">
      <w:pPr>
        <w:pStyle w:val="TOC5"/>
        <w:rPr>
          <w:rFonts w:asciiTheme="minorHAnsi" w:eastAsiaTheme="minorEastAsia" w:hAnsiTheme="minorHAnsi" w:cstheme="minorBidi"/>
          <w:noProof/>
          <w:sz w:val="22"/>
          <w:szCs w:val="22"/>
          <w:lang w:val="en-US"/>
        </w:rPr>
      </w:pPr>
      <w:hyperlink w:anchor="_Toc95924929" w:history="1">
        <w:r w:rsidR="0058288C" w:rsidRPr="001A38AD">
          <w:rPr>
            <w:rStyle w:val="Hyperlink"/>
            <w:noProof/>
          </w:rPr>
          <w:t>6.1</w:t>
        </w:r>
        <w:r w:rsidR="0058288C">
          <w:rPr>
            <w:rFonts w:asciiTheme="minorHAnsi" w:eastAsiaTheme="minorEastAsia" w:hAnsiTheme="minorHAnsi" w:cstheme="minorBidi"/>
            <w:noProof/>
            <w:sz w:val="22"/>
            <w:szCs w:val="22"/>
            <w:lang w:val="en-US"/>
          </w:rPr>
          <w:tab/>
        </w:r>
        <w:r w:rsidR="0058288C" w:rsidRPr="001A38AD">
          <w:rPr>
            <w:rStyle w:val="Hyperlink"/>
            <w:noProof/>
          </w:rPr>
          <w:t>Общи условия за допустимост</w:t>
        </w:r>
        <w:r w:rsidR="0058288C">
          <w:rPr>
            <w:noProof/>
            <w:webHidden/>
          </w:rPr>
          <w:tab/>
        </w:r>
        <w:r w:rsidR="0058288C">
          <w:rPr>
            <w:noProof/>
            <w:webHidden/>
          </w:rPr>
          <w:fldChar w:fldCharType="begin"/>
        </w:r>
        <w:r w:rsidR="0058288C">
          <w:rPr>
            <w:noProof/>
            <w:webHidden/>
          </w:rPr>
          <w:instrText xml:space="preserve"> PAGEREF _Toc95924929 \h </w:instrText>
        </w:r>
        <w:r w:rsidR="0058288C">
          <w:rPr>
            <w:noProof/>
            <w:webHidden/>
          </w:rPr>
        </w:r>
        <w:r w:rsidR="0058288C">
          <w:rPr>
            <w:noProof/>
            <w:webHidden/>
          </w:rPr>
          <w:fldChar w:fldCharType="separate"/>
        </w:r>
        <w:r w:rsidR="0058288C">
          <w:rPr>
            <w:noProof/>
            <w:webHidden/>
          </w:rPr>
          <w:t>20</w:t>
        </w:r>
        <w:r w:rsidR="0058288C">
          <w:rPr>
            <w:noProof/>
            <w:webHidden/>
          </w:rPr>
          <w:fldChar w:fldCharType="end"/>
        </w:r>
      </w:hyperlink>
    </w:p>
    <w:p w14:paraId="1F0B34AC" w14:textId="244C3096" w:rsidR="0058288C" w:rsidRDefault="00613C5F">
      <w:pPr>
        <w:pStyle w:val="TOC5"/>
        <w:rPr>
          <w:rFonts w:asciiTheme="minorHAnsi" w:eastAsiaTheme="minorEastAsia" w:hAnsiTheme="minorHAnsi" w:cstheme="minorBidi"/>
          <w:noProof/>
          <w:sz w:val="22"/>
          <w:szCs w:val="22"/>
          <w:lang w:val="en-US"/>
        </w:rPr>
      </w:pPr>
      <w:hyperlink w:anchor="_Toc95924930" w:history="1">
        <w:r w:rsidR="0058288C" w:rsidRPr="001A38AD">
          <w:rPr>
            <w:rStyle w:val="Hyperlink"/>
            <w:noProof/>
          </w:rPr>
          <w:t>6.2</w:t>
        </w:r>
        <w:r w:rsidR="0058288C">
          <w:rPr>
            <w:rFonts w:asciiTheme="minorHAnsi" w:eastAsiaTheme="minorEastAsia" w:hAnsiTheme="minorHAnsi" w:cstheme="minorBidi"/>
            <w:noProof/>
            <w:sz w:val="22"/>
            <w:szCs w:val="22"/>
            <w:lang w:val="en-US"/>
          </w:rPr>
          <w:tab/>
        </w:r>
        <w:r w:rsidR="0058288C" w:rsidRPr="001A38AD">
          <w:rPr>
            <w:rStyle w:val="Hyperlink"/>
            <w:noProof/>
          </w:rPr>
          <w:t>Специални условия за допустимост за всяка бюджетна категория</w:t>
        </w:r>
        <w:r w:rsidR="0058288C">
          <w:rPr>
            <w:noProof/>
            <w:webHidden/>
          </w:rPr>
          <w:tab/>
        </w:r>
        <w:r w:rsidR="0058288C">
          <w:rPr>
            <w:noProof/>
            <w:webHidden/>
          </w:rPr>
          <w:fldChar w:fldCharType="begin"/>
        </w:r>
        <w:r w:rsidR="0058288C">
          <w:rPr>
            <w:noProof/>
            <w:webHidden/>
          </w:rPr>
          <w:instrText xml:space="preserve"> PAGEREF _Toc95924930 \h </w:instrText>
        </w:r>
        <w:r w:rsidR="0058288C">
          <w:rPr>
            <w:noProof/>
            <w:webHidden/>
          </w:rPr>
        </w:r>
        <w:r w:rsidR="0058288C">
          <w:rPr>
            <w:noProof/>
            <w:webHidden/>
          </w:rPr>
          <w:fldChar w:fldCharType="separate"/>
        </w:r>
        <w:r w:rsidR="0058288C">
          <w:rPr>
            <w:noProof/>
            <w:webHidden/>
          </w:rPr>
          <w:t>22</w:t>
        </w:r>
        <w:r w:rsidR="0058288C">
          <w:rPr>
            <w:noProof/>
            <w:webHidden/>
          </w:rPr>
          <w:fldChar w:fldCharType="end"/>
        </w:r>
      </w:hyperlink>
    </w:p>
    <w:p w14:paraId="0BF062E9" w14:textId="3C8DD2D3" w:rsidR="0058288C" w:rsidRDefault="00613C5F">
      <w:pPr>
        <w:pStyle w:val="TOC5"/>
        <w:rPr>
          <w:rFonts w:asciiTheme="minorHAnsi" w:eastAsiaTheme="minorEastAsia" w:hAnsiTheme="minorHAnsi" w:cstheme="minorBidi"/>
          <w:noProof/>
          <w:sz w:val="22"/>
          <w:szCs w:val="22"/>
          <w:lang w:val="en-US"/>
        </w:rPr>
      </w:pPr>
      <w:hyperlink w:anchor="_Toc95924931" w:history="1">
        <w:r w:rsidR="0058288C" w:rsidRPr="001A38AD">
          <w:rPr>
            <w:rStyle w:val="Hyperlink"/>
            <w:noProof/>
          </w:rPr>
          <w:t>6.3</w:t>
        </w:r>
        <w:r w:rsidR="0058288C">
          <w:rPr>
            <w:rFonts w:asciiTheme="minorHAnsi" w:eastAsiaTheme="minorEastAsia" w:hAnsiTheme="minorHAnsi" w:cstheme="minorBidi"/>
            <w:noProof/>
            <w:sz w:val="22"/>
            <w:szCs w:val="22"/>
            <w:lang w:val="en-US"/>
          </w:rPr>
          <w:tab/>
        </w:r>
        <w:r w:rsidR="0058288C" w:rsidRPr="001A38AD">
          <w:rPr>
            <w:rStyle w:val="Hyperlink"/>
            <w:noProof/>
          </w:rPr>
          <w:t>Недопустими разходи и вноски</w:t>
        </w:r>
        <w:r w:rsidR="0058288C">
          <w:rPr>
            <w:noProof/>
            <w:webHidden/>
          </w:rPr>
          <w:tab/>
        </w:r>
        <w:r w:rsidR="0058288C">
          <w:rPr>
            <w:noProof/>
            <w:webHidden/>
          </w:rPr>
          <w:fldChar w:fldCharType="begin"/>
        </w:r>
        <w:r w:rsidR="0058288C">
          <w:rPr>
            <w:noProof/>
            <w:webHidden/>
          </w:rPr>
          <w:instrText xml:space="preserve"> PAGEREF _Toc95924931 \h </w:instrText>
        </w:r>
        <w:r w:rsidR="0058288C">
          <w:rPr>
            <w:noProof/>
            <w:webHidden/>
          </w:rPr>
        </w:r>
        <w:r w:rsidR="0058288C">
          <w:rPr>
            <w:noProof/>
            <w:webHidden/>
          </w:rPr>
          <w:fldChar w:fldCharType="separate"/>
        </w:r>
        <w:r w:rsidR="0058288C">
          <w:rPr>
            <w:noProof/>
            <w:webHidden/>
          </w:rPr>
          <w:t>27</w:t>
        </w:r>
        <w:r w:rsidR="0058288C">
          <w:rPr>
            <w:noProof/>
            <w:webHidden/>
          </w:rPr>
          <w:fldChar w:fldCharType="end"/>
        </w:r>
      </w:hyperlink>
    </w:p>
    <w:p w14:paraId="200F3B02" w14:textId="5131B85D" w:rsidR="0058288C" w:rsidRDefault="00613C5F">
      <w:pPr>
        <w:pStyle w:val="TOC5"/>
        <w:rPr>
          <w:rFonts w:asciiTheme="minorHAnsi" w:eastAsiaTheme="minorEastAsia" w:hAnsiTheme="minorHAnsi" w:cstheme="minorBidi"/>
          <w:noProof/>
          <w:sz w:val="22"/>
          <w:szCs w:val="22"/>
          <w:lang w:val="en-US"/>
        </w:rPr>
      </w:pPr>
      <w:hyperlink w:anchor="_Toc95924932" w:history="1">
        <w:r w:rsidR="0058288C" w:rsidRPr="001A38AD">
          <w:rPr>
            <w:rStyle w:val="Hyperlink"/>
            <w:noProof/>
          </w:rPr>
          <w:t>6.4</w:t>
        </w:r>
        <w:r w:rsidR="0058288C">
          <w:rPr>
            <w:rFonts w:asciiTheme="minorHAnsi" w:eastAsiaTheme="minorEastAsia" w:hAnsiTheme="minorHAnsi" w:cstheme="minorBidi"/>
            <w:noProof/>
            <w:sz w:val="22"/>
            <w:szCs w:val="22"/>
            <w:lang w:val="en-US"/>
          </w:rPr>
          <w:tab/>
        </w:r>
        <w:r w:rsidR="0058288C" w:rsidRPr="001A38AD">
          <w:rPr>
            <w:rStyle w:val="Hyperlink"/>
            <w:noProof/>
          </w:rPr>
          <w:t>Последствия при неизпълнение</w:t>
        </w:r>
        <w:r w:rsidR="0058288C">
          <w:rPr>
            <w:noProof/>
            <w:webHidden/>
          </w:rPr>
          <w:tab/>
        </w:r>
        <w:r w:rsidR="0058288C">
          <w:rPr>
            <w:noProof/>
            <w:webHidden/>
          </w:rPr>
          <w:fldChar w:fldCharType="begin"/>
        </w:r>
        <w:r w:rsidR="0058288C">
          <w:rPr>
            <w:noProof/>
            <w:webHidden/>
          </w:rPr>
          <w:instrText xml:space="preserve"> PAGEREF _Toc95924932 \h </w:instrText>
        </w:r>
        <w:r w:rsidR="0058288C">
          <w:rPr>
            <w:noProof/>
            <w:webHidden/>
          </w:rPr>
        </w:r>
        <w:r w:rsidR="0058288C">
          <w:rPr>
            <w:noProof/>
            <w:webHidden/>
          </w:rPr>
          <w:fldChar w:fldCharType="separate"/>
        </w:r>
        <w:r w:rsidR="0058288C">
          <w:rPr>
            <w:noProof/>
            <w:webHidden/>
          </w:rPr>
          <w:t>28</w:t>
        </w:r>
        <w:r w:rsidR="0058288C">
          <w:rPr>
            <w:noProof/>
            <w:webHidden/>
          </w:rPr>
          <w:fldChar w:fldCharType="end"/>
        </w:r>
      </w:hyperlink>
    </w:p>
    <w:p w14:paraId="035779F5" w14:textId="6261320B" w:rsidR="0058288C" w:rsidRDefault="00613C5F">
      <w:pPr>
        <w:pStyle w:val="TOC1"/>
        <w:rPr>
          <w:rFonts w:asciiTheme="minorHAnsi" w:eastAsiaTheme="minorEastAsia" w:hAnsiTheme="minorHAnsi" w:cstheme="minorBidi"/>
          <w:b w:val="0"/>
          <w:caps w:val="0"/>
          <w:sz w:val="22"/>
          <w:szCs w:val="22"/>
          <w:lang w:val="en-US"/>
        </w:rPr>
      </w:pPr>
      <w:hyperlink w:anchor="_Toc95924933" w:history="1">
        <w:r w:rsidR="0058288C" w:rsidRPr="001A38AD">
          <w:rPr>
            <w:rStyle w:val="Hyperlink"/>
          </w:rPr>
          <w:t xml:space="preserve">ГЛАВА 4 </w:t>
        </w:r>
        <w:r w:rsidR="0058288C">
          <w:rPr>
            <w:rFonts w:asciiTheme="minorHAnsi" w:eastAsiaTheme="minorEastAsia" w:hAnsiTheme="minorHAnsi" w:cstheme="minorBidi"/>
            <w:b w:val="0"/>
            <w:caps w:val="0"/>
            <w:sz w:val="22"/>
            <w:szCs w:val="22"/>
            <w:lang w:val="en-US"/>
          </w:rPr>
          <w:tab/>
        </w:r>
        <w:r w:rsidR="0058288C" w:rsidRPr="001A38AD">
          <w:rPr>
            <w:rStyle w:val="Hyperlink"/>
          </w:rPr>
          <w:t>ИЗПЪЛНЕНИЕ НА СПОРАЗУМЕНИЕТО ЗА ОТПУСКАНЕ НА БЕЗВЪЗМЕЗДНИ СРЕДСТВА</w:t>
        </w:r>
        <w:r w:rsidR="0058288C">
          <w:rPr>
            <w:webHidden/>
          </w:rPr>
          <w:tab/>
        </w:r>
        <w:r w:rsidR="0058288C">
          <w:rPr>
            <w:webHidden/>
          </w:rPr>
          <w:fldChar w:fldCharType="begin"/>
        </w:r>
        <w:r w:rsidR="0058288C">
          <w:rPr>
            <w:webHidden/>
          </w:rPr>
          <w:instrText xml:space="preserve"> PAGEREF _Toc95924933 \h </w:instrText>
        </w:r>
        <w:r w:rsidR="0058288C">
          <w:rPr>
            <w:webHidden/>
          </w:rPr>
        </w:r>
        <w:r w:rsidR="0058288C">
          <w:rPr>
            <w:webHidden/>
          </w:rPr>
          <w:fldChar w:fldCharType="separate"/>
        </w:r>
        <w:r w:rsidR="0058288C">
          <w:rPr>
            <w:webHidden/>
          </w:rPr>
          <w:t>28</w:t>
        </w:r>
        <w:r w:rsidR="0058288C">
          <w:rPr>
            <w:webHidden/>
          </w:rPr>
          <w:fldChar w:fldCharType="end"/>
        </w:r>
      </w:hyperlink>
    </w:p>
    <w:p w14:paraId="4DEE6D01" w14:textId="14314542" w:rsidR="0058288C" w:rsidRDefault="00613C5F">
      <w:pPr>
        <w:pStyle w:val="TOC2"/>
        <w:tabs>
          <w:tab w:val="left" w:pos="2297"/>
        </w:tabs>
        <w:rPr>
          <w:rFonts w:asciiTheme="minorHAnsi" w:eastAsiaTheme="minorEastAsia" w:hAnsiTheme="minorHAnsi" w:cstheme="minorBidi"/>
          <w:b w:val="0"/>
          <w:noProof/>
          <w:sz w:val="22"/>
          <w:szCs w:val="22"/>
          <w:lang w:val="en-US"/>
        </w:rPr>
      </w:pPr>
      <w:hyperlink w:anchor="_Toc95924934" w:history="1">
        <w:r w:rsidR="0058288C" w:rsidRPr="001A38AD">
          <w:rPr>
            <w:rStyle w:val="Hyperlink"/>
            <w:noProof/>
          </w:rPr>
          <w:t xml:space="preserve">РАЗДЕЛ 1 </w:t>
        </w:r>
        <w:r w:rsidR="0058288C">
          <w:rPr>
            <w:rFonts w:asciiTheme="minorHAnsi" w:eastAsiaTheme="minorEastAsia" w:hAnsiTheme="minorHAnsi" w:cstheme="minorBidi"/>
            <w:b w:val="0"/>
            <w:noProof/>
            <w:sz w:val="22"/>
            <w:szCs w:val="22"/>
            <w:lang w:val="en-US"/>
          </w:rPr>
          <w:tab/>
        </w:r>
        <w:r w:rsidR="0058288C" w:rsidRPr="001A38AD">
          <w:rPr>
            <w:rStyle w:val="Hyperlink"/>
            <w:noProof/>
          </w:rPr>
          <w:t>КОНСОРЦИУМ: БЕНЕФИЦИЕРИ, СВЪРЗАНИ СУБЕКТИ И ДРУГИ УЧАСТНИЦИ</w:t>
        </w:r>
        <w:r w:rsidR="0058288C">
          <w:rPr>
            <w:noProof/>
            <w:webHidden/>
          </w:rPr>
          <w:tab/>
        </w:r>
        <w:r w:rsidR="0058288C">
          <w:rPr>
            <w:noProof/>
            <w:webHidden/>
          </w:rPr>
          <w:fldChar w:fldCharType="begin"/>
        </w:r>
        <w:r w:rsidR="0058288C">
          <w:rPr>
            <w:noProof/>
            <w:webHidden/>
          </w:rPr>
          <w:instrText xml:space="preserve"> PAGEREF _Toc95924934 \h </w:instrText>
        </w:r>
        <w:r w:rsidR="0058288C">
          <w:rPr>
            <w:noProof/>
            <w:webHidden/>
          </w:rPr>
        </w:r>
        <w:r w:rsidR="0058288C">
          <w:rPr>
            <w:noProof/>
            <w:webHidden/>
          </w:rPr>
          <w:fldChar w:fldCharType="separate"/>
        </w:r>
        <w:r w:rsidR="0058288C">
          <w:rPr>
            <w:noProof/>
            <w:webHidden/>
          </w:rPr>
          <w:t>28</w:t>
        </w:r>
        <w:r w:rsidR="0058288C">
          <w:rPr>
            <w:noProof/>
            <w:webHidden/>
          </w:rPr>
          <w:fldChar w:fldCharType="end"/>
        </w:r>
      </w:hyperlink>
    </w:p>
    <w:p w14:paraId="4ED89C03" w14:textId="046A67A0" w:rsidR="0058288C" w:rsidRDefault="00613C5F">
      <w:pPr>
        <w:pStyle w:val="TOC4"/>
        <w:rPr>
          <w:rFonts w:asciiTheme="minorHAnsi" w:eastAsiaTheme="minorEastAsia" w:hAnsiTheme="minorHAnsi" w:cstheme="minorBidi"/>
          <w:noProof/>
          <w:sz w:val="22"/>
          <w:szCs w:val="22"/>
          <w:lang w:val="en-US"/>
        </w:rPr>
      </w:pPr>
      <w:hyperlink w:anchor="_Toc95924935" w:history="1">
        <w:r w:rsidR="0058288C" w:rsidRPr="001A38AD">
          <w:rPr>
            <w:rStyle w:val="Hyperlink"/>
            <w:noProof/>
          </w:rPr>
          <w:t>ЧЛЕН 7 — БЕНЕФИЦИЕРИ</w:t>
        </w:r>
        <w:r w:rsidR="0058288C">
          <w:rPr>
            <w:noProof/>
            <w:webHidden/>
          </w:rPr>
          <w:tab/>
        </w:r>
        <w:r w:rsidR="0058288C">
          <w:rPr>
            <w:noProof/>
            <w:webHidden/>
          </w:rPr>
          <w:fldChar w:fldCharType="begin"/>
        </w:r>
        <w:r w:rsidR="0058288C">
          <w:rPr>
            <w:noProof/>
            <w:webHidden/>
          </w:rPr>
          <w:instrText xml:space="preserve"> PAGEREF _Toc95924935 \h </w:instrText>
        </w:r>
        <w:r w:rsidR="0058288C">
          <w:rPr>
            <w:noProof/>
            <w:webHidden/>
          </w:rPr>
        </w:r>
        <w:r w:rsidR="0058288C">
          <w:rPr>
            <w:noProof/>
            <w:webHidden/>
          </w:rPr>
          <w:fldChar w:fldCharType="separate"/>
        </w:r>
        <w:r w:rsidR="0058288C">
          <w:rPr>
            <w:noProof/>
            <w:webHidden/>
          </w:rPr>
          <w:t>28</w:t>
        </w:r>
        <w:r w:rsidR="0058288C">
          <w:rPr>
            <w:noProof/>
            <w:webHidden/>
          </w:rPr>
          <w:fldChar w:fldCharType="end"/>
        </w:r>
      </w:hyperlink>
    </w:p>
    <w:p w14:paraId="66E5FCC0" w14:textId="03E8954F" w:rsidR="0058288C" w:rsidRDefault="00613C5F">
      <w:pPr>
        <w:pStyle w:val="TOC4"/>
        <w:rPr>
          <w:rFonts w:asciiTheme="minorHAnsi" w:eastAsiaTheme="minorEastAsia" w:hAnsiTheme="minorHAnsi" w:cstheme="minorBidi"/>
          <w:noProof/>
          <w:sz w:val="22"/>
          <w:szCs w:val="22"/>
          <w:lang w:val="en-US"/>
        </w:rPr>
      </w:pPr>
      <w:hyperlink w:anchor="_Toc95924936" w:history="1">
        <w:r w:rsidR="0058288C" w:rsidRPr="001A38AD">
          <w:rPr>
            <w:rStyle w:val="Hyperlink"/>
            <w:noProof/>
          </w:rPr>
          <w:t>ЧЛЕН 8 — СВЪРЗАНИ СУБЕКТИ</w:t>
        </w:r>
        <w:r w:rsidR="0058288C">
          <w:rPr>
            <w:noProof/>
            <w:webHidden/>
          </w:rPr>
          <w:tab/>
        </w:r>
        <w:r w:rsidR="0058288C">
          <w:rPr>
            <w:noProof/>
            <w:webHidden/>
          </w:rPr>
          <w:fldChar w:fldCharType="begin"/>
        </w:r>
        <w:r w:rsidR="0058288C">
          <w:rPr>
            <w:noProof/>
            <w:webHidden/>
          </w:rPr>
          <w:instrText xml:space="preserve"> PAGEREF _Toc95924936 \h </w:instrText>
        </w:r>
        <w:r w:rsidR="0058288C">
          <w:rPr>
            <w:noProof/>
            <w:webHidden/>
          </w:rPr>
        </w:r>
        <w:r w:rsidR="0058288C">
          <w:rPr>
            <w:noProof/>
            <w:webHidden/>
          </w:rPr>
          <w:fldChar w:fldCharType="separate"/>
        </w:r>
        <w:r w:rsidR="0058288C">
          <w:rPr>
            <w:noProof/>
            <w:webHidden/>
          </w:rPr>
          <w:t>30</w:t>
        </w:r>
        <w:r w:rsidR="0058288C">
          <w:rPr>
            <w:noProof/>
            <w:webHidden/>
          </w:rPr>
          <w:fldChar w:fldCharType="end"/>
        </w:r>
      </w:hyperlink>
    </w:p>
    <w:p w14:paraId="201E2D8A" w14:textId="39ABB71A" w:rsidR="0058288C" w:rsidRDefault="00613C5F">
      <w:pPr>
        <w:pStyle w:val="TOC4"/>
        <w:rPr>
          <w:rFonts w:asciiTheme="minorHAnsi" w:eastAsiaTheme="minorEastAsia" w:hAnsiTheme="minorHAnsi" w:cstheme="minorBidi"/>
          <w:noProof/>
          <w:sz w:val="22"/>
          <w:szCs w:val="22"/>
          <w:lang w:val="en-US"/>
        </w:rPr>
      </w:pPr>
      <w:hyperlink w:anchor="_Toc95924937" w:history="1">
        <w:r w:rsidR="0058288C" w:rsidRPr="001A38AD">
          <w:rPr>
            <w:rStyle w:val="Hyperlink"/>
            <w:noProof/>
          </w:rPr>
          <w:t>ЧЛЕН 9 — ДРУГИ УЧАСТНИЦИ, АНГАЖИРАНИ В ДЕЙНОСТТА</w:t>
        </w:r>
        <w:r w:rsidR="0058288C">
          <w:rPr>
            <w:noProof/>
            <w:webHidden/>
          </w:rPr>
          <w:tab/>
        </w:r>
        <w:r w:rsidR="0058288C">
          <w:rPr>
            <w:noProof/>
            <w:webHidden/>
          </w:rPr>
          <w:fldChar w:fldCharType="begin"/>
        </w:r>
        <w:r w:rsidR="0058288C">
          <w:rPr>
            <w:noProof/>
            <w:webHidden/>
          </w:rPr>
          <w:instrText xml:space="preserve"> PAGEREF _Toc95924937 \h </w:instrText>
        </w:r>
        <w:r w:rsidR="0058288C">
          <w:rPr>
            <w:noProof/>
            <w:webHidden/>
          </w:rPr>
        </w:r>
        <w:r w:rsidR="0058288C">
          <w:rPr>
            <w:noProof/>
            <w:webHidden/>
          </w:rPr>
          <w:fldChar w:fldCharType="separate"/>
        </w:r>
        <w:r w:rsidR="0058288C">
          <w:rPr>
            <w:noProof/>
            <w:webHidden/>
          </w:rPr>
          <w:t>31</w:t>
        </w:r>
        <w:r w:rsidR="0058288C">
          <w:rPr>
            <w:noProof/>
            <w:webHidden/>
          </w:rPr>
          <w:fldChar w:fldCharType="end"/>
        </w:r>
      </w:hyperlink>
    </w:p>
    <w:p w14:paraId="40C5CE2A" w14:textId="24D24C04" w:rsidR="0058288C" w:rsidRDefault="00613C5F">
      <w:pPr>
        <w:pStyle w:val="TOC5"/>
        <w:rPr>
          <w:rFonts w:asciiTheme="minorHAnsi" w:eastAsiaTheme="minorEastAsia" w:hAnsiTheme="minorHAnsi" w:cstheme="minorBidi"/>
          <w:noProof/>
          <w:sz w:val="22"/>
          <w:szCs w:val="22"/>
          <w:lang w:val="en-US"/>
        </w:rPr>
      </w:pPr>
      <w:hyperlink w:anchor="_Toc95924938" w:history="1">
        <w:r w:rsidR="0058288C" w:rsidRPr="001A38AD">
          <w:rPr>
            <w:rStyle w:val="Hyperlink"/>
            <w:noProof/>
          </w:rPr>
          <w:t>9.1</w:t>
        </w:r>
        <w:r w:rsidR="0058288C">
          <w:rPr>
            <w:rFonts w:asciiTheme="minorHAnsi" w:eastAsiaTheme="minorEastAsia" w:hAnsiTheme="minorHAnsi" w:cstheme="minorBidi"/>
            <w:noProof/>
            <w:sz w:val="22"/>
            <w:szCs w:val="22"/>
            <w:lang w:val="en-US"/>
          </w:rPr>
          <w:tab/>
        </w:r>
        <w:r w:rsidR="0058288C" w:rsidRPr="001A38AD">
          <w:rPr>
            <w:rStyle w:val="Hyperlink"/>
            <w:noProof/>
          </w:rPr>
          <w:t>Асоциирани партньори</w:t>
        </w:r>
        <w:r w:rsidR="0058288C">
          <w:rPr>
            <w:noProof/>
            <w:webHidden/>
          </w:rPr>
          <w:tab/>
        </w:r>
        <w:r w:rsidR="0058288C">
          <w:rPr>
            <w:noProof/>
            <w:webHidden/>
          </w:rPr>
          <w:fldChar w:fldCharType="begin"/>
        </w:r>
        <w:r w:rsidR="0058288C">
          <w:rPr>
            <w:noProof/>
            <w:webHidden/>
          </w:rPr>
          <w:instrText xml:space="preserve"> PAGEREF _Toc95924938 \h </w:instrText>
        </w:r>
        <w:r w:rsidR="0058288C">
          <w:rPr>
            <w:noProof/>
            <w:webHidden/>
          </w:rPr>
        </w:r>
        <w:r w:rsidR="0058288C">
          <w:rPr>
            <w:noProof/>
            <w:webHidden/>
          </w:rPr>
          <w:fldChar w:fldCharType="separate"/>
        </w:r>
        <w:r w:rsidR="0058288C">
          <w:rPr>
            <w:noProof/>
            <w:webHidden/>
          </w:rPr>
          <w:t>31</w:t>
        </w:r>
        <w:r w:rsidR="0058288C">
          <w:rPr>
            <w:noProof/>
            <w:webHidden/>
          </w:rPr>
          <w:fldChar w:fldCharType="end"/>
        </w:r>
      </w:hyperlink>
    </w:p>
    <w:p w14:paraId="7F830296" w14:textId="3B8ABE1C" w:rsidR="0058288C" w:rsidRDefault="00613C5F">
      <w:pPr>
        <w:pStyle w:val="TOC5"/>
        <w:rPr>
          <w:rFonts w:asciiTheme="minorHAnsi" w:eastAsiaTheme="minorEastAsia" w:hAnsiTheme="minorHAnsi" w:cstheme="minorBidi"/>
          <w:noProof/>
          <w:sz w:val="22"/>
          <w:szCs w:val="22"/>
          <w:lang w:val="en-US"/>
        </w:rPr>
      </w:pPr>
      <w:hyperlink w:anchor="_Toc95924939" w:history="1">
        <w:r w:rsidR="0058288C" w:rsidRPr="001A38AD">
          <w:rPr>
            <w:rStyle w:val="Hyperlink"/>
            <w:noProof/>
          </w:rPr>
          <w:t>9.2</w:t>
        </w:r>
        <w:r w:rsidR="0058288C">
          <w:rPr>
            <w:rFonts w:asciiTheme="minorHAnsi" w:eastAsiaTheme="minorEastAsia" w:hAnsiTheme="minorHAnsi" w:cstheme="minorBidi"/>
            <w:noProof/>
            <w:sz w:val="22"/>
            <w:szCs w:val="22"/>
            <w:lang w:val="en-US"/>
          </w:rPr>
          <w:tab/>
        </w:r>
        <w:r w:rsidR="0058288C" w:rsidRPr="001A38AD">
          <w:rPr>
            <w:rStyle w:val="Hyperlink"/>
            <w:noProof/>
          </w:rPr>
          <w:t>Трети страни, правещи вноски в натура за дейността</w:t>
        </w:r>
        <w:r w:rsidR="0058288C">
          <w:rPr>
            <w:noProof/>
            <w:webHidden/>
          </w:rPr>
          <w:tab/>
        </w:r>
        <w:r w:rsidR="0058288C">
          <w:rPr>
            <w:noProof/>
            <w:webHidden/>
          </w:rPr>
          <w:fldChar w:fldCharType="begin"/>
        </w:r>
        <w:r w:rsidR="0058288C">
          <w:rPr>
            <w:noProof/>
            <w:webHidden/>
          </w:rPr>
          <w:instrText xml:space="preserve"> PAGEREF _Toc95924939 \h </w:instrText>
        </w:r>
        <w:r w:rsidR="0058288C">
          <w:rPr>
            <w:noProof/>
            <w:webHidden/>
          </w:rPr>
        </w:r>
        <w:r w:rsidR="0058288C">
          <w:rPr>
            <w:noProof/>
            <w:webHidden/>
          </w:rPr>
          <w:fldChar w:fldCharType="separate"/>
        </w:r>
        <w:r w:rsidR="0058288C">
          <w:rPr>
            <w:noProof/>
            <w:webHidden/>
          </w:rPr>
          <w:t>31</w:t>
        </w:r>
        <w:r w:rsidR="0058288C">
          <w:rPr>
            <w:noProof/>
            <w:webHidden/>
          </w:rPr>
          <w:fldChar w:fldCharType="end"/>
        </w:r>
      </w:hyperlink>
    </w:p>
    <w:p w14:paraId="600732D2" w14:textId="01AA3B27" w:rsidR="0058288C" w:rsidRDefault="00613C5F">
      <w:pPr>
        <w:pStyle w:val="TOC5"/>
        <w:rPr>
          <w:rFonts w:asciiTheme="minorHAnsi" w:eastAsiaTheme="minorEastAsia" w:hAnsiTheme="minorHAnsi" w:cstheme="minorBidi"/>
          <w:noProof/>
          <w:sz w:val="22"/>
          <w:szCs w:val="22"/>
          <w:lang w:val="en-US"/>
        </w:rPr>
      </w:pPr>
      <w:hyperlink w:anchor="_Toc95924940" w:history="1">
        <w:r w:rsidR="0058288C" w:rsidRPr="001A38AD">
          <w:rPr>
            <w:rStyle w:val="Hyperlink"/>
            <w:noProof/>
          </w:rPr>
          <w:t>9.3</w:t>
        </w:r>
        <w:r w:rsidR="0058288C">
          <w:rPr>
            <w:rFonts w:asciiTheme="minorHAnsi" w:eastAsiaTheme="minorEastAsia" w:hAnsiTheme="minorHAnsi" w:cstheme="minorBidi"/>
            <w:noProof/>
            <w:sz w:val="22"/>
            <w:szCs w:val="22"/>
            <w:lang w:val="en-US"/>
          </w:rPr>
          <w:tab/>
        </w:r>
        <w:r w:rsidR="0058288C" w:rsidRPr="001A38AD">
          <w:rPr>
            <w:rStyle w:val="Hyperlink"/>
            <w:noProof/>
          </w:rPr>
          <w:t>Подизпълнители</w:t>
        </w:r>
        <w:r w:rsidR="0058288C">
          <w:rPr>
            <w:noProof/>
            <w:webHidden/>
          </w:rPr>
          <w:tab/>
        </w:r>
        <w:r w:rsidR="0058288C">
          <w:rPr>
            <w:noProof/>
            <w:webHidden/>
          </w:rPr>
          <w:fldChar w:fldCharType="begin"/>
        </w:r>
        <w:r w:rsidR="0058288C">
          <w:rPr>
            <w:noProof/>
            <w:webHidden/>
          </w:rPr>
          <w:instrText xml:space="preserve"> PAGEREF _Toc95924940 \h </w:instrText>
        </w:r>
        <w:r w:rsidR="0058288C">
          <w:rPr>
            <w:noProof/>
            <w:webHidden/>
          </w:rPr>
        </w:r>
        <w:r w:rsidR="0058288C">
          <w:rPr>
            <w:noProof/>
            <w:webHidden/>
          </w:rPr>
          <w:fldChar w:fldCharType="separate"/>
        </w:r>
        <w:r w:rsidR="0058288C">
          <w:rPr>
            <w:noProof/>
            <w:webHidden/>
          </w:rPr>
          <w:t>31</w:t>
        </w:r>
        <w:r w:rsidR="0058288C">
          <w:rPr>
            <w:noProof/>
            <w:webHidden/>
          </w:rPr>
          <w:fldChar w:fldCharType="end"/>
        </w:r>
      </w:hyperlink>
    </w:p>
    <w:p w14:paraId="0F3585B9" w14:textId="04E4269F" w:rsidR="0058288C" w:rsidRDefault="00613C5F">
      <w:pPr>
        <w:pStyle w:val="TOC5"/>
        <w:rPr>
          <w:rFonts w:asciiTheme="minorHAnsi" w:eastAsiaTheme="minorEastAsia" w:hAnsiTheme="minorHAnsi" w:cstheme="minorBidi"/>
          <w:noProof/>
          <w:sz w:val="22"/>
          <w:szCs w:val="22"/>
          <w:lang w:val="en-US"/>
        </w:rPr>
      </w:pPr>
      <w:hyperlink w:anchor="_Toc95924941" w:history="1">
        <w:r w:rsidR="0058288C" w:rsidRPr="001A38AD">
          <w:rPr>
            <w:rStyle w:val="Hyperlink"/>
            <w:noProof/>
          </w:rPr>
          <w:t>9.4</w:t>
        </w:r>
        <w:r w:rsidR="0058288C">
          <w:rPr>
            <w:rFonts w:asciiTheme="minorHAnsi" w:eastAsiaTheme="minorEastAsia" w:hAnsiTheme="minorHAnsi" w:cstheme="minorBidi"/>
            <w:noProof/>
            <w:sz w:val="22"/>
            <w:szCs w:val="22"/>
            <w:lang w:val="en-US"/>
          </w:rPr>
          <w:tab/>
        </w:r>
        <w:r w:rsidR="0058288C" w:rsidRPr="001A38AD">
          <w:rPr>
            <w:rStyle w:val="Hyperlink"/>
            <w:noProof/>
          </w:rPr>
          <w:t>Получатели на финансова помощ за трети страни</w:t>
        </w:r>
        <w:r w:rsidR="0058288C">
          <w:rPr>
            <w:noProof/>
            <w:webHidden/>
          </w:rPr>
          <w:tab/>
        </w:r>
        <w:r w:rsidR="0058288C">
          <w:rPr>
            <w:noProof/>
            <w:webHidden/>
          </w:rPr>
          <w:fldChar w:fldCharType="begin"/>
        </w:r>
        <w:r w:rsidR="0058288C">
          <w:rPr>
            <w:noProof/>
            <w:webHidden/>
          </w:rPr>
          <w:instrText xml:space="preserve"> PAGEREF _Toc95924941 \h </w:instrText>
        </w:r>
        <w:r w:rsidR="0058288C">
          <w:rPr>
            <w:noProof/>
            <w:webHidden/>
          </w:rPr>
        </w:r>
        <w:r w:rsidR="0058288C">
          <w:rPr>
            <w:noProof/>
            <w:webHidden/>
          </w:rPr>
          <w:fldChar w:fldCharType="separate"/>
        </w:r>
        <w:r w:rsidR="0058288C">
          <w:rPr>
            <w:noProof/>
            <w:webHidden/>
          </w:rPr>
          <w:t>32</w:t>
        </w:r>
        <w:r w:rsidR="0058288C">
          <w:rPr>
            <w:noProof/>
            <w:webHidden/>
          </w:rPr>
          <w:fldChar w:fldCharType="end"/>
        </w:r>
      </w:hyperlink>
    </w:p>
    <w:p w14:paraId="1357BF1C" w14:textId="68D71AC0" w:rsidR="0058288C" w:rsidRDefault="00613C5F">
      <w:pPr>
        <w:pStyle w:val="TOC4"/>
        <w:rPr>
          <w:rFonts w:asciiTheme="minorHAnsi" w:eastAsiaTheme="minorEastAsia" w:hAnsiTheme="minorHAnsi" w:cstheme="minorBidi"/>
          <w:noProof/>
          <w:sz w:val="22"/>
          <w:szCs w:val="22"/>
          <w:lang w:val="en-US"/>
        </w:rPr>
      </w:pPr>
      <w:hyperlink w:anchor="_Toc95924942" w:history="1">
        <w:r w:rsidR="0058288C" w:rsidRPr="001A38AD">
          <w:rPr>
            <w:rStyle w:val="Hyperlink"/>
            <w:noProof/>
            <w:shd w:val="clear" w:color="auto" w:fill="CCFFFF"/>
          </w:rPr>
          <w:t>ЧЛЕН 10 — УЧАСТНИЦИ СЪС СПЕЦИАЛЕН СТАТУТ</w:t>
        </w:r>
        <w:r w:rsidR="0058288C">
          <w:rPr>
            <w:noProof/>
            <w:webHidden/>
          </w:rPr>
          <w:tab/>
        </w:r>
        <w:r w:rsidR="0058288C">
          <w:rPr>
            <w:noProof/>
            <w:webHidden/>
          </w:rPr>
          <w:fldChar w:fldCharType="begin"/>
        </w:r>
        <w:r w:rsidR="0058288C">
          <w:rPr>
            <w:noProof/>
            <w:webHidden/>
          </w:rPr>
          <w:instrText xml:space="preserve"> PAGEREF _Toc95924942 \h </w:instrText>
        </w:r>
        <w:r w:rsidR="0058288C">
          <w:rPr>
            <w:noProof/>
            <w:webHidden/>
          </w:rPr>
        </w:r>
        <w:r w:rsidR="0058288C">
          <w:rPr>
            <w:noProof/>
            <w:webHidden/>
          </w:rPr>
          <w:fldChar w:fldCharType="separate"/>
        </w:r>
        <w:r w:rsidR="0058288C">
          <w:rPr>
            <w:noProof/>
            <w:webHidden/>
          </w:rPr>
          <w:t>32</w:t>
        </w:r>
        <w:r w:rsidR="0058288C">
          <w:rPr>
            <w:noProof/>
            <w:webHidden/>
          </w:rPr>
          <w:fldChar w:fldCharType="end"/>
        </w:r>
      </w:hyperlink>
    </w:p>
    <w:p w14:paraId="284B51CA" w14:textId="5E1E4D8B" w:rsidR="0058288C" w:rsidRDefault="00613C5F">
      <w:pPr>
        <w:pStyle w:val="TOC2"/>
        <w:rPr>
          <w:rFonts w:asciiTheme="minorHAnsi" w:eastAsiaTheme="minorEastAsia" w:hAnsiTheme="minorHAnsi" w:cstheme="minorBidi"/>
          <w:b w:val="0"/>
          <w:noProof/>
          <w:sz w:val="22"/>
          <w:szCs w:val="22"/>
          <w:lang w:val="en-US"/>
        </w:rPr>
      </w:pPr>
      <w:hyperlink w:anchor="_Toc95924943" w:history="1">
        <w:r w:rsidR="0058288C" w:rsidRPr="001A38AD">
          <w:rPr>
            <w:rStyle w:val="Hyperlink"/>
            <w:noProof/>
          </w:rPr>
          <w:t>РАЗДЕЛ 2</w:t>
        </w:r>
        <w:r w:rsidR="0058288C">
          <w:rPr>
            <w:rFonts w:asciiTheme="minorHAnsi" w:eastAsiaTheme="minorEastAsia" w:hAnsiTheme="minorHAnsi" w:cstheme="minorBidi"/>
            <w:b w:val="0"/>
            <w:noProof/>
            <w:sz w:val="22"/>
            <w:szCs w:val="22"/>
            <w:lang w:val="en-US"/>
          </w:rPr>
          <w:tab/>
        </w:r>
        <w:r w:rsidR="0058288C" w:rsidRPr="001A38AD">
          <w:rPr>
            <w:rStyle w:val="Hyperlink"/>
            <w:noProof/>
          </w:rPr>
          <w:t>ПРАВИЛА ЗА ИЗВЪРШВАНЕ НА ДЕЙНОСТТА</w:t>
        </w:r>
        <w:r w:rsidR="0058288C">
          <w:rPr>
            <w:noProof/>
            <w:webHidden/>
          </w:rPr>
          <w:tab/>
        </w:r>
        <w:r w:rsidR="0058288C">
          <w:rPr>
            <w:noProof/>
            <w:webHidden/>
          </w:rPr>
          <w:fldChar w:fldCharType="begin"/>
        </w:r>
        <w:r w:rsidR="0058288C">
          <w:rPr>
            <w:noProof/>
            <w:webHidden/>
          </w:rPr>
          <w:instrText xml:space="preserve"> PAGEREF _Toc95924943 \h </w:instrText>
        </w:r>
        <w:r w:rsidR="0058288C">
          <w:rPr>
            <w:noProof/>
            <w:webHidden/>
          </w:rPr>
        </w:r>
        <w:r w:rsidR="0058288C">
          <w:rPr>
            <w:noProof/>
            <w:webHidden/>
          </w:rPr>
          <w:fldChar w:fldCharType="separate"/>
        </w:r>
        <w:r w:rsidR="0058288C">
          <w:rPr>
            <w:noProof/>
            <w:webHidden/>
          </w:rPr>
          <w:t>32</w:t>
        </w:r>
        <w:r w:rsidR="0058288C">
          <w:rPr>
            <w:noProof/>
            <w:webHidden/>
          </w:rPr>
          <w:fldChar w:fldCharType="end"/>
        </w:r>
      </w:hyperlink>
    </w:p>
    <w:p w14:paraId="6C8D8A32" w14:textId="2EE4E760" w:rsidR="0058288C" w:rsidRDefault="00613C5F">
      <w:pPr>
        <w:pStyle w:val="TOC4"/>
        <w:rPr>
          <w:rFonts w:asciiTheme="minorHAnsi" w:eastAsiaTheme="minorEastAsia" w:hAnsiTheme="minorHAnsi" w:cstheme="minorBidi"/>
          <w:noProof/>
          <w:sz w:val="22"/>
          <w:szCs w:val="22"/>
          <w:lang w:val="en-US"/>
        </w:rPr>
      </w:pPr>
      <w:hyperlink w:anchor="_Toc95924944" w:history="1">
        <w:r w:rsidR="0058288C" w:rsidRPr="001A38AD">
          <w:rPr>
            <w:rStyle w:val="Hyperlink"/>
            <w:noProof/>
          </w:rPr>
          <w:t>ЧЛЕН 11 — НАДЛЕЖНО ИЗПЪЛНЕНИЕ НА ДЕЙНОСТТА</w:t>
        </w:r>
        <w:r w:rsidR="0058288C">
          <w:rPr>
            <w:noProof/>
            <w:webHidden/>
          </w:rPr>
          <w:tab/>
        </w:r>
        <w:r w:rsidR="0058288C">
          <w:rPr>
            <w:noProof/>
            <w:webHidden/>
          </w:rPr>
          <w:fldChar w:fldCharType="begin"/>
        </w:r>
        <w:r w:rsidR="0058288C">
          <w:rPr>
            <w:noProof/>
            <w:webHidden/>
          </w:rPr>
          <w:instrText xml:space="preserve"> PAGEREF _Toc95924944 \h </w:instrText>
        </w:r>
        <w:r w:rsidR="0058288C">
          <w:rPr>
            <w:noProof/>
            <w:webHidden/>
          </w:rPr>
        </w:r>
        <w:r w:rsidR="0058288C">
          <w:rPr>
            <w:noProof/>
            <w:webHidden/>
          </w:rPr>
          <w:fldChar w:fldCharType="separate"/>
        </w:r>
        <w:r w:rsidR="0058288C">
          <w:rPr>
            <w:noProof/>
            <w:webHidden/>
          </w:rPr>
          <w:t>32</w:t>
        </w:r>
        <w:r w:rsidR="0058288C">
          <w:rPr>
            <w:noProof/>
            <w:webHidden/>
          </w:rPr>
          <w:fldChar w:fldCharType="end"/>
        </w:r>
      </w:hyperlink>
    </w:p>
    <w:p w14:paraId="0CFB9BE0" w14:textId="4CE91E89" w:rsidR="0058288C" w:rsidRDefault="00613C5F">
      <w:pPr>
        <w:pStyle w:val="TOC5"/>
        <w:rPr>
          <w:rFonts w:asciiTheme="minorHAnsi" w:eastAsiaTheme="minorEastAsia" w:hAnsiTheme="minorHAnsi" w:cstheme="minorBidi"/>
          <w:noProof/>
          <w:sz w:val="22"/>
          <w:szCs w:val="22"/>
          <w:lang w:val="en-US"/>
        </w:rPr>
      </w:pPr>
      <w:hyperlink w:anchor="_Toc95924945" w:history="1">
        <w:r w:rsidR="0058288C" w:rsidRPr="001A38AD">
          <w:rPr>
            <w:rStyle w:val="Hyperlink"/>
            <w:noProof/>
          </w:rPr>
          <w:t xml:space="preserve">11.1 </w:t>
        </w:r>
        <w:r w:rsidR="0058288C">
          <w:rPr>
            <w:rFonts w:asciiTheme="minorHAnsi" w:eastAsiaTheme="minorEastAsia" w:hAnsiTheme="minorHAnsi" w:cstheme="minorBidi"/>
            <w:noProof/>
            <w:sz w:val="22"/>
            <w:szCs w:val="22"/>
            <w:lang w:val="en-US"/>
          </w:rPr>
          <w:tab/>
        </w:r>
        <w:r w:rsidR="0058288C" w:rsidRPr="001A38AD">
          <w:rPr>
            <w:rStyle w:val="Hyperlink"/>
            <w:noProof/>
          </w:rPr>
          <w:t>Задължение за надлежно изпълнение на дейността</w:t>
        </w:r>
        <w:r w:rsidR="0058288C">
          <w:rPr>
            <w:noProof/>
            <w:webHidden/>
          </w:rPr>
          <w:tab/>
        </w:r>
        <w:r w:rsidR="0058288C">
          <w:rPr>
            <w:noProof/>
            <w:webHidden/>
          </w:rPr>
          <w:fldChar w:fldCharType="begin"/>
        </w:r>
        <w:r w:rsidR="0058288C">
          <w:rPr>
            <w:noProof/>
            <w:webHidden/>
          </w:rPr>
          <w:instrText xml:space="preserve"> PAGEREF _Toc95924945 \h </w:instrText>
        </w:r>
        <w:r w:rsidR="0058288C">
          <w:rPr>
            <w:noProof/>
            <w:webHidden/>
          </w:rPr>
        </w:r>
        <w:r w:rsidR="0058288C">
          <w:rPr>
            <w:noProof/>
            <w:webHidden/>
          </w:rPr>
          <w:fldChar w:fldCharType="separate"/>
        </w:r>
        <w:r w:rsidR="0058288C">
          <w:rPr>
            <w:noProof/>
            <w:webHidden/>
          </w:rPr>
          <w:t>32</w:t>
        </w:r>
        <w:r w:rsidR="0058288C">
          <w:rPr>
            <w:noProof/>
            <w:webHidden/>
          </w:rPr>
          <w:fldChar w:fldCharType="end"/>
        </w:r>
      </w:hyperlink>
    </w:p>
    <w:p w14:paraId="2B978FA8" w14:textId="404FF51E" w:rsidR="0058288C" w:rsidRDefault="00613C5F">
      <w:pPr>
        <w:pStyle w:val="TOC5"/>
        <w:rPr>
          <w:rFonts w:asciiTheme="minorHAnsi" w:eastAsiaTheme="minorEastAsia" w:hAnsiTheme="minorHAnsi" w:cstheme="minorBidi"/>
          <w:noProof/>
          <w:sz w:val="22"/>
          <w:szCs w:val="22"/>
          <w:lang w:val="en-US"/>
        </w:rPr>
      </w:pPr>
      <w:hyperlink w:anchor="_Toc95924946" w:history="1">
        <w:r w:rsidR="0058288C" w:rsidRPr="001A38AD">
          <w:rPr>
            <w:rStyle w:val="Hyperlink"/>
            <w:noProof/>
          </w:rPr>
          <w:t>11.2</w:t>
        </w:r>
        <w:r w:rsidR="0058288C">
          <w:rPr>
            <w:rFonts w:asciiTheme="minorHAnsi" w:eastAsiaTheme="minorEastAsia" w:hAnsiTheme="minorHAnsi" w:cstheme="minorBidi"/>
            <w:noProof/>
            <w:sz w:val="22"/>
            <w:szCs w:val="22"/>
            <w:lang w:val="en-US"/>
          </w:rPr>
          <w:tab/>
        </w:r>
        <w:r w:rsidR="0058288C" w:rsidRPr="001A38AD">
          <w:rPr>
            <w:rStyle w:val="Hyperlink"/>
            <w:noProof/>
          </w:rPr>
          <w:t>Последствия при неизпълнение</w:t>
        </w:r>
        <w:r w:rsidR="0058288C">
          <w:rPr>
            <w:noProof/>
            <w:webHidden/>
          </w:rPr>
          <w:tab/>
        </w:r>
        <w:r w:rsidR="0058288C">
          <w:rPr>
            <w:noProof/>
            <w:webHidden/>
          </w:rPr>
          <w:fldChar w:fldCharType="begin"/>
        </w:r>
        <w:r w:rsidR="0058288C">
          <w:rPr>
            <w:noProof/>
            <w:webHidden/>
          </w:rPr>
          <w:instrText xml:space="preserve"> PAGEREF _Toc95924946 \h </w:instrText>
        </w:r>
        <w:r w:rsidR="0058288C">
          <w:rPr>
            <w:noProof/>
            <w:webHidden/>
          </w:rPr>
        </w:r>
        <w:r w:rsidR="0058288C">
          <w:rPr>
            <w:noProof/>
            <w:webHidden/>
          </w:rPr>
          <w:fldChar w:fldCharType="separate"/>
        </w:r>
        <w:r w:rsidR="0058288C">
          <w:rPr>
            <w:noProof/>
            <w:webHidden/>
          </w:rPr>
          <w:t>32</w:t>
        </w:r>
        <w:r w:rsidR="0058288C">
          <w:rPr>
            <w:noProof/>
            <w:webHidden/>
          </w:rPr>
          <w:fldChar w:fldCharType="end"/>
        </w:r>
      </w:hyperlink>
    </w:p>
    <w:p w14:paraId="706EEB1B" w14:textId="699A6BF8" w:rsidR="0058288C" w:rsidRDefault="00613C5F">
      <w:pPr>
        <w:pStyle w:val="TOC4"/>
        <w:rPr>
          <w:rFonts w:asciiTheme="minorHAnsi" w:eastAsiaTheme="minorEastAsia" w:hAnsiTheme="minorHAnsi" w:cstheme="minorBidi"/>
          <w:noProof/>
          <w:sz w:val="22"/>
          <w:szCs w:val="22"/>
          <w:lang w:val="en-US"/>
        </w:rPr>
      </w:pPr>
      <w:hyperlink w:anchor="_Toc95924947" w:history="1">
        <w:r w:rsidR="0058288C" w:rsidRPr="001A38AD">
          <w:rPr>
            <w:rStyle w:val="Hyperlink"/>
            <w:noProof/>
          </w:rPr>
          <w:t>ЧЛЕН 12 — КОНФЛИКТ НА ИНТЕРЕСИ</w:t>
        </w:r>
        <w:r w:rsidR="0058288C">
          <w:rPr>
            <w:noProof/>
            <w:webHidden/>
          </w:rPr>
          <w:tab/>
        </w:r>
        <w:r w:rsidR="0058288C">
          <w:rPr>
            <w:noProof/>
            <w:webHidden/>
          </w:rPr>
          <w:fldChar w:fldCharType="begin"/>
        </w:r>
        <w:r w:rsidR="0058288C">
          <w:rPr>
            <w:noProof/>
            <w:webHidden/>
          </w:rPr>
          <w:instrText xml:space="preserve"> PAGEREF _Toc95924947 \h </w:instrText>
        </w:r>
        <w:r w:rsidR="0058288C">
          <w:rPr>
            <w:noProof/>
            <w:webHidden/>
          </w:rPr>
        </w:r>
        <w:r w:rsidR="0058288C">
          <w:rPr>
            <w:noProof/>
            <w:webHidden/>
          </w:rPr>
          <w:fldChar w:fldCharType="separate"/>
        </w:r>
        <w:r w:rsidR="0058288C">
          <w:rPr>
            <w:noProof/>
            <w:webHidden/>
          </w:rPr>
          <w:t>33</w:t>
        </w:r>
        <w:r w:rsidR="0058288C">
          <w:rPr>
            <w:noProof/>
            <w:webHidden/>
          </w:rPr>
          <w:fldChar w:fldCharType="end"/>
        </w:r>
      </w:hyperlink>
    </w:p>
    <w:p w14:paraId="6A3E6B29" w14:textId="7C342381" w:rsidR="0058288C" w:rsidRDefault="00613C5F">
      <w:pPr>
        <w:pStyle w:val="TOC5"/>
        <w:rPr>
          <w:rFonts w:asciiTheme="minorHAnsi" w:eastAsiaTheme="minorEastAsia" w:hAnsiTheme="minorHAnsi" w:cstheme="minorBidi"/>
          <w:noProof/>
          <w:sz w:val="22"/>
          <w:szCs w:val="22"/>
          <w:lang w:val="en-US"/>
        </w:rPr>
      </w:pPr>
      <w:hyperlink w:anchor="_Toc95924948" w:history="1">
        <w:r w:rsidR="0058288C" w:rsidRPr="001A38AD">
          <w:rPr>
            <w:rStyle w:val="Hyperlink"/>
            <w:noProof/>
          </w:rPr>
          <w:t>12.1</w:t>
        </w:r>
        <w:r w:rsidR="0058288C">
          <w:rPr>
            <w:rFonts w:asciiTheme="minorHAnsi" w:eastAsiaTheme="minorEastAsia" w:hAnsiTheme="minorHAnsi" w:cstheme="minorBidi"/>
            <w:noProof/>
            <w:sz w:val="22"/>
            <w:szCs w:val="22"/>
            <w:lang w:val="en-US"/>
          </w:rPr>
          <w:tab/>
        </w:r>
        <w:r w:rsidR="0058288C" w:rsidRPr="001A38AD">
          <w:rPr>
            <w:rStyle w:val="Hyperlink"/>
            <w:noProof/>
          </w:rPr>
          <w:t>Конфликт на интереси</w:t>
        </w:r>
        <w:r w:rsidR="0058288C">
          <w:rPr>
            <w:noProof/>
            <w:webHidden/>
          </w:rPr>
          <w:tab/>
        </w:r>
        <w:r w:rsidR="0058288C">
          <w:rPr>
            <w:noProof/>
            <w:webHidden/>
          </w:rPr>
          <w:fldChar w:fldCharType="begin"/>
        </w:r>
        <w:r w:rsidR="0058288C">
          <w:rPr>
            <w:noProof/>
            <w:webHidden/>
          </w:rPr>
          <w:instrText xml:space="preserve"> PAGEREF _Toc95924948 \h </w:instrText>
        </w:r>
        <w:r w:rsidR="0058288C">
          <w:rPr>
            <w:noProof/>
            <w:webHidden/>
          </w:rPr>
        </w:r>
        <w:r w:rsidR="0058288C">
          <w:rPr>
            <w:noProof/>
            <w:webHidden/>
          </w:rPr>
          <w:fldChar w:fldCharType="separate"/>
        </w:r>
        <w:r w:rsidR="0058288C">
          <w:rPr>
            <w:noProof/>
            <w:webHidden/>
          </w:rPr>
          <w:t>33</w:t>
        </w:r>
        <w:r w:rsidR="0058288C">
          <w:rPr>
            <w:noProof/>
            <w:webHidden/>
          </w:rPr>
          <w:fldChar w:fldCharType="end"/>
        </w:r>
      </w:hyperlink>
    </w:p>
    <w:p w14:paraId="77A1E393" w14:textId="3722370F" w:rsidR="0058288C" w:rsidRDefault="00613C5F">
      <w:pPr>
        <w:pStyle w:val="TOC5"/>
        <w:rPr>
          <w:rFonts w:asciiTheme="minorHAnsi" w:eastAsiaTheme="minorEastAsia" w:hAnsiTheme="minorHAnsi" w:cstheme="minorBidi"/>
          <w:noProof/>
          <w:sz w:val="22"/>
          <w:szCs w:val="22"/>
          <w:lang w:val="en-US"/>
        </w:rPr>
      </w:pPr>
      <w:hyperlink w:anchor="_Toc95924949" w:history="1">
        <w:r w:rsidR="0058288C" w:rsidRPr="001A38AD">
          <w:rPr>
            <w:rStyle w:val="Hyperlink"/>
            <w:noProof/>
          </w:rPr>
          <w:t>12.2</w:t>
        </w:r>
        <w:r w:rsidR="0058288C">
          <w:rPr>
            <w:rFonts w:asciiTheme="minorHAnsi" w:eastAsiaTheme="minorEastAsia" w:hAnsiTheme="minorHAnsi" w:cstheme="minorBidi"/>
            <w:noProof/>
            <w:sz w:val="22"/>
            <w:szCs w:val="22"/>
            <w:lang w:val="en-US"/>
          </w:rPr>
          <w:tab/>
        </w:r>
        <w:r w:rsidR="0058288C" w:rsidRPr="001A38AD">
          <w:rPr>
            <w:rStyle w:val="Hyperlink"/>
            <w:noProof/>
          </w:rPr>
          <w:t>Последствия при неизпълнение</w:t>
        </w:r>
        <w:r w:rsidR="0058288C">
          <w:rPr>
            <w:noProof/>
            <w:webHidden/>
          </w:rPr>
          <w:tab/>
        </w:r>
        <w:r w:rsidR="0058288C">
          <w:rPr>
            <w:noProof/>
            <w:webHidden/>
          </w:rPr>
          <w:fldChar w:fldCharType="begin"/>
        </w:r>
        <w:r w:rsidR="0058288C">
          <w:rPr>
            <w:noProof/>
            <w:webHidden/>
          </w:rPr>
          <w:instrText xml:space="preserve"> PAGEREF _Toc95924949 \h </w:instrText>
        </w:r>
        <w:r w:rsidR="0058288C">
          <w:rPr>
            <w:noProof/>
            <w:webHidden/>
          </w:rPr>
        </w:r>
        <w:r w:rsidR="0058288C">
          <w:rPr>
            <w:noProof/>
            <w:webHidden/>
          </w:rPr>
          <w:fldChar w:fldCharType="separate"/>
        </w:r>
        <w:r w:rsidR="0058288C">
          <w:rPr>
            <w:noProof/>
            <w:webHidden/>
          </w:rPr>
          <w:t>33</w:t>
        </w:r>
        <w:r w:rsidR="0058288C">
          <w:rPr>
            <w:noProof/>
            <w:webHidden/>
          </w:rPr>
          <w:fldChar w:fldCharType="end"/>
        </w:r>
      </w:hyperlink>
    </w:p>
    <w:p w14:paraId="18A47CE2" w14:textId="3BDAAD6A" w:rsidR="0058288C" w:rsidRDefault="00613C5F">
      <w:pPr>
        <w:pStyle w:val="TOC4"/>
        <w:rPr>
          <w:rFonts w:asciiTheme="minorHAnsi" w:eastAsiaTheme="minorEastAsia" w:hAnsiTheme="minorHAnsi" w:cstheme="minorBidi"/>
          <w:noProof/>
          <w:sz w:val="22"/>
          <w:szCs w:val="22"/>
          <w:lang w:val="en-US"/>
        </w:rPr>
      </w:pPr>
      <w:hyperlink w:anchor="_Toc95924950" w:history="1">
        <w:r w:rsidR="0058288C" w:rsidRPr="001A38AD">
          <w:rPr>
            <w:rStyle w:val="Hyperlink"/>
            <w:noProof/>
          </w:rPr>
          <w:t>ЧЛЕН 13 — ПОВЕРИТЕЛНОСТ И СИГУРНОСТ</w:t>
        </w:r>
        <w:r w:rsidR="0058288C">
          <w:rPr>
            <w:noProof/>
            <w:webHidden/>
          </w:rPr>
          <w:tab/>
        </w:r>
        <w:r w:rsidR="0058288C">
          <w:rPr>
            <w:noProof/>
            <w:webHidden/>
          </w:rPr>
          <w:fldChar w:fldCharType="begin"/>
        </w:r>
        <w:r w:rsidR="0058288C">
          <w:rPr>
            <w:noProof/>
            <w:webHidden/>
          </w:rPr>
          <w:instrText xml:space="preserve"> PAGEREF _Toc95924950 \h </w:instrText>
        </w:r>
        <w:r w:rsidR="0058288C">
          <w:rPr>
            <w:noProof/>
            <w:webHidden/>
          </w:rPr>
        </w:r>
        <w:r w:rsidR="0058288C">
          <w:rPr>
            <w:noProof/>
            <w:webHidden/>
          </w:rPr>
          <w:fldChar w:fldCharType="separate"/>
        </w:r>
        <w:r w:rsidR="0058288C">
          <w:rPr>
            <w:noProof/>
            <w:webHidden/>
          </w:rPr>
          <w:t>33</w:t>
        </w:r>
        <w:r w:rsidR="0058288C">
          <w:rPr>
            <w:noProof/>
            <w:webHidden/>
          </w:rPr>
          <w:fldChar w:fldCharType="end"/>
        </w:r>
      </w:hyperlink>
    </w:p>
    <w:p w14:paraId="7957B4F4" w14:textId="71EB3EF7" w:rsidR="0058288C" w:rsidRDefault="00613C5F">
      <w:pPr>
        <w:pStyle w:val="TOC5"/>
        <w:rPr>
          <w:rFonts w:asciiTheme="minorHAnsi" w:eastAsiaTheme="minorEastAsia" w:hAnsiTheme="minorHAnsi" w:cstheme="minorBidi"/>
          <w:noProof/>
          <w:sz w:val="22"/>
          <w:szCs w:val="22"/>
          <w:lang w:val="en-US"/>
        </w:rPr>
      </w:pPr>
      <w:hyperlink w:anchor="_Toc95924951" w:history="1">
        <w:r w:rsidR="0058288C" w:rsidRPr="001A38AD">
          <w:rPr>
            <w:rStyle w:val="Hyperlink"/>
            <w:noProof/>
          </w:rPr>
          <w:t>13.1</w:t>
        </w:r>
        <w:r w:rsidR="0058288C">
          <w:rPr>
            <w:rFonts w:asciiTheme="minorHAnsi" w:eastAsiaTheme="minorEastAsia" w:hAnsiTheme="minorHAnsi" w:cstheme="minorBidi"/>
            <w:noProof/>
            <w:sz w:val="22"/>
            <w:szCs w:val="22"/>
            <w:lang w:val="en-US"/>
          </w:rPr>
          <w:tab/>
        </w:r>
        <w:r w:rsidR="0058288C" w:rsidRPr="001A38AD">
          <w:rPr>
            <w:rStyle w:val="Hyperlink"/>
            <w:noProof/>
          </w:rPr>
          <w:t>Чувствителна информация</w:t>
        </w:r>
        <w:r w:rsidR="0058288C">
          <w:rPr>
            <w:noProof/>
            <w:webHidden/>
          </w:rPr>
          <w:tab/>
        </w:r>
        <w:r w:rsidR="0058288C">
          <w:rPr>
            <w:noProof/>
            <w:webHidden/>
          </w:rPr>
          <w:fldChar w:fldCharType="begin"/>
        </w:r>
        <w:r w:rsidR="0058288C">
          <w:rPr>
            <w:noProof/>
            <w:webHidden/>
          </w:rPr>
          <w:instrText xml:space="preserve"> PAGEREF _Toc95924951 \h </w:instrText>
        </w:r>
        <w:r w:rsidR="0058288C">
          <w:rPr>
            <w:noProof/>
            <w:webHidden/>
          </w:rPr>
        </w:r>
        <w:r w:rsidR="0058288C">
          <w:rPr>
            <w:noProof/>
            <w:webHidden/>
          </w:rPr>
          <w:fldChar w:fldCharType="separate"/>
        </w:r>
        <w:r w:rsidR="0058288C">
          <w:rPr>
            <w:noProof/>
            <w:webHidden/>
          </w:rPr>
          <w:t>33</w:t>
        </w:r>
        <w:r w:rsidR="0058288C">
          <w:rPr>
            <w:noProof/>
            <w:webHidden/>
          </w:rPr>
          <w:fldChar w:fldCharType="end"/>
        </w:r>
      </w:hyperlink>
    </w:p>
    <w:p w14:paraId="34C5E017" w14:textId="114C7DC2" w:rsidR="0058288C" w:rsidRDefault="00613C5F">
      <w:pPr>
        <w:pStyle w:val="TOC5"/>
        <w:rPr>
          <w:rFonts w:asciiTheme="minorHAnsi" w:eastAsiaTheme="minorEastAsia" w:hAnsiTheme="minorHAnsi" w:cstheme="minorBidi"/>
          <w:noProof/>
          <w:sz w:val="22"/>
          <w:szCs w:val="22"/>
          <w:lang w:val="en-US"/>
        </w:rPr>
      </w:pPr>
      <w:hyperlink w:anchor="_Toc95924952" w:history="1">
        <w:r w:rsidR="0058288C" w:rsidRPr="001A38AD">
          <w:rPr>
            <w:rStyle w:val="Hyperlink"/>
            <w:noProof/>
          </w:rPr>
          <w:t>13.2</w:t>
        </w:r>
        <w:r w:rsidR="0058288C">
          <w:rPr>
            <w:rFonts w:asciiTheme="minorHAnsi" w:eastAsiaTheme="minorEastAsia" w:hAnsiTheme="minorHAnsi" w:cstheme="minorBidi"/>
            <w:noProof/>
            <w:sz w:val="22"/>
            <w:szCs w:val="22"/>
            <w:lang w:val="en-US"/>
          </w:rPr>
          <w:tab/>
        </w:r>
        <w:r w:rsidR="0058288C" w:rsidRPr="001A38AD">
          <w:rPr>
            <w:rStyle w:val="Hyperlink"/>
            <w:noProof/>
          </w:rPr>
          <w:t>Класифицирана информация</w:t>
        </w:r>
        <w:r w:rsidR="0058288C">
          <w:rPr>
            <w:noProof/>
            <w:webHidden/>
          </w:rPr>
          <w:tab/>
        </w:r>
        <w:r w:rsidR="0058288C">
          <w:rPr>
            <w:noProof/>
            <w:webHidden/>
          </w:rPr>
          <w:fldChar w:fldCharType="begin"/>
        </w:r>
        <w:r w:rsidR="0058288C">
          <w:rPr>
            <w:noProof/>
            <w:webHidden/>
          </w:rPr>
          <w:instrText xml:space="preserve"> PAGEREF _Toc95924952 \h </w:instrText>
        </w:r>
        <w:r w:rsidR="0058288C">
          <w:rPr>
            <w:noProof/>
            <w:webHidden/>
          </w:rPr>
        </w:r>
        <w:r w:rsidR="0058288C">
          <w:rPr>
            <w:noProof/>
            <w:webHidden/>
          </w:rPr>
          <w:fldChar w:fldCharType="separate"/>
        </w:r>
        <w:r w:rsidR="0058288C">
          <w:rPr>
            <w:noProof/>
            <w:webHidden/>
          </w:rPr>
          <w:t>34</w:t>
        </w:r>
        <w:r w:rsidR="0058288C">
          <w:rPr>
            <w:noProof/>
            <w:webHidden/>
          </w:rPr>
          <w:fldChar w:fldCharType="end"/>
        </w:r>
      </w:hyperlink>
    </w:p>
    <w:p w14:paraId="2632981E" w14:textId="0C6BC4F4" w:rsidR="0058288C" w:rsidRDefault="00613C5F">
      <w:pPr>
        <w:pStyle w:val="TOC5"/>
        <w:rPr>
          <w:rFonts w:asciiTheme="minorHAnsi" w:eastAsiaTheme="minorEastAsia" w:hAnsiTheme="minorHAnsi" w:cstheme="minorBidi"/>
          <w:noProof/>
          <w:sz w:val="22"/>
          <w:szCs w:val="22"/>
          <w:lang w:val="en-US"/>
        </w:rPr>
      </w:pPr>
      <w:hyperlink w:anchor="_Toc95924953" w:history="1">
        <w:r w:rsidR="0058288C" w:rsidRPr="001A38AD">
          <w:rPr>
            <w:rStyle w:val="Hyperlink"/>
            <w:noProof/>
          </w:rPr>
          <w:t>13.3</w:t>
        </w:r>
        <w:r w:rsidR="0058288C">
          <w:rPr>
            <w:rFonts w:asciiTheme="minorHAnsi" w:eastAsiaTheme="minorEastAsia" w:hAnsiTheme="minorHAnsi" w:cstheme="minorBidi"/>
            <w:noProof/>
            <w:sz w:val="22"/>
            <w:szCs w:val="22"/>
            <w:lang w:val="en-US"/>
          </w:rPr>
          <w:tab/>
        </w:r>
        <w:r w:rsidR="0058288C" w:rsidRPr="001A38AD">
          <w:rPr>
            <w:rStyle w:val="Hyperlink"/>
            <w:noProof/>
          </w:rPr>
          <w:t>Последствия при неизпълнение</w:t>
        </w:r>
        <w:r w:rsidR="0058288C">
          <w:rPr>
            <w:noProof/>
            <w:webHidden/>
          </w:rPr>
          <w:tab/>
        </w:r>
        <w:r w:rsidR="0058288C">
          <w:rPr>
            <w:noProof/>
            <w:webHidden/>
          </w:rPr>
          <w:fldChar w:fldCharType="begin"/>
        </w:r>
        <w:r w:rsidR="0058288C">
          <w:rPr>
            <w:noProof/>
            <w:webHidden/>
          </w:rPr>
          <w:instrText xml:space="preserve"> PAGEREF _Toc95924953 \h </w:instrText>
        </w:r>
        <w:r w:rsidR="0058288C">
          <w:rPr>
            <w:noProof/>
            <w:webHidden/>
          </w:rPr>
        </w:r>
        <w:r w:rsidR="0058288C">
          <w:rPr>
            <w:noProof/>
            <w:webHidden/>
          </w:rPr>
          <w:fldChar w:fldCharType="separate"/>
        </w:r>
        <w:r w:rsidR="0058288C">
          <w:rPr>
            <w:noProof/>
            <w:webHidden/>
          </w:rPr>
          <w:t>34</w:t>
        </w:r>
        <w:r w:rsidR="0058288C">
          <w:rPr>
            <w:noProof/>
            <w:webHidden/>
          </w:rPr>
          <w:fldChar w:fldCharType="end"/>
        </w:r>
      </w:hyperlink>
    </w:p>
    <w:p w14:paraId="7E026E7E" w14:textId="42879A90" w:rsidR="0058288C" w:rsidRDefault="00613C5F">
      <w:pPr>
        <w:pStyle w:val="TOC4"/>
        <w:rPr>
          <w:rFonts w:asciiTheme="minorHAnsi" w:eastAsiaTheme="minorEastAsia" w:hAnsiTheme="minorHAnsi" w:cstheme="minorBidi"/>
          <w:noProof/>
          <w:sz w:val="22"/>
          <w:szCs w:val="22"/>
          <w:lang w:val="en-US"/>
        </w:rPr>
      </w:pPr>
      <w:hyperlink w:anchor="_Toc95924954" w:history="1">
        <w:r w:rsidR="0058288C" w:rsidRPr="001A38AD">
          <w:rPr>
            <w:rStyle w:val="Hyperlink"/>
            <w:noProof/>
          </w:rPr>
          <w:t>ЧЛЕН 14 — ЕТИКА И ЦЕННОСТИ</w:t>
        </w:r>
        <w:r w:rsidR="0058288C">
          <w:rPr>
            <w:noProof/>
            <w:webHidden/>
          </w:rPr>
          <w:tab/>
        </w:r>
        <w:r w:rsidR="0058288C">
          <w:rPr>
            <w:noProof/>
            <w:webHidden/>
          </w:rPr>
          <w:fldChar w:fldCharType="begin"/>
        </w:r>
        <w:r w:rsidR="0058288C">
          <w:rPr>
            <w:noProof/>
            <w:webHidden/>
          </w:rPr>
          <w:instrText xml:space="preserve"> PAGEREF _Toc95924954 \h </w:instrText>
        </w:r>
        <w:r w:rsidR="0058288C">
          <w:rPr>
            <w:noProof/>
            <w:webHidden/>
          </w:rPr>
        </w:r>
        <w:r w:rsidR="0058288C">
          <w:rPr>
            <w:noProof/>
            <w:webHidden/>
          </w:rPr>
          <w:fldChar w:fldCharType="separate"/>
        </w:r>
        <w:r w:rsidR="0058288C">
          <w:rPr>
            <w:noProof/>
            <w:webHidden/>
          </w:rPr>
          <w:t>35</w:t>
        </w:r>
        <w:r w:rsidR="0058288C">
          <w:rPr>
            <w:noProof/>
            <w:webHidden/>
          </w:rPr>
          <w:fldChar w:fldCharType="end"/>
        </w:r>
      </w:hyperlink>
    </w:p>
    <w:p w14:paraId="3E55CF6F" w14:textId="0011F4B5" w:rsidR="0058288C" w:rsidRDefault="00613C5F">
      <w:pPr>
        <w:pStyle w:val="TOC5"/>
        <w:rPr>
          <w:rFonts w:asciiTheme="minorHAnsi" w:eastAsiaTheme="minorEastAsia" w:hAnsiTheme="minorHAnsi" w:cstheme="minorBidi"/>
          <w:noProof/>
          <w:sz w:val="22"/>
          <w:szCs w:val="22"/>
          <w:lang w:val="en-US"/>
        </w:rPr>
      </w:pPr>
      <w:hyperlink w:anchor="_Toc95924955" w:history="1">
        <w:r w:rsidR="0058288C" w:rsidRPr="001A38AD">
          <w:rPr>
            <w:rStyle w:val="Hyperlink"/>
            <w:noProof/>
          </w:rPr>
          <w:t>14.1</w:t>
        </w:r>
        <w:r w:rsidR="0058288C">
          <w:rPr>
            <w:rFonts w:asciiTheme="minorHAnsi" w:eastAsiaTheme="minorEastAsia" w:hAnsiTheme="minorHAnsi" w:cstheme="minorBidi"/>
            <w:noProof/>
            <w:sz w:val="22"/>
            <w:szCs w:val="22"/>
            <w:lang w:val="en-US"/>
          </w:rPr>
          <w:tab/>
        </w:r>
        <w:r w:rsidR="0058288C" w:rsidRPr="001A38AD">
          <w:rPr>
            <w:rStyle w:val="Hyperlink"/>
            <w:noProof/>
          </w:rPr>
          <w:t>Етика</w:t>
        </w:r>
        <w:r w:rsidR="0058288C">
          <w:rPr>
            <w:noProof/>
            <w:webHidden/>
          </w:rPr>
          <w:tab/>
        </w:r>
        <w:r w:rsidR="0058288C">
          <w:rPr>
            <w:noProof/>
            <w:webHidden/>
          </w:rPr>
          <w:fldChar w:fldCharType="begin"/>
        </w:r>
        <w:r w:rsidR="0058288C">
          <w:rPr>
            <w:noProof/>
            <w:webHidden/>
          </w:rPr>
          <w:instrText xml:space="preserve"> PAGEREF _Toc95924955 \h </w:instrText>
        </w:r>
        <w:r w:rsidR="0058288C">
          <w:rPr>
            <w:noProof/>
            <w:webHidden/>
          </w:rPr>
        </w:r>
        <w:r w:rsidR="0058288C">
          <w:rPr>
            <w:noProof/>
            <w:webHidden/>
          </w:rPr>
          <w:fldChar w:fldCharType="separate"/>
        </w:r>
        <w:r w:rsidR="0058288C">
          <w:rPr>
            <w:noProof/>
            <w:webHidden/>
          </w:rPr>
          <w:t>35</w:t>
        </w:r>
        <w:r w:rsidR="0058288C">
          <w:rPr>
            <w:noProof/>
            <w:webHidden/>
          </w:rPr>
          <w:fldChar w:fldCharType="end"/>
        </w:r>
      </w:hyperlink>
    </w:p>
    <w:p w14:paraId="7D03B24F" w14:textId="02948994" w:rsidR="0058288C" w:rsidRDefault="00613C5F">
      <w:pPr>
        <w:pStyle w:val="TOC5"/>
        <w:rPr>
          <w:rFonts w:asciiTheme="minorHAnsi" w:eastAsiaTheme="minorEastAsia" w:hAnsiTheme="minorHAnsi" w:cstheme="minorBidi"/>
          <w:noProof/>
          <w:sz w:val="22"/>
          <w:szCs w:val="22"/>
          <w:lang w:val="en-US"/>
        </w:rPr>
      </w:pPr>
      <w:hyperlink w:anchor="_Toc95924956" w:history="1">
        <w:r w:rsidR="0058288C" w:rsidRPr="001A38AD">
          <w:rPr>
            <w:rStyle w:val="Hyperlink"/>
            <w:noProof/>
          </w:rPr>
          <w:t>14.2</w:t>
        </w:r>
        <w:r w:rsidR="0058288C">
          <w:rPr>
            <w:rFonts w:asciiTheme="minorHAnsi" w:eastAsiaTheme="minorEastAsia" w:hAnsiTheme="minorHAnsi" w:cstheme="minorBidi"/>
            <w:noProof/>
            <w:sz w:val="22"/>
            <w:szCs w:val="22"/>
            <w:lang w:val="en-US"/>
          </w:rPr>
          <w:tab/>
        </w:r>
        <w:r w:rsidR="0058288C" w:rsidRPr="001A38AD">
          <w:rPr>
            <w:rStyle w:val="Hyperlink"/>
            <w:noProof/>
          </w:rPr>
          <w:t>Ценности</w:t>
        </w:r>
        <w:r w:rsidR="0058288C">
          <w:rPr>
            <w:noProof/>
            <w:webHidden/>
          </w:rPr>
          <w:tab/>
        </w:r>
        <w:r w:rsidR="0058288C">
          <w:rPr>
            <w:noProof/>
            <w:webHidden/>
          </w:rPr>
          <w:fldChar w:fldCharType="begin"/>
        </w:r>
        <w:r w:rsidR="0058288C">
          <w:rPr>
            <w:noProof/>
            <w:webHidden/>
          </w:rPr>
          <w:instrText xml:space="preserve"> PAGEREF _Toc95924956 \h </w:instrText>
        </w:r>
        <w:r w:rsidR="0058288C">
          <w:rPr>
            <w:noProof/>
            <w:webHidden/>
          </w:rPr>
        </w:r>
        <w:r w:rsidR="0058288C">
          <w:rPr>
            <w:noProof/>
            <w:webHidden/>
          </w:rPr>
          <w:fldChar w:fldCharType="separate"/>
        </w:r>
        <w:r w:rsidR="0058288C">
          <w:rPr>
            <w:noProof/>
            <w:webHidden/>
          </w:rPr>
          <w:t>35</w:t>
        </w:r>
        <w:r w:rsidR="0058288C">
          <w:rPr>
            <w:noProof/>
            <w:webHidden/>
          </w:rPr>
          <w:fldChar w:fldCharType="end"/>
        </w:r>
      </w:hyperlink>
    </w:p>
    <w:p w14:paraId="11DC6A80" w14:textId="1E48FD7B" w:rsidR="0058288C" w:rsidRDefault="00613C5F">
      <w:pPr>
        <w:pStyle w:val="TOC5"/>
        <w:rPr>
          <w:rFonts w:asciiTheme="minorHAnsi" w:eastAsiaTheme="minorEastAsia" w:hAnsiTheme="minorHAnsi" w:cstheme="minorBidi"/>
          <w:noProof/>
          <w:sz w:val="22"/>
          <w:szCs w:val="22"/>
          <w:lang w:val="en-US"/>
        </w:rPr>
      </w:pPr>
      <w:hyperlink w:anchor="_Toc95924957" w:history="1">
        <w:r w:rsidR="0058288C" w:rsidRPr="001A38AD">
          <w:rPr>
            <w:rStyle w:val="Hyperlink"/>
            <w:noProof/>
          </w:rPr>
          <w:t>14.3</w:t>
        </w:r>
        <w:r w:rsidR="0058288C">
          <w:rPr>
            <w:rFonts w:asciiTheme="minorHAnsi" w:eastAsiaTheme="minorEastAsia" w:hAnsiTheme="minorHAnsi" w:cstheme="minorBidi"/>
            <w:noProof/>
            <w:sz w:val="22"/>
            <w:szCs w:val="22"/>
            <w:lang w:val="en-US"/>
          </w:rPr>
          <w:tab/>
        </w:r>
        <w:r w:rsidR="0058288C" w:rsidRPr="001A38AD">
          <w:rPr>
            <w:rStyle w:val="Hyperlink"/>
            <w:noProof/>
          </w:rPr>
          <w:t>Последствия при неизпълнение</w:t>
        </w:r>
        <w:r w:rsidR="0058288C">
          <w:rPr>
            <w:noProof/>
            <w:webHidden/>
          </w:rPr>
          <w:tab/>
        </w:r>
        <w:r w:rsidR="0058288C">
          <w:rPr>
            <w:noProof/>
            <w:webHidden/>
          </w:rPr>
          <w:fldChar w:fldCharType="begin"/>
        </w:r>
        <w:r w:rsidR="0058288C">
          <w:rPr>
            <w:noProof/>
            <w:webHidden/>
          </w:rPr>
          <w:instrText xml:space="preserve"> PAGEREF _Toc95924957 \h </w:instrText>
        </w:r>
        <w:r w:rsidR="0058288C">
          <w:rPr>
            <w:noProof/>
            <w:webHidden/>
          </w:rPr>
        </w:r>
        <w:r w:rsidR="0058288C">
          <w:rPr>
            <w:noProof/>
            <w:webHidden/>
          </w:rPr>
          <w:fldChar w:fldCharType="separate"/>
        </w:r>
        <w:r w:rsidR="0058288C">
          <w:rPr>
            <w:noProof/>
            <w:webHidden/>
          </w:rPr>
          <w:t>35</w:t>
        </w:r>
        <w:r w:rsidR="0058288C">
          <w:rPr>
            <w:noProof/>
            <w:webHidden/>
          </w:rPr>
          <w:fldChar w:fldCharType="end"/>
        </w:r>
      </w:hyperlink>
    </w:p>
    <w:p w14:paraId="4FEE7642" w14:textId="3F5F6E37" w:rsidR="0058288C" w:rsidRDefault="00613C5F">
      <w:pPr>
        <w:pStyle w:val="TOC4"/>
        <w:rPr>
          <w:rFonts w:asciiTheme="minorHAnsi" w:eastAsiaTheme="minorEastAsia" w:hAnsiTheme="minorHAnsi" w:cstheme="minorBidi"/>
          <w:noProof/>
          <w:sz w:val="22"/>
          <w:szCs w:val="22"/>
          <w:lang w:val="en-US"/>
        </w:rPr>
      </w:pPr>
      <w:hyperlink w:anchor="_Toc95924958" w:history="1">
        <w:r w:rsidR="0058288C" w:rsidRPr="001A38AD">
          <w:rPr>
            <w:rStyle w:val="Hyperlink"/>
            <w:noProof/>
          </w:rPr>
          <w:t>ЧЛЕН 15 — ЗАЩИТА НА ЛИЧНИТЕ ДАННИ</w:t>
        </w:r>
        <w:r w:rsidR="0058288C">
          <w:rPr>
            <w:noProof/>
            <w:webHidden/>
          </w:rPr>
          <w:tab/>
        </w:r>
        <w:r w:rsidR="0058288C">
          <w:rPr>
            <w:noProof/>
            <w:webHidden/>
          </w:rPr>
          <w:fldChar w:fldCharType="begin"/>
        </w:r>
        <w:r w:rsidR="0058288C">
          <w:rPr>
            <w:noProof/>
            <w:webHidden/>
          </w:rPr>
          <w:instrText xml:space="preserve"> PAGEREF _Toc95924958 \h </w:instrText>
        </w:r>
        <w:r w:rsidR="0058288C">
          <w:rPr>
            <w:noProof/>
            <w:webHidden/>
          </w:rPr>
        </w:r>
        <w:r w:rsidR="0058288C">
          <w:rPr>
            <w:noProof/>
            <w:webHidden/>
          </w:rPr>
          <w:fldChar w:fldCharType="separate"/>
        </w:r>
        <w:r w:rsidR="0058288C">
          <w:rPr>
            <w:noProof/>
            <w:webHidden/>
          </w:rPr>
          <w:t>35</w:t>
        </w:r>
        <w:r w:rsidR="0058288C">
          <w:rPr>
            <w:noProof/>
            <w:webHidden/>
          </w:rPr>
          <w:fldChar w:fldCharType="end"/>
        </w:r>
      </w:hyperlink>
    </w:p>
    <w:p w14:paraId="0A3B9FF1" w14:textId="4B349FFB" w:rsidR="0058288C" w:rsidRDefault="00613C5F">
      <w:pPr>
        <w:pStyle w:val="TOC5"/>
        <w:rPr>
          <w:rFonts w:asciiTheme="minorHAnsi" w:eastAsiaTheme="minorEastAsia" w:hAnsiTheme="minorHAnsi" w:cstheme="minorBidi"/>
          <w:noProof/>
          <w:sz w:val="22"/>
          <w:szCs w:val="22"/>
          <w:lang w:val="en-US"/>
        </w:rPr>
      </w:pPr>
      <w:hyperlink w:anchor="_Toc95924959" w:history="1">
        <w:r w:rsidR="0058288C" w:rsidRPr="001A38AD">
          <w:rPr>
            <w:rStyle w:val="Hyperlink"/>
            <w:noProof/>
          </w:rPr>
          <w:t>15.1</w:t>
        </w:r>
        <w:r w:rsidR="0058288C">
          <w:rPr>
            <w:rFonts w:asciiTheme="minorHAnsi" w:eastAsiaTheme="minorEastAsia" w:hAnsiTheme="minorHAnsi" w:cstheme="minorBidi"/>
            <w:noProof/>
            <w:sz w:val="22"/>
            <w:szCs w:val="22"/>
            <w:lang w:val="en-US"/>
          </w:rPr>
          <w:tab/>
        </w:r>
        <w:r w:rsidR="0058288C" w:rsidRPr="001A38AD">
          <w:rPr>
            <w:rStyle w:val="Hyperlink"/>
            <w:noProof/>
          </w:rPr>
          <w:t>Обработване на лични данни от предоставящия орган</w:t>
        </w:r>
        <w:r w:rsidR="0058288C">
          <w:rPr>
            <w:noProof/>
            <w:webHidden/>
          </w:rPr>
          <w:tab/>
        </w:r>
        <w:r w:rsidR="0058288C">
          <w:rPr>
            <w:noProof/>
            <w:webHidden/>
          </w:rPr>
          <w:fldChar w:fldCharType="begin"/>
        </w:r>
        <w:r w:rsidR="0058288C">
          <w:rPr>
            <w:noProof/>
            <w:webHidden/>
          </w:rPr>
          <w:instrText xml:space="preserve"> PAGEREF _Toc95924959 \h </w:instrText>
        </w:r>
        <w:r w:rsidR="0058288C">
          <w:rPr>
            <w:noProof/>
            <w:webHidden/>
          </w:rPr>
        </w:r>
        <w:r w:rsidR="0058288C">
          <w:rPr>
            <w:noProof/>
            <w:webHidden/>
          </w:rPr>
          <w:fldChar w:fldCharType="separate"/>
        </w:r>
        <w:r w:rsidR="0058288C">
          <w:rPr>
            <w:noProof/>
            <w:webHidden/>
          </w:rPr>
          <w:t>35</w:t>
        </w:r>
        <w:r w:rsidR="0058288C">
          <w:rPr>
            <w:noProof/>
            <w:webHidden/>
          </w:rPr>
          <w:fldChar w:fldCharType="end"/>
        </w:r>
      </w:hyperlink>
    </w:p>
    <w:p w14:paraId="2C738B7C" w14:textId="322FD268" w:rsidR="0058288C" w:rsidRDefault="00613C5F">
      <w:pPr>
        <w:pStyle w:val="TOC5"/>
        <w:rPr>
          <w:rFonts w:asciiTheme="minorHAnsi" w:eastAsiaTheme="minorEastAsia" w:hAnsiTheme="minorHAnsi" w:cstheme="minorBidi"/>
          <w:noProof/>
          <w:sz w:val="22"/>
          <w:szCs w:val="22"/>
          <w:lang w:val="en-US"/>
        </w:rPr>
      </w:pPr>
      <w:hyperlink w:anchor="_Toc95924960" w:history="1">
        <w:r w:rsidR="0058288C" w:rsidRPr="001A38AD">
          <w:rPr>
            <w:rStyle w:val="Hyperlink"/>
            <w:noProof/>
          </w:rPr>
          <w:t>15.2</w:t>
        </w:r>
        <w:r w:rsidR="0058288C">
          <w:rPr>
            <w:rFonts w:asciiTheme="minorHAnsi" w:eastAsiaTheme="minorEastAsia" w:hAnsiTheme="minorHAnsi" w:cstheme="minorBidi"/>
            <w:noProof/>
            <w:sz w:val="22"/>
            <w:szCs w:val="22"/>
            <w:lang w:val="en-US"/>
          </w:rPr>
          <w:tab/>
        </w:r>
        <w:r w:rsidR="0058288C" w:rsidRPr="001A38AD">
          <w:rPr>
            <w:rStyle w:val="Hyperlink"/>
            <w:noProof/>
          </w:rPr>
          <w:t>Обработване на лични данни от страна на бенефициерите</w:t>
        </w:r>
        <w:r w:rsidR="0058288C">
          <w:rPr>
            <w:noProof/>
            <w:webHidden/>
          </w:rPr>
          <w:tab/>
        </w:r>
        <w:r w:rsidR="0058288C">
          <w:rPr>
            <w:noProof/>
            <w:webHidden/>
          </w:rPr>
          <w:fldChar w:fldCharType="begin"/>
        </w:r>
        <w:r w:rsidR="0058288C">
          <w:rPr>
            <w:noProof/>
            <w:webHidden/>
          </w:rPr>
          <w:instrText xml:space="preserve"> PAGEREF _Toc95924960 \h </w:instrText>
        </w:r>
        <w:r w:rsidR="0058288C">
          <w:rPr>
            <w:noProof/>
            <w:webHidden/>
          </w:rPr>
        </w:r>
        <w:r w:rsidR="0058288C">
          <w:rPr>
            <w:noProof/>
            <w:webHidden/>
          </w:rPr>
          <w:fldChar w:fldCharType="separate"/>
        </w:r>
        <w:r w:rsidR="0058288C">
          <w:rPr>
            <w:noProof/>
            <w:webHidden/>
          </w:rPr>
          <w:t>35</w:t>
        </w:r>
        <w:r w:rsidR="0058288C">
          <w:rPr>
            <w:noProof/>
            <w:webHidden/>
          </w:rPr>
          <w:fldChar w:fldCharType="end"/>
        </w:r>
      </w:hyperlink>
    </w:p>
    <w:p w14:paraId="67BAF0F5" w14:textId="5DD0A23F" w:rsidR="0058288C" w:rsidRDefault="00613C5F">
      <w:pPr>
        <w:pStyle w:val="TOC5"/>
        <w:rPr>
          <w:rFonts w:asciiTheme="minorHAnsi" w:eastAsiaTheme="minorEastAsia" w:hAnsiTheme="minorHAnsi" w:cstheme="minorBidi"/>
          <w:noProof/>
          <w:sz w:val="22"/>
          <w:szCs w:val="22"/>
          <w:lang w:val="en-US"/>
        </w:rPr>
      </w:pPr>
      <w:hyperlink w:anchor="_Toc95924961" w:history="1">
        <w:r w:rsidR="0058288C" w:rsidRPr="001A38AD">
          <w:rPr>
            <w:rStyle w:val="Hyperlink"/>
            <w:noProof/>
          </w:rPr>
          <w:t>15.3</w:t>
        </w:r>
        <w:r w:rsidR="0058288C">
          <w:rPr>
            <w:rFonts w:asciiTheme="minorHAnsi" w:eastAsiaTheme="minorEastAsia" w:hAnsiTheme="minorHAnsi" w:cstheme="minorBidi"/>
            <w:noProof/>
            <w:sz w:val="22"/>
            <w:szCs w:val="22"/>
            <w:lang w:val="en-US"/>
          </w:rPr>
          <w:tab/>
        </w:r>
        <w:r w:rsidR="0058288C" w:rsidRPr="001A38AD">
          <w:rPr>
            <w:rStyle w:val="Hyperlink"/>
            <w:noProof/>
          </w:rPr>
          <w:t>Последствия при неизпълнение</w:t>
        </w:r>
        <w:r w:rsidR="0058288C">
          <w:rPr>
            <w:noProof/>
            <w:webHidden/>
          </w:rPr>
          <w:tab/>
        </w:r>
        <w:r w:rsidR="0058288C">
          <w:rPr>
            <w:noProof/>
            <w:webHidden/>
          </w:rPr>
          <w:fldChar w:fldCharType="begin"/>
        </w:r>
        <w:r w:rsidR="0058288C">
          <w:rPr>
            <w:noProof/>
            <w:webHidden/>
          </w:rPr>
          <w:instrText xml:space="preserve"> PAGEREF _Toc95924961 \h </w:instrText>
        </w:r>
        <w:r w:rsidR="0058288C">
          <w:rPr>
            <w:noProof/>
            <w:webHidden/>
          </w:rPr>
        </w:r>
        <w:r w:rsidR="0058288C">
          <w:rPr>
            <w:noProof/>
            <w:webHidden/>
          </w:rPr>
          <w:fldChar w:fldCharType="separate"/>
        </w:r>
        <w:r w:rsidR="0058288C">
          <w:rPr>
            <w:noProof/>
            <w:webHidden/>
          </w:rPr>
          <w:t>36</w:t>
        </w:r>
        <w:r w:rsidR="0058288C">
          <w:rPr>
            <w:noProof/>
            <w:webHidden/>
          </w:rPr>
          <w:fldChar w:fldCharType="end"/>
        </w:r>
      </w:hyperlink>
    </w:p>
    <w:p w14:paraId="09BAC9D7" w14:textId="4D11BBD6" w:rsidR="0058288C" w:rsidRDefault="00613C5F">
      <w:pPr>
        <w:pStyle w:val="TOC4"/>
        <w:tabs>
          <w:tab w:val="left" w:pos="2386"/>
        </w:tabs>
        <w:rPr>
          <w:rFonts w:asciiTheme="minorHAnsi" w:eastAsiaTheme="minorEastAsia" w:hAnsiTheme="minorHAnsi" w:cstheme="minorBidi"/>
          <w:noProof/>
          <w:sz w:val="22"/>
          <w:szCs w:val="22"/>
          <w:lang w:val="en-US"/>
        </w:rPr>
      </w:pPr>
      <w:hyperlink w:anchor="_Toc95924962" w:history="1">
        <w:r w:rsidR="0058288C" w:rsidRPr="001A38AD">
          <w:rPr>
            <w:rStyle w:val="Hyperlink"/>
            <w:noProof/>
          </w:rPr>
          <w:t>ЧЛЕН 16 —</w:t>
        </w:r>
        <w:r w:rsidR="0058288C">
          <w:rPr>
            <w:rFonts w:asciiTheme="minorHAnsi" w:eastAsiaTheme="minorEastAsia" w:hAnsiTheme="minorHAnsi" w:cstheme="minorBidi"/>
            <w:noProof/>
            <w:sz w:val="22"/>
            <w:szCs w:val="22"/>
            <w:lang w:val="en-US"/>
          </w:rPr>
          <w:tab/>
        </w:r>
        <w:r w:rsidR="0058288C" w:rsidRPr="001A38AD">
          <w:rPr>
            <w:rStyle w:val="Hyperlink"/>
            <w:noProof/>
          </w:rPr>
          <w:t>ПРАВА ВЪРХУ ИНТЕЛЕКТУАЛНА СОБСТВЕНОСТ (ПИС) — ПРЕДХОДНИ ЗНАНИЯ И РЕЗУЛТАТИ — ПРАВА НА ДОСТЪП И ПРАВА НА ПОЛЗВАНЕ</w:t>
        </w:r>
        <w:r w:rsidR="0058288C">
          <w:rPr>
            <w:noProof/>
            <w:webHidden/>
          </w:rPr>
          <w:tab/>
        </w:r>
        <w:r w:rsidR="0058288C">
          <w:rPr>
            <w:noProof/>
            <w:webHidden/>
          </w:rPr>
          <w:fldChar w:fldCharType="begin"/>
        </w:r>
        <w:r w:rsidR="0058288C">
          <w:rPr>
            <w:noProof/>
            <w:webHidden/>
          </w:rPr>
          <w:instrText xml:space="preserve"> PAGEREF _Toc95924962 \h </w:instrText>
        </w:r>
        <w:r w:rsidR="0058288C">
          <w:rPr>
            <w:noProof/>
            <w:webHidden/>
          </w:rPr>
        </w:r>
        <w:r w:rsidR="0058288C">
          <w:rPr>
            <w:noProof/>
            <w:webHidden/>
          </w:rPr>
          <w:fldChar w:fldCharType="separate"/>
        </w:r>
        <w:r w:rsidR="0058288C">
          <w:rPr>
            <w:noProof/>
            <w:webHidden/>
          </w:rPr>
          <w:t>36</w:t>
        </w:r>
        <w:r w:rsidR="0058288C">
          <w:rPr>
            <w:noProof/>
            <w:webHidden/>
          </w:rPr>
          <w:fldChar w:fldCharType="end"/>
        </w:r>
      </w:hyperlink>
    </w:p>
    <w:p w14:paraId="5DDDE09F" w14:textId="40ACD183" w:rsidR="0058288C" w:rsidRDefault="00613C5F">
      <w:pPr>
        <w:pStyle w:val="TOC5"/>
        <w:rPr>
          <w:rFonts w:asciiTheme="minorHAnsi" w:eastAsiaTheme="minorEastAsia" w:hAnsiTheme="minorHAnsi" w:cstheme="minorBidi"/>
          <w:noProof/>
          <w:sz w:val="22"/>
          <w:szCs w:val="22"/>
          <w:lang w:val="en-US"/>
        </w:rPr>
      </w:pPr>
      <w:hyperlink w:anchor="_Toc95924963" w:history="1">
        <w:r w:rsidR="0058288C" w:rsidRPr="001A38AD">
          <w:rPr>
            <w:rStyle w:val="Hyperlink"/>
            <w:noProof/>
          </w:rPr>
          <w:t>16.1</w:t>
        </w:r>
        <w:r w:rsidR="0058288C">
          <w:rPr>
            <w:rFonts w:asciiTheme="minorHAnsi" w:eastAsiaTheme="minorEastAsia" w:hAnsiTheme="minorHAnsi" w:cstheme="minorBidi"/>
            <w:noProof/>
            <w:sz w:val="22"/>
            <w:szCs w:val="22"/>
            <w:lang w:val="en-US"/>
          </w:rPr>
          <w:tab/>
        </w:r>
        <w:r w:rsidR="0058288C" w:rsidRPr="001A38AD">
          <w:rPr>
            <w:rStyle w:val="Hyperlink"/>
            <w:noProof/>
          </w:rPr>
          <w:t>Предходни знания и права на достъп до предходни знания</w:t>
        </w:r>
        <w:r w:rsidR="0058288C">
          <w:rPr>
            <w:noProof/>
            <w:webHidden/>
          </w:rPr>
          <w:tab/>
        </w:r>
        <w:r w:rsidR="0058288C">
          <w:rPr>
            <w:noProof/>
            <w:webHidden/>
          </w:rPr>
          <w:fldChar w:fldCharType="begin"/>
        </w:r>
        <w:r w:rsidR="0058288C">
          <w:rPr>
            <w:noProof/>
            <w:webHidden/>
          </w:rPr>
          <w:instrText xml:space="preserve"> PAGEREF _Toc95924963 \h </w:instrText>
        </w:r>
        <w:r w:rsidR="0058288C">
          <w:rPr>
            <w:noProof/>
            <w:webHidden/>
          </w:rPr>
        </w:r>
        <w:r w:rsidR="0058288C">
          <w:rPr>
            <w:noProof/>
            <w:webHidden/>
          </w:rPr>
          <w:fldChar w:fldCharType="separate"/>
        </w:r>
        <w:r w:rsidR="0058288C">
          <w:rPr>
            <w:noProof/>
            <w:webHidden/>
          </w:rPr>
          <w:t>36</w:t>
        </w:r>
        <w:r w:rsidR="0058288C">
          <w:rPr>
            <w:noProof/>
            <w:webHidden/>
          </w:rPr>
          <w:fldChar w:fldCharType="end"/>
        </w:r>
      </w:hyperlink>
    </w:p>
    <w:p w14:paraId="23FF1159" w14:textId="45C19E27" w:rsidR="0058288C" w:rsidRDefault="00613C5F">
      <w:pPr>
        <w:pStyle w:val="TOC5"/>
        <w:rPr>
          <w:rFonts w:asciiTheme="minorHAnsi" w:eastAsiaTheme="minorEastAsia" w:hAnsiTheme="minorHAnsi" w:cstheme="minorBidi"/>
          <w:noProof/>
          <w:sz w:val="22"/>
          <w:szCs w:val="22"/>
          <w:lang w:val="en-US"/>
        </w:rPr>
      </w:pPr>
      <w:hyperlink w:anchor="_Toc95924964" w:history="1">
        <w:r w:rsidR="0058288C" w:rsidRPr="001A38AD">
          <w:rPr>
            <w:rStyle w:val="Hyperlink"/>
            <w:noProof/>
          </w:rPr>
          <w:t>16.2</w:t>
        </w:r>
        <w:r w:rsidR="0058288C">
          <w:rPr>
            <w:rFonts w:asciiTheme="minorHAnsi" w:eastAsiaTheme="minorEastAsia" w:hAnsiTheme="minorHAnsi" w:cstheme="minorBidi"/>
            <w:noProof/>
            <w:sz w:val="22"/>
            <w:szCs w:val="22"/>
            <w:lang w:val="en-US"/>
          </w:rPr>
          <w:tab/>
        </w:r>
        <w:r w:rsidR="0058288C" w:rsidRPr="001A38AD">
          <w:rPr>
            <w:rStyle w:val="Hyperlink"/>
            <w:noProof/>
          </w:rPr>
          <w:t>Собственост върху резултатите</w:t>
        </w:r>
        <w:r w:rsidR="0058288C">
          <w:rPr>
            <w:noProof/>
            <w:webHidden/>
          </w:rPr>
          <w:tab/>
        </w:r>
        <w:r w:rsidR="0058288C">
          <w:rPr>
            <w:noProof/>
            <w:webHidden/>
          </w:rPr>
          <w:fldChar w:fldCharType="begin"/>
        </w:r>
        <w:r w:rsidR="0058288C">
          <w:rPr>
            <w:noProof/>
            <w:webHidden/>
          </w:rPr>
          <w:instrText xml:space="preserve"> PAGEREF _Toc95924964 \h </w:instrText>
        </w:r>
        <w:r w:rsidR="0058288C">
          <w:rPr>
            <w:noProof/>
            <w:webHidden/>
          </w:rPr>
        </w:r>
        <w:r w:rsidR="0058288C">
          <w:rPr>
            <w:noProof/>
            <w:webHidden/>
          </w:rPr>
          <w:fldChar w:fldCharType="separate"/>
        </w:r>
        <w:r w:rsidR="0058288C">
          <w:rPr>
            <w:noProof/>
            <w:webHidden/>
          </w:rPr>
          <w:t>37</w:t>
        </w:r>
        <w:r w:rsidR="0058288C">
          <w:rPr>
            <w:noProof/>
            <w:webHidden/>
          </w:rPr>
          <w:fldChar w:fldCharType="end"/>
        </w:r>
      </w:hyperlink>
    </w:p>
    <w:p w14:paraId="0B495828" w14:textId="30A647EA" w:rsidR="0058288C" w:rsidRDefault="00613C5F">
      <w:pPr>
        <w:pStyle w:val="TOC5"/>
        <w:rPr>
          <w:rFonts w:asciiTheme="minorHAnsi" w:eastAsiaTheme="minorEastAsia" w:hAnsiTheme="minorHAnsi" w:cstheme="minorBidi"/>
          <w:noProof/>
          <w:sz w:val="22"/>
          <w:szCs w:val="22"/>
          <w:lang w:val="en-US"/>
        </w:rPr>
      </w:pPr>
      <w:hyperlink w:anchor="_Toc95924965" w:history="1">
        <w:r w:rsidR="0058288C" w:rsidRPr="001A38AD">
          <w:rPr>
            <w:rStyle w:val="Hyperlink"/>
            <w:noProof/>
          </w:rPr>
          <w:t>16.3</w:t>
        </w:r>
        <w:r w:rsidR="0058288C">
          <w:rPr>
            <w:rFonts w:asciiTheme="minorHAnsi" w:eastAsiaTheme="minorEastAsia" w:hAnsiTheme="minorHAnsi" w:cstheme="minorBidi"/>
            <w:noProof/>
            <w:sz w:val="22"/>
            <w:szCs w:val="22"/>
            <w:lang w:val="en-US"/>
          </w:rPr>
          <w:tab/>
        </w:r>
        <w:r w:rsidR="0058288C" w:rsidRPr="001A38AD">
          <w:rPr>
            <w:rStyle w:val="Hyperlink"/>
            <w:noProof/>
          </w:rPr>
          <w:t xml:space="preserve">Права на ползване на материали, документи и информация от страна на предоставящия орган </w:t>
        </w:r>
        <w:r w:rsidR="0058288C" w:rsidRPr="001A38AD">
          <w:rPr>
            <w:rStyle w:val="Hyperlink"/>
            <w:noProof/>
            <w:shd w:val="clear" w:color="auto" w:fill="CCFFFF"/>
          </w:rPr>
          <w:t>и Европейската комисия</w:t>
        </w:r>
        <w:r w:rsidR="0058288C" w:rsidRPr="001A38AD">
          <w:rPr>
            <w:rStyle w:val="Hyperlink"/>
            <w:noProof/>
          </w:rPr>
          <w:t>, получени за целите на политиката, информацията, комуникацията, разпространението и популяризирането</w:t>
        </w:r>
        <w:r w:rsidR="0058288C">
          <w:rPr>
            <w:noProof/>
            <w:webHidden/>
          </w:rPr>
          <w:tab/>
        </w:r>
        <w:r w:rsidR="0058288C">
          <w:rPr>
            <w:noProof/>
            <w:webHidden/>
          </w:rPr>
          <w:fldChar w:fldCharType="begin"/>
        </w:r>
        <w:r w:rsidR="0058288C">
          <w:rPr>
            <w:noProof/>
            <w:webHidden/>
          </w:rPr>
          <w:instrText xml:space="preserve"> PAGEREF _Toc95924965 \h </w:instrText>
        </w:r>
        <w:r w:rsidR="0058288C">
          <w:rPr>
            <w:noProof/>
            <w:webHidden/>
          </w:rPr>
        </w:r>
        <w:r w:rsidR="0058288C">
          <w:rPr>
            <w:noProof/>
            <w:webHidden/>
          </w:rPr>
          <w:fldChar w:fldCharType="separate"/>
        </w:r>
        <w:r w:rsidR="0058288C">
          <w:rPr>
            <w:noProof/>
            <w:webHidden/>
          </w:rPr>
          <w:t>37</w:t>
        </w:r>
        <w:r w:rsidR="0058288C">
          <w:rPr>
            <w:noProof/>
            <w:webHidden/>
          </w:rPr>
          <w:fldChar w:fldCharType="end"/>
        </w:r>
      </w:hyperlink>
    </w:p>
    <w:p w14:paraId="17C79B53" w14:textId="06A4F8FA" w:rsidR="0058288C" w:rsidRDefault="00613C5F">
      <w:pPr>
        <w:pStyle w:val="TOC5"/>
        <w:rPr>
          <w:rFonts w:asciiTheme="minorHAnsi" w:eastAsiaTheme="minorEastAsia" w:hAnsiTheme="minorHAnsi" w:cstheme="minorBidi"/>
          <w:noProof/>
          <w:sz w:val="22"/>
          <w:szCs w:val="22"/>
          <w:lang w:val="en-US"/>
        </w:rPr>
      </w:pPr>
      <w:hyperlink w:anchor="_Toc95924966" w:history="1">
        <w:r w:rsidR="0058288C" w:rsidRPr="001A38AD">
          <w:rPr>
            <w:rStyle w:val="Hyperlink"/>
            <w:noProof/>
          </w:rPr>
          <w:t>16.4</w:t>
        </w:r>
        <w:r w:rsidR="0058288C">
          <w:rPr>
            <w:rFonts w:asciiTheme="minorHAnsi" w:eastAsiaTheme="minorEastAsia" w:hAnsiTheme="minorHAnsi" w:cstheme="minorBidi"/>
            <w:noProof/>
            <w:sz w:val="22"/>
            <w:szCs w:val="22"/>
            <w:lang w:val="en-US"/>
          </w:rPr>
          <w:tab/>
        </w:r>
        <w:r w:rsidR="0058288C" w:rsidRPr="001A38AD">
          <w:rPr>
            <w:rStyle w:val="Hyperlink"/>
            <w:noProof/>
          </w:rPr>
          <w:t>Специални правила относно права върху интелектуална собственост, резултати и предходни знания</w:t>
        </w:r>
        <w:r w:rsidR="0058288C">
          <w:rPr>
            <w:noProof/>
            <w:webHidden/>
          </w:rPr>
          <w:tab/>
        </w:r>
        <w:r w:rsidR="0058288C">
          <w:rPr>
            <w:noProof/>
            <w:webHidden/>
          </w:rPr>
          <w:fldChar w:fldCharType="begin"/>
        </w:r>
        <w:r w:rsidR="0058288C">
          <w:rPr>
            <w:noProof/>
            <w:webHidden/>
          </w:rPr>
          <w:instrText xml:space="preserve"> PAGEREF _Toc95924966 \h </w:instrText>
        </w:r>
        <w:r w:rsidR="0058288C">
          <w:rPr>
            <w:noProof/>
            <w:webHidden/>
          </w:rPr>
        </w:r>
        <w:r w:rsidR="0058288C">
          <w:rPr>
            <w:noProof/>
            <w:webHidden/>
          </w:rPr>
          <w:fldChar w:fldCharType="separate"/>
        </w:r>
        <w:r w:rsidR="0058288C">
          <w:rPr>
            <w:noProof/>
            <w:webHidden/>
          </w:rPr>
          <w:t>38</w:t>
        </w:r>
        <w:r w:rsidR="0058288C">
          <w:rPr>
            <w:noProof/>
            <w:webHidden/>
          </w:rPr>
          <w:fldChar w:fldCharType="end"/>
        </w:r>
      </w:hyperlink>
    </w:p>
    <w:p w14:paraId="5F9E79BF" w14:textId="231E9737" w:rsidR="0058288C" w:rsidRDefault="00613C5F">
      <w:pPr>
        <w:pStyle w:val="TOC5"/>
        <w:rPr>
          <w:rFonts w:asciiTheme="minorHAnsi" w:eastAsiaTheme="minorEastAsia" w:hAnsiTheme="minorHAnsi" w:cstheme="minorBidi"/>
          <w:noProof/>
          <w:sz w:val="22"/>
          <w:szCs w:val="22"/>
          <w:lang w:val="en-US"/>
        </w:rPr>
      </w:pPr>
      <w:hyperlink w:anchor="_Toc95924967" w:history="1">
        <w:r w:rsidR="0058288C" w:rsidRPr="001A38AD">
          <w:rPr>
            <w:rStyle w:val="Hyperlink"/>
            <w:noProof/>
          </w:rPr>
          <w:t>16.5</w:t>
        </w:r>
        <w:r w:rsidR="0058288C">
          <w:rPr>
            <w:rFonts w:asciiTheme="minorHAnsi" w:eastAsiaTheme="minorEastAsia" w:hAnsiTheme="minorHAnsi" w:cstheme="minorBidi"/>
            <w:noProof/>
            <w:sz w:val="22"/>
            <w:szCs w:val="22"/>
            <w:lang w:val="en-US"/>
          </w:rPr>
          <w:tab/>
        </w:r>
        <w:r w:rsidR="0058288C" w:rsidRPr="001A38AD">
          <w:rPr>
            <w:rStyle w:val="Hyperlink"/>
            <w:noProof/>
          </w:rPr>
          <w:t>Последствия при неизпълнение</w:t>
        </w:r>
        <w:r w:rsidR="0058288C">
          <w:rPr>
            <w:noProof/>
            <w:webHidden/>
          </w:rPr>
          <w:tab/>
        </w:r>
        <w:r w:rsidR="0058288C">
          <w:rPr>
            <w:noProof/>
            <w:webHidden/>
          </w:rPr>
          <w:fldChar w:fldCharType="begin"/>
        </w:r>
        <w:r w:rsidR="0058288C">
          <w:rPr>
            <w:noProof/>
            <w:webHidden/>
          </w:rPr>
          <w:instrText xml:space="preserve"> PAGEREF _Toc95924967 \h </w:instrText>
        </w:r>
        <w:r w:rsidR="0058288C">
          <w:rPr>
            <w:noProof/>
            <w:webHidden/>
          </w:rPr>
        </w:r>
        <w:r w:rsidR="0058288C">
          <w:rPr>
            <w:noProof/>
            <w:webHidden/>
          </w:rPr>
          <w:fldChar w:fldCharType="separate"/>
        </w:r>
        <w:r w:rsidR="0058288C">
          <w:rPr>
            <w:noProof/>
            <w:webHidden/>
          </w:rPr>
          <w:t>38</w:t>
        </w:r>
        <w:r w:rsidR="0058288C">
          <w:rPr>
            <w:noProof/>
            <w:webHidden/>
          </w:rPr>
          <w:fldChar w:fldCharType="end"/>
        </w:r>
      </w:hyperlink>
    </w:p>
    <w:p w14:paraId="5DB16FDF" w14:textId="11D859EE" w:rsidR="0058288C" w:rsidRDefault="00613C5F">
      <w:pPr>
        <w:pStyle w:val="TOC4"/>
        <w:rPr>
          <w:rFonts w:asciiTheme="minorHAnsi" w:eastAsiaTheme="minorEastAsia" w:hAnsiTheme="minorHAnsi" w:cstheme="minorBidi"/>
          <w:noProof/>
          <w:sz w:val="22"/>
          <w:szCs w:val="22"/>
          <w:lang w:val="en-US"/>
        </w:rPr>
      </w:pPr>
      <w:hyperlink w:anchor="_Toc95924968" w:history="1">
        <w:r w:rsidR="0058288C" w:rsidRPr="001A38AD">
          <w:rPr>
            <w:rStyle w:val="Hyperlink"/>
            <w:noProof/>
          </w:rPr>
          <w:t>ЧЛЕН 17</w:t>
        </w:r>
        <w:r w:rsidR="0058288C" w:rsidRPr="001A38AD">
          <w:rPr>
            <w:rStyle w:val="Hyperlink"/>
            <w:i/>
            <w:noProof/>
          </w:rPr>
          <w:t> —</w:t>
        </w:r>
        <w:r w:rsidR="0058288C" w:rsidRPr="001A38AD">
          <w:rPr>
            <w:rStyle w:val="Hyperlink"/>
            <w:noProof/>
          </w:rPr>
          <w:t xml:space="preserve"> КОМУНИКАЦИЯ, РАЗПРОСТРАНЕНИЕ И ВИДИМОСТ</w:t>
        </w:r>
        <w:r w:rsidR="0058288C">
          <w:rPr>
            <w:noProof/>
            <w:webHidden/>
          </w:rPr>
          <w:tab/>
        </w:r>
        <w:r w:rsidR="0058288C">
          <w:rPr>
            <w:noProof/>
            <w:webHidden/>
          </w:rPr>
          <w:fldChar w:fldCharType="begin"/>
        </w:r>
        <w:r w:rsidR="0058288C">
          <w:rPr>
            <w:noProof/>
            <w:webHidden/>
          </w:rPr>
          <w:instrText xml:space="preserve"> PAGEREF _Toc95924968 \h </w:instrText>
        </w:r>
        <w:r w:rsidR="0058288C">
          <w:rPr>
            <w:noProof/>
            <w:webHidden/>
          </w:rPr>
        </w:r>
        <w:r w:rsidR="0058288C">
          <w:rPr>
            <w:noProof/>
            <w:webHidden/>
          </w:rPr>
          <w:fldChar w:fldCharType="separate"/>
        </w:r>
        <w:r w:rsidR="0058288C">
          <w:rPr>
            <w:noProof/>
            <w:webHidden/>
          </w:rPr>
          <w:t>38</w:t>
        </w:r>
        <w:r w:rsidR="0058288C">
          <w:rPr>
            <w:noProof/>
            <w:webHidden/>
          </w:rPr>
          <w:fldChar w:fldCharType="end"/>
        </w:r>
      </w:hyperlink>
    </w:p>
    <w:p w14:paraId="7B1DB5E5" w14:textId="71B3108E" w:rsidR="0058288C" w:rsidRDefault="00613C5F">
      <w:pPr>
        <w:pStyle w:val="TOC5"/>
        <w:rPr>
          <w:rFonts w:asciiTheme="minorHAnsi" w:eastAsiaTheme="minorEastAsia" w:hAnsiTheme="minorHAnsi" w:cstheme="minorBidi"/>
          <w:noProof/>
          <w:sz w:val="22"/>
          <w:szCs w:val="22"/>
          <w:lang w:val="en-US"/>
        </w:rPr>
      </w:pPr>
      <w:hyperlink w:anchor="_Toc95924969" w:history="1">
        <w:r w:rsidR="0058288C" w:rsidRPr="001A38AD">
          <w:rPr>
            <w:rStyle w:val="Hyperlink"/>
            <w:noProof/>
          </w:rPr>
          <w:t>17.1</w:t>
        </w:r>
        <w:r w:rsidR="0058288C">
          <w:rPr>
            <w:rFonts w:asciiTheme="minorHAnsi" w:eastAsiaTheme="minorEastAsia" w:hAnsiTheme="minorHAnsi" w:cstheme="minorBidi"/>
            <w:noProof/>
            <w:sz w:val="22"/>
            <w:szCs w:val="22"/>
            <w:lang w:val="en-US"/>
          </w:rPr>
          <w:tab/>
        </w:r>
        <w:r w:rsidR="0058288C" w:rsidRPr="001A38AD">
          <w:rPr>
            <w:rStyle w:val="Hyperlink"/>
            <w:noProof/>
          </w:rPr>
          <w:t>Комуникация — разпространение — популяризиране на дейността</w:t>
        </w:r>
        <w:r w:rsidR="0058288C">
          <w:rPr>
            <w:noProof/>
            <w:webHidden/>
          </w:rPr>
          <w:tab/>
        </w:r>
        <w:r w:rsidR="0058288C">
          <w:rPr>
            <w:noProof/>
            <w:webHidden/>
          </w:rPr>
          <w:fldChar w:fldCharType="begin"/>
        </w:r>
        <w:r w:rsidR="0058288C">
          <w:rPr>
            <w:noProof/>
            <w:webHidden/>
          </w:rPr>
          <w:instrText xml:space="preserve"> PAGEREF _Toc95924969 \h </w:instrText>
        </w:r>
        <w:r w:rsidR="0058288C">
          <w:rPr>
            <w:noProof/>
            <w:webHidden/>
          </w:rPr>
        </w:r>
        <w:r w:rsidR="0058288C">
          <w:rPr>
            <w:noProof/>
            <w:webHidden/>
          </w:rPr>
          <w:fldChar w:fldCharType="separate"/>
        </w:r>
        <w:r w:rsidR="0058288C">
          <w:rPr>
            <w:noProof/>
            <w:webHidden/>
          </w:rPr>
          <w:t>38</w:t>
        </w:r>
        <w:r w:rsidR="0058288C">
          <w:rPr>
            <w:noProof/>
            <w:webHidden/>
          </w:rPr>
          <w:fldChar w:fldCharType="end"/>
        </w:r>
      </w:hyperlink>
    </w:p>
    <w:p w14:paraId="3DD80402" w14:textId="706E9298" w:rsidR="0058288C" w:rsidRDefault="00613C5F">
      <w:pPr>
        <w:pStyle w:val="TOC5"/>
        <w:rPr>
          <w:rFonts w:asciiTheme="minorHAnsi" w:eastAsiaTheme="minorEastAsia" w:hAnsiTheme="minorHAnsi" w:cstheme="minorBidi"/>
          <w:noProof/>
          <w:sz w:val="22"/>
          <w:szCs w:val="22"/>
          <w:lang w:val="en-US"/>
        </w:rPr>
      </w:pPr>
      <w:hyperlink w:anchor="_Toc95924970" w:history="1">
        <w:r w:rsidR="0058288C" w:rsidRPr="001A38AD">
          <w:rPr>
            <w:rStyle w:val="Hyperlink"/>
            <w:noProof/>
          </w:rPr>
          <w:t>17.2</w:t>
        </w:r>
        <w:r w:rsidR="0058288C">
          <w:rPr>
            <w:rFonts w:asciiTheme="minorHAnsi" w:eastAsiaTheme="minorEastAsia" w:hAnsiTheme="minorHAnsi" w:cstheme="minorBidi"/>
            <w:noProof/>
            <w:sz w:val="22"/>
            <w:szCs w:val="22"/>
            <w:lang w:val="en-US"/>
          </w:rPr>
          <w:tab/>
        </w:r>
        <w:r w:rsidR="0058288C" w:rsidRPr="001A38AD">
          <w:rPr>
            <w:rStyle w:val="Hyperlink"/>
            <w:noProof/>
          </w:rPr>
          <w:t>Видимост — европейското знаме и текст за финансирането</w:t>
        </w:r>
        <w:r w:rsidR="0058288C">
          <w:rPr>
            <w:noProof/>
            <w:webHidden/>
          </w:rPr>
          <w:tab/>
        </w:r>
        <w:r w:rsidR="0058288C">
          <w:rPr>
            <w:noProof/>
            <w:webHidden/>
          </w:rPr>
          <w:fldChar w:fldCharType="begin"/>
        </w:r>
        <w:r w:rsidR="0058288C">
          <w:rPr>
            <w:noProof/>
            <w:webHidden/>
          </w:rPr>
          <w:instrText xml:space="preserve"> PAGEREF _Toc95924970 \h </w:instrText>
        </w:r>
        <w:r w:rsidR="0058288C">
          <w:rPr>
            <w:noProof/>
            <w:webHidden/>
          </w:rPr>
        </w:r>
        <w:r w:rsidR="0058288C">
          <w:rPr>
            <w:noProof/>
            <w:webHidden/>
          </w:rPr>
          <w:fldChar w:fldCharType="separate"/>
        </w:r>
        <w:r w:rsidR="0058288C">
          <w:rPr>
            <w:noProof/>
            <w:webHidden/>
          </w:rPr>
          <w:t>39</w:t>
        </w:r>
        <w:r w:rsidR="0058288C">
          <w:rPr>
            <w:noProof/>
            <w:webHidden/>
          </w:rPr>
          <w:fldChar w:fldCharType="end"/>
        </w:r>
      </w:hyperlink>
    </w:p>
    <w:p w14:paraId="231E9745" w14:textId="7EB8DF86" w:rsidR="0058288C" w:rsidRDefault="00613C5F">
      <w:pPr>
        <w:pStyle w:val="TOC5"/>
        <w:rPr>
          <w:rFonts w:asciiTheme="minorHAnsi" w:eastAsiaTheme="minorEastAsia" w:hAnsiTheme="minorHAnsi" w:cstheme="minorBidi"/>
          <w:noProof/>
          <w:sz w:val="22"/>
          <w:szCs w:val="22"/>
          <w:lang w:val="en-US"/>
        </w:rPr>
      </w:pPr>
      <w:hyperlink w:anchor="_Toc95924971" w:history="1">
        <w:r w:rsidR="0058288C" w:rsidRPr="001A38AD">
          <w:rPr>
            <w:rStyle w:val="Hyperlink"/>
            <w:noProof/>
          </w:rPr>
          <w:t>17.3</w:t>
        </w:r>
        <w:r w:rsidR="0058288C">
          <w:rPr>
            <w:rFonts w:asciiTheme="minorHAnsi" w:eastAsiaTheme="minorEastAsia" w:hAnsiTheme="minorHAnsi" w:cstheme="minorBidi"/>
            <w:noProof/>
            <w:sz w:val="22"/>
            <w:szCs w:val="22"/>
            <w:lang w:val="en-US"/>
          </w:rPr>
          <w:tab/>
        </w:r>
        <w:r w:rsidR="0058288C" w:rsidRPr="001A38AD">
          <w:rPr>
            <w:rStyle w:val="Hyperlink"/>
            <w:noProof/>
          </w:rPr>
          <w:t>Качество на информацията — декларация за отказ от отговорност</w:t>
        </w:r>
        <w:r w:rsidR="0058288C">
          <w:rPr>
            <w:noProof/>
            <w:webHidden/>
          </w:rPr>
          <w:tab/>
        </w:r>
        <w:r w:rsidR="0058288C">
          <w:rPr>
            <w:noProof/>
            <w:webHidden/>
          </w:rPr>
          <w:fldChar w:fldCharType="begin"/>
        </w:r>
        <w:r w:rsidR="0058288C">
          <w:rPr>
            <w:noProof/>
            <w:webHidden/>
          </w:rPr>
          <w:instrText xml:space="preserve"> PAGEREF _Toc95924971 \h </w:instrText>
        </w:r>
        <w:r w:rsidR="0058288C">
          <w:rPr>
            <w:noProof/>
            <w:webHidden/>
          </w:rPr>
        </w:r>
        <w:r w:rsidR="0058288C">
          <w:rPr>
            <w:noProof/>
            <w:webHidden/>
          </w:rPr>
          <w:fldChar w:fldCharType="separate"/>
        </w:r>
        <w:r w:rsidR="0058288C">
          <w:rPr>
            <w:noProof/>
            <w:webHidden/>
          </w:rPr>
          <w:t>40</w:t>
        </w:r>
        <w:r w:rsidR="0058288C">
          <w:rPr>
            <w:noProof/>
            <w:webHidden/>
          </w:rPr>
          <w:fldChar w:fldCharType="end"/>
        </w:r>
      </w:hyperlink>
    </w:p>
    <w:p w14:paraId="679E0409" w14:textId="556F0032" w:rsidR="0058288C" w:rsidRDefault="00613C5F">
      <w:pPr>
        <w:pStyle w:val="TOC5"/>
        <w:rPr>
          <w:rFonts w:asciiTheme="minorHAnsi" w:eastAsiaTheme="minorEastAsia" w:hAnsiTheme="minorHAnsi" w:cstheme="minorBidi"/>
          <w:noProof/>
          <w:sz w:val="22"/>
          <w:szCs w:val="22"/>
          <w:lang w:val="en-US"/>
        </w:rPr>
      </w:pPr>
      <w:hyperlink w:anchor="_Toc95924972" w:history="1">
        <w:r w:rsidR="0058288C" w:rsidRPr="001A38AD">
          <w:rPr>
            <w:rStyle w:val="Hyperlink"/>
            <w:noProof/>
          </w:rPr>
          <w:t>17.4</w:t>
        </w:r>
        <w:r w:rsidR="0058288C">
          <w:rPr>
            <w:rFonts w:asciiTheme="minorHAnsi" w:eastAsiaTheme="minorEastAsia" w:hAnsiTheme="minorHAnsi" w:cstheme="minorBidi"/>
            <w:noProof/>
            <w:sz w:val="22"/>
            <w:szCs w:val="22"/>
            <w:lang w:val="en-US"/>
          </w:rPr>
          <w:tab/>
        </w:r>
        <w:r w:rsidR="0058288C" w:rsidRPr="001A38AD">
          <w:rPr>
            <w:rStyle w:val="Hyperlink"/>
            <w:noProof/>
          </w:rPr>
          <w:t>Специални правила за комуникация, разпространение и видимост</w:t>
        </w:r>
        <w:r w:rsidR="0058288C">
          <w:rPr>
            <w:noProof/>
            <w:webHidden/>
          </w:rPr>
          <w:tab/>
        </w:r>
        <w:r w:rsidR="0058288C">
          <w:rPr>
            <w:noProof/>
            <w:webHidden/>
          </w:rPr>
          <w:fldChar w:fldCharType="begin"/>
        </w:r>
        <w:r w:rsidR="0058288C">
          <w:rPr>
            <w:noProof/>
            <w:webHidden/>
          </w:rPr>
          <w:instrText xml:space="preserve"> PAGEREF _Toc95924972 \h </w:instrText>
        </w:r>
        <w:r w:rsidR="0058288C">
          <w:rPr>
            <w:noProof/>
            <w:webHidden/>
          </w:rPr>
        </w:r>
        <w:r w:rsidR="0058288C">
          <w:rPr>
            <w:noProof/>
            <w:webHidden/>
          </w:rPr>
          <w:fldChar w:fldCharType="separate"/>
        </w:r>
        <w:r w:rsidR="0058288C">
          <w:rPr>
            <w:noProof/>
            <w:webHidden/>
          </w:rPr>
          <w:t>40</w:t>
        </w:r>
        <w:r w:rsidR="0058288C">
          <w:rPr>
            <w:noProof/>
            <w:webHidden/>
          </w:rPr>
          <w:fldChar w:fldCharType="end"/>
        </w:r>
      </w:hyperlink>
    </w:p>
    <w:p w14:paraId="340DC289" w14:textId="119B28D9" w:rsidR="0058288C" w:rsidRDefault="00613C5F">
      <w:pPr>
        <w:pStyle w:val="TOC5"/>
        <w:rPr>
          <w:rFonts w:asciiTheme="minorHAnsi" w:eastAsiaTheme="minorEastAsia" w:hAnsiTheme="minorHAnsi" w:cstheme="minorBidi"/>
          <w:noProof/>
          <w:sz w:val="22"/>
          <w:szCs w:val="22"/>
          <w:lang w:val="en-US"/>
        </w:rPr>
      </w:pPr>
      <w:hyperlink w:anchor="_Toc95924973" w:history="1">
        <w:r w:rsidR="0058288C" w:rsidRPr="001A38AD">
          <w:rPr>
            <w:rStyle w:val="Hyperlink"/>
            <w:noProof/>
          </w:rPr>
          <w:t>17.5</w:t>
        </w:r>
        <w:r w:rsidR="0058288C">
          <w:rPr>
            <w:rFonts w:asciiTheme="minorHAnsi" w:eastAsiaTheme="minorEastAsia" w:hAnsiTheme="minorHAnsi" w:cstheme="minorBidi"/>
            <w:noProof/>
            <w:sz w:val="22"/>
            <w:szCs w:val="22"/>
            <w:lang w:val="en-US"/>
          </w:rPr>
          <w:tab/>
        </w:r>
        <w:r w:rsidR="0058288C" w:rsidRPr="001A38AD">
          <w:rPr>
            <w:rStyle w:val="Hyperlink"/>
            <w:noProof/>
          </w:rPr>
          <w:t>Последствия при неизпълнение</w:t>
        </w:r>
        <w:r w:rsidR="0058288C">
          <w:rPr>
            <w:noProof/>
            <w:webHidden/>
          </w:rPr>
          <w:tab/>
        </w:r>
        <w:r w:rsidR="0058288C">
          <w:rPr>
            <w:noProof/>
            <w:webHidden/>
          </w:rPr>
          <w:fldChar w:fldCharType="begin"/>
        </w:r>
        <w:r w:rsidR="0058288C">
          <w:rPr>
            <w:noProof/>
            <w:webHidden/>
          </w:rPr>
          <w:instrText xml:space="preserve"> PAGEREF _Toc95924973 \h </w:instrText>
        </w:r>
        <w:r w:rsidR="0058288C">
          <w:rPr>
            <w:noProof/>
            <w:webHidden/>
          </w:rPr>
        </w:r>
        <w:r w:rsidR="0058288C">
          <w:rPr>
            <w:noProof/>
            <w:webHidden/>
          </w:rPr>
          <w:fldChar w:fldCharType="separate"/>
        </w:r>
        <w:r w:rsidR="0058288C">
          <w:rPr>
            <w:noProof/>
            <w:webHidden/>
          </w:rPr>
          <w:t>40</w:t>
        </w:r>
        <w:r w:rsidR="0058288C">
          <w:rPr>
            <w:noProof/>
            <w:webHidden/>
          </w:rPr>
          <w:fldChar w:fldCharType="end"/>
        </w:r>
      </w:hyperlink>
    </w:p>
    <w:p w14:paraId="0EECBF84" w14:textId="58646538" w:rsidR="0058288C" w:rsidRDefault="00613C5F">
      <w:pPr>
        <w:pStyle w:val="TOC4"/>
        <w:rPr>
          <w:rFonts w:asciiTheme="minorHAnsi" w:eastAsiaTheme="minorEastAsia" w:hAnsiTheme="minorHAnsi" w:cstheme="minorBidi"/>
          <w:noProof/>
          <w:sz w:val="22"/>
          <w:szCs w:val="22"/>
          <w:lang w:val="en-US"/>
        </w:rPr>
      </w:pPr>
      <w:hyperlink w:anchor="_Toc95924974" w:history="1">
        <w:r w:rsidR="0058288C" w:rsidRPr="001A38AD">
          <w:rPr>
            <w:rStyle w:val="Hyperlink"/>
            <w:noProof/>
          </w:rPr>
          <w:t>ЧЛЕН 18 — СПЕЦИАЛНИ ПРАВИЛА ЗА ИЗВЪРШВАНЕ НА ДЕЙНОСТТА</w:t>
        </w:r>
        <w:r w:rsidR="0058288C">
          <w:rPr>
            <w:noProof/>
            <w:webHidden/>
          </w:rPr>
          <w:tab/>
        </w:r>
        <w:r w:rsidR="0058288C">
          <w:rPr>
            <w:noProof/>
            <w:webHidden/>
          </w:rPr>
          <w:fldChar w:fldCharType="begin"/>
        </w:r>
        <w:r w:rsidR="0058288C">
          <w:rPr>
            <w:noProof/>
            <w:webHidden/>
          </w:rPr>
          <w:instrText xml:space="preserve"> PAGEREF _Toc95924974 \h </w:instrText>
        </w:r>
        <w:r w:rsidR="0058288C">
          <w:rPr>
            <w:noProof/>
            <w:webHidden/>
          </w:rPr>
        </w:r>
        <w:r w:rsidR="0058288C">
          <w:rPr>
            <w:noProof/>
            <w:webHidden/>
          </w:rPr>
          <w:fldChar w:fldCharType="separate"/>
        </w:r>
        <w:r w:rsidR="0058288C">
          <w:rPr>
            <w:noProof/>
            <w:webHidden/>
          </w:rPr>
          <w:t>40</w:t>
        </w:r>
        <w:r w:rsidR="0058288C">
          <w:rPr>
            <w:noProof/>
            <w:webHidden/>
          </w:rPr>
          <w:fldChar w:fldCharType="end"/>
        </w:r>
      </w:hyperlink>
    </w:p>
    <w:p w14:paraId="2B7BD1D8" w14:textId="5869251F" w:rsidR="0058288C" w:rsidRDefault="00613C5F">
      <w:pPr>
        <w:pStyle w:val="TOC5"/>
        <w:rPr>
          <w:rFonts w:asciiTheme="minorHAnsi" w:eastAsiaTheme="minorEastAsia" w:hAnsiTheme="minorHAnsi" w:cstheme="minorBidi"/>
          <w:noProof/>
          <w:sz w:val="22"/>
          <w:szCs w:val="22"/>
          <w:lang w:val="en-US"/>
        </w:rPr>
      </w:pPr>
      <w:hyperlink w:anchor="_Toc95924975" w:history="1">
        <w:r w:rsidR="0058288C" w:rsidRPr="001A38AD">
          <w:rPr>
            <w:rStyle w:val="Hyperlink"/>
            <w:noProof/>
          </w:rPr>
          <w:t xml:space="preserve">18.1 </w:t>
        </w:r>
        <w:r w:rsidR="0058288C">
          <w:rPr>
            <w:rFonts w:asciiTheme="minorHAnsi" w:eastAsiaTheme="minorEastAsia" w:hAnsiTheme="minorHAnsi" w:cstheme="minorBidi"/>
            <w:noProof/>
            <w:sz w:val="22"/>
            <w:szCs w:val="22"/>
            <w:lang w:val="en-US"/>
          </w:rPr>
          <w:tab/>
        </w:r>
        <w:r w:rsidR="0058288C" w:rsidRPr="001A38AD">
          <w:rPr>
            <w:rStyle w:val="Hyperlink"/>
            <w:noProof/>
          </w:rPr>
          <w:t>Специални правила за извършване на дейността</w:t>
        </w:r>
        <w:r w:rsidR="0058288C">
          <w:rPr>
            <w:noProof/>
            <w:webHidden/>
          </w:rPr>
          <w:tab/>
        </w:r>
        <w:r w:rsidR="0058288C">
          <w:rPr>
            <w:noProof/>
            <w:webHidden/>
          </w:rPr>
          <w:fldChar w:fldCharType="begin"/>
        </w:r>
        <w:r w:rsidR="0058288C">
          <w:rPr>
            <w:noProof/>
            <w:webHidden/>
          </w:rPr>
          <w:instrText xml:space="preserve"> PAGEREF _Toc95924975 \h </w:instrText>
        </w:r>
        <w:r w:rsidR="0058288C">
          <w:rPr>
            <w:noProof/>
            <w:webHidden/>
          </w:rPr>
        </w:r>
        <w:r w:rsidR="0058288C">
          <w:rPr>
            <w:noProof/>
            <w:webHidden/>
          </w:rPr>
          <w:fldChar w:fldCharType="separate"/>
        </w:r>
        <w:r w:rsidR="0058288C">
          <w:rPr>
            <w:noProof/>
            <w:webHidden/>
          </w:rPr>
          <w:t>40</w:t>
        </w:r>
        <w:r w:rsidR="0058288C">
          <w:rPr>
            <w:noProof/>
            <w:webHidden/>
          </w:rPr>
          <w:fldChar w:fldCharType="end"/>
        </w:r>
      </w:hyperlink>
    </w:p>
    <w:p w14:paraId="482E095C" w14:textId="10DCE716" w:rsidR="0058288C" w:rsidRDefault="00613C5F">
      <w:pPr>
        <w:pStyle w:val="TOC5"/>
        <w:rPr>
          <w:rFonts w:asciiTheme="minorHAnsi" w:eastAsiaTheme="minorEastAsia" w:hAnsiTheme="minorHAnsi" w:cstheme="minorBidi"/>
          <w:noProof/>
          <w:sz w:val="22"/>
          <w:szCs w:val="22"/>
          <w:lang w:val="en-US"/>
        </w:rPr>
      </w:pPr>
      <w:hyperlink w:anchor="_Toc95924976" w:history="1">
        <w:r w:rsidR="0058288C" w:rsidRPr="001A38AD">
          <w:rPr>
            <w:rStyle w:val="Hyperlink"/>
            <w:noProof/>
          </w:rPr>
          <w:t>18.2</w:t>
        </w:r>
        <w:r w:rsidR="0058288C">
          <w:rPr>
            <w:rFonts w:asciiTheme="minorHAnsi" w:eastAsiaTheme="minorEastAsia" w:hAnsiTheme="minorHAnsi" w:cstheme="minorBidi"/>
            <w:noProof/>
            <w:sz w:val="22"/>
            <w:szCs w:val="22"/>
            <w:lang w:val="en-US"/>
          </w:rPr>
          <w:tab/>
        </w:r>
        <w:r w:rsidR="0058288C" w:rsidRPr="001A38AD">
          <w:rPr>
            <w:rStyle w:val="Hyperlink"/>
            <w:noProof/>
          </w:rPr>
          <w:t>Последствия при неизпълнение</w:t>
        </w:r>
        <w:r w:rsidR="0058288C">
          <w:rPr>
            <w:noProof/>
            <w:webHidden/>
          </w:rPr>
          <w:tab/>
        </w:r>
        <w:r w:rsidR="0058288C">
          <w:rPr>
            <w:noProof/>
            <w:webHidden/>
          </w:rPr>
          <w:fldChar w:fldCharType="begin"/>
        </w:r>
        <w:r w:rsidR="0058288C">
          <w:rPr>
            <w:noProof/>
            <w:webHidden/>
          </w:rPr>
          <w:instrText xml:space="preserve"> PAGEREF _Toc95924976 \h </w:instrText>
        </w:r>
        <w:r w:rsidR="0058288C">
          <w:rPr>
            <w:noProof/>
            <w:webHidden/>
          </w:rPr>
        </w:r>
        <w:r w:rsidR="0058288C">
          <w:rPr>
            <w:noProof/>
            <w:webHidden/>
          </w:rPr>
          <w:fldChar w:fldCharType="separate"/>
        </w:r>
        <w:r w:rsidR="0058288C">
          <w:rPr>
            <w:noProof/>
            <w:webHidden/>
          </w:rPr>
          <w:t>40</w:t>
        </w:r>
        <w:r w:rsidR="0058288C">
          <w:rPr>
            <w:noProof/>
            <w:webHidden/>
          </w:rPr>
          <w:fldChar w:fldCharType="end"/>
        </w:r>
      </w:hyperlink>
    </w:p>
    <w:p w14:paraId="2929E99C" w14:textId="6AE51722" w:rsidR="0058288C" w:rsidRDefault="00613C5F">
      <w:pPr>
        <w:pStyle w:val="TOC2"/>
        <w:rPr>
          <w:rFonts w:asciiTheme="minorHAnsi" w:eastAsiaTheme="minorEastAsia" w:hAnsiTheme="minorHAnsi" w:cstheme="minorBidi"/>
          <w:b w:val="0"/>
          <w:noProof/>
          <w:sz w:val="22"/>
          <w:szCs w:val="22"/>
          <w:lang w:val="en-US"/>
        </w:rPr>
      </w:pPr>
      <w:hyperlink w:anchor="_Toc95924977" w:history="1">
        <w:r w:rsidR="0058288C" w:rsidRPr="001A38AD">
          <w:rPr>
            <w:rStyle w:val="Hyperlink"/>
            <w:noProof/>
          </w:rPr>
          <w:t>РАЗДЕЛ 3</w:t>
        </w:r>
        <w:r w:rsidR="0058288C">
          <w:rPr>
            <w:rFonts w:asciiTheme="minorHAnsi" w:eastAsiaTheme="minorEastAsia" w:hAnsiTheme="minorHAnsi" w:cstheme="minorBidi"/>
            <w:b w:val="0"/>
            <w:noProof/>
            <w:sz w:val="22"/>
            <w:szCs w:val="22"/>
            <w:lang w:val="en-US"/>
          </w:rPr>
          <w:tab/>
        </w:r>
        <w:r w:rsidR="0058288C" w:rsidRPr="001A38AD">
          <w:rPr>
            <w:rStyle w:val="Hyperlink"/>
            <w:noProof/>
          </w:rPr>
          <w:t>УПРАВЛЕНИЕ НА БЕЗВЪЗМЕЗДНИТЕ СРЕДСТВА</w:t>
        </w:r>
        <w:r w:rsidR="0058288C">
          <w:rPr>
            <w:noProof/>
            <w:webHidden/>
          </w:rPr>
          <w:tab/>
        </w:r>
        <w:r w:rsidR="0058288C">
          <w:rPr>
            <w:noProof/>
            <w:webHidden/>
          </w:rPr>
          <w:fldChar w:fldCharType="begin"/>
        </w:r>
        <w:r w:rsidR="0058288C">
          <w:rPr>
            <w:noProof/>
            <w:webHidden/>
          </w:rPr>
          <w:instrText xml:space="preserve"> PAGEREF _Toc95924977 \h </w:instrText>
        </w:r>
        <w:r w:rsidR="0058288C">
          <w:rPr>
            <w:noProof/>
            <w:webHidden/>
          </w:rPr>
        </w:r>
        <w:r w:rsidR="0058288C">
          <w:rPr>
            <w:noProof/>
            <w:webHidden/>
          </w:rPr>
          <w:fldChar w:fldCharType="separate"/>
        </w:r>
        <w:r w:rsidR="0058288C">
          <w:rPr>
            <w:noProof/>
            <w:webHidden/>
          </w:rPr>
          <w:t>40</w:t>
        </w:r>
        <w:r w:rsidR="0058288C">
          <w:rPr>
            <w:noProof/>
            <w:webHidden/>
          </w:rPr>
          <w:fldChar w:fldCharType="end"/>
        </w:r>
      </w:hyperlink>
    </w:p>
    <w:p w14:paraId="47F3E1AF" w14:textId="3F8037F2" w:rsidR="0058288C" w:rsidRDefault="00613C5F">
      <w:pPr>
        <w:pStyle w:val="TOC4"/>
        <w:rPr>
          <w:rFonts w:asciiTheme="minorHAnsi" w:eastAsiaTheme="minorEastAsia" w:hAnsiTheme="minorHAnsi" w:cstheme="minorBidi"/>
          <w:noProof/>
          <w:sz w:val="22"/>
          <w:szCs w:val="22"/>
          <w:lang w:val="en-US"/>
        </w:rPr>
      </w:pPr>
      <w:hyperlink w:anchor="_Toc95924978" w:history="1">
        <w:r w:rsidR="0058288C" w:rsidRPr="001A38AD">
          <w:rPr>
            <w:rStyle w:val="Hyperlink"/>
            <w:noProof/>
          </w:rPr>
          <w:t>ЧЛЕН 19 — ОБЩИ ЗАДЪЛЖЕНИЯ ЗА ПРЕДОСТАВЯНЕ НА ИНФОРМАЦИЯ</w:t>
        </w:r>
        <w:r w:rsidR="0058288C">
          <w:rPr>
            <w:noProof/>
            <w:webHidden/>
          </w:rPr>
          <w:tab/>
        </w:r>
        <w:r w:rsidR="0058288C">
          <w:rPr>
            <w:noProof/>
            <w:webHidden/>
          </w:rPr>
          <w:fldChar w:fldCharType="begin"/>
        </w:r>
        <w:r w:rsidR="0058288C">
          <w:rPr>
            <w:noProof/>
            <w:webHidden/>
          </w:rPr>
          <w:instrText xml:space="preserve"> PAGEREF _Toc95924978 \h </w:instrText>
        </w:r>
        <w:r w:rsidR="0058288C">
          <w:rPr>
            <w:noProof/>
            <w:webHidden/>
          </w:rPr>
        </w:r>
        <w:r w:rsidR="0058288C">
          <w:rPr>
            <w:noProof/>
            <w:webHidden/>
          </w:rPr>
          <w:fldChar w:fldCharType="separate"/>
        </w:r>
        <w:r w:rsidR="0058288C">
          <w:rPr>
            <w:noProof/>
            <w:webHidden/>
          </w:rPr>
          <w:t>40</w:t>
        </w:r>
        <w:r w:rsidR="0058288C">
          <w:rPr>
            <w:noProof/>
            <w:webHidden/>
          </w:rPr>
          <w:fldChar w:fldCharType="end"/>
        </w:r>
      </w:hyperlink>
    </w:p>
    <w:p w14:paraId="7225D282" w14:textId="62433ECA" w:rsidR="0058288C" w:rsidRDefault="00613C5F">
      <w:pPr>
        <w:pStyle w:val="TOC5"/>
        <w:rPr>
          <w:rFonts w:asciiTheme="minorHAnsi" w:eastAsiaTheme="minorEastAsia" w:hAnsiTheme="minorHAnsi" w:cstheme="minorBidi"/>
          <w:noProof/>
          <w:sz w:val="22"/>
          <w:szCs w:val="22"/>
          <w:lang w:val="en-US"/>
        </w:rPr>
      </w:pPr>
      <w:hyperlink w:anchor="_Toc95924979" w:history="1">
        <w:r w:rsidR="0058288C" w:rsidRPr="001A38AD">
          <w:rPr>
            <w:rStyle w:val="Hyperlink"/>
            <w:noProof/>
          </w:rPr>
          <w:t>19.1</w:t>
        </w:r>
        <w:r w:rsidR="0058288C">
          <w:rPr>
            <w:rFonts w:asciiTheme="minorHAnsi" w:eastAsiaTheme="minorEastAsia" w:hAnsiTheme="minorHAnsi" w:cstheme="minorBidi"/>
            <w:noProof/>
            <w:sz w:val="22"/>
            <w:szCs w:val="22"/>
            <w:lang w:val="en-US"/>
          </w:rPr>
          <w:tab/>
        </w:r>
        <w:r w:rsidR="0058288C" w:rsidRPr="001A38AD">
          <w:rPr>
            <w:rStyle w:val="Hyperlink"/>
            <w:noProof/>
          </w:rPr>
          <w:t>Искания за информация</w:t>
        </w:r>
        <w:r w:rsidR="0058288C">
          <w:rPr>
            <w:noProof/>
            <w:webHidden/>
          </w:rPr>
          <w:tab/>
        </w:r>
        <w:r w:rsidR="0058288C">
          <w:rPr>
            <w:noProof/>
            <w:webHidden/>
          </w:rPr>
          <w:fldChar w:fldCharType="begin"/>
        </w:r>
        <w:r w:rsidR="0058288C">
          <w:rPr>
            <w:noProof/>
            <w:webHidden/>
          </w:rPr>
          <w:instrText xml:space="preserve"> PAGEREF _Toc95924979 \h </w:instrText>
        </w:r>
        <w:r w:rsidR="0058288C">
          <w:rPr>
            <w:noProof/>
            <w:webHidden/>
          </w:rPr>
        </w:r>
        <w:r w:rsidR="0058288C">
          <w:rPr>
            <w:noProof/>
            <w:webHidden/>
          </w:rPr>
          <w:fldChar w:fldCharType="separate"/>
        </w:r>
        <w:r w:rsidR="0058288C">
          <w:rPr>
            <w:noProof/>
            <w:webHidden/>
          </w:rPr>
          <w:t>40</w:t>
        </w:r>
        <w:r w:rsidR="0058288C">
          <w:rPr>
            <w:noProof/>
            <w:webHidden/>
          </w:rPr>
          <w:fldChar w:fldCharType="end"/>
        </w:r>
      </w:hyperlink>
    </w:p>
    <w:p w14:paraId="3009C08F" w14:textId="6B41C0D4" w:rsidR="0058288C" w:rsidRDefault="00613C5F">
      <w:pPr>
        <w:pStyle w:val="TOC5"/>
        <w:rPr>
          <w:rFonts w:asciiTheme="minorHAnsi" w:eastAsiaTheme="minorEastAsia" w:hAnsiTheme="minorHAnsi" w:cstheme="minorBidi"/>
          <w:noProof/>
          <w:sz w:val="22"/>
          <w:szCs w:val="22"/>
          <w:lang w:val="en-US"/>
        </w:rPr>
      </w:pPr>
      <w:hyperlink w:anchor="_Toc95924980" w:history="1">
        <w:r w:rsidR="0058288C" w:rsidRPr="001A38AD">
          <w:rPr>
            <w:rStyle w:val="Hyperlink"/>
            <w:noProof/>
          </w:rPr>
          <w:t>19.2</w:t>
        </w:r>
        <w:r w:rsidR="0058288C">
          <w:rPr>
            <w:rFonts w:asciiTheme="minorHAnsi" w:eastAsiaTheme="minorEastAsia" w:hAnsiTheme="minorHAnsi" w:cstheme="minorBidi"/>
            <w:noProof/>
            <w:sz w:val="22"/>
            <w:szCs w:val="22"/>
            <w:lang w:val="en-US"/>
          </w:rPr>
          <w:tab/>
        </w:r>
        <w:r w:rsidR="0058288C" w:rsidRPr="001A38AD">
          <w:rPr>
            <w:rStyle w:val="Hyperlink"/>
            <w:noProof/>
          </w:rPr>
          <w:t>Актуализиране на данните в регистъра на участниците</w:t>
        </w:r>
        <w:r w:rsidR="0058288C">
          <w:rPr>
            <w:noProof/>
            <w:webHidden/>
          </w:rPr>
          <w:tab/>
        </w:r>
        <w:r w:rsidR="0058288C">
          <w:rPr>
            <w:noProof/>
            <w:webHidden/>
          </w:rPr>
          <w:fldChar w:fldCharType="begin"/>
        </w:r>
        <w:r w:rsidR="0058288C">
          <w:rPr>
            <w:noProof/>
            <w:webHidden/>
          </w:rPr>
          <w:instrText xml:space="preserve"> PAGEREF _Toc95924980 \h </w:instrText>
        </w:r>
        <w:r w:rsidR="0058288C">
          <w:rPr>
            <w:noProof/>
            <w:webHidden/>
          </w:rPr>
        </w:r>
        <w:r w:rsidR="0058288C">
          <w:rPr>
            <w:noProof/>
            <w:webHidden/>
          </w:rPr>
          <w:fldChar w:fldCharType="separate"/>
        </w:r>
        <w:r w:rsidR="0058288C">
          <w:rPr>
            <w:noProof/>
            <w:webHidden/>
          </w:rPr>
          <w:t>41</w:t>
        </w:r>
        <w:r w:rsidR="0058288C">
          <w:rPr>
            <w:noProof/>
            <w:webHidden/>
          </w:rPr>
          <w:fldChar w:fldCharType="end"/>
        </w:r>
      </w:hyperlink>
    </w:p>
    <w:p w14:paraId="012D0731" w14:textId="29E986FF" w:rsidR="0058288C" w:rsidRDefault="00613C5F">
      <w:pPr>
        <w:pStyle w:val="TOC5"/>
        <w:rPr>
          <w:rFonts w:asciiTheme="minorHAnsi" w:eastAsiaTheme="minorEastAsia" w:hAnsiTheme="minorHAnsi" w:cstheme="minorBidi"/>
          <w:noProof/>
          <w:sz w:val="22"/>
          <w:szCs w:val="22"/>
          <w:lang w:val="en-US"/>
        </w:rPr>
      </w:pPr>
      <w:hyperlink w:anchor="_Toc95924981" w:history="1">
        <w:r w:rsidR="0058288C" w:rsidRPr="001A38AD">
          <w:rPr>
            <w:rStyle w:val="Hyperlink"/>
            <w:noProof/>
          </w:rPr>
          <w:t>19.3</w:t>
        </w:r>
        <w:r w:rsidR="0058288C">
          <w:rPr>
            <w:rFonts w:asciiTheme="minorHAnsi" w:eastAsiaTheme="minorEastAsia" w:hAnsiTheme="minorHAnsi" w:cstheme="minorBidi"/>
            <w:noProof/>
            <w:sz w:val="22"/>
            <w:szCs w:val="22"/>
            <w:lang w:val="en-US"/>
          </w:rPr>
          <w:tab/>
        </w:r>
        <w:r w:rsidR="0058288C" w:rsidRPr="001A38AD">
          <w:rPr>
            <w:rStyle w:val="Hyperlink"/>
            <w:noProof/>
          </w:rPr>
          <w:t>Информация за събития и обстоятелства, които влияят на дейността</w:t>
        </w:r>
        <w:r w:rsidR="0058288C">
          <w:rPr>
            <w:noProof/>
            <w:webHidden/>
          </w:rPr>
          <w:tab/>
        </w:r>
        <w:r w:rsidR="0058288C">
          <w:rPr>
            <w:noProof/>
            <w:webHidden/>
          </w:rPr>
          <w:fldChar w:fldCharType="begin"/>
        </w:r>
        <w:r w:rsidR="0058288C">
          <w:rPr>
            <w:noProof/>
            <w:webHidden/>
          </w:rPr>
          <w:instrText xml:space="preserve"> PAGEREF _Toc95924981 \h </w:instrText>
        </w:r>
        <w:r w:rsidR="0058288C">
          <w:rPr>
            <w:noProof/>
            <w:webHidden/>
          </w:rPr>
        </w:r>
        <w:r w:rsidR="0058288C">
          <w:rPr>
            <w:noProof/>
            <w:webHidden/>
          </w:rPr>
          <w:fldChar w:fldCharType="separate"/>
        </w:r>
        <w:r w:rsidR="0058288C">
          <w:rPr>
            <w:noProof/>
            <w:webHidden/>
          </w:rPr>
          <w:t>41</w:t>
        </w:r>
        <w:r w:rsidR="0058288C">
          <w:rPr>
            <w:noProof/>
            <w:webHidden/>
          </w:rPr>
          <w:fldChar w:fldCharType="end"/>
        </w:r>
      </w:hyperlink>
    </w:p>
    <w:p w14:paraId="3779A317" w14:textId="142994FF" w:rsidR="0058288C" w:rsidRDefault="00613C5F">
      <w:pPr>
        <w:pStyle w:val="TOC5"/>
        <w:rPr>
          <w:rFonts w:asciiTheme="minorHAnsi" w:eastAsiaTheme="minorEastAsia" w:hAnsiTheme="minorHAnsi" w:cstheme="minorBidi"/>
          <w:noProof/>
          <w:sz w:val="22"/>
          <w:szCs w:val="22"/>
          <w:lang w:val="en-US"/>
        </w:rPr>
      </w:pPr>
      <w:hyperlink w:anchor="_Toc95924982" w:history="1">
        <w:r w:rsidR="0058288C" w:rsidRPr="001A38AD">
          <w:rPr>
            <w:rStyle w:val="Hyperlink"/>
            <w:noProof/>
          </w:rPr>
          <w:t>19.4</w:t>
        </w:r>
        <w:r w:rsidR="0058288C">
          <w:rPr>
            <w:rFonts w:asciiTheme="minorHAnsi" w:eastAsiaTheme="minorEastAsia" w:hAnsiTheme="minorHAnsi" w:cstheme="minorBidi"/>
            <w:noProof/>
            <w:sz w:val="22"/>
            <w:szCs w:val="22"/>
            <w:lang w:val="en-US"/>
          </w:rPr>
          <w:tab/>
        </w:r>
        <w:r w:rsidR="0058288C" w:rsidRPr="001A38AD">
          <w:rPr>
            <w:rStyle w:val="Hyperlink"/>
            <w:noProof/>
          </w:rPr>
          <w:t>Последствия при неизпълнение</w:t>
        </w:r>
        <w:r w:rsidR="0058288C">
          <w:rPr>
            <w:noProof/>
            <w:webHidden/>
          </w:rPr>
          <w:tab/>
        </w:r>
        <w:r w:rsidR="0058288C">
          <w:rPr>
            <w:noProof/>
            <w:webHidden/>
          </w:rPr>
          <w:fldChar w:fldCharType="begin"/>
        </w:r>
        <w:r w:rsidR="0058288C">
          <w:rPr>
            <w:noProof/>
            <w:webHidden/>
          </w:rPr>
          <w:instrText xml:space="preserve"> PAGEREF _Toc95924982 \h </w:instrText>
        </w:r>
        <w:r w:rsidR="0058288C">
          <w:rPr>
            <w:noProof/>
            <w:webHidden/>
          </w:rPr>
        </w:r>
        <w:r w:rsidR="0058288C">
          <w:rPr>
            <w:noProof/>
            <w:webHidden/>
          </w:rPr>
          <w:fldChar w:fldCharType="separate"/>
        </w:r>
        <w:r w:rsidR="0058288C">
          <w:rPr>
            <w:noProof/>
            <w:webHidden/>
          </w:rPr>
          <w:t>41</w:t>
        </w:r>
        <w:r w:rsidR="0058288C">
          <w:rPr>
            <w:noProof/>
            <w:webHidden/>
          </w:rPr>
          <w:fldChar w:fldCharType="end"/>
        </w:r>
      </w:hyperlink>
    </w:p>
    <w:p w14:paraId="50727D5A" w14:textId="46AD7D28" w:rsidR="0058288C" w:rsidRDefault="00613C5F">
      <w:pPr>
        <w:pStyle w:val="TOC4"/>
        <w:rPr>
          <w:rFonts w:asciiTheme="minorHAnsi" w:eastAsiaTheme="minorEastAsia" w:hAnsiTheme="minorHAnsi" w:cstheme="minorBidi"/>
          <w:noProof/>
          <w:sz w:val="22"/>
          <w:szCs w:val="22"/>
          <w:lang w:val="en-US"/>
        </w:rPr>
      </w:pPr>
      <w:hyperlink w:anchor="_Toc95924983" w:history="1">
        <w:r w:rsidR="0058288C" w:rsidRPr="001A38AD">
          <w:rPr>
            <w:rStyle w:val="Hyperlink"/>
            <w:noProof/>
          </w:rPr>
          <w:t>ЧЛЕН 20 — СЪХРАНЯВАНЕ НА ДОКУМЕНТАЛЕН АРХИВ</w:t>
        </w:r>
        <w:r w:rsidR="0058288C">
          <w:rPr>
            <w:noProof/>
            <w:webHidden/>
          </w:rPr>
          <w:tab/>
        </w:r>
        <w:r w:rsidR="0058288C">
          <w:rPr>
            <w:noProof/>
            <w:webHidden/>
          </w:rPr>
          <w:fldChar w:fldCharType="begin"/>
        </w:r>
        <w:r w:rsidR="0058288C">
          <w:rPr>
            <w:noProof/>
            <w:webHidden/>
          </w:rPr>
          <w:instrText xml:space="preserve"> PAGEREF _Toc95924983 \h </w:instrText>
        </w:r>
        <w:r w:rsidR="0058288C">
          <w:rPr>
            <w:noProof/>
            <w:webHidden/>
          </w:rPr>
        </w:r>
        <w:r w:rsidR="0058288C">
          <w:rPr>
            <w:noProof/>
            <w:webHidden/>
          </w:rPr>
          <w:fldChar w:fldCharType="separate"/>
        </w:r>
        <w:r w:rsidR="0058288C">
          <w:rPr>
            <w:noProof/>
            <w:webHidden/>
          </w:rPr>
          <w:t>41</w:t>
        </w:r>
        <w:r w:rsidR="0058288C">
          <w:rPr>
            <w:noProof/>
            <w:webHidden/>
          </w:rPr>
          <w:fldChar w:fldCharType="end"/>
        </w:r>
      </w:hyperlink>
    </w:p>
    <w:p w14:paraId="533FBC63" w14:textId="51606860" w:rsidR="0058288C" w:rsidRDefault="00613C5F">
      <w:pPr>
        <w:pStyle w:val="TOC5"/>
        <w:rPr>
          <w:rFonts w:asciiTheme="minorHAnsi" w:eastAsiaTheme="minorEastAsia" w:hAnsiTheme="minorHAnsi" w:cstheme="minorBidi"/>
          <w:noProof/>
          <w:sz w:val="22"/>
          <w:szCs w:val="22"/>
          <w:lang w:val="en-US"/>
        </w:rPr>
      </w:pPr>
      <w:hyperlink w:anchor="_Toc95924984" w:history="1">
        <w:r w:rsidR="0058288C" w:rsidRPr="001A38AD">
          <w:rPr>
            <w:rStyle w:val="Hyperlink"/>
            <w:noProof/>
          </w:rPr>
          <w:t>20.1</w:t>
        </w:r>
        <w:r w:rsidR="0058288C">
          <w:rPr>
            <w:rFonts w:asciiTheme="minorHAnsi" w:eastAsiaTheme="minorEastAsia" w:hAnsiTheme="minorHAnsi" w:cstheme="minorBidi"/>
            <w:noProof/>
            <w:sz w:val="22"/>
            <w:szCs w:val="22"/>
            <w:lang w:val="en-US"/>
          </w:rPr>
          <w:tab/>
        </w:r>
        <w:r w:rsidR="0058288C" w:rsidRPr="001A38AD">
          <w:rPr>
            <w:rStyle w:val="Hyperlink"/>
            <w:noProof/>
          </w:rPr>
          <w:t>Съхраняване на документален архив и придружаващи документи</w:t>
        </w:r>
        <w:r w:rsidR="0058288C">
          <w:rPr>
            <w:noProof/>
            <w:webHidden/>
          </w:rPr>
          <w:tab/>
        </w:r>
        <w:r w:rsidR="0058288C">
          <w:rPr>
            <w:noProof/>
            <w:webHidden/>
          </w:rPr>
          <w:fldChar w:fldCharType="begin"/>
        </w:r>
        <w:r w:rsidR="0058288C">
          <w:rPr>
            <w:noProof/>
            <w:webHidden/>
          </w:rPr>
          <w:instrText xml:space="preserve"> PAGEREF _Toc95924984 \h </w:instrText>
        </w:r>
        <w:r w:rsidR="0058288C">
          <w:rPr>
            <w:noProof/>
            <w:webHidden/>
          </w:rPr>
        </w:r>
        <w:r w:rsidR="0058288C">
          <w:rPr>
            <w:noProof/>
            <w:webHidden/>
          </w:rPr>
          <w:fldChar w:fldCharType="separate"/>
        </w:r>
        <w:r w:rsidR="0058288C">
          <w:rPr>
            <w:noProof/>
            <w:webHidden/>
          </w:rPr>
          <w:t>41</w:t>
        </w:r>
        <w:r w:rsidR="0058288C">
          <w:rPr>
            <w:noProof/>
            <w:webHidden/>
          </w:rPr>
          <w:fldChar w:fldCharType="end"/>
        </w:r>
      </w:hyperlink>
    </w:p>
    <w:p w14:paraId="4F2B01DF" w14:textId="3718A46A" w:rsidR="0058288C" w:rsidRDefault="00613C5F">
      <w:pPr>
        <w:pStyle w:val="TOC5"/>
        <w:rPr>
          <w:rFonts w:asciiTheme="minorHAnsi" w:eastAsiaTheme="minorEastAsia" w:hAnsiTheme="minorHAnsi" w:cstheme="minorBidi"/>
          <w:noProof/>
          <w:sz w:val="22"/>
          <w:szCs w:val="22"/>
          <w:lang w:val="en-US"/>
        </w:rPr>
      </w:pPr>
      <w:hyperlink w:anchor="_Toc95924985" w:history="1">
        <w:r w:rsidR="0058288C" w:rsidRPr="001A38AD">
          <w:rPr>
            <w:rStyle w:val="Hyperlink"/>
            <w:noProof/>
          </w:rPr>
          <w:t>20.2</w:t>
        </w:r>
        <w:r w:rsidR="0058288C">
          <w:rPr>
            <w:rFonts w:asciiTheme="minorHAnsi" w:eastAsiaTheme="minorEastAsia" w:hAnsiTheme="minorHAnsi" w:cstheme="minorBidi"/>
            <w:noProof/>
            <w:sz w:val="22"/>
            <w:szCs w:val="22"/>
            <w:lang w:val="en-US"/>
          </w:rPr>
          <w:tab/>
        </w:r>
        <w:r w:rsidR="0058288C" w:rsidRPr="001A38AD">
          <w:rPr>
            <w:rStyle w:val="Hyperlink"/>
            <w:noProof/>
          </w:rPr>
          <w:t>Последствия при неизпълнение</w:t>
        </w:r>
        <w:r w:rsidR="0058288C">
          <w:rPr>
            <w:noProof/>
            <w:webHidden/>
          </w:rPr>
          <w:tab/>
        </w:r>
        <w:r w:rsidR="0058288C">
          <w:rPr>
            <w:noProof/>
            <w:webHidden/>
          </w:rPr>
          <w:fldChar w:fldCharType="begin"/>
        </w:r>
        <w:r w:rsidR="0058288C">
          <w:rPr>
            <w:noProof/>
            <w:webHidden/>
          </w:rPr>
          <w:instrText xml:space="preserve"> PAGEREF _Toc95924985 \h </w:instrText>
        </w:r>
        <w:r w:rsidR="0058288C">
          <w:rPr>
            <w:noProof/>
            <w:webHidden/>
          </w:rPr>
        </w:r>
        <w:r w:rsidR="0058288C">
          <w:rPr>
            <w:noProof/>
            <w:webHidden/>
          </w:rPr>
          <w:fldChar w:fldCharType="separate"/>
        </w:r>
        <w:r w:rsidR="0058288C">
          <w:rPr>
            <w:noProof/>
            <w:webHidden/>
          </w:rPr>
          <w:t>43</w:t>
        </w:r>
        <w:r w:rsidR="0058288C">
          <w:rPr>
            <w:noProof/>
            <w:webHidden/>
          </w:rPr>
          <w:fldChar w:fldCharType="end"/>
        </w:r>
      </w:hyperlink>
    </w:p>
    <w:p w14:paraId="3FF3B508" w14:textId="29C547C5" w:rsidR="0058288C" w:rsidRDefault="00613C5F">
      <w:pPr>
        <w:pStyle w:val="TOC4"/>
        <w:rPr>
          <w:rFonts w:asciiTheme="minorHAnsi" w:eastAsiaTheme="minorEastAsia" w:hAnsiTheme="minorHAnsi" w:cstheme="minorBidi"/>
          <w:noProof/>
          <w:sz w:val="22"/>
          <w:szCs w:val="22"/>
          <w:lang w:val="en-US"/>
        </w:rPr>
      </w:pPr>
      <w:hyperlink w:anchor="_Toc95924986" w:history="1">
        <w:r w:rsidR="0058288C" w:rsidRPr="001A38AD">
          <w:rPr>
            <w:rStyle w:val="Hyperlink"/>
            <w:noProof/>
          </w:rPr>
          <w:t>ЧЛЕН 21 — ДОКЛАДВАНЕ</w:t>
        </w:r>
        <w:r w:rsidR="0058288C">
          <w:rPr>
            <w:noProof/>
            <w:webHidden/>
          </w:rPr>
          <w:tab/>
        </w:r>
        <w:r w:rsidR="0058288C">
          <w:rPr>
            <w:noProof/>
            <w:webHidden/>
          </w:rPr>
          <w:fldChar w:fldCharType="begin"/>
        </w:r>
        <w:r w:rsidR="0058288C">
          <w:rPr>
            <w:noProof/>
            <w:webHidden/>
          </w:rPr>
          <w:instrText xml:space="preserve"> PAGEREF _Toc95924986 \h </w:instrText>
        </w:r>
        <w:r w:rsidR="0058288C">
          <w:rPr>
            <w:noProof/>
            <w:webHidden/>
          </w:rPr>
        </w:r>
        <w:r w:rsidR="0058288C">
          <w:rPr>
            <w:noProof/>
            <w:webHidden/>
          </w:rPr>
          <w:fldChar w:fldCharType="separate"/>
        </w:r>
        <w:r w:rsidR="0058288C">
          <w:rPr>
            <w:noProof/>
            <w:webHidden/>
          </w:rPr>
          <w:t>43</w:t>
        </w:r>
        <w:r w:rsidR="0058288C">
          <w:rPr>
            <w:noProof/>
            <w:webHidden/>
          </w:rPr>
          <w:fldChar w:fldCharType="end"/>
        </w:r>
      </w:hyperlink>
    </w:p>
    <w:p w14:paraId="0374D8C4" w14:textId="48B96AE2" w:rsidR="0058288C" w:rsidRDefault="00613C5F">
      <w:pPr>
        <w:pStyle w:val="TOC5"/>
        <w:rPr>
          <w:rFonts w:asciiTheme="minorHAnsi" w:eastAsiaTheme="minorEastAsia" w:hAnsiTheme="minorHAnsi" w:cstheme="minorBidi"/>
          <w:noProof/>
          <w:sz w:val="22"/>
          <w:szCs w:val="22"/>
          <w:lang w:val="en-US"/>
        </w:rPr>
      </w:pPr>
      <w:hyperlink w:anchor="_Toc95924987" w:history="1">
        <w:r w:rsidR="0058288C" w:rsidRPr="001A38AD">
          <w:rPr>
            <w:rStyle w:val="Hyperlink"/>
            <w:noProof/>
          </w:rPr>
          <w:t>21.1</w:t>
        </w:r>
        <w:r w:rsidR="0058288C">
          <w:rPr>
            <w:rFonts w:asciiTheme="minorHAnsi" w:eastAsiaTheme="minorEastAsia" w:hAnsiTheme="minorHAnsi" w:cstheme="minorBidi"/>
            <w:noProof/>
            <w:sz w:val="22"/>
            <w:szCs w:val="22"/>
            <w:lang w:val="en-US"/>
          </w:rPr>
          <w:tab/>
        </w:r>
        <w:r w:rsidR="0058288C" w:rsidRPr="001A38AD">
          <w:rPr>
            <w:rStyle w:val="Hyperlink"/>
            <w:noProof/>
          </w:rPr>
          <w:t>Непрекъснато докладване</w:t>
        </w:r>
        <w:r w:rsidR="0058288C">
          <w:rPr>
            <w:noProof/>
            <w:webHidden/>
          </w:rPr>
          <w:tab/>
        </w:r>
        <w:r w:rsidR="0058288C">
          <w:rPr>
            <w:noProof/>
            <w:webHidden/>
          </w:rPr>
          <w:fldChar w:fldCharType="begin"/>
        </w:r>
        <w:r w:rsidR="0058288C">
          <w:rPr>
            <w:noProof/>
            <w:webHidden/>
          </w:rPr>
          <w:instrText xml:space="preserve"> PAGEREF _Toc95924987 \h </w:instrText>
        </w:r>
        <w:r w:rsidR="0058288C">
          <w:rPr>
            <w:noProof/>
            <w:webHidden/>
          </w:rPr>
        </w:r>
        <w:r w:rsidR="0058288C">
          <w:rPr>
            <w:noProof/>
            <w:webHidden/>
          </w:rPr>
          <w:fldChar w:fldCharType="separate"/>
        </w:r>
        <w:r w:rsidR="0058288C">
          <w:rPr>
            <w:noProof/>
            <w:webHidden/>
          </w:rPr>
          <w:t>43</w:t>
        </w:r>
        <w:r w:rsidR="0058288C">
          <w:rPr>
            <w:noProof/>
            <w:webHidden/>
          </w:rPr>
          <w:fldChar w:fldCharType="end"/>
        </w:r>
      </w:hyperlink>
    </w:p>
    <w:p w14:paraId="34AC770C" w14:textId="24AB8803" w:rsidR="0058288C" w:rsidRDefault="00613C5F">
      <w:pPr>
        <w:pStyle w:val="TOC5"/>
        <w:rPr>
          <w:rFonts w:asciiTheme="minorHAnsi" w:eastAsiaTheme="minorEastAsia" w:hAnsiTheme="minorHAnsi" w:cstheme="minorBidi"/>
          <w:noProof/>
          <w:sz w:val="22"/>
          <w:szCs w:val="22"/>
          <w:lang w:val="en-US"/>
        </w:rPr>
      </w:pPr>
      <w:hyperlink w:anchor="_Toc95924988" w:history="1">
        <w:r w:rsidR="0058288C" w:rsidRPr="001A38AD">
          <w:rPr>
            <w:rStyle w:val="Hyperlink"/>
            <w:noProof/>
          </w:rPr>
          <w:t>21.2</w:t>
        </w:r>
        <w:r w:rsidR="0058288C">
          <w:rPr>
            <w:rFonts w:asciiTheme="minorHAnsi" w:eastAsiaTheme="minorEastAsia" w:hAnsiTheme="minorHAnsi" w:cstheme="minorBidi"/>
            <w:noProof/>
            <w:sz w:val="22"/>
            <w:szCs w:val="22"/>
            <w:lang w:val="en-US"/>
          </w:rPr>
          <w:tab/>
        </w:r>
        <w:r w:rsidR="0058288C" w:rsidRPr="001A38AD">
          <w:rPr>
            <w:rStyle w:val="Hyperlink"/>
            <w:noProof/>
          </w:rPr>
          <w:t>Докладване</w:t>
        </w:r>
        <w:r w:rsidR="0058288C">
          <w:rPr>
            <w:noProof/>
            <w:webHidden/>
          </w:rPr>
          <w:tab/>
        </w:r>
        <w:r w:rsidR="0058288C">
          <w:rPr>
            <w:noProof/>
            <w:webHidden/>
          </w:rPr>
          <w:fldChar w:fldCharType="begin"/>
        </w:r>
        <w:r w:rsidR="0058288C">
          <w:rPr>
            <w:noProof/>
            <w:webHidden/>
          </w:rPr>
          <w:instrText xml:space="preserve"> PAGEREF _Toc95924988 \h </w:instrText>
        </w:r>
        <w:r w:rsidR="0058288C">
          <w:rPr>
            <w:noProof/>
            <w:webHidden/>
          </w:rPr>
        </w:r>
        <w:r w:rsidR="0058288C">
          <w:rPr>
            <w:noProof/>
            <w:webHidden/>
          </w:rPr>
          <w:fldChar w:fldCharType="separate"/>
        </w:r>
        <w:r w:rsidR="0058288C">
          <w:rPr>
            <w:noProof/>
            <w:webHidden/>
          </w:rPr>
          <w:t>43</w:t>
        </w:r>
        <w:r w:rsidR="0058288C">
          <w:rPr>
            <w:noProof/>
            <w:webHidden/>
          </w:rPr>
          <w:fldChar w:fldCharType="end"/>
        </w:r>
      </w:hyperlink>
    </w:p>
    <w:p w14:paraId="575FE8C4" w14:textId="1FB48C32" w:rsidR="0058288C" w:rsidRDefault="00613C5F">
      <w:pPr>
        <w:pStyle w:val="TOC5"/>
        <w:rPr>
          <w:rFonts w:asciiTheme="minorHAnsi" w:eastAsiaTheme="minorEastAsia" w:hAnsiTheme="minorHAnsi" w:cstheme="minorBidi"/>
          <w:noProof/>
          <w:sz w:val="22"/>
          <w:szCs w:val="22"/>
          <w:lang w:val="en-US"/>
        </w:rPr>
      </w:pPr>
      <w:hyperlink w:anchor="_Toc95924989" w:history="1">
        <w:r w:rsidR="0058288C" w:rsidRPr="001A38AD">
          <w:rPr>
            <w:rStyle w:val="Hyperlink"/>
            <w:noProof/>
          </w:rPr>
          <w:t>21.3</w:t>
        </w:r>
        <w:r w:rsidR="0058288C">
          <w:rPr>
            <w:rFonts w:asciiTheme="minorHAnsi" w:eastAsiaTheme="minorEastAsia" w:hAnsiTheme="minorHAnsi" w:cstheme="minorBidi"/>
            <w:noProof/>
            <w:sz w:val="22"/>
            <w:szCs w:val="22"/>
            <w:lang w:val="en-US"/>
          </w:rPr>
          <w:tab/>
        </w:r>
        <w:r w:rsidR="0058288C" w:rsidRPr="001A38AD">
          <w:rPr>
            <w:rStyle w:val="Hyperlink"/>
            <w:noProof/>
          </w:rPr>
          <w:t>Валута, в която се изготвят финансовите отчети, и конвертиране в евро</w:t>
        </w:r>
        <w:r w:rsidR="0058288C">
          <w:rPr>
            <w:noProof/>
            <w:webHidden/>
          </w:rPr>
          <w:tab/>
        </w:r>
        <w:r w:rsidR="0058288C">
          <w:rPr>
            <w:noProof/>
            <w:webHidden/>
          </w:rPr>
          <w:fldChar w:fldCharType="begin"/>
        </w:r>
        <w:r w:rsidR="0058288C">
          <w:rPr>
            <w:noProof/>
            <w:webHidden/>
          </w:rPr>
          <w:instrText xml:space="preserve"> PAGEREF _Toc95924989 \h </w:instrText>
        </w:r>
        <w:r w:rsidR="0058288C">
          <w:rPr>
            <w:noProof/>
            <w:webHidden/>
          </w:rPr>
        </w:r>
        <w:r w:rsidR="0058288C">
          <w:rPr>
            <w:noProof/>
            <w:webHidden/>
          </w:rPr>
          <w:fldChar w:fldCharType="separate"/>
        </w:r>
        <w:r w:rsidR="0058288C">
          <w:rPr>
            <w:noProof/>
            <w:webHidden/>
          </w:rPr>
          <w:t>47</w:t>
        </w:r>
        <w:r w:rsidR="0058288C">
          <w:rPr>
            <w:noProof/>
            <w:webHidden/>
          </w:rPr>
          <w:fldChar w:fldCharType="end"/>
        </w:r>
      </w:hyperlink>
    </w:p>
    <w:p w14:paraId="15718624" w14:textId="4862734E" w:rsidR="0058288C" w:rsidRDefault="00613C5F">
      <w:pPr>
        <w:pStyle w:val="TOC5"/>
        <w:rPr>
          <w:rFonts w:asciiTheme="minorHAnsi" w:eastAsiaTheme="minorEastAsia" w:hAnsiTheme="minorHAnsi" w:cstheme="minorBidi"/>
          <w:noProof/>
          <w:sz w:val="22"/>
          <w:szCs w:val="22"/>
          <w:lang w:val="en-US"/>
        </w:rPr>
      </w:pPr>
      <w:hyperlink w:anchor="_Toc95924990" w:history="1">
        <w:r w:rsidR="0058288C" w:rsidRPr="001A38AD">
          <w:rPr>
            <w:rStyle w:val="Hyperlink"/>
            <w:noProof/>
          </w:rPr>
          <w:t>21.4</w:t>
        </w:r>
        <w:r w:rsidR="0058288C">
          <w:rPr>
            <w:rFonts w:asciiTheme="minorHAnsi" w:eastAsiaTheme="minorEastAsia" w:hAnsiTheme="minorHAnsi" w:cstheme="minorBidi"/>
            <w:noProof/>
            <w:sz w:val="22"/>
            <w:szCs w:val="22"/>
            <w:lang w:val="en-US"/>
          </w:rPr>
          <w:tab/>
        </w:r>
        <w:r w:rsidR="0058288C" w:rsidRPr="001A38AD">
          <w:rPr>
            <w:rStyle w:val="Hyperlink"/>
            <w:noProof/>
          </w:rPr>
          <w:t>Език на докладване</w:t>
        </w:r>
        <w:r w:rsidR="0058288C">
          <w:rPr>
            <w:noProof/>
            <w:webHidden/>
          </w:rPr>
          <w:tab/>
        </w:r>
        <w:r w:rsidR="0058288C">
          <w:rPr>
            <w:noProof/>
            <w:webHidden/>
          </w:rPr>
          <w:fldChar w:fldCharType="begin"/>
        </w:r>
        <w:r w:rsidR="0058288C">
          <w:rPr>
            <w:noProof/>
            <w:webHidden/>
          </w:rPr>
          <w:instrText xml:space="preserve"> PAGEREF _Toc95924990 \h </w:instrText>
        </w:r>
        <w:r w:rsidR="0058288C">
          <w:rPr>
            <w:noProof/>
            <w:webHidden/>
          </w:rPr>
        </w:r>
        <w:r w:rsidR="0058288C">
          <w:rPr>
            <w:noProof/>
            <w:webHidden/>
          </w:rPr>
          <w:fldChar w:fldCharType="separate"/>
        </w:r>
        <w:r w:rsidR="0058288C">
          <w:rPr>
            <w:noProof/>
            <w:webHidden/>
          </w:rPr>
          <w:t>47</w:t>
        </w:r>
        <w:r w:rsidR="0058288C">
          <w:rPr>
            <w:noProof/>
            <w:webHidden/>
          </w:rPr>
          <w:fldChar w:fldCharType="end"/>
        </w:r>
      </w:hyperlink>
    </w:p>
    <w:p w14:paraId="3F33CBE0" w14:textId="63C46E60" w:rsidR="0058288C" w:rsidRDefault="00613C5F">
      <w:pPr>
        <w:pStyle w:val="TOC5"/>
        <w:rPr>
          <w:rFonts w:asciiTheme="minorHAnsi" w:eastAsiaTheme="minorEastAsia" w:hAnsiTheme="minorHAnsi" w:cstheme="minorBidi"/>
          <w:noProof/>
          <w:sz w:val="22"/>
          <w:szCs w:val="22"/>
          <w:lang w:val="en-US"/>
        </w:rPr>
      </w:pPr>
      <w:hyperlink w:anchor="_Toc95924991" w:history="1">
        <w:r w:rsidR="0058288C" w:rsidRPr="001A38AD">
          <w:rPr>
            <w:rStyle w:val="Hyperlink"/>
            <w:noProof/>
          </w:rPr>
          <w:t>21.5</w:t>
        </w:r>
        <w:r w:rsidR="0058288C">
          <w:rPr>
            <w:rFonts w:asciiTheme="minorHAnsi" w:eastAsiaTheme="minorEastAsia" w:hAnsiTheme="minorHAnsi" w:cstheme="minorBidi"/>
            <w:noProof/>
            <w:sz w:val="22"/>
            <w:szCs w:val="22"/>
            <w:lang w:val="en-US"/>
          </w:rPr>
          <w:tab/>
        </w:r>
        <w:r w:rsidR="0058288C" w:rsidRPr="001A38AD">
          <w:rPr>
            <w:rStyle w:val="Hyperlink"/>
            <w:noProof/>
          </w:rPr>
          <w:t>Последствия при неизпълнение</w:t>
        </w:r>
        <w:r w:rsidR="0058288C">
          <w:rPr>
            <w:noProof/>
            <w:webHidden/>
          </w:rPr>
          <w:tab/>
        </w:r>
        <w:r w:rsidR="0058288C">
          <w:rPr>
            <w:noProof/>
            <w:webHidden/>
          </w:rPr>
          <w:fldChar w:fldCharType="begin"/>
        </w:r>
        <w:r w:rsidR="0058288C">
          <w:rPr>
            <w:noProof/>
            <w:webHidden/>
          </w:rPr>
          <w:instrText xml:space="preserve"> PAGEREF _Toc95924991 \h </w:instrText>
        </w:r>
        <w:r w:rsidR="0058288C">
          <w:rPr>
            <w:noProof/>
            <w:webHidden/>
          </w:rPr>
        </w:r>
        <w:r w:rsidR="0058288C">
          <w:rPr>
            <w:noProof/>
            <w:webHidden/>
          </w:rPr>
          <w:fldChar w:fldCharType="separate"/>
        </w:r>
        <w:r w:rsidR="0058288C">
          <w:rPr>
            <w:noProof/>
            <w:webHidden/>
          </w:rPr>
          <w:t>47</w:t>
        </w:r>
        <w:r w:rsidR="0058288C">
          <w:rPr>
            <w:noProof/>
            <w:webHidden/>
          </w:rPr>
          <w:fldChar w:fldCharType="end"/>
        </w:r>
      </w:hyperlink>
    </w:p>
    <w:p w14:paraId="41211E13" w14:textId="765E5EB7" w:rsidR="0058288C" w:rsidRDefault="00613C5F">
      <w:pPr>
        <w:pStyle w:val="TOC4"/>
        <w:rPr>
          <w:rFonts w:asciiTheme="minorHAnsi" w:eastAsiaTheme="minorEastAsia" w:hAnsiTheme="minorHAnsi" w:cstheme="minorBidi"/>
          <w:noProof/>
          <w:sz w:val="22"/>
          <w:szCs w:val="22"/>
          <w:lang w:val="en-US"/>
        </w:rPr>
      </w:pPr>
      <w:hyperlink w:anchor="_Toc95924992" w:history="1">
        <w:r w:rsidR="0058288C" w:rsidRPr="001A38AD">
          <w:rPr>
            <w:rStyle w:val="Hyperlink"/>
            <w:noProof/>
          </w:rPr>
          <w:t>ЧЛЕН 22 — ПЛАЩАНИЯ И СЪБИРАНИЯ — ИЗЧИСЛЯВАНЕ НА ДЪЛЖИМИТЕ СУМИ</w:t>
        </w:r>
        <w:r w:rsidR="0058288C">
          <w:rPr>
            <w:noProof/>
            <w:webHidden/>
          </w:rPr>
          <w:tab/>
        </w:r>
        <w:r w:rsidR="0058288C">
          <w:rPr>
            <w:noProof/>
            <w:webHidden/>
          </w:rPr>
          <w:fldChar w:fldCharType="begin"/>
        </w:r>
        <w:r w:rsidR="0058288C">
          <w:rPr>
            <w:noProof/>
            <w:webHidden/>
          </w:rPr>
          <w:instrText xml:space="preserve"> PAGEREF _Toc95924992 \h </w:instrText>
        </w:r>
        <w:r w:rsidR="0058288C">
          <w:rPr>
            <w:noProof/>
            <w:webHidden/>
          </w:rPr>
        </w:r>
        <w:r w:rsidR="0058288C">
          <w:rPr>
            <w:noProof/>
            <w:webHidden/>
          </w:rPr>
          <w:fldChar w:fldCharType="separate"/>
        </w:r>
        <w:r w:rsidR="0058288C">
          <w:rPr>
            <w:noProof/>
            <w:webHidden/>
          </w:rPr>
          <w:t>48</w:t>
        </w:r>
        <w:r w:rsidR="0058288C">
          <w:rPr>
            <w:noProof/>
            <w:webHidden/>
          </w:rPr>
          <w:fldChar w:fldCharType="end"/>
        </w:r>
      </w:hyperlink>
    </w:p>
    <w:p w14:paraId="2E8BA69B" w14:textId="002624D9" w:rsidR="0058288C" w:rsidRDefault="00613C5F">
      <w:pPr>
        <w:pStyle w:val="TOC5"/>
        <w:rPr>
          <w:rFonts w:asciiTheme="minorHAnsi" w:eastAsiaTheme="minorEastAsia" w:hAnsiTheme="minorHAnsi" w:cstheme="minorBidi"/>
          <w:noProof/>
          <w:sz w:val="22"/>
          <w:szCs w:val="22"/>
          <w:lang w:val="en-US"/>
        </w:rPr>
      </w:pPr>
      <w:hyperlink w:anchor="_Toc95924993" w:history="1">
        <w:r w:rsidR="0058288C" w:rsidRPr="001A38AD">
          <w:rPr>
            <w:rStyle w:val="Hyperlink"/>
            <w:noProof/>
          </w:rPr>
          <w:t>22.1</w:t>
        </w:r>
        <w:r w:rsidR="0058288C">
          <w:rPr>
            <w:rFonts w:asciiTheme="minorHAnsi" w:eastAsiaTheme="minorEastAsia" w:hAnsiTheme="minorHAnsi" w:cstheme="minorBidi"/>
            <w:noProof/>
            <w:sz w:val="22"/>
            <w:szCs w:val="22"/>
            <w:lang w:val="en-US"/>
          </w:rPr>
          <w:tab/>
        </w:r>
        <w:r w:rsidR="0058288C" w:rsidRPr="001A38AD">
          <w:rPr>
            <w:rStyle w:val="Hyperlink"/>
            <w:noProof/>
          </w:rPr>
          <w:t>Плащания и условия за плащане</w:t>
        </w:r>
        <w:r w:rsidR="0058288C">
          <w:rPr>
            <w:noProof/>
            <w:webHidden/>
          </w:rPr>
          <w:tab/>
        </w:r>
        <w:r w:rsidR="0058288C">
          <w:rPr>
            <w:noProof/>
            <w:webHidden/>
          </w:rPr>
          <w:fldChar w:fldCharType="begin"/>
        </w:r>
        <w:r w:rsidR="0058288C">
          <w:rPr>
            <w:noProof/>
            <w:webHidden/>
          </w:rPr>
          <w:instrText xml:space="preserve"> PAGEREF _Toc95924993 \h </w:instrText>
        </w:r>
        <w:r w:rsidR="0058288C">
          <w:rPr>
            <w:noProof/>
            <w:webHidden/>
          </w:rPr>
        </w:r>
        <w:r w:rsidR="0058288C">
          <w:rPr>
            <w:noProof/>
            <w:webHidden/>
          </w:rPr>
          <w:fldChar w:fldCharType="separate"/>
        </w:r>
        <w:r w:rsidR="0058288C">
          <w:rPr>
            <w:noProof/>
            <w:webHidden/>
          </w:rPr>
          <w:t>48</w:t>
        </w:r>
        <w:r w:rsidR="0058288C">
          <w:rPr>
            <w:noProof/>
            <w:webHidden/>
          </w:rPr>
          <w:fldChar w:fldCharType="end"/>
        </w:r>
      </w:hyperlink>
    </w:p>
    <w:p w14:paraId="3E834AC5" w14:textId="398CB609" w:rsidR="0058288C" w:rsidRDefault="00613C5F">
      <w:pPr>
        <w:pStyle w:val="TOC5"/>
        <w:rPr>
          <w:rFonts w:asciiTheme="minorHAnsi" w:eastAsiaTheme="minorEastAsia" w:hAnsiTheme="minorHAnsi" w:cstheme="minorBidi"/>
          <w:noProof/>
          <w:sz w:val="22"/>
          <w:szCs w:val="22"/>
          <w:lang w:val="en-US"/>
        </w:rPr>
      </w:pPr>
      <w:hyperlink w:anchor="_Toc95924994" w:history="1">
        <w:r w:rsidR="0058288C" w:rsidRPr="001A38AD">
          <w:rPr>
            <w:rStyle w:val="Hyperlink"/>
            <w:noProof/>
          </w:rPr>
          <w:t>22.2</w:t>
        </w:r>
        <w:r w:rsidR="0058288C">
          <w:rPr>
            <w:rFonts w:asciiTheme="minorHAnsi" w:eastAsiaTheme="minorEastAsia" w:hAnsiTheme="minorHAnsi" w:cstheme="minorBidi"/>
            <w:noProof/>
            <w:sz w:val="22"/>
            <w:szCs w:val="22"/>
            <w:lang w:val="en-US"/>
          </w:rPr>
          <w:tab/>
        </w:r>
        <w:r w:rsidR="0058288C" w:rsidRPr="001A38AD">
          <w:rPr>
            <w:rStyle w:val="Hyperlink"/>
            <w:noProof/>
          </w:rPr>
          <w:t>Събирания</w:t>
        </w:r>
        <w:r w:rsidR="0058288C">
          <w:rPr>
            <w:noProof/>
            <w:webHidden/>
          </w:rPr>
          <w:tab/>
        </w:r>
        <w:r w:rsidR="0058288C">
          <w:rPr>
            <w:noProof/>
            <w:webHidden/>
          </w:rPr>
          <w:fldChar w:fldCharType="begin"/>
        </w:r>
        <w:r w:rsidR="0058288C">
          <w:rPr>
            <w:noProof/>
            <w:webHidden/>
          </w:rPr>
          <w:instrText xml:space="preserve"> PAGEREF _Toc95924994 \h </w:instrText>
        </w:r>
        <w:r w:rsidR="0058288C">
          <w:rPr>
            <w:noProof/>
            <w:webHidden/>
          </w:rPr>
        </w:r>
        <w:r w:rsidR="0058288C">
          <w:rPr>
            <w:noProof/>
            <w:webHidden/>
          </w:rPr>
          <w:fldChar w:fldCharType="separate"/>
        </w:r>
        <w:r w:rsidR="0058288C">
          <w:rPr>
            <w:noProof/>
            <w:webHidden/>
          </w:rPr>
          <w:t>48</w:t>
        </w:r>
        <w:r w:rsidR="0058288C">
          <w:rPr>
            <w:noProof/>
            <w:webHidden/>
          </w:rPr>
          <w:fldChar w:fldCharType="end"/>
        </w:r>
      </w:hyperlink>
    </w:p>
    <w:p w14:paraId="4DD845D3" w14:textId="0D5CF02D" w:rsidR="0058288C" w:rsidRDefault="00613C5F">
      <w:pPr>
        <w:pStyle w:val="TOC5"/>
        <w:rPr>
          <w:rFonts w:asciiTheme="minorHAnsi" w:eastAsiaTheme="minorEastAsia" w:hAnsiTheme="minorHAnsi" w:cstheme="minorBidi"/>
          <w:noProof/>
          <w:sz w:val="22"/>
          <w:szCs w:val="22"/>
          <w:lang w:val="en-US"/>
        </w:rPr>
      </w:pPr>
      <w:hyperlink w:anchor="_Toc95924995" w:history="1">
        <w:r w:rsidR="0058288C" w:rsidRPr="001A38AD">
          <w:rPr>
            <w:rStyle w:val="Hyperlink"/>
            <w:noProof/>
          </w:rPr>
          <w:t>22.3</w:t>
        </w:r>
        <w:r w:rsidR="0058288C">
          <w:rPr>
            <w:rFonts w:asciiTheme="minorHAnsi" w:eastAsiaTheme="minorEastAsia" w:hAnsiTheme="minorHAnsi" w:cstheme="minorBidi"/>
            <w:noProof/>
            <w:sz w:val="22"/>
            <w:szCs w:val="22"/>
            <w:lang w:val="en-US"/>
          </w:rPr>
          <w:tab/>
        </w:r>
        <w:r w:rsidR="0058288C" w:rsidRPr="001A38AD">
          <w:rPr>
            <w:rStyle w:val="Hyperlink"/>
            <w:noProof/>
          </w:rPr>
          <w:t>Дължими суми</w:t>
        </w:r>
        <w:r w:rsidR="0058288C">
          <w:rPr>
            <w:noProof/>
            <w:webHidden/>
          </w:rPr>
          <w:tab/>
        </w:r>
        <w:r w:rsidR="0058288C">
          <w:rPr>
            <w:noProof/>
            <w:webHidden/>
          </w:rPr>
          <w:fldChar w:fldCharType="begin"/>
        </w:r>
        <w:r w:rsidR="0058288C">
          <w:rPr>
            <w:noProof/>
            <w:webHidden/>
          </w:rPr>
          <w:instrText xml:space="preserve"> PAGEREF _Toc95924995 \h </w:instrText>
        </w:r>
        <w:r w:rsidR="0058288C">
          <w:rPr>
            <w:noProof/>
            <w:webHidden/>
          </w:rPr>
        </w:r>
        <w:r w:rsidR="0058288C">
          <w:rPr>
            <w:noProof/>
            <w:webHidden/>
          </w:rPr>
          <w:fldChar w:fldCharType="separate"/>
        </w:r>
        <w:r w:rsidR="0058288C">
          <w:rPr>
            <w:noProof/>
            <w:webHidden/>
          </w:rPr>
          <w:t>49</w:t>
        </w:r>
        <w:r w:rsidR="0058288C">
          <w:rPr>
            <w:noProof/>
            <w:webHidden/>
          </w:rPr>
          <w:fldChar w:fldCharType="end"/>
        </w:r>
      </w:hyperlink>
    </w:p>
    <w:p w14:paraId="7CFB9CD2" w14:textId="4BC0349A" w:rsidR="0058288C" w:rsidRDefault="00613C5F">
      <w:pPr>
        <w:pStyle w:val="TOC5"/>
        <w:rPr>
          <w:rFonts w:asciiTheme="minorHAnsi" w:eastAsiaTheme="minorEastAsia" w:hAnsiTheme="minorHAnsi" w:cstheme="minorBidi"/>
          <w:noProof/>
          <w:sz w:val="22"/>
          <w:szCs w:val="22"/>
          <w:lang w:val="en-US"/>
        </w:rPr>
      </w:pPr>
      <w:hyperlink w:anchor="_Toc95924996" w:history="1">
        <w:r w:rsidR="0058288C" w:rsidRPr="001A38AD">
          <w:rPr>
            <w:rStyle w:val="Hyperlink"/>
            <w:noProof/>
          </w:rPr>
          <w:t>22.4</w:t>
        </w:r>
        <w:r w:rsidR="0058288C">
          <w:rPr>
            <w:rFonts w:asciiTheme="minorHAnsi" w:eastAsiaTheme="minorEastAsia" w:hAnsiTheme="minorHAnsi" w:cstheme="minorBidi"/>
            <w:noProof/>
            <w:sz w:val="22"/>
            <w:szCs w:val="22"/>
            <w:lang w:val="en-US"/>
          </w:rPr>
          <w:tab/>
        </w:r>
        <w:r w:rsidR="0058288C" w:rsidRPr="001A38AD">
          <w:rPr>
            <w:rStyle w:val="Hyperlink"/>
            <w:noProof/>
          </w:rPr>
          <w:t>Принудително събиране</w:t>
        </w:r>
        <w:r w:rsidR="0058288C">
          <w:rPr>
            <w:noProof/>
            <w:webHidden/>
          </w:rPr>
          <w:tab/>
        </w:r>
        <w:r w:rsidR="0058288C">
          <w:rPr>
            <w:noProof/>
            <w:webHidden/>
          </w:rPr>
          <w:fldChar w:fldCharType="begin"/>
        </w:r>
        <w:r w:rsidR="0058288C">
          <w:rPr>
            <w:noProof/>
            <w:webHidden/>
          </w:rPr>
          <w:instrText xml:space="preserve"> PAGEREF _Toc95924996 \h </w:instrText>
        </w:r>
        <w:r w:rsidR="0058288C">
          <w:rPr>
            <w:noProof/>
            <w:webHidden/>
          </w:rPr>
        </w:r>
        <w:r w:rsidR="0058288C">
          <w:rPr>
            <w:noProof/>
            <w:webHidden/>
          </w:rPr>
          <w:fldChar w:fldCharType="separate"/>
        </w:r>
        <w:r w:rsidR="0058288C">
          <w:rPr>
            <w:noProof/>
            <w:webHidden/>
          </w:rPr>
          <w:t>54</w:t>
        </w:r>
        <w:r w:rsidR="0058288C">
          <w:rPr>
            <w:noProof/>
            <w:webHidden/>
          </w:rPr>
          <w:fldChar w:fldCharType="end"/>
        </w:r>
      </w:hyperlink>
    </w:p>
    <w:p w14:paraId="5BBC1714" w14:textId="64CC6BA9" w:rsidR="0058288C" w:rsidRDefault="00613C5F">
      <w:pPr>
        <w:pStyle w:val="TOC5"/>
        <w:rPr>
          <w:rFonts w:asciiTheme="minorHAnsi" w:eastAsiaTheme="minorEastAsia" w:hAnsiTheme="minorHAnsi" w:cstheme="minorBidi"/>
          <w:noProof/>
          <w:sz w:val="22"/>
          <w:szCs w:val="22"/>
          <w:lang w:val="en-US"/>
        </w:rPr>
      </w:pPr>
      <w:hyperlink w:anchor="_Toc95924997" w:history="1">
        <w:r w:rsidR="0058288C" w:rsidRPr="001A38AD">
          <w:rPr>
            <w:rStyle w:val="Hyperlink"/>
            <w:noProof/>
          </w:rPr>
          <w:t>22.5</w:t>
        </w:r>
        <w:r w:rsidR="0058288C">
          <w:rPr>
            <w:rFonts w:asciiTheme="minorHAnsi" w:eastAsiaTheme="minorEastAsia" w:hAnsiTheme="minorHAnsi" w:cstheme="minorBidi"/>
            <w:noProof/>
            <w:sz w:val="22"/>
            <w:szCs w:val="22"/>
            <w:lang w:val="en-US"/>
          </w:rPr>
          <w:tab/>
        </w:r>
        <w:r w:rsidR="0058288C" w:rsidRPr="001A38AD">
          <w:rPr>
            <w:rStyle w:val="Hyperlink"/>
            <w:noProof/>
          </w:rPr>
          <w:t>Последствия при неизпълнение</w:t>
        </w:r>
        <w:r w:rsidR="0058288C">
          <w:rPr>
            <w:noProof/>
            <w:webHidden/>
          </w:rPr>
          <w:tab/>
        </w:r>
        <w:r w:rsidR="0058288C">
          <w:rPr>
            <w:noProof/>
            <w:webHidden/>
          </w:rPr>
          <w:fldChar w:fldCharType="begin"/>
        </w:r>
        <w:r w:rsidR="0058288C">
          <w:rPr>
            <w:noProof/>
            <w:webHidden/>
          </w:rPr>
          <w:instrText xml:space="preserve"> PAGEREF _Toc95924997 \h </w:instrText>
        </w:r>
        <w:r w:rsidR="0058288C">
          <w:rPr>
            <w:noProof/>
            <w:webHidden/>
          </w:rPr>
        </w:r>
        <w:r w:rsidR="0058288C">
          <w:rPr>
            <w:noProof/>
            <w:webHidden/>
          </w:rPr>
          <w:fldChar w:fldCharType="separate"/>
        </w:r>
        <w:r w:rsidR="0058288C">
          <w:rPr>
            <w:noProof/>
            <w:webHidden/>
          </w:rPr>
          <w:t>55</w:t>
        </w:r>
        <w:r w:rsidR="0058288C">
          <w:rPr>
            <w:noProof/>
            <w:webHidden/>
          </w:rPr>
          <w:fldChar w:fldCharType="end"/>
        </w:r>
      </w:hyperlink>
    </w:p>
    <w:p w14:paraId="59CE3E98" w14:textId="0E64587E" w:rsidR="0058288C" w:rsidRDefault="00613C5F">
      <w:pPr>
        <w:pStyle w:val="TOC4"/>
        <w:rPr>
          <w:rFonts w:asciiTheme="minorHAnsi" w:eastAsiaTheme="minorEastAsia" w:hAnsiTheme="minorHAnsi" w:cstheme="minorBidi"/>
          <w:noProof/>
          <w:sz w:val="22"/>
          <w:szCs w:val="22"/>
          <w:lang w:val="en-US"/>
        </w:rPr>
      </w:pPr>
      <w:hyperlink w:anchor="_Toc95924998" w:history="1">
        <w:r w:rsidR="0058288C" w:rsidRPr="001A38AD">
          <w:rPr>
            <w:rStyle w:val="Hyperlink"/>
            <w:noProof/>
          </w:rPr>
          <w:t>ЧЛЕН 23 — ГАРАНЦИИ</w:t>
        </w:r>
        <w:r w:rsidR="0058288C">
          <w:rPr>
            <w:noProof/>
            <w:webHidden/>
          </w:rPr>
          <w:tab/>
        </w:r>
        <w:r w:rsidR="0058288C">
          <w:rPr>
            <w:noProof/>
            <w:webHidden/>
          </w:rPr>
          <w:fldChar w:fldCharType="begin"/>
        </w:r>
        <w:r w:rsidR="0058288C">
          <w:rPr>
            <w:noProof/>
            <w:webHidden/>
          </w:rPr>
          <w:instrText xml:space="preserve"> PAGEREF _Toc95924998 \h </w:instrText>
        </w:r>
        <w:r w:rsidR="0058288C">
          <w:rPr>
            <w:noProof/>
            <w:webHidden/>
          </w:rPr>
        </w:r>
        <w:r w:rsidR="0058288C">
          <w:rPr>
            <w:noProof/>
            <w:webHidden/>
          </w:rPr>
          <w:fldChar w:fldCharType="separate"/>
        </w:r>
        <w:r w:rsidR="0058288C">
          <w:rPr>
            <w:noProof/>
            <w:webHidden/>
          </w:rPr>
          <w:t>56</w:t>
        </w:r>
        <w:r w:rsidR="0058288C">
          <w:rPr>
            <w:noProof/>
            <w:webHidden/>
          </w:rPr>
          <w:fldChar w:fldCharType="end"/>
        </w:r>
      </w:hyperlink>
    </w:p>
    <w:p w14:paraId="58442F60" w14:textId="2FC1F22C" w:rsidR="0058288C" w:rsidRDefault="00613C5F">
      <w:pPr>
        <w:pStyle w:val="TOC5"/>
        <w:rPr>
          <w:rFonts w:asciiTheme="minorHAnsi" w:eastAsiaTheme="minorEastAsia" w:hAnsiTheme="minorHAnsi" w:cstheme="minorBidi"/>
          <w:noProof/>
          <w:sz w:val="22"/>
          <w:szCs w:val="22"/>
          <w:lang w:val="en-US"/>
        </w:rPr>
      </w:pPr>
      <w:hyperlink w:anchor="_Toc95924999" w:history="1">
        <w:r w:rsidR="0058288C" w:rsidRPr="001A38AD">
          <w:rPr>
            <w:rStyle w:val="Hyperlink"/>
            <w:noProof/>
          </w:rPr>
          <w:t>23.1</w:t>
        </w:r>
        <w:r w:rsidR="0058288C">
          <w:rPr>
            <w:rFonts w:asciiTheme="minorHAnsi" w:eastAsiaTheme="minorEastAsia" w:hAnsiTheme="minorHAnsi" w:cstheme="minorBidi"/>
            <w:noProof/>
            <w:sz w:val="22"/>
            <w:szCs w:val="22"/>
            <w:lang w:val="en-US"/>
          </w:rPr>
          <w:tab/>
        </w:r>
        <w:r w:rsidR="0058288C" w:rsidRPr="001A38AD">
          <w:rPr>
            <w:rStyle w:val="Hyperlink"/>
            <w:noProof/>
          </w:rPr>
          <w:t>Гаранция за предварителното финансиране</w:t>
        </w:r>
        <w:r w:rsidR="0058288C">
          <w:rPr>
            <w:noProof/>
            <w:webHidden/>
          </w:rPr>
          <w:tab/>
        </w:r>
        <w:r w:rsidR="0058288C">
          <w:rPr>
            <w:noProof/>
            <w:webHidden/>
          </w:rPr>
          <w:fldChar w:fldCharType="begin"/>
        </w:r>
        <w:r w:rsidR="0058288C">
          <w:rPr>
            <w:noProof/>
            <w:webHidden/>
          </w:rPr>
          <w:instrText xml:space="preserve"> PAGEREF _Toc95924999 \h </w:instrText>
        </w:r>
        <w:r w:rsidR="0058288C">
          <w:rPr>
            <w:noProof/>
            <w:webHidden/>
          </w:rPr>
        </w:r>
        <w:r w:rsidR="0058288C">
          <w:rPr>
            <w:noProof/>
            <w:webHidden/>
          </w:rPr>
          <w:fldChar w:fldCharType="separate"/>
        </w:r>
        <w:r w:rsidR="0058288C">
          <w:rPr>
            <w:noProof/>
            <w:webHidden/>
          </w:rPr>
          <w:t>56</w:t>
        </w:r>
        <w:r w:rsidR="0058288C">
          <w:rPr>
            <w:noProof/>
            <w:webHidden/>
          </w:rPr>
          <w:fldChar w:fldCharType="end"/>
        </w:r>
      </w:hyperlink>
    </w:p>
    <w:p w14:paraId="4ADA4DC4" w14:textId="34A88870" w:rsidR="0058288C" w:rsidRDefault="00613C5F">
      <w:pPr>
        <w:pStyle w:val="TOC5"/>
        <w:rPr>
          <w:rFonts w:asciiTheme="minorHAnsi" w:eastAsiaTheme="minorEastAsia" w:hAnsiTheme="minorHAnsi" w:cstheme="minorBidi"/>
          <w:noProof/>
          <w:sz w:val="22"/>
          <w:szCs w:val="22"/>
          <w:lang w:val="en-US"/>
        </w:rPr>
      </w:pPr>
      <w:hyperlink w:anchor="_Toc95925000" w:history="1">
        <w:r w:rsidR="0058288C" w:rsidRPr="001A38AD">
          <w:rPr>
            <w:rStyle w:val="Hyperlink"/>
            <w:noProof/>
          </w:rPr>
          <w:t>23.2</w:t>
        </w:r>
        <w:r w:rsidR="0058288C">
          <w:rPr>
            <w:rFonts w:asciiTheme="minorHAnsi" w:eastAsiaTheme="minorEastAsia" w:hAnsiTheme="minorHAnsi" w:cstheme="minorBidi"/>
            <w:noProof/>
            <w:sz w:val="22"/>
            <w:szCs w:val="22"/>
            <w:lang w:val="en-US"/>
          </w:rPr>
          <w:tab/>
        </w:r>
        <w:r w:rsidR="0058288C" w:rsidRPr="001A38AD">
          <w:rPr>
            <w:rStyle w:val="Hyperlink"/>
            <w:noProof/>
          </w:rPr>
          <w:t>Последствия при неизпълнение</w:t>
        </w:r>
        <w:r w:rsidR="0058288C">
          <w:rPr>
            <w:noProof/>
            <w:webHidden/>
          </w:rPr>
          <w:tab/>
        </w:r>
        <w:r w:rsidR="0058288C">
          <w:rPr>
            <w:noProof/>
            <w:webHidden/>
          </w:rPr>
          <w:fldChar w:fldCharType="begin"/>
        </w:r>
        <w:r w:rsidR="0058288C">
          <w:rPr>
            <w:noProof/>
            <w:webHidden/>
          </w:rPr>
          <w:instrText xml:space="preserve"> PAGEREF _Toc95925000 \h </w:instrText>
        </w:r>
        <w:r w:rsidR="0058288C">
          <w:rPr>
            <w:noProof/>
            <w:webHidden/>
          </w:rPr>
        </w:r>
        <w:r w:rsidR="0058288C">
          <w:rPr>
            <w:noProof/>
            <w:webHidden/>
          </w:rPr>
          <w:fldChar w:fldCharType="separate"/>
        </w:r>
        <w:r w:rsidR="0058288C">
          <w:rPr>
            <w:noProof/>
            <w:webHidden/>
          </w:rPr>
          <w:t>56</w:t>
        </w:r>
        <w:r w:rsidR="0058288C">
          <w:rPr>
            <w:noProof/>
            <w:webHidden/>
          </w:rPr>
          <w:fldChar w:fldCharType="end"/>
        </w:r>
      </w:hyperlink>
    </w:p>
    <w:p w14:paraId="33E63484" w14:textId="1E34A49B" w:rsidR="0058288C" w:rsidRDefault="00613C5F">
      <w:pPr>
        <w:pStyle w:val="TOC4"/>
        <w:rPr>
          <w:rFonts w:asciiTheme="minorHAnsi" w:eastAsiaTheme="minorEastAsia" w:hAnsiTheme="minorHAnsi" w:cstheme="minorBidi"/>
          <w:noProof/>
          <w:sz w:val="22"/>
          <w:szCs w:val="22"/>
          <w:lang w:val="en-US"/>
        </w:rPr>
      </w:pPr>
      <w:hyperlink w:anchor="_Toc95925001" w:history="1">
        <w:r w:rsidR="0058288C" w:rsidRPr="001A38AD">
          <w:rPr>
            <w:rStyle w:val="Hyperlink"/>
            <w:noProof/>
          </w:rPr>
          <w:t>ЧЛЕН 24 — СЕРТИФИКАТИ</w:t>
        </w:r>
        <w:r w:rsidR="0058288C">
          <w:rPr>
            <w:noProof/>
            <w:webHidden/>
          </w:rPr>
          <w:tab/>
        </w:r>
        <w:r w:rsidR="0058288C">
          <w:rPr>
            <w:noProof/>
            <w:webHidden/>
          </w:rPr>
          <w:fldChar w:fldCharType="begin"/>
        </w:r>
        <w:r w:rsidR="0058288C">
          <w:rPr>
            <w:noProof/>
            <w:webHidden/>
          </w:rPr>
          <w:instrText xml:space="preserve"> PAGEREF _Toc95925001 \h </w:instrText>
        </w:r>
        <w:r w:rsidR="0058288C">
          <w:rPr>
            <w:noProof/>
            <w:webHidden/>
          </w:rPr>
        </w:r>
        <w:r w:rsidR="0058288C">
          <w:rPr>
            <w:noProof/>
            <w:webHidden/>
          </w:rPr>
          <w:fldChar w:fldCharType="separate"/>
        </w:r>
        <w:r w:rsidR="0058288C">
          <w:rPr>
            <w:noProof/>
            <w:webHidden/>
          </w:rPr>
          <w:t>56</w:t>
        </w:r>
        <w:r w:rsidR="0058288C">
          <w:rPr>
            <w:noProof/>
            <w:webHidden/>
          </w:rPr>
          <w:fldChar w:fldCharType="end"/>
        </w:r>
      </w:hyperlink>
    </w:p>
    <w:p w14:paraId="21797D67" w14:textId="37442883" w:rsidR="0058288C" w:rsidRDefault="00613C5F">
      <w:pPr>
        <w:pStyle w:val="TOC5"/>
        <w:rPr>
          <w:rFonts w:asciiTheme="minorHAnsi" w:eastAsiaTheme="minorEastAsia" w:hAnsiTheme="minorHAnsi" w:cstheme="minorBidi"/>
          <w:noProof/>
          <w:sz w:val="22"/>
          <w:szCs w:val="22"/>
          <w:lang w:val="en-US"/>
        </w:rPr>
      </w:pPr>
      <w:hyperlink w:anchor="_Toc95925002" w:history="1">
        <w:r w:rsidR="0058288C" w:rsidRPr="001A38AD">
          <w:rPr>
            <w:rStyle w:val="Hyperlink"/>
            <w:noProof/>
          </w:rPr>
          <w:t>24.1</w:t>
        </w:r>
        <w:r w:rsidR="0058288C">
          <w:rPr>
            <w:rFonts w:asciiTheme="minorHAnsi" w:eastAsiaTheme="minorEastAsia" w:hAnsiTheme="minorHAnsi" w:cstheme="minorBidi"/>
            <w:noProof/>
            <w:sz w:val="22"/>
            <w:szCs w:val="22"/>
            <w:lang w:val="en-US"/>
          </w:rPr>
          <w:tab/>
        </w:r>
        <w:r w:rsidR="0058288C" w:rsidRPr="001A38AD">
          <w:rPr>
            <w:rStyle w:val="Hyperlink"/>
            <w:noProof/>
          </w:rPr>
          <w:t>Доклад от оперативна проверка</w:t>
        </w:r>
        <w:r w:rsidR="0058288C">
          <w:rPr>
            <w:noProof/>
            <w:webHidden/>
          </w:rPr>
          <w:tab/>
        </w:r>
        <w:r w:rsidR="0058288C">
          <w:rPr>
            <w:noProof/>
            <w:webHidden/>
          </w:rPr>
          <w:fldChar w:fldCharType="begin"/>
        </w:r>
        <w:r w:rsidR="0058288C">
          <w:rPr>
            <w:noProof/>
            <w:webHidden/>
          </w:rPr>
          <w:instrText xml:space="preserve"> PAGEREF _Toc95925002 \h </w:instrText>
        </w:r>
        <w:r w:rsidR="0058288C">
          <w:rPr>
            <w:noProof/>
            <w:webHidden/>
          </w:rPr>
        </w:r>
        <w:r w:rsidR="0058288C">
          <w:rPr>
            <w:noProof/>
            <w:webHidden/>
          </w:rPr>
          <w:fldChar w:fldCharType="separate"/>
        </w:r>
        <w:r w:rsidR="0058288C">
          <w:rPr>
            <w:noProof/>
            <w:webHidden/>
          </w:rPr>
          <w:t>56</w:t>
        </w:r>
        <w:r w:rsidR="0058288C">
          <w:rPr>
            <w:noProof/>
            <w:webHidden/>
          </w:rPr>
          <w:fldChar w:fldCharType="end"/>
        </w:r>
      </w:hyperlink>
    </w:p>
    <w:p w14:paraId="4CCC9CE7" w14:textId="6AD21C71" w:rsidR="0058288C" w:rsidRDefault="00613C5F">
      <w:pPr>
        <w:pStyle w:val="TOC5"/>
        <w:rPr>
          <w:rFonts w:asciiTheme="minorHAnsi" w:eastAsiaTheme="minorEastAsia" w:hAnsiTheme="minorHAnsi" w:cstheme="minorBidi"/>
          <w:noProof/>
          <w:sz w:val="22"/>
          <w:szCs w:val="22"/>
          <w:lang w:val="en-US"/>
        </w:rPr>
      </w:pPr>
      <w:hyperlink w:anchor="_Toc95925003" w:history="1">
        <w:r w:rsidR="0058288C" w:rsidRPr="001A38AD">
          <w:rPr>
            <w:rStyle w:val="Hyperlink"/>
            <w:noProof/>
          </w:rPr>
          <w:t>24.2</w:t>
        </w:r>
        <w:r w:rsidR="0058288C">
          <w:rPr>
            <w:rFonts w:asciiTheme="minorHAnsi" w:eastAsiaTheme="minorEastAsia" w:hAnsiTheme="minorHAnsi" w:cstheme="minorBidi"/>
            <w:noProof/>
            <w:sz w:val="22"/>
            <w:szCs w:val="22"/>
            <w:lang w:val="en-US"/>
          </w:rPr>
          <w:tab/>
        </w:r>
        <w:r w:rsidR="0058288C" w:rsidRPr="001A38AD">
          <w:rPr>
            <w:rStyle w:val="Hyperlink"/>
            <w:noProof/>
          </w:rPr>
          <w:t>Сертификат за финансовия отчет (СФО)</w:t>
        </w:r>
        <w:r w:rsidR="0058288C">
          <w:rPr>
            <w:noProof/>
            <w:webHidden/>
          </w:rPr>
          <w:tab/>
        </w:r>
        <w:r w:rsidR="0058288C">
          <w:rPr>
            <w:noProof/>
            <w:webHidden/>
          </w:rPr>
          <w:fldChar w:fldCharType="begin"/>
        </w:r>
        <w:r w:rsidR="0058288C">
          <w:rPr>
            <w:noProof/>
            <w:webHidden/>
          </w:rPr>
          <w:instrText xml:space="preserve"> PAGEREF _Toc95925003 \h </w:instrText>
        </w:r>
        <w:r w:rsidR="0058288C">
          <w:rPr>
            <w:noProof/>
            <w:webHidden/>
          </w:rPr>
        </w:r>
        <w:r w:rsidR="0058288C">
          <w:rPr>
            <w:noProof/>
            <w:webHidden/>
          </w:rPr>
          <w:fldChar w:fldCharType="separate"/>
        </w:r>
        <w:r w:rsidR="0058288C">
          <w:rPr>
            <w:noProof/>
            <w:webHidden/>
          </w:rPr>
          <w:t>57</w:t>
        </w:r>
        <w:r w:rsidR="0058288C">
          <w:rPr>
            <w:noProof/>
            <w:webHidden/>
          </w:rPr>
          <w:fldChar w:fldCharType="end"/>
        </w:r>
      </w:hyperlink>
    </w:p>
    <w:p w14:paraId="60AC2481" w14:textId="2A44D85D" w:rsidR="0058288C" w:rsidRDefault="00613C5F">
      <w:pPr>
        <w:pStyle w:val="TOC5"/>
        <w:rPr>
          <w:rFonts w:asciiTheme="minorHAnsi" w:eastAsiaTheme="minorEastAsia" w:hAnsiTheme="minorHAnsi" w:cstheme="minorBidi"/>
          <w:noProof/>
          <w:sz w:val="22"/>
          <w:szCs w:val="22"/>
          <w:lang w:val="en-US"/>
        </w:rPr>
      </w:pPr>
      <w:hyperlink w:anchor="_Toc95925004" w:history="1">
        <w:r w:rsidR="0058288C" w:rsidRPr="001A38AD">
          <w:rPr>
            <w:rStyle w:val="Hyperlink"/>
            <w:noProof/>
          </w:rPr>
          <w:t>24.3</w:t>
        </w:r>
        <w:r w:rsidR="0058288C">
          <w:rPr>
            <w:rFonts w:asciiTheme="minorHAnsi" w:eastAsiaTheme="minorEastAsia" w:hAnsiTheme="minorHAnsi" w:cstheme="minorBidi"/>
            <w:noProof/>
            <w:sz w:val="22"/>
            <w:szCs w:val="22"/>
            <w:lang w:val="en-US"/>
          </w:rPr>
          <w:tab/>
        </w:r>
        <w:r w:rsidR="0058288C" w:rsidRPr="001A38AD">
          <w:rPr>
            <w:rStyle w:val="Hyperlink"/>
            <w:noProof/>
          </w:rPr>
          <w:t>Сертификат за съответствие на обичайните практики за счетоводно отчитане на разходите</w:t>
        </w:r>
        <w:r w:rsidR="0058288C">
          <w:rPr>
            <w:noProof/>
            <w:webHidden/>
          </w:rPr>
          <w:tab/>
        </w:r>
        <w:r w:rsidR="0058288C">
          <w:rPr>
            <w:noProof/>
            <w:webHidden/>
          </w:rPr>
          <w:fldChar w:fldCharType="begin"/>
        </w:r>
        <w:r w:rsidR="0058288C">
          <w:rPr>
            <w:noProof/>
            <w:webHidden/>
          </w:rPr>
          <w:instrText xml:space="preserve"> PAGEREF _Toc95925004 \h </w:instrText>
        </w:r>
        <w:r w:rsidR="0058288C">
          <w:rPr>
            <w:noProof/>
            <w:webHidden/>
          </w:rPr>
        </w:r>
        <w:r w:rsidR="0058288C">
          <w:rPr>
            <w:noProof/>
            <w:webHidden/>
          </w:rPr>
          <w:fldChar w:fldCharType="separate"/>
        </w:r>
        <w:r w:rsidR="0058288C">
          <w:rPr>
            <w:noProof/>
            <w:webHidden/>
          </w:rPr>
          <w:t>57</w:t>
        </w:r>
        <w:r w:rsidR="0058288C">
          <w:rPr>
            <w:noProof/>
            <w:webHidden/>
          </w:rPr>
          <w:fldChar w:fldCharType="end"/>
        </w:r>
      </w:hyperlink>
    </w:p>
    <w:p w14:paraId="470159DB" w14:textId="5D42D2EB" w:rsidR="0058288C" w:rsidRDefault="00613C5F">
      <w:pPr>
        <w:pStyle w:val="TOC5"/>
        <w:rPr>
          <w:rFonts w:asciiTheme="minorHAnsi" w:eastAsiaTheme="minorEastAsia" w:hAnsiTheme="minorHAnsi" w:cstheme="minorBidi"/>
          <w:noProof/>
          <w:sz w:val="22"/>
          <w:szCs w:val="22"/>
          <w:lang w:val="en-US"/>
        </w:rPr>
      </w:pPr>
      <w:hyperlink w:anchor="_Toc95925005" w:history="1">
        <w:r w:rsidR="0058288C" w:rsidRPr="001A38AD">
          <w:rPr>
            <w:rStyle w:val="Hyperlink"/>
            <w:noProof/>
          </w:rPr>
          <w:t>24.4</w:t>
        </w:r>
        <w:r w:rsidR="0058288C">
          <w:rPr>
            <w:rFonts w:asciiTheme="minorHAnsi" w:eastAsiaTheme="minorEastAsia" w:hAnsiTheme="minorHAnsi" w:cstheme="minorBidi"/>
            <w:noProof/>
            <w:sz w:val="22"/>
            <w:szCs w:val="22"/>
            <w:lang w:val="en-US"/>
          </w:rPr>
          <w:tab/>
        </w:r>
        <w:r w:rsidR="0058288C" w:rsidRPr="001A38AD">
          <w:rPr>
            <w:rStyle w:val="Hyperlink"/>
            <w:noProof/>
          </w:rPr>
          <w:t>Одит на системи и процеси</w:t>
        </w:r>
        <w:r w:rsidR="0058288C">
          <w:rPr>
            <w:noProof/>
            <w:webHidden/>
          </w:rPr>
          <w:tab/>
        </w:r>
        <w:r w:rsidR="0058288C">
          <w:rPr>
            <w:noProof/>
            <w:webHidden/>
          </w:rPr>
          <w:fldChar w:fldCharType="begin"/>
        </w:r>
        <w:r w:rsidR="0058288C">
          <w:rPr>
            <w:noProof/>
            <w:webHidden/>
          </w:rPr>
          <w:instrText xml:space="preserve"> PAGEREF _Toc95925005 \h </w:instrText>
        </w:r>
        <w:r w:rsidR="0058288C">
          <w:rPr>
            <w:noProof/>
            <w:webHidden/>
          </w:rPr>
        </w:r>
        <w:r w:rsidR="0058288C">
          <w:rPr>
            <w:noProof/>
            <w:webHidden/>
          </w:rPr>
          <w:fldChar w:fldCharType="separate"/>
        </w:r>
        <w:r w:rsidR="0058288C">
          <w:rPr>
            <w:noProof/>
            <w:webHidden/>
          </w:rPr>
          <w:t>57</w:t>
        </w:r>
        <w:r w:rsidR="0058288C">
          <w:rPr>
            <w:noProof/>
            <w:webHidden/>
          </w:rPr>
          <w:fldChar w:fldCharType="end"/>
        </w:r>
      </w:hyperlink>
    </w:p>
    <w:p w14:paraId="19E0FD1A" w14:textId="38C6D945" w:rsidR="0058288C" w:rsidRDefault="00613C5F">
      <w:pPr>
        <w:pStyle w:val="TOC5"/>
        <w:rPr>
          <w:rFonts w:asciiTheme="minorHAnsi" w:eastAsiaTheme="minorEastAsia" w:hAnsiTheme="minorHAnsi" w:cstheme="minorBidi"/>
          <w:noProof/>
          <w:sz w:val="22"/>
          <w:szCs w:val="22"/>
          <w:lang w:val="en-US"/>
        </w:rPr>
      </w:pPr>
      <w:hyperlink w:anchor="_Toc95925006" w:history="1">
        <w:r w:rsidR="0058288C" w:rsidRPr="001A38AD">
          <w:rPr>
            <w:rStyle w:val="Hyperlink"/>
            <w:noProof/>
          </w:rPr>
          <w:t>24.5</w:t>
        </w:r>
        <w:r w:rsidR="0058288C">
          <w:rPr>
            <w:rFonts w:asciiTheme="minorHAnsi" w:eastAsiaTheme="minorEastAsia" w:hAnsiTheme="minorHAnsi" w:cstheme="minorBidi"/>
            <w:noProof/>
            <w:sz w:val="22"/>
            <w:szCs w:val="22"/>
            <w:lang w:val="en-US"/>
          </w:rPr>
          <w:tab/>
        </w:r>
        <w:r w:rsidR="0058288C" w:rsidRPr="001A38AD">
          <w:rPr>
            <w:rStyle w:val="Hyperlink"/>
            <w:noProof/>
          </w:rPr>
          <w:t>Последствия при неизпълнение</w:t>
        </w:r>
        <w:r w:rsidR="0058288C">
          <w:rPr>
            <w:noProof/>
            <w:webHidden/>
          </w:rPr>
          <w:tab/>
        </w:r>
        <w:r w:rsidR="0058288C">
          <w:rPr>
            <w:noProof/>
            <w:webHidden/>
          </w:rPr>
          <w:fldChar w:fldCharType="begin"/>
        </w:r>
        <w:r w:rsidR="0058288C">
          <w:rPr>
            <w:noProof/>
            <w:webHidden/>
          </w:rPr>
          <w:instrText xml:space="preserve"> PAGEREF _Toc95925006 \h </w:instrText>
        </w:r>
        <w:r w:rsidR="0058288C">
          <w:rPr>
            <w:noProof/>
            <w:webHidden/>
          </w:rPr>
        </w:r>
        <w:r w:rsidR="0058288C">
          <w:rPr>
            <w:noProof/>
            <w:webHidden/>
          </w:rPr>
          <w:fldChar w:fldCharType="separate"/>
        </w:r>
        <w:r w:rsidR="0058288C">
          <w:rPr>
            <w:noProof/>
            <w:webHidden/>
          </w:rPr>
          <w:t>57</w:t>
        </w:r>
        <w:r w:rsidR="0058288C">
          <w:rPr>
            <w:noProof/>
            <w:webHidden/>
          </w:rPr>
          <w:fldChar w:fldCharType="end"/>
        </w:r>
      </w:hyperlink>
    </w:p>
    <w:p w14:paraId="675AA06A" w14:textId="411E4D21" w:rsidR="0058288C" w:rsidRDefault="00613C5F">
      <w:pPr>
        <w:pStyle w:val="TOC4"/>
        <w:rPr>
          <w:rFonts w:asciiTheme="minorHAnsi" w:eastAsiaTheme="minorEastAsia" w:hAnsiTheme="minorHAnsi" w:cstheme="minorBidi"/>
          <w:noProof/>
          <w:sz w:val="22"/>
          <w:szCs w:val="22"/>
          <w:lang w:val="en-US"/>
        </w:rPr>
      </w:pPr>
      <w:hyperlink w:anchor="_Toc95925007" w:history="1">
        <w:r w:rsidR="0058288C" w:rsidRPr="001A38AD">
          <w:rPr>
            <w:rStyle w:val="Hyperlink"/>
            <w:noProof/>
          </w:rPr>
          <w:t>ЧЛЕН 25 — ПРОВЕРКИ, ПРЕГЛЕДИ, ОДИТИ И РАЗСЛЕДВАНИЯ — РАЗШИРЯВАНЕ НА ОБХВАТА НА КОНСТАТАЦИИТЕ</w:t>
        </w:r>
        <w:r w:rsidR="0058288C">
          <w:rPr>
            <w:noProof/>
            <w:webHidden/>
          </w:rPr>
          <w:tab/>
        </w:r>
        <w:r w:rsidR="0058288C">
          <w:rPr>
            <w:noProof/>
            <w:webHidden/>
          </w:rPr>
          <w:fldChar w:fldCharType="begin"/>
        </w:r>
        <w:r w:rsidR="0058288C">
          <w:rPr>
            <w:noProof/>
            <w:webHidden/>
          </w:rPr>
          <w:instrText xml:space="preserve"> PAGEREF _Toc95925007 \h </w:instrText>
        </w:r>
        <w:r w:rsidR="0058288C">
          <w:rPr>
            <w:noProof/>
            <w:webHidden/>
          </w:rPr>
        </w:r>
        <w:r w:rsidR="0058288C">
          <w:rPr>
            <w:noProof/>
            <w:webHidden/>
          </w:rPr>
          <w:fldChar w:fldCharType="separate"/>
        </w:r>
        <w:r w:rsidR="0058288C">
          <w:rPr>
            <w:noProof/>
            <w:webHidden/>
          </w:rPr>
          <w:t>58</w:t>
        </w:r>
        <w:r w:rsidR="0058288C">
          <w:rPr>
            <w:noProof/>
            <w:webHidden/>
          </w:rPr>
          <w:fldChar w:fldCharType="end"/>
        </w:r>
      </w:hyperlink>
    </w:p>
    <w:p w14:paraId="1AC8F7C6" w14:textId="03241A2F" w:rsidR="0058288C" w:rsidRDefault="00613C5F">
      <w:pPr>
        <w:pStyle w:val="TOC5"/>
        <w:rPr>
          <w:rFonts w:asciiTheme="minorHAnsi" w:eastAsiaTheme="minorEastAsia" w:hAnsiTheme="minorHAnsi" w:cstheme="minorBidi"/>
          <w:noProof/>
          <w:sz w:val="22"/>
          <w:szCs w:val="22"/>
          <w:lang w:val="en-US"/>
        </w:rPr>
      </w:pPr>
      <w:hyperlink w:anchor="_Toc95925008" w:history="1">
        <w:r w:rsidR="0058288C" w:rsidRPr="001A38AD">
          <w:rPr>
            <w:rStyle w:val="Hyperlink"/>
            <w:noProof/>
          </w:rPr>
          <w:t>25.1</w:t>
        </w:r>
        <w:r w:rsidR="0058288C">
          <w:rPr>
            <w:rFonts w:asciiTheme="minorHAnsi" w:eastAsiaTheme="minorEastAsia" w:hAnsiTheme="minorHAnsi" w:cstheme="minorBidi"/>
            <w:noProof/>
            <w:sz w:val="22"/>
            <w:szCs w:val="22"/>
            <w:lang w:val="en-US"/>
          </w:rPr>
          <w:tab/>
        </w:r>
        <w:r w:rsidR="0058288C" w:rsidRPr="001A38AD">
          <w:rPr>
            <w:rStyle w:val="Hyperlink"/>
            <w:noProof/>
          </w:rPr>
          <w:t>Проверки, прегледи и одити от страна на предоставящия орган</w:t>
        </w:r>
        <w:r w:rsidR="0058288C">
          <w:rPr>
            <w:noProof/>
            <w:webHidden/>
          </w:rPr>
          <w:tab/>
        </w:r>
        <w:r w:rsidR="0058288C">
          <w:rPr>
            <w:noProof/>
            <w:webHidden/>
          </w:rPr>
          <w:fldChar w:fldCharType="begin"/>
        </w:r>
        <w:r w:rsidR="0058288C">
          <w:rPr>
            <w:noProof/>
            <w:webHidden/>
          </w:rPr>
          <w:instrText xml:space="preserve"> PAGEREF _Toc95925008 \h </w:instrText>
        </w:r>
        <w:r w:rsidR="0058288C">
          <w:rPr>
            <w:noProof/>
            <w:webHidden/>
          </w:rPr>
        </w:r>
        <w:r w:rsidR="0058288C">
          <w:rPr>
            <w:noProof/>
            <w:webHidden/>
          </w:rPr>
          <w:fldChar w:fldCharType="separate"/>
        </w:r>
        <w:r w:rsidR="0058288C">
          <w:rPr>
            <w:noProof/>
            <w:webHidden/>
          </w:rPr>
          <w:t>58</w:t>
        </w:r>
        <w:r w:rsidR="0058288C">
          <w:rPr>
            <w:noProof/>
            <w:webHidden/>
          </w:rPr>
          <w:fldChar w:fldCharType="end"/>
        </w:r>
      </w:hyperlink>
    </w:p>
    <w:p w14:paraId="2AD624AC" w14:textId="7246DA19" w:rsidR="0058288C" w:rsidRDefault="00613C5F">
      <w:pPr>
        <w:pStyle w:val="TOC5"/>
        <w:rPr>
          <w:rFonts w:asciiTheme="minorHAnsi" w:eastAsiaTheme="minorEastAsia" w:hAnsiTheme="minorHAnsi" w:cstheme="minorBidi"/>
          <w:noProof/>
          <w:sz w:val="22"/>
          <w:szCs w:val="22"/>
          <w:lang w:val="en-US"/>
        </w:rPr>
      </w:pPr>
      <w:hyperlink w:anchor="_Toc95925009" w:history="1">
        <w:r w:rsidR="0058288C" w:rsidRPr="001A38AD">
          <w:rPr>
            <w:rStyle w:val="Hyperlink"/>
            <w:noProof/>
          </w:rPr>
          <w:t>25.2</w:t>
        </w:r>
        <w:r w:rsidR="0058288C">
          <w:rPr>
            <w:rFonts w:asciiTheme="minorHAnsi" w:eastAsiaTheme="minorEastAsia" w:hAnsiTheme="minorHAnsi" w:cstheme="minorBidi"/>
            <w:noProof/>
            <w:sz w:val="22"/>
            <w:szCs w:val="22"/>
            <w:lang w:val="en-US"/>
          </w:rPr>
          <w:tab/>
        </w:r>
        <w:r w:rsidR="0058288C" w:rsidRPr="001A38AD">
          <w:rPr>
            <w:rStyle w:val="Hyperlink"/>
            <w:noProof/>
          </w:rPr>
          <w:t>Европейската комисия извършва проверки, прегледи и одити на безвъзмездни средства на други предоставящи органи</w:t>
        </w:r>
        <w:r w:rsidR="0058288C">
          <w:rPr>
            <w:noProof/>
            <w:webHidden/>
          </w:rPr>
          <w:tab/>
        </w:r>
        <w:r w:rsidR="0058288C">
          <w:rPr>
            <w:noProof/>
            <w:webHidden/>
          </w:rPr>
          <w:fldChar w:fldCharType="begin"/>
        </w:r>
        <w:r w:rsidR="0058288C">
          <w:rPr>
            <w:noProof/>
            <w:webHidden/>
          </w:rPr>
          <w:instrText xml:space="preserve"> PAGEREF _Toc95925009 \h </w:instrText>
        </w:r>
        <w:r w:rsidR="0058288C">
          <w:rPr>
            <w:noProof/>
            <w:webHidden/>
          </w:rPr>
        </w:r>
        <w:r w:rsidR="0058288C">
          <w:rPr>
            <w:noProof/>
            <w:webHidden/>
          </w:rPr>
          <w:fldChar w:fldCharType="separate"/>
        </w:r>
        <w:r w:rsidR="0058288C">
          <w:rPr>
            <w:noProof/>
            <w:webHidden/>
          </w:rPr>
          <w:t>59</w:t>
        </w:r>
        <w:r w:rsidR="0058288C">
          <w:rPr>
            <w:noProof/>
            <w:webHidden/>
          </w:rPr>
          <w:fldChar w:fldCharType="end"/>
        </w:r>
      </w:hyperlink>
    </w:p>
    <w:p w14:paraId="7449A7BC" w14:textId="00E59C88" w:rsidR="0058288C" w:rsidRDefault="00613C5F">
      <w:pPr>
        <w:pStyle w:val="TOC5"/>
        <w:rPr>
          <w:rFonts w:asciiTheme="minorHAnsi" w:eastAsiaTheme="minorEastAsia" w:hAnsiTheme="minorHAnsi" w:cstheme="minorBidi"/>
          <w:noProof/>
          <w:sz w:val="22"/>
          <w:szCs w:val="22"/>
          <w:lang w:val="en-US"/>
        </w:rPr>
      </w:pPr>
      <w:hyperlink w:anchor="_Toc95925010" w:history="1">
        <w:r w:rsidR="0058288C" w:rsidRPr="001A38AD">
          <w:rPr>
            <w:rStyle w:val="Hyperlink"/>
            <w:noProof/>
          </w:rPr>
          <w:t>25.3</w:t>
        </w:r>
        <w:r w:rsidR="0058288C">
          <w:rPr>
            <w:rFonts w:asciiTheme="minorHAnsi" w:eastAsiaTheme="minorEastAsia" w:hAnsiTheme="minorHAnsi" w:cstheme="minorBidi"/>
            <w:noProof/>
            <w:sz w:val="22"/>
            <w:szCs w:val="22"/>
            <w:lang w:val="en-US"/>
          </w:rPr>
          <w:tab/>
        </w:r>
        <w:r w:rsidR="0058288C" w:rsidRPr="001A38AD">
          <w:rPr>
            <w:rStyle w:val="Hyperlink"/>
            <w:noProof/>
          </w:rPr>
          <w:t>Достъп до документация за оценка на опростени форми на финансиране</w:t>
        </w:r>
        <w:r w:rsidR="0058288C">
          <w:rPr>
            <w:noProof/>
            <w:webHidden/>
          </w:rPr>
          <w:tab/>
        </w:r>
        <w:r w:rsidR="0058288C">
          <w:rPr>
            <w:noProof/>
            <w:webHidden/>
          </w:rPr>
          <w:fldChar w:fldCharType="begin"/>
        </w:r>
        <w:r w:rsidR="0058288C">
          <w:rPr>
            <w:noProof/>
            <w:webHidden/>
          </w:rPr>
          <w:instrText xml:space="preserve"> PAGEREF _Toc95925010 \h </w:instrText>
        </w:r>
        <w:r w:rsidR="0058288C">
          <w:rPr>
            <w:noProof/>
            <w:webHidden/>
          </w:rPr>
        </w:r>
        <w:r w:rsidR="0058288C">
          <w:rPr>
            <w:noProof/>
            <w:webHidden/>
          </w:rPr>
          <w:fldChar w:fldCharType="separate"/>
        </w:r>
        <w:r w:rsidR="0058288C">
          <w:rPr>
            <w:noProof/>
            <w:webHidden/>
          </w:rPr>
          <w:t>60</w:t>
        </w:r>
        <w:r w:rsidR="0058288C">
          <w:rPr>
            <w:noProof/>
            <w:webHidden/>
          </w:rPr>
          <w:fldChar w:fldCharType="end"/>
        </w:r>
      </w:hyperlink>
    </w:p>
    <w:p w14:paraId="48B4BB8D" w14:textId="51D66ABE" w:rsidR="0058288C" w:rsidRDefault="00613C5F">
      <w:pPr>
        <w:pStyle w:val="TOC5"/>
        <w:rPr>
          <w:rFonts w:asciiTheme="minorHAnsi" w:eastAsiaTheme="minorEastAsia" w:hAnsiTheme="minorHAnsi" w:cstheme="minorBidi"/>
          <w:noProof/>
          <w:sz w:val="22"/>
          <w:szCs w:val="22"/>
          <w:lang w:val="en-US"/>
        </w:rPr>
      </w:pPr>
      <w:hyperlink w:anchor="_Toc95925011" w:history="1">
        <w:r w:rsidR="0058288C" w:rsidRPr="001A38AD">
          <w:rPr>
            <w:rStyle w:val="Hyperlink"/>
            <w:noProof/>
          </w:rPr>
          <w:t>25.4</w:t>
        </w:r>
        <w:r w:rsidR="0058288C">
          <w:rPr>
            <w:rFonts w:asciiTheme="minorHAnsi" w:eastAsiaTheme="minorEastAsia" w:hAnsiTheme="minorHAnsi" w:cstheme="minorBidi"/>
            <w:noProof/>
            <w:sz w:val="22"/>
            <w:szCs w:val="22"/>
            <w:lang w:val="en-US"/>
          </w:rPr>
          <w:tab/>
        </w:r>
        <w:r w:rsidR="0058288C" w:rsidRPr="001A38AD">
          <w:rPr>
            <w:rStyle w:val="Hyperlink"/>
            <w:noProof/>
          </w:rPr>
          <w:t>Одити и разследвания на Европейската служба за борба с измамите (OLAF), Европейската прокуратура и Европейската сметна палата</w:t>
        </w:r>
        <w:r w:rsidR="0058288C">
          <w:rPr>
            <w:noProof/>
            <w:webHidden/>
          </w:rPr>
          <w:tab/>
        </w:r>
        <w:r w:rsidR="0058288C">
          <w:rPr>
            <w:noProof/>
            <w:webHidden/>
          </w:rPr>
          <w:fldChar w:fldCharType="begin"/>
        </w:r>
        <w:r w:rsidR="0058288C">
          <w:rPr>
            <w:noProof/>
            <w:webHidden/>
          </w:rPr>
          <w:instrText xml:space="preserve"> PAGEREF _Toc95925011 \h </w:instrText>
        </w:r>
        <w:r w:rsidR="0058288C">
          <w:rPr>
            <w:noProof/>
            <w:webHidden/>
          </w:rPr>
        </w:r>
        <w:r w:rsidR="0058288C">
          <w:rPr>
            <w:noProof/>
            <w:webHidden/>
          </w:rPr>
          <w:fldChar w:fldCharType="separate"/>
        </w:r>
        <w:r w:rsidR="0058288C">
          <w:rPr>
            <w:noProof/>
            <w:webHidden/>
          </w:rPr>
          <w:t>60</w:t>
        </w:r>
        <w:r w:rsidR="0058288C">
          <w:rPr>
            <w:noProof/>
            <w:webHidden/>
          </w:rPr>
          <w:fldChar w:fldCharType="end"/>
        </w:r>
      </w:hyperlink>
    </w:p>
    <w:p w14:paraId="588BEB8F" w14:textId="4804E672" w:rsidR="0058288C" w:rsidRDefault="00613C5F">
      <w:pPr>
        <w:pStyle w:val="TOC5"/>
        <w:rPr>
          <w:rFonts w:asciiTheme="minorHAnsi" w:eastAsiaTheme="minorEastAsia" w:hAnsiTheme="minorHAnsi" w:cstheme="minorBidi"/>
          <w:noProof/>
          <w:sz w:val="22"/>
          <w:szCs w:val="22"/>
          <w:lang w:val="en-US"/>
        </w:rPr>
      </w:pPr>
      <w:hyperlink w:anchor="_Toc95925012" w:history="1">
        <w:r w:rsidR="0058288C" w:rsidRPr="001A38AD">
          <w:rPr>
            <w:rStyle w:val="Hyperlink"/>
            <w:noProof/>
          </w:rPr>
          <w:t>25.5</w:t>
        </w:r>
        <w:r w:rsidR="0058288C">
          <w:rPr>
            <w:rFonts w:asciiTheme="minorHAnsi" w:eastAsiaTheme="minorEastAsia" w:hAnsiTheme="minorHAnsi" w:cstheme="minorBidi"/>
            <w:noProof/>
            <w:sz w:val="22"/>
            <w:szCs w:val="22"/>
            <w:lang w:val="en-US"/>
          </w:rPr>
          <w:tab/>
        </w:r>
        <w:r w:rsidR="0058288C" w:rsidRPr="001A38AD">
          <w:rPr>
            <w:rStyle w:val="Hyperlink"/>
            <w:noProof/>
          </w:rPr>
          <w:t>Последствия от проверките, прегледите, одитите и разследванията — разширяване на обхвата на констатациите</w:t>
        </w:r>
        <w:r w:rsidR="0058288C">
          <w:rPr>
            <w:noProof/>
            <w:webHidden/>
          </w:rPr>
          <w:tab/>
        </w:r>
        <w:r w:rsidR="0058288C">
          <w:rPr>
            <w:noProof/>
            <w:webHidden/>
          </w:rPr>
          <w:fldChar w:fldCharType="begin"/>
        </w:r>
        <w:r w:rsidR="0058288C">
          <w:rPr>
            <w:noProof/>
            <w:webHidden/>
          </w:rPr>
          <w:instrText xml:space="preserve"> PAGEREF _Toc95925012 \h </w:instrText>
        </w:r>
        <w:r w:rsidR="0058288C">
          <w:rPr>
            <w:noProof/>
            <w:webHidden/>
          </w:rPr>
        </w:r>
        <w:r w:rsidR="0058288C">
          <w:rPr>
            <w:noProof/>
            <w:webHidden/>
          </w:rPr>
          <w:fldChar w:fldCharType="separate"/>
        </w:r>
        <w:r w:rsidR="0058288C">
          <w:rPr>
            <w:noProof/>
            <w:webHidden/>
          </w:rPr>
          <w:t>60</w:t>
        </w:r>
        <w:r w:rsidR="0058288C">
          <w:rPr>
            <w:noProof/>
            <w:webHidden/>
          </w:rPr>
          <w:fldChar w:fldCharType="end"/>
        </w:r>
      </w:hyperlink>
    </w:p>
    <w:p w14:paraId="0AD8B6E7" w14:textId="4EDC73A8" w:rsidR="0058288C" w:rsidRDefault="00613C5F">
      <w:pPr>
        <w:pStyle w:val="TOC5"/>
        <w:rPr>
          <w:rFonts w:asciiTheme="minorHAnsi" w:eastAsiaTheme="minorEastAsia" w:hAnsiTheme="minorHAnsi" w:cstheme="minorBidi"/>
          <w:noProof/>
          <w:sz w:val="22"/>
          <w:szCs w:val="22"/>
          <w:lang w:val="en-US"/>
        </w:rPr>
      </w:pPr>
      <w:hyperlink w:anchor="_Toc95925013" w:history="1">
        <w:r w:rsidR="0058288C" w:rsidRPr="001A38AD">
          <w:rPr>
            <w:rStyle w:val="Hyperlink"/>
            <w:noProof/>
          </w:rPr>
          <w:t>25.6</w:t>
        </w:r>
        <w:r w:rsidR="0058288C">
          <w:rPr>
            <w:rFonts w:asciiTheme="minorHAnsi" w:eastAsiaTheme="minorEastAsia" w:hAnsiTheme="minorHAnsi" w:cstheme="minorBidi"/>
            <w:noProof/>
            <w:sz w:val="22"/>
            <w:szCs w:val="22"/>
            <w:lang w:val="en-US"/>
          </w:rPr>
          <w:tab/>
        </w:r>
        <w:r w:rsidR="0058288C" w:rsidRPr="001A38AD">
          <w:rPr>
            <w:rStyle w:val="Hyperlink"/>
            <w:noProof/>
          </w:rPr>
          <w:t>Последствия при неизпълнение</w:t>
        </w:r>
        <w:r w:rsidR="0058288C">
          <w:rPr>
            <w:noProof/>
            <w:webHidden/>
          </w:rPr>
          <w:tab/>
        </w:r>
        <w:r w:rsidR="0058288C">
          <w:rPr>
            <w:noProof/>
            <w:webHidden/>
          </w:rPr>
          <w:fldChar w:fldCharType="begin"/>
        </w:r>
        <w:r w:rsidR="0058288C">
          <w:rPr>
            <w:noProof/>
            <w:webHidden/>
          </w:rPr>
          <w:instrText xml:space="preserve"> PAGEREF _Toc95925013 \h </w:instrText>
        </w:r>
        <w:r w:rsidR="0058288C">
          <w:rPr>
            <w:noProof/>
            <w:webHidden/>
          </w:rPr>
        </w:r>
        <w:r w:rsidR="0058288C">
          <w:rPr>
            <w:noProof/>
            <w:webHidden/>
          </w:rPr>
          <w:fldChar w:fldCharType="separate"/>
        </w:r>
        <w:r w:rsidR="0058288C">
          <w:rPr>
            <w:noProof/>
            <w:webHidden/>
          </w:rPr>
          <w:t>61</w:t>
        </w:r>
        <w:r w:rsidR="0058288C">
          <w:rPr>
            <w:noProof/>
            <w:webHidden/>
          </w:rPr>
          <w:fldChar w:fldCharType="end"/>
        </w:r>
      </w:hyperlink>
    </w:p>
    <w:p w14:paraId="36ED6940" w14:textId="0375CA65" w:rsidR="0058288C" w:rsidRDefault="00613C5F">
      <w:pPr>
        <w:pStyle w:val="TOC4"/>
        <w:rPr>
          <w:rFonts w:asciiTheme="minorHAnsi" w:eastAsiaTheme="minorEastAsia" w:hAnsiTheme="minorHAnsi" w:cstheme="minorBidi"/>
          <w:noProof/>
          <w:sz w:val="22"/>
          <w:szCs w:val="22"/>
          <w:lang w:val="en-US"/>
        </w:rPr>
      </w:pPr>
      <w:hyperlink w:anchor="_Toc95925014" w:history="1">
        <w:r w:rsidR="0058288C" w:rsidRPr="001A38AD">
          <w:rPr>
            <w:rStyle w:val="Hyperlink"/>
            <w:noProof/>
          </w:rPr>
          <w:t>ЧЛЕН 26 — ОЦЕНКИ НА ВЪЗДЕЙСТВИЕТО</w:t>
        </w:r>
        <w:r w:rsidR="0058288C">
          <w:rPr>
            <w:noProof/>
            <w:webHidden/>
          </w:rPr>
          <w:tab/>
        </w:r>
        <w:r w:rsidR="0058288C">
          <w:rPr>
            <w:noProof/>
            <w:webHidden/>
          </w:rPr>
          <w:fldChar w:fldCharType="begin"/>
        </w:r>
        <w:r w:rsidR="0058288C">
          <w:rPr>
            <w:noProof/>
            <w:webHidden/>
          </w:rPr>
          <w:instrText xml:space="preserve"> PAGEREF _Toc95925014 \h </w:instrText>
        </w:r>
        <w:r w:rsidR="0058288C">
          <w:rPr>
            <w:noProof/>
            <w:webHidden/>
          </w:rPr>
        </w:r>
        <w:r w:rsidR="0058288C">
          <w:rPr>
            <w:noProof/>
            <w:webHidden/>
          </w:rPr>
          <w:fldChar w:fldCharType="separate"/>
        </w:r>
        <w:r w:rsidR="0058288C">
          <w:rPr>
            <w:noProof/>
            <w:webHidden/>
          </w:rPr>
          <w:t>61</w:t>
        </w:r>
        <w:r w:rsidR="0058288C">
          <w:rPr>
            <w:noProof/>
            <w:webHidden/>
          </w:rPr>
          <w:fldChar w:fldCharType="end"/>
        </w:r>
      </w:hyperlink>
    </w:p>
    <w:p w14:paraId="4CEB91F8" w14:textId="360C9F7F" w:rsidR="0058288C" w:rsidRDefault="00613C5F">
      <w:pPr>
        <w:pStyle w:val="TOC1"/>
        <w:rPr>
          <w:rFonts w:asciiTheme="minorHAnsi" w:eastAsiaTheme="minorEastAsia" w:hAnsiTheme="minorHAnsi" w:cstheme="minorBidi"/>
          <w:b w:val="0"/>
          <w:caps w:val="0"/>
          <w:sz w:val="22"/>
          <w:szCs w:val="22"/>
          <w:lang w:val="en-US"/>
        </w:rPr>
      </w:pPr>
      <w:hyperlink w:anchor="_Toc95925015" w:history="1">
        <w:r w:rsidR="0058288C" w:rsidRPr="001A38AD">
          <w:rPr>
            <w:rStyle w:val="Hyperlink"/>
          </w:rPr>
          <w:t xml:space="preserve">ГЛАВА 5 </w:t>
        </w:r>
        <w:r w:rsidR="0058288C">
          <w:rPr>
            <w:rFonts w:asciiTheme="minorHAnsi" w:eastAsiaTheme="minorEastAsia" w:hAnsiTheme="minorHAnsi" w:cstheme="minorBidi"/>
            <w:b w:val="0"/>
            <w:caps w:val="0"/>
            <w:sz w:val="22"/>
            <w:szCs w:val="22"/>
            <w:lang w:val="en-US"/>
          </w:rPr>
          <w:tab/>
        </w:r>
        <w:r w:rsidR="0058288C" w:rsidRPr="001A38AD">
          <w:rPr>
            <w:rStyle w:val="Hyperlink"/>
          </w:rPr>
          <w:t>ПОСЛЕДИЦИ ОТ НЕИЗПЪЛНЕНИЕ</w:t>
        </w:r>
        <w:r w:rsidR="0058288C">
          <w:rPr>
            <w:webHidden/>
          </w:rPr>
          <w:tab/>
        </w:r>
        <w:r w:rsidR="0058288C">
          <w:rPr>
            <w:webHidden/>
          </w:rPr>
          <w:fldChar w:fldCharType="begin"/>
        </w:r>
        <w:r w:rsidR="0058288C">
          <w:rPr>
            <w:webHidden/>
          </w:rPr>
          <w:instrText xml:space="preserve"> PAGEREF _Toc95925015 \h </w:instrText>
        </w:r>
        <w:r w:rsidR="0058288C">
          <w:rPr>
            <w:webHidden/>
          </w:rPr>
        </w:r>
        <w:r w:rsidR="0058288C">
          <w:rPr>
            <w:webHidden/>
          </w:rPr>
          <w:fldChar w:fldCharType="separate"/>
        </w:r>
        <w:r w:rsidR="0058288C">
          <w:rPr>
            <w:webHidden/>
          </w:rPr>
          <w:t>61</w:t>
        </w:r>
        <w:r w:rsidR="0058288C">
          <w:rPr>
            <w:webHidden/>
          </w:rPr>
          <w:fldChar w:fldCharType="end"/>
        </w:r>
      </w:hyperlink>
    </w:p>
    <w:p w14:paraId="044BA925" w14:textId="667FD108" w:rsidR="0058288C" w:rsidRDefault="00613C5F">
      <w:pPr>
        <w:pStyle w:val="TOC2"/>
        <w:rPr>
          <w:rFonts w:asciiTheme="minorHAnsi" w:eastAsiaTheme="minorEastAsia" w:hAnsiTheme="minorHAnsi" w:cstheme="minorBidi"/>
          <w:b w:val="0"/>
          <w:noProof/>
          <w:sz w:val="22"/>
          <w:szCs w:val="22"/>
          <w:lang w:val="en-US"/>
        </w:rPr>
      </w:pPr>
      <w:hyperlink w:anchor="_Toc95925016" w:history="1">
        <w:r w:rsidR="0058288C" w:rsidRPr="001A38AD">
          <w:rPr>
            <w:rStyle w:val="Hyperlink"/>
            <w:noProof/>
          </w:rPr>
          <w:t>РАЗДЕЛ 1</w:t>
        </w:r>
        <w:r w:rsidR="0058288C">
          <w:rPr>
            <w:rFonts w:asciiTheme="minorHAnsi" w:eastAsiaTheme="minorEastAsia" w:hAnsiTheme="minorHAnsi" w:cstheme="minorBidi"/>
            <w:b w:val="0"/>
            <w:noProof/>
            <w:sz w:val="22"/>
            <w:szCs w:val="22"/>
            <w:lang w:val="en-US"/>
          </w:rPr>
          <w:tab/>
        </w:r>
        <w:r w:rsidR="0058288C" w:rsidRPr="001A38AD">
          <w:rPr>
            <w:rStyle w:val="Hyperlink"/>
            <w:noProof/>
          </w:rPr>
          <w:t>НЕПРИЗНАВАНИЯ И НАМАЛЯВАНЕ НА РАЗМЕРА НА БЕЗВЪЗМЕЗДНИТЕ СРЕДСТВА</w:t>
        </w:r>
        <w:r w:rsidR="0058288C">
          <w:rPr>
            <w:noProof/>
            <w:webHidden/>
          </w:rPr>
          <w:tab/>
        </w:r>
        <w:r w:rsidR="0058288C">
          <w:rPr>
            <w:noProof/>
            <w:webHidden/>
          </w:rPr>
          <w:fldChar w:fldCharType="begin"/>
        </w:r>
        <w:r w:rsidR="0058288C">
          <w:rPr>
            <w:noProof/>
            <w:webHidden/>
          </w:rPr>
          <w:instrText xml:space="preserve"> PAGEREF _Toc95925016 \h </w:instrText>
        </w:r>
        <w:r w:rsidR="0058288C">
          <w:rPr>
            <w:noProof/>
            <w:webHidden/>
          </w:rPr>
        </w:r>
        <w:r w:rsidR="0058288C">
          <w:rPr>
            <w:noProof/>
            <w:webHidden/>
          </w:rPr>
          <w:fldChar w:fldCharType="separate"/>
        </w:r>
        <w:r w:rsidR="0058288C">
          <w:rPr>
            <w:noProof/>
            <w:webHidden/>
          </w:rPr>
          <w:t>61</w:t>
        </w:r>
        <w:r w:rsidR="0058288C">
          <w:rPr>
            <w:noProof/>
            <w:webHidden/>
          </w:rPr>
          <w:fldChar w:fldCharType="end"/>
        </w:r>
      </w:hyperlink>
    </w:p>
    <w:p w14:paraId="65A49FF2" w14:textId="43065E63" w:rsidR="0058288C" w:rsidRDefault="00613C5F">
      <w:pPr>
        <w:pStyle w:val="TOC4"/>
        <w:rPr>
          <w:rFonts w:asciiTheme="minorHAnsi" w:eastAsiaTheme="minorEastAsia" w:hAnsiTheme="minorHAnsi" w:cstheme="minorBidi"/>
          <w:noProof/>
          <w:sz w:val="22"/>
          <w:szCs w:val="22"/>
          <w:lang w:val="en-US"/>
        </w:rPr>
      </w:pPr>
      <w:hyperlink w:anchor="_Toc95925017" w:history="1">
        <w:r w:rsidR="0058288C" w:rsidRPr="001A38AD">
          <w:rPr>
            <w:rStyle w:val="Hyperlink"/>
            <w:noProof/>
          </w:rPr>
          <w:t>ЧЛЕН 27 — НЕПРИЗНАВАНЕ НА РАЗХОДИ И ВНОСКИ</w:t>
        </w:r>
        <w:r w:rsidR="0058288C">
          <w:rPr>
            <w:noProof/>
            <w:webHidden/>
          </w:rPr>
          <w:tab/>
        </w:r>
        <w:r w:rsidR="0058288C">
          <w:rPr>
            <w:noProof/>
            <w:webHidden/>
          </w:rPr>
          <w:fldChar w:fldCharType="begin"/>
        </w:r>
        <w:r w:rsidR="0058288C">
          <w:rPr>
            <w:noProof/>
            <w:webHidden/>
          </w:rPr>
          <w:instrText xml:space="preserve"> PAGEREF _Toc95925017 \h </w:instrText>
        </w:r>
        <w:r w:rsidR="0058288C">
          <w:rPr>
            <w:noProof/>
            <w:webHidden/>
          </w:rPr>
        </w:r>
        <w:r w:rsidR="0058288C">
          <w:rPr>
            <w:noProof/>
            <w:webHidden/>
          </w:rPr>
          <w:fldChar w:fldCharType="separate"/>
        </w:r>
        <w:r w:rsidR="0058288C">
          <w:rPr>
            <w:noProof/>
            <w:webHidden/>
          </w:rPr>
          <w:t>61</w:t>
        </w:r>
        <w:r w:rsidR="0058288C">
          <w:rPr>
            <w:noProof/>
            <w:webHidden/>
          </w:rPr>
          <w:fldChar w:fldCharType="end"/>
        </w:r>
      </w:hyperlink>
    </w:p>
    <w:p w14:paraId="7798E6E5" w14:textId="3247B9E4" w:rsidR="0058288C" w:rsidRDefault="00613C5F">
      <w:pPr>
        <w:pStyle w:val="TOC5"/>
        <w:rPr>
          <w:rFonts w:asciiTheme="minorHAnsi" w:eastAsiaTheme="minorEastAsia" w:hAnsiTheme="minorHAnsi" w:cstheme="minorBidi"/>
          <w:noProof/>
          <w:sz w:val="22"/>
          <w:szCs w:val="22"/>
          <w:lang w:val="en-US"/>
        </w:rPr>
      </w:pPr>
      <w:hyperlink w:anchor="_Toc95925018" w:history="1">
        <w:r w:rsidR="0058288C" w:rsidRPr="001A38AD">
          <w:rPr>
            <w:rStyle w:val="Hyperlink"/>
            <w:noProof/>
          </w:rPr>
          <w:t>27.1</w:t>
        </w:r>
        <w:r w:rsidR="0058288C">
          <w:rPr>
            <w:rFonts w:asciiTheme="minorHAnsi" w:eastAsiaTheme="minorEastAsia" w:hAnsiTheme="minorHAnsi" w:cstheme="minorBidi"/>
            <w:noProof/>
            <w:sz w:val="22"/>
            <w:szCs w:val="22"/>
            <w:lang w:val="en-US"/>
          </w:rPr>
          <w:tab/>
        </w:r>
        <w:r w:rsidR="0058288C" w:rsidRPr="001A38AD">
          <w:rPr>
            <w:rStyle w:val="Hyperlink"/>
            <w:noProof/>
          </w:rPr>
          <w:t>Условия</w:t>
        </w:r>
        <w:r w:rsidR="0058288C">
          <w:rPr>
            <w:noProof/>
            <w:webHidden/>
          </w:rPr>
          <w:tab/>
        </w:r>
        <w:r w:rsidR="0058288C">
          <w:rPr>
            <w:noProof/>
            <w:webHidden/>
          </w:rPr>
          <w:fldChar w:fldCharType="begin"/>
        </w:r>
        <w:r w:rsidR="0058288C">
          <w:rPr>
            <w:noProof/>
            <w:webHidden/>
          </w:rPr>
          <w:instrText xml:space="preserve"> PAGEREF _Toc95925018 \h </w:instrText>
        </w:r>
        <w:r w:rsidR="0058288C">
          <w:rPr>
            <w:noProof/>
            <w:webHidden/>
          </w:rPr>
        </w:r>
        <w:r w:rsidR="0058288C">
          <w:rPr>
            <w:noProof/>
            <w:webHidden/>
          </w:rPr>
          <w:fldChar w:fldCharType="separate"/>
        </w:r>
        <w:r w:rsidR="0058288C">
          <w:rPr>
            <w:noProof/>
            <w:webHidden/>
          </w:rPr>
          <w:t>61</w:t>
        </w:r>
        <w:r w:rsidR="0058288C">
          <w:rPr>
            <w:noProof/>
            <w:webHidden/>
          </w:rPr>
          <w:fldChar w:fldCharType="end"/>
        </w:r>
      </w:hyperlink>
    </w:p>
    <w:p w14:paraId="3FDED32E" w14:textId="2386374C" w:rsidR="0058288C" w:rsidRDefault="00613C5F">
      <w:pPr>
        <w:pStyle w:val="TOC5"/>
        <w:rPr>
          <w:rFonts w:asciiTheme="minorHAnsi" w:eastAsiaTheme="minorEastAsia" w:hAnsiTheme="minorHAnsi" w:cstheme="minorBidi"/>
          <w:noProof/>
          <w:sz w:val="22"/>
          <w:szCs w:val="22"/>
          <w:lang w:val="en-US"/>
        </w:rPr>
      </w:pPr>
      <w:hyperlink w:anchor="_Toc95925019" w:history="1">
        <w:r w:rsidR="0058288C" w:rsidRPr="001A38AD">
          <w:rPr>
            <w:rStyle w:val="Hyperlink"/>
            <w:noProof/>
          </w:rPr>
          <w:t>27.2</w:t>
        </w:r>
        <w:r w:rsidR="0058288C">
          <w:rPr>
            <w:rFonts w:asciiTheme="minorHAnsi" w:eastAsiaTheme="minorEastAsia" w:hAnsiTheme="minorHAnsi" w:cstheme="minorBidi"/>
            <w:noProof/>
            <w:sz w:val="22"/>
            <w:szCs w:val="22"/>
            <w:lang w:val="en-US"/>
          </w:rPr>
          <w:tab/>
        </w:r>
        <w:r w:rsidR="0058288C" w:rsidRPr="001A38AD">
          <w:rPr>
            <w:rStyle w:val="Hyperlink"/>
            <w:noProof/>
          </w:rPr>
          <w:t>Процедура</w:t>
        </w:r>
        <w:r w:rsidR="0058288C">
          <w:rPr>
            <w:noProof/>
            <w:webHidden/>
          </w:rPr>
          <w:tab/>
        </w:r>
        <w:r w:rsidR="0058288C">
          <w:rPr>
            <w:noProof/>
            <w:webHidden/>
          </w:rPr>
          <w:fldChar w:fldCharType="begin"/>
        </w:r>
        <w:r w:rsidR="0058288C">
          <w:rPr>
            <w:noProof/>
            <w:webHidden/>
          </w:rPr>
          <w:instrText xml:space="preserve"> PAGEREF _Toc95925019 \h </w:instrText>
        </w:r>
        <w:r w:rsidR="0058288C">
          <w:rPr>
            <w:noProof/>
            <w:webHidden/>
          </w:rPr>
        </w:r>
        <w:r w:rsidR="0058288C">
          <w:rPr>
            <w:noProof/>
            <w:webHidden/>
          </w:rPr>
          <w:fldChar w:fldCharType="separate"/>
        </w:r>
        <w:r w:rsidR="0058288C">
          <w:rPr>
            <w:noProof/>
            <w:webHidden/>
          </w:rPr>
          <w:t>61</w:t>
        </w:r>
        <w:r w:rsidR="0058288C">
          <w:rPr>
            <w:noProof/>
            <w:webHidden/>
          </w:rPr>
          <w:fldChar w:fldCharType="end"/>
        </w:r>
      </w:hyperlink>
    </w:p>
    <w:p w14:paraId="62586C71" w14:textId="00C0CD33" w:rsidR="0058288C" w:rsidRDefault="00613C5F">
      <w:pPr>
        <w:pStyle w:val="TOC5"/>
        <w:rPr>
          <w:rFonts w:asciiTheme="minorHAnsi" w:eastAsiaTheme="minorEastAsia" w:hAnsiTheme="minorHAnsi" w:cstheme="minorBidi"/>
          <w:noProof/>
          <w:sz w:val="22"/>
          <w:szCs w:val="22"/>
          <w:lang w:val="en-US"/>
        </w:rPr>
      </w:pPr>
      <w:hyperlink w:anchor="_Toc95925020" w:history="1">
        <w:r w:rsidR="0058288C" w:rsidRPr="001A38AD">
          <w:rPr>
            <w:rStyle w:val="Hyperlink"/>
            <w:noProof/>
          </w:rPr>
          <w:t>27.3</w:t>
        </w:r>
        <w:r w:rsidR="0058288C">
          <w:rPr>
            <w:rFonts w:asciiTheme="minorHAnsi" w:eastAsiaTheme="minorEastAsia" w:hAnsiTheme="minorHAnsi" w:cstheme="minorBidi"/>
            <w:noProof/>
            <w:sz w:val="22"/>
            <w:szCs w:val="22"/>
            <w:lang w:val="en-US"/>
          </w:rPr>
          <w:tab/>
        </w:r>
        <w:r w:rsidR="0058288C" w:rsidRPr="001A38AD">
          <w:rPr>
            <w:rStyle w:val="Hyperlink"/>
            <w:noProof/>
          </w:rPr>
          <w:t>Последици</w:t>
        </w:r>
        <w:r w:rsidR="0058288C">
          <w:rPr>
            <w:noProof/>
            <w:webHidden/>
          </w:rPr>
          <w:tab/>
        </w:r>
        <w:r w:rsidR="0058288C">
          <w:rPr>
            <w:noProof/>
            <w:webHidden/>
          </w:rPr>
          <w:fldChar w:fldCharType="begin"/>
        </w:r>
        <w:r w:rsidR="0058288C">
          <w:rPr>
            <w:noProof/>
            <w:webHidden/>
          </w:rPr>
          <w:instrText xml:space="preserve"> PAGEREF _Toc95925020 \h </w:instrText>
        </w:r>
        <w:r w:rsidR="0058288C">
          <w:rPr>
            <w:noProof/>
            <w:webHidden/>
          </w:rPr>
        </w:r>
        <w:r w:rsidR="0058288C">
          <w:rPr>
            <w:noProof/>
            <w:webHidden/>
          </w:rPr>
          <w:fldChar w:fldCharType="separate"/>
        </w:r>
        <w:r w:rsidR="0058288C">
          <w:rPr>
            <w:noProof/>
            <w:webHidden/>
          </w:rPr>
          <w:t>62</w:t>
        </w:r>
        <w:r w:rsidR="0058288C">
          <w:rPr>
            <w:noProof/>
            <w:webHidden/>
          </w:rPr>
          <w:fldChar w:fldCharType="end"/>
        </w:r>
      </w:hyperlink>
    </w:p>
    <w:p w14:paraId="754517FE" w14:textId="51FEC0DA" w:rsidR="0058288C" w:rsidRDefault="00613C5F">
      <w:pPr>
        <w:pStyle w:val="TOC4"/>
        <w:rPr>
          <w:rFonts w:asciiTheme="minorHAnsi" w:eastAsiaTheme="minorEastAsia" w:hAnsiTheme="minorHAnsi" w:cstheme="minorBidi"/>
          <w:noProof/>
          <w:sz w:val="22"/>
          <w:szCs w:val="22"/>
          <w:lang w:val="en-US"/>
        </w:rPr>
      </w:pPr>
      <w:hyperlink w:anchor="_Toc95925021" w:history="1">
        <w:r w:rsidR="0058288C" w:rsidRPr="001A38AD">
          <w:rPr>
            <w:rStyle w:val="Hyperlink"/>
            <w:noProof/>
          </w:rPr>
          <w:t>ЧЛЕН 28 — НАМАЛЯВАНЕ НА РАЗМЕРА НА БЕЗВЪЗМЕЗДНИТЕ СРЕДСТВА</w:t>
        </w:r>
        <w:r w:rsidR="0058288C">
          <w:rPr>
            <w:noProof/>
            <w:webHidden/>
          </w:rPr>
          <w:tab/>
        </w:r>
        <w:r w:rsidR="0058288C">
          <w:rPr>
            <w:noProof/>
            <w:webHidden/>
          </w:rPr>
          <w:fldChar w:fldCharType="begin"/>
        </w:r>
        <w:r w:rsidR="0058288C">
          <w:rPr>
            <w:noProof/>
            <w:webHidden/>
          </w:rPr>
          <w:instrText xml:space="preserve"> PAGEREF _Toc95925021 \h </w:instrText>
        </w:r>
        <w:r w:rsidR="0058288C">
          <w:rPr>
            <w:noProof/>
            <w:webHidden/>
          </w:rPr>
        </w:r>
        <w:r w:rsidR="0058288C">
          <w:rPr>
            <w:noProof/>
            <w:webHidden/>
          </w:rPr>
          <w:fldChar w:fldCharType="separate"/>
        </w:r>
        <w:r w:rsidR="0058288C">
          <w:rPr>
            <w:noProof/>
            <w:webHidden/>
          </w:rPr>
          <w:t>62</w:t>
        </w:r>
        <w:r w:rsidR="0058288C">
          <w:rPr>
            <w:noProof/>
            <w:webHidden/>
          </w:rPr>
          <w:fldChar w:fldCharType="end"/>
        </w:r>
      </w:hyperlink>
    </w:p>
    <w:p w14:paraId="76B66F85" w14:textId="0E7CF987" w:rsidR="0058288C" w:rsidRDefault="00613C5F">
      <w:pPr>
        <w:pStyle w:val="TOC5"/>
        <w:rPr>
          <w:rFonts w:asciiTheme="minorHAnsi" w:eastAsiaTheme="minorEastAsia" w:hAnsiTheme="minorHAnsi" w:cstheme="minorBidi"/>
          <w:noProof/>
          <w:sz w:val="22"/>
          <w:szCs w:val="22"/>
          <w:lang w:val="en-US"/>
        </w:rPr>
      </w:pPr>
      <w:hyperlink w:anchor="_Toc95925022" w:history="1">
        <w:r w:rsidR="0058288C" w:rsidRPr="001A38AD">
          <w:rPr>
            <w:rStyle w:val="Hyperlink"/>
            <w:noProof/>
          </w:rPr>
          <w:t>28.1</w:t>
        </w:r>
        <w:r w:rsidR="0058288C">
          <w:rPr>
            <w:rFonts w:asciiTheme="minorHAnsi" w:eastAsiaTheme="minorEastAsia" w:hAnsiTheme="minorHAnsi" w:cstheme="minorBidi"/>
            <w:noProof/>
            <w:sz w:val="22"/>
            <w:szCs w:val="22"/>
            <w:lang w:val="en-US"/>
          </w:rPr>
          <w:tab/>
        </w:r>
        <w:r w:rsidR="0058288C" w:rsidRPr="001A38AD">
          <w:rPr>
            <w:rStyle w:val="Hyperlink"/>
            <w:noProof/>
          </w:rPr>
          <w:t>Условия</w:t>
        </w:r>
        <w:r w:rsidR="0058288C">
          <w:rPr>
            <w:noProof/>
            <w:webHidden/>
          </w:rPr>
          <w:tab/>
        </w:r>
        <w:r w:rsidR="0058288C">
          <w:rPr>
            <w:noProof/>
            <w:webHidden/>
          </w:rPr>
          <w:fldChar w:fldCharType="begin"/>
        </w:r>
        <w:r w:rsidR="0058288C">
          <w:rPr>
            <w:noProof/>
            <w:webHidden/>
          </w:rPr>
          <w:instrText xml:space="preserve"> PAGEREF _Toc95925022 \h </w:instrText>
        </w:r>
        <w:r w:rsidR="0058288C">
          <w:rPr>
            <w:noProof/>
            <w:webHidden/>
          </w:rPr>
        </w:r>
        <w:r w:rsidR="0058288C">
          <w:rPr>
            <w:noProof/>
            <w:webHidden/>
          </w:rPr>
          <w:fldChar w:fldCharType="separate"/>
        </w:r>
        <w:r w:rsidR="0058288C">
          <w:rPr>
            <w:noProof/>
            <w:webHidden/>
          </w:rPr>
          <w:t>62</w:t>
        </w:r>
        <w:r w:rsidR="0058288C">
          <w:rPr>
            <w:noProof/>
            <w:webHidden/>
          </w:rPr>
          <w:fldChar w:fldCharType="end"/>
        </w:r>
      </w:hyperlink>
    </w:p>
    <w:p w14:paraId="4FE13215" w14:textId="2C32F0E0" w:rsidR="0058288C" w:rsidRDefault="00613C5F">
      <w:pPr>
        <w:pStyle w:val="TOC5"/>
        <w:rPr>
          <w:rFonts w:asciiTheme="minorHAnsi" w:eastAsiaTheme="minorEastAsia" w:hAnsiTheme="minorHAnsi" w:cstheme="minorBidi"/>
          <w:noProof/>
          <w:sz w:val="22"/>
          <w:szCs w:val="22"/>
          <w:lang w:val="en-US"/>
        </w:rPr>
      </w:pPr>
      <w:hyperlink w:anchor="_Toc95925023" w:history="1">
        <w:r w:rsidR="0058288C" w:rsidRPr="001A38AD">
          <w:rPr>
            <w:rStyle w:val="Hyperlink"/>
            <w:noProof/>
          </w:rPr>
          <w:t>28.2</w:t>
        </w:r>
        <w:r w:rsidR="0058288C">
          <w:rPr>
            <w:rFonts w:asciiTheme="minorHAnsi" w:eastAsiaTheme="minorEastAsia" w:hAnsiTheme="minorHAnsi" w:cstheme="minorBidi"/>
            <w:noProof/>
            <w:sz w:val="22"/>
            <w:szCs w:val="22"/>
            <w:lang w:val="en-US"/>
          </w:rPr>
          <w:tab/>
        </w:r>
        <w:r w:rsidR="0058288C" w:rsidRPr="001A38AD">
          <w:rPr>
            <w:rStyle w:val="Hyperlink"/>
            <w:noProof/>
          </w:rPr>
          <w:t>Процедура</w:t>
        </w:r>
        <w:r w:rsidR="0058288C">
          <w:rPr>
            <w:noProof/>
            <w:webHidden/>
          </w:rPr>
          <w:tab/>
        </w:r>
        <w:r w:rsidR="0058288C">
          <w:rPr>
            <w:noProof/>
            <w:webHidden/>
          </w:rPr>
          <w:fldChar w:fldCharType="begin"/>
        </w:r>
        <w:r w:rsidR="0058288C">
          <w:rPr>
            <w:noProof/>
            <w:webHidden/>
          </w:rPr>
          <w:instrText xml:space="preserve"> PAGEREF _Toc95925023 \h </w:instrText>
        </w:r>
        <w:r w:rsidR="0058288C">
          <w:rPr>
            <w:noProof/>
            <w:webHidden/>
          </w:rPr>
        </w:r>
        <w:r w:rsidR="0058288C">
          <w:rPr>
            <w:noProof/>
            <w:webHidden/>
          </w:rPr>
          <w:fldChar w:fldCharType="separate"/>
        </w:r>
        <w:r w:rsidR="0058288C">
          <w:rPr>
            <w:noProof/>
            <w:webHidden/>
          </w:rPr>
          <w:t>62</w:t>
        </w:r>
        <w:r w:rsidR="0058288C">
          <w:rPr>
            <w:noProof/>
            <w:webHidden/>
          </w:rPr>
          <w:fldChar w:fldCharType="end"/>
        </w:r>
      </w:hyperlink>
    </w:p>
    <w:p w14:paraId="0D4B37B5" w14:textId="4FD9807F" w:rsidR="0058288C" w:rsidRDefault="00613C5F">
      <w:pPr>
        <w:pStyle w:val="TOC5"/>
        <w:rPr>
          <w:rFonts w:asciiTheme="minorHAnsi" w:eastAsiaTheme="minorEastAsia" w:hAnsiTheme="minorHAnsi" w:cstheme="minorBidi"/>
          <w:noProof/>
          <w:sz w:val="22"/>
          <w:szCs w:val="22"/>
          <w:lang w:val="en-US"/>
        </w:rPr>
      </w:pPr>
      <w:hyperlink w:anchor="_Toc95925024" w:history="1">
        <w:r w:rsidR="0058288C" w:rsidRPr="001A38AD">
          <w:rPr>
            <w:rStyle w:val="Hyperlink"/>
            <w:noProof/>
          </w:rPr>
          <w:t>28.3</w:t>
        </w:r>
        <w:r w:rsidR="0058288C">
          <w:rPr>
            <w:rFonts w:asciiTheme="minorHAnsi" w:eastAsiaTheme="minorEastAsia" w:hAnsiTheme="minorHAnsi" w:cstheme="minorBidi"/>
            <w:noProof/>
            <w:sz w:val="22"/>
            <w:szCs w:val="22"/>
            <w:lang w:val="en-US"/>
          </w:rPr>
          <w:tab/>
        </w:r>
        <w:r w:rsidR="0058288C" w:rsidRPr="001A38AD">
          <w:rPr>
            <w:rStyle w:val="Hyperlink"/>
            <w:noProof/>
          </w:rPr>
          <w:t>Последици</w:t>
        </w:r>
        <w:r w:rsidR="0058288C">
          <w:rPr>
            <w:noProof/>
            <w:webHidden/>
          </w:rPr>
          <w:tab/>
        </w:r>
        <w:r w:rsidR="0058288C">
          <w:rPr>
            <w:noProof/>
            <w:webHidden/>
          </w:rPr>
          <w:fldChar w:fldCharType="begin"/>
        </w:r>
        <w:r w:rsidR="0058288C">
          <w:rPr>
            <w:noProof/>
            <w:webHidden/>
          </w:rPr>
          <w:instrText xml:space="preserve"> PAGEREF _Toc95925024 \h </w:instrText>
        </w:r>
        <w:r w:rsidR="0058288C">
          <w:rPr>
            <w:noProof/>
            <w:webHidden/>
          </w:rPr>
        </w:r>
        <w:r w:rsidR="0058288C">
          <w:rPr>
            <w:noProof/>
            <w:webHidden/>
          </w:rPr>
          <w:fldChar w:fldCharType="separate"/>
        </w:r>
        <w:r w:rsidR="0058288C">
          <w:rPr>
            <w:noProof/>
            <w:webHidden/>
          </w:rPr>
          <w:t>63</w:t>
        </w:r>
        <w:r w:rsidR="0058288C">
          <w:rPr>
            <w:noProof/>
            <w:webHidden/>
          </w:rPr>
          <w:fldChar w:fldCharType="end"/>
        </w:r>
      </w:hyperlink>
    </w:p>
    <w:p w14:paraId="19A4D9B2" w14:textId="1208B56E" w:rsidR="0058288C" w:rsidRDefault="00613C5F">
      <w:pPr>
        <w:pStyle w:val="TOC2"/>
        <w:rPr>
          <w:rFonts w:asciiTheme="minorHAnsi" w:eastAsiaTheme="minorEastAsia" w:hAnsiTheme="minorHAnsi" w:cstheme="minorBidi"/>
          <w:b w:val="0"/>
          <w:noProof/>
          <w:sz w:val="22"/>
          <w:szCs w:val="22"/>
          <w:lang w:val="en-US"/>
        </w:rPr>
      </w:pPr>
      <w:hyperlink w:anchor="_Toc95925025" w:history="1">
        <w:r w:rsidR="0058288C" w:rsidRPr="001A38AD">
          <w:rPr>
            <w:rStyle w:val="Hyperlink"/>
            <w:noProof/>
          </w:rPr>
          <w:t>РАЗДЕЛ 2</w:t>
        </w:r>
        <w:r w:rsidR="0058288C">
          <w:rPr>
            <w:rFonts w:asciiTheme="minorHAnsi" w:eastAsiaTheme="minorEastAsia" w:hAnsiTheme="minorHAnsi" w:cstheme="minorBidi"/>
            <w:b w:val="0"/>
            <w:noProof/>
            <w:sz w:val="22"/>
            <w:szCs w:val="22"/>
            <w:lang w:val="en-US"/>
          </w:rPr>
          <w:tab/>
        </w:r>
        <w:r w:rsidR="0058288C" w:rsidRPr="001A38AD">
          <w:rPr>
            <w:rStyle w:val="Hyperlink"/>
            <w:noProof/>
          </w:rPr>
          <w:t>ВРЕМЕННО СПИРАНЕ И ПРЕКРАТЯВАНЕ</w:t>
        </w:r>
        <w:r w:rsidR="0058288C">
          <w:rPr>
            <w:noProof/>
            <w:webHidden/>
          </w:rPr>
          <w:tab/>
        </w:r>
        <w:r w:rsidR="0058288C">
          <w:rPr>
            <w:noProof/>
            <w:webHidden/>
          </w:rPr>
          <w:fldChar w:fldCharType="begin"/>
        </w:r>
        <w:r w:rsidR="0058288C">
          <w:rPr>
            <w:noProof/>
            <w:webHidden/>
          </w:rPr>
          <w:instrText xml:space="preserve"> PAGEREF _Toc95925025 \h </w:instrText>
        </w:r>
        <w:r w:rsidR="0058288C">
          <w:rPr>
            <w:noProof/>
            <w:webHidden/>
          </w:rPr>
        </w:r>
        <w:r w:rsidR="0058288C">
          <w:rPr>
            <w:noProof/>
            <w:webHidden/>
          </w:rPr>
          <w:fldChar w:fldCharType="separate"/>
        </w:r>
        <w:r w:rsidR="0058288C">
          <w:rPr>
            <w:noProof/>
            <w:webHidden/>
          </w:rPr>
          <w:t>63</w:t>
        </w:r>
        <w:r w:rsidR="0058288C">
          <w:rPr>
            <w:noProof/>
            <w:webHidden/>
          </w:rPr>
          <w:fldChar w:fldCharType="end"/>
        </w:r>
      </w:hyperlink>
    </w:p>
    <w:p w14:paraId="64404B51" w14:textId="0B15C715" w:rsidR="0058288C" w:rsidRDefault="00613C5F">
      <w:pPr>
        <w:pStyle w:val="TOC4"/>
        <w:rPr>
          <w:rFonts w:asciiTheme="minorHAnsi" w:eastAsiaTheme="minorEastAsia" w:hAnsiTheme="minorHAnsi" w:cstheme="minorBidi"/>
          <w:noProof/>
          <w:sz w:val="22"/>
          <w:szCs w:val="22"/>
          <w:lang w:val="en-US"/>
        </w:rPr>
      </w:pPr>
      <w:hyperlink w:anchor="_Toc95925026" w:history="1">
        <w:r w:rsidR="0058288C" w:rsidRPr="001A38AD">
          <w:rPr>
            <w:rStyle w:val="Hyperlink"/>
            <w:noProof/>
          </w:rPr>
          <w:t>ЧЛЕН 29 — ОТЛАГАНЕ НА КРАЙНИЯ СРОК ЗА ПЛАЩАНЕ</w:t>
        </w:r>
        <w:r w:rsidR="0058288C">
          <w:rPr>
            <w:noProof/>
            <w:webHidden/>
          </w:rPr>
          <w:tab/>
        </w:r>
        <w:r w:rsidR="0058288C">
          <w:rPr>
            <w:noProof/>
            <w:webHidden/>
          </w:rPr>
          <w:fldChar w:fldCharType="begin"/>
        </w:r>
        <w:r w:rsidR="0058288C">
          <w:rPr>
            <w:noProof/>
            <w:webHidden/>
          </w:rPr>
          <w:instrText xml:space="preserve"> PAGEREF _Toc95925026 \h </w:instrText>
        </w:r>
        <w:r w:rsidR="0058288C">
          <w:rPr>
            <w:noProof/>
            <w:webHidden/>
          </w:rPr>
        </w:r>
        <w:r w:rsidR="0058288C">
          <w:rPr>
            <w:noProof/>
            <w:webHidden/>
          </w:rPr>
          <w:fldChar w:fldCharType="separate"/>
        </w:r>
        <w:r w:rsidR="0058288C">
          <w:rPr>
            <w:noProof/>
            <w:webHidden/>
          </w:rPr>
          <w:t>63</w:t>
        </w:r>
        <w:r w:rsidR="0058288C">
          <w:rPr>
            <w:noProof/>
            <w:webHidden/>
          </w:rPr>
          <w:fldChar w:fldCharType="end"/>
        </w:r>
      </w:hyperlink>
    </w:p>
    <w:p w14:paraId="11965179" w14:textId="10733824" w:rsidR="0058288C" w:rsidRDefault="00613C5F">
      <w:pPr>
        <w:pStyle w:val="TOC5"/>
        <w:rPr>
          <w:rFonts w:asciiTheme="minorHAnsi" w:eastAsiaTheme="minorEastAsia" w:hAnsiTheme="minorHAnsi" w:cstheme="minorBidi"/>
          <w:noProof/>
          <w:sz w:val="22"/>
          <w:szCs w:val="22"/>
          <w:lang w:val="en-US"/>
        </w:rPr>
      </w:pPr>
      <w:hyperlink w:anchor="_Toc95925027" w:history="1">
        <w:r w:rsidR="0058288C" w:rsidRPr="001A38AD">
          <w:rPr>
            <w:rStyle w:val="Hyperlink"/>
            <w:noProof/>
          </w:rPr>
          <w:t>29.1</w:t>
        </w:r>
        <w:r w:rsidR="0058288C">
          <w:rPr>
            <w:rFonts w:asciiTheme="minorHAnsi" w:eastAsiaTheme="minorEastAsia" w:hAnsiTheme="minorHAnsi" w:cstheme="minorBidi"/>
            <w:noProof/>
            <w:sz w:val="22"/>
            <w:szCs w:val="22"/>
            <w:lang w:val="en-US"/>
          </w:rPr>
          <w:tab/>
        </w:r>
        <w:r w:rsidR="0058288C" w:rsidRPr="001A38AD">
          <w:rPr>
            <w:rStyle w:val="Hyperlink"/>
            <w:noProof/>
          </w:rPr>
          <w:t>Условия</w:t>
        </w:r>
        <w:r w:rsidR="0058288C">
          <w:rPr>
            <w:noProof/>
            <w:webHidden/>
          </w:rPr>
          <w:tab/>
        </w:r>
        <w:r w:rsidR="0058288C">
          <w:rPr>
            <w:noProof/>
            <w:webHidden/>
          </w:rPr>
          <w:fldChar w:fldCharType="begin"/>
        </w:r>
        <w:r w:rsidR="0058288C">
          <w:rPr>
            <w:noProof/>
            <w:webHidden/>
          </w:rPr>
          <w:instrText xml:space="preserve"> PAGEREF _Toc95925027 \h </w:instrText>
        </w:r>
        <w:r w:rsidR="0058288C">
          <w:rPr>
            <w:noProof/>
            <w:webHidden/>
          </w:rPr>
        </w:r>
        <w:r w:rsidR="0058288C">
          <w:rPr>
            <w:noProof/>
            <w:webHidden/>
          </w:rPr>
          <w:fldChar w:fldCharType="separate"/>
        </w:r>
        <w:r w:rsidR="0058288C">
          <w:rPr>
            <w:noProof/>
            <w:webHidden/>
          </w:rPr>
          <w:t>63</w:t>
        </w:r>
        <w:r w:rsidR="0058288C">
          <w:rPr>
            <w:noProof/>
            <w:webHidden/>
          </w:rPr>
          <w:fldChar w:fldCharType="end"/>
        </w:r>
      </w:hyperlink>
    </w:p>
    <w:p w14:paraId="4EC049C6" w14:textId="6420710B" w:rsidR="0058288C" w:rsidRDefault="00613C5F">
      <w:pPr>
        <w:pStyle w:val="TOC5"/>
        <w:rPr>
          <w:rFonts w:asciiTheme="minorHAnsi" w:eastAsiaTheme="minorEastAsia" w:hAnsiTheme="minorHAnsi" w:cstheme="minorBidi"/>
          <w:noProof/>
          <w:sz w:val="22"/>
          <w:szCs w:val="22"/>
          <w:lang w:val="en-US"/>
        </w:rPr>
      </w:pPr>
      <w:hyperlink w:anchor="_Toc95925028" w:history="1">
        <w:r w:rsidR="0058288C" w:rsidRPr="001A38AD">
          <w:rPr>
            <w:rStyle w:val="Hyperlink"/>
            <w:noProof/>
          </w:rPr>
          <w:t>29.2</w:t>
        </w:r>
        <w:r w:rsidR="0058288C">
          <w:rPr>
            <w:rFonts w:asciiTheme="minorHAnsi" w:eastAsiaTheme="minorEastAsia" w:hAnsiTheme="minorHAnsi" w:cstheme="minorBidi"/>
            <w:noProof/>
            <w:sz w:val="22"/>
            <w:szCs w:val="22"/>
            <w:lang w:val="en-US"/>
          </w:rPr>
          <w:tab/>
        </w:r>
        <w:r w:rsidR="0058288C" w:rsidRPr="001A38AD">
          <w:rPr>
            <w:rStyle w:val="Hyperlink"/>
            <w:noProof/>
          </w:rPr>
          <w:t>Процедура</w:t>
        </w:r>
        <w:r w:rsidR="0058288C">
          <w:rPr>
            <w:noProof/>
            <w:webHidden/>
          </w:rPr>
          <w:tab/>
        </w:r>
        <w:r w:rsidR="0058288C">
          <w:rPr>
            <w:noProof/>
            <w:webHidden/>
          </w:rPr>
          <w:fldChar w:fldCharType="begin"/>
        </w:r>
        <w:r w:rsidR="0058288C">
          <w:rPr>
            <w:noProof/>
            <w:webHidden/>
          </w:rPr>
          <w:instrText xml:space="preserve"> PAGEREF _Toc95925028 \h </w:instrText>
        </w:r>
        <w:r w:rsidR="0058288C">
          <w:rPr>
            <w:noProof/>
            <w:webHidden/>
          </w:rPr>
        </w:r>
        <w:r w:rsidR="0058288C">
          <w:rPr>
            <w:noProof/>
            <w:webHidden/>
          </w:rPr>
          <w:fldChar w:fldCharType="separate"/>
        </w:r>
        <w:r w:rsidR="0058288C">
          <w:rPr>
            <w:noProof/>
            <w:webHidden/>
          </w:rPr>
          <w:t>63</w:t>
        </w:r>
        <w:r w:rsidR="0058288C">
          <w:rPr>
            <w:noProof/>
            <w:webHidden/>
          </w:rPr>
          <w:fldChar w:fldCharType="end"/>
        </w:r>
      </w:hyperlink>
    </w:p>
    <w:p w14:paraId="41DB2153" w14:textId="1D8CE28F" w:rsidR="0058288C" w:rsidRDefault="00613C5F">
      <w:pPr>
        <w:pStyle w:val="TOC4"/>
        <w:rPr>
          <w:rFonts w:asciiTheme="minorHAnsi" w:eastAsiaTheme="minorEastAsia" w:hAnsiTheme="minorHAnsi" w:cstheme="minorBidi"/>
          <w:noProof/>
          <w:sz w:val="22"/>
          <w:szCs w:val="22"/>
          <w:lang w:val="en-US"/>
        </w:rPr>
      </w:pPr>
      <w:hyperlink w:anchor="_Toc95925029" w:history="1">
        <w:r w:rsidR="0058288C" w:rsidRPr="001A38AD">
          <w:rPr>
            <w:rStyle w:val="Hyperlink"/>
            <w:noProof/>
          </w:rPr>
          <w:t>ЧЛЕН 30 — ВРЕМЕННО СПИРАНЕ НА ПЛАЩАНЕТО</w:t>
        </w:r>
        <w:r w:rsidR="0058288C">
          <w:rPr>
            <w:noProof/>
            <w:webHidden/>
          </w:rPr>
          <w:tab/>
        </w:r>
        <w:r w:rsidR="0058288C">
          <w:rPr>
            <w:noProof/>
            <w:webHidden/>
          </w:rPr>
          <w:fldChar w:fldCharType="begin"/>
        </w:r>
        <w:r w:rsidR="0058288C">
          <w:rPr>
            <w:noProof/>
            <w:webHidden/>
          </w:rPr>
          <w:instrText xml:space="preserve"> PAGEREF _Toc95925029 \h </w:instrText>
        </w:r>
        <w:r w:rsidR="0058288C">
          <w:rPr>
            <w:noProof/>
            <w:webHidden/>
          </w:rPr>
        </w:r>
        <w:r w:rsidR="0058288C">
          <w:rPr>
            <w:noProof/>
            <w:webHidden/>
          </w:rPr>
          <w:fldChar w:fldCharType="separate"/>
        </w:r>
        <w:r w:rsidR="0058288C">
          <w:rPr>
            <w:noProof/>
            <w:webHidden/>
          </w:rPr>
          <w:t>64</w:t>
        </w:r>
        <w:r w:rsidR="0058288C">
          <w:rPr>
            <w:noProof/>
            <w:webHidden/>
          </w:rPr>
          <w:fldChar w:fldCharType="end"/>
        </w:r>
      </w:hyperlink>
    </w:p>
    <w:p w14:paraId="0E9A3251" w14:textId="0798DA4F" w:rsidR="0058288C" w:rsidRDefault="00613C5F">
      <w:pPr>
        <w:pStyle w:val="TOC5"/>
        <w:rPr>
          <w:rFonts w:asciiTheme="minorHAnsi" w:eastAsiaTheme="minorEastAsia" w:hAnsiTheme="minorHAnsi" w:cstheme="minorBidi"/>
          <w:noProof/>
          <w:sz w:val="22"/>
          <w:szCs w:val="22"/>
          <w:lang w:val="en-US"/>
        </w:rPr>
      </w:pPr>
      <w:hyperlink w:anchor="_Toc95925030" w:history="1">
        <w:r w:rsidR="0058288C" w:rsidRPr="001A38AD">
          <w:rPr>
            <w:rStyle w:val="Hyperlink"/>
            <w:noProof/>
          </w:rPr>
          <w:t>30.1</w:t>
        </w:r>
        <w:r w:rsidR="0058288C">
          <w:rPr>
            <w:rFonts w:asciiTheme="minorHAnsi" w:eastAsiaTheme="minorEastAsia" w:hAnsiTheme="minorHAnsi" w:cstheme="minorBidi"/>
            <w:noProof/>
            <w:sz w:val="22"/>
            <w:szCs w:val="22"/>
            <w:lang w:val="en-US"/>
          </w:rPr>
          <w:tab/>
        </w:r>
        <w:r w:rsidR="0058288C" w:rsidRPr="001A38AD">
          <w:rPr>
            <w:rStyle w:val="Hyperlink"/>
            <w:noProof/>
          </w:rPr>
          <w:t>Условия</w:t>
        </w:r>
        <w:r w:rsidR="0058288C">
          <w:rPr>
            <w:noProof/>
            <w:webHidden/>
          </w:rPr>
          <w:tab/>
        </w:r>
        <w:r w:rsidR="0058288C">
          <w:rPr>
            <w:noProof/>
            <w:webHidden/>
          </w:rPr>
          <w:fldChar w:fldCharType="begin"/>
        </w:r>
        <w:r w:rsidR="0058288C">
          <w:rPr>
            <w:noProof/>
            <w:webHidden/>
          </w:rPr>
          <w:instrText xml:space="preserve"> PAGEREF _Toc95925030 \h </w:instrText>
        </w:r>
        <w:r w:rsidR="0058288C">
          <w:rPr>
            <w:noProof/>
            <w:webHidden/>
          </w:rPr>
        </w:r>
        <w:r w:rsidR="0058288C">
          <w:rPr>
            <w:noProof/>
            <w:webHidden/>
          </w:rPr>
          <w:fldChar w:fldCharType="separate"/>
        </w:r>
        <w:r w:rsidR="0058288C">
          <w:rPr>
            <w:noProof/>
            <w:webHidden/>
          </w:rPr>
          <w:t>64</w:t>
        </w:r>
        <w:r w:rsidR="0058288C">
          <w:rPr>
            <w:noProof/>
            <w:webHidden/>
          </w:rPr>
          <w:fldChar w:fldCharType="end"/>
        </w:r>
      </w:hyperlink>
    </w:p>
    <w:p w14:paraId="4C88F3A4" w14:textId="3AD3EEC3" w:rsidR="0058288C" w:rsidRDefault="00613C5F">
      <w:pPr>
        <w:pStyle w:val="TOC5"/>
        <w:rPr>
          <w:rFonts w:asciiTheme="minorHAnsi" w:eastAsiaTheme="minorEastAsia" w:hAnsiTheme="minorHAnsi" w:cstheme="minorBidi"/>
          <w:noProof/>
          <w:sz w:val="22"/>
          <w:szCs w:val="22"/>
          <w:lang w:val="en-US"/>
        </w:rPr>
      </w:pPr>
      <w:hyperlink w:anchor="_Toc95925031" w:history="1">
        <w:r w:rsidR="0058288C" w:rsidRPr="001A38AD">
          <w:rPr>
            <w:rStyle w:val="Hyperlink"/>
            <w:noProof/>
          </w:rPr>
          <w:t>30.2</w:t>
        </w:r>
        <w:r w:rsidR="0058288C">
          <w:rPr>
            <w:rFonts w:asciiTheme="minorHAnsi" w:eastAsiaTheme="minorEastAsia" w:hAnsiTheme="minorHAnsi" w:cstheme="minorBidi"/>
            <w:noProof/>
            <w:sz w:val="22"/>
            <w:szCs w:val="22"/>
            <w:lang w:val="en-US"/>
          </w:rPr>
          <w:tab/>
        </w:r>
        <w:r w:rsidR="0058288C" w:rsidRPr="001A38AD">
          <w:rPr>
            <w:rStyle w:val="Hyperlink"/>
            <w:noProof/>
          </w:rPr>
          <w:t>Процедура</w:t>
        </w:r>
        <w:r w:rsidR="0058288C">
          <w:rPr>
            <w:noProof/>
            <w:webHidden/>
          </w:rPr>
          <w:tab/>
        </w:r>
        <w:r w:rsidR="0058288C">
          <w:rPr>
            <w:noProof/>
            <w:webHidden/>
          </w:rPr>
          <w:fldChar w:fldCharType="begin"/>
        </w:r>
        <w:r w:rsidR="0058288C">
          <w:rPr>
            <w:noProof/>
            <w:webHidden/>
          </w:rPr>
          <w:instrText xml:space="preserve"> PAGEREF _Toc95925031 \h </w:instrText>
        </w:r>
        <w:r w:rsidR="0058288C">
          <w:rPr>
            <w:noProof/>
            <w:webHidden/>
          </w:rPr>
        </w:r>
        <w:r w:rsidR="0058288C">
          <w:rPr>
            <w:noProof/>
            <w:webHidden/>
          </w:rPr>
          <w:fldChar w:fldCharType="separate"/>
        </w:r>
        <w:r w:rsidR="0058288C">
          <w:rPr>
            <w:noProof/>
            <w:webHidden/>
          </w:rPr>
          <w:t>64</w:t>
        </w:r>
        <w:r w:rsidR="0058288C">
          <w:rPr>
            <w:noProof/>
            <w:webHidden/>
          </w:rPr>
          <w:fldChar w:fldCharType="end"/>
        </w:r>
      </w:hyperlink>
    </w:p>
    <w:p w14:paraId="3CF7A67B" w14:textId="1F428A07" w:rsidR="0058288C" w:rsidRDefault="00613C5F">
      <w:pPr>
        <w:pStyle w:val="TOC4"/>
        <w:rPr>
          <w:rFonts w:asciiTheme="minorHAnsi" w:eastAsiaTheme="minorEastAsia" w:hAnsiTheme="minorHAnsi" w:cstheme="minorBidi"/>
          <w:noProof/>
          <w:sz w:val="22"/>
          <w:szCs w:val="22"/>
          <w:lang w:val="en-US"/>
        </w:rPr>
      </w:pPr>
      <w:hyperlink w:anchor="_Toc95925032" w:history="1">
        <w:r w:rsidR="0058288C" w:rsidRPr="001A38AD">
          <w:rPr>
            <w:rStyle w:val="Hyperlink"/>
            <w:noProof/>
          </w:rPr>
          <w:t>ЧЛЕН 31 — ВРЕМЕННО СПИРАНЕ НА СПОРАЗУМЕНИЕТО ЗА ОТПУСКАНЕ НА БЕЗВЪЗМЕЗДНИ СРЕДСТВА</w:t>
        </w:r>
        <w:r w:rsidR="0058288C">
          <w:rPr>
            <w:noProof/>
            <w:webHidden/>
          </w:rPr>
          <w:tab/>
        </w:r>
        <w:r w:rsidR="0058288C">
          <w:rPr>
            <w:noProof/>
            <w:webHidden/>
          </w:rPr>
          <w:fldChar w:fldCharType="begin"/>
        </w:r>
        <w:r w:rsidR="0058288C">
          <w:rPr>
            <w:noProof/>
            <w:webHidden/>
          </w:rPr>
          <w:instrText xml:space="preserve"> PAGEREF _Toc95925032 \h </w:instrText>
        </w:r>
        <w:r w:rsidR="0058288C">
          <w:rPr>
            <w:noProof/>
            <w:webHidden/>
          </w:rPr>
        </w:r>
        <w:r w:rsidR="0058288C">
          <w:rPr>
            <w:noProof/>
            <w:webHidden/>
          </w:rPr>
          <w:fldChar w:fldCharType="separate"/>
        </w:r>
        <w:r w:rsidR="0058288C">
          <w:rPr>
            <w:noProof/>
            <w:webHidden/>
          </w:rPr>
          <w:t>65</w:t>
        </w:r>
        <w:r w:rsidR="0058288C">
          <w:rPr>
            <w:noProof/>
            <w:webHidden/>
          </w:rPr>
          <w:fldChar w:fldCharType="end"/>
        </w:r>
      </w:hyperlink>
    </w:p>
    <w:p w14:paraId="03BA969A" w14:textId="0B696220" w:rsidR="0058288C" w:rsidRDefault="00613C5F">
      <w:pPr>
        <w:pStyle w:val="TOC5"/>
        <w:rPr>
          <w:rFonts w:asciiTheme="minorHAnsi" w:eastAsiaTheme="minorEastAsia" w:hAnsiTheme="minorHAnsi" w:cstheme="minorBidi"/>
          <w:noProof/>
          <w:sz w:val="22"/>
          <w:szCs w:val="22"/>
          <w:lang w:val="en-US"/>
        </w:rPr>
      </w:pPr>
      <w:hyperlink w:anchor="_Toc95925033" w:history="1">
        <w:r w:rsidR="0058288C" w:rsidRPr="001A38AD">
          <w:rPr>
            <w:rStyle w:val="Hyperlink"/>
            <w:noProof/>
          </w:rPr>
          <w:t>31.1</w:t>
        </w:r>
        <w:r w:rsidR="0058288C">
          <w:rPr>
            <w:rFonts w:asciiTheme="minorHAnsi" w:eastAsiaTheme="minorEastAsia" w:hAnsiTheme="minorHAnsi" w:cstheme="minorBidi"/>
            <w:noProof/>
            <w:sz w:val="22"/>
            <w:szCs w:val="22"/>
            <w:lang w:val="en-US"/>
          </w:rPr>
          <w:tab/>
        </w:r>
        <w:r w:rsidR="0058288C" w:rsidRPr="001A38AD">
          <w:rPr>
            <w:rStyle w:val="Hyperlink"/>
            <w:noProof/>
          </w:rPr>
          <w:t>Временно спиране на споразумението за отпускане на безвъзмездни средства по искане на бенефициерите</w:t>
        </w:r>
        <w:r w:rsidR="0058288C">
          <w:rPr>
            <w:noProof/>
            <w:webHidden/>
          </w:rPr>
          <w:tab/>
        </w:r>
        <w:r w:rsidR="0058288C">
          <w:rPr>
            <w:noProof/>
            <w:webHidden/>
          </w:rPr>
          <w:fldChar w:fldCharType="begin"/>
        </w:r>
        <w:r w:rsidR="0058288C">
          <w:rPr>
            <w:noProof/>
            <w:webHidden/>
          </w:rPr>
          <w:instrText xml:space="preserve"> PAGEREF _Toc95925033 \h </w:instrText>
        </w:r>
        <w:r w:rsidR="0058288C">
          <w:rPr>
            <w:noProof/>
            <w:webHidden/>
          </w:rPr>
        </w:r>
        <w:r w:rsidR="0058288C">
          <w:rPr>
            <w:noProof/>
            <w:webHidden/>
          </w:rPr>
          <w:fldChar w:fldCharType="separate"/>
        </w:r>
        <w:r w:rsidR="0058288C">
          <w:rPr>
            <w:noProof/>
            <w:webHidden/>
          </w:rPr>
          <w:t>65</w:t>
        </w:r>
        <w:r w:rsidR="0058288C">
          <w:rPr>
            <w:noProof/>
            <w:webHidden/>
          </w:rPr>
          <w:fldChar w:fldCharType="end"/>
        </w:r>
      </w:hyperlink>
    </w:p>
    <w:p w14:paraId="28304439" w14:textId="6F751354" w:rsidR="0058288C" w:rsidRDefault="00613C5F">
      <w:pPr>
        <w:pStyle w:val="TOC5"/>
        <w:rPr>
          <w:rFonts w:asciiTheme="minorHAnsi" w:eastAsiaTheme="minorEastAsia" w:hAnsiTheme="minorHAnsi" w:cstheme="minorBidi"/>
          <w:noProof/>
          <w:sz w:val="22"/>
          <w:szCs w:val="22"/>
          <w:lang w:val="en-US"/>
        </w:rPr>
      </w:pPr>
      <w:hyperlink w:anchor="_Toc95925034" w:history="1">
        <w:r w:rsidR="0058288C" w:rsidRPr="001A38AD">
          <w:rPr>
            <w:rStyle w:val="Hyperlink"/>
            <w:noProof/>
          </w:rPr>
          <w:t>31.2</w:t>
        </w:r>
        <w:r w:rsidR="0058288C">
          <w:rPr>
            <w:rFonts w:asciiTheme="minorHAnsi" w:eastAsiaTheme="minorEastAsia" w:hAnsiTheme="minorHAnsi" w:cstheme="minorBidi"/>
            <w:noProof/>
            <w:sz w:val="22"/>
            <w:szCs w:val="22"/>
            <w:lang w:val="en-US"/>
          </w:rPr>
          <w:tab/>
        </w:r>
        <w:r w:rsidR="0058288C" w:rsidRPr="001A38AD">
          <w:rPr>
            <w:rStyle w:val="Hyperlink"/>
            <w:noProof/>
          </w:rPr>
          <w:t>Временно спиране на споразумението за отпускане на безвъзмездни средства по инициатива на предоставящия орган</w:t>
        </w:r>
        <w:r w:rsidR="0058288C">
          <w:rPr>
            <w:noProof/>
            <w:webHidden/>
          </w:rPr>
          <w:tab/>
        </w:r>
        <w:r w:rsidR="0058288C">
          <w:rPr>
            <w:noProof/>
            <w:webHidden/>
          </w:rPr>
          <w:fldChar w:fldCharType="begin"/>
        </w:r>
        <w:r w:rsidR="0058288C">
          <w:rPr>
            <w:noProof/>
            <w:webHidden/>
          </w:rPr>
          <w:instrText xml:space="preserve"> PAGEREF _Toc95925034 \h </w:instrText>
        </w:r>
        <w:r w:rsidR="0058288C">
          <w:rPr>
            <w:noProof/>
            <w:webHidden/>
          </w:rPr>
        </w:r>
        <w:r w:rsidR="0058288C">
          <w:rPr>
            <w:noProof/>
            <w:webHidden/>
          </w:rPr>
          <w:fldChar w:fldCharType="separate"/>
        </w:r>
        <w:r w:rsidR="0058288C">
          <w:rPr>
            <w:noProof/>
            <w:webHidden/>
          </w:rPr>
          <w:t>66</w:t>
        </w:r>
        <w:r w:rsidR="0058288C">
          <w:rPr>
            <w:noProof/>
            <w:webHidden/>
          </w:rPr>
          <w:fldChar w:fldCharType="end"/>
        </w:r>
      </w:hyperlink>
    </w:p>
    <w:p w14:paraId="5EB613F9" w14:textId="7B14D8A6" w:rsidR="0058288C" w:rsidRDefault="00613C5F">
      <w:pPr>
        <w:pStyle w:val="TOC4"/>
        <w:rPr>
          <w:rFonts w:asciiTheme="minorHAnsi" w:eastAsiaTheme="minorEastAsia" w:hAnsiTheme="minorHAnsi" w:cstheme="minorBidi"/>
          <w:noProof/>
          <w:sz w:val="22"/>
          <w:szCs w:val="22"/>
          <w:lang w:val="en-US"/>
        </w:rPr>
      </w:pPr>
      <w:hyperlink w:anchor="_Toc95925035" w:history="1">
        <w:r w:rsidR="0058288C" w:rsidRPr="001A38AD">
          <w:rPr>
            <w:rStyle w:val="Hyperlink"/>
            <w:noProof/>
          </w:rPr>
          <w:t>ЧЛЕН 32 — ПРЕКРАТЯВАНЕ НА СПОРАЗУМЕНИЕТО ЗА ОТПУСКАНЕ НА БЕЗВЪЗМЕЗДНИ СРЕДСТВА ИЛИ НА УЧАСТИЕТО НА БЕНЕФИЦИЕРА</w:t>
        </w:r>
        <w:r w:rsidR="0058288C">
          <w:rPr>
            <w:noProof/>
            <w:webHidden/>
          </w:rPr>
          <w:tab/>
        </w:r>
        <w:r w:rsidR="0058288C">
          <w:rPr>
            <w:noProof/>
            <w:webHidden/>
          </w:rPr>
          <w:fldChar w:fldCharType="begin"/>
        </w:r>
        <w:r w:rsidR="0058288C">
          <w:rPr>
            <w:noProof/>
            <w:webHidden/>
          </w:rPr>
          <w:instrText xml:space="preserve"> PAGEREF _Toc95925035 \h </w:instrText>
        </w:r>
        <w:r w:rsidR="0058288C">
          <w:rPr>
            <w:noProof/>
            <w:webHidden/>
          </w:rPr>
        </w:r>
        <w:r w:rsidR="0058288C">
          <w:rPr>
            <w:noProof/>
            <w:webHidden/>
          </w:rPr>
          <w:fldChar w:fldCharType="separate"/>
        </w:r>
        <w:r w:rsidR="0058288C">
          <w:rPr>
            <w:noProof/>
            <w:webHidden/>
          </w:rPr>
          <w:t>67</w:t>
        </w:r>
        <w:r w:rsidR="0058288C">
          <w:rPr>
            <w:noProof/>
            <w:webHidden/>
          </w:rPr>
          <w:fldChar w:fldCharType="end"/>
        </w:r>
      </w:hyperlink>
    </w:p>
    <w:p w14:paraId="0A292C6C" w14:textId="26898B35" w:rsidR="0058288C" w:rsidRDefault="00613C5F">
      <w:pPr>
        <w:pStyle w:val="TOC5"/>
        <w:rPr>
          <w:rFonts w:asciiTheme="minorHAnsi" w:eastAsiaTheme="minorEastAsia" w:hAnsiTheme="minorHAnsi" w:cstheme="minorBidi"/>
          <w:noProof/>
          <w:sz w:val="22"/>
          <w:szCs w:val="22"/>
          <w:lang w:val="en-US"/>
        </w:rPr>
      </w:pPr>
      <w:hyperlink w:anchor="_Toc95925036" w:history="1">
        <w:r w:rsidR="0058288C" w:rsidRPr="001A38AD">
          <w:rPr>
            <w:rStyle w:val="Hyperlink"/>
            <w:noProof/>
          </w:rPr>
          <w:t>32.1</w:t>
        </w:r>
        <w:r w:rsidR="0058288C">
          <w:rPr>
            <w:rFonts w:asciiTheme="minorHAnsi" w:eastAsiaTheme="minorEastAsia" w:hAnsiTheme="minorHAnsi" w:cstheme="minorBidi"/>
            <w:noProof/>
            <w:sz w:val="22"/>
            <w:szCs w:val="22"/>
            <w:lang w:val="en-US"/>
          </w:rPr>
          <w:tab/>
        </w:r>
        <w:r w:rsidR="0058288C" w:rsidRPr="001A38AD">
          <w:rPr>
            <w:rStyle w:val="Hyperlink"/>
            <w:noProof/>
          </w:rPr>
          <w:t>Прекратяване на споразумението за отпускане на безвъзмездни средства по искане на бенефициерите</w:t>
        </w:r>
        <w:r w:rsidR="0058288C">
          <w:rPr>
            <w:noProof/>
            <w:webHidden/>
          </w:rPr>
          <w:tab/>
        </w:r>
        <w:r w:rsidR="0058288C">
          <w:rPr>
            <w:noProof/>
            <w:webHidden/>
          </w:rPr>
          <w:fldChar w:fldCharType="begin"/>
        </w:r>
        <w:r w:rsidR="0058288C">
          <w:rPr>
            <w:noProof/>
            <w:webHidden/>
          </w:rPr>
          <w:instrText xml:space="preserve"> PAGEREF _Toc95925036 \h </w:instrText>
        </w:r>
        <w:r w:rsidR="0058288C">
          <w:rPr>
            <w:noProof/>
            <w:webHidden/>
          </w:rPr>
        </w:r>
        <w:r w:rsidR="0058288C">
          <w:rPr>
            <w:noProof/>
            <w:webHidden/>
          </w:rPr>
          <w:fldChar w:fldCharType="separate"/>
        </w:r>
        <w:r w:rsidR="0058288C">
          <w:rPr>
            <w:noProof/>
            <w:webHidden/>
          </w:rPr>
          <w:t>67</w:t>
        </w:r>
        <w:r w:rsidR="0058288C">
          <w:rPr>
            <w:noProof/>
            <w:webHidden/>
          </w:rPr>
          <w:fldChar w:fldCharType="end"/>
        </w:r>
      </w:hyperlink>
    </w:p>
    <w:p w14:paraId="6899F377" w14:textId="1F5E00A7" w:rsidR="0058288C" w:rsidRDefault="00613C5F">
      <w:pPr>
        <w:pStyle w:val="TOC5"/>
        <w:rPr>
          <w:rFonts w:asciiTheme="minorHAnsi" w:eastAsiaTheme="minorEastAsia" w:hAnsiTheme="minorHAnsi" w:cstheme="minorBidi"/>
          <w:noProof/>
          <w:sz w:val="22"/>
          <w:szCs w:val="22"/>
          <w:lang w:val="en-US"/>
        </w:rPr>
      </w:pPr>
      <w:hyperlink w:anchor="_Toc95925037" w:history="1">
        <w:r w:rsidR="0058288C" w:rsidRPr="001A38AD">
          <w:rPr>
            <w:rStyle w:val="Hyperlink"/>
            <w:noProof/>
          </w:rPr>
          <w:t>32.2</w:t>
        </w:r>
        <w:r w:rsidR="0058288C">
          <w:rPr>
            <w:rFonts w:asciiTheme="minorHAnsi" w:eastAsiaTheme="minorEastAsia" w:hAnsiTheme="minorHAnsi" w:cstheme="minorBidi"/>
            <w:noProof/>
            <w:sz w:val="22"/>
            <w:szCs w:val="22"/>
            <w:lang w:val="en-US"/>
          </w:rPr>
          <w:tab/>
        </w:r>
        <w:r w:rsidR="0058288C" w:rsidRPr="001A38AD">
          <w:rPr>
            <w:rStyle w:val="Hyperlink"/>
            <w:noProof/>
          </w:rPr>
          <w:t>Прекратяване на участието на бенефициер по искане на консорциума</w:t>
        </w:r>
        <w:r w:rsidR="0058288C">
          <w:rPr>
            <w:noProof/>
            <w:webHidden/>
          </w:rPr>
          <w:tab/>
        </w:r>
        <w:r w:rsidR="0058288C">
          <w:rPr>
            <w:noProof/>
            <w:webHidden/>
          </w:rPr>
          <w:fldChar w:fldCharType="begin"/>
        </w:r>
        <w:r w:rsidR="0058288C">
          <w:rPr>
            <w:noProof/>
            <w:webHidden/>
          </w:rPr>
          <w:instrText xml:space="preserve"> PAGEREF _Toc95925037 \h </w:instrText>
        </w:r>
        <w:r w:rsidR="0058288C">
          <w:rPr>
            <w:noProof/>
            <w:webHidden/>
          </w:rPr>
        </w:r>
        <w:r w:rsidR="0058288C">
          <w:rPr>
            <w:noProof/>
            <w:webHidden/>
          </w:rPr>
          <w:fldChar w:fldCharType="separate"/>
        </w:r>
        <w:r w:rsidR="0058288C">
          <w:rPr>
            <w:noProof/>
            <w:webHidden/>
          </w:rPr>
          <w:t>68</w:t>
        </w:r>
        <w:r w:rsidR="0058288C">
          <w:rPr>
            <w:noProof/>
            <w:webHidden/>
          </w:rPr>
          <w:fldChar w:fldCharType="end"/>
        </w:r>
      </w:hyperlink>
    </w:p>
    <w:p w14:paraId="751DF9F6" w14:textId="4AD4F9FD" w:rsidR="0058288C" w:rsidRDefault="00613C5F">
      <w:pPr>
        <w:pStyle w:val="TOC5"/>
        <w:rPr>
          <w:rFonts w:asciiTheme="minorHAnsi" w:eastAsiaTheme="minorEastAsia" w:hAnsiTheme="minorHAnsi" w:cstheme="minorBidi"/>
          <w:noProof/>
          <w:sz w:val="22"/>
          <w:szCs w:val="22"/>
          <w:lang w:val="en-US"/>
        </w:rPr>
      </w:pPr>
      <w:hyperlink w:anchor="_Toc95925038" w:history="1">
        <w:r w:rsidR="0058288C" w:rsidRPr="001A38AD">
          <w:rPr>
            <w:rStyle w:val="Hyperlink"/>
            <w:noProof/>
          </w:rPr>
          <w:t>32.3</w:t>
        </w:r>
        <w:r w:rsidR="0058288C">
          <w:rPr>
            <w:rFonts w:asciiTheme="minorHAnsi" w:eastAsiaTheme="minorEastAsia" w:hAnsiTheme="minorHAnsi" w:cstheme="minorBidi"/>
            <w:noProof/>
            <w:sz w:val="22"/>
            <w:szCs w:val="22"/>
            <w:lang w:val="en-US"/>
          </w:rPr>
          <w:tab/>
        </w:r>
        <w:r w:rsidR="0058288C" w:rsidRPr="001A38AD">
          <w:rPr>
            <w:rStyle w:val="Hyperlink"/>
            <w:noProof/>
          </w:rPr>
          <w:t>Прекратяване на споразумението за отпускане на безвъзмездни средства или на участието на бенефициер по инициатива на предоставящия орган</w:t>
        </w:r>
        <w:r w:rsidR="0058288C">
          <w:rPr>
            <w:noProof/>
            <w:webHidden/>
          </w:rPr>
          <w:tab/>
        </w:r>
        <w:r w:rsidR="0058288C">
          <w:rPr>
            <w:noProof/>
            <w:webHidden/>
          </w:rPr>
          <w:fldChar w:fldCharType="begin"/>
        </w:r>
        <w:r w:rsidR="0058288C">
          <w:rPr>
            <w:noProof/>
            <w:webHidden/>
          </w:rPr>
          <w:instrText xml:space="preserve"> PAGEREF _Toc95925038 \h </w:instrText>
        </w:r>
        <w:r w:rsidR="0058288C">
          <w:rPr>
            <w:noProof/>
            <w:webHidden/>
          </w:rPr>
        </w:r>
        <w:r w:rsidR="0058288C">
          <w:rPr>
            <w:noProof/>
            <w:webHidden/>
          </w:rPr>
          <w:fldChar w:fldCharType="separate"/>
        </w:r>
        <w:r w:rsidR="0058288C">
          <w:rPr>
            <w:noProof/>
            <w:webHidden/>
          </w:rPr>
          <w:t>70</w:t>
        </w:r>
        <w:r w:rsidR="0058288C">
          <w:rPr>
            <w:noProof/>
            <w:webHidden/>
          </w:rPr>
          <w:fldChar w:fldCharType="end"/>
        </w:r>
      </w:hyperlink>
    </w:p>
    <w:p w14:paraId="1A0B5B7D" w14:textId="4DBA82B9" w:rsidR="0058288C" w:rsidRDefault="00613C5F">
      <w:pPr>
        <w:pStyle w:val="TOC2"/>
        <w:rPr>
          <w:rFonts w:asciiTheme="minorHAnsi" w:eastAsiaTheme="minorEastAsia" w:hAnsiTheme="minorHAnsi" w:cstheme="minorBidi"/>
          <w:b w:val="0"/>
          <w:noProof/>
          <w:sz w:val="22"/>
          <w:szCs w:val="22"/>
          <w:lang w:val="en-US"/>
        </w:rPr>
      </w:pPr>
      <w:hyperlink w:anchor="_Toc95925039" w:history="1">
        <w:r w:rsidR="0058288C" w:rsidRPr="001A38AD">
          <w:rPr>
            <w:rStyle w:val="Hyperlink"/>
            <w:noProof/>
          </w:rPr>
          <w:t>РАЗДЕЛ 3</w:t>
        </w:r>
        <w:r w:rsidR="0058288C">
          <w:rPr>
            <w:rFonts w:asciiTheme="minorHAnsi" w:eastAsiaTheme="minorEastAsia" w:hAnsiTheme="minorHAnsi" w:cstheme="minorBidi"/>
            <w:b w:val="0"/>
            <w:noProof/>
            <w:sz w:val="22"/>
            <w:szCs w:val="22"/>
            <w:lang w:val="en-US"/>
          </w:rPr>
          <w:tab/>
        </w:r>
        <w:r w:rsidR="0058288C" w:rsidRPr="001A38AD">
          <w:rPr>
            <w:rStyle w:val="Hyperlink"/>
            <w:noProof/>
          </w:rPr>
          <w:t>ДРУГИ ПОСЛЕДИЦИ: ВРЕДИ И АДМИНИСТРАТИВНИ САНКЦИИ</w:t>
        </w:r>
        <w:r w:rsidR="0058288C">
          <w:rPr>
            <w:noProof/>
            <w:webHidden/>
          </w:rPr>
          <w:tab/>
        </w:r>
        <w:r w:rsidR="0058288C">
          <w:rPr>
            <w:noProof/>
            <w:webHidden/>
          </w:rPr>
          <w:fldChar w:fldCharType="begin"/>
        </w:r>
        <w:r w:rsidR="0058288C">
          <w:rPr>
            <w:noProof/>
            <w:webHidden/>
          </w:rPr>
          <w:instrText xml:space="preserve"> PAGEREF _Toc95925039 \h </w:instrText>
        </w:r>
        <w:r w:rsidR="0058288C">
          <w:rPr>
            <w:noProof/>
            <w:webHidden/>
          </w:rPr>
        </w:r>
        <w:r w:rsidR="0058288C">
          <w:rPr>
            <w:noProof/>
            <w:webHidden/>
          </w:rPr>
          <w:fldChar w:fldCharType="separate"/>
        </w:r>
        <w:r w:rsidR="0058288C">
          <w:rPr>
            <w:noProof/>
            <w:webHidden/>
          </w:rPr>
          <w:t>74</w:t>
        </w:r>
        <w:r w:rsidR="0058288C">
          <w:rPr>
            <w:noProof/>
            <w:webHidden/>
          </w:rPr>
          <w:fldChar w:fldCharType="end"/>
        </w:r>
      </w:hyperlink>
    </w:p>
    <w:p w14:paraId="40C18D79" w14:textId="583DFB69" w:rsidR="0058288C" w:rsidRDefault="00613C5F">
      <w:pPr>
        <w:pStyle w:val="TOC4"/>
        <w:rPr>
          <w:rFonts w:asciiTheme="minorHAnsi" w:eastAsiaTheme="minorEastAsia" w:hAnsiTheme="minorHAnsi" w:cstheme="minorBidi"/>
          <w:noProof/>
          <w:sz w:val="22"/>
          <w:szCs w:val="22"/>
          <w:lang w:val="en-US"/>
        </w:rPr>
      </w:pPr>
      <w:hyperlink w:anchor="_Toc95925040" w:history="1">
        <w:r w:rsidR="0058288C" w:rsidRPr="001A38AD">
          <w:rPr>
            <w:rStyle w:val="Hyperlink"/>
            <w:noProof/>
          </w:rPr>
          <w:t>ЧЛЕН 33 — ВРЕДИ</w:t>
        </w:r>
        <w:r w:rsidR="0058288C">
          <w:rPr>
            <w:noProof/>
            <w:webHidden/>
          </w:rPr>
          <w:tab/>
        </w:r>
        <w:r w:rsidR="0058288C">
          <w:rPr>
            <w:noProof/>
            <w:webHidden/>
          </w:rPr>
          <w:fldChar w:fldCharType="begin"/>
        </w:r>
        <w:r w:rsidR="0058288C">
          <w:rPr>
            <w:noProof/>
            <w:webHidden/>
          </w:rPr>
          <w:instrText xml:space="preserve"> PAGEREF _Toc95925040 \h </w:instrText>
        </w:r>
        <w:r w:rsidR="0058288C">
          <w:rPr>
            <w:noProof/>
            <w:webHidden/>
          </w:rPr>
        </w:r>
        <w:r w:rsidR="0058288C">
          <w:rPr>
            <w:noProof/>
            <w:webHidden/>
          </w:rPr>
          <w:fldChar w:fldCharType="separate"/>
        </w:r>
        <w:r w:rsidR="0058288C">
          <w:rPr>
            <w:noProof/>
            <w:webHidden/>
          </w:rPr>
          <w:t>74</w:t>
        </w:r>
        <w:r w:rsidR="0058288C">
          <w:rPr>
            <w:noProof/>
            <w:webHidden/>
          </w:rPr>
          <w:fldChar w:fldCharType="end"/>
        </w:r>
      </w:hyperlink>
    </w:p>
    <w:p w14:paraId="5C5D243C" w14:textId="71851588" w:rsidR="0058288C" w:rsidRDefault="00613C5F">
      <w:pPr>
        <w:pStyle w:val="TOC5"/>
        <w:rPr>
          <w:rFonts w:asciiTheme="minorHAnsi" w:eastAsiaTheme="minorEastAsia" w:hAnsiTheme="minorHAnsi" w:cstheme="minorBidi"/>
          <w:noProof/>
          <w:sz w:val="22"/>
          <w:szCs w:val="22"/>
          <w:lang w:val="en-US"/>
        </w:rPr>
      </w:pPr>
      <w:hyperlink w:anchor="_Toc95925041" w:history="1">
        <w:r w:rsidR="0058288C" w:rsidRPr="001A38AD">
          <w:rPr>
            <w:rStyle w:val="Hyperlink"/>
            <w:noProof/>
          </w:rPr>
          <w:t>33.1</w:t>
        </w:r>
        <w:r w:rsidR="0058288C">
          <w:rPr>
            <w:rFonts w:asciiTheme="minorHAnsi" w:eastAsiaTheme="minorEastAsia" w:hAnsiTheme="minorHAnsi" w:cstheme="minorBidi"/>
            <w:noProof/>
            <w:sz w:val="22"/>
            <w:szCs w:val="22"/>
            <w:lang w:val="en-US"/>
          </w:rPr>
          <w:tab/>
        </w:r>
        <w:r w:rsidR="0058288C" w:rsidRPr="001A38AD">
          <w:rPr>
            <w:rStyle w:val="Hyperlink"/>
            <w:noProof/>
          </w:rPr>
          <w:t>Отговорност на предоставящия орган</w:t>
        </w:r>
        <w:r w:rsidR="0058288C">
          <w:rPr>
            <w:noProof/>
            <w:webHidden/>
          </w:rPr>
          <w:tab/>
        </w:r>
        <w:r w:rsidR="0058288C">
          <w:rPr>
            <w:noProof/>
            <w:webHidden/>
          </w:rPr>
          <w:fldChar w:fldCharType="begin"/>
        </w:r>
        <w:r w:rsidR="0058288C">
          <w:rPr>
            <w:noProof/>
            <w:webHidden/>
          </w:rPr>
          <w:instrText xml:space="preserve"> PAGEREF _Toc95925041 \h </w:instrText>
        </w:r>
        <w:r w:rsidR="0058288C">
          <w:rPr>
            <w:noProof/>
            <w:webHidden/>
          </w:rPr>
        </w:r>
        <w:r w:rsidR="0058288C">
          <w:rPr>
            <w:noProof/>
            <w:webHidden/>
          </w:rPr>
          <w:fldChar w:fldCharType="separate"/>
        </w:r>
        <w:r w:rsidR="0058288C">
          <w:rPr>
            <w:noProof/>
            <w:webHidden/>
          </w:rPr>
          <w:t>74</w:t>
        </w:r>
        <w:r w:rsidR="0058288C">
          <w:rPr>
            <w:noProof/>
            <w:webHidden/>
          </w:rPr>
          <w:fldChar w:fldCharType="end"/>
        </w:r>
      </w:hyperlink>
    </w:p>
    <w:p w14:paraId="7C44045C" w14:textId="6C9E8D9A" w:rsidR="0058288C" w:rsidRDefault="00613C5F">
      <w:pPr>
        <w:pStyle w:val="TOC5"/>
        <w:rPr>
          <w:rFonts w:asciiTheme="minorHAnsi" w:eastAsiaTheme="minorEastAsia" w:hAnsiTheme="minorHAnsi" w:cstheme="minorBidi"/>
          <w:noProof/>
          <w:sz w:val="22"/>
          <w:szCs w:val="22"/>
          <w:lang w:val="en-US"/>
        </w:rPr>
      </w:pPr>
      <w:hyperlink w:anchor="_Toc95925042" w:history="1">
        <w:r w:rsidR="0058288C" w:rsidRPr="001A38AD">
          <w:rPr>
            <w:rStyle w:val="Hyperlink"/>
            <w:noProof/>
          </w:rPr>
          <w:t>33.2</w:t>
        </w:r>
        <w:r w:rsidR="0058288C">
          <w:rPr>
            <w:rFonts w:asciiTheme="minorHAnsi" w:eastAsiaTheme="minorEastAsia" w:hAnsiTheme="minorHAnsi" w:cstheme="minorBidi"/>
            <w:noProof/>
            <w:sz w:val="22"/>
            <w:szCs w:val="22"/>
            <w:lang w:val="en-US"/>
          </w:rPr>
          <w:tab/>
        </w:r>
        <w:r w:rsidR="0058288C" w:rsidRPr="001A38AD">
          <w:rPr>
            <w:rStyle w:val="Hyperlink"/>
            <w:noProof/>
          </w:rPr>
          <w:t>Отговорност на бенефициерите</w:t>
        </w:r>
        <w:r w:rsidR="0058288C">
          <w:rPr>
            <w:noProof/>
            <w:webHidden/>
          </w:rPr>
          <w:tab/>
        </w:r>
        <w:r w:rsidR="0058288C">
          <w:rPr>
            <w:noProof/>
            <w:webHidden/>
          </w:rPr>
          <w:fldChar w:fldCharType="begin"/>
        </w:r>
        <w:r w:rsidR="0058288C">
          <w:rPr>
            <w:noProof/>
            <w:webHidden/>
          </w:rPr>
          <w:instrText xml:space="preserve"> PAGEREF _Toc95925042 \h </w:instrText>
        </w:r>
        <w:r w:rsidR="0058288C">
          <w:rPr>
            <w:noProof/>
            <w:webHidden/>
          </w:rPr>
        </w:r>
        <w:r w:rsidR="0058288C">
          <w:rPr>
            <w:noProof/>
            <w:webHidden/>
          </w:rPr>
          <w:fldChar w:fldCharType="separate"/>
        </w:r>
        <w:r w:rsidR="0058288C">
          <w:rPr>
            <w:noProof/>
            <w:webHidden/>
          </w:rPr>
          <w:t>74</w:t>
        </w:r>
        <w:r w:rsidR="0058288C">
          <w:rPr>
            <w:noProof/>
            <w:webHidden/>
          </w:rPr>
          <w:fldChar w:fldCharType="end"/>
        </w:r>
      </w:hyperlink>
    </w:p>
    <w:p w14:paraId="58683335" w14:textId="7FF93DAB" w:rsidR="0058288C" w:rsidRDefault="00613C5F">
      <w:pPr>
        <w:pStyle w:val="TOC4"/>
        <w:rPr>
          <w:rFonts w:asciiTheme="minorHAnsi" w:eastAsiaTheme="minorEastAsia" w:hAnsiTheme="minorHAnsi" w:cstheme="minorBidi"/>
          <w:noProof/>
          <w:sz w:val="22"/>
          <w:szCs w:val="22"/>
          <w:lang w:val="en-US"/>
        </w:rPr>
      </w:pPr>
      <w:hyperlink w:anchor="_Toc95925043" w:history="1">
        <w:r w:rsidR="0058288C" w:rsidRPr="001A38AD">
          <w:rPr>
            <w:rStyle w:val="Hyperlink"/>
            <w:noProof/>
          </w:rPr>
          <w:t>ЧЛЕН 34 — АДМИНИСТРАТИВНИ САНКЦИИ И ДРУГИ МЕРКИ</w:t>
        </w:r>
        <w:r w:rsidR="0058288C">
          <w:rPr>
            <w:noProof/>
            <w:webHidden/>
          </w:rPr>
          <w:tab/>
        </w:r>
        <w:r w:rsidR="0058288C">
          <w:rPr>
            <w:noProof/>
            <w:webHidden/>
          </w:rPr>
          <w:fldChar w:fldCharType="begin"/>
        </w:r>
        <w:r w:rsidR="0058288C">
          <w:rPr>
            <w:noProof/>
            <w:webHidden/>
          </w:rPr>
          <w:instrText xml:space="preserve"> PAGEREF _Toc95925043 \h </w:instrText>
        </w:r>
        <w:r w:rsidR="0058288C">
          <w:rPr>
            <w:noProof/>
            <w:webHidden/>
          </w:rPr>
        </w:r>
        <w:r w:rsidR="0058288C">
          <w:rPr>
            <w:noProof/>
            <w:webHidden/>
          </w:rPr>
          <w:fldChar w:fldCharType="separate"/>
        </w:r>
        <w:r w:rsidR="0058288C">
          <w:rPr>
            <w:noProof/>
            <w:webHidden/>
          </w:rPr>
          <w:t>74</w:t>
        </w:r>
        <w:r w:rsidR="0058288C">
          <w:rPr>
            <w:noProof/>
            <w:webHidden/>
          </w:rPr>
          <w:fldChar w:fldCharType="end"/>
        </w:r>
      </w:hyperlink>
    </w:p>
    <w:p w14:paraId="308166C6" w14:textId="6AD62F50" w:rsidR="0058288C" w:rsidRDefault="00613C5F">
      <w:pPr>
        <w:pStyle w:val="TOC2"/>
        <w:rPr>
          <w:rFonts w:asciiTheme="minorHAnsi" w:eastAsiaTheme="minorEastAsia" w:hAnsiTheme="minorHAnsi" w:cstheme="minorBidi"/>
          <w:b w:val="0"/>
          <w:noProof/>
          <w:sz w:val="22"/>
          <w:szCs w:val="22"/>
          <w:lang w:val="en-US"/>
        </w:rPr>
      </w:pPr>
      <w:hyperlink w:anchor="_Toc95925044" w:history="1">
        <w:r w:rsidR="0058288C" w:rsidRPr="001A38AD">
          <w:rPr>
            <w:rStyle w:val="Hyperlink"/>
            <w:noProof/>
          </w:rPr>
          <w:t>РАЗДЕЛ 4</w:t>
        </w:r>
        <w:r w:rsidR="0058288C">
          <w:rPr>
            <w:rFonts w:asciiTheme="minorHAnsi" w:eastAsiaTheme="minorEastAsia" w:hAnsiTheme="minorHAnsi" w:cstheme="minorBidi"/>
            <w:b w:val="0"/>
            <w:noProof/>
            <w:sz w:val="22"/>
            <w:szCs w:val="22"/>
            <w:lang w:val="en-US"/>
          </w:rPr>
          <w:tab/>
        </w:r>
        <w:r w:rsidR="0058288C" w:rsidRPr="001A38AD">
          <w:rPr>
            <w:rStyle w:val="Hyperlink"/>
            <w:noProof/>
          </w:rPr>
          <w:t>НЕПРЕОДОЛИМА СИЛА</w:t>
        </w:r>
        <w:r w:rsidR="0058288C">
          <w:rPr>
            <w:noProof/>
            <w:webHidden/>
          </w:rPr>
          <w:tab/>
        </w:r>
        <w:r w:rsidR="0058288C">
          <w:rPr>
            <w:noProof/>
            <w:webHidden/>
          </w:rPr>
          <w:fldChar w:fldCharType="begin"/>
        </w:r>
        <w:r w:rsidR="0058288C">
          <w:rPr>
            <w:noProof/>
            <w:webHidden/>
          </w:rPr>
          <w:instrText xml:space="preserve"> PAGEREF _Toc95925044 \h </w:instrText>
        </w:r>
        <w:r w:rsidR="0058288C">
          <w:rPr>
            <w:noProof/>
            <w:webHidden/>
          </w:rPr>
        </w:r>
        <w:r w:rsidR="0058288C">
          <w:rPr>
            <w:noProof/>
            <w:webHidden/>
          </w:rPr>
          <w:fldChar w:fldCharType="separate"/>
        </w:r>
        <w:r w:rsidR="0058288C">
          <w:rPr>
            <w:noProof/>
            <w:webHidden/>
          </w:rPr>
          <w:t>75</w:t>
        </w:r>
        <w:r w:rsidR="0058288C">
          <w:rPr>
            <w:noProof/>
            <w:webHidden/>
          </w:rPr>
          <w:fldChar w:fldCharType="end"/>
        </w:r>
      </w:hyperlink>
    </w:p>
    <w:p w14:paraId="6F5090B2" w14:textId="6C3EFFA1" w:rsidR="0058288C" w:rsidRDefault="00613C5F">
      <w:pPr>
        <w:pStyle w:val="TOC4"/>
        <w:rPr>
          <w:rFonts w:asciiTheme="minorHAnsi" w:eastAsiaTheme="minorEastAsia" w:hAnsiTheme="minorHAnsi" w:cstheme="minorBidi"/>
          <w:noProof/>
          <w:sz w:val="22"/>
          <w:szCs w:val="22"/>
          <w:lang w:val="en-US"/>
        </w:rPr>
      </w:pPr>
      <w:hyperlink w:anchor="_Toc95925045" w:history="1">
        <w:r w:rsidR="0058288C" w:rsidRPr="001A38AD">
          <w:rPr>
            <w:rStyle w:val="Hyperlink"/>
            <w:noProof/>
          </w:rPr>
          <w:t>ЧЛЕН 35 — НЕПРЕОДОЛИМА СИЛА</w:t>
        </w:r>
        <w:r w:rsidR="0058288C">
          <w:rPr>
            <w:noProof/>
            <w:webHidden/>
          </w:rPr>
          <w:tab/>
        </w:r>
        <w:r w:rsidR="0058288C">
          <w:rPr>
            <w:noProof/>
            <w:webHidden/>
          </w:rPr>
          <w:fldChar w:fldCharType="begin"/>
        </w:r>
        <w:r w:rsidR="0058288C">
          <w:rPr>
            <w:noProof/>
            <w:webHidden/>
          </w:rPr>
          <w:instrText xml:space="preserve"> PAGEREF _Toc95925045 \h </w:instrText>
        </w:r>
        <w:r w:rsidR="0058288C">
          <w:rPr>
            <w:noProof/>
            <w:webHidden/>
          </w:rPr>
        </w:r>
        <w:r w:rsidR="0058288C">
          <w:rPr>
            <w:noProof/>
            <w:webHidden/>
          </w:rPr>
          <w:fldChar w:fldCharType="separate"/>
        </w:r>
        <w:r w:rsidR="0058288C">
          <w:rPr>
            <w:noProof/>
            <w:webHidden/>
          </w:rPr>
          <w:t>75</w:t>
        </w:r>
        <w:r w:rsidR="0058288C">
          <w:rPr>
            <w:noProof/>
            <w:webHidden/>
          </w:rPr>
          <w:fldChar w:fldCharType="end"/>
        </w:r>
      </w:hyperlink>
    </w:p>
    <w:p w14:paraId="00CBE38B" w14:textId="0CA8D500" w:rsidR="0058288C" w:rsidRDefault="00613C5F">
      <w:pPr>
        <w:pStyle w:val="TOC1"/>
        <w:rPr>
          <w:rFonts w:asciiTheme="minorHAnsi" w:eastAsiaTheme="minorEastAsia" w:hAnsiTheme="minorHAnsi" w:cstheme="minorBidi"/>
          <w:b w:val="0"/>
          <w:caps w:val="0"/>
          <w:sz w:val="22"/>
          <w:szCs w:val="22"/>
          <w:lang w:val="en-US"/>
        </w:rPr>
      </w:pPr>
      <w:hyperlink w:anchor="_Toc95925046" w:history="1">
        <w:r w:rsidR="0058288C" w:rsidRPr="001A38AD">
          <w:rPr>
            <w:rStyle w:val="Hyperlink"/>
          </w:rPr>
          <w:t xml:space="preserve">ГЛАВА 6 </w:t>
        </w:r>
        <w:r w:rsidR="0058288C">
          <w:rPr>
            <w:rFonts w:asciiTheme="minorHAnsi" w:eastAsiaTheme="minorEastAsia" w:hAnsiTheme="minorHAnsi" w:cstheme="minorBidi"/>
            <w:b w:val="0"/>
            <w:caps w:val="0"/>
            <w:sz w:val="22"/>
            <w:szCs w:val="22"/>
            <w:lang w:val="en-US"/>
          </w:rPr>
          <w:tab/>
        </w:r>
        <w:r w:rsidR="0058288C" w:rsidRPr="001A38AD">
          <w:rPr>
            <w:rStyle w:val="Hyperlink"/>
          </w:rPr>
          <w:t>ЗАКЛЮЧИТЕЛНИ РАЗПОРЕДБИ</w:t>
        </w:r>
        <w:r w:rsidR="0058288C">
          <w:rPr>
            <w:webHidden/>
          </w:rPr>
          <w:tab/>
        </w:r>
        <w:r w:rsidR="0058288C">
          <w:rPr>
            <w:webHidden/>
          </w:rPr>
          <w:fldChar w:fldCharType="begin"/>
        </w:r>
        <w:r w:rsidR="0058288C">
          <w:rPr>
            <w:webHidden/>
          </w:rPr>
          <w:instrText xml:space="preserve"> PAGEREF _Toc95925046 \h </w:instrText>
        </w:r>
        <w:r w:rsidR="0058288C">
          <w:rPr>
            <w:webHidden/>
          </w:rPr>
        </w:r>
        <w:r w:rsidR="0058288C">
          <w:rPr>
            <w:webHidden/>
          </w:rPr>
          <w:fldChar w:fldCharType="separate"/>
        </w:r>
        <w:r w:rsidR="0058288C">
          <w:rPr>
            <w:webHidden/>
          </w:rPr>
          <w:t>75</w:t>
        </w:r>
        <w:r w:rsidR="0058288C">
          <w:rPr>
            <w:webHidden/>
          </w:rPr>
          <w:fldChar w:fldCharType="end"/>
        </w:r>
      </w:hyperlink>
    </w:p>
    <w:p w14:paraId="28E50E1C" w14:textId="365C30BD" w:rsidR="0058288C" w:rsidRDefault="00613C5F">
      <w:pPr>
        <w:pStyle w:val="TOC4"/>
        <w:rPr>
          <w:rFonts w:asciiTheme="minorHAnsi" w:eastAsiaTheme="minorEastAsia" w:hAnsiTheme="minorHAnsi" w:cstheme="minorBidi"/>
          <w:noProof/>
          <w:sz w:val="22"/>
          <w:szCs w:val="22"/>
          <w:lang w:val="en-US"/>
        </w:rPr>
      </w:pPr>
      <w:hyperlink w:anchor="_Toc95925047" w:history="1">
        <w:r w:rsidR="0058288C" w:rsidRPr="001A38AD">
          <w:rPr>
            <w:rStyle w:val="Hyperlink"/>
            <w:noProof/>
          </w:rPr>
          <w:t xml:space="preserve">ЧЛЕН 36 — </w:t>
        </w:r>
        <w:r w:rsidR="0058288C" w:rsidRPr="001A38AD">
          <w:rPr>
            <w:rStyle w:val="Hyperlink"/>
            <w:noProof/>
            <w:shd w:val="clear" w:color="auto" w:fill="CCFFFF"/>
          </w:rPr>
          <w:t>КОМУНИКАЦИЯ МЕЖДУ СТРАНИТЕ</w:t>
        </w:r>
        <w:r w:rsidR="0058288C">
          <w:rPr>
            <w:noProof/>
            <w:webHidden/>
          </w:rPr>
          <w:tab/>
        </w:r>
        <w:r w:rsidR="0058288C">
          <w:rPr>
            <w:noProof/>
            <w:webHidden/>
          </w:rPr>
          <w:fldChar w:fldCharType="begin"/>
        </w:r>
        <w:r w:rsidR="0058288C">
          <w:rPr>
            <w:noProof/>
            <w:webHidden/>
          </w:rPr>
          <w:instrText xml:space="preserve"> PAGEREF _Toc95925047 \h </w:instrText>
        </w:r>
        <w:r w:rsidR="0058288C">
          <w:rPr>
            <w:noProof/>
            <w:webHidden/>
          </w:rPr>
        </w:r>
        <w:r w:rsidR="0058288C">
          <w:rPr>
            <w:noProof/>
            <w:webHidden/>
          </w:rPr>
          <w:fldChar w:fldCharType="separate"/>
        </w:r>
        <w:r w:rsidR="0058288C">
          <w:rPr>
            <w:noProof/>
            <w:webHidden/>
          </w:rPr>
          <w:t>75</w:t>
        </w:r>
        <w:r w:rsidR="0058288C">
          <w:rPr>
            <w:noProof/>
            <w:webHidden/>
          </w:rPr>
          <w:fldChar w:fldCharType="end"/>
        </w:r>
      </w:hyperlink>
    </w:p>
    <w:p w14:paraId="765B0E01" w14:textId="2CAC86FC" w:rsidR="0058288C" w:rsidRDefault="00613C5F">
      <w:pPr>
        <w:pStyle w:val="TOC5"/>
        <w:rPr>
          <w:rFonts w:asciiTheme="minorHAnsi" w:eastAsiaTheme="minorEastAsia" w:hAnsiTheme="minorHAnsi" w:cstheme="minorBidi"/>
          <w:noProof/>
          <w:sz w:val="22"/>
          <w:szCs w:val="22"/>
          <w:lang w:val="en-US"/>
        </w:rPr>
      </w:pPr>
      <w:hyperlink w:anchor="_Toc95925048" w:history="1">
        <w:r w:rsidR="0058288C" w:rsidRPr="001A38AD">
          <w:rPr>
            <w:rStyle w:val="Hyperlink"/>
            <w:noProof/>
            <w:shd w:val="clear" w:color="auto" w:fill="CCFFFF"/>
          </w:rPr>
          <w:t>36.1</w:t>
        </w:r>
        <w:r w:rsidR="0058288C">
          <w:rPr>
            <w:rFonts w:asciiTheme="minorHAnsi" w:eastAsiaTheme="minorEastAsia" w:hAnsiTheme="minorHAnsi" w:cstheme="minorBidi"/>
            <w:noProof/>
            <w:sz w:val="22"/>
            <w:szCs w:val="22"/>
            <w:lang w:val="en-US"/>
          </w:rPr>
          <w:tab/>
        </w:r>
        <w:r w:rsidR="0058288C" w:rsidRPr="001A38AD">
          <w:rPr>
            <w:rStyle w:val="Hyperlink"/>
            <w:noProof/>
            <w:shd w:val="clear" w:color="auto" w:fill="CCFFFF"/>
          </w:rPr>
          <w:t>Форми на комуникация и средства за комуникация</w:t>
        </w:r>
        <w:r w:rsidR="0058288C">
          <w:rPr>
            <w:noProof/>
            <w:webHidden/>
          </w:rPr>
          <w:tab/>
        </w:r>
        <w:r w:rsidR="0058288C">
          <w:rPr>
            <w:noProof/>
            <w:webHidden/>
          </w:rPr>
          <w:fldChar w:fldCharType="begin"/>
        </w:r>
        <w:r w:rsidR="0058288C">
          <w:rPr>
            <w:noProof/>
            <w:webHidden/>
          </w:rPr>
          <w:instrText xml:space="preserve"> PAGEREF _Toc95925048 \h </w:instrText>
        </w:r>
        <w:r w:rsidR="0058288C">
          <w:rPr>
            <w:noProof/>
            <w:webHidden/>
          </w:rPr>
        </w:r>
        <w:r w:rsidR="0058288C">
          <w:rPr>
            <w:noProof/>
            <w:webHidden/>
          </w:rPr>
          <w:fldChar w:fldCharType="separate"/>
        </w:r>
        <w:r w:rsidR="0058288C">
          <w:rPr>
            <w:noProof/>
            <w:webHidden/>
          </w:rPr>
          <w:t>75</w:t>
        </w:r>
        <w:r w:rsidR="0058288C">
          <w:rPr>
            <w:noProof/>
            <w:webHidden/>
          </w:rPr>
          <w:fldChar w:fldCharType="end"/>
        </w:r>
      </w:hyperlink>
    </w:p>
    <w:p w14:paraId="1E352CCC" w14:textId="11A73E2A" w:rsidR="0058288C" w:rsidRDefault="00613C5F">
      <w:pPr>
        <w:pStyle w:val="TOC5"/>
        <w:rPr>
          <w:rFonts w:asciiTheme="minorHAnsi" w:eastAsiaTheme="minorEastAsia" w:hAnsiTheme="minorHAnsi" w:cstheme="minorBidi"/>
          <w:noProof/>
          <w:sz w:val="22"/>
          <w:szCs w:val="22"/>
          <w:lang w:val="en-US"/>
        </w:rPr>
      </w:pPr>
      <w:hyperlink w:anchor="_Toc95925049" w:history="1">
        <w:r w:rsidR="0058288C" w:rsidRPr="001A38AD">
          <w:rPr>
            <w:rStyle w:val="Hyperlink"/>
            <w:noProof/>
            <w:shd w:val="clear" w:color="auto" w:fill="CCFFFF"/>
          </w:rPr>
          <w:t>36.2</w:t>
        </w:r>
        <w:r w:rsidR="0058288C">
          <w:rPr>
            <w:rFonts w:asciiTheme="minorHAnsi" w:eastAsiaTheme="minorEastAsia" w:hAnsiTheme="minorHAnsi" w:cstheme="minorBidi"/>
            <w:noProof/>
            <w:sz w:val="22"/>
            <w:szCs w:val="22"/>
            <w:lang w:val="en-US"/>
          </w:rPr>
          <w:tab/>
        </w:r>
        <w:r w:rsidR="0058288C" w:rsidRPr="001A38AD">
          <w:rPr>
            <w:rStyle w:val="Hyperlink"/>
            <w:noProof/>
            <w:shd w:val="clear" w:color="auto" w:fill="CCFFFF"/>
          </w:rPr>
          <w:t>Дата на съобщенията</w:t>
        </w:r>
        <w:r w:rsidR="0058288C">
          <w:rPr>
            <w:noProof/>
            <w:webHidden/>
          </w:rPr>
          <w:tab/>
        </w:r>
        <w:r w:rsidR="0058288C">
          <w:rPr>
            <w:noProof/>
            <w:webHidden/>
          </w:rPr>
          <w:fldChar w:fldCharType="begin"/>
        </w:r>
        <w:r w:rsidR="0058288C">
          <w:rPr>
            <w:noProof/>
            <w:webHidden/>
          </w:rPr>
          <w:instrText xml:space="preserve"> PAGEREF _Toc95925049 \h </w:instrText>
        </w:r>
        <w:r w:rsidR="0058288C">
          <w:rPr>
            <w:noProof/>
            <w:webHidden/>
          </w:rPr>
        </w:r>
        <w:r w:rsidR="0058288C">
          <w:rPr>
            <w:noProof/>
            <w:webHidden/>
          </w:rPr>
          <w:fldChar w:fldCharType="separate"/>
        </w:r>
        <w:r w:rsidR="0058288C">
          <w:rPr>
            <w:noProof/>
            <w:webHidden/>
          </w:rPr>
          <w:t>76</w:t>
        </w:r>
        <w:r w:rsidR="0058288C">
          <w:rPr>
            <w:noProof/>
            <w:webHidden/>
          </w:rPr>
          <w:fldChar w:fldCharType="end"/>
        </w:r>
      </w:hyperlink>
    </w:p>
    <w:p w14:paraId="790443AE" w14:textId="24F3BD9E" w:rsidR="0058288C" w:rsidRDefault="00613C5F">
      <w:pPr>
        <w:pStyle w:val="TOC5"/>
        <w:rPr>
          <w:rFonts w:asciiTheme="minorHAnsi" w:eastAsiaTheme="minorEastAsia" w:hAnsiTheme="minorHAnsi" w:cstheme="minorBidi"/>
          <w:noProof/>
          <w:sz w:val="22"/>
          <w:szCs w:val="22"/>
          <w:lang w:val="en-US"/>
        </w:rPr>
      </w:pPr>
      <w:hyperlink w:anchor="_Toc95925050" w:history="1">
        <w:r w:rsidR="0058288C" w:rsidRPr="001A38AD">
          <w:rPr>
            <w:rStyle w:val="Hyperlink"/>
            <w:noProof/>
          </w:rPr>
          <w:t>36.3</w:t>
        </w:r>
        <w:r w:rsidR="0058288C">
          <w:rPr>
            <w:rFonts w:asciiTheme="minorHAnsi" w:eastAsiaTheme="minorEastAsia" w:hAnsiTheme="minorHAnsi" w:cstheme="minorBidi"/>
            <w:noProof/>
            <w:sz w:val="22"/>
            <w:szCs w:val="22"/>
            <w:lang w:val="en-US"/>
          </w:rPr>
          <w:tab/>
        </w:r>
        <w:r w:rsidR="0058288C" w:rsidRPr="001A38AD">
          <w:rPr>
            <w:rStyle w:val="Hyperlink"/>
            <w:noProof/>
            <w:shd w:val="clear" w:color="auto" w:fill="CCFFFF"/>
          </w:rPr>
          <w:t>Адреси за комуникация</w:t>
        </w:r>
        <w:r w:rsidR="0058288C">
          <w:rPr>
            <w:noProof/>
            <w:webHidden/>
          </w:rPr>
          <w:tab/>
        </w:r>
        <w:r w:rsidR="0058288C">
          <w:rPr>
            <w:noProof/>
            <w:webHidden/>
          </w:rPr>
          <w:fldChar w:fldCharType="begin"/>
        </w:r>
        <w:r w:rsidR="0058288C">
          <w:rPr>
            <w:noProof/>
            <w:webHidden/>
          </w:rPr>
          <w:instrText xml:space="preserve"> PAGEREF _Toc95925050 \h </w:instrText>
        </w:r>
        <w:r w:rsidR="0058288C">
          <w:rPr>
            <w:noProof/>
            <w:webHidden/>
          </w:rPr>
        </w:r>
        <w:r w:rsidR="0058288C">
          <w:rPr>
            <w:noProof/>
            <w:webHidden/>
          </w:rPr>
          <w:fldChar w:fldCharType="separate"/>
        </w:r>
        <w:r w:rsidR="0058288C">
          <w:rPr>
            <w:noProof/>
            <w:webHidden/>
          </w:rPr>
          <w:t>76</w:t>
        </w:r>
        <w:r w:rsidR="0058288C">
          <w:rPr>
            <w:noProof/>
            <w:webHidden/>
          </w:rPr>
          <w:fldChar w:fldCharType="end"/>
        </w:r>
      </w:hyperlink>
    </w:p>
    <w:p w14:paraId="33A5658B" w14:textId="46FA199D" w:rsidR="0058288C" w:rsidRDefault="00613C5F">
      <w:pPr>
        <w:pStyle w:val="TOC4"/>
        <w:rPr>
          <w:rFonts w:asciiTheme="minorHAnsi" w:eastAsiaTheme="minorEastAsia" w:hAnsiTheme="minorHAnsi" w:cstheme="minorBidi"/>
          <w:noProof/>
          <w:sz w:val="22"/>
          <w:szCs w:val="22"/>
          <w:lang w:val="en-US"/>
        </w:rPr>
      </w:pPr>
      <w:hyperlink w:anchor="_Toc95925051" w:history="1">
        <w:r w:rsidR="0058288C" w:rsidRPr="001A38AD">
          <w:rPr>
            <w:rStyle w:val="Hyperlink"/>
            <w:noProof/>
          </w:rPr>
          <w:t>ЧЛЕН 37 — ТЪЛКУВАНЕ НА СПОРАЗУМЕНИЕТО</w:t>
        </w:r>
        <w:r w:rsidR="0058288C">
          <w:rPr>
            <w:noProof/>
            <w:webHidden/>
          </w:rPr>
          <w:tab/>
        </w:r>
        <w:r w:rsidR="0058288C">
          <w:rPr>
            <w:noProof/>
            <w:webHidden/>
          </w:rPr>
          <w:fldChar w:fldCharType="begin"/>
        </w:r>
        <w:r w:rsidR="0058288C">
          <w:rPr>
            <w:noProof/>
            <w:webHidden/>
          </w:rPr>
          <w:instrText xml:space="preserve"> PAGEREF _Toc95925051 \h </w:instrText>
        </w:r>
        <w:r w:rsidR="0058288C">
          <w:rPr>
            <w:noProof/>
            <w:webHidden/>
          </w:rPr>
        </w:r>
        <w:r w:rsidR="0058288C">
          <w:rPr>
            <w:noProof/>
            <w:webHidden/>
          </w:rPr>
          <w:fldChar w:fldCharType="separate"/>
        </w:r>
        <w:r w:rsidR="0058288C">
          <w:rPr>
            <w:noProof/>
            <w:webHidden/>
          </w:rPr>
          <w:t>76</w:t>
        </w:r>
        <w:r w:rsidR="0058288C">
          <w:rPr>
            <w:noProof/>
            <w:webHidden/>
          </w:rPr>
          <w:fldChar w:fldCharType="end"/>
        </w:r>
      </w:hyperlink>
    </w:p>
    <w:p w14:paraId="6B355EBC" w14:textId="5FC5F31D" w:rsidR="0058288C" w:rsidRDefault="00613C5F">
      <w:pPr>
        <w:pStyle w:val="TOC4"/>
        <w:rPr>
          <w:rFonts w:asciiTheme="minorHAnsi" w:eastAsiaTheme="minorEastAsia" w:hAnsiTheme="minorHAnsi" w:cstheme="minorBidi"/>
          <w:noProof/>
          <w:sz w:val="22"/>
          <w:szCs w:val="22"/>
          <w:lang w:val="en-US"/>
        </w:rPr>
      </w:pPr>
      <w:hyperlink w:anchor="_Toc95925052" w:history="1">
        <w:r w:rsidR="0058288C" w:rsidRPr="001A38AD">
          <w:rPr>
            <w:rStyle w:val="Hyperlink"/>
            <w:noProof/>
          </w:rPr>
          <w:t>ЧЛЕН 38 — ИЗЧИСЛЯВАНЕ НА СРОКОВЕ И КРАЙНИ СРОКОВЕ</w:t>
        </w:r>
        <w:r w:rsidR="0058288C">
          <w:rPr>
            <w:noProof/>
            <w:webHidden/>
          </w:rPr>
          <w:tab/>
        </w:r>
        <w:r w:rsidR="0058288C">
          <w:rPr>
            <w:noProof/>
            <w:webHidden/>
          </w:rPr>
          <w:fldChar w:fldCharType="begin"/>
        </w:r>
        <w:r w:rsidR="0058288C">
          <w:rPr>
            <w:noProof/>
            <w:webHidden/>
          </w:rPr>
          <w:instrText xml:space="preserve"> PAGEREF _Toc95925052 \h </w:instrText>
        </w:r>
        <w:r w:rsidR="0058288C">
          <w:rPr>
            <w:noProof/>
            <w:webHidden/>
          </w:rPr>
        </w:r>
        <w:r w:rsidR="0058288C">
          <w:rPr>
            <w:noProof/>
            <w:webHidden/>
          </w:rPr>
          <w:fldChar w:fldCharType="separate"/>
        </w:r>
        <w:r w:rsidR="0058288C">
          <w:rPr>
            <w:noProof/>
            <w:webHidden/>
          </w:rPr>
          <w:t>77</w:t>
        </w:r>
        <w:r w:rsidR="0058288C">
          <w:rPr>
            <w:noProof/>
            <w:webHidden/>
          </w:rPr>
          <w:fldChar w:fldCharType="end"/>
        </w:r>
      </w:hyperlink>
    </w:p>
    <w:p w14:paraId="798038F2" w14:textId="25F8AE51" w:rsidR="0058288C" w:rsidRDefault="00613C5F">
      <w:pPr>
        <w:pStyle w:val="TOC4"/>
        <w:rPr>
          <w:rFonts w:asciiTheme="minorHAnsi" w:eastAsiaTheme="minorEastAsia" w:hAnsiTheme="minorHAnsi" w:cstheme="minorBidi"/>
          <w:noProof/>
          <w:sz w:val="22"/>
          <w:szCs w:val="22"/>
          <w:lang w:val="en-US"/>
        </w:rPr>
      </w:pPr>
      <w:hyperlink w:anchor="_Toc95925053" w:history="1">
        <w:r w:rsidR="0058288C" w:rsidRPr="001A38AD">
          <w:rPr>
            <w:rStyle w:val="Hyperlink"/>
            <w:noProof/>
          </w:rPr>
          <w:t>ЧЛЕН 39 — ИЗМЕНЕНИЯ</w:t>
        </w:r>
        <w:r w:rsidR="0058288C">
          <w:rPr>
            <w:noProof/>
            <w:webHidden/>
          </w:rPr>
          <w:tab/>
        </w:r>
        <w:r w:rsidR="0058288C">
          <w:rPr>
            <w:noProof/>
            <w:webHidden/>
          </w:rPr>
          <w:fldChar w:fldCharType="begin"/>
        </w:r>
        <w:r w:rsidR="0058288C">
          <w:rPr>
            <w:noProof/>
            <w:webHidden/>
          </w:rPr>
          <w:instrText xml:space="preserve"> PAGEREF _Toc95925053 \h </w:instrText>
        </w:r>
        <w:r w:rsidR="0058288C">
          <w:rPr>
            <w:noProof/>
            <w:webHidden/>
          </w:rPr>
        </w:r>
        <w:r w:rsidR="0058288C">
          <w:rPr>
            <w:noProof/>
            <w:webHidden/>
          </w:rPr>
          <w:fldChar w:fldCharType="separate"/>
        </w:r>
        <w:r w:rsidR="0058288C">
          <w:rPr>
            <w:noProof/>
            <w:webHidden/>
          </w:rPr>
          <w:t>77</w:t>
        </w:r>
        <w:r w:rsidR="0058288C">
          <w:rPr>
            <w:noProof/>
            <w:webHidden/>
          </w:rPr>
          <w:fldChar w:fldCharType="end"/>
        </w:r>
      </w:hyperlink>
    </w:p>
    <w:p w14:paraId="4715966C" w14:textId="704A7745" w:rsidR="0058288C" w:rsidRDefault="00613C5F">
      <w:pPr>
        <w:pStyle w:val="TOC5"/>
        <w:rPr>
          <w:rFonts w:asciiTheme="minorHAnsi" w:eastAsiaTheme="minorEastAsia" w:hAnsiTheme="minorHAnsi" w:cstheme="minorBidi"/>
          <w:noProof/>
          <w:sz w:val="22"/>
          <w:szCs w:val="22"/>
          <w:lang w:val="en-US"/>
        </w:rPr>
      </w:pPr>
      <w:hyperlink w:anchor="_Toc95925054" w:history="1">
        <w:r w:rsidR="0058288C" w:rsidRPr="001A38AD">
          <w:rPr>
            <w:rStyle w:val="Hyperlink"/>
            <w:noProof/>
          </w:rPr>
          <w:t>39.1</w:t>
        </w:r>
        <w:r w:rsidR="0058288C">
          <w:rPr>
            <w:rFonts w:asciiTheme="minorHAnsi" w:eastAsiaTheme="minorEastAsia" w:hAnsiTheme="minorHAnsi" w:cstheme="minorBidi"/>
            <w:noProof/>
            <w:sz w:val="22"/>
            <w:szCs w:val="22"/>
            <w:lang w:val="en-US"/>
          </w:rPr>
          <w:tab/>
        </w:r>
        <w:r w:rsidR="0058288C" w:rsidRPr="001A38AD">
          <w:rPr>
            <w:rStyle w:val="Hyperlink"/>
            <w:noProof/>
          </w:rPr>
          <w:t>Условия</w:t>
        </w:r>
        <w:r w:rsidR="0058288C">
          <w:rPr>
            <w:noProof/>
            <w:webHidden/>
          </w:rPr>
          <w:tab/>
        </w:r>
        <w:r w:rsidR="0058288C">
          <w:rPr>
            <w:noProof/>
            <w:webHidden/>
          </w:rPr>
          <w:fldChar w:fldCharType="begin"/>
        </w:r>
        <w:r w:rsidR="0058288C">
          <w:rPr>
            <w:noProof/>
            <w:webHidden/>
          </w:rPr>
          <w:instrText xml:space="preserve"> PAGEREF _Toc95925054 \h </w:instrText>
        </w:r>
        <w:r w:rsidR="0058288C">
          <w:rPr>
            <w:noProof/>
            <w:webHidden/>
          </w:rPr>
        </w:r>
        <w:r w:rsidR="0058288C">
          <w:rPr>
            <w:noProof/>
            <w:webHidden/>
          </w:rPr>
          <w:fldChar w:fldCharType="separate"/>
        </w:r>
        <w:r w:rsidR="0058288C">
          <w:rPr>
            <w:noProof/>
            <w:webHidden/>
          </w:rPr>
          <w:t>77</w:t>
        </w:r>
        <w:r w:rsidR="0058288C">
          <w:rPr>
            <w:noProof/>
            <w:webHidden/>
          </w:rPr>
          <w:fldChar w:fldCharType="end"/>
        </w:r>
      </w:hyperlink>
    </w:p>
    <w:p w14:paraId="2238867A" w14:textId="7D906E9C" w:rsidR="0058288C" w:rsidRDefault="00613C5F">
      <w:pPr>
        <w:pStyle w:val="TOC5"/>
        <w:rPr>
          <w:rFonts w:asciiTheme="minorHAnsi" w:eastAsiaTheme="minorEastAsia" w:hAnsiTheme="minorHAnsi" w:cstheme="minorBidi"/>
          <w:noProof/>
          <w:sz w:val="22"/>
          <w:szCs w:val="22"/>
          <w:lang w:val="en-US"/>
        </w:rPr>
      </w:pPr>
      <w:hyperlink w:anchor="_Toc95925055" w:history="1">
        <w:r w:rsidR="0058288C" w:rsidRPr="001A38AD">
          <w:rPr>
            <w:rStyle w:val="Hyperlink"/>
            <w:noProof/>
          </w:rPr>
          <w:t>39.2</w:t>
        </w:r>
        <w:r w:rsidR="0058288C">
          <w:rPr>
            <w:rFonts w:asciiTheme="minorHAnsi" w:eastAsiaTheme="minorEastAsia" w:hAnsiTheme="minorHAnsi" w:cstheme="minorBidi"/>
            <w:noProof/>
            <w:sz w:val="22"/>
            <w:szCs w:val="22"/>
            <w:lang w:val="en-US"/>
          </w:rPr>
          <w:tab/>
        </w:r>
        <w:r w:rsidR="0058288C" w:rsidRPr="001A38AD">
          <w:rPr>
            <w:rStyle w:val="Hyperlink"/>
            <w:noProof/>
          </w:rPr>
          <w:t>Процедура</w:t>
        </w:r>
        <w:r w:rsidR="0058288C">
          <w:rPr>
            <w:noProof/>
            <w:webHidden/>
          </w:rPr>
          <w:tab/>
        </w:r>
        <w:r w:rsidR="0058288C">
          <w:rPr>
            <w:noProof/>
            <w:webHidden/>
          </w:rPr>
          <w:fldChar w:fldCharType="begin"/>
        </w:r>
        <w:r w:rsidR="0058288C">
          <w:rPr>
            <w:noProof/>
            <w:webHidden/>
          </w:rPr>
          <w:instrText xml:space="preserve"> PAGEREF _Toc95925055 \h </w:instrText>
        </w:r>
        <w:r w:rsidR="0058288C">
          <w:rPr>
            <w:noProof/>
            <w:webHidden/>
          </w:rPr>
        </w:r>
        <w:r w:rsidR="0058288C">
          <w:rPr>
            <w:noProof/>
            <w:webHidden/>
          </w:rPr>
          <w:fldChar w:fldCharType="separate"/>
        </w:r>
        <w:r w:rsidR="0058288C">
          <w:rPr>
            <w:noProof/>
            <w:webHidden/>
          </w:rPr>
          <w:t>77</w:t>
        </w:r>
        <w:r w:rsidR="0058288C">
          <w:rPr>
            <w:noProof/>
            <w:webHidden/>
          </w:rPr>
          <w:fldChar w:fldCharType="end"/>
        </w:r>
      </w:hyperlink>
    </w:p>
    <w:p w14:paraId="6D8BB69B" w14:textId="19299EC0" w:rsidR="0058288C" w:rsidRDefault="00613C5F">
      <w:pPr>
        <w:pStyle w:val="TOC4"/>
        <w:rPr>
          <w:rFonts w:asciiTheme="minorHAnsi" w:eastAsiaTheme="minorEastAsia" w:hAnsiTheme="minorHAnsi" w:cstheme="minorBidi"/>
          <w:noProof/>
          <w:sz w:val="22"/>
          <w:szCs w:val="22"/>
          <w:lang w:val="en-US"/>
        </w:rPr>
      </w:pPr>
      <w:hyperlink w:anchor="_Toc95925056" w:history="1">
        <w:r w:rsidR="0058288C" w:rsidRPr="001A38AD">
          <w:rPr>
            <w:rStyle w:val="Hyperlink"/>
            <w:noProof/>
          </w:rPr>
          <w:t>ЧЛЕН 40 — ПРИСЪЕДИНЯВАНЕ И ДОБАВЯНЕ НА НОВИ БЕНЕФИЦИЕРИ</w:t>
        </w:r>
        <w:r w:rsidR="0058288C">
          <w:rPr>
            <w:noProof/>
            <w:webHidden/>
          </w:rPr>
          <w:tab/>
        </w:r>
        <w:r w:rsidR="0058288C">
          <w:rPr>
            <w:noProof/>
            <w:webHidden/>
          </w:rPr>
          <w:fldChar w:fldCharType="begin"/>
        </w:r>
        <w:r w:rsidR="0058288C">
          <w:rPr>
            <w:noProof/>
            <w:webHidden/>
          </w:rPr>
          <w:instrText xml:space="preserve"> PAGEREF _Toc95925056 \h </w:instrText>
        </w:r>
        <w:r w:rsidR="0058288C">
          <w:rPr>
            <w:noProof/>
            <w:webHidden/>
          </w:rPr>
        </w:r>
        <w:r w:rsidR="0058288C">
          <w:rPr>
            <w:noProof/>
            <w:webHidden/>
          </w:rPr>
          <w:fldChar w:fldCharType="separate"/>
        </w:r>
        <w:r w:rsidR="0058288C">
          <w:rPr>
            <w:noProof/>
            <w:webHidden/>
          </w:rPr>
          <w:t>78</w:t>
        </w:r>
        <w:r w:rsidR="0058288C">
          <w:rPr>
            <w:noProof/>
            <w:webHidden/>
          </w:rPr>
          <w:fldChar w:fldCharType="end"/>
        </w:r>
      </w:hyperlink>
    </w:p>
    <w:p w14:paraId="23E952AB" w14:textId="739C968D" w:rsidR="0058288C" w:rsidRDefault="00613C5F">
      <w:pPr>
        <w:pStyle w:val="TOC5"/>
        <w:rPr>
          <w:rFonts w:asciiTheme="minorHAnsi" w:eastAsiaTheme="minorEastAsia" w:hAnsiTheme="minorHAnsi" w:cstheme="minorBidi"/>
          <w:noProof/>
          <w:sz w:val="22"/>
          <w:szCs w:val="22"/>
          <w:lang w:val="en-US"/>
        </w:rPr>
      </w:pPr>
      <w:hyperlink w:anchor="_Toc95925057" w:history="1">
        <w:r w:rsidR="0058288C" w:rsidRPr="001A38AD">
          <w:rPr>
            <w:rStyle w:val="Hyperlink"/>
            <w:noProof/>
          </w:rPr>
          <w:t>40.1</w:t>
        </w:r>
        <w:r w:rsidR="0058288C">
          <w:rPr>
            <w:rFonts w:asciiTheme="minorHAnsi" w:eastAsiaTheme="minorEastAsia" w:hAnsiTheme="minorHAnsi" w:cstheme="minorBidi"/>
            <w:noProof/>
            <w:sz w:val="22"/>
            <w:szCs w:val="22"/>
            <w:lang w:val="en-US"/>
          </w:rPr>
          <w:tab/>
        </w:r>
        <w:r w:rsidR="0058288C" w:rsidRPr="001A38AD">
          <w:rPr>
            <w:rStyle w:val="Hyperlink"/>
            <w:noProof/>
          </w:rPr>
          <w:t>Присъединяване на бенефициерите, упоменати в преамбюла</w:t>
        </w:r>
        <w:r w:rsidR="0058288C">
          <w:rPr>
            <w:noProof/>
            <w:webHidden/>
          </w:rPr>
          <w:tab/>
        </w:r>
        <w:r w:rsidR="0058288C">
          <w:rPr>
            <w:noProof/>
            <w:webHidden/>
          </w:rPr>
          <w:fldChar w:fldCharType="begin"/>
        </w:r>
        <w:r w:rsidR="0058288C">
          <w:rPr>
            <w:noProof/>
            <w:webHidden/>
          </w:rPr>
          <w:instrText xml:space="preserve"> PAGEREF _Toc95925057 \h </w:instrText>
        </w:r>
        <w:r w:rsidR="0058288C">
          <w:rPr>
            <w:noProof/>
            <w:webHidden/>
          </w:rPr>
        </w:r>
        <w:r w:rsidR="0058288C">
          <w:rPr>
            <w:noProof/>
            <w:webHidden/>
          </w:rPr>
          <w:fldChar w:fldCharType="separate"/>
        </w:r>
        <w:r w:rsidR="0058288C">
          <w:rPr>
            <w:noProof/>
            <w:webHidden/>
          </w:rPr>
          <w:t>78</w:t>
        </w:r>
        <w:r w:rsidR="0058288C">
          <w:rPr>
            <w:noProof/>
            <w:webHidden/>
          </w:rPr>
          <w:fldChar w:fldCharType="end"/>
        </w:r>
      </w:hyperlink>
    </w:p>
    <w:p w14:paraId="4915356C" w14:textId="6308DEF5" w:rsidR="0058288C" w:rsidRDefault="00613C5F">
      <w:pPr>
        <w:pStyle w:val="TOC5"/>
        <w:rPr>
          <w:rFonts w:asciiTheme="minorHAnsi" w:eastAsiaTheme="minorEastAsia" w:hAnsiTheme="minorHAnsi" w:cstheme="minorBidi"/>
          <w:noProof/>
          <w:sz w:val="22"/>
          <w:szCs w:val="22"/>
          <w:lang w:val="en-US"/>
        </w:rPr>
      </w:pPr>
      <w:hyperlink w:anchor="_Toc95925058" w:history="1">
        <w:r w:rsidR="0058288C" w:rsidRPr="001A38AD">
          <w:rPr>
            <w:rStyle w:val="Hyperlink"/>
            <w:noProof/>
          </w:rPr>
          <w:t>40.2</w:t>
        </w:r>
        <w:r w:rsidR="0058288C">
          <w:rPr>
            <w:rFonts w:asciiTheme="minorHAnsi" w:eastAsiaTheme="minorEastAsia" w:hAnsiTheme="minorHAnsi" w:cstheme="minorBidi"/>
            <w:noProof/>
            <w:sz w:val="22"/>
            <w:szCs w:val="22"/>
            <w:lang w:val="en-US"/>
          </w:rPr>
          <w:tab/>
        </w:r>
        <w:r w:rsidR="0058288C" w:rsidRPr="001A38AD">
          <w:rPr>
            <w:rStyle w:val="Hyperlink"/>
            <w:noProof/>
          </w:rPr>
          <w:t>Добавяне на нови бенефициери</w:t>
        </w:r>
        <w:r w:rsidR="0058288C">
          <w:rPr>
            <w:noProof/>
            <w:webHidden/>
          </w:rPr>
          <w:tab/>
        </w:r>
        <w:r w:rsidR="0058288C">
          <w:rPr>
            <w:noProof/>
            <w:webHidden/>
          </w:rPr>
          <w:fldChar w:fldCharType="begin"/>
        </w:r>
        <w:r w:rsidR="0058288C">
          <w:rPr>
            <w:noProof/>
            <w:webHidden/>
          </w:rPr>
          <w:instrText xml:space="preserve"> PAGEREF _Toc95925058 \h </w:instrText>
        </w:r>
        <w:r w:rsidR="0058288C">
          <w:rPr>
            <w:noProof/>
            <w:webHidden/>
          </w:rPr>
        </w:r>
        <w:r w:rsidR="0058288C">
          <w:rPr>
            <w:noProof/>
            <w:webHidden/>
          </w:rPr>
          <w:fldChar w:fldCharType="separate"/>
        </w:r>
        <w:r w:rsidR="0058288C">
          <w:rPr>
            <w:noProof/>
            <w:webHidden/>
          </w:rPr>
          <w:t>78</w:t>
        </w:r>
        <w:r w:rsidR="0058288C">
          <w:rPr>
            <w:noProof/>
            <w:webHidden/>
          </w:rPr>
          <w:fldChar w:fldCharType="end"/>
        </w:r>
      </w:hyperlink>
    </w:p>
    <w:p w14:paraId="4DAF5F21" w14:textId="61CAC0F5" w:rsidR="0058288C" w:rsidRDefault="00613C5F">
      <w:pPr>
        <w:pStyle w:val="TOC4"/>
        <w:rPr>
          <w:rFonts w:asciiTheme="minorHAnsi" w:eastAsiaTheme="minorEastAsia" w:hAnsiTheme="minorHAnsi" w:cstheme="minorBidi"/>
          <w:noProof/>
          <w:sz w:val="22"/>
          <w:szCs w:val="22"/>
          <w:lang w:val="en-US"/>
        </w:rPr>
      </w:pPr>
      <w:hyperlink w:anchor="_Toc95925059" w:history="1">
        <w:r w:rsidR="0058288C" w:rsidRPr="001A38AD">
          <w:rPr>
            <w:rStyle w:val="Hyperlink"/>
            <w:noProof/>
          </w:rPr>
          <w:t>ЧЛЕН 41 — ПРЕХВЪРЛЯНЕ НА СПОРАЗУМЕНИЕТО</w:t>
        </w:r>
        <w:r w:rsidR="0058288C">
          <w:rPr>
            <w:noProof/>
            <w:webHidden/>
          </w:rPr>
          <w:tab/>
        </w:r>
        <w:r w:rsidR="0058288C">
          <w:rPr>
            <w:noProof/>
            <w:webHidden/>
          </w:rPr>
          <w:fldChar w:fldCharType="begin"/>
        </w:r>
        <w:r w:rsidR="0058288C">
          <w:rPr>
            <w:noProof/>
            <w:webHidden/>
          </w:rPr>
          <w:instrText xml:space="preserve"> PAGEREF _Toc95925059 \h </w:instrText>
        </w:r>
        <w:r w:rsidR="0058288C">
          <w:rPr>
            <w:noProof/>
            <w:webHidden/>
          </w:rPr>
        </w:r>
        <w:r w:rsidR="0058288C">
          <w:rPr>
            <w:noProof/>
            <w:webHidden/>
          </w:rPr>
          <w:fldChar w:fldCharType="separate"/>
        </w:r>
        <w:r w:rsidR="0058288C">
          <w:rPr>
            <w:noProof/>
            <w:webHidden/>
          </w:rPr>
          <w:t>78</w:t>
        </w:r>
        <w:r w:rsidR="0058288C">
          <w:rPr>
            <w:noProof/>
            <w:webHidden/>
          </w:rPr>
          <w:fldChar w:fldCharType="end"/>
        </w:r>
      </w:hyperlink>
    </w:p>
    <w:p w14:paraId="5BE1483B" w14:textId="4892ADC3" w:rsidR="0058288C" w:rsidRDefault="00613C5F">
      <w:pPr>
        <w:pStyle w:val="TOC4"/>
        <w:rPr>
          <w:rFonts w:asciiTheme="minorHAnsi" w:eastAsiaTheme="minorEastAsia" w:hAnsiTheme="minorHAnsi" w:cstheme="minorBidi"/>
          <w:noProof/>
          <w:sz w:val="22"/>
          <w:szCs w:val="22"/>
          <w:lang w:val="en-US"/>
        </w:rPr>
      </w:pPr>
      <w:hyperlink w:anchor="_Toc95925060" w:history="1">
        <w:r w:rsidR="0058288C" w:rsidRPr="001A38AD">
          <w:rPr>
            <w:rStyle w:val="Hyperlink"/>
            <w:noProof/>
          </w:rPr>
          <w:t>ЧЛЕН 42 — ПРЕХВЪРЛЯНЕ НА ИСКАНИЯ ЗА ПЛАЩАНЕ ОТ ПРЕДОСТАВЯЩИЯ ОРГАН</w:t>
        </w:r>
        <w:r w:rsidR="0058288C">
          <w:rPr>
            <w:noProof/>
            <w:webHidden/>
          </w:rPr>
          <w:tab/>
        </w:r>
        <w:r w:rsidR="0058288C">
          <w:rPr>
            <w:noProof/>
            <w:webHidden/>
          </w:rPr>
          <w:fldChar w:fldCharType="begin"/>
        </w:r>
        <w:r w:rsidR="0058288C">
          <w:rPr>
            <w:noProof/>
            <w:webHidden/>
          </w:rPr>
          <w:instrText xml:space="preserve"> PAGEREF _Toc95925060 \h </w:instrText>
        </w:r>
        <w:r w:rsidR="0058288C">
          <w:rPr>
            <w:noProof/>
            <w:webHidden/>
          </w:rPr>
        </w:r>
        <w:r w:rsidR="0058288C">
          <w:rPr>
            <w:noProof/>
            <w:webHidden/>
          </w:rPr>
          <w:fldChar w:fldCharType="separate"/>
        </w:r>
        <w:r w:rsidR="0058288C">
          <w:rPr>
            <w:noProof/>
            <w:webHidden/>
          </w:rPr>
          <w:t>78</w:t>
        </w:r>
        <w:r w:rsidR="0058288C">
          <w:rPr>
            <w:noProof/>
            <w:webHidden/>
          </w:rPr>
          <w:fldChar w:fldCharType="end"/>
        </w:r>
      </w:hyperlink>
    </w:p>
    <w:p w14:paraId="6C9CF811" w14:textId="666C0E82" w:rsidR="0058288C" w:rsidRDefault="00613C5F">
      <w:pPr>
        <w:pStyle w:val="TOC4"/>
        <w:rPr>
          <w:rFonts w:asciiTheme="minorHAnsi" w:eastAsiaTheme="minorEastAsia" w:hAnsiTheme="minorHAnsi" w:cstheme="minorBidi"/>
          <w:noProof/>
          <w:sz w:val="22"/>
          <w:szCs w:val="22"/>
          <w:lang w:val="en-US"/>
        </w:rPr>
      </w:pPr>
      <w:hyperlink w:anchor="_Toc95925061" w:history="1">
        <w:r w:rsidR="0058288C" w:rsidRPr="001A38AD">
          <w:rPr>
            <w:rStyle w:val="Hyperlink"/>
            <w:noProof/>
          </w:rPr>
          <w:t>ЧЛЕН 43 — ПРИЛОЖИМО ПРАВО И УРЕЖДАНЕ НА СПОРОВЕ</w:t>
        </w:r>
        <w:r w:rsidR="0058288C">
          <w:rPr>
            <w:noProof/>
            <w:webHidden/>
          </w:rPr>
          <w:tab/>
        </w:r>
        <w:r w:rsidR="0058288C">
          <w:rPr>
            <w:noProof/>
            <w:webHidden/>
          </w:rPr>
          <w:fldChar w:fldCharType="begin"/>
        </w:r>
        <w:r w:rsidR="0058288C">
          <w:rPr>
            <w:noProof/>
            <w:webHidden/>
          </w:rPr>
          <w:instrText xml:space="preserve"> PAGEREF _Toc95925061 \h </w:instrText>
        </w:r>
        <w:r w:rsidR="0058288C">
          <w:rPr>
            <w:noProof/>
            <w:webHidden/>
          </w:rPr>
        </w:r>
        <w:r w:rsidR="0058288C">
          <w:rPr>
            <w:noProof/>
            <w:webHidden/>
          </w:rPr>
          <w:fldChar w:fldCharType="separate"/>
        </w:r>
        <w:r w:rsidR="0058288C">
          <w:rPr>
            <w:noProof/>
            <w:webHidden/>
          </w:rPr>
          <w:t>78</w:t>
        </w:r>
        <w:r w:rsidR="0058288C">
          <w:rPr>
            <w:noProof/>
            <w:webHidden/>
          </w:rPr>
          <w:fldChar w:fldCharType="end"/>
        </w:r>
      </w:hyperlink>
    </w:p>
    <w:p w14:paraId="5CE58EF2" w14:textId="19E44EC1" w:rsidR="0058288C" w:rsidRDefault="00613C5F">
      <w:pPr>
        <w:pStyle w:val="TOC5"/>
        <w:rPr>
          <w:rFonts w:asciiTheme="minorHAnsi" w:eastAsiaTheme="minorEastAsia" w:hAnsiTheme="minorHAnsi" w:cstheme="minorBidi"/>
          <w:noProof/>
          <w:sz w:val="22"/>
          <w:szCs w:val="22"/>
          <w:lang w:val="en-US"/>
        </w:rPr>
      </w:pPr>
      <w:hyperlink w:anchor="_Toc95925062" w:history="1">
        <w:r w:rsidR="0058288C" w:rsidRPr="001A38AD">
          <w:rPr>
            <w:rStyle w:val="Hyperlink"/>
            <w:noProof/>
          </w:rPr>
          <w:t>43.1</w:t>
        </w:r>
        <w:r w:rsidR="0058288C">
          <w:rPr>
            <w:rFonts w:asciiTheme="minorHAnsi" w:eastAsiaTheme="minorEastAsia" w:hAnsiTheme="minorHAnsi" w:cstheme="minorBidi"/>
            <w:noProof/>
            <w:sz w:val="22"/>
            <w:szCs w:val="22"/>
            <w:lang w:val="en-US"/>
          </w:rPr>
          <w:tab/>
        </w:r>
        <w:r w:rsidR="0058288C" w:rsidRPr="001A38AD">
          <w:rPr>
            <w:rStyle w:val="Hyperlink"/>
            <w:noProof/>
          </w:rPr>
          <w:t>Приложимо право</w:t>
        </w:r>
        <w:r w:rsidR="0058288C">
          <w:rPr>
            <w:noProof/>
            <w:webHidden/>
          </w:rPr>
          <w:tab/>
        </w:r>
        <w:r w:rsidR="0058288C">
          <w:rPr>
            <w:noProof/>
            <w:webHidden/>
          </w:rPr>
          <w:fldChar w:fldCharType="begin"/>
        </w:r>
        <w:r w:rsidR="0058288C">
          <w:rPr>
            <w:noProof/>
            <w:webHidden/>
          </w:rPr>
          <w:instrText xml:space="preserve"> PAGEREF _Toc95925062 \h </w:instrText>
        </w:r>
        <w:r w:rsidR="0058288C">
          <w:rPr>
            <w:noProof/>
            <w:webHidden/>
          </w:rPr>
        </w:r>
        <w:r w:rsidR="0058288C">
          <w:rPr>
            <w:noProof/>
            <w:webHidden/>
          </w:rPr>
          <w:fldChar w:fldCharType="separate"/>
        </w:r>
        <w:r w:rsidR="0058288C">
          <w:rPr>
            <w:noProof/>
            <w:webHidden/>
          </w:rPr>
          <w:t>78</w:t>
        </w:r>
        <w:r w:rsidR="0058288C">
          <w:rPr>
            <w:noProof/>
            <w:webHidden/>
          </w:rPr>
          <w:fldChar w:fldCharType="end"/>
        </w:r>
      </w:hyperlink>
    </w:p>
    <w:p w14:paraId="6DA9D3F8" w14:textId="55838480" w:rsidR="0058288C" w:rsidRDefault="00613C5F">
      <w:pPr>
        <w:pStyle w:val="TOC5"/>
        <w:rPr>
          <w:rFonts w:asciiTheme="minorHAnsi" w:eastAsiaTheme="minorEastAsia" w:hAnsiTheme="minorHAnsi" w:cstheme="minorBidi"/>
          <w:noProof/>
          <w:sz w:val="22"/>
          <w:szCs w:val="22"/>
          <w:lang w:val="en-US"/>
        </w:rPr>
      </w:pPr>
      <w:hyperlink w:anchor="_Toc95925063" w:history="1">
        <w:r w:rsidR="0058288C" w:rsidRPr="001A38AD">
          <w:rPr>
            <w:rStyle w:val="Hyperlink"/>
            <w:noProof/>
          </w:rPr>
          <w:t>43.2</w:t>
        </w:r>
        <w:r w:rsidR="0058288C">
          <w:rPr>
            <w:rFonts w:asciiTheme="minorHAnsi" w:eastAsiaTheme="minorEastAsia" w:hAnsiTheme="minorHAnsi" w:cstheme="minorBidi"/>
            <w:noProof/>
            <w:sz w:val="22"/>
            <w:szCs w:val="22"/>
            <w:lang w:val="en-US"/>
          </w:rPr>
          <w:tab/>
        </w:r>
        <w:r w:rsidR="0058288C" w:rsidRPr="001A38AD">
          <w:rPr>
            <w:rStyle w:val="Hyperlink"/>
            <w:noProof/>
          </w:rPr>
          <w:t>Уреждане на спорове</w:t>
        </w:r>
        <w:r w:rsidR="0058288C">
          <w:rPr>
            <w:noProof/>
            <w:webHidden/>
          </w:rPr>
          <w:tab/>
        </w:r>
        <w:r w:rsidR="0058288C">
          <w:rPr>
            <w:noProof/>
            <w:webHidden/>
          </w:rPr>
          <w:fldChar w:fldCharType="begin"/>
        </w:r>
        <w:r w:rsidR="0058288C">
          <w:rPr>
            <w:noProof/>
            <w:webHidden/>
          </w:rPr>
          <w:instrText xml:space="preserve"> PAGEREF _Toc95925063 \h </w:instrText>
        </w:r>
        <w:r w:rsidR="0058288C">
          <w:rPr>
            <w:noProof/>
            <w:webHidden/>
          </w:rPr>
        </w:r>
        <w:r w:rsidR="0058288C">
          <w:rPr>
            <w:noProof/>
            <w:webHidden/>
          </w:rPr>
          <w:fldChar w:fldCharType="separate"/>
        </w:r>
        <w:r w:rsidR="0058288C">
          <w:rPr>
            <w:noProof/>
            <w:webHidden/>
          </w:rPr>
          <w:t>79</w:t>
        </w:r>
        <w:r w:rsidR="0058288C">
          <w:rPr>
            <w:noProof/>
            <w:webHidden/>
          </w:rPr>
          <w:fldChar w:fldCharType="end"/>
        </w:r>
      </w:hyperlink>
    </w:p>
    <w:p w14:paraId="2735CD2D" w14:textId="1ABFF248" w:rsidR="0058288C" w:rsidRDefault="00613C5F">
      <w:pPr>
        <w:pStyle w:val="TOC4"/>
        <w:rPr>
          <w:rFonts w:asciiTheme="minorHAnsi" w:eastAsiaTheme="minorEastAsia" w:hAnsiTheme="minorHAnsi" w:cstheme="minorBidi"/>
          <w:noProof/>
          <w:sz w:val="22"/>
          <w:szCs w:val="22"/>
          <w:lang w:val="en-US"/>
        </w:rPr>
      </w:pPr>
      <w:hyperlink w:anchor="_Toc95925064" w:history="1">
        <w:r w:rsidR="0058288C" w:rsidRPr="001A38AD">
          <w:rPr>
            <w:rStyle w:val="Hyperlink"/>
            <w:noProof/>
          </w:rPr>
          <w:t>ЧЛЕН 44 — ВЛИЗАНЕ В СИЛА</w:t>
        </w:r>
        <w:r w:rsidR="0058288C">
          <w:rPr>
            <w:noProof/>
            <w:webHidden/>
          </w:rPr>
          <w:tab/>
        </w:r>
        <w:r w:rsidR="0058288C">
          <w:rPr>
            <w:noProof/>
            <w:webHidden/>
          </w:rPr>
          <w:fldChar w:fldCharType="begin"/>
        </w:r>
        <w:r w:rsidR="0058288C">
          <w:rPr>
            <w:noProof/>
            <w:webHidden/>
          </w:rPr>
          <w:instrText xml:space="preserve"> PAGEREF _Toc95925064 \h </w:instrText>
        </w:r>
        <w:r w:rsidR="0058288C">
          <w:rPr>
            <w:noProof/>
            <w:webHidden/>
          </w:rPr>
        </w:r>
        <w:r w:rsidR="0058288C">
          <w:rPr>
            <w:noProof/>
            <w:webHidden/>
          </w:rPr>
          <w:fldChar w:fldCharType="separate"/>
        </w:r>
        <w:r w:rsidR="0058288C">
          <w:rPr>
            <w:noProof/>
            <w:webHidden/>
          </w:rPr>
          <w:t>79</w:t>
        </w:r>
        <w:r w:rsidR="0058288C">
          <w:rPr>
            <w:noProof/>
            <w:webHidden/>
          </w:rPr>
          <w:fldChar w:fldCharType="end"/>
        </w:r>
      </w:hyperlink>
    </w:p>
    <w:p w14:paraId="560D0965" w14:textId="20D92016" w:rsidR="0058288C" w:rsidRDefault="00613C5F">
      <w:pPr>
        <w:pStyle w:val="TOC1"/>
        <w:rPr>
          <w:rFonts w:asciiTheme="minorHAnsi" w:eastAsiaTheme="minorEastAsia" w:hAnsiTheme="minorHAnsi" w:cstheme="minorBidi"/>
          <w:b w:val="0"/>
          <w:caps w:val="0"/>
          <w:sz w:val="22"/>
          <w:szCs w:val="22"/>
          <w:lang w:val="en-US"/>
        </w:rPr>
      </w:pPr>
      <w:hyperlink w:anchor="_Toc95925065" w:history="1">
        <w:r w:rsidR="0058288C" w:rsidRPr="001A38AD">
          <w:rPr>
            <w:rStyle w:val="Hyperlink"/>
          </w:rPr>
          <w:t>1. Контекст и предмет</w:t>
        </w:r>
        <w:r w:rsidR="0058288C">
          <w:rPr>
            <w:webHidden/>
          </w:rPr>
          <w:tab/>
        </w:r>
        <w:r w:rsidR="0058288C">
          <w:rPr>
            <w:webHidden/>
          </w:rPr>
          <w:fldChar w:fldCharType="begin"/>
        </w:r>
        <w:r w:rsidR="0058288C">
          <w:rPr>
            <w:webHidden/>
          </w:rPr>
          <w:instrText xml:space="preserve"> PAGEREF _Toc95925065 \h </w:instrText>
        </w:r>
        <w:r w:rsidR="0058288C">
          <w:rPr>
            <w:webHidden/>
          </w:rPr>
        </w:r>
        <w:r w:rsidR="0058288C">
          <w:rPr>
            <w:webHidden/>
          </w:rPr>
          <w:fldChar w:fldCharType="separate"/>
        </w:r>
        <w:r w:rsidR="0058288C">
          <w:rPr>
            <w:webHidden/>
          </w:rPr>
          <w:t>94</w:t>
        </w:r>
        <w:r w:rsidR="0058288C">
          <w:rPr>
            <w:webHidden/>
          </w:rPr>
          <w:fldChar w:fldCharType="end"/>
        </w:r>
      </w:hyperlink>
    </w:p>
    <w:p w14:paraId="4D2E3D8F" w14:textId="26414A87" w:rsidR="0058288C" w:rsidRDefault="00613C5F">
      <w:pPr>
        <w:pStyle w:val="TOC1"/>
        <w:rPr>
          <w:rFonts w:asciiTheme="minorHAnsi" w:eastAsiaTheme="minorEastAsia" w:hAnsiTheme="minorHAnsi" w:cstheme="minorBidi"/>
          <w:b w:val="0"/>
          <w:caps w:val="0"/>
          <w:sz w:val="22"/>
          <w:szCs w:val="22"/>
          <w:lang w:val="en-US"/>
        </w:rPr>
      </w:pPr>
      <w:hyperlink w:anchor="_Toc95925066" w:history="1">
        <w:r w:rsidR="0058288C" w:rsidRPr="001A38AD">
          <w:rPr>
            <w:rStyle w:val="Hyperlink"/>
          </w:rPr>
          <w:t>2. Обхват и приложими стандарти</w:t>
        </w:r>
        <w:r w:rsidR="0058288C">
          <w:rPr>
            <w:webHidden/>
          </w:rPr>
          <w:tab/>
        </w:r>
        <w:r w:rsidR="0058288C">
          <w:rPr>
            <w:webHidden/>
          </w:rPr>
          <w:fldChar w:fldCharType="begin"/>
        </w:r>
        <w:r w:rsidR="0058288C">
          <w:rPr>
            <w:webHidden/>
          </w:rPr>
          <w:instrText xml:space="preserve"> PAGEREF _Toc95925066 \h </w:instrText>
        </w:r>
        <w:r w:rsidR="0058288C">
          <w:rPr>
            <w:webHidden/>
          </w:rPr>
        </w:r>
        <w:r w:rsidR="0058288C">
          <w:rPr>
            <w:webHidden/>
          </w:rPr>
          <w:fldChar w:fldCharType="separate"/>
        </w:r>
        <w:r w:rsidR="0058288C">
          <w:rPr>
            <w:webHidden/>
          </w:rPr>
          <w:t>94</w:t>
        </w:r>
        <w:r w:rsidR="0058288C">
          <w:rPr>
            <w:webHidden/>
          </w:rPr>
          <w:fldChar w:fldCharType="end"/>
        </w:r>
      </w:hyperlink>
    </w:p>
    <w:p w14:paraId="01FC76F0" w14:textId="5E9EA951" w:rsidR="0058288C" w:rsidRDefault="00613C5F">
      <w:pPr>
        <w:pStyle w:val="TOC1"/>
        <w:rPr>
          <w:rFonts w:asciiTheme="minorHAnsi" w:eastAsiaTheme="minorEastAsia" w:hAnsiTheme="minorHAnsi" w:cstheme="minorBidi"/>
          <w:b w:val="0"/>
          <w:caps w:val="0"/>
          <w:sz w:val="22"/>
          <w:szCs w:val="22"/>
          <w:lang w:val="en-US"/>
        </w:rPr>
      </w:pPr>
      <w:hyperlink w:anchor="_Toc95925067" w:history="1">
        <w:r w:rsidR="0058288C" w:rsidRPr="001A38AD">
          <w:rPr>
            <w:rStyle w:val="Hyperlink"/>
          </w:rPr>
          <w:t>4. Процедури за спазване и очаквани резултати</w:t>
        </w:r>
        <w:r w:rsidR="0058288C">
          <w:rPr>
            <w:webHidden/>
          </w:rPr>
          <w:tab/>
        </w:r>
        <w:r w:rsidR="0058288C">
          <w:rPr>
            <w:webHidden/>
          </w:rPr>
          <w:fldChar w:fldCharType="begin"/>
        </w:r>
        <w:r w:rsidR="0058288C">
          <w:rPr>
            <w:webHidden/>
          </w:rPr>
          <w:instrText xml:space="preserve"> PAGEREF _Toc95925067 \h </w:instrText>
        </w:r>
        <w:r w:rsidR="0058288C">
          <w:rPr>
            <w:webHidden/>
          </w:rPr>
        </w:r>
        <w:r w:rsidR="0058288C">
          <w:rPr>
            <w:webHidden/>
          </w:rPr>
          <w:fldChar w:fldCharType="separate"/>
        </w:r>
        <w:r w:rsidR="0058288C">
          <w:rPr>
            <w:webHidden/>
          </w:rPr>
          <w:t>95</w:t>
        </w:r>
        <w:r w:rsidR="0058288C">
          <w:rPr>
            <w:webHidden/>
          </w:rPr>
          <w:fldChar w:fldCharType="end"/>
        </w:r>
      </w:hyperlink>
    </w:p>
    <w:p w14:paraId="4D6B7C73" w14:textId="3EADE9AF" w:rsidR="0058288C" w:rsidRDefault="00613C5F">
      <w:pPr>
        <w:pStyle w:val="TOC2"/>
        <w:rPr>
          <w:rFonts w:asciiTheme="minorHAnsi" w:eastAsiaTheme="minorEastAsia" w:hAnsiTheme="minorHAnsi" w:cstheme="minorBidi"/>
          <w:b w:val="0"/>
          <w:noProof/>
          <w:sz w:val="22"/>
          <w:szCs w:val="22"/>
          <w:lang w:val="en-US"/>
        </w:rPr>
      </w:pPr>
      <w:hyperlink w:anchor="_Toc95925068" w:history="1">
        <w:r w:rsidR="0058288C" w:rsidRPr="001A38AD">
          <w:rPr>
            <w:rStyle w:val="Hyperlink"/>
            <w:noProof/>
          </w:rPr>
          <w:t>4.1 Проверки на основните системи</w:t>
        </w:r>
        <w:r w:rsidR="0058288C">
          <w:rPr>
            <w:noProof/>
            <w:webHidden/>
          </w:rPr>
          <w:tab/>
        </w:r>
        <w:r w:rsidR="0058288C">
          <w:rPr>
            <w:noProof/>
            <w:webHidden/>
          </w:rPr>
          <w:fldChar w:fldCharType="begin"/>
        </w:r>
        <w:r w:rsidR="0058288C">
          <w:rPr>
            <w:noProof/>
            <w:webHidden/>
          </w:rPr>
          <w:instrText xml:space="preserve"> PAGEREF _Toc95925068 \h </w:instrText>
        </w:r>
        <w:r w:rsidR="0058288C">
          <w:rPr>
            <w:noProof/>
            <w:webHidden/>
          </w:rPr>
        </w:r>
        <w:r w:rsidR="0058288C">
          <w:rPr>
            <w:noProof/>
            <w:webHidden/>
          </w:rPr>
          <w:fldChar w:fldCharType="separate"/>
        </w:r>
        <w:r w:rsidR="0058288C">
          <w:rPr>
            <w:noProof/>
            <w:webHidden/>
          </w:rPr>
          <w:t>96</w:t>
        </w:r>
        <w:r w:rsidR="0058288C">
          <w:rPr>
            <w:noProof/>
            <w:webHidden/>
          </w:rPr>
          <w:fldChar w:fldCharType="end"/>
        </w:r>
      </w:hyperlink>
    </w:p>
    <w:p w14:paraId="2F922883" w14:textId="43586E8D" w:rsidR="0058288C" w:rsidRDefault="00613C5F">
      <w:pPr>
        <w:pStyle w:val="TOC2"/>
        <w:rPr>
          <w:rFonts w:asciiTheme="minorHAnsi" w:eastAsiaTheme="minorEastAsia" w:hAnsiTheme="minorHAnsi" w:cstheme="minorBidi"/>
          <w:b w:val="0"/>
          <w:noProof/>
          <w:sz w:val="22"/>
          <w:szCs w:val="22"/>
          <w:lang w:val="en-US"/>
        </w:rPr>
      </w:pPr>
      <w:hyperlink w:anchor="_Toc95925069" w:history="1">
        <w:r w:rsidR="0058288C" w:rsidRPr="001A38AD">
          <w:rPr>
            <w:rStyle w:val="Hyperlink"/>
            <w:noProof/>
          </w:rPr>
          <w:t>4.2 Проверка на допустимостта на декларираните разходи</w:t>
        </w:r>
        <w:r w:rsidR="0058288C">
          <w:rPr>
            <w:noProof/>
            <w:webHidden/>
          </w:rPr>
          <w:tab/>
        </w:r>
        <w:r w:rsidR="0058288C">
          <w:rPr>
            <w:noProof/>
            <w:webHidden/>
          </w:rPr>
          <w:fldChar w:fldCharType="begin"/>
        </w:r>
        <w:r w:rsidR="0058288C">
          <w:rPr>
            <w:noProof/>
            <w:webHidden/>
          </w:rPr>
          <w:instrText xml:space="preserve"> PAGEREF _Toc95925069 \h </w:instrText>
        </w:r>
        <w:r w:rsidR="0058288C">
          <w:rPr>
            <w:noProof/>
            <w:webHidden/>
          </w:rPr>
        </w:r>
        <w:r w:rsidR="0058288C">
          <w:rPr>
            <w:noProof/>
            <w:webHidden/>
          </w:rPr>
          <w:fldChar w:fldCharType="separate"/>
        </w:r>
        <w:r w:rsidR="0058288C">
          <w:rPr>
            <w:noProof/>
            <w:webHidden/>
          </w:rPr>
          <w:t>96</w:t>
        </w:r>
        <w:r w:rsidR="0058288C">
          <w:rPr>
            <w:noProof/>
            <w:webHidden/>
          </w:rPr>
          <w:fldChar w:fldCharType="end"/>
        </w:r>
      </w:hyperlink>
    </w:p>
    <w:p w14:paraId="1529072E" w14:textId="2033131E" w:rsidR="0058288C" w:rsidRDefault="00613C5F">
      <w:pPr>
        <w:pStyle w:val="TOC3"/>
        <w:rPr>
          <w:rFonts w:asciiTheme="minorHAnsi" w:eastAsiaTheme="minorEastAsia" w:hAnsiTheme="minorHAnsi" w:cstheme="minorBidi"/>
          <w:noProof/>
          <w:sz w:val="22"/>
          <w:szCs w:val="22"/>
          <w:lang w:val="en-US"/>
        </w:rPr>
      </w:pPr>
      <w:hyperlink w:anchor="_Toc95925070" w:history="1">
        <w:r w:rsidR="0058288C" w:rsidRPr="001A38AD">
          <w:rPr>
            <w:rStyle w:val="Hyperlink"/>
            <w:b/>
            <w:i/>
            <w:noProof/>
          </w:rPr>
          <w:t>Тестване на операциите въз основа на извадки</w:t>
        </w:r>
        <w:r w:rsidR="0058288C">
          <w:rPr>
            <w:noProof/>
            <w:webHidden/>
          </w:rPr>
          <w:tab/>
        </w:r>
        <w:r w:rsidR="0058288C">
          <w:rPr>
            <w:noProof/>
            <w:webHidden/>
          </w:rPr>
          <w:fldChar w:fldCharType="begin"/>
        </w:r>
        <w:r w:rsidR="0058288C">
          <w:rPr>
            <w:noProof/>
            <w:webHidden/>
          </w:rPr>
          <w:instrText xml:space="preserve"> PAGEREF _Toc95925070 \h </w:instrText>
        </w:r>
        <w:r w:rsidR="0058288C">
          <w:rPr>
            <w:noProof/>
            <w:webHidden/>
          </w:rPr>
        </w:r>
        <w:r w:rsidR="0058288C">
          <w:rPr>
            <w:noProof/>
            <w:webHidden/>
          </w:rPr>
          <w:fldChar w:fldCharType="separate"/>
        </w:r>
        <w:r w:rsidR="0058288C">
          <w:rPr>
            <w:noProof/>
            <w:webHidden/>
          </w:rPr>
          <w:t>96</w:t>
        </w:r>
        <w:r w:rsidR="0058288C">
          <w:rPr>
            <w:noProof/>
            <w:webHidden/>
          </w:rPr>
          <w:fldChar w:fldCharType="end"/>
        </w:r>
      </w:hyperlink>
    </w:p>
    <w:p w14:paraId="62051E2A" w14:textId="5ED140DD" w:rsidR="0058288C" w:rsidRDefault="00613C5F">
      <w:pPr>
        <w:pStyle w:val="TOC2"/>
        <w:rPr>
          <w:rFonts w:asciiTheme="minorHAnsi" w:eastAsiaTheme="minorEastAsia" w:hAnsiTheme="minorHAnsi" w:cstheme="minorBidi"/>
          <w:b w:val="0"/>
          <w:noProof/>
          <w:sz w:val="22"/>
          <w:szCs w:val="22"/>
          <w:lang w:val="en-US"/>
        </w:rPr>
      </w:pPr>
      <w:hyperlink w:anchor="_Toc95925071" w:history="1">
        <w:r w:rsidR="0058288C" w:rsidRPr="001A38AD">
          <w:rPr>
            <w:rStyle w:val="Hyperlink"/>
            <w:noProof/>
          </w:rPr>
          <w:t>4.3 Проверка на приходите</w:t>
        </w:r>
        <w:r w:rsidR="0058288C">
          <w:rPr>
            <w:noProof/>
            <w:webHidden/>
          </w:rPr>
          <w:tab/>
        </w:r>
        <w:r w:rsidR="0058288C">
          <w:rPr>
            <w:noProof/>
            <w:webHidden/>
          </w:rPr>
          <w:fldChar w:fldCharType="begin"/>
        </w:r>
        <w:r w:rsidR="0058288C">
          <w:rPr>
            <w:noProof/>
            <w:webHidden/>
          </w:rPr>
          <w:instrText xml:space="preserve"> PAGEREF _Toc95925071 \h </w:instrText>
        </w:r>
        <w:r w:rsidR="0058288C">
          <w:rPr>
            <w:noProof/>
            <w:webHidden/>
          </w:rPr>
        </w:r>
        <w:r w:rsidR="0058288C">
          <w:rPr>
            <w:noProof/>
            <w:webHidden/>
          </w:rPr>
          <w:fldChar w:fldCharType="separate"/>
        </w:r>
        <w:r w:rsidR="0058288C">
          <w:rPr>
            <w:noProof/>
            <w:webHidden/>
          </w:rPr>
          <w:t>103</w:t>
        </w:r>
        <w:r w:rsidR="0058288C">
          <w:rPr>
            <w:noProof/>
            <w:webHidden/>
          </w:rPr>
          <w:fldChar w:fldCharType="end"/>
        </w:r>
      </w:hyperlink>
    </w:p>
    <w:p w14:paraId="796322C5" w14:textId="7BD41288" w:rsidR="0058288C" w:rsidRDefault="00613C5F">
      <w:pPr>
        <w:pStyle w:val="TOC1"/>
        <w:rPr>
          <w:rFonts w:asciiTheme="minorHAnsi" w:eastAsiaTheme="minorEastAsia" w:hAnsiTheme="minorHAnsi" w:cstheme="minorBidi"/>
          <w:b w:val="0"/>
          <w:caps w:val="0"/>
          <w:sz w:val="22"/>
          <w:szCs w:val="22"/>
          <w:lang w:val="en-US"/>
        </w:rPr>
      </w:pPr>
      <w:hyperlink w:anchor="_Toc95925072" w:history="1">
        <w:r w:rsidR="0058288C" w:rsidRPr="001A38AD">
          <w:rPr>
            <w:rStyle w:val="Hyperlink"/>
          </w:rPr>
          <w:t>5.  Разглеждане и последващи действия във връзка с констатациите от СФО</w:t>
        </w:r>
        <w:r w:rsidR="0058288C">
          <w:rPr>
            <w:webHidden/>
          </w:rPr>
          <w:tab/>
        </w:r>
        <w:r w:rsidR="0058288C">
          <w:rPr>
            <w:webHidden/>
          </w:rPr>
          <w:fldChar w:fldCharType="begin"/>
        </w:r>
        <w:r w:rsidR="0058288C">
          <w:rPr>
            <w:webHidden/>
          </w:rPr>
          <w:instrText xml:space="preserve"> PAGEREF _Toc95925072 \h </w:instrText>
        </w:r>
        <w:r w:rsidR="0058288C">
          <w:rPr>
            <w:webHidden/>
          </w:rPr>
        </w:r>
        <w:r w:rsidR="0058288C">
          <w:rPr>
            <w:webHidden/>
          </w:rPr>
          <w:fldChar w:fldCharType="separate"/>
        </w:r>
        <w:r w:rsidR="0058288C">
          <w:rPr>
            <w:webHidden/>
          </w:rPr>
          <w:t>103</w:t>
        </w:r>
        <w:r w:rsidR="0058288C">
          <w:rPr>
            <w:webHidden/>
          </w:rPr>
          <w:fldChar w:fldCharType="end"/>
        </w:r>
      </w:hyperlink>
    </w:p>
    <w:p w14:paraId="1258E32C" w14:textId="7D1AB95D" w:rsidR="008907F4" w:rsidRDefault="008907F4" w:rsidP="008907F4">
      <w:pPr>
        <w:pStyle w:val="TOC1"/>
      </w:pPr>
      <w:r>
        <w:fldChar w:fldCharType="end"/>
      </w:r>
    </w:p>
    <w:p w14:paraId="770FC395" w14:textId="77777777" w:rsidR="008907F4" w:rsidRDefault="008907F4" w:rsidP="008907F4">
      <w:pPr>
        <w:spacing w:line="276" w:lineRule="auto"/>
        <w:jc w:val="left"/>
        <w:rPr>
          <w:rFonts w:ascii="Times New Roman Bold" w:eastAsiaTheme="majorEastAsia" w:hAnsi="Times New Roman Bold" w:cstheme="majorBidi"/>
          <w:b/>
          <w:bCs/>
          <w:caps/>
          <w:szCs w:val="28"/>
          <w:u w:val="single"/>
        </w:rPr>
      </w:pPr>
      <w:bookmarkStart w:id="16" w:name="_Toc15324823"/>
      <w:r>
        <w:br w:type="page"/>
      </w:r>
    </w:p>
    <w:p w14:paraId="32CF189A" w14:textId="77777777" w:rsidR="008907F4" w:rsidRPr="001C0F9E" w:rsidRDefault="2FA6B974" w:rsidP="008907F4">
      <w:pPr>
        <w:pStyle w:val="Heading6"/>
      </w:pPr>
      <w:bookmarkStart w:id="17" w:name="_Toc24116045"/>
      <w:bookmarkStart w:id="18" w:name="_Toc24126522"/>
      <w:bookmarkStart w:id="19" w:name="_Toc95924914"/>
      <w:r>
        <w:lastRenderedPageBreak/>
        <w:t>ТЕХНИЧЕСКИ СПЕЦИФИКАЦИИ</w:t>
      </w:r>
      <w:bookmarkEnd w:id="16"/>
      <w:bookmarkEnd w:id="17"/>
      <w:bookmarkEnd w:id="18"/>
      <w:bookmarkEnd w:id="19"/>
    </w:p>
    <w:p w14:paraId="4DEF8DF5" w14:textId="77777777" w:rsidR="008907F4" w:rsidRDefault="008907F4" w:rsidP="008907F4">
      <w:pPr>
        <w:pStyle w:val="BodyText"/>
        <w:spacing w:before="0"/>
        <w:ind w:left="0"/>
        <w:rPr>
          <w:b/>
          <w:sz w:val="20"/>
          <w:szCs w:val="20"/>
        </w:rPr>
      </w:pPr>
      <w:bookmarkStart w:id="20" w:name="_Toc15908637"/>
      <w:bookmarkEnd w:id="20"/>
    </w:p>
    <w:p w14:paraId="7A25CAD0" w14:textId="77777777" w:rsidR="008907F4" w:rsidRDefault="2FA6B974" w:rsidP="2FA6B974">
      <w:pPr>
        <w:spacing w:after="120"/>
        <w:jc w:val="left"/>
        <w:rPr>
          <w:b/>
          <w:bCs/>
        </w:rPr>
      </w:pPr>
      <w:r>
        <w:rPr>
          <w:b/>
          <w:bCs/>
          <w:sz w:val="20"/>
          <w:szCs w:val="20"/>
          <w:u w:val="single"/>
        </w:rPr>
        <w:t>1. Общи данни</w:t>
      </w:r>
    </w:p>
    <w:p w14:paraId="16E29376" w14:textId="77777777" w:rsidR="008907F4" w:rsidRPr="000117CA" w:rsidRDefault="2FA6B974" w:rsidP="2FA6B974">
      <w:pPr>
        <w:spacing w:after="120"/>
        <w:jc w:val="left"/>
        <w:rPr>
          <w:sz w:val="20"/>
          <w:szCs w:val="20"/>
        </w:rPr>
      </w:pPr>
      <w:r>
        <w:rPr>
          <w:sz w:val="20"/>
          <w:szCs w:val="20"/>
        </w:rPr>
        <w:t>Кратко описание на проекта:</w:t>
      </w:r>
    </w:p>
    <w:tbl>
      <w:tblPr>
        <w:tblW w:w="7267" w:type="dxa"/>
        <w:tblInd w:w="228" w:type="dxa"/>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Layout w:type="fixed"/>
        <w:tblLook w:val="01E0" w:firstRow="1" w:lastRow="1" w:firstColumn="1" w:lastColumn="1" w:noHBand="0" w:noVBand="0"/>
      </w:tblPr>
      <w:tblGrid>
        <w:gridCol w:w="7267"/>
      </w:tblGrid>
      <w:tr w:rsidR="008907F4" w:rsidRPr="00DD54AE" w14:paraId="6685DF53" w14:textId="77777777" w:rsidTr="2FA6B974">
        <w:trPr>
          <w:trHeight w:val="205"/>
        </w:trPr>
        <w:tc>
          <w:tcPr>
            <w:tcW w:w="7267" w:type="dxa"/>
            <w:shd w:val="clear" w:color="auto" w:fill="D9D9D9" w:themeFill="background1" w:themeFillShade="D9"/>
          </w:tcPr>
          <w:p w14:paraId="0D3FE020" w14:textId="77777777" w:rsidR="008907F4" w:rsidRPr="00D52206" w:rsidRDefault="2FA6B974" w:rsidP="2FA6B974">
            <w:pPr>
              <w:spacing w:before="120" w:after="120"/>
              <w:rPr>
                <w:rFonts w:ascii="Arial" w:eastAsia="Times New Roman" w:hAnsi="Arial" w:cs="Arial"/>
                <w:sz w:val="14"/>
                <w:szCs w:val="14"/>
              </w:rPr>
            </w:pPr>
            <w:r>
              <w:rPr>
                <w:rFonts w:ascii="Arial" w:hAnsi="Arial"/>
                <w:b/>
                <w:bCs/>
                <w:sz w:val="14"/>
                <w:szCs w:val="14"/>
              </w:rPr>
              <w:t xml:space="preserve">Кратко описание на проекта </w:t>
            </w:r>
          </w:p>
        </w:tc>
      </w:tr>
      <w:tr w:rsidR="008907F4" w:rsidRPr="00DD54AE" w14:paraId="1169D7B8" w14:textId="77777777" w:rsidTr="2FA6B974">
        <w:tblPrEx>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ook w:val="04A0" w:firstRow="1" w:lastRow="0" w:firstColumn="1" w:lastColumn="0" w:noHBand="0" w:noVBand="1"/>
        </w:tblPrEx>
        <w:trPr>
          <w:trHeight w:val="741"/>
        </w:trPr>
        <w:tc>
          <w:tcPr>
            <w:tcW w:w="7267"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auto"/>
          </w:tcPr>
          <w:p w14:paraId="38D559BB" w14:textId="77777777" w:rsidR="008907F4" w:rsidRPr="00D52206" w:rsidRDefault="2FA6B974" w:rsidP="2FA6B974">
            <w:pPr>
              <w:spacing w:before="120" w:after="120"/>
              <w:ind w:right="4"/>
              <w:rPr>
                <w:rFonts w:ascii="Arial" w:eastAsia="Calibri" w:hAnsi="Arial" w:cs="Arial"/>
                <w:sz w:val="14"/>
                <w:szCs w:val="14"/>
              </w:rPr>
            </w:pPr>
            <w:r>
              <w:rPr>
                <w:rFonts w:ascii="Arial" w:hAnsi="Arial"/>
                <w:sz w:val="14"/>
                <w:szCs w:val="14"/>
              </w:rPr>
              <w:t>Текст от описанието на дейността от приложение 1 в част A (същият текст като резюмето на предложението)</w:t>
            </w:r>
          </w:p>
          <w:p w14:paraId="6BE027F5" w14:textId="77777777" w:rsidR="008907F4" w:rsidRPr="00D52206" w:rsidRDefault="008907F4" w:rsidP="00B217B2">
            <w:pPr>
              <w:spacing w:before="120" w:after="120"/>
              <w:ind w:right="4"/>
              <w:rPr>
                <w:rFonts w:ascii="Arial" w:eastAsia="Calibri" w:hAnsi="Arial" w:cs="Arial"/>
                <w:sz w:val="14"/>
                <w:szCs w:val="16"/>
              </w:rPr>
            </w:pPr>
          </w:p>
        </w:tc>
      </w:tr>
    </w:tbl>
    <w:p w14:paraId="24856F1C" w14:textId="77777777" w:rsidR="008907F4" w:rsidRDefault="008907F4" w:rsidP="008907F4">
      <w:pPr>
        <w:spacing w:after="120"/>
        <w:jc w:val="left"/>
        <w:rPr>
          <w:rFonts w:eastAsia="Calibri" w:cs="Times New Roman"/>
          <w:sz w:val="20"/>
          <w:szCs w:val="16"/>
        </w:rPr>
      </w:pPr>
    </w:p>
    <w:p w14:paraId="2E0440AB" w14:textId="77777777" w:rsidR="008907F4" w:rsidRPr="00575B69" w:rsidRDefault="2FA6B974" w:rsidP="2FA6B974">
      <w:pPr>
        <w:spacing w:after="120"/>
        <w:jc w:val="left"/>
        <w:rPr>
          <w:rFonts w:eastAsia="Calibri" w:cs="Times New Roman"/>
          <w:sz w:val="20"/>
          <w:szCs w:val="20"/>
        </w:rPr>
      </w:pPr>
      <w:r>
        <w:rPr>
          <w:sz w:val="20"/>
          <w:szCs w:val="20"/>
        </w:rPr>
        <w:t>Ключови думи: [</w:t>
      </w:r>
      <w:r>
        <w:rPr>
          <w:sz w:val="20"/>
          <w:szCs w:val="20"/>
          <w:highlight w:val="lightGray"/>
        </w:rPr>
        <w:t>ключови думи от предложението</w:t>
      </w:r>
      <w:r>
        <w:rPr>
          <w:sz w:val="20"/>
          <w:szCs w:val="20"/>
        </w:rPr>
        <w:t>]</w:t>
      </w:r>
    </w:p>
    <w:p w14:paraId="74319C23" w14:textId="4B979116" w:rsidR="008907F4" w:rsidRPr="000117CA" w:rsidRDefault="2FA6B974" w:rsidP="2FA6B974">
      <w:pPr>
        <w:spacing w:after="120"/>
        <w:jc w:val="left"/>
        <w:rPr>
          <w:rFonts w:eastAsia="Times New Roman"/>
          <w:sz w:val="20"/>
          <w:szCs w:val="20"/>
        </w:rPr>
      </w:pPr>
      <w:r>
        <w:rPr>
          <w:sz w:val="20"/>
          <w:szCs w:val="20"/>
        </w:rPr>
        <w:t>Номер на проекта: [</w:t>
      </w:r>
      <w:r>
        <w:rPr>
          <w:sz w:val="20"/>
          <w:szCs w:val="20"/>
          <w:highlight w:val="lightGray"/>
        </w:rPr>
        <w:t>номер на проекта, напр. 690853330</w:t>
      </w:r>
      <w:r>
        <w:rPr>
          <w:sz w:val="20"/>
          <w:szCs w:val="20"/>
        </w:rPr>
        <w:t>]</w:t>
      </w:r>
    </w:p>
    <w:p w14:paraId="2E3FD783" w14:textId="77777777" w:rsidR="008907F4" w:rsidRPr="000117CA" w:rsidRDefault="2FA6B974" w:rsidP="2FA6B974">
      <w:pPr>
        <w:spacing w:after="120"/>
        <w:ind w:left="709" w:hanging="709"/>
        <w:jc w:val="left"/>
        <w:rPr>
          <w:sz w:val="20"/>
          <w:szCs w:val="20"/>
        </w:rPr>
      </w:pPr>
      <w:r>
        <w:rPr>
          <w:sz w:val="20"/>
          <w:szCs w:val="20"/>
        </w:rPr>
        <w:t>Наименование на проекта: [</w:t>
      </w:r>
      <w:r>
        <w:rPr>
          <w:sz w:val="20"/>
          <w:szCs w:val="20"/>
          <w:highlight w:val="lightGray"/>
        </w:rPr>
        <w:t>пълно наименование</w:t>
      </w:r>
      <w:r>
        <w:rPr>
          <w:sz w:val="20"/>
          <w:szCs w:val="20"/>
        </w:rPr>
        <w:t>]</w:t>
      </w:r>
    </w:p>
    <w:p w14:paraId="623B8C89" w14:textId="77777777" w:rsidR="008907F4" w:rsidRPr="00A93C38" w:rsidRDefault="2FA6B974" w:rsidP="2FA6B974">
      <w:pPr>
        <w:spacing w:after="120"/>
        <w:jc w:val="left"/>
        <w:rPr>
          <w:sz w:val="20"/>
          <w:szCs w:val="20"/>
        </w:rPr>
      </w:pPr>
      <w:r>
        <w:rPr>
          <w:sz w:val="20"/>
          <w:szCs w:val="20"/>
        </w:rPr>
        <w:t>Съкращение на проекта: [</w:t>
      </w:r>
      <w:r>
        <w:rPr>
          <w:sz w:val="20"/>
          <w:szCs w:val="20"/>
          <w:highlight w:val="lightGray"/>
        </w:rPr>
        <w:t>съкращение</w:t>
      </w:r>
      <w:r>
        <w:rPr>
          <w:sz w:val="20"/>
          <w:szCs w:val="20"/>
        </w:rPr>
        <w:t>]</w:t>
      </w:r>
    </w:p>
    <w:p w14:paraId="218B5CB5" w14:textId="77777777" w:rsidR="008907F4" w:rsidRPr="00575B69" w:rsidRDefault="2FA6B974" w:rsidP="2FA6B974">
      <w:pPr>
        <w:spacing w:after="120"/>
        <w:jc w:val="left"/>
        <w:rPr>
          <w:sz w:val="20"/>
          <w:szCs w:val="20"/>
        </w:rPr>
      </w:pPr>
      <w:r>
        <w:rPr>
          <w:sz w:val="20"/>
          <w:szCs w:val="20"/>
        </w:rPr>
        <w:t>Покана: [</w:t>
      </w:r>
      <w:r>
        <w:rPr>
          <w:sz w:val="20"/>
          <w:szCs w:val="20"/>
          <w:highlight w:val="lightGray"/>
        </w:rPr>
        <w:t>идентификационен номер на поканата, например PROG-CALLABREV-YEAR</w:t>
      </w:r>
      <w:r>
        <w:rPr>
          <w:sz w:val="20"/>
          <w:szCs w:val="20"/>
        </w:rPr>
        <w:t>]</w:t>
      </w:r>
    </w:p>
    <w:p w14:paraId="7A7045AC" w14:textId="77777777" w:rsidR="008907F4" w:rsidRPr="00575B69" w:rsidRDefault="2FA6B974" w:rsidP="2FA6B974">
      <w:pPr>
        <w:spacing w:after="120"/>
        <w:jc w:val="left"/>
        <w:rPr>
          <w:sz w:val="20"/>
          <w:szCs w:val="20"/>
        </w:rPr>
      </w:pPr>
      <w:r>
        <w:rPr>
          <w:sz w:val="20"/>
          <w:szCs w:val="20"/>
        </w:rPr>
        <w:t>Тема: [</w:t>
      </w:r>
      <w:r>
        <w:rPr>
          <w:sz w:val="20"/>
          <w:szCs w:val="20"/>
          <w:highlight w:val="lightGray"/>
        </w:rPr>
        <w:t>идентификационен номер на темата, например PROG-CALLABREV-YEAR-NN/TOPICABBREV</w:t>
      </w:r>
      <w:r>
        <w:rPr>
          <w:sz w:val="20"/>
          <w:szCs w:val="20"/>
        </w:rPr>
        <w:t>]</w:t>
      </w:r>
    </w:p>
    <w:p w14:paraId="402DC0FC" w14:textId="2D42EF88" w:rsidR="008907F4" w:rsidRPr="00575B69" w:rsidRDefault="008907F4" w:rsidP="2FA6B974">
      <w:pPr>
        <w:spacing w:after="120"/>
        <w:jc w:val="left"/>
        <w:rPr>
          <w:sz w:val="20"/>
          <w:szCs w:val="20"/>
        </w:rPr>
      </w:pPr>
      <w:r>
        <w:rPr>
          <w:sz w:val="20"/>
          <w:szCs w:val="20"/>
        </w:rPr>
        <w:t xml:space="preserve">Вид дейност: </w:t>
      </w:r>
      <w:r>
        <w:rPr>
          <w:sz w:val="20"/>
          <w:szCs w:val="20"/>
          <w:shd w:val="clear" w:color="auto" w:fill="CCFFFF"/>
        </w:rPr>
        <w:t>Обикновени програми AGRIP</w:t>
      </w:r>
    </w:p>
    <w:p w14:paraId="365153CC" w14:textId="77C3D5F1" w:rsidR="008907F4" w:rsidRPr="00575B69" w:rsidRDefault="008907F4" w:rsidP="2FA6B974">
      <w:pPr>
        <w:spacing w:after="120"/>
        <w:ind w:left="1560" w:hanging="1560"/>
        <w:jc w:val="left"/>
        <w:rPr>
          <w:rFonts w:eastAsia="Times New Roman"/>
          <w:i/>
          <w:iCs/>
          <w:color w:val="4AA55B"/>
          <w:sz w:val="20"/>
          <w:szCs w:val="20"/>
        </w:rPr>
      </w:pPr>
      <w:r>
        <w:rPr>
          <w:sz w:val="20"/>
          <w:szCs w:val="20"/>
        </w:rPr>
        <w:t>Предоставящ орган: [</w:t>
      </w:r>
      <w:r>
        <w:rPr>
          <w:sz w:val="20"/>
          <w:szCs w:val="20"/>
          <w:highlight w:val="lightGray"/>
          <w:shd w:val="clear" w:color="auto" w:fill="CCFFFF"/>
        </w:rPr>
        <w:t>въведете наименованието на компетентния орган</w:t>
      </w:r>
      <w:r>
        <w:rPr>
          <w:sz w:val="20"/>
          <w:szCs w:val="20"/>
        </w:rPr>
        <w:t>]</w:t>
      </w:r>
    </w:p>
    <w:p w14:paraId="69088130" w14:textId="77777777" w:rsidR="008907F4" w:rsidRPr="002950CE" w:rsidRDefault="008907F4" w:rsidP="2FA6B974">
      <w:pPr>
        <w:spacing w:after="120"/>
        <w:ind w:left="4253" w:hanging="4253"/>
        <w:jc w:val="left"/>
        <w:rPr>
          <w:sz w:val="20"/>
          <w:szCs w:val="20"/>
        </w:rPr>
      </w:pPr>
      <w:r>
        <w:rPr>
          <w:sz w:val="20"/>
          <w:szCs w:val="20"/>
        </w:rPr>
        <w:t xml:space="preserve">Безвъзмездни средства, управлявани през портала на ЕС за финансиране и възлагане на обществени поръчки: </w:t>
      </w:r>
      <w:r>
        <w:rPr>
          <w:sz w:val="20"/>
          <w:szCs w:val="20"/>
          <w:shd w:val="clear" w:color="auto" w:fill="CCFFFF"/>
        </w:rPr>
        <w:t>Не</w:t>
      </w:r>
    </w:p>
    <w:p w14:paraId="0651049A" w14:textId="77777777" w:rsidR="008907F4" w:rsidRPr="00B57F21" w:rsidRDefault="008907F4" w:rsidP="2FA6B974">
      <w:pPr>
        <w:spacing w:after="120"/>
        <w:ind w:left="426" w:hanging="426"/>
        <w:rPr>
          <w:rFonts w:eastAsia="Times New Roman"/>
          <w:i/>
          <w:iCs/>
          <w:color w:val="4AA55B"/>
          <w:sz w:val="20"/>
          <w:szCs w:val="20"/>
        </w:rPr>
      </w:pPr>
      <w:r>
        <w:rPr>
          <w:sz w:val="20"/>
          <w:szCs w:val="20"/>
        </w:rPr>
        <w:t>Начална дата на проекта</w:t>
      </w:r>
      <w:r>
        <w:rPr>
          <w:rFonts w:eastAsia="Times New Roman"/>
          <w:color w:val="4AA55B"/>
          <w:sz w:val="20"/>
          <w:szCs w:val="20"/>
          <w:vertAlign w:val="superscript"/>
          <w:lang w:val="en-US"/>
        </w:rPr>
        <w:footnoteReference w:id="7"/>
      </w:r>
      <w:r>
        <w:rPr>
          <w:sz w:val="20"/>
          <w:szCs w:val="20"/>
        </w:rPr>
        <w:t xml:space="preserve">: </w:t>
      </w:r>
      <w:r>
        <w:rPr>
          <w:i/>
          <w:iCs/>
          <w:color w:val="4AA55B"/>
          <w:sz w:val="20"/>
          <w:szCs w:val="20"/>
        </w:rPr>
        <w:t xml:space="preserve">[ВАРИАНТ 1 по подразбиране: </w:t>
      </w:r>
      <w:r>
        <w:rPr>
          <w:sz w:val="20"/>
          <w:szCs w:val="20"/>
        </w:rPr>
        <w:t>първият ден на месеца след датата на влизане в сила</w:t>
      </w:r>
      <w:r>
        <w:rPr>
          <w:i/>
          <w:iCs/>
          <w:color w:val="4AA55B"/>
          <w:sz w:val="20"/>
          <w:szCs w:val="20"/>
        </w:rPr>
        <w:t>]</w:t>
      </w:r>
      <w:r>
        <w:rPr>
          <w:i/>
          <w:iCs/>
          <w:color w:val="00B050"/>
          <w:sz w:val="20"/>
          <w:szCs w:val="20"/>
        </w:rPr>
        <w:t xml:space="preserve"> </w:t>
      </w:r>
      <w:r>
        <w:rPr>
          <w:i/>
          <w:iCs/>
          <w:color w:val="4AA55B"/>
          <w:sz w:val="20"/>
          <w:szCs w:val="20"/>
        </w:rPr>
        <w:t xml:space="preserve">[ВАРИАНТ 2, ако бъде избран за безвъзмездните средства: </w:t>
      </w:r>
      <w:r>
        <w:rPr>
          <w:sz w:val="20"/>
          <w:szCs w:val="20"/>
        </w:rPr>
        <w:t>фиксирана дата: [</w:t>
      </w:r>
      <w:r>
        <w:rPr>
          <w:sz w:val="20"/>
          <w:szCs w:val="20"/>
          <w:highlight w:val="lightGray"/>
        </w:rPr>
        <w:t>дд месец ГГГГ</w:t>
      </w:r>
      <w:r>
        <w:rPr>
          <w:sz w:val="20"/>
          <w:szCs w:val="20"/>
        </w:rPr>
        <w:t>]</w:t>
      </w:r>
      <w:r>
        <w:rPr>
          <w:i/>
          <w:iCs/>
          <w:color w:val="4AA55B"/>
          <w:sz w:val="20"/>
          <w:szCs w:val="20"/>
        </w:rPr>
        <w:t>]</w:t>
      </w:r>
    </w:p>
    <w:p w14:paraId="6D2A4C94" w14:textId="77777777" w:rsidR="008907F4" w:rsidRPr="00575B69" w:rsidRDefault="2FA6B974" w:rsidP="2FA6B974">
      <w:pPr>
        <w:spacing w:after="120"/>
        <w:jc w:val="left"/>
        <w:rPr>
          <w:rFonts w:cs="Times New Roman"/>
          <w:sz w:val="20"/>
          <w:szCs w:val="20"/>
        </w:rPr>
      </w:pPr>
      <w:r>
        <w:rPr>
          <w:sz w:val="20"/>
          <w:szCs w:val="20"/>
        </w:rPr>
        <w:t>Крайна дата на проекта: (</w:t>
      </w:r>
      <w:r>
        <w:rPr>
          <w:sz w:val="20"/>
          <w:szCs w:val="20"/>
          <w:highlight w:val="lightGray"/>
        </w:rPr>
        <w:t>дд/мм/гггг</w:t>
      </w:r>
      <w:r>
        <w:rPr>
          <w:sz w:val="20"/>
          <w:szCs w:val="20"/>
        </w:rPr>
        <w:t>)</w:t>
      </w:r>
    </w:p>
    <w:p w14:paraId="0AC8B24B" w14:textId="77777777" w:rsidR="008907F4" w:rsidRPr="001637ED" w:rsidRDefault="008907F4" w:rsidP="2FA6B974">
      <w:pPr>
        <w:spacing w:after="120"/>
        <w:jc w:val="left"/>
        <w:rPr>
          <w:rFonts w:eastAsia="Calibri" w:cs="Times New Roman"/>
          <w:sz w:val="20"/>
          <w:szCs w:val="20"/>
        </w:rPr>
      </w:pPr>
      <w:r>
        <w:rPr>
          <w:sz w:val="20"/>
          <w:szCs w:val="20"/>
        </w:rPr>
        <w:t>Продължителност на проекта: [</w:t>
      </w:r>
      <w:r>
        <w:rPr>
          <w:sz w:val="20"/>
          <w:szCs w:val="20"/>
          <w:highlight w:val="lightGray"/>
        </w:rPr>
        <w:t>брой месеци, напр. 36 месеца</w:t>
      </w:r>
      <w:r>
        <w:rPr>
          <w:sz w:val="20"/>
          <w:szCs w:val="20"/>
        </w:rPr>
        <w:t>]</w:t>
      </w:r>
    </w:p>
    <w:p w14:paraId="506CA9B5" w14:textId="41F022D1" w:rsidR="008907F4" w:rsidRPr="00575B69" w:rsidRDefault="008907F4" w:rsidP="2FA6B974">
      <w:pPr>
        <w:spacing w:after="120"/>
        <w:jc w:val="left"/>
        <w:rPr>
          <w:rFonts w:cs="Times New Roman"/>
          <w:sz w:val="20"/>
          <w:szCs w:val="20"/>
        </w:rPr>
      </w:pPr>
      <w:r>
        <w:rPr>
          <w:sz w:val="20"/>
          <w:szCs w:val="20"/>
        </w:rPr>
        <w:t xml:space="preserve">Споразумение за създаване на консорциум: </w:t>
      </w:r>
      <w:r>
        <w:rPr>
          <w:i/>
          <w:iCs/>
          <w:color w:val="4AA55B"/>
          <w:sz w:val="20"/>
          <w:szCs w:val="20"/>
        </w:rPr>
        <w:t xml:space="preserve">[ВАРИАНТ 1 по подразбиране: </w:t>
      </w:r>
      <w:r>
        <w:rPr>
          <w:sz w:val="20"/>
          <w:szCs w:val="20"/>
        </w:rPr>
        <w:t>Да</w:t>
      </w:r>
      <w:r>
        <w:rPr>
          <w:i/>
          <w:iCs/>
          <w:color w:val="4AA55B"/>
          <w:sz w:val="20"/>
          <w:szCs w:val="20"/>
        </w:rPr>
        <w:t xml:space="preserve">] [ВАРИАНТ 2, ако бъде избран за поканата: </w:t>
      </w:r>
      <w:r>
        <w:rPr>
          <w:sz w:val="20"/>
          <w:szCs w:val="20"/>
        </w:rPr>
        <w:t>Не</w:t>
      </w:r>
      <w:r>
        <w:rPr>
          <w:i/>
          <w:iCs/>
          <w:color w:val="4AA55B"/>
          <w:sz w:val="20"/>
          <w:szCs w:val="20"/>
        </w:rPr>
        <w:t>]</w:t>
      </w:r>
    </w:p>
    <w:p w14:paraId="73B76303" w14:textId="77777777" w:rsidR="008907F4" w:rsidRPr="003403CF" w:rsidRDefault="2FA6B974" w:rsidP="2FA6B974">
      <w:pPr>
        <w:spacing w:after="120"/>
        <w:jc w:val="left"/>
        <w:rPr>
          <w:rFonts w:cs="Times New Roman"/>
          <w:b/>
          <w:bCs/>
          <w:sz w:val="20"/>
          <w:szCs w:val="20"/>
          <w:u w:val="single"/>
        </w:rPr>
      </w:pPr>
      <w:r>
        <w:rPr>
          <w:b/>
          <w:bCs/>
          <w:sz w:val="20"/>
          <w:szCs w:val="20"/>
          <w:u w:val="single"/>
        </w:rPr>
        <w:t xml:space="preserve">2. Участници </w:t>
      </w:r>
    </w:p>
    <w:p w14:paraId="5D5E5742" w14:textId="77777777" w:rsidR="008907F4" w:rsidRPr="00523306" w:rsidRDefault="2FA6B974" w:rsidP="2FA6B974">
      <w:pPr>
        <w:spacing w:after="120"/>
        <w:jc w:val="left"/>
        <w:rPr>
          <w:rFonts w:cs="Times New Roman"/>
          <w:b/>
          <w:bCs/>
          <w:sz w:val="20"/>
          <w:szCs w:val="20"/>
        </w:rPr>
      </w:pPr>
      <w:r>
        <w:rPr>
          <w:b/>
          <w:bCs/>
          <w:sz w:val="20"/>
          <w:szCs w:val="20"/>
        </w:rPr>
        <w:t>Списък на участниците:</w:t>
      </w:r>
    </w:p>
    <w:tbl>
      <w:tblPr>
        <w:tblW w:w="8222" w:type="dxa"/>
        <w:tblInd w:w="250"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Look w:val="04A0" w:firstRow="1" w:lastRow="0" w:firstColumn="1" w:lastColumn="0" w:noHBand="0" w:noVBand="1"/>
      </w:tblPr>
      <w:tblGrid>
        <w:gridCol w:w="567"/>
        <w:gridCol w:w="814"/>
        <w:gridCol w:w="604"/>
        <w:gridCol w:w="1328"/>
        <w:gridCol w:w="798"/>
        <w:gridCol w:w="992"/>
        <w:gridCol w:w="1134"/>
        <w:gridCol w:w="992"/>
        <w:gridCol w:w="993"/>
      </w:tblGrid>
      <w:tr w:rsidR="00631C69" w:rsidRPr="00462D6D" w14:paraId="7E5C1E6A" w14:textId="77777777" w:rsidTr="2FA6B974">
        <w:trPr>
          <w:trHeight w:val="516"/>
        </w:trPr>
        <w:tc>
          <w:tcPr>
            <w:tcW w:w="567" w:type="dxa"/>
            <w:shd w:val="clear" w:color="auto" w:fill="D9D9D9" w:themeFill="background1" w:themeFillShade="D9"/>
            <w:vAlign w:val="center"/>
          </w:tcPr>
          <w:p w14:paraId="074671D8" w14:textId="77777777" w:rsidR="00631C69" w:rsidRPr="00462D6D" w:rsidRDefault="2FA6B974" w:rsidP="2FA6B974">
            <w:pPr>
              <w:spacing w:before="120" w:after="120"/>
              <w:jc w:val="center"/>
              <w:rPr>
                <w:rFonts w:ascii="Arial" w:hAnsi="Arial" w:cs="Arial"/>
                <w:sz w:val="14"/>
                <w:szCs w:val="14"/>
              </w:rPr>
            </w:pPr>
            <w:r>
              <w:rPr>
                <w:rFonts w:ascii="Arial" w:hAnsi="Arial"/>
                <w:b/>
                <w:bCs/>
                <w:sz w:val="14"/>
                <w:szCs w:val="14"/>
              </w:rPr>
              <w:t>Номер</w:t>
            </w:r>
          </w:p>
        </w:tc>
        <w:tc>
          <w:tcPr>
            <w:tcW w:w="814" w:type="dxa"/>
            <w:shd w:val="clear" w:color="auto" w:fill="D9D9D9" w:themeFill="background1" w:themeFillShade="D9"/>
            <w:vAlign w:val="center"/>
          </w:tcPr>
          <w:p w14:paraId="348A3067" w14:textId="77777777" w:rsidR="00631C69" w:rsidRPr="00462D6D" w:rsidRDefault="2FA6B974" w:rsidP="2FA6B974">
            <w:pPr>
              <w:spacing w:before="120" w:after="120"/>
              <w:jc w:val="center"/>
              <w:rPr>
                <w:rFonts w:ascii="Arial" w:hAnsi="Arial" w:cs="Arial"/>
                <w:sz w:val="14"/>
                <w:szCs w:val="14"/>
              </w:rPr>
            </w:pPr>
            <w:r>
              <w:rPr>
                <w:rFonts w:ascii="Arial" w:hAnsi="Arial"/>
                <w:b/>
                <w:bCs/>
                <w:color w:val="000000" w:themeColor="text1"/>
                <w:sz w:val="14"/>
                <w:szCs w:val="14"/>
              </w:rPr>
              <w:t>Роля</w:t>
            </w:r>
          </w:p>
        </w:tc>
        <w:tc>
          <w:tcPr>
            <w:tcW w:w="604" w:type="dxa"/>
            <w:shd w:val="clear" w:color="auto" w:fill="D9D9D9" w:themeFill="background1" w:themeFillShade="D9"/>
            <w:vAlign w:val="center"/>
          </w:tcPr>
          <w:p w14:paraId="346FBD74" w14:textId="77777777" w:rsidR="00631C69" w:rsidRPr="00462D6D" w:rsidRDefault="2FA6B974" w:rsidP="2FA6B974">
            <w:pPr>
              <w:spacing w:before="120" w:after="120"/>
              <w:jc w:val="center"/>
              <w:rPr>
                <w:rFonts w:ascii="Arial" w:eastAsia="Times New Roman" w:hAnsi="Arial" w:cs="Arial"/>
                <w:b/>
                <w:bCs/>
                <w:color w:val="000000" w:themeColor="text1"/>
                <w:sz w:val="14"/>
                <w:szCs w:val="14"/>
              </w:rPr>
            </w:pPr>
            <w:r>
              <w:rPr>
                <w:rFonts w:ascii="Arial" w:hAnsi="Arial"/>
                <w:b/>
                <w:bCs/>
                <w:color w:val="000000" w:themeColor="text1"/>
                <w:sz w:val="14"/>
                <w:szCs w:val="14"/>
              </w:rPr>
              <w:t>Съкратено наименование</w:t>
            </w:r>
          </w:p>
        </w:tc>
        <w:tc>
          <w:tcPr>
            <w:tcW w:w="1328" w:type="dxa"/>
            <w:shd w:val="clear" w:color="auto" w:fill="D9D9D9" w:themeFill="background1" w:themeFillShade="D9"/>
            <w:vAlign w:val="center"/>
          </w:tcPr>
          <w:p w14:paraId="3DC3E368" w14:textId="77777777" w:rsidR="00631C69" w:rsidRPr="00462D6D" w:rsidRDefault="2FA6B974" w:rsidP="2FA6B974">
            <w:pPr>
              <w:spacing w:before="120" w:after="120"/>
              <w:jc w:val="center"/>
              <w:rPr>
                <w:rFonts w:ascii="Arial" w:hAnsi="Arial" w:cs="Arial"/>
                <w:sz w:val="14"/>
                <w:szCs w:val="14"/>
              </w:rPr>
            </w:pPr>
            <w:r>
              <w:rPr>
                <w:rFonts w:ascii="Arial" w:hAnsi="Arial"/>
                <w:b/>
                <w:bCs/>
                <w:color w:val="000000" w:themeColor="text1"/>
                <w:sz w:val="14"/>
                <w:szCs w:val="14"/>
              </w:rPr>
              <w:t xml:space="preserve"> Официално наименование</w:t>
            </w:r>
          </w:p>
        </w:tc>
        <w:tc>
          <w:tcPr>
            <w:tcW w:w="798" w:type="dxa"/>
            <w:shd w:val="clear" w:color="auto" w:fill="D9D9D9" w:themeFill="background1" w:themeFillShade="D9"/>
            <w:vAlign w:val="center"/>
          </w:tcPr>
          <w:p w14:paraId="1EF7E593" w14:textId="77777777" w:rsidR="00631C69" w:rsidRPr="00462D6D" w:rsidRDefault="2FA6B974" w:rsidP="2FA6B974">
            <w:pPr>
              <w:spacing w:before="120" w:after="120"/>
              <w:jc w:val="center"/>
              <w:rPr>
                <w:rFonts w:ascii="Arial" w:hAnsi="Arial" w:cs="Arial"/>
                <w:sz w:val="14"/>
                <w:szCs w:val="14"/>
              </w:rPr>
            </w:pPr>
            <w:r>
              <w:rPr>
                <w:rFonts w:ascii="Arial" w:hAnsi="Arial"/>
                <w:b/>
                <w:bCs/>
                <w:color w:val="000000" w:themeColor="text1"/>
                <w:sz w:val="14"/>
                <w:szCs w:val="14"/>
              </w:rPr>
              <w:t>Държава</w:t>
            </w:r>
          </w:p>
        </w:tc>
        <w:tc>
          <w:tcPr>
            <w:tcW w:w="992" w:type="dxa"/>
            <w:shd w:val="clear" w:color="auto" w:fill="D9D9D9" w:themeFill="background1" w:themeFillShade="D9"/>
            <w:vAlign w:val="center"/>
          </w:tcPr>
          <w:p w14:paraId="272EF53F" w14:textId="77777777" w:rsidR="00631C69" w:rsidRPr="00462D6D" w:rsidRDefault="2FA6B974" w:rsidP="2FA6B974">
            <w:pPr>
              <w:spacing w:before="120" w:after="120"/>
              <w:jc w:val="center"/>
              <w:rPr>
                <w:rFonts w:ascii="Arial" w:eastAsia="Times New Roman" w:hAnsi="Arial" w:cs="Arial"/>
                <w:b/>
                <w:bCs/>
                <w:color w:val="000000" w:themeColor="text1"/>
                <w:sz w:val="14"/>
                <w:szCs w:val="14"/>
              </w:rPr>
            </w:pPr>
            <w:r>
              <w:rPr>
                <w:rFonts w:ascii="Arial" w:hAnsi="Arial"/>
                <w:b/>
                <w:bCs/>
                <w:color w:val="000000" w:themeColor="text1"/>
                <w:sz w:val="14"/>
                <w:szCs w:val="14"/>
              </w:rPr>
              <w:t>Общо допустими разходи</w:t>
            </w:r>
          </w:p>
          <w:p w14:paraId="4F83383E" w14:textId="77777777" w:rsidR="00631C69" w:rsidRPr="00462D6D" w:rsidRDefault="2FA6B974" w:rsidP="2FA6B974">
            <w:pPr>
              <w:spacing w:before="120" w:after="120"/>
              <w:jc w:val="center"/>
              <w:rPr>
                <w:rFonts w:ascii="Arial" w:eastAsia="Times New Roman" w:hAnsi="Arial" w:cs="Arial"/>
                <w:b/>
                <w:bCs/>
                <w:strike/>
                <w:color w:val="000000" w:themeColor="text1"/>
                <w:sz w:val="12"/>
                <w:szCs w:val="12"/>
              </w:rPr>
            </w:pPr>
            <w:r>
              <w:rPr>
                <w:rFonts w:ascii="Arial" w:hAnsi="Arial"/>
                <w:b/>
                <w:bCs/>
                <w:color w:val="808080" w:themeColor="text1" w:themeTint="7F"/>
                <w:sz w:val="12"/>
                <w:szCs w:val="12"/>
              </w:rPr>
              <w:t xml:space="preserve">(БЕН и СС) </w:t>
            </w:r>
          </w:p>
        </w:tc>
        <w:tc>
          <w:tcPr>
            <w:tcW w:w="1134" w:type="dxa"/>
            <w:shd w:val="clear" w:color="auto" w:fill="D9D9D9" w:themeFill="background1" w:themeFillShade="D9"/>
            <w:vAlign w:val="center"/>
          </w:tcPr>
          <w:p w14:paraId="5515C857" w14:textId="77777777" w:rsidR="00631C69" w:rsidRPr="00462D6D" w:rsidRDefault="2FA6B974" w:rsidP="2FA6B974">
            <w:pPr>
              <w:spacing w:before="120" w:after="120"/>
              <w:jc w:val="center"/>
              <w:rPr>
                <w:rFonts w:ascii="Arial" w:hAnsi="Arial" w:cs="Arial"/>
                <w:sz w:val="14"/>
                <w:szCs w:val="14"/>
              </w:rPr>
            </w:pPr>
            <w:r>
              <w:rPr>
                <w:rFonts w:ascii="Arial" w:hAnsi="Arial"/>
                <w:b/>
                <w:bCs/>
                <w:color w:val="000000" w:themeColor="text1"/>
                <w:sz w:val="14"/>
                <w:szCs w:val="14"/>
              </w:rPr>
              <w:t>Максимален размер на безвъзмездните средства</w:t>
            </w:r>
          </w:p>
        </w:tc>
        <w:tc>
          <w:tcPr>
            <w:tcW w:w="992" w:type="dxa"/>
            <w:shd w:val="clear" w:color="auto" w:fill="D9D9D9" w:themeFill="background1" w:themeFillShade="D9"/>
            <w:vAlign w:val="center"/>
          </w:tcPr>
          <w:p w14:paraId="3FB39197" w14:textId="77777777" w:rsidR="00631C69" w:rsidRPr="00462D6D" w:rsidRDefault="2FA6B974" w:rsidP="2FA6B974">
            <w:pPr>
              <w:spacing w:before="120" w:after="120"/>
              <w:jc w:val="center"/>
              <w:rPr>
                <w:rFonts w:ascii="Arial" w:hAnsi="Arial" w:cs="Arial"/>
                <w:color w:val="808080" w:themeColor="text1" w:themeTint="7F"/>
                <w:sz w:val="14"/>
                <w:szCs w:val="14"/>
              </w:rPr>
            </w:pPr>
            <w:r>
              <w:rPr>
                <w:rFonts w:ascii="Arial" w:hAnsi="Arial"/>
                <w:b/>
                <w:bCs/>
                <w:color w:val="808080" w:themeColor="text1" w:themeTint="7F"/>
                <w:sz w:val="14"/>
                <w:szCs w:val="14"/>
              </w:rPr>
              <w:t>Дата на влизане</w:t>
            </w:r>
          </w:p>
        </w:tc>
        <w:tc>
          <w:tcPr>
            <w:tcW w:w="993" w:type="dxa"/>
            <w:shd w:val="clear" w:color="auto" w:fill="D9D9D9" w:themeFill="background1" w:themeFillShade="D9"/>
            <w:vAlign w:val="center"/>
          </w:tcPr>
          <w:p w14:paraId="66E51B7B" w14:textId="77777777" w:rsidR="00631C69" w:rsidRPr="00462D6D" w:rsidRDefault="2FA6B974" w:rsidP="2FA6B974">
            <w:pPr>
              <w:spacing w:before="120" w:after="120"/>
              <w:jc w:val="center"/>
              <w:rPr>
                <w:rFonts w:ascii="Arial" w:hAnsi="Arial" w:cs="Arial"/>
                <w:color w:val="808080" w:themeColor="text1" w:themeTint="7F"/>
                <w:sz w:val="14"/>
                <w:szCs w:val="14"/>
              </w:rPr>
            </w:pPr>
            <w:r>
              <w:rPr>
                <w:rFonts w:ascii="Arial" w:hAnsi="Arial"/>
                <w:b/>
                <w:bCs/>
                <w:color w:val="808080" w:themeColor="text1" w:themeTint="7F"/>
                <w:sz w:val="14"/>
                <w:szCs w:val="14"/>
              </w:rPr>
              <w:t>Датата на излизане</w:t>
            </w:r>
          </w:p>
        </w:tc>
      </w:tr>
      <w:tr w:rsidR="00631C69" w:rsidRPr="00462D6D" w14:paraId="3D949DDC" w14:textId="77777777" w:rsidTr="2FA6B974">
        <w:trPr>
          <w:trHeight w:val="423"/>
        </w:trPr>
        <w:tc>
          <w:tcPr>
            <w:tcW w:w="567" w:type="dxa"/>
          </w:tcPr>
          <w:p w14:paraId="2F07B574" w14:textId="77777777" w:rsidR="00631C69" w:rsidRPr="00462D6D" w:rsidRDefault="2FA6B974" w:rsidP="2FA6B974">
            <w:pPr>
              <w:spacing w:before="120" w:after="120"/>
              <w:jc w:val="center"/>
              <w:rPr>
                <w:rFonts w:ascii="Arial" w:hAnsi="Arial" w:cs="Arial"/>
                <w:sz w:val="14"/>
                <w:szCs w:val="14"/>
              </w:rPr>
            </w:pPr>
            <w:r>
              <w:rPr>
                <w:rFonts w:ascii="Arial" w:hAnsi="Arial"/>
                <w:sz w:val="14"/>
                <w:szCs w:val="14"/>
              </w:rPr>
              <w:t>1</w:t>
            </w:r>
          </w:p>
        </w:tc>
        <w:tc>
          <w:tcPr>
            <w:tcW w:w="814" w:type="dxa"/>
          </w:tcPr>
          <w:p w14:paraId="55C9012D" w14:textId="77777777" w:rsidR="00631C69" w:rsidRPr="00462D6D" w:rsidRDefault="2FA6B974" w:rsidP="2FA6B974">
            <w:pPr>
              <w:spacing w:before="120" w:after="120"/>
              <w:rPr>
                <w:rFonts w:ascii="Arial" w:hAnsi="Arial" w:cs="Arial"/>
                <w:sz w:val="14"/>
                <w:szCs w:val="14"/>
              </w:rPr>
            </w:pPr>
            <w:r>
              <w:rPr>
                <w:rFonts w:ascii="Arial" w:hAnsi="Arial"/>
                <w:sz w:val="14"/>
                <w:szCs w:val="14"/>
              </w:rPr>
              <w:t>КООР</w:t>
            </w:r>
          </w:p>
        </w:tc>
        <w:tc>
          <w:tcPr>
            <w:tcW w:w="604" w:type="dxa"/>
          </w:tcPr>
          <w:p w14:paraId="1B3EF39E" w14:textId="77777777" w:rsidR="00631C69" w:rsidRPr="00462D6D" w:rsidRDefault="00631C69" w:rsidP="00B217B2">
            <w:pPr>
              <w:spacing w:before="120" w:after="120"/>
              <w:rPr>
                <w:rFonts w:ascii="Arial" w:hAnsi="Arial" w:cs="Arial"/>
                <w:sz w:val="14"/>
                <w:szCs w:val="14"/>
              </w:rPr>
            </w:pPr>
          </w:p>
        </w:tc>
        <w:tc>
          <w:tcPr>
            <w:tcW w:w="1328" w:type="dxa"/>
          </w:tcPr>
          <w:p w14:paraId="5914A6D3" w14:textId="77777777" w:rsidR="00631C69" w:rsidRPr="00462D6D" w:rsidRDefault="00631C69" w:rsidP="00B217B2">
            <w:pPr>
              <w:spacing w:before="120" w:after="120"/>
              <w:rPr>
                <w:rFonts w:ascii="Arial" w:hAnsi="Arial" w:cs="Arial"/>
                <w:sz w:val="14"/>
                <w:szCs w:val="14"/>
              </w:rPr>
            </w:pPr>
          </w:p>
        </w:tc>
        <w:tc>
          <w:tcPr>
            <w:tcW w:w="798" w:type="dxa"/>
          </w:tcPr>
          <w:p w14:paraId="0850CFDC" w14:textId="77777777" w:rsidR="00631C69" w:rsidRPr="00462D6D" w:rsidRDefault="2FA6B974" w:rsidP="2FA6B974">
            <w:pPr>
              <w:spacing w:before="120" w:after="120"/>
              <w:jc w:val="center"/>
              <w:rPr>
                <w:rFonts w:ascii="Arial" w:hAnsi="Arial" w:cs="Arial"/>
                <w:sz w:val="14"/>
                <w:szCs w:val="14"/>
              </w:rPr>
            </w:pPr>
            <w:r>
              <w:rPr>
                <w:rFonts w:ascii="Arial" w:hAnsi="Arial"/>
                <w:sz w:val="14"/>
                <w:szCs w:val="14"/>
              </w:rPr>
              <w:t>[</w:t>
            </w:r>
            <w:r>
              <w:rPr>
                <w:rFonts w:ascii="Arial" w:hAnsi="Arial"/>
                <w:sz w:val="14"/>
                <w:szCs w:val="14"/>
                <w:highlight w:val="lightGray"/>
              </w:rPr>
              <w:t>държава</w:t>
            </w:r>
            <w:r>
              <w:rPr>
                <w:rFonts w:ascii="Arial" w:hAnsi="Arial"/>
                <w:sz w:val="14"/>
                <w:szCs w:val="14"/>
              </w:rPr>
              <w:t>]</w:t>
            </w:r>
          </w:p>
        </w:tc>
        <w:tc>
          <w:tcPr>
            <w:tcW w:w="992" w:type="dxa"/>
            <w:shd w:val="clear" w:color="auto" w:fill="auto"/>
          </w:tcPr>
          <w:p w14:paraId="1F42F148" w14:textId="77777777" w:rsidR="00631C69" w:rsidRPr="00462D6D" w:rsidRDefault="2FA6B974" w:rsidP="2FA6B974">
            <w:pPr>
              <w:spacing w:before="120" w:after="120"/>
              <w:jc w:val="right"/>
              <w:rPr>
                <w:rFonts w:ascii="Arial" w:hAnsi="Arial" w:cs="Arial"/>
                <w:sz w:val="14"/>
                <w:szCs w:val="14"/>
              </w:rPr>
            </w:pPr>
            <w:r>
              <w:rPr>
                <w:rFonts w:ascii="Arial" w:hAnsi="Arial"/>
                <w:sz w:val="14"/>
                <w:szCs w:val="14"/>
              </w:rPr>
              <w:t>[</w:t>
            </w:r>
            <w:r>
              <w:rPr>
                <w:rFonts w:ascii="Arial" w:hAnsi="Arial"/>
                <w:sz w:val="14"/>
                <w:szCs w:val="14"/>
                <w:highlight w:val="lightGray"/>
              </w:rPr>
              <w:t>сума</w:t>
            </w:r>
            <w:r>
              <w:rPr>
                <w:rFonts w:ascii="Arial" w:hAnsi="Arial"/>
                <w:sz w:val="14"/>
                <w:szCs w:val="14"/>
              </w:rPr>
              <w:t>]</w:t>
            </w:r>
          </w:p>
        </w:tc>
        <w:tc>
          <w:tcPr>
            <w:tcW w:w="1134" w:type="dxa"/>
            <w:shd w:val="clear" w:color="auto" w:fill="auto"/>
          </w:tcPr>
          <w:p w14:paraId="38F0B568" w14:textId="77777777" w:rsidR="00631C69" w:rsidRPr="00462D6D" w:rsidRDefault="2FA6B974" w:rsidP="2FA6B974">
            <w:pPr>
              <w:spacing w:before="120" w:after="120"/>
              <w:jc w:val="right"/>
              <w:rPr>
                <w:rFonts w:ascii="Arial" w:hAnsi="Arial" w:cs="Arial"/>
                <w:sz w:val="14"/>
                <w:szCs w:val="14"/>
              </w:rPr>
            </w:pPr>
            <w:r>
              <w:rPr>
                <w:rFonts w:ascii="Arial" w:hAnsi="Arial"/>
                <w:sz w:val="14"/>
                <w:szCs w:val="14"/>
              </w:rPr>
              <w:t>[</w:t>
            </w:r>
            <w:r>
              <w:rPr>
                <w:rFonts w:ascii="Arial" w:hAnsi="Arial"/>
                <w:sz w:val="14"/>
                <w:szCs w:val="14"/>
                <w:highlight w:val="lightGray"/>
              </w:rPr>
              <w:t>сума</w:t>
            </w:r>
            <w:r>
              <w:rPr>
                <w:rFonts w:ascii="Arial" w:hAnsi="Arial"/>
                <w:sz w:val="14"/>
                <w:szCs w:val="14"/>
              </w:rPr>
              <w:t>]</w:t>
            </w:r>
          </w:p>
        </w:tc>
        <w:tc>
          <w:tcPr>
            <w:tcW w:w="992" w:type="dxa"/>
          </w:tcPr>
          <w:p w14:paraId="056C36B2" w14:textId="77777777" w:rsidR="00631C69" w:rsidRPr="00462D6D" w:rsidRDefault="00631C69" w:rsidP="00B217B2">
            <w:pPr>
              <w:spacing w:before="120" w:after="120"/>
              <w:jc w:val="center"/>
              <w:rPr>
                <w:rFonts w:cs="Times New Roman"/>
                <w:szCs w:val="24"/>
              </w:rPr>
            </w:pPr>
            <w:r>
              <w:rPr>
                <w:rFonts w:ascii="Arial" w:hAnsi="Arial"/>
                <w:sz w:val="14"/>
                <w:szCs w:val="14"/>
              </w:rPr>
              <w:t>[</w:t>
            </w:r>
            <w:r>
              <w:rPr>
                <w:rFonts w:ascii="Arial" w:hAnsi="Arial"/>
                <w:sz w:val="14"/>
                <w:szCs w:val="14"/>
                <w:highlight w:val="lightGray"/>
              </w:rPr>
              <w:t>дата</w:t>
            </w:r>
            <w:r>
              <w:rPr>
                <w:rFonts w:ascii="Arial" w:hAnsi="Arial"/>
                <w:sz w:val="14"/>
                <w:szCs w:val="14"/>
              </w:rPr>
              <w:t>]</w:t>
            </w:r>
          </w:p>
        </w:tc>
        <w:tc>
          <w:tcPr>
            <w:tcW w:w="993" w:type="dxa"/>
          </w:tcPr>
          <w:p w14:paraId="237AEAF6" w14:textId="77777777" w:rsidR="00631C69" w:rsidRPr="00462D6D" w:rsidRDefault="00631C69" w:rsidP="00B217B2">
            <w:pPr>
              <w:spacing w:before="120" w:after="120"/>
              <w:jc w:val="center"/>
              <w:rPr>
                <w:rFonts w:ascii="Arial" w:hAnsi="Arial" w:cs="Arial"/>
                <w:sz w:val="14"/>
                <w:szCs w:val="14"/>
              </w:rPr>
            </w:pPr>
          </w:p>
        </w:tc>
      </w:tr>
      <w:tr w:rsidR="00631C69" w:rsidRPr="00462D6D" w14:paraId="6255499D" w14:textId="77777777" w:rsidTr="2FA6B974">
        <w:trPr>
          <w:trHeight w:val="423"/>
        </w:trPr>
        <w:tc>
          <w:tcPr>
            <w:tcW w:w="567" w:type="dxa"/>
          </w:tcPr>
          <w:p w14:paraId="0978C722" w14:textId="77777777" w:rsidR="00631C69" w:rsidRPr="00462D6D" w:rsidRDefault="2FA6B974" w:rsidP="2FA6B974">
            <w:pPr>
              <w:spacing w:before="120" w:after="120"/>
              <w:jc w:val="center"/>
              <w:rPr>
                <w:rFonts w:ascii="Arial" w:hAnsi="Arial" w:cs="Arial"/>
                <w:sz w:val="14"/>
                <w:szCs w:val="14"/>
              </w:rPr>
            </w:pPr>
            <w:r>
              <w:rPr>
                <w:rFonts w:ascii="Arial" w:hAnsi="Arial"/>
                <w:sz w:val="14"/>
                <w:szCs w:val="14"/>
              </w:rPr>
              <w:lastRenderedPageBreak/>
              <w:t>2</w:t>
            </w:r>
          </w:p>
        </w:tc>
        <w:tc>
          <w:tcPr>
            <w:tcW w:w="814" w:type="dxa"/>
          </w:tcPr>
          <w:p w14:paraId="797C1E64" w14:textId="77777777" w:rsidR="00631C69" w:rsidRPr="00462D6D" w:rsidRDefault="2FA6B974" w:rsidP="2FA6B974">
            <w:pPr>
              <w:spacing w:before="120" w:after="120"/>
              <w:rPr>
                <w:rFonts w:ascii="Arial" w:hAnsi="Arial" w:cs="Arial"/>
                <w:sz w:val="14"/>
                <w:szCs w:val="14"/>
              </w:rPr>
            </w:pPr>
            <w:r>
              <w:rPr>
                <w:rFonts w:ascii="Arial" w:hAnsi="Arial"/>
                <w:sz w:val="14"/>
                <w:szCs w:val="14"/>
              </w:rPr>
              <w:t>БЕН</w:t>
            </w:r>
          </w:p>
        </w:tc>
        <w:tc>
          <w:tcPr>
            <w:tcW w:w="604" w:type="dxa"/>
          </w:tcPr>
          <w:p w14:paraId="29A6E7A1" w14:textId="77777777" w:rsidR="00631C69" w:rsidRPr="00462D6D" w:rsidRDefault="00631C69" w:rsidP="00B217B2">
            <w:pPr>
              <w:spacing w:before="120" w:after="120"/>
              <w:rPr>
                <w:rFonts w:ascii="Arial" w:hAnsi="Arial" w:cs="Arial"/>
                <w:sz w:val="14"/>
                <w:szCs w:val="14"/>
              </w:rPr>
            </w:pPr>
          </w:p>
        </w:tc>
        <w:tc>
          <w:tcPr>
            <w:tcW w:w="1328" w:type="dxa"/>
          </w:tcPr>
          <w:p w14:paraId="0310C45D" w14:textId="77777777" w:rsidR="00631C69" w:rsidRPr="00462D6D" w:rsidRDefault="00631C69" w:rsidP="00B217B2">
            <w:pPr>
              <w:spacing w:before="120" w:after="120"/>
              <w:rPr>
                <w:rFonts w:ascii="Arial" w:hAnsi="Arial" w:cs="Arial"/>
                <w:sz w:val="14"/>
                <w:szCs w:val="14"/>
              </w:rPr>
            </w:pPr>
          </w:p>
        </w:tc>
        <w:tc>
          <w:tcPr>
            <w:tcW w:w="798" w:type="dxa"/>
          </w:tcPr>
          <w:p w14:paraId="3549D218" w14:textId="77777777" w:rsidR="00631C69" w:rsidRPr="00462D6D" w:rsidRDefault="2FA6B974" w:rsidP="2FA6B974">
            <w:pPr>
              <w:spacing w:before="120" w:after="120"/>
              <w:jc w:val="center"/>
              <w:rPr>
                <w:rFonts w:ascii="Arial" w:hAnsi="Arial" w:cs="Arial"/>
                <w:sz w:val="14"/>
                <w:szCs w:val="14"/>
              </w:rPr>
            </w:pPr>
            <w:r>
              <w:rPr>
                <w:rFonts w:ascii="Arial" w:hAnsi="Arial"/>
                <w:sz w:val="14"/>
                <w:szCs w:val="14"/>
              </w:rPr>
              <w:t>[</w:t>
            </w:r>
            <w:r>
              <w:rPr>
                <w:rFonts w:ascii="Arial" w:hAnsi="Arial"/>
                <w:sz w:val="14"/>
                <w:szCs w:val="14"/>
                <w:highlight w:val="lightGray"/>
              </w:rPr>
              <w:t>държава</w:t>
            </w:r>
            <w:r>
              <w:rPr>
                <w:rFonts w:ascii="Arial" w:hAnsi="Arial"/>
                <w:sz w:val="14"/>
                <w:szCs w:val="14"/>
              </w:rPr>
              <w:t>]</w:t>
            </w:r>
          </w:p>
        </w:tc>
        <w:tc>
          <w:tcPr>
            <w:tcW w:w="992" w:type="dxa"/>
            <w:shd w:val="clear" w:color="auto" w:fill="auto"/>
          </w:tcPr>
          <w:p w14:paraId="6C0D9FEF" w14:textId="77777777" w:rsidR="00631C69" w:rsidRPr="00462D6D" w:rsidRDefault="2FA6B974" w:rsidP="2FA6B974">
            <w:pPr>
              <w:spacing w:before="120" w:after="120"/>
              <w:jc w:val="right"/>
              <w:rPr>
                <w:rFonts w:ascii="Arial" w:hAnsi="Arial" w:cs="Arial"/>
                <w:sz w:val="14"/>
                <w:szCs w:val="14"/>
              </w:rPr>
            </w:pPr>
            <w:r>
              <w:rPr>
                <w:rFonts w:ascii="Arial" w:hAnsi="Arial"/>
                <w:sz w:val="14"/>
                <w:szCs w:val="14"/>
              </w:rPr>
              <w:t>[</w:t>
            </w:r>
            <w:r>
              <w:rPr>
                <w:rFonts w:ascii="Arial" w:hAnsi="Arial"/>
                <w:sz w:val="14"/>
                <w:szCs w:val="14"/>
                <w:highlight w:val="lightGray"/>
              </w:rPr>
              <w:t>сума</w:t>
            </w:r>
            <w:r>
              <w:rPr>
                <w:rFonts w:ascii="Arial" w:hAnsi="Arial"/>
                <w:sz w:val="14"/>
                <w:szCs w:val="14"/>
              </w:rPr>
              <w:t>]</w:t>
            </w:r>
          </w:p>
        </w:tc>
        <w:tc>
          <w:tcPr>
            <w:tcW w:w="1134" w:type="dxa"/>
            <w:shd w:val="clear" w:color="auto" w:fill="auto"/>
          </w:tcPr>
          <w:p w14:paraId="40E4A24A" w14:textId="77777777" w:rsidR="00631C69" w:rsidRPr="00462D6D" w:rsidRDefault="2FA6B974" w:rsidP="2FA6B974">
            <w:pPr>
              <w:spacing w:before="120" w:after="120"/>
              <w:jc w:val="right"/>
              <w:rPr>
                <w:rFonts w:ascii="Arial" w:hAnsi="Arial" w:cs="Arial"/>
                <w:sz w:val="14"/>
                <w:szCs w:val="14"/>
              </w:rPr>
            </w:pPr>
            <w:r>
              <w:rPr>
                <w:rFonts w:ascii="Arial" w:hAnsi="Arial"/>
                <w:sz w:val="14"/>
                <w:szCs w:val="14"/>
              </w:rPr>
              <w:t>[</w:t>
            </w:r>
            <w:r>
              <w:rPr>
                <w:rFonts w:ascii="Arial" w:hAnsi="Arial"/>
                <w:sz w:val="14"/>
                <w:szCs w:val="14"/>
                <w:highlight w:val="lightGray"/>
              </w:rPr>
              <w:t>сума</w:t>
            </w:r>
            <w:r>
              <w:rPr>
                <w:rFonts w:ascii="Arial" w:hAnsi="Arial"/>
                <w:sz w:val="14"/>
                <w:szCs w:val="14"/>
              </w:rPr>
              <w:t>]</w:t>
            </w:r>
          </w:p>
        </w:tc>
        <w:tc>
          <w:tcPr>
            <w:tcW w:w="992" w:type="dxa"/>
          </w:tcPr>
          <w:p w14:paraId="1E32D13E" w14:textId="77777777" w:rsidR="00631C69" w:rsidRPr="00462D6D" w:rsidRDefault="00631C69" w:rsidP="00B217B2">
            <w:pPr>
              <w:spacing w:before="120" w:after="120"/>
              <w:jc w:val="center"/>
              <w:rPr>
                <w:rFonts w:ascii="Arial" w:hAnsi="Arial" w:cs="Arial"/>
                <w:sz w:val="14"/>
                <w:szCs w:val="14"/>
              </w:rPr>
            </w:pPr>
          </w:p>
        </w:tc>
        <w:tc>
          <w:tcPr>
            <w:tcW w:w="993" w:type="dxa"/>
          </w:tcPr>
          <w:p w14:paraId="1E9201A1" w14:textId="77777777" w:rsidR="00631C69" w:rsidRPr="00462D6D" w:rsidRDefault="00631C69" w:rsidP="00B217B2">
            <w:pPr>
              <w:spacing w:before="120" w:after="120"/>
              <w:jc w:val="center"/>
              <w:rPr>
                <w:rFonts w:ascii="Arial" w:hAnsi="Arial" w:cs="Arial"/>
                <w:sz w:val="14"/>
                <w:szCs w:val="14"/>
              </w:rPr>
            </w:pPr>
          </w:p>
        </w:tc>
      </w:tr>
      <w:tr w:rsidR="00631C69" w:rsidRPr="00462D6D" w14:paraId="79C37C63" w14:textId="77777777" w:rsidTr="2FA6B974">
        <w:trPr>
          <w:trHeight w:val="462"/>
        </w:trPr>
        <w:tc>
          <w:tcPr>
            <w:tcW w:w="567" w:type="dxa"/>
          </w:tcPr>
          <w:p w14:paraId="7CF5FADA" w14:textId="77777777" w:rsidR="00631C69" w:rsidRPr="00462D6D" w:rsidRDefault="2FA6B974" w:rsidP="2FA6B974">
            <w:pPr>
              <w:spacing w:before="120" w:after="120"/>
              <w:jc w:val="center"/>
              <w:rPr>
                <w:rFonts w:ascii="Arial" w:hAnsi="Arial" w:cs="Arial"/>
                <w:sz w:val="14"/>
                <w:szCs w:val="14"/>
              </w:rPr>
            </w:pPr>
            <w:r>
              <w:rPr>
                <w:rFonts w:ascii="Arial" w:hAnsi="Arial"/>
                <w:sz w:val="14"/>
                <w:szCs w:val="14"/>
              </w:rPr>
              <w:t>3</w:t>
            </w:r>
          </w:p>
        </w:tc>
        <w:tc>
          <w:tcPr>
            <w:tcW w:w="814" w:type="dxa"/>
          </w:tcPr>
          <w:p w14:paraId="03A56FD7" w14:textId="77777777" w:rsidR="00631C69" w:rsidRPr="00462D6D" w:rsidRDefault="2FA6B974" w:rsidP="2FA6B974">
            <w:pPr>
              <w:spacing w:before="120" w:after="120"/>
              <w:rPr>
                <w:rFonts w:ascii="Arial" w:hAnsi="Arial" w:cs="Arial"/>
                <w:i/>
                <w:iCs/>
                <w:sz w:val="14"/>
                <w:szCs w:val="14"/>
              </w:rPr>
            </w:pPr>
            <w:r>
              <w:rPr>
                <w:rFonts w:ascii="Arial" w:hAnsi="Arial"/>
                <w:sz w:val="14"/>
                <w:szCs w:val="14"/>
              </w:rPr>
              <w:t>БЕН</w:t>
            </w:r>
          </w:p>
        </w:tc>
        <w:tc>
          <w:tcPr>
            <w:tcW w:w="604" w:type="dxa"/>
          </w:tcPr>
          <w:p w14:paraId="7CC03B48" w14:textId="77777777" w:rsidR="00631C69" w:rsidRPr="00462D6D" w:rsidRDefault="00631C69" w:rsidP="00B217B2">
            <w:pPr>
              <w:spacing w:before="120" w:after="120"/>
              <w:rPr>
                <w:rFonts w:ascii="Arial" w:hAnsi="Arial" w:cs="Arial"/>
                <w:sz w:val="14"/>
                <w:szCs w:val="14"/>
              </w:rPr>
            </w:pPr>
          </w:p>
        </w:tc>
        <w:tc>
          <w:tcPr>
            <w:tcW w:w="1328" w:type="dxa"/>
          </w:tcPr>
          <w:p w14:paraId="75AF317D" w14:textId="77777777" w:rsidR="00631C69" w:rsidRPr="00462D6D" w:rsidRDefault="00631C69" w:rsidP="00B217B2">
            <w:pPr>
              <w:spacing w:before="120" w:after="120"/>
              <w:rPr>
                <w:rFonts w:ascii="Arial" w:hAnsi="Arial" w:cs="Arial"/>
                <w:sz w:val="14"/>
                <w:szCs w:val="14"/>
              </w:rPr>
            </w:pPr>
          </w:p>
        </w:tc>
        <w:tc>
          <w:tcPr>
            <w:tcW w:w="798" w:type="dxa"/>
          </w:tcPr>
          <w:p w14:paraId="5D0A7DD2" w14:textId="77777777" w:rsidR="00631C69" w:rsidRPr="00462D6D" w:rsidRDefault="2FA6B974" w:rsidP="2FA6B974">
            <w:pPr>
              <w:spacing w:before="120" w:after="120"/>
              <w:jc w:val="center"/>
              <w:rPr>
                <w:rFonts w:ascii="Arial" w:hAnsi="Arial" w:cs="Arial"/>
                <w:sz w:val="14"/>
                <w:szCs w:val="14"/>
              </w:rPr>
            </w:pPr>
            <w:r>
              <w:rPr>
                <w:rFonts w:ascii="Arial" w:hAnsi="Arial"/>
                <w:sz w:val="14"/>
                <w:szCs w:val="14"/>
              </w:rPr>
              <w:t>[</w:t>
            </w:r>
            <w:r>
              <w:rPr>
                <w:rFonts w:ascii="Arial" w:hAnsi="Arial"/>
                <w:sz w:val="14"/>
                <w:szCs w:val="14"/>
                <w:highlight w:val="lightGray"/>
              </w:rPr>
              <w:t>държава</w:t>
            </w:r>
            <w:r>
              <w:rPr>
                <w:rFonts w:ascii="Arial" w:hAnsi="Arial"/>
                <w:sz w:val="14"/>
                <w:szCs w:val="14"/>
              </w:rPr>
              <w:t>]</w:t>
            </w:r>
          </w:p>
        </w:tc>
        <w:tc>
          <w:tcPr>
            <w:tcW w:w="992" w:type="dxa"/>
            <w:shd w:val="clear" w:color="auto" w:fill="auto"/>
          </w:tcPr>
          <w:p w14:paraId="7689D367" w14:textId="77777777" w:rsidR="00631C69" w:rsidRPr="00462D6D" w:rsidRDefault="2FA6B974" w:rsidP="2FA6B974">
            <w:pPr>
              <w:spacing w:before="120" w:after="120"/>
              <w:jc w:val="right"/>
              <w:rPr>
                <w:rFonts w:ascii="Arial" w:hAnsi="Arial" w:cs="Arial"/>
                <w:sz w:val="14"/>
                <w:szCs w:val="14"/>
              </w:rPr>
            </w:pPr>
            <w:r>
              <w:rPr>
                <w:rFonts w:ascii="Arial" w:hAnsi="Arial"/>
                <w:sz w:val="14"/>
                <w:szCs w:val="14"/>
              </w:rPr>
              <w:t>[</w:t>
            </w:r>
            <w:r>
              <w:rPr>
                <w:rFonts w:ascii="Arial" w:hAnsi="Arial"/>
                <w:sz w:val="14"/>
                <w:szCs w:val="14"/>
                <w:highlight w:val="lightGray"/>
              </w:rPr>
              <w:t>сума</w:t>
            </w:r>
            <w:r>
              <w:rPr>
                <w:rFonts w:ascii="Arial" w:hAnsi="Arial"/>
                <w:sz w:val="14"/>
                <w:szCs w:val="14"/>
              </w:rPr>
              <w:t>]</w:t>
            </w:r>
          </w:p>
        </w:tc>
        <w:tc>
          <w:tcPr>
            <w:tcW w:w="1134" w:type="dxa"/>
            <w:shd w:val="clear" w:color="auto" w:fill="auto"/>
          </w:tcPr>
          <w:p w14:paraId="6ADCDB82" w14:textId="7BAA27C1" w:rsidR="00631C69" w:rsidRPr="00462D6D" w:rsidRDefault="2FA6B974" w:rsidP="2FA6B974">
            <w:pPr>
              <w:spacing w:before="120" w:after="120"/>
              <w:jc w:val="right"/>
              <w:rPr>
                <w:rFonts w:ascii="Arial" w:hAnsi="Arial" w:cs="Arial"/>
                <w:sz w:val="14"/>
                <w:szCs w:val="14"/>
              </w:rPr>
            </w:pPr>
            <w:r>
              <w:rPr>
                <w:rFonts w:ascii="Arial" w:hAnsi="Arial"/>
                <w:sz w:val="14"/>
                <w:szCs w:val="14"/>
              </w:rPr>
              <w:t>[</w:t>
            </w:r>
            <w:r>
              <w:rPr>
                <w:rFonts w:ascii="Arial" w:hAnsi="Arial"/>
                <w:sz w:val="14"/>
                <w:szCs w:val="14"/>
                <w:highlight w:val="lightGray"/>
              </w:rPr>
              <w:t>сума</w:t>
            </w:r>
            <w:r>
              <w:rPr>
                <w:rFonts w:ascii="Arial" w:hAnsi="Arial"/>
                <w:sz w:val="14"/>
                <w:szCs w:val="14"/>
              </w:rPr>
              <w:t>]</w:t>
            </w:r>
          </w:p>
        </w:tc>
        <w:tc>
          <w:tcPr>
            <w:tcW w:w="992" w:type="dxa"/>
          </w:tcPr>
          <w:p w14:paraId="35DDECAF" w14:textId="77777777" w:rsidR="00631C69" w:rsidRPr="00462D6D" w:rsidRDefault="00631C69" w:rsidP="00B217B2">
            <w:pPr>
              <w:spacing w:before="120" w:after="120"/>
              <w:jc w:val="center"/>
              <w:rPr>
                <w:rFonts w:ascii="Arial" w:hAnsi="Arial" w:cs="Arial"/>
                <w:sz w:val="14"/>
                <w:szCs w:val="14"/>
              </w:rPr>
            </w:pPr>
          </w:p>
        </w:tc>
        <w:tc>
          <w:tcPr>
            <w:tcW w:w="993" w:type="dxa"/>
          </w:tcPr>
          <w:p w14:paraId="1DCDC321" w14:textId="77777777" w:rsidR="00631C69" w:rsidRPr="00462D6D" w:rsidRDefault="00631C69" w:rsidP="00B217B2">
            <w:pPr>
              <w:spacing w:before="120" w:after="120"/>
              <w:jc w:val="center"/>
              <w:rPr>
                <w:rFonts w:ascii="Arial" w:hAnsi="Arial" w:cs="Arial"/>
                <w:sz w:val="14"/>
                <w:szCs w:val="14"/>
              </w:rPr>
            </w:pPr>
          </w:p>
        </w:tc>
      </w:tr>
      <w:tr w:rsidR="00631C69" w:rsidRPr="00462D6D" w14:paraId="0D33DA9A" w14:textId="77777777" w:rsidTr="2FA6B974">
        <w:trPr>
          <w:trHeight w:val="462"/>
        </w:trPr>
        <w:tc>
          <w:tcPr>
            <w:tcW w:w="567" w:type="dxa"/>
          </w:tcPr>
          <w:p w14:paraId="5B87D308" w14:textId="77777777" w:rsidR="00631C69" w:rsidRPr="00462D6D" w:rsidRDefault="2FA6B974" w:rsidP="2FA6B974">
            <w:pPr>
              <w:spacing w:before="120" w:after="120"/>
              <w:jc w:val="center"/>
              <w:rPr>
                <w:rFonts w:ascii="Arial" w:hAnsi="Arial" w:cs="Arial"/>
                <w:sz w:val="14"/>
                <w:szCs w:val="14"/>
              </w:rPr>
            </w:pPr>
            <w:r>
              <w:rPr>
                <w:rFonts w:ascii="Arial" w:hAnsi="Arial"/>
                <w:sz w:val="14"/>
                <w:szCs w:val="14"/>
              </w:rPr>
              <w:t>4</w:t>
            </w:r>
          </w:p>
        </w:tc>
        <w:tc>
          <w:tcPr>
            <w:tcW w:w="814" w:type="dxa"/>
          </w:tcPr>
          <w:p w14:paraId="04B7B77F" w14:textId="77777777" w:rsidR="00631C69" w:rsidRPr="00462D6D" w:rsidRDefault="2FA6B974" w:rsidP="2FA6B974">
            <w:pPr>
              <w:spacing w:before="120" w:after="120"/>
              <w:rPr>
                <w:rFonts w:ascii="Arial" w:hAnsi="Arial" w:cs="Arial"/>
                <w:i/>
                <w:iCs/>
                <w:sz w:val="14"/>
                <w:szCs w:val="14"/>
              </w:rPr>
            </w:pPr>
            <w:r>
              <w:rPr>
                <w:rFonts w:ascii="Arial" w:hAnsi="Arial"/>
                <w:sz w:val="14"/>
                <w:szCs w:val="14"/>
              </w:rPr>
              <w:t>БЕН</w:t>
            </w:r>
          </w:p>
        </w:tc>
        <w:tc>
          <w:tcPr>
            <w:tcW w:w="604" w:type="dxa"/>
          </w:tcPr>
          <w:p w14:paraId="17073198" w14:textId="77777777" w:rsidR="00631C69" w:rsidRPr="00462D6D" w:rsidRDefault="00631C69" w:rsidP="00B217B2">
            <w:pPr>
              <w:spacing w:before="120" w:after="120"/>
              <w:rPr>
                <w:rFonts w:ascii="Arial" w:hAnsi="Arial" w:cs="Arial"/>
                <w:sz w:val="14"/>
                <w:szCs w:val="14"/>
              </w:rPr>
            </w:pPr>
          </w:p>
        </w:tc>
        <w:tc>
          <w:tcPr>
            <w:tcW w:w="1328" w:type="dxa"/>
          </w:tcPr>
          <w:p w14:paraId="0A065F60" w14:textId="77777777" w:rsidR="00631C69" w:rsidRPr="00462D6D" w:rsidRDefault="00631C69" w:rsidP="00B217B2">
            <w:pPr>
              <w:spacing w:before="120" w:after="120"/>
              <w:rPr>
                <w:rFonts w:ascii="Arial" w:hAnsi="Arial" w:cs="Arial"/>
                <w:sz w:val="14"/>
                <w:szCs w:val="14"/>
                <w:lang w:val="nl-NL"/>
              </w:rPr>
            </w:pPr>
          </w:p>
        </w:tc>
        <w:tc>
          <w:tcPr>
            <w:tcW w:w="798" w:type="dxa"/>
          </w:tcPr>
          <w:p w14:paraId="3185A078" w14:textId="77777777" w:rsidR="00631C69" w:rsidRPr="00462D6D" w:rsidRDefault="2FA6B974" w:rsidP="2FA6B974">
            <w:pPr>
              <w:spacing w:before="120" w:after="120"/>
              <w:jc w:val="center"/>
              <w:rPr>
                <w:rFonts w:ascii="Arial" w:hAnsi="Arial" w:cs="Arial"/>
                <w:sz w:val="14"/>
                <w:szCs w:val="14"/>
              </w:rPr>
            </w:pPr>
            <w:r>
              <w:rPr>
                <w:rFonts w:ascii="Arial" w:hAnsi="Arial"/>
                <w:sz w:val="14"/>
                <w:szCs w:val="14"/>
              </w:rPr>
              <w:t>[</w:t>
            </w:r>
            <w:r>
              <w:rPr>
                <w:rFonts w:ascii="Arial" w:hAnsi="Arial"/>
                <w:sz w:val="14"/>
                <w:szCs w:val="14"/>
                <w:highlight w:val="lightGray"/>
              </w:rPr>
              <w:t>държава</w:t>
            </w:r>
            <w:r>
              <w:rPr>
                <w:rFonts w:ascii="Arial" w:hAnsi="Arial"/>
                <w:sz w:val="14"/>
                <w:szCs w:val="14"/>
              </w:rPr>
              <w:t>]</w:t>
            </w:r>
          </w:p>
        </w:tc>
        <w:tc>
          <w:tcPr>
            <w:tcW w:w="992" w:type="dxa"/>
          </w:tcPr>
          <w:p w14:paraId="6E69F714" w14:textId="77777777" w:rsidR="00631C69" w:rsidRPr="00462D6D" w:rsidRDefault="2FA6B974" w:rsidP="2FA6B974">
            <w:pPr>
              <w:spacing w:before="120" w:after="120"/>
              <w:jc w:val="right"/>
              <w:rPr>
                <w:rFonts w:ascii="Arial" w:hAnsi="Arial" w:cs="Arial"/>
                <w:sz w:val="14"/>
                <w:szCs w:val="14"/>
              </w:rPr>
            </w:pPr>
            <w:r>
              <w:rPr>
                <w:rFonts w:ascii="Arial" w:hAnsi="Arial"/>
                <w:sz w:val="14"/>
                <w:szCs w:val="14"/>
              </w:rPr>
              <w:t>[</w:t>
            </w:r>
            <w:r>
              <w:rPr>
                <w:rFonts w:ascii="Arial" w:hAnsi="Arial"/>
                <w:sz w:val="14"/>
                <w:szCs w:val="14"/>
                <w:highlight w:val="lightGray"/>
              </w:rPr>
              <w:t>сума</w:t>
            </w:r>
            <w:r>
              <w:rPr>
                <w:rFonts w:ascii="Arial" w:hAnsi="Arial"/>
                <w:sz w:val="14"/>
                <w:szCs w:val="14"/>
              </w:rPr>
              <w:t>]</w:t>
            </w:r>
          </w:p>
        </w:tc>
        <w:tc>
          <w:tcPr>
            <w:tcW w:w="1134" w:type="dxa"/>
          </w:tcPr>
          <w:p w14:paraId="04174DA0" w14:textId="77777777" w:rsidR="00631C69" w:rsidRPr="00462D6D" w:rsidRDefault="2FA6B974" w:rsidP="2FA6B974">
            <w:pPr>
              <w:spacing w:before="120" w:after="120"/>
              <w:jc w:val="right"/>
              <w:rPr>
                <w:rFonts w:ascii="Arial" w:hAnsi="Arial" w:cs="Arial"/>
                <w:sz w:val="14"/>
                <w:szCs w:val="14"/>
              </w:rPr>
            </w:pPr>
            <w:r>
              <w:rPr>
                <w:rFonts w:ascii="Arial" w:hAnsi="Arial"/>
                <w:sz w:val="14"/>
                <w:szCs w:val="14"/>
              </w:rPr>
              <w:t>[</w:t>
            </w:r>
            <w:r>
              <w:rPr>
                <w:rFonts w:ascii="Arial" w:hAnsi="Arial"/>
                <w:sz w:val="14"/>
                <w:szCs w:val="14"/>
                <w:highlight w:val="lightGray"/>
              </w:rPr>
              <w:t>сума</w:t>
            </w:r>
            <w:r>
              <w:rPr>
                <w:rFonts w:ascii="Arial" w:hAnsi="Arial"/>
                <w:sz w:val="14"/>
                <w:szCs w:val="14"/>
              </w:rPr>
              <w:t>]</w:t>
            </w:r>
          </w:p>
        </w:tc>
        <w:tc>
          <w:tcPr>
            <w:tcW w:w="992" w:type="dxa"/>
          </w:tcPr>
          <w:p w14:paraId="0D09A34F" w14:textId="77777777" w:rsidR="00631C69" w:rsidRPr="00462D6D" w:rsidRDefault="00631C69" w:rsidP="00B217B2">
            <w:pPr>
              <w:spacing w:before="120" w:after="120"/>
              <w:jc w:val="center"/>
              <w:rPr>
                <w:rFonts w:ascii="Arial" w:hAnsi="Arial" w:cs="Arial"/>
                <w:sz w:val="14"/>
                <w:szCs w:val="14"/>
                <w:lang w:val="nl-NL"/>
              </w:rPr>
            </w:pPr>
          </w:p>
        </w:tc>
        <w:tc>
          <w:tcPr>
            <w:tcW w:w="993" w:type="dxa"/>
          </w:tcPr>
          <w:p w14:paraId="45CAB94F" w14:textId="77777777" w:rsidR="00631C69" w:rsidRPr="00462D6D" w:rsidRDefault="00631C69" w:rsidP="00B217B2">
            <w:pPr>
              <w:spacing w:before="120" w:after="120"/>
              <w:jc w:val="center"/>
              <w:rPr>
                <w:rFonts w:ascii="Arial" w:hAnsi="Arial" w:cs="Arial"/>
                <w:sz w:val="14"/>
                <w:szCs w:val="14"/>
              </w:rPr>
            </w:pPr>
            <w:r>
              <w:rPr>
                <w:rFonts w:ascii="Arial" w:hAnsi="Arial"/>
                <w:sz w:val="14"/>
                <w:szCs w:val="14"/>
              </w:rPr>
              <w:t>[</w:t>
            </w:r>
            <w:r>
              <w:rPr>
                <w:rFonts w:ascii="Arial" w:hAnsi="Arial"/>
                <w:sz w:val="14"/>
                <w:szCs w:val="14"/>
                <w:highlight w:val="lightGray"/>
              </w:rPr>
              <w:t>дата</w:t>
            </w:r>
            <w:r>
              <w:rPr>
                <w:rFonts w:ascii="Arial" w:hAnsi="Arial"/>
                <w:sz w:val="14"/>
                <w:szCs w:val="14"/>
              </w:rPr>
              <w:t>]</w:t>
            </w:r>
          </w:p>
        </w:tc>
      </w:tr>
      <w:tr w:rsidR="00631C69" w:rsidRPr="00462D6D" w14:paraId="2D560DA4" w14:textId="77777777" w:rsidTr="2FA6B974">
        <w:trPr>
          <w:trHeight w:val="423"/>
        </w:trPr>
        <w:tc>
          <w:tcPr>
            <w:tcW w:w="567" w:type="dxa"/>
          </w:tcPr>
          <w:p w14:paraId="195603B0" w14:textId="77777777" w:rsidR="00631C69" w:rsidRPr="00462D6D" w:rsidRDefault="2FA6B974" w:rsidP="2FA6B974">
            <w:pPr>
              <w:spacing w:before="120" w:after="120"/>
              <w:jc w:val="center"/>
              <w:rPr>
                <w:rFonts w:ascii="Arial" w:hAnsi="Arial" w:cs="Arial"/>
                <w:sz w:val="14"/>
                <w:szCs w:val="14"/>
              </w:rPr>
            </w:pPr>
            <w:r>
              <w:rPr>
                <w:rFonts w:ascii="Arial" w:hAnsi="Arial"/>
                <w:sz w:val="14"/>
                <w:szCs w:val="14"/>
              </w:rPr>
              <w:t>5</w:t>
            </w:r>
          </w:p>
        </w:tc>
        <w:tc>
          <w:tcPr>
            <w:tcW w:w="814" w:type="dxa"/>
          </w:tcPr>
          <w:p w14:paraId="13D84431" w14:textId="77777777" w:rsidR="00631C69" w:rsidRPr="00462D6D" w:rsidRDefault="2FA6B974" w:rsidP="2FA6B974">
            <w:pPr>
              <w:spacing w:before="120" w:after="120"/>
              <w:rPr>
                <w:rFonts w:ascii="Arial" w:hAnsi="Arial" w:cs="Arial"/>
                <w:sz w:val="14"/>
                <w:szCs w:val="14"/>
              </w:rPr>
            </w:pPr>
            <w:r>
              <w:rPr>
                <w:rFonts w:ascii="Arial" w:hAnsi="Arial"/>
                <w:sz w:val="14"/>
                <w:szCs w:val="14"/>
              </w:rPr>
              <w:t>БЕН</w:t>
            </w:r>
          </w:p>
        </w:tc>
        <w:tc>
          <w:tcPr>
            <w:tcW w:w="604" w:type="dxa"/>
          </w:tcPr>
          <w:p w14:paraId="6ABCC9B0" w14:textId="77777777" w:rsidR="00631C69" w:rsidRPr="00462D6D" w:rsidRDefault="00631C69" w:rsidP="00B217B2">
            <w:pPr>
              <w:spacing w:before="120" w:after="120"/>
              <w:rPr>
                <w:rFonts w:ascii="Arial" w:hAnsi="Arial" w:cs="Arial"/>
                <w:sz w:val="14"/>
                <w:szCs w:val="14"/>
              </w:rPr>
            </w:pPr>
          </w:p>
        </w:tc>
        <w:tc>
          <w:tcPr>
            <w:tcW w:w="1328" w:type="dxa"/>
          </w:tcPr>
          <w:p w14:paraId="6792667D" w14:textId="77777777" w:rsidR="00631C69" w:rsidRPr="00462D6D" w:rsidRDefault="00631C69" w:rsidP="00B217B2">
            <w:pPr>
              <w:spacing w:before="120" w:after="120"/>
              <w:rPr>
                <w:rFonts w:ascii="Arial" w:hAnsi="Arial" w:cs="Arial"/>
                <w:sz w:val="14"/>
                <w:szCs w:val="14"/>
              </w:rPr>
            </w:pPr>
          </w:p>
        </w:tc>
        <w:tc>
          <w:tcPr>
            <w:tcW w:w="798" w:type="dxa"/>
          </w:tcPr>
          <w:p w14:paraId="7672A56B" w14:textId="77777777" w:rsidR="00631C69" w:rsidRPr="00462D6D" w:rsidRDefault="2FA6B974" w:rsidP="2FA6B974">
            <w:pPr>
              <w:spacing w:before="120" w:after="120"/>
              <w:jc w:val="center"/>
              <w:rPr>
                <w:rFonts w:ascii="Arial" w:hAnsi="Arial" w:cs="Arial"/>
                <w:sz w:val="14"/>
                <w:szCs w:val="14"/>
              </w:rPr>
            </w:pPr>
            <w:r>
              <w:rPr>
                <w:rFonts w:ascii="Arial" w:hAnsi="Arial"/>
                <w:sz w:val="14"/>
                <w:szCs w:val="14"/>
              </w:rPr>
              <w:t>[</w:t>
            </w:r>
            <w:r>
              <w:rPr>
                <w:rFonts w:ascii="Arial" w:hAnsi="Arial"/>
                <w:sz w:val="14"/>
                <w:szCs w:val="14"/>
                <w:highlight w:val="lightGray"/>
              </w:rPr>
              <w:t>държава</w:t>
            </w:r>
            <w:r>
              <w:rPr>
                <w:rFonts w:ascii="Arial" w:hAnsi="Arial"/>
                <w:sz w:val="14"/>
                <w:szCs w:val="14"/>
              </w:rPr>
              <w:t>]</w:t>
            </w:r>
          </w:p>
        </w:tc>
        <w:tc>
          <w:tcPr>
            <w:tcW w:w="992" w:type="dxa"/>
          </w:tcPr>
          <w:p w14:paraId="2740FC2C" w14:textId="77777777" w:rsidR="00631C69" w:rsidRPr="00462D6D" w:rsidRDefault="2FA6B974" w:rsidP="2FA6B974">
            <w:pPr>
              <w:spacing w:before="120" w:after="120"/>
              <w:jc w:val="right"/>
              <w:rPr>
                <w:rFonts w:ascii="Arial" w:hAnsi="Arial" w:cs="Arial"/>
                <w:sz w:val="14"/>
                <w:szCs w:val="14"/>
              </w:rPr>
            </w:pPr>
            <w:r>
              <w:rPr>
                <w:rFonts w:ascii="Arial" w:hAnsi="Arial"/>
                <w:sz w:val="14"/>
                <w:szCs w:val="14"/>
              </w:rPr>
              <w:t>[</w:t>
            </w:r>
            <w:r>
              <w:rPr>
                <w:rFonts w:ascii="Arial" w:hAnsi="Arial"/>
                <w:sz w:val="14"/>
                <w:szCs w:val="14"/>
                <w:highlight w:val="lightGray"/>
              </w:rPr>
              <w:t>сума</w:t>
            </w:r>
            <w:r>
              <w:rPr>
                <w:rFonts w:ascii="Arial" w:hAnsi="Arial"/>
                <w:sz w:val="14"/>
                <w:szCs w:val="14"/>
              </w:rPr>
              <w:t>]</w:t>
            </w:r>
          </w:p>
        </w:tc>
        <w:tc>
          <w:tcPr>
            <w:tcW w:w="1134" w:type="dxa"/>
          </w:tcPr>
          <w:p w14:paraId="235C619A" w14:textId="77777777" w:rsidR="00631C69" w:rsidRPr="00462D6D" w:rsidRDefault="2FA6B974" w:rsidP="2FA6B974">
            <w:pPr>
              <w:spacing w:before="120" w:after="120"/>
              <w:jc w:val="right"/>
              <w:rPr>
                <w:rFonts w:ascii="Arial" w:hAnsi="Arial" w:cs="Arial"/>
                <w:sz w:val="14"/>
                <w:szCs w:val="14"/>
              </w:rPr>
            </w:pPr>
            <w:r>
              <w:rPr>
                <w:rFonts w:ascii="Arial" w:hAnsi="Arial"/>
                <w:sz w:val="14"/>
                <w:szCs w:val="14"/>
              </w:rPr>
              <w:t>[</w:t>
            </w:r>
            <w:r>
              <w:rPr>
                <w:rFonts w:ascii="Arial" w:hAnsi="Arial"/>
                <w:sz w:val="14"/>
                <w:szCs w:val="14"/>
                <w:highlight w:val="lightGray"/>
              </w:rPr>
              <w:t>сума</w:t>
            </w:r>
            <w:r>
              <w:rPr>
                <w:rFonts w:ascii="Arial" w:hAnsi="Arial"/>
                <w:sz w:val="14"/>
                <w:szCs w:val="14"/>
              </w:rPr>
              <w:t>]</w:t>
            </w:r>
          </w:p>
        </w:tc>
        <w:tc>
          <w:tcPr>
            <w:tcW w:w="992" w:type="dxa"/>
          </w:tcPr>
          <w:p w14:paraId="2A19258B" w14:textId="77777777" w:rsidR="00631C69" w:rsidRPr="00462D6D" w:rsidRDefault="00631C69" w:rsidP="00B217B2">
            <w:pPr>
              <w:spacing w:before="120" w:after="120"/>
              <w:jc w:val="center"/>
              <w:rPr>
                <w:rFonts w:ascii="Arial" w:hAnsi="Arial" w:cs="Arial"/>
                <w:sz w:val="14"/>
                <w:szCs w:val="14"/>
              </w:rPr>
            </w:pPr>
            <w:r>
              <w:rPr>
                <w:rFonts w:ascii="Arial" w:hAnsi="Arial"/>
                <w:sz w:val="14"/>
                <w:szCs w:val="14"/>
              </w:rPr>
              <w:t>[</w:t>
            </w:r>
            <w:r>
              <w:rPr>
                <w:rFonts w:ascii="Arial" w:hAnsi="Arial"/>
                <w:sz w:val="14"/>
                <w:szCs w:val="14"/>
                <w:highlight w:val="lightGray"/>
              </w:rPr>
              <w:t>дата</w:t>
            </w:r>
            <w:r>
              <w:rPr>
                <w:rFonts w:ascii="Arial" w:hAnsi="Arial"/>
                <w:sz w:val="14"/>
                <w:szCs w:val="14"/>
              </w:rPr>
              <w:t>]</w:t>
            </w:r>
          </w:p>
        </w:tc>
        <w:tc>
          <w:tcPr>
            <w:tcW w:w="993" w:type="dxa"/>
          </w:tcPr>
          <w:p w14:paraId="21C212C0" w14:textId="77777777" w:rsidR="00631C69" w:rsidRPr="00462D6D" w:rsidRDefault="00631C69" w:rsidP="00B217B2">
            <w:pPr>
              <w:spacing w:before="120" w:after="120"/>
              <w:jc w:val="center"/>
              <w:rPr>
                <w:rFonts w:ascii="Arial" w:hAnsi="Arial" w:cs="Arial"/>
                <w:sz w:val="14"/>
                <w:szCs w:val="14"/>
              </w:rPr>
            </w:pPr>
          </w:p>
        </w:tc>
      </w:tr>
      <w:tr w:rsidR="007C7DEE" w:rsidRPr="00462D6D" w14:paraId="1A64F7AF" w14:textId="77777777" w:rsidTr="2FA6B974">
        <w:trPr>
          <w:trHeight w:val="462"/>
        </w:trPr>
        <w:tc>
          <w:tcPr>
            <w:tcW w:w="567" w:type="dxa"/>
          </w:tcPr>
          <w:p w14:paraId="4B1E0F88" w14:textId="5D9946DD" w:rsidR="007C7DEE" w:rsidRPr="00462D6D" w:rsidRDefault="2FA6B974" w:rsidP="2FA6B974">
            <w:pPr>
              <w:spacing w:before="120" w:after="120"/>
              <w:jc w:val="center"/>
              <w:rPr>
                <w:rFonts w:ascii="Arial" w:hAnsi="Arial" w:cs="Arial"/>
                <w:sz w:val="14"/>
                <w:szCs w:val="14"/>
              </w:rPr>
            </w:pPr>
            <w:r>
              <w:rPr>
                <w:rFonts w:ascii="Arial" w:hAnsi="Arial"/>
                <w:sz w:val="14"/>
                <w:szCs w:val="14"/>
              </w:rPr>
              <w:t>6</w:t>
            </w:r>
          </w:p>
        </w:tc>
        <w:tc>
          <w:tcPr>
            <w:tcW w:w="814" w:type="dxa"/>
          </w:tcPr>
          <w:p w14:paraId="5B46B789" w14:textId="77777777" w:rsidR="007C7DEE" w:rsidRPr="00462D6D" w:rsidRDefault="2FA6B974" w:rsidP="2FA6B974">
            <w:pPr>
              <w:spacing w:before="120" w:after="120"/>
              <w:rPr>
                <w:rFonts w:ascii="Arial" w:hAnsi="Arial" w:cs="Arial"/>
                <w:sz w:val="14"/>
                <w:szCs w:val="14"/>
              </w:rPr>
            </w:pPr>
            <w:r>
              <w:rPr>
                <w:rFonts w:ascii="Arial" w:hAnsi="Arial"/>
                <w:sz w:val="14"/>
                <w:szCs w:val="14"/>
              </w:rPr>
              <w:t>АП</w:t>
            </w:r>
          </w:p>
        </w:tc>
        <w:tc>
          <w:tcPr>
            <w:tcW w:w="604" w:type="dxa"/>
          </w:tcPr>
          <w:p w14:paraId="42FBE886" w14:textId="77777777" w:rsidR="007C7DEE" w:rsidRPr="00462D6D" w:rsidRDefault="007C7DEE" w:rsidP="005F1697">
            <w:pPr>
              <w:spacing w:before="120" w:after="120"/>
              <w:rPr>
                <w:rFonts w:ascii="Arial" w:hAnsi="Arial" w:cs="Arial"/>
                <w:sz w:val="14"/>
                <w:szCs w:val="14"/>
              </w:rPr>
            </w:pPr>
          </w:p>
        </w:tc>
        <w:tc>
          <w:tcPr>
            <w:tcW w:w="1328" w:type="dxa"/>
          </w:tcPr>
          <w:p w14:paraId="551429C8" w14:textId="77777777" w:rsidR="007C7DEE" w:rsidRPr="00462D6D" w:rsidRDefault="007C7DEE" w:rsidP="005F1697">
            <w:pPr>
              <w:spacing w:before="120" w:after="120"/>
              <w:rPr>
                <w:rFonts w:ascii="Arial" w:hAnsi="Arial" w:cs="Arial"/>
                <w:sz w:val="14"/>
                <w:szCs w:val="14"/>
              </w:rPr>
            </w:pPr>
          </w:p>
        </w:tc>
        <w:tc>
          <w:tcPr>
            <w:tcW w:w="798" w:type="dxa"/>
          </w:tcPr>
          <w:p w14:paraId="0193B3FA" w14:textId="77777777" w:rsidR="007C7DEE" w:rsidRPr="00462D6D" w:rsidRDefault="2FA6B974" w:rsidP="2FA6B974">
            <w:pPr>
              <w:spacing w:before="120" w:after="120"/>
              <w:jc w:val="center"/>
              <w:rPr>
                <w:rFonts w:ascii="Arial" w:hAnsi="Arial" w:cs="Arial"/>
                <w:sz w:val="14"/>
                <w:szCs w:val="14"/>
              </w:rPr>
            </w:pPr>
            <w:r>
              <w:rPr>
                <w:rFonts w:ascii="Arial" w:hAnsi="Arial"/>
                <w:sz w:val="14"/>
                <w:szCs w:val="14"/>
              </w:rPr>
              <w:t>[</w:t>
            </w:r>
            <w:r>
              <w:rPr>
                <w:rFonts w:ascii="Arial" w:hAnsi="Arial"/>
                <w:sz w:val="14"/>
                <w:szCs w:val="14"/>
                <w:highlight w:val="lightGray"/>
              </w:rPr>
              <w:t>държава</w:t>
            </w:r>
            <w:r>
              <w:rPr>
                <w:rFonts w:ascii="Arial" w:hAnsi="Arial"/>
                <w:sz w:val="14"/>
                <w:szCs w:val="14"/>
              </w:rPr>
              <w:t>]</w:t>
            </w:r>
          </w:p>
        </w:tc>
        <w:tc>
          <w:tcPr>
            <w:tcW w:w="992" w:type="dxa"/>
          </w:tcPr>
          <w:p w14:paraId="1A6C3AE4" w14:textId="77777777" w:rsidR="007C7DEE" w:rsidRPr="00462D6D" w:rsidRDefault="007C7DEE" w:rsidP="005F1697">
            <w:pPr>
              <w:spacing w:before="120" w:after="120"/>
              <w:jc w:val="right"/>
              <w:rPr>
                <w:rFonts w:ascii="Arial" w:hAnsi="Arial" w:cs="Arial"/>
                <w:sz w:val="14"/>
                <w:szCs w:val="14"/>
              </w:rPr>
            </w:pPr>
          </w:p>
        </w:tc>
        <w:tc>
          <w:tcPr>
            <w:tcW w:w="1134" w:type="dxa"/>
          </w:tcPr>
          <w:p w14:paraId="451BF1BB" w14:textId="2916658D" w:rsidR="007C7DEE" w:rsidRPr="00462D6D" w:rsidRDefault="2FA6B974" w:rsidP="2FA6B974">
            <w:pPr>
              <w:spacing w:before="120" w:after="120"/>
              <w:jc w:val="right"/>
              <w:rPr>
                <w:rFonts w:ascii="Arial" w:hAnsi="Arial" w:cs="Arial"/>
                <w:sz w:val="14"/>
                <w:szCs w:val="14"/>
              </w:rPr>
            </w:pPr>
            <w:r>
              <w:rPr>
                <w:rFonts w:ascii="Arial" w:hAnsi="Arial"/>
                <w:sz w:val="14"/>
                <w:szCs w:val="14"/>
              </w:rPr>
              <w:t>[</w:t>
            </w:r>
            <w:r>
              <w:rPr>
                <w:rFonts w:ascii="Arial" w:hAnsi="Arial"/>
                <w:sz w:val="14"/>
                <w:szCs w:val="14"/>
                <w:highlight w:val="lightGray"/>
              </w:rPr>
              <w:t>сума</w:t>
            </w:r>
            <w:r>
              <w:rPr>
                <w:rFonts w:ascii="Arial" w:hAnsi="Arial"/>
                <w:sz w:val="14"/>
                <w:szCs w:val="14"/>
              </w:rPr>
              <w:t>]</w:t>
            </w:r>
          </w:p>
        </w:tc>
        <w:tc>
          <w:tcPr>
            <w:tcW w:w="992" w:type="dxa"/>
          </w:tcPr>
          <w:p w14:paraId="5C155B0D" w14:textId="77777777" w:rsidR="007C7DEE" w:rsidRPr="00462D6D" w:rsidRDefault="007C7DEE" w:rsidP="005F1697">
            <w:pPr>
              <w:spacing w:before="120" w:after="120"/>
              <w:jc w:val="right"/>
              <w:rPr>
                <w:rFonts w:ascii="Arial" w:hAnsi="Arial" w:cs="Arial"/>
                <w:sz w:val="14"/>
                <w:szCs w:val="14"/>
              </w:rPr>
            </w:pPr>
          </w:p>
        </w:tc>
        <w:tc>
          <w:tcPr>
            <w:tcW w:w="993" w:type="dxa"/>
          </w:tcPr>
          <w:p w14:paraId="3A52E83A" w14:textId="23D0A7AE" w:rsidR="007C7DEE" w:rsidRPr="00462D6D" w:rsidRDefault="007C7DEE" w:rsidP="005F1697">
            <w:pPr>
              <w:spacing w:before="120" w:after="120"/>
              <w:jc w:val="right"/>
              <w:rPr>
                <w:rFonts w:ascii="Arial" w:hAnsi="Arial" w:cs="Arial"/>
                <w:sz w:val="14"/>
                <w:szCs w:val="14"/>
              </w:rPr>
            </w:pPr>
          </w:p>
        </w:tc>
      </w:tr>
      <w:tr w:rsidR="00631C69" w:rsidRPr="00462D6D" w14:paraId="353ECE61" w14:textId="77777777" w:rsidTr="2FA6B974">
        <w:trPr>
          <w:trHeight w:val="269"/>
        </w:trPr>
        <w:tc>
          <w:tcPr>
            <w:tcW w:w="4111" w:type="dxa"/>
            <w:gridSpan w:val="5"/>
            <w:shd w:val="clear" w:color="auto" w:fill="D9D9D9" w:themeFill="background1" w:themeFillShade="D9"/>
          </w:tcPr>
          <w:p w14:paraId="595627C4" w14:textId="77777777" w:rsidR="00631C69" w:rsidRPr="00462D6D" w:rsidRDefault="2FA6B974" w:rsidP="2FA6B974">
            <w:pPr>
              <w:spacing w:before="120" w:after="120"/>
              <w:jc w:val="center"/>
              <w:rPr>
                <w:rFonts w:ascii="Arial" w:hAnsi="Arial" w:cs="Arial"/>
                <w:sz w:val="14"/>
                <w:szCs w:val="14"/>
              </w:rPr>
            </w:pPr>
            <w:r>
              <w:rPr>
                <w:rFonts w:ascii="Arial" w:hAnsi="Arial"/>
                <w:sz w:val="14"/>
                <w:szCs w:val="14"/>
              </w:rPr>
              <w:t>Общо</w:t>
            </w:r>
          </w:p>
        </w:tc>
        <w:tc>
          <w:tcPr>
            <w:tcW w:w="992" w:type="dxa"/>
          </w:tcPr>
          <w:p w14:paraId="59406637" w14:textId="77777777" w:rsidR="00631C69" w:rsidRPr="00462D6D" w:rsidRDefault="2FA6B974" w:rsidP="2FA6B974">
            <w:pPr>
              <w:spacing w:before="120" w:after="120"/>
              <w:jc w:val="right"/>
              <w:rPr>
                <w:rFonts w:ascii="Arial" w:hAnsi="Arial" w:cs="Arial"/>
                <w:sz w:val="14"/>
                <w:szCs w:val="14"/>
              </w:rPr>
            </w:pPr>
            <w:r>
              <w:rPr>
                <w:rFonts w:ascii="Arial" w:hAnsi="Arial"/>
                <w:sz w:val="14"/>
                <w:szCs w:val="14"/>
              </w:rPr>
              <w:t>[</w:t>
            </w:r>
            <w:r>
              <w:rPr>
                <w:rFonts w:ascii="Arial" w:hAnsi="Arial"/>
                <w:sz w:val="14"/>
                <w:szCs w:val="14"/>
                <w:highlight w:val="lightGray"/>
              </w:rPr>
              <w:t>сума</w:t>
            </w:r>
            <w:r>
              <w:rPr>
                <w:rFonts w:ascii="Arial" w:hAnsi="Arial"/>
                <w:sz w:val="14"/>
                <w:szCs w:val="14"/>
              </w:rPr>
              <w:t>]</w:t>
            </w:r>
          </w:p>
        </w:tc>
        <w:tc>
          <w:tcPr>
            <w:tcW w:w="1134" w:type="dxa"/>
          </w:tcPr>
          <w:p w14:paraId="4C6E3757" w14:textId="77777777" w:rsidR="00631C69" w:rsidRPr="00462D6D" w:rsidRDefault="2FA6B974" w:rsidP="2FA6B974">
            <w:pPr>
              <w:spacing w:before="120" w:after="120"/>
              <w:jc w:val="right"/>
              <w:rPr>
                <w:rFonts w:ascii="Arial" w:hAnsi="Arial" w:cs="Arial"/>
                <w:sz w:val="14"/>
                <w:szCs w:val="14"/>
              </w:rPr>
            </w:pPr>
            <w:r>
              <w:rPr>
                <w:rFonts w:ascii="Arial" w:hAnsi="Arial"/>
                <w:sz w:val="14"/>
                <w:szCs w:val="14"/>
              </w:rPr>
              <w:t>[</w:t>
            </w:r>
            <w:r>
              <w:rPr>
                <w:rFonts w:ascii="Arial" w:hAnsi="Arial"/>
                <w:sz w:val="14"/>
                <w:szCs w:val="14"/>
                <w:highlight w:val="lightGray"/>
              </w:rPr>
              <w:t>сума</w:t>
            </w:r>
            <w:r>
              <w:rPr>
                <w:rFonts w:ascii="Arial" w:hAnsi="Arial"/>
                <w:sz w:val="14"/>
                <w:szCs w:val="14"/>
              </w:rPr>
              <w:t>]</w:t>
            </w:r>
          </w:p>
        </w:tc>
        <w:tc>
          <w:tcPr>
            <w:tcW w:w="1985" w:type="dxa"/>
            <w:gridSpan w:val="2"/>
            <w:shd w:val="clear" w:color="auto" w:fill="D9D9D9" w:themeFill="background1" w:themeFillShade="D9"/>
          </w:tcPr>
          <w:p w14:paraId="3B4DDDB2" w14:textId="1C8A8B16" w:rsidR="00631C69" w:rsidRPr="00462D6D" w:rsidRDefault="00631C69" w:rsidP="00B217B2">
            <w:pPr>
              <w:spacing w:before="120" w:after="120"/>
              <w:rPr>
                <w:rFonts w:ascii="Arial" w:hAnsi="Arial" w:cs="Arial"/>
                <w:sz w:val="14"/>
                <w:szCs w:val="14"/>
              </w:rPr>
            </w:pPr>
          </w:p>
        </w:tc>
      </w:tr>
    </w:tbl>
    <w:p w14:paraId="45803B7A" w14:textId="77777777" w:rsidR="008907F4" w:rsidRDefault="008907F4" w:rsidP="008907F4">
      <w:pPr>
        <w:spacing w:after="120"/>
        <w:jc w:val="left"/>
        <w:rPr>
          <w:rFonts w:cs="Times New Roman"/>
          <w:b/>
          <w:sz w:val="20"/>
          <w:szCs w:val="20"/>
        </w:rPr>
      </w:pPr>
    </w:p>
    <w:p w14:paraId="545E5E14" w14:textId="77777777" w:rsidR="008907F4" w:rsidRDefault="2FA6B974" w:rsidP="2FA6B974">
      <w:pPr>
        <w:spacing w:after="120"/>
        <w:jc w:val="left"/>
        <w:rPr>
          <w:rFonts w:cs="Times New Roman"/>
          <w:b/>
          <w:bCs/>
          <w:sz w:val="20"/>
          <w:szCs w:val="20"/>
        </w:rPr>
      </w:pPr>
      <w:r>
        <w:rPr>
          <w:b/>
          <w:bCs/>
          <w:sz w:val="20"/>
          <w:szCs w:val="20"/>
        </w:rPr>
        <w:t>Координатор:</w:t>
      </w:r>
    </w:p>
    <w:p w14:paraId="434BFF7B" w14:textId="77777777" w:rsidR="008907F4" w:rsidRPr="00765B5F" w:rsidRDefault="2FA6B974" w:rsidP="2FA6B974">
      <w:pPr>
        <w:widowControl w:val="0"/>
        <w:numPr>
          <w:ilvl w:val="0"/>
          <w:numId w:val="40"/>
        </w:numPr>
        <w:spacing w:after="120"/>
        <w:ind w:left="851"/>
        <w:jc w:val="left"/>
        <w:rPr>
          <w:rFonts w:eastAsia="Times New Roman"/>
        </w:rPr>
      </w:pPr>
      <w:r>
        <w:rPr>
          <w:sz w:val="20"/>
          <w:szCs w:val="20"/>
        </w:rPr>
        <w:t>[</w:t>
      </w:r>
      <w:r>
        <w:rPr>
          <w:sz w:val="20"/>
          <w:szCs w:val="20"/>
          <w:highlight w:val="lightGray"/>
        </w:rPr>
        <w:t>официално наименование на КООР (съкратено наименование)</w:t>
      </w:r>
      <w:r>
        <w:rPr>
          <w:sz w:val="20"/>
          <w:szCs w:val="20"/>
        </w:rPr>
        <w:t>]: от [</w:t>
      </w:r>
      <w:r>
        <w:rPr>
          <w:sz w:val="20"/>
          <w:szCs w:val="20"/>
          <w:highlight w:val="lightGray"/>
        </w:rPr>
        <w:t>въведете дата</w:t>
      </w:r>
      <w:r>
        <w:rPr>
          <w:sz w:val="20"/>
          <w:szCs w:val="20"/>
        </w:rPr>
        <w:t>] до [</w:t>
      </w:r>
      <w:r>
        <w:rPr>
          <w:sz w:val="20"/>
          <w:szCs w:val="20"/>
          <w:highlight w:val="lightGray"/>
        </w:rPr>
        <w:t>въведете дата</w:t>
      </w:r>
      <w:r>
        <w:rPr>
          <w:sz w:val="20"/>
          <w:szCs w:val="20"/>
        </w:rPr>
        <w:t>]</w:t>
      </w:r>
    </w:p>
    <w:p w14:paraId="5594DFD5" w14:textId="77777777" w:rsidR="008907F4" w:rsidRPr="00CC5089" w:rsidRDefault="2FA6B974" w:rsidP="2FA6B974">
      <w:pPr>
        <w:widowControl w:val="0"/>
        <w:numPr>
          <w:ilvl w:val="0"/>
          <w:numId w:val="40"/>
        </w:numPr>
        <w:spacing w:after="120"/>
        <w:ind w:left="851"/>
        <w:jc w:val="left"/>
        <w:rPr>
          <w:rFonts w:eastAsia="Times New Roman"/>
        </w:rPr>
      </w:pPr>
      <w:r>
        <w:rPr>
          <w:sz w:val="20"/>
          <w:szCs w:val="20"/>
        </w:rPr>
        <w:t>...</w:t>
      </w:r>
    </w:p>
    <w:p w14:paraId="4B5BD987" w14:textId="77777777" w:rsidR="008907F4" w:rsidRPr="003403CF" w:rsidRDefault="2FA6B974" w:rsidP="2FA6B974">
      <w:pPr>
        <w:spacing w:after="120"/>
        <w:jc w:val="left"/>
        <w:rPr>
          <w:rFonts w:cs="Times New Roman"/>
          <w:b/>
          <w:bCs/>
          <w:sz w:val="20"/>
          <w:szCs w:val="20"/>
          <w:u w:val="single"/>
        </w:rPr>
      </w:pPr>
      <w:r>
        <w:rPr>
          <w:b/>
          <w:bCs/>
          <w:sz w:val="20"/>
          <w:szCs w:val="20"/>
          <w:u w:val="single"/>
        </w:rPr>
        <w:t>3. Безвъзмездни средства</w:t>
      </w:r>
    </w:p>
    <w:p w14:paraId="1DB4E025" w14:textId="77777777" w:rsidR="008907F4" w:rsidRDefault="2FA6B974" w:rsidP="2FA6B974">
      <w:pPr>
        <w:spacing w:after="120"/>
        <w:jc w:val="left"/>
        <w:rPr>
          <w:rFonts w:cs="Times New Roman"/>
          <w:b/>
          <w:bCs/>
          <w:sz w:val="20"/>
          <w:szCs w:val="20"/>
        </w:rPr>
      </w:pPr>
      <w:r>
        <w:rPr>
          <w:b/>
          <w:bCs/>
          <w:sz w:val="20"/>
          <w:szCs w:val="20"/>
        </w:rPr>
        <w:t xml:space="preserve">Максимален размер на безвъзмездните средства, общо прогнозни допустими разходи и вноски, както и процент на финансиране: </w:t>
      </w:r>
    </w:p>
    <w:tbl>
      <w:tblPr>
        <w:tblpPr w:leftFromText="180" w:rightFromText="180" w:vertAnchor="text" w:horzAnchor="margin" w:tblpX="484" w:tblpY="186"/>
        <w:tblW w:w="2692"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Look w:val="04A0" w:firstRow="1" w:lastRow="0" w:firstColumn="1" w:lastColumn="0" w:noHBand="0" w:noVBand="1"/>
      </w:tblPr>
      <w:tblGrid>
        <w:gridCol w:w="1638"/>
        <w:gridCol w:w="1164"/>
        <w:gridCol w:w="924"/>
        <w:gridCol w:w="1274"/>
      </w:tblGrid>
      <w:tr w:rsidR="00631C69" w:rsidRPr="00F3512B" w14:paraId="67EEBE79" w14:textId="77777777" w:rsidTr="2FA6B974">
        <w:trPr>
          <w:trHeight w:val="821"/>
        </w:trPr>
        <w:tc>
          <w:tcPr>
            <w:tcW w:w="1637" w:type="pct"/>
            <w:shd w:val="clear" w:color="auto" w:fill="D9D9D9" w:themeFill="background1" w:themeFillShade="D9"/>
          </w:tcPr>
          <w:p w14:paraId="3F07A596" w14:textId="77777777" w:rsidR="00631C69" w:rsidRPr="00EB2104" w:rsidRDefault="2FA6B974" w:rsidP="2FA6B974">
            <w:pPr>
              <w:spacing w:before="120" w:after="120"/>
              <w:jc w:val="center"/>
              <w:rPr>
                <w:rFonts w:ascii="Arial" w:eastAsia="Times New Roman" w:hAnsi="Arial" w:cs="Arial"/>
                <w:b/>
                <w:bCs/>
                <w:color w:val="000000" w:themeColor="text1"/>
                <w:sz w:val="14"/>
                <w:szCs w:val="14"/>
              </w:rPr>
            </w:pPr>
            <w:r>
              <w:rPr>
                <w:rFonts w:ascii="Arial" w:hAnsi="Arial"/>
                <w:b/>
                <w:bCs/>
                <w:color w:val="000000" w:themeColor="text1"/>
                <w:sz w:val="14"/>
                <w:szCs w:val="14"/>
              </w:rPr>
              <w:t xml:space="preserve">Общо допустими разходи </w:t>
            </w:r>
          </w:p>
          <w:p w14:paraId="23684389" w14:textId="77777777" w:rsidR="00631C69" w:rsidRPr="00F3512B" w:rsidRDefault="2FA6B974" w:rsidP="2FA6B974">
            <w:pPr>
              <w:spacing w:before="120" w:after="120"/>
              <w:jc w:val="center"/>
              <w:rPr>
                <w:rFonts w:ascii="Arial" w:eastAsia="Times New Roman" w:hAnsi="Arial" w:cs="Arial"/>
                <w:b/>
                <w:bCs/>
                <w:color w:val="000000" w:themeColor="text1"/>
                <w:sz w:val="14"/>
                <w:szCs w:val="14"/>
              </w:rPr>
            </w:pPr>
            <w:r>
              <w:rPr>
                <w:rFonts w:ascii="Arial" w:hAnsi="Arial"/>
                <w:b/>
                <w:bCs/>
                <w:color w:val="808080" w:themeColor="text1" w:themeTint="7F"/>
                <w:sz w:val="12"/>
                <w:szCs w:val="12"/>
              </w:rPr>
              <w:t>(БЕН)</w:t>
            </w:r>
          </w:p>
        </w:tc>
        <w:tc>
          <w:tcPr>
            <w:tcW w:w="1164" w:type="pct"/>
            <w:shd w:val="clear" w:color="auto" w:fill="D9D9D9" w:themeFill="background1" w:themeFillShade="D9"/>
          </w:tcPr>
          <w:p w14:paraId="2AB3D03D" w14:textId="77777777" w:rsidR="00631C69" w:rsidRPr="00F3512B" w:rsidRDefault="2FA6B974" w:rsidP="2FA6B974">
            <w:pPr>
              <w:spacing w:before="120" w:after="120"/>
              <w:jc w:val="center"/>
              <w:rPr>
                <w:rFonts w:ascii="Arial" w:eastAsia="Times New Roman" w:hAnsi="Arial" w:cs="Arial"/>
                <w:b/>
                <w:bCs/>
                <w:color w:val="000000" w:themeColor="text1"/>
                <w:sz w:val="14"/>
                <w:szCs w:val="14"/>
              </w:rPr>
            </w:pPr>
            <w:r>
              <w:rPr>
                <w:rFonts w:ascii="Arial" w:hAnsi="Arial"/>
                <w:b/>
                <w:bCs/>
                <w:color w:val="000000" w:themeColor="text1"/>
                <w:sz w:val="14"/>
                <w:szCs w:val="14"/>
              </w:rPr>
              <w:t>Процент на финасиране</w:t>
            </w:r>
          </w:p>
          <w:p w14:paraId="4F487978" w14:textId="77777777" w:rsidR="00631C69" w:rsidRPr="00F3512B" w:rsidRDefault="2FA6B974" w:rsidP="2FA6B974">
            <w:pPr>
              <w:spacing w:before="120" w:after="120"/>
              <w:jc w:val="center"/>
              <w:rPr>
                <w:rFonts w:ascii="Arial" w:eastAsia="Times New Roman" w:hAnsi="Arial" w:cs="Arial"/>
                <w:b/>
                <w:bCs/>
                <w:color w:val="808080" w:themeColor="text1" w:themeTint="7F"/>
                <w:sz w:val="12"/>
                <w:szCs w:val="12"/>
              </w:rPr>
            </w:pPr>
            <w:r>
              <w:rPr>
                <w:rFonts w:ascii="Arial" w:hAnsi="Arial"/>
                <w:b/>
                <w:bCs/>
                <w:color w:val="808080" w:themeColor="text1" w:themeTint="7F"/>
                <w:sz w:val="12"/>
                <w:szCs w:val="12"/>
              </w:rPr>
              <w:t>(%)</w:t>
            </w:r>
          </w:p>
          <w:p w14:paraId="2A68CB1C" w14:textId="77777777" w:rsidR="00631C69" w:rsidRPr="00F3512B" w:rsidRDefault="00631C69" w:rsidP="00B217B2">
            <w:pPr>
              <w:spacing w:before="120" w:after="120"/>
              <w:jc w:val="center"/>
              <w:rPr>
                <w:rFonts w:ascii="Arial" w:eastAsia="Times New Roman" w:hAnsi="Arial" w:cs="Arial"/>
                <w:b/>
                <w:bCs/>
                <w:color w:val="000000"/>
                <w:sz w:val="14"/>
                <w:szCs w:val="14"/>
                <w:lang w:eastAsia="en-GB"/>
              </w:rPr>
            </w:pPr>
          </w:p>
        </w:tc>
        <w:tc>
          <w:tcPr>
            <w:tcW w:w="924" w:type="pct"/>
            <w:shd w:val="clear" w:color="auto" w:fill="D9D9D9" w:themeFill="background1" w:themeFillShade="D9"/>
          </w:tcPr>
          <w:p w14:paraId="1144B4D6" w14:textId="77777777" w:rsidR="00631C69" w:rsidRPr="00F3512B" w:rsidRDefault="2FA6B974" w:rsidP="2FA6B974">
            <w:pPr>
              <w:spacing w:before="120" w:after="120"/>
              <w:jc w:val="center"/>
              <w:rPr>
                <w:rFonts w:ascii="Arial" w:eastAsia="Times New Roman" w:hAnsi="Arial" w:cs="Arial"/>
                <w:b/>
                <w:bCs/>
                <w:color w:val="000000" w:themeColor="text1"/>
                <w:sz w:val="14"/>
                <w:szCs w:val="14"/>
              </w:rPr>
            </w:pPr>
            <w:r>
              <w:rPr>
                <w:rFonts w:ascii="Arial" w:hAnsi="Arial"/>
                <w:b/>
                <w:bCs/>
                <w:color w:val="000000" w:themeColor="text1"/>
                <w:sz w:val="14"/>
                <w:szCs w:val="14"/>
              </w:rPr>
              <w:t>Максимален размер на безвъзмездните средства</w:t>
            </w:r>
          </w:p>
          <w:p w14:paraId="13DA2A0C" w14:textId="77777777" w:rsidR="00631C69" w:rsidRPr="00F3512B" w:rsidRDefault="2FA6B974" w:rsidP="2FA6B974">
            <w:pPr>
              <w:spacing w:before="120" w:after="120"/>
              <w:jc w:val="center"/>
              <w:rPr>
                <w:rFonts w:ascii="Arial" w:eastAsia="Times New Roman" w:hAnsi="Arial" w:cs="Arial"/>
                <w:b/>
                <w:bCs/>
                <w:color w:val="000000" w:themeColor="text1"/>
                <w:sz w:val="14"/>
                <w:szCs w:val="14"/>
              </w:rPr>
            </w:pPr>
            <w:r>
              <w:rPr>
                <w:rFonts w:ascii="Arial" w:hAnsi="Arial"/>
                <w:b/>
                <w:bCs/>
                <w:color w:val="808080" w:themeColor="text1" w:themeTint="7F"/>
                <w:sz w:val="12"/>
                <w:szCs w:val="12"/>
              </w:rPr>
              <w:t>(Приложение 2)</w:t>
            </w:r>
          </w:p>
        </w:tc>
        <w:tc>
          <w:tcPr>
            <w:tcW w:w="1274" w:type="pct"/>
            <w:shd w:val="clear" w:color="auto" w:fill="D9D9D9" w:themeFill="background1" w:themeFillShade="D9"/>
          </w:tcPr>
          <w:p w14:paraId="125BCEA5" w14:textId="77777777" w:rsidR="00631C69" w:rsidRPr="00F3512B" w:rsidRDefault="2FA6B974" w:rsidP="2FA6B974">
            <w:pPr>
              <w:spacing w:before="120" w:after="120"/>
              <w:jc w:val="center"/>
              <w:rPr>
                <w:rFonts w:ascii="Arial" w:eastAsia="Times New Roman" w:hAnsi="Arial" w:cs="Arial"/>
                <w:b/>
                <w:bCs/>
                <w:color w:val="000000" w:themeColor="text1"/>
                <w:sz w:val="14"/>
                <w:szCs w:val="14"/>
              </w:rPr>
            </w:pPr>
            <w:r>
              <w:rPr>
                <w:rFonts w:ascii="Arial" w:hAnsi="Arial"/>
                <w:b/>
                <w:bCs/>
                <w:color w:val="000000" w:themeColor="text1"/>
                <w:sz w:val="14"/>
                <w:szCs w:val="14"/>
              </w:rPr>
              <w:t xml:space="preserve">Максимален размер на безвъзмездните средства </w:t>
            </w:r>
          </w:p>
          <w:p w14:paraId="67133BEC" w14:textId="77777777" w:rsidR="00631C69" w:rsidRPr="00F3512B" w:rsidRDefault="2FA6B974" w:rsidP="2FA6B974">
            <w:pPr>
              <w:spacing w:before="120" w:after="120"/>
              <w:jc w:val="center"/>
              <w:rPr>
                <w:rFonts w:ascii="Arial" w:eastAsia="Times New Roman" w:hAnsi="Arial" w:cs="Arial"/>
                <w:i/>
                <w:iCs/>
                <w:color w:val="FF0000"/>
                <w:sz w:val="14"/>
                <w:szCs w:val="14"/>
                <w:highlight w:val="yellow"/>
              </w:rPr>
            </w:pPr>
            <w:r>
              <w:rPr>
                <w:rFonts w:ascii="Arial" w:hAnsi="Arial"/>
                <w:b/>
                <w:bCs/>
                <w:color w:val="808080" w:themeColor="text1" w:themeTint="7F"/>
                <w:sz w:val="12"/>
                <w:szCs w:val="12"/>
              </w:rPr>
              <w:t>(решение за отпускането на безвъзмездните средства)</w:t>
            </w:r>
          </w:p>
        </w:tc>
      </w:tr>
      <w:tr w:rsidR="00631C69" w:rsidRPr="00F3512B" w14:paraId="62F3AEEF" w14:textId="77777777" w:rsidTr="2FA6B974">
        <w:trPr>
          <w:trHeight w:val="264"/>
        </w:trPr>
        <w:tc>
          <w:tcPr>
            <w:tcW w:w="1637" w:type="pct"/>
          </w:tcPr>
          <w:p w14:paraId="4D0E1DD2" w14:textId="77777777" w:rsidR="00631C69" w:rsidRPr="00F3512B" w:rsidRDefault="2FA6B974" w:rsidP="2FA6B974">
            <w:pPr>
              <w:spacing w:before="120" w:after="120"/>
              <w:jc w:val="center"/>
              <w:rPr>
                <w:rFonts w:ascii="Arial" w:eastAsia="Times New Roman" w:hAnsi="Arial" w:cs="Arial"/>
                <w:sz w:val="14"/>
                <w:szCs w:val="14"/>
              </w:rPr>
            </w:pPr>
            <w:r>
              <w:rPr>
                <w:rFonts w:ascii="Arial" w:hAnsi="Arial"/>
                <w:sz w:val="14"/>
                <w:szCs w:val="14"/>
              </w:rPr>
              <w:t>[</w:t>
            </w:r>
            <w:r>
              <w:rPr>
                <w:rFonts w:ascii="Arial" w:hAnsi="Arial"/>
                <w:sz w:val="14"/>
                <w:szCs w:val="14"/>
                <w:highlight w:val="lightGray"/>
              </w:rPr>
              <w:t>сума</w:t>
            </w:r>
            <w:r>
              <w:rPr>
                <w:rFonts w:ascii="Arial" w:hAnsi="Arial"/>
                <w:sz w:val="14"/>
                <w:szCs w:val="14"/>
              </w:rPr>
              <w:t>]</w:t>
            </w:r>
          </w:p>
        </w:tc>
        <w:tc>
          <w:tcPr>
            <w:tcW w:w="1164" w:type="pct"/>
          </w:tcPr>
          <w:p w14:paraId="1B3A4528" w14:textId="77777777" w:rsidR="00631C69" w:rsidRPr="00F3512B" w:rsidRDefault="2FA6B974" w:rsidP="2FA6B974">
            <w:pPr>
              <w:spacing w:before="120" w:after="120"/>
              <w:jc w:val="center"/>
              <w:rPr>
                <w:rFonts w:ascii="Arial" w:eastAsia="Times New Roman" w:hAnsi="Arial" w:cs="Arial"/>
                <w:sz w:val="14"/>
                <w:szCs w:val="14"/>
              </w:rPr>
            </w:pPr>
            <w:r>
              <w:rPr>
                <w:rFonts w:ascii="Arial" w:hAnsi="Arial"/>
                <w:sz w:val="14"/>
                <w:szCs w:val="14"/>
              </w:rPr>
              <w:t>[</w:t>
            </w:r>
            <w:r>
              <w:rPr>
                <w:rFonts w:ascii="Arial" w:hAnsi="Arial"/>
                <w:sz w:val="14"/>
                <w:szCs w:val="14"/>
                <w:highlight w:val="lightGray"/>
              </w:rPr>
              <w:t>...</w:t>
            </w:r>
            <w:r>
              <w:rPr>
                <w:rFonts w:ascii="Arial" w:hAnsi="Arial"/>
                <w:sz w:val="14"/>
                <w:szCs w:val="14"/>
              </w:rPr>
              <w:t>], [</w:t>
            </w:r>
            <w:r>
              <w:rPr>
                <w:rFonts w:ascii="Arial" w:hAnsi="Arial"/>
                <w:sz w:val="14"/>
                <w:szCs w:val="14"/>
                <w:highlight w:val="lightGray"/>
              </w:rPr>
              <w:t>…</w:t>
            </w:r>
            <w:r>
              <w:rPr>
                <w:rFonts w:ascii="Arial" w:hAnsi="Arial"/>
                <w:sz w:val="14"/>
                <w:szCs w:val="14"/>
              </w:rPr>
              <w:t>]</w:t>
            </w:r>
          </w:p>
        </w:tc>
        <w:tc>
          <w:tcPr>
            <w:tcW w:w="924" w:type="pct"/>
          </w:tcPr>
          <w:p w14:paraId="257BD06C" w14:textId="77777777" w:rsidR="00631C69" w:rsidRPr="00F3512B" w:rsidRDefault="2FA6B974" w:rsidP="2FA6B974">
            <w:pPr>
              <w:spacing w:before="120" w:after="120"/>
              <w:jc w:val="center"/>
              <w:rPr>
                <w:rFonts w:ascii="Arial" w:eastAsia="Times New Roman" w:hAnsi="Arial" w:cs="Arial"/>
                <w:sz w:val="14"/>
                <w:szCs w:val="14"/>
              </w:rPr>
            </w:pPr>
            <w:r>
              <w:rPr>
                <w:rFonts w:ascii="Arial" w:hAnsi="Arial"/>
                <w:sz w:val="14"/>
                <w:szCs w:val="14"/>
              </w:rPr>
              <w:t>[</w:t>
            </w:r>
            <w:r>
              <w:rPr>
                <w:rFonts w:ascii="Arial" w:hAnsi="Arial"/>
                <w:sz w:val="14"/>
                <w:szCs w:val="14"/>
                <w:highlight w:val="lightGray"/>
              </w:rPr>
              <w:t>сума</w:t>
            </w:r>
            <w:r>
              <w:rPr>
                <w:rFonts w:ascii="Arial" w:hAnsi="Arial"/>
                <w:sz w:val="14"/>
                <w:szCs w:val="14"/>
              </w:rPr>
              <w:t>]</w:t>
            </w:r>
          </w:p>
        </w:tc>
        <w:tc>
          <w:tcPr>
            <w:tcW w:w="1274" w:type="pct"/>
          </w:tcPr>
          <w:p w14:paraId="46B32DDF" w14:textId="29B0DB0F" w:rsidR="00631C69" w:rsidRPr="00F3512B" w:rsidRDefault="2FA6B974" w:rsidP="2FA6B974">
            <w:pPr>
              <w:spacing w:before="120" w:after="120"/>
              <w:jc w:val="center"/>
              <w:rPr>
                <w:rFonts w:ascii="Arial" w:eastAsia="Times New Roman" w:hAnsi="Arial" w:cs="Arial"/>
                <w:sz w:val="14"/>
                <w:szCs w:val="14"/>
              </w:rPr>
            </w:pPr>
            <w:r>
              <w:rPr>
                <w:rFonts w:ascii="Arial" w:hAnsi="Arial"/>
                <w:sz w:val="14"/>
                <w:szCs w:val="14"/>
              </w:rPr>
              <w:t>[</w:t>
            </w:r>
            <w:r>
              <w:rPr>
                <w:rFonts w:ascii="Arial" w:hAnsi="Arial"/>
                <w:sz w:val="14"/>
                <w:szCs w:val="14"/>
                <w:highlight w:val="lightGray"/>
              </w:rPr>
              <w:t>сума</w:t>
            </w:r>
            <w:r>
              <w:rPr>
                <w:rFonts w:ascii="Arial" w:hAnsi="Arial"/>
                <w:sz w:val="14"/>
                <w:szCs w:val="14"/>
              </w:rPr>
              <w:t>]</w:t>
            </w:r>
          </w:p>
        </w:tc>
      </w:tr>
    </w:tbl>
    <w:p w14:paraId="69BF4129" w14:textId="77777777" w:rsidR="00B217B2" w:rsidRDefault="00B217B2" w:rsidP="008907F4">
      <w:pPr>
        <w:spacing w:after="120"/>
        <w:jc w:val="left"/>
        <w:rPr>
          <w:rFonts w:cs="Times New Roman"/>
          <w:b/>
          <w:sz w:val="20"/>
          <w:szCs w:val="20"/>
        </w:rPr>
      </w:pPr>
    </w:p>
    <w:p w14:paraId="23C8F32A" w14:textId="77777777" w:rsidR="00631C69" w:rsidRDefault="00631C69" w:rsidP="008907F4">
      <w:pPr>
        <w:spacing w:after="120"/>
        <w:jc w:val="left"/>
        <w:rPr>
          <w:rFonts w:cs="Times New Roman"/>
          <w:b/>
          <w:sz w:val="20"/>
          <w:szCs w:val="20"/>
        </w:rPr>
      </w:pPr>
    </w:p>
    <w:p w14:paraId="6C48E671" w14:textId="77777777" w:rsidR="00631C69" w:rsidRDefault="00631C69" w:rsidP="008907F4">
      <w:pPr>
        <w:spacing w:after="120"/>
        <w:jc w:val="left"/>
        <w:rPr>
          <w:rFonts w:cs="Times New Roman"/>
          <w:b/>
          <w:sz w:val="20"/>
          <w:szCs w:val="20"/>
        </w:rPr>
      </w:pPr>
    </w:p>
    <w:p w14:paraId="5588BFCC" w14:textId="77777777" w:rsidR="00631C69" w:rsidRDefault="00631C69" w:rsidP="008907F4">
      <w:pPr>
        <w:spacing w:after="120"/>
        <w:jc w:val="left"/>
        <w:rPr>
          <w:rFonts w:cs="Times New Roman"/>
          <w:b/>
          <w:sz w:val="20"/>
          <w:szCs w:val="20"/>
        </w:rPr>
      </w:pPr>
    </w:p>
    <w:p w14:paraId="15C4ADB6" w14:textId="77777777" w:rsidR="00631C69" w:rsidRDefault="00631C69" w:rsidP="008907F4">
      <w:pPr>
        <w:spacing w:after="120"/>
        <w:jc w:val="left"/>
        <w:rPr>
          <w:rFonts w:cs="Times New Roman"/>
          <w:b/>
          <w:sz w:val="20"/>
          <w:szCs w:val="20"/>
        </w:rPr>
      </w:pPr>
    </w:p>
    <w:p w14:paraId="53528DA8" w14:textId="77777777" w:rsidR="00631C69" w:rsidRDefault="00631C69" w:rsidP="008907F4">
      <w:pPr>
        <w:spacing w:after="120"/>
        <w:jc w:val="left"/>
        <w:rPr>
          <w:rFonts w:cs="Times New Roman"/>
          <w:b/>
          <w:sz w:val="20"/>
          <w:szCs w:val="20"/>
        </w:rPr>
      </w:pPr>
    </w:p>
    <w:p w14:paraId="398AE862" w14:textId="5E1E8148" w:rsidR="008907F4" w:rsidRPr="00523306" w:rsidRDefault="2FA6B974" w:rsidP="2FA6B974">
      <w:pPr>
        <w:spacing w:after="120"/>
        <w:jc w:val="left"/>
        <w:rPr>
          <w:rFonts w:cs="Times New Roman"/>
          <w:sz w:val="20"/>
          <w:szCs w:val="20"/>
        </w:rPr>
      </w:pPr>
      <w:r>
        <w:rPr>
          <w:b/>
          <w:bCs/>
          <w:sz w:val="20"/>
          <w:szCs w:val="20"/>
        </w:rPr>
        <w:t>Форма на безвъзмездните средства:</w:t>
      </w:r>
      <w:r>
        <w:rPr>
          <w:sz w:val="20"/>
          <w:szCs w:val="20"/>
        </w:rPr>
        <w:t xml:space="preserve"> по бюджет</w:t>
      </w:r>
    </w:p>
    <w:p w14:paraId="2101BE1C" w14:textId="77777777" w:rsidR="008907F4" w:rsidRPr="00A93C38" w:rsidRDefault="2FA6B974" w:rsidP="2FA6B974">
      <w:pPr>
        <w:spacing w:after="120"/>
        <w:jc w:val="left"/>
        <w:rPr>
          <w:rFonts w:cs="Times New Roman"/>
          <w:sz w:val="20"/>
          <w:szCs w:val="20"/>
        </w:rPr>
      </w:pPr>
      <w:r>
        <w:rPr>
          <w:b/>
          <w:bCs/>
          <w:sz w:val="20"/>
          <w:szCs w:val="20"/>
        </w:rPr>
        <w:t xml:space="preserve">Начин на предоставяне на безвъзмездните средства: </w:t>
      </w:r>
      <w:r>
        <w:rPr>
          <w:sz w:val="20"/>
          <w:szCs w:val="20"/>
        </w:rPr>
        <w:t>безвъзмездни средства за дейност</w:t>
      </w:r>
    </w:p>
    <w:p w14:paraId="5AE70F16" w14:textId="3C8D79F1" w:rsidR="008907F4" w:rsidRPr="00900AB9" w:rsidRDefault="2FA6B974" w:rsidP="2FA6B974">
      <w:pPr>
        <w:spacing w:after="120"/>
        <w:jc w:val="left"/>
        <w:rPr>
          <w:rFonts w:eastAsia="Times New Roman"/>
          <w:sz w:val="20"/>
          <w:szCs w:val="20"/>
          <w:highlight w:val="lightGray"/>
        </w:rPr>
      </w:pPr>
      <w:r>
        <w:rPr>
          <w:b/>
          <w:bCs/>
          <w:sz w:val="20"/>
          <w:szCs w:val="20"/>
        </w:rPr>
        <w:t>Бюджетни категории/видове дейности:</w:t>
      </w:r>
      <w:r>
        <w:rPr>
          <w:sz w:val="20"/>
          <w:szCs w:val="20"/>
        </w:rPr>
        <w:t xml:space="preserve"> </w:t>
      </w:r>
    </w:p>
    <w:p w14:paraId="6D3AB3CE" w14:textId="77777777" w:rsidR="008907F4" w:rsidRPr="00B217B2" w:rsidRDefault="2FA6B974" w:rsidP="2FA6B974">
      <w:pPr>
        <w:widowControl w:val="0"/>
        <w:numPr>
          <w:ilvl w:val="0"/>
          <w:numId w:val="40"/>
        </w:numPr>
        <w:spacing w:after="120"/>
        <w:ind w:left="3119"/>
        <w:jc w:val="left"/>
        <w:rPr>
          <w:rFonts w:eastAsia="Calibri" w:cs="Arial"/>
          <w:sz w:val="20"/>
          <w:szCs w:val="20"/>
        </w:rPr>
      </w:pPr>
      <w:r>
        <w:rPr>
          <w:sz w:val="20"/>
          <w:szCs w:val="20"/>
        </w:rPr>
        <w:t>А. Разходи за персонал</w:t>
      </w:r>
    </w:p>
    <w:p w14:paraId="0010C67F" w14:textId="26BD9C45" w:rsidR="008907F4" w:rsidRPr="00B217B2" w:rsidRDefault="2FA6B974" w:rsidP="2FA6B974">
      <w:pPr>
        <w:widowControl w:val="0"/>
        <w:numPr>
          <w:ilvl w:val="0"/>
          <w:numId w:val="40"/>
        </w:numPr>
        <w:spacing w:after="120"/>
        <w:ind w:left="3544"/>
        <w:jc w:val="left"/>
        <w:rPr>
          <w:rFonts w:eastAsia="Calibri" w:cs="Arial"/>
          <w:sz w:val="20"/>
          <w:szCs w:val="20"/>
        </w:rPr>
      </w:pPr>
      <w:r>
        <w:rPr>
          <w:sz w:val="20"/>
          <w:szCs w:val="20"/>
        </w:rPr>
        <w:t xml:space="preserve">А.1 Служители, А.2 Физически лица, с които пряко е сключен договор, А.3 Командировани лица </w:t>
      </w:r>
    </w:p>
    <w:p w14:paraId="007FE165" w14:textId="77777777" w:rsidR="00B217B2" w:rsidRPr="00974291" w:rsidRDefault="2FA6B974" w:rsidP="2FA6B974">
      <w:pPr>
        <w:widowControl w:val="0"/>
        <w:numPr>
          <w:ilvl w:val="0"/>
          <w:numId w:val="40"/>
        </w:numPr>
        <w:spacing w:after="120"/>
        <w:ind w:left="3544"/>
        <w:jc w:val="left"/>
        <w:rPr>
          <w:rFonts w:eastAsia="Calibri" w:cs="Arial"/>
          <w:sz w:val="20"/>
          <w:szCs w:val="20"/>
        </w:rPr>
      </w:pPr>
      <w:r>
        <w:rPr>
          <w:sz w:val="20"/>
          <w:szCs w:val="20"/>
        </w:rPr>
        <w:t xml:space="preserve">A.4 Собственици на МСП и бенефициери физически лица </w:t>
      </w:r>
    </w:p>
    <w:p w14:paraId="1E9BB5E7" w14:textId="77777777" w:rsidR="008907F4" w:rsidRPr="00B217B2" w:rsidRDefault="2FA6B974" w:rsidP="2FA6B974">
      <w:pPr>
        <w:widowControl w:val="0"/>
        <w:numPr>
          <w:ilvl w:val="0"/>
          <w:numId w:val="40"/>
        </w:numPr>
        <w:spacing w:after="120"/>
        <w:ind w:left="3119"/>
        <w:jc w:val="left"/>
        <w:rPr>
          <w:rFonts w:eastAsia="Calibri" w:cs="Arial"/>
          <w:sz w:val="20"/>
          <w:szCs w:val="20"/>
        </w:rPr>
      </w:pPr>
      <w:r>
        <w:rPr>
          <w:sz w:val="20"/>
          <w:szCs w:val="20"/>
        </w:rPr>
        <w:t xml:space="preserve">Б. Разходи за подизпълнители </w:t>
      </w:r>
    </w:p>
    <w:p w14:paraId="569E287F" w14:textId="77777777" w:rsidR="008907F4" w:rsidRPr="00B217B2" w:rsidRDefault="2FA6B974" w:rsidP="2FA6B974">
      <w:pPr>
        <w:widowControl w:val="0"/>
        <w:numPr>
          <w:ilvl w:val="0"/>
          <w:numId w:val="40"/>
        </w:numPr>
        <w:spacing w:after="120"/>
        <w:ind w:left="3119"/>
        <w:jc w:val="left"/>
        <w:rPr>
          <w:rFonts w:eastAsia="Calibri" w:cs="Arial"/>
          <w:sz w:val="20"/>
          <w:szCs w:val="20"/>
        </w:rPr>
      </w:pPr>
      <w:r>
        <w:rPr>
          <w:sz w:val="20"/>
          <w:szCs w:val="20"/>
        </w:rPr>
        <w:t>В. Разходи за закупуване</w:t>
      </w:r>
    </w:p>
    <w:p w14:paraId="0C8485DA" w14:textId="77777777" w:rsidR="008907F4" w:rsidRPr="00B217B2" w:rsidRDefault="2FA6B974" w:rsidP="2FA6B974">
      <w:pPr>
        <w:widowControl w:val="0"/>
        <w:numPr>
          <w:ilvl w:val="0"/>
          <w:numId w:val="40"/>
        </w:numPr>
        <w:spacing w:after="120"/>
        <w:ind w:left="3544"/>
        <w:jc w:val="left"/>
        <w:rPr>
          <w:rFonts w:eastAsia="Calibri" w:cs="Arial"/>
          <w:sz w:val="20"/>
          <w:szCs w:val="20"/>
        </w:rPr>
      </w:pPr>
      <w:r>
        <w:rPr>
          <w:sz w:val="20"/>
          <w:szCs w:val="20"/>
        </w:rPr>
        <w:t>В.1 Пътни и дневни разходи</w:t>
      </w:r>
    </w:p>
    <w:p w14:paraId="530FBD62" w14:textId="77777777" w:rsidR="008907F4" w:rsidRPr="00B217B2" w:rsidRDefault="2FA6B974" w:rsidP="2FA6B974">
      <w:pPr>
        <w:widowControl w:val="0"/>
        <w:numPr>
          <w:ilvl w:val="0"/>
          <w:numId w:val="40"/>
        </w:numPr>
        <w:spacing w:after="120"/>
        <w:ind w:left="3544"/>
        <w:jc w:val="left"/>
        <w:rPr>
          <w:rFonts w:eastAsia="Calibri" w:cs="Arial"/>
          <w:sz w:val="20"/>
          <w:szCs w:val="20"/>
        </w:rPr>
      </w:pPr>
      <w:r>
        <w:rPr>
          <w:sz w:val="20"/>
          <w:szCs w:val="20"/>
        </w:rPr>
        <w:t xml:space="preserve">В.2. Оборудване </w:t>
      </w:r>
    </w:p>
    <w:p w14:paraId="1DE1337E" w14:textId="77777777" w:rsidR="008907F4" w:rsidRPr="00B217B2" w:rsidRDefault="2FA6B974" w:rsidP="2FA6B974">
      <w:pPr>
        <w:widowControl w:val="0"/>
        <w:numPr>
          <w:ilvl w:val="0"/>
          <w:numId w:val="40"/>
        </w:numPr>
        <w:spacing w:after="120"/>
        <w:ind w:left="3544"/>
        <w:jc w:val="left"/>
        <w:rPr>
          <w:rFonts w:eastAsia="Calibri" w:cs="Arial"/>
          <w:sz w:val="20"/>
          <w:szCs w:val="20"/>
        </w:rPr>
      </w:pPr>
      <w:r>
        <w:rPr>
          <w:sz w:val="20"/>
          <w:szCs w:val="20"/>
        </w:rPr>
        <w:t xml:space="preserve">В.3 Други стоки, строителство или услуги </w:t>
      </w:r>
    </w:p>
    <w:p w14:paraId="638128E9" w14:textId="77777777" w:rsidR="008907F4" w:rsidRPr="00B217B2" w:rsidRDefault="2FA6B974" w:rsidP="2FA6B974">
      <w:pPr>
        <w:widowControl w:val="0"/>
        <w:numPr>
          <w:ilvl w:val="0"/>
          <w:numId w:val="40"/>
        </w:numPr>
        <w:spacing w:after="120"/>
        <w:ind w:left="3119"/>
        <w:jc w:val="left"/>
        <w:rPr>
          <w:rFonts w:eastAsia="Calibri" w:cs="Arial"/>
          <w:sz w:val="20"/>
          <w:szCs w:val="20"/>
        </w:rPr>
      </w:pPr>
      <w:r>
        <w:rPr>
          <w:i/>
          <w:iCs/>
          <w:color w:val="FF0000"/>
          <w:sz w:val="20"/>
          <w:szCs w:val="20"/>
        </w:rPr>
        <w:t xml:space="preserve"> </w:t>
      </w:r>
      <w:r>
        <w:rPr>
          <w:sz w:val="20"/>
          <w:szCs w:val="20"/>
        </w:rPr>
        <w:t>Г. Други категории разходи</w:t>
      </w:r>
    </w:p>
    <w:p w14:paraId="6D0B5F10" w14:textId="77777777" w:rsidR="008907F4" w:rsidRPr="00B217B2" w:rsidRDefault="2FA6B974" w:rsidP="2FA6B974">
      <w:pPr>
        <w:widowControl w:val="0"/>
        <w:numPr>
          <w:ilvl w:val="0"/>
          <w:numId w:val="40"/>
        </w:numPr>
        <w:spacing w:after="120"/>
        <w:ind w:left="3544"/>
        <w:jc w:val="left"/>
        <w:rPr>
          <w:rFonts w:cs="Times New Roman"/>
          <w:sz w:val="20"/>
          <w:szCs w:val="20"/>
        </w:rPr>
      </w:pPr>
      <w:r>
        <w:rPr>
          <w:sz w:val="20"/>
          <w:szCs w:val="20"/>
        </w:rPr>
        <w:t>Г.1 Финансова подкрепа за трети страни</w:t>
      </w:r>
    </w:p>
    <w:p w14:paraId="684AE2A5" w14:textId="77777777" w:rsidR="008907F4" w:rsidRPr="00B217B2" w:rsidRDefault="2FA6B974" w:rsidP="2FA6B974">
      <w:pPr>
        <w:widowControl w:val="0"/>
        <w:numPr>
          <w:ilvl w:val="0"/>
          <w:numId w:val="40"/>
        </w:numPr>
        <w:spacing w:after="120"/>
        <w:ind w:left="3119"/>
        <w:jc w:val="left"/>
        <w:rPr>
          <w:rFonts w:eastAsia="Calibri" w:cs="Arial"/>
          <w:sz w:val="20"/>
          <w:szCs w:val="20"/>
        </w:rPr>
      </w:pPr>
      <w:r>
        <w:rPr>
          <w:sz w:val="20"/>
          <w:szCs w:val="20"/>
        </w:rPr>
        <w:t>Д. Непреки разходи</w:t>
      </w:r>
    </w:p>
    <w:p w14:paraId="1BE5BB45" w14:textId="77777777" w:rsidR="008907F4" w:rsidRPr="000708F2" w:rsidRDefault="008907F4" w:rsidP="2FA6B974">
      <w:pPr>
        <w:spacing w:after="120"/>
        <w:jc w:val="left"/>
        <w:rPr>
          <w:rFonts w:cs="Times New Roman"/>
          <w:b/>
          <w:bCs/>
          <w:sz w:val="20"/>
          <w:szCs w:val="20"/>
        </w:rPr>
      </w:pPr>
      <w:r>
        <w:rPr>
          <w:b/>
          <w:bCs/>
          <w:sz w:val="20"/>
          <w:szCs w:val="20"/>
        </w:rPr>
        <w:lastRenderedPageBreak/>
        <w:t xml:space="preserve">Варианти за допустимост на разходите: </w:t>
      </w:r>
      <w:r>
        <w:tab/>
      </w:r>
    </w:p>
    <w:p w14:paraId="574E0C0C" w14:textId="77777777" w:rsidR="008907F4" w:rsidRPr="003F0E52" w:rsidRDefault="008907F4" w:rsidP="2FA6B974">
      <w:pPr>
        <w:widowControl w:val="0"/>
        <w:numPr>
          <w:ilvl w:val="0"/>
          <w:numId w:val="40"/>
        </w:numPr>
        <w:spacing w:after="120"/>
        <w:ind w:left="851"/>
        <w:jc w:val="left"/>
        <w:rPr>
          <w:rFonts w:eastAsia="Calibri" w:cs="Times New Roman"/>
          <w:strike/>
          <w:sz w:val="20"/>
          <w:szCs w:val="20"/>
        </w:rPr>
      </w:pPr>
      <w:r>
        <w:rPr>
          <w:sz w:val="20"/>
          <w:szCs w:val="20"/>
        </w:rPr>
        <w:t>Стандартни допълнителни плащания</w:t>
      </w:r>
      <w:r>
        <w:tab/>
      </w:r>
      <w:r>
        <w:rPr>
          <w:i/>
          <w:iCs/>
          <w:strike/>
          <w:color w:val="FF0000"/>
          <w:sz w:val="20"/>
          <w:szCs w:val="20"/>
        </w:rPr>
        <w:t xml:space="preserve"> </w:t>
      </w:r>
    </w:p>
    <w:p w14:paraId="68311B39" w14:textId="77777777" w:rsidR="008907F4" w:rsidRDefault="2FA6B974" w:rsidP="2FA6B974">
      <w:pPr>
        <w:widowControl w:val="0"/>
        <w:numPr>
          <w:ilvl w:val="0"/>
          <w:numId w:val="40"/>
        </w:numPr>
        <w:spacing w:after="120"/>
        <w:ind w:left="851"/>
        <w:rPr>
          <w:rFonts w:cs="Times New Roman"/>
          <w:sz w:val="20"/>
          <w:szCs w:val="20"/>
        </w:rPr>
      </w:pPr>
      <w:r>
        <w:rPr>
          <w:i/>
          <w:iCs/>
          <w:color w:val="FF0000"/>
          <w:sz w:val="20"/>
          <w:szCs w:val="20"/>
        </w:rPr>
        <w:t xml:space="preserve"> </w:t>
      </w:r>
      <w:r>
        <w:rPr>
          <w:sz w:val="20"/>
          <w:szCs w:val="20"/>
        </w:rPr>
        <w:t xml:space="preserve">Пътни и дневни разходи: </w:t>
      </w:r>
    </w:p>
    <w:p w14:paraId="3EEE4501" w14:textId="77777777" w:rsidR="008907F4" w:rsidRPr="004E345F" w:rsidRDefault="2FA6B974" w:rsidP="2FA6B974">
      <w:pPr>
        <w:widowControl w:val="0"/>
        <w:numPr>
          <w:ilvl w:val="0"/>
          <w:numId w:val="40"/>
        </w:numPr>
        <w:spacing w:after="120"/>
        <w:ind w:left="1418"/>
        <w:rPr>
          <w:rFonts w:cs="Times New Roman"/>
          <w:sz w:val="20"/>
          <w:szCs w:val="20"/>
        </w:rPr>
      </w:pPr>
      <w:r>
        <w:rPr>
          <w:sz w:val="20"/>
          <w:szCs w:val="20"/>
        </w:rPr>
        <w:t xml:space="preserve">Пътуване: действителни разходи </w:t>
      </w:r>
    </w:p>
    <w:p w14:paraId="55DA1566" w14:textId="77777777" w:rsidR="008907F4" w:rsidRPr="004E345F" w:rsidRDefault="2FA6B974" w:rsidP="2FA6B974">
      <w:pPr>
        <w:widowControl w:val="0"/>
        <w:numPr>
          <w:ilvl w:val="0"/>
          <w:numId w:val="40"/>
        </w:numPr>
        <w:spacing w:after="120"/>
        <w:ind w:left="1418"/>
        <w:rPr>
          <w:rFonts w:cs="Times New Roman"/>
          <w:sz w:val="20"/>
          <w:szCs w:val="20"/>
        </w:rPr>
      </w:pPr>
      <w:r>
        <w:rPr>
          <w:sz w:val="20"/>
          <w:szCs w:val="20"/>
        </w:rPr>
        <w:t>Настаняване: действителни разходи</w:t>
      </w:r>
    </w:p>
    <w:p w14:paraId="2A73C252" w14:textId="77777777" w:rsidR="008907F4" w:rsidRPr="00247C17" w:rsidRDefault="2FA6B974" w:rsidP="2FA6B974">
      <w:pPr>
        <w:widowControl w:val="0"/>
        <w:numPr>
          <w:ilvl w:val="0"/>
          <w:numId w:val="40"/>
        </w:numPr>
        <w:spacing w:after="120"/>
        <w:ind w:left="1418"/>
        <w:rPr>
          <w:rFonts w:cs="Times New Roman"/>
          <w:sz w:val="20"/>
          <w:szCs w:val="20"/>
        </w:rPr>
      </w:pPr>
      <w:r>
        <w:rPr>
          <w:sz w:val="20"/>
          <w:szCs w:val="20"/>
        </w:rPr>
        <w:t>Дневни: действителни разходи</w:t>
      </w:r>
    </w:p>
    <w:p w14:paraId="35F29C94" w14:textId="77777777" w:rsidR="008907F4" w:rsidRPr="00746F84" w:rsidRDefault="2FA6B974" w:rsidP="2FA6B974">
      <w:pPr>
        <w:widowControl w:val="0"/>
        <w:numPr>
          <w:ilvl w:val="0"/>
          <w:numId w:val="40"/>
        </w:numPr>
        <w:spacing w:after="120"/>
        <w:ind w:left="851"/>
        <w:rPr>
          <w:rFonts w:cs="Times New Roman"/>
          <w:sz w:val="20"/>
          <w:szCs w:val="20"/>
        </w:rPr>
      </w:pPr>
      <w:r>
        <w:rPr>
          <w:sz w:val="20"/>
          <w:szCs w:val="20"/>
        </w:rPr>
        <w:t>Оборудване: единствено амортизационни отчисления</w:t>
      </w:r>
      <w:r>
        <w:rPr>
          <w:i/>
          <w:iCs/>
          <w:strike/>
          <w:color w:val="FF0000"/>
          <w:sz w:val="20"/>
          <w:szCs w:val="20"/>
        </w:rPr>
        <w:t xml:space="preserve"> </w:t>
      </w:r>
    </w:p>
    <w:p w14:paraId="376DBCF9" w14:textId="77777777" w:rsidR="008907F4" w:rsidRPr="009C7B91" w:rsidRDefault="008907F4" w:rsidP="2FA6B974">
      <w:pPr>
        <w:widowControl w:val="0"/>
        <w:numPr>
          <w:ilvl w:val="1"/>
          <w:numId w:val="40"/>
        </w:numPr>
        <w:spacing w:after="120"/>
        <w:ind w:left="879" w:hanging="357"/>
        <w:rPr>
          <w:rFonts w:cs="Times New Roman"/>
          <w:sz w:val="20"/>
          <w:szCs w:val="20"/>
        </w:rPr>
      </w:pPr>
      <w:r>
        <w:rPr>
          <w:sz w:val="20"/>
          <w:szCs w:val="20"/>
        </w:rPr>
        <w:t xml:space="preserve">Разходи за предоставяне на финансова подкрепа за трети страни (действителни разходи; максимален размер за всеки получател EUR </w:t>
      </w:r>
      <w:r>
        <w:rPr>
          <w:i/>
          <w:iCs/>
          <w:color w:val="4AA55B"/>
          <w:sz w:val="20"/>
          <w:szCs w:val="20"/>
        </w:rPr>
        <w:t>[</w:t>
      </w:r>
      <w:r>
        <w:rPr>
          <w:sz w:val="20"/>
          <w:szCs w:val="20"/>
        </w:rPr>
        <w:t>60 000</w:t>
      </w:r>
      <w:r>
        <w:rPr>
          <w:i/>
          <w:iCs/>
          <w:color w:val="4AA55B"/>
          <w:sz w:val="20"/>
          <w:szCs w:val="20"/>
        </w:rPr>
        <w:t>][</w:t>
      </w:r>
      <w:r>
        <w:rPr>
          <w:sz w:val="20"/>
          <w:szCs w:val="20"/>
        </w:rPr>
        <w:t>[</w:t>
      </w:r>
      <w:r>
        <w:rPr>
          <w:sz w:val="20"/>
          <w:szCs w:val="20"/>
          <w:highlight w:val="lightGray"/>
          <w:shd w:val="clear" w:color="auto" w:fill="FFCCFF"/>
        </w:rPr>
        <w:t>…</w:t>
      </w:r>
      <w:r>
        <w:rPr>
          <w:sz w:val="20"/>
          <w:szCs w:val="20"/>
        </w:rPr>
        <w:t>]</w:t>
      </w:r>
      <w:r>
        <w:rPr>
          <w:i/>
          <w:iCs/>
          <w:color w:val="4AA55B"/>
          <w:sz w:val="20"/>
          <w:szCs w:val="20"/>
        </w:rPr>
        <w:t>]</w:t>
      </w:r>
      <w:r>
        <w:rPr>
          <w:rStyle w:val="FootnoteReference"/>
          <w:color w:val="4AA55B"/>
        </w:rPr>
        <w:t xml:space="preserve"> </w:t>
      </w:r>
      <w:r>
        <w:rPr>
          <w:rStyle w:val="FootnoteReference"/>
          <w:color w:val="4AA55B"/>
        </w:rPr>
        <w:footnoteReference w:id="8"/>
      </w:r>
      <w:r>
        <w:rPr>
          <w:sz w:val="20"/>
          <w:szCs w:val="20"/>
        </w:rPr>
        <w:t>)</w:t>
      </w:r>
    </w:p>
    <w:p w14:paraId="07F762D2" w14:textId="77777777" w:rsidR="008907F4" w:rsidRPr="00272EA6" w:rsidRDefault="2FA6B974" w:rsidP="2FA6B974">
      <w:pPr>
        <w:widowControl w:val="0"/>
        <w:numPr>
          <w:ilvl w:val="1"/>
          <w:numId w:val="40"/>
        </w:numPr>
        <w:spacing w:after="120"/>
        <w:ind w:left="879" w:hanging="357"/>
        <w:rPr>
          <w:rFonts w:cs="Times New Roman"/>
          <w:sz w:val="20"/>
          <w:szCs w:val="20"/>
        </w:rPr>
      </w:pPr>
      <w:r>
        <w:rPr>
          <w:sz w:val="20"/>
          <w:szCs w:val="20"/>
        </w:rPr>
        <w:t>Единна ставка за непреките разходи:</w:t>
      </w:r>
      <w:r>
        <w:rPr>
          <w:i/>
          <w:iCs/>
          <w:color w:val="FF0000"/>
          <w:sz w:val="20"/>
          <w:szCs w:val="20"/>
        </w:rPr>
        <w:t xml:space="preserve"> </w:t>
      </w:r>
      <w:r>
        <w:rPr>
          <w:sz w:val="20"/>
          <w:szCs w:val="20"/>
        </w:rPr>
        <w:t>4 % от допустимите разходи за персонал (категория А, с изключение на разходите за доброволци, ако има такива)</w:t>
      </w:r>
    </w:p>
    <w:p w14:paraId="3896B4E8" w14:textId="77777777" w:rsidR="008907F4" w:rsidRPr="00B57F21" w:rsidRDefault="2FA6B974" w:rsidP="2FA6B974">
      <w:pPr>
        <w:widowControl w:val="0"/>
        <w:numPr>
          <w:ilvl w:val="1"/>
          <w:numId w:val="40"/>
        </w:numPr>
        <w:spacing w:after="120"/>
        <w:ind w:left="879" w:hanging="357"/>
        <w:jc w:val="left"/>
        <w:rPr>
          <w:rFonts w:cs="Times New Roman"/>
          <w:sz w:val="20"/>
          <w:szCs w:val="20"/>
        </w:rPr>
      </w:pPr>
      <w:r>
        <w:rPr>
          <w:sz w:val="20"/>
          <w:szCs w:val="20"/>
        </w:rPr>
        <w:t>ДДС: да</w:t>
      </w:r>
    </w:p>
    <w:p w14:paraId="08A6FEFA" w14:textId="6E2A7BB8" w:rsidR="008907F4" w:rsidRPr="00746F84" w:rsidRDefault="2FA6B974" w:rsidP="2FA6B974">
      <w:pPr>
        <w:widowControl w:val="0"/>
        <w:numPr>
          <w:ilvl w:val="1"/>
          <w:numId w:val="40"/>
        </w:numPr>
        <w:spacing w:after="120"/>
        <w:ind w:left="879" w:hanging="357"/>
        <w:jc w:val="left"/>
        <w:rPr>
          <w:rFonts w:cs="Times New Roman"/>
          <w:sz w:val="20"/>
          <w:szCs w:val="20"/>
        </w:rPr>
      </w:pPr>
      <w:r>
        <w:rPr>
          <w:sz w:val="20"/>
          <w:szCs w:val="20"/>
        </w:rPr>
        <w:t>Други недопустими разходи</w:t>
      </w:r>
    </w:p>
    <w:p w14:paraId="0990765E" w14:textId="77777777" w:rsidR="008907F4" w:rsidRPr="000708F2" w:rsidRDefault="2FA6B974" w:rsidP="2FA6B974">
      <w:pPr>
        <w:spacing w:after="120"/>
        <w:jc w:val="left"/>
        <w:rPr>
          <w:sz w:val="20"/>
          <w:szCs w:val="20"/>
        </w:rPr>
      </w:pPr>
      <w:r>
        <w:rPr>
          <w:b/>
          <w:bCs/>
          <w:sz w:val="20"/>
          <w:szCs w:val="20"/>
        </w:rPr>
        <w:t>Бюджетна гъвкавост</w:t>
      </w:r>
      <w:r>
        <w:rPr>
          <w:sz w:val="20"/>
          <w:szCs w:val="20"/>
        </w:rPr>
        <w:t>: да (без лимит за гъвкавостта)</w:t>
      </w:r>
    </w:p>
    <w:p w14:paraId="0619BACF" w14:textId="77777777" w:rsidR="008907F4" w:rsidRPr="003403CF" w:rsidRDefault="2FA6B974" w:rsidP="2FA6B974">
      <w:pPr>
        <w:spacing w:after="120"/>
        <w:jc w:val="left"/>
        <w:rPr>
          <w:rFonts w:cs="Times New Roman"/>
          <w:b/>
          <w:bCs/>
          <w:sz w:val="20"/>
          <w:szCs w:val="20"/>
          <w:u w:val="single"/>
        </w:rPr>
      </w:pPr>
      <w:r>
        <w:rPr>
          <w:b/>
          <w:bCs/>
          <w:sz w:val="20"/>
          <w:szCs w:val="20"/>
          <w:u w:val="single"/>
        </w:rPr>
        <w:t>4. Докладване, плащания и събирания</w:t>
      </w:r>
    </w:p>
    <w:p w14:paraId="242055B1" w14:textId="77777777" w:rsidR="008907F4" w:rsidRPr="009C7B91" w:rsidRDefault="2FA6B974" w:rsidP="2FA6B974">
      <w:pPr>
        <w:spacing w:after="120"/>
        <w:jc w:val="left"/>
        <w:rPr>
          <w:rFonts w:cs="Times New Roman"/>
          <w:sz w:val="20"/>
          <w:szCs w:val="20"/>
        </w:rPr>
      </w:pPr>
      <w:r>
        <w:rPr>
          <w:b/>
          <w:bCs/>
          <w:sz w:val="20"/>
          <w:szCs w:val="20"/>
          <w:u w:val="single"/>
        </w:rPr>
        <w:t>4.1 Доклад за напредъка</w:t>
      </w:r>
      <w:r>
        <w:rPr>
          <w:b/>
          <w:bCs/>
          <w:sz w:val="20"/>
          <w:szCs w:val="20"/>
        </w:rPr>
        <w:t xml:space="preserve"> </w:t>
      </w:r>
      <w:r>
        <w:rPr>
          <w:sz w:val="20"/>
          <w:szCs w:val="20"/>
        </w:rPr>
        <w:t>(член 21)</w:t>
      </w:r>
    </w:p>
    <w:p w14:paraId="07842D83" w14:textId="3A084B9C" w:rsidR="008907F4" w:rsidRPr="00ED0285" w:rsidRDefault="008907F4" w:rsidP="2FA6B974">
      <w:pPr>
        <w:spacing w:after="120"/>
        <w:rPr>
          <w:rFonts w:cs="Times New Roman"/>
          <w:color w:val="FF0000"/>
          <w:sz w:val="20"/>
          <w:szCs w:val="20"/>
        </w:rPr>
      </w:pPr>
      <w:r>
        <w:rPr>
          <w:b/>
          <w:bCs/>
          <w:sz w:val="20"/>
          <w:szCs w:val="20"/>
        </w:rPr>
        <w:t>Физически резултати:</w:t>
      </w:r>
      <w:r>
        <w:rPr>
          <w:i/>
          <w:iCs/>
          <w:color w:val="4AA55B"/>
          <w:sz w:val="20"/>
          <w:szCs w:val="20"/>
        </w:rPr>
        <w:t xml:space="preserve"> </w:t>
      </w:r>
      <w:r>
        <w:rPr>
          <w:i/>
          <w:iCs/>
          <w:color w:val="4AA55B"/>
          <w:sz w:val="20"/>
          <w:szCs w:val="20"/>
          <w:shd w:val="clear" w:color="auto" w:fill="CCFFFF"/>
        </w:rPr>
        <w:t xml:space="preserve">[ВАРИАНТ 1 по подразбиране: </w:t>
      </w:r>
      <w:r>
        <w:rPr>
          <w:sz w:val="20"/>
          <w:szCs w:val="20"/>
          <w:shd w:val="clear" w:color="auto" w:fill="CCFFFF"/>
        </w:rPr>
        <w:t>Не</w:t>
      </w:r>
      <w:r>
        <w:rPr>
          <w:i/>
          <w:iCs/>
          <w:color w:val="4AA55B"/>
          <w:sz w:val="20"/>
          <w:szCs w:val="20"/>
          <w:shd w:val="clear" w:color="auto" w:fill="CCFFFF"/>
        </w:rPr>
        <w:t xml:space="preserve">] [ВАРИАНТ 2, ако се изисква от държавата членка: </w:t>
      </w:r>
      <w:r>
        <w:rPr>
          <w:sz w:val="20"/>
          <w:szCs w:val="20"/>
          <w:shd w:val="clear" w:color="auto" w:fill="CCFFFF"/>
        </w:rPr>
        <w:t>Да</w:t>
      </w:r>
      <w:r>
        <w:rPr>
          <w:i/>
          <w:iCs/>
          <w:color w:val="4AA55B"/>
          <w:sz w:val="20"/>
          <w:szCs w:val="20"/>
        </w:rPr>
        <w:t xml:space="preserve">] </w:t>
      </w:r>
    </w:p>
    <w:p w14:paraId="74D2B5A1" w14:textId="77777777" w:rsidR="008907F4" w:rsidRPr="003403CF" w:rsidRDefault="2FA6B974" w:rsidP="2FA6B974">
      <w:pPr>
        <w:spacing w:after="120"/>
        <w:jc w:val="left"/>
        <w:rPr>
          <w:rFonts w:cs="Times New Roman"/>
          <w:b/>
          <w:bCs/>
          <w:sz w:val="20"/>
          <w:szCs w:val="20"/>
          <w:u w:val="single"/>
        </w:rPr>
      </w:pPr>
      <w:r>
        <w:rPr>
          <w:b/>
          <w:bCs/>
          <w:sz w:val="20"/>
          <w:szCs w:val="20"/>
          <w:u w:val="single"/>
        </w:rPr>
        <w:t xml:space="preserve">4.2. Периодични отчети и плащания </w:t>
      </w:r>
    </w:p>
    <w:p w14:paraId="528EE6C9" w14:textId="77777777" w:rsidR="008907F4" w:rsidRDefault="2FA6B974" w:rsidP="2FA6B974">
      <w:pPr>
        <w:spacing w:after="120"/>
        <w:jc w:val="left"/>
        <w:rPr>
          <w:rFonts w:cs="Times New Roman"/>
          <w:b/>
          <w:bCs/>
          <w:sz w:val="20"/>
          <w:szCs w:val="20"/>
        </w:rPr>
      </w:pPr>
      <w:r>
        <w:rPr>
          <w:b/>
          <w:bCs/>
          <w:sz w:val="20"/>
          <w:szCs w:val="20"/>
        </w:rPr>
        <w:t>График на отчетите и плащанията</w:t>
      </w:r>
      <w:r>
        <w:rPr>
          <w:sz w:val="20"/>
          <w:szCs w:val="20"/>
        </w:rPr>
        <w:t xml:space="preserve"> (членове 21 и 22)</w:t>
      </w:r>
      <w:r>
        <w:rPr>
          <w:b/>
          <w:bCs/>
          <w:sz w:val="20"/>
          <w:szCs w:val="20"/>
        </w:rPr>
        <w:t>:</w:t>
      </w:r>
    </w:p>
    <w:tbl>
      <w:tblPr>
        <w:tblW w:w="9072" w:type="dxa"/>
        <w:tblInd w:w="299"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CellMar>
          <w:left w:w="0" w:type="dxa"/>
          <w:right w:w="0" w:type="dxa"/>
        </w:tblCellMar>
        <w:tblLook w:val="01E0" w:firstRow="1" w:lastRow="1" w:firstColumn="1" w:lastColumn="1" w:noHBand="0" w:noVBand="0"/>
      </w:tblPr>
      <w:tblGrid>
        <w:gridCol w:w="709"/>
        <w:gridCol w:w="131"/>
        <w:gridCol w:w="719"/>
        <w:gridCol w:w="284"/>
        <w:gridCol w:w="708"/>
        <w:gridCol w:w="142"/>
        <w:gridCol w:w="1134"/>
        <w:gridCol w:w="142"/>
        <w:gridCol w:w="992"/>
        <w:gridCol w:w="1134"/>
        <w:gridCol w:w="2977"/>
      </w:tblGrid>
      <w:tr w:rsidR="008907F4" w:rsidRPr="00A0461D" w14:paraId="706E4C7E" w14:textId="77777777" w:rsidTr="2FA6B974">
        <w:trPr>
          <w:trHeight w:hRule="exact" w:val="380"/>
        </w:trPr>
        <w:tc>
          <w:tcPr>
            <w:tcW w:w="4961" w:type="dxa"/>
            <w:gridSpan w:val="9"/>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CCCCCC"/>
          </w:tcPr>
          <w:p w14:paraId="4F388C41" w14:textId="77777777" w:rsidR="008907F4" w:rsidRPr="00CF226E" w:rsidRDefault="2FA6B974" w:rsidP="2FA6B974">
            <w:pPr>
              <w:widowControl w:val="0"/>
              <w:spacing w:before="120" w:after="120" w:line="276" w:lineRule="auto"/>
              <w:ind w:left="60"/>
              <w:jc w:val="center"/>
              <w:rPr>
                <w:rFonts w:ascii="Arial" w:hAnsi="Arial" w:cs="Arial"/>
                <w:b/>
                <w:bCs/>
                <w:sz w:val="14"/>
                <w:szCs w:val="14"/>
              </w:rPr>
            </w:pPr>
            <w:r>
              <w:rPr>
                <w:rFonts w:ascii="Arial" w:hAnsi="Arial"/>
                <w:b/>
                <w:bCs/>
                <w:sz w:val="14"/>
                <w:szCs w:val="14"/>
              </w:rPr>
              <w:t>Докладване</w:t>
            </w:r>
          </w:p>
        </w:tc>
        <w:tc>
          <w:tcPr>
            <w:tcW w:w="4111" w:type="dxa"/>
            <w:gridSpan w:val="2"/>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CCCCCC"/>
          </w:tcPr>
          <w:p w14:paraId="47696E48" w14:textId="77777777" w:rsidR="008907F4" w:rsidRPr="00A0461D" w:rsidRDefault="2FA6B974" w:rsidP="2FA6B974">
            <w:pPr>
              <w:widowControl w:val="0"/>
              <w:spacing w:before="120" w:after="120" w:line="276" w:lineRule="auto"/>
              <w:ind w:left="60"/>
              <w:jc w:val="center"/>
              <w:rPr>
                <w:rFonts w:ascii="Arial" w:hAnsi="Arial" w:cs="Arial"/>
                <w:b/>
                <w:bCs/>
                <w:sz w:val="14"/>
                <w:szCs w:val="14"/>
              </w:rPr>
            </w:pPr>
            <w:r>
              <w:rPr>
                <w:rFonts w:ascii="Arial" w:hAnsi="Arial"/>
                <w:b/>
                <w:bCs/>
                <w:sz w:val="14"/>
                <w:szCs w:val="14"/>
              </w:rPr>
              <w:t>Плащания</w:t>
            </w:r>
          </w:p>
          <w:p w14:paraId="32B8A3BD" w14:textId="77777777" w:rsidR="008907F4" w:rsidRPr="00A0461D" w:rsidRDefault="008907F4" w:rsidP="00B217B2">
            <w:pPr>
              <w:widowControl w:val="0"/>
              <w:spacing w:before="120" w:after="120" w:line="276" w:lineRule="auto"/>
              <w:ind w:left="60"/>
              <w:jc w:val="center"/>
              <w:rPr>
                <w:rFonts w:ascii="Arial" w:hAnsi="Arial" w:cs="Arial"/>
                <w:b/>
                <w:sz w:val="14"/>
                <w:szCs w:val="14"/>
                <w:lang w:val="en-US"/>
              </w:rPr>
            </w:pPr>
          </w:p>
        </w:tc>
      </w:tr>
      <w:tr w:rsidR="008907F4" w:rsidRPr="00A0461D" w14:paraId="75B127B1" w14:textId="77777777" w:rsidTr="2FA6B974">
        <w:trPr>
          <w:trHeight w:hRule="exact" w:val="380"/>
        </w:trPr>
        <w:tc>
          <w:tcPr>
            <w:tcW w:w="2693" w:type="dxa"/>
            <w:gridSpan w:val="6"/>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CCCCCC"/>
          </w:tcPr>
          <w:p w14:paraId="52797EE0" w14:textId="77777777" w:rsidR="008907F4" w:rsidRPr="00A0461D" w:rsidRDefault="2FA6B974" w:rsidP="2FA6B974">
            <w:pPr>
              <w:widowControl w:val="0"/>
              <w:spacing w:before="120" w:after="120" w:line="276" w:lineRule="auto"/>
              <w:ind w:left="60"/>
              <w:jc w:val="center"/>
              <w:rPr>
                <w:rFonts w:ascii="Arial" w:hAnsi="Arial" w:cs="Arial"/>
                <w:b/>
                <w:bCs/>
                <w:sz w:val="14"/>
                <w:szCs w:val="14"/>
              </w:rPr>
            </w:pPr>
            <w:r>
              <w:rPr>
                <w:rFonts w:ascii="Arial" w:hAnsi="Arial"/>
                <w:b/>
                <w:bCs/>
                <w:sz w:val="14"/>
                <w:szCs w:val="14"/>
              </w:rPr>
              <w:t>Отчетни периоди*</w:t>
            </w:r>
          </w:p>
        </w:tc>
        <w:tc>
          <w:tcPr>
            <w:tcW w:w="1134"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CCCCCC"/>
          </w:tcPr>
          <w:p w14:paraId="1A053005" w14:textId="77777777" w:rsidR="008907F4" w:rsidRPr="00A0461D" w:rsidRDefault="2FA6B974" w:rsidP="2FA6B974">
            <w:pPr>
              <w:widowControl w:val="0"/>
              <w:spacing w:before="120" w:after="120" w:line="276" w:lineRule="auto"/>
              <w:ind w:left="60"/>
              <w:jc w:val="center"/>
              <w:rPr>
                <w:rFonts w:ascii="Arial" w:hAnsi="Arial" w:cs="Arial"/>
                <w:b/>
                <w:bCs/>
                <w:sz w:val="14"/>
                <w:szCs w:val="14"/>
              </w:rPr>
            </w:pPr>
            <w:r>
              <w:rPr>
                <w:rFonts w:ascii="Arial" w:hAnsi="Arial"/>
                <w:b/>
                <w:bCs/>
                <w:sz w:val="14"/>
                <w:szCs w:val="14"/>
              </w:rPr>
              <w:t>Вид</w:t>
            </w:r>
          </w:p>
        </w:tc>
        <w:tc>
          <w:tcPr>
            <w:tcW w:w="1134" w:type="dxa"/>
            <w:gridSpan w:val="2"/>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CCCCCC"/>
          </w:tcPr>
          <w:p w14:paraId="540FDEB8" w14:textId="77777777" w:rsidR="008907F4" w:rsidRPr="00A0461D" w:rsidRDefault="2FA6B974" w:rsidP="2FA6B974">
            <w:pPr>
              <w:widowControl w:val="0"/>
              <w:spacing w:before="120" w:after="120" w:line="276" w:lineRule="auto"/>
              <w:ind w:left="60"/>
              <w:jc w:val="center"/>
              <w:rPr>
                <w:rFonts w:ascii="Arial" w:hAnsi="Arial" w:cs="Arial"/>
                <w:b/>
                <w:bCs/>
                <w:sz w:val="14"/>
                <w:szCs w:val="14"/>
              </w:rPr>
            </w:pPr>
            <w:r>
              <w:rPr>
                <w:rFonts w:ascii="Arial" w:hAnsi="Arial"/>
                <w:b/>
                <w:bCs/>
                <w:sz w:val="14"/>
                <w:szCs w:val="14"/>
              </w:rPr>
              <w:t>Краен срок</w:t>
            </w:r>
          </w:p>
        </w:tc>
        <w:tc>
          <w:tcPr>
            <w:tcW w:w="1134"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CCCCCC"/>
          </w:tcPr>
          <w:p w14:paraId="7FE02DCE" w14:textId="77777777" w:rsidR="008907F4" w:rsidRPr="00A0461D" w:rsidRDefault="2FA6B974" w:rsidP="2FA6B974">
            <w:pPr>
              <w:widowControl w:val="0"/>
              <w:spacing w:before="120" w:after="120" w:line="276" w:lineRule="auto"/>
              <w:ind w:left="60"/>
              <w:jc w:val="center"/>
              <w:rPr>
                <w:rFonts w:ascii="Arial" w:hAnsi="Arial" w:cs="Arial"/>
                <w:b/>
                <w:bCs/>
                <w:sz w:val="14"/>
                <w:szCs w:val="14"/>
              </w:rPr>
            </w:pPr>
            <w:r>
              <w:rPr>
                <w:rFonts w:ascii="Arial" w:hAnsi="Arial"/>
                <w:b/>
                <w:bCs/>
                <w:sz w:val="14"/>
                <w:szCs w:val="14"/>
              </w:rPr>
              <w:t>Вид</w:t>
            </w:r>
          </w:p>
        </w:tc>
        <w:tc>
          <w:tcPr>
            <w:tcW w:w="2977"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CCCCCC"/>
          </w:tcPr>
          <w:p w14:paraId="564A266E" w14:textId="77777777" w:rsidR="008907F4" w:rsidRPr="00A0461D" w:rsidRDefault="2FA6B974" w:rsidP="2FA6B974">
            <w:pPr>
              <w:widowControl w:val="0"/>
              <w:spacing w:before="120" w:after="120" w:line="276" w:lineRule="auto"/>
              <w:ind w:left="60"/>
              <w:jc w:val="center"/>
              <w:rPr>
                <w:rFonts w:ascii="Arial" w:hAnsi="Arial" w:cs="Arial"/>
                <w:b/>
                <w:bCs/>
                <w:sz w:val="14"/>
                <w:szCs w:val="14"/>
              </w:rPr>
            </w:pPr>
            <w:r>
              <w:rPr>
                <w:rFonts w:ascii="Arial" w:hAnsi="Arial"/>
                <w:b/>
                <w:bCs/>
                <w:sz w:val="14"/>
                <w:szCs w:val="14"/>
              </w:rPr>
              <w:t>Краен срок (време за плащане)</w:t>
            </w:r>
          </w:p>
        </w:tc>
      </w:tr>
      <w:tr w:rsidR="008907F4" w:rsidRPr="00A0461D" w14:paraId="16F46E26" w14:textId="77777777" w:rsidTr="2FA6B974">
        <w:trPr>
          <w:trHeight w:hRule="exact" w:val="380"/>
        </w:trPr>
        <w:tc>
          <w:tcPr>
            <w:tcW w:w="840" w:type="dxa"/>
            <w:gridSpan w:val="2"/>
            <w:tcBorders>
              <w:top w:val="single" w:sz="12" w:space="0" w:color="BFBFBF" w:themeColor="background1" w:themeShade="BF"/>
              <w:left w:val="single" w:sz="12" w:space="0" w:color="BFBFBF" w:themeColor="background1" w:themeShade="BF"/>
              <w:bottom w:val="single" w:sz="4" w:space="0" w:color="BFBFBF" w:themeColor="background1" w:themeShade="BF"/>
              <w:right w:val="single" w:sz="12" w:space="0" w:color="BFBFBF" w:themeColor="background1" w:themeShade="BF"/>
            </w:tcBorders>
            <w:shd w:val="clear" w:color="auto" w:fill="CCCCCC"/>
            <w:hideMark/>
          </w:tcPr>
          <w:p w14:paraId="284CBA6C" w14:textId="77777777" w:rsidR="008907F4" w:rsidRPr="00A0461D" w:rsidRDefault="2FA6B974" w:rsidP="2FA6B974">
            <w:pPr>
              <w:widowControl w:val="0"/>
              <w:spacing w:before="120" w:after="120" w:line="276" w:lineRule="auto"/>
              <w:ind w:left="60"/>
              <w:jc w:val="center"/>
              <w:rPr>
                <w:rFonts w:ascii="Arial" w:eastAsia="Times New Roman" w:hAnsi="Arial" w:cs="Arial"/>
                <w:sz w:val="14"/>
                <w:szCs w:val="14"/>
              </w:rPr>
            </w:pPr>
            <w:r>
              <w:rPr>
                <w:rFonts w:ascii="Arial" w:hAnsi="Arial"/>
                <w:b/>
                <w:bCs/>
                <w:sz w:val="14"/>
                <w:szCs w:val="14"/>
              </w:rPr>
              <w:t>ОП №</w:t>
            </w:r>
          </w:p>
        </w:tc>
        <w:tc>
          <w:tcPr>
            <w:tcW w:w="1003" w:type="dxa"/>
            <w:gridSpan w:val="2"/>
            <w:tcBorders>
              <w:top w:val="single" w:sz="12" w:space="0" w:color="BFBFBF" w:themeColor="background1" w:themeShade="BF"/>
              <w:left w:val="single" w:sz="12" w:space="0" w:color="BFBFBF" w:themeColor="background1" w:themeShade="BF"/>
              <w:bottom w:val="single" w:sz="4" w:space="0" w:color="BFBFBF" w:themeColor="background1" w:themeShade="BF"/>
              <w:right w:val="single" w:sz="12" w:space="0" w:color="BFBFBF" w:themeColor="background1" w:themeShade="BF"/>
            </w:tcBorders>
            <w:shd w:val="clear" w:color="auto" w:fill="CCCCCC"/>
            <w:hideMark/>
          </w:tcPr>
          <w:p w14:paraId="2298844C" w14:textId="77777777" w:rsidR="008907F4" w:rsidRPr="00A0461D" w:rsidRDefault="008907F4" w:rsidP="2FA6B974">
            <w:pPr>
              <w:widowControl w:val="0"/>
              <w:spacing w:before="120" w:after="120" w:line="276" w:lineRule="auto"/>
              <w:ind w:left="62"/>
              <w:jc w:val="center"/>
              <w:rPr>
                <w:rFonts w:ascii="Arial" w:eastAsia="Times New Roman" w:hAnsi="Arial" w:cs="Arial"/>
                <w:sz w:val="14"/>
                <w:szCs w:val="14"/>
              </w:rPr>
            </w:pPr>
            <w:r>
              <w:rPr>
                <w:rFonts w:ascii="Arial" w:hAnsi="Arial"/>
                <w:b/>
                <w:bCs/>
                <w:sz w:val="14"/>
                <w:szCs w:val="14"/>
              </w:rPr>
              <w:t>От месец</w:t>
            </w:r>
          </w:p>
        </w:tc>
        <w:tc>
          <w:tcPr>
            <w:tcW w:w="850" w:type="dxa"/>
            <w:gridSpan w:val="2"/>
            <w:tcBorders>
              <w:top w:val="single" w:sz="12" w:space="0" w:color="BFBFBF" w:themeColor="background1" w:themeShade="BF"/>
              <w:left w:val="single" w:sz="12" w:space="0" w:color="BFBFBF" w:themeColor="background1" w:themeShade="BF"/>
              <w:bottom w:val="single" w:sz="4" w:space="0" w:color="BFBFBF" w:themeColor="background1" w:themeShade="BF"/>
              <w:right w:val="single" w:sz="12" w:space="0" w:color="BFBFBF" w:themeColor="background1" w:themeShade="BF"/>
            </w:tcBorders>
            <w:shd w:val="clear" w:color="auto" w:fill="CCCCCC"/>
            <w:hideMark/>
          </w:tcPr>
          <w:p w14:paraId="501820E3" w14:textId="77777777" w:rsidR="008907F4" w:rsidRPr="00A0461D" w:rsidRDefault="008907F4" w:rsidP="2FA6B974">
            <w:pPr>
              <w:widowControl w:val="0"/>
              <w:spacing w:before="120" w:after="120" w:line="276" w:lineRule="auto"/>
              <w:ind w:left="60"/>
              <w:jc w:val="center"/>
              <w:rPr>
                <w:rFonts w:ascii="Arial" w:eastAsia="Times New Roman" w:hAnsi="Arial" w:cs="Arial"/>
                <w:sz w:val="14"/>
                <w:szCs w:val="14"/>
              </w:rPr>
            </w:pPr>
            <w:r>
              <w:rPr>
                <w:rFonts w:ascii="Arial" w:hAnsi="Arial"/>
                <w:b/>
                <w:bCs/>
                <w:sz w:val="14"/>
                <w:szCs w:val="14"/>
              </w:rPr>
              <w:t>До месец</w:t>
            </w:r>
          </w:p>
        </w:tc>
        <w:tc>
          <w:tcPr>
            <w:tcW w:w="1134"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CCCCCC"/>
          </w:tcPr>
          <w:p w14:paraId="48B29708" w14:textId="77777777" w:rsidR="008907F4" w:rsidRPr="00A0461D" w:rsidRDefault="008907F4" w:rsidP="00B217B2">
            <w:pPr>
              <w:widowControl w:val="0"/>
              <w:spacing w:before="120" w:after="120" w:line="276" w:lineRule="auto"/>
              <w:ind w:left="60"/>
              <w:jc w:val="center"/>
              <w:rPr>
                <w:rFonts w:ascii="Arial" w:hAnsi="Arial" w:cs="Arial"/>
                <w:b/>
                <w:sz w:val="14"/>
                <w:szCs w:val="14"/>
                <w:lang w:val="en-US"/>
              </w:rPr>
            </w:pPr>
          </w:p>
        </w:tc>
        <w:tc>
          <w:tcPr>
            <w:tcW w:w="1134" w:type="dxa"/>
            <w:gridSpan w:val="2"/>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CCCCCC"/>
          </w:tcPr>
          <w:p w14:paraId="0658DD56" w14:textId="77777777" w:rsidR="008907F4" w:rsidRPr="00A0461D" w:rsidRDefault="008907F4" w:rsidP="00B217B2">
            <w:pPr>
              <w:widowControl w:val="0"/>
              <w:spacing w:before="120" w:after="120" w:line="276" w:lineRule="auto"/>
              <w:ind w:left="60"/>
              <w:jc w:val="center"/>
              <w:rPr>
                <w:rFonts w:ascii="Arial" w:hAnsi="Arial" w:cs="Arial"/>
                <w:b/>
                <w:sz w:val="14"/>
                <w:szCs w:val="14"/>
                <w:lang w:val="en-US"/>
              </w:rPr>
            </w:pPr>
          </w:p>
        </w:tc>
        <w:tc>
          <w:tcPr>
            <w:tcW w:w="1134"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CCCCCC"/>
          </w:tcPr>
          <w:p w14:paraId="1A2FCE0A" w14:textId="77777777" w:rsidR="008907F4" w:rsidRPr="00A0461D" w:rsidRDefault="008907F4" w:rsidP="00B217B2">
            <w:pPr>
              <w:widowControl w:val="0"/>
              <w:spacing w:before="120" w:after="120" w:line="276" w:lineRule="auto"/>
              <w:ind w:left="60"/>
              <w:jc w:val="center"/>
              <w:rPr>
                <w:rFonts w:ascii="Arial" w:hAnsi="Arial" w:cs="Arial"/>
                <w:b/>
                <w:sz w:val="14"/>
                <w:szCs w:val="14"/>
                <w:lang w:val="en-US"/>
              </w:rPr>
            </w:pPr>
          </w:p>
        </w:tc>
        <w:tc>
          <w:tcPr>
            <w:tcW w:w="2977"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CCCCCC"/>
          </w:tcPr>
          <w:p w14:paraId="3700060A" w14:textId="77777777" w:rsidR="008907F4" w:rsidRPr="00A0461D" w:rsidRDefault="008907F4" w:rsidP="00B217B2">
            <w:pPr>
              <w:widowControl w:val="0"/>
              <w:spacing w:before="120" w:after="120" w:line="276" w:lineRule="auto"/>
              <w:ind w:left="60"/>
              <w:jc w:val="center"/>
              <w:rPr>
                <w:rFonts w:ascii="Arial" w:hAnsi="Arial" w:cs="Arial"/>
                <w:b/>
                <w:sz w:val="14"/>
                <w:szCs w:val="14"/>
                <w:lang w:val="en-US"/>
              </w:rPr>
            </w:pPr>
          </w:p>
        </w:tc>
      </w:tr>
      <w:tr w:rsidR="008907F4" w:rsidRPr="00A0461D" w14:paraId="03BC3CC4" w14:textId="77777777" w:rsidTr="2FA6B974">
        <w:trPr>
          <w:trHeight w:hRule="exact" w:val="1039"/>
        </w:trPr>
        <w:tc>
          <w:tcPr>
            <w:tcW w:w="4961" w:type="dxa"/>
            <w:gridSpan w:val="9"/>
            <w:tcBorders>
              <w:top w:val="single" w:sz="4" w:space="0" w:color="BFBFBF" w:themeColor="background1" w:themeShade="BF"/>
              <w:left w:val="single" w:sz="4" w:space="0" w:color="BFBFBF" w:themeColor="background1" w:themeShade="BF"/>
              <w:bottom w:val="single" w:sz="4" w:space="0" w:color="BFBFBF" w:themeColor="background1" w:themeShade="BF"/>
              <w:right w:val="single" w:sz="12" w:space="0" w:color="BFBFBF" w:themeColor="background1" w:themeShade="BF"/>
              <w:tr2bl w:val="single" w:sz="4" w:space="0" w:color="BFBFBF" w:themeColor="background1" w:themeShade="BF"/>
            </w:tcBorders>
            <w:shd w:val="clear" w:color="auto" w:fill="F2F2F2" w:themeFill="background1" w:themeFillShade="F2"/>
          </w:tcPr>
          <w:p w14:paraId="3A326A57" w14:textId="77777777" w:rsidR="008907F4" w:rsidRPr="00A0461D" w:rsidRDefault="008907F4" w:rsidP="00B217B2">
            <w:pPr>
              <w:widowControl w:val="0"/>
              <w:spacing w:after="120" w:line="276" w:lineRule="auto"/>
              <w:ind w:left="60"/>
              <w:jc w:val="left"/>
              <w:rPr>
                <w:rFonts w:ascii="Arial" w:hAnsi="Arial" w:cs="Arial"/>
                <w:sz w:val="14"/>
                <w:szCs w:val="14"/>
                <w:highlight w:val="yellow"/>
                <w:lang w:val="en-US"/>
              </w:rPr>
            </w:pPr>
          </w:p>
        </w:tc>
        <w:tc>
          <w:tcPr>
            <w:tcW w:w="1134"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tcPr>
          <w:p w14:paraId="3B2670D6" w14:textId="77777777" w:rsidR="008907F4" w:rsidRPr="00A0461D" w:rsidRDefault="2FA6B974" w:rsidP="2FA6B974">
            <w:pPr>
              <w:widowControl w:val="0"/>
              <w:spacing w:before="120" w:after="120" w:line="276" w:lineRule="auto"/>
              <w:ind w:left="60"/>
              <w:jc w:val="center"/>
              <w:rPr>
                <w:rFonts w:ascii="Arial" w:hAnsi="Arial" w:cs="Arial"/>
                <w:sz w:val="14"/>
                <w:szCs w:val="14"/>
              </w:rPr>
            </w:pPr>
            <w:r>
              <w:rPr>
                <w:rFonts w:ascii="Arial" w:hAnsi="Arial"/>
                <w:sz w:val="14"/>
                <w:szCs w:val="14"/>
              </w:rPr>
              <w:t>Предварително финансиране</w:t>
            </w:r>
          </w:p>
        </w:tc>
        <w:tc>
          <w:tcPr>
            <w:tcW w:w="2977"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tcPr>
          <w:p w14:paraId="4CC3846E" w14:textId="77777777" w:rsidR="008907F4" w:rsidRPr="00A0461D" w:rsidRDefault="2FA6B974" w:rsidP="2FA6B974">
            <w:pPr>
              <w:widowControl w:val="0"/>
              <w:spacing w:before="120" w:after="0" w:line="276" w:lineRule="auto"/>
              <w:ind w:left="60"/>
              <w:jc w:val="left"/>
              <w:rPr>
                <w:rFonts w:ascii="Arial" w:hAnsi="Arial" w:cs="Arial"/>
                <w:sz w:val="14"/>
                <w:szCs w:val="14"/>
              </w:rPr>
            </w:pPr>
            <w:r>
              <w:rPr>
                <w:rFonts w:ascii="Arial" w:hAnsi="Arial"/>
                <w:sz w:val="14"/>
                <w:szCs w:val="14"/>
              </w:rPr>
              <w:t>30 дни, считано от 10 дни преди началната дата на дейността или от получаването на гаранцията за предварителното финансиране, като се избира по-късната от двете дати</w:t>
            </w:r>
          </w:p>
        </w:tc>
      </w:tr>
      <w:tr w:rsidR="008907F4" w:rsidRPr="00A0461D" w14:paraId="11DAF588" w14:textId="77777777" w:rsidTr="2FA6B974">
        <w:trPr>
          <w:trHeight w:hRule="exact" w:val="1025"/>
        </w:trPr>
        <w:tc>
          <w:tcPr>
            <w:tcW w:w="709"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hideMark/>
          </w:tcPr>
          <w:p w14:paraId="6773E5A5" w14:textId="77777777" w:rsidR="008907F4" w:rsidRPr="00A0461D" w:rsidRDefault="2FA6B974" w:rsidP="2FA6B974">
            <w:pPr>
              <w:widowControl w:val="0"/>
              <w:spacing w:before="120" w:after="120" w:line="276" w:lineRule="auto"/>
              <w:jc w:val="center"/>
              <w:rPr>
                <w:rFonts w:ascii="Arial" w:eastAsia="Times New Roman" w:hAnsi="Arial" w:cs="Arial"/>
                <w:sz w:val="14"/>
                <w:szCs w:val="14"/>
              </w:rPr>
            </w:pPr>
            <w:r>
              <w:rPr>
                <w:rFonts w:ascii="Arial" w:hAnsi="Arial"/>
                <w:sz w:val="14"/>
                <w:szCs w:val="14"/>
              </w:rPr>
              <w:t>1</w:t>
            </w:r>
          </w:p>
        </w:tc>
        <w:tc>
          <w:tcPr>
            <w:tcW w:w="850" w:type="dxa"/>
            <w:gridSpan w:val="2"/>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hideMark/>
          </w:tcPr>
          <w:p w14:paraId="643DDEDB" w14:textId="77777777" w:rsidR="008907F4" w:rsidRPr="00A0461D" w:rsidRDefault="2FA6B974" w:rsidP="2FA6B974">
            <w:pPr>
              <w:widowControl w:val="0"/>
              <w:spacing w:before="120" w:after="120" w:line="276" w:lineRule="auto"/>
              <w:ind w:left="62"/>
              <w:jc w:val="center"/>
              <w:rPr>
                <w:rFonts w:ascii="Arial" w:eastAsia="Times New Roman" w:hAnsi="Arial" w:cs="Arial"/>
                <w:sz w:val="14"/>
                <w:szCs w:val="14"/>
                <w:highlight w:val="yellow"/>
              </w:rPr>
            </w:pPr>
            <w:r>
              <w:rPr>
                <w:rFonts w:ascii="Arial" w:hAnsi="Arial"/>
                <w:sz w:val="14"/>
                <w:szCs w:val="14"/>
              </w:rPr>
              <w:t>[</w:t>
            </w:r>
            <w:r>
              <w:rPr>
                <w:rFonts w:ascii="Arial" w:hAnsi="Arial"/>
                <w:sz w:val="14"/>
                <w:szCs w:val="14"/>
                <w:highlight w:val="lightGray"/>
              </w:rPr>
              <w:t>пореден номер</w:t>
            </w:r>
            <w:r>
              <w:rPr>
                <w:rFonts w:ascii="Arial" w:hAnsi="Arial"/>
                <w:sz w:val="14"/>
                <w:szCs w:val="14"/>
              </w:rPr>
              <w:t>]</w:t>
            </w:r>
          </w:p>
        </w:tc>
        <w:tc>
          <w:tcPr>
            <w:tcW w:w="992" w:type="dxa"/>
            <w:gridSpan w:val="2"/>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hideMark/>
          </w:tcPr>
          <w:p w14:paraId="349B5153" w14:textId="77777777" w:rsidR="008907F4" w:rsidRPr="00A0461D" w:rsidRDefault="2FA6B974" w:rsidP="2FA6B974">
            <w:pPr>
              <w:widowControl w:val="0"/>
              <w:spacing w:before="120" w:after="120" w:line="276" w:lineRule="auto"/>
              <w:ind w:left="60"/>
              <w:jc w:val="center"/>
              <w:rPr>
                <w:rFonts w:ascii="Arial" w:eastAsia="Times New Roman" w:hAnsi="Arial" w:cs="Arial"/>
                <w:sz w:val="14"/>
                <w:szCs w:val="14"/>
                <w:highlight w:val="yellow"/>
              </w:rPr>
            </w:pPr>
            <w:r>
              <w:rPr>
                <w:rFonts w:ascii="Arial" w:hAnsi="Arial"/>
                <w:sz w:val="14"/>
                <w:szCs w:val="14"/>
              </w:rPr>
              <w:t>[</w:t>
            </w:r>
            <w:r>
              <w:rPr>
                <w:rFonts w:ascii="Arial" w:hAnsi="Arial"/>
                <w:sz w:val="14"/>
                <w:szCs w:val="14"/>
                <w:highlight w:val="lightGray"/>
              </w:rPr>
              <w:t>пореден номер</w:t>
            </w:r>
            <w:r>
              <w:rPr>
                <w:rFonts w:ascii="Arial" w:hAnsi="Arial"/>
                <w:sz w:val="14"/>
                <w:szCs w:val="14"/>
              </w:rPr>
              <w:t>]</w:t>
            </w:r>
          </w:p>
        </w:tc>
        <w:tc>
          <w:tcPr>
            <w:tcW w:w="1418" w:type="dxa"/>
            <w:gridSpan w:val="3"/>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tcPr>
          <w:p w14:paraId="458BA7DB" w14:textId="77777777" w:rsidR="008907F4" w:rsidRPr="00A0461D" w:rsidRDefault="2FA6B974" w:rsidP="2FA6B974">
            <w:pPr>
              <w:widowControl w:val="0"/>
              <w:spacing w:before="120" w:after="120" w:line="276" w:lineRule="auto"/>
              <w:ind w:left="60"/>
              <w:jc w:val="center"/>
              <w:rPr>
                <w:rFonts w:ascii="Arial" w:hAnsi="Arial" w:cs="Arial"/>
                <w:sz w:val="14"/>
                <w:szCs w:val="14"/>
              </w:rPr>
            </w:pPr>
            <w:r>
              <w:rPr>
                <w:rFonts w:ascii="Arial" w:hAnsi="Arial"/>
                <w:sz w:val="14"/>
                <w:szCs w:val="14"/>
              </w:rPr>
              <w:t>Периодичен отчет</w:t>
            </w:r>
          </w:p>
        </w:tc>
        <w:tc>
          <w:tcPr>
            <w:tcW w:w="992"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tcPr>
          <w:p w14:paraId="19B35A12" w14:textId="77777777" w:rsidR="008907F4" w:rsidRPr="00A0461D" w:rsidRDefault="2FA6B974" w:rsidP="2FA6B974">
            <w:pPr>
              <w:widowControl w:val="0"/>
              <w:spacing w:before="120" w:after="120" w:line="276" w:lineRule="auto"/>
              <w:ind w:left="60"/>
              <w:jc w:val="center"/>
              <w:rPr>
                <w:rFonts w:ascii="Arial" w:hAnsi="Arial" w:cs="Arial"/>
                <w:sz w:val="14"/>
                <w:szCs w:val="14"/>
              </w:rPr>
            </w:pPr>
            <w:r>
              <w:rPr>
                <w:rFonts w:ascii="Arial" w:hAnsi="Arial"/>
                <w:sz w:val="14"/>
                <w:szCs w:val="14"/>
              </w:rPr>
              <w:t>60 дни след края на отчетен период</w:t>
            </w:r>
          </w:p>
        </w:tc>
        <w:tc>
          <w:tcPr>
            <w:tcW w:w="1134"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tcPr>
          <w:p w14:paraId="10933265" w14:textId="77777777" w:rsidR="008907F4" w:rsidRPr="00A0461D" w:rsidRDefault="2FA6B974" w:rsidP="2FA6B974">
            <w:pPr>
              <w:widowControl w:val="0"/>
              <w:spacing w:before="120" w:after="120" w:line="276" w:lineRule="auto"/>
              <w:ind w:left="60"/>
              <w:jc w:val="center"/>
              <w:rPr>
                <w:rFonts w:ascii="Arial" w:hAnsi="Arial" w:cs="Arial"/>
                <w:sz w:val="14"/>
                <w:szCs w:val="14"/>
                <w:highlight w:val="yellow"/>
              </w:rPr>
            </w:pPr>
            <w:r>
              <w:rPr>
                <w:rFonts w:ascii="Arial" w:hAnsi="Arial"/>
                <w:sz w:val="14"/>
                <w:szCs w:val="14"/>
              </w:rPr>
              <w:t xml:space="preserve">Междинно плащане </w:t>
            </w:r>
          </w:p>
        </w:tc>
        <w:tc>
          <w:tcPr>
            <w:tcW w:w="2977"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tcPr>
          <w:p w14:paraId="7A00F599" w14:textId="77777777" w:rsidR="008907F4" w:rsidRPr="00A0461D" w:rsidRDefault="2FA6B974" w:rsidP="2FA6B974">
            <w:pPr>
              <w:widowControl w:val="0"/>
              <w:spacing w:before="120" w:after="120" w:line="276" w:lineRule="auto"/>
              <w:ind w:left="60"/>
              <w:jc w:val="center"/>
              <w:rPr>
                <w:rFonts w:ascii="Arial" w:hAnsi="Arial" w:cs="Arial"/>
                <w:sz w:val="14"/>
                <w:szCs w:val="14"/>
              </w:rPr>
            </w:pPr>
            <w:r>
              <w:rPr>
                <w:rFonts w:ascii="Arial" w:hAnsi="Arial"/>
                <w:i/>
                <w:iCs/>
                <w:sz w:val="14"/>
                <w:szCs w:val="14"/>
              </w:rPr>
              <w:t xml:space="preserve"> </w:t>
            </w:r>
            <w:r>
              <w:rPr>
                <w:rFonts w:ascii="Arial" w:hAnsi="Arial"/>
                <w:sz w:val="14"/>
                <w:szCs w:val="14"/>
              </w:rPr>
              <w:t>60 дни от получаването на периодичния отчет</w:t>
            </w:r>
          </w:p>
        </w:tc>
      </w:tr>
      <w:tr w:rsidR="008907F4" w:rsidRPr="00A0461D" w14:paraId="18CDFF91" w14:textId="77777777" w:rsidTr="2FA6B974">
        <w:trPr>
          <w:trHeight w:hRule="exact" w:val="989"/>
        </w:trPr>
        <w:tc>
          <w:tcPr>
            <w:tcW w:w="709"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hideMark/>
          </w:tcPr>
          <w:p w14:paraId="180A1B21" w14:textId="77777777" w:rsidR="008907F4" w:rsidRPr="00A0461D" w:rsidRDefault="2FA6B974" w:rsidP="2FA6B974">
            <w:pPr>
              <w:widowControl w:val="0"/>
              <w:spacing w:before="120" w:after="120" w:line="276" w:lineRule="auto"/>
              <w:jc w:val="center"/>
              <w:rPr>
                <w:rFonts w:ascii="Arial" w:hAnsi="Arial" w:cs="Arial"/>
                <w:sz w:val="14"/>
                <w:szCs w:val="14"/>
              </w:rPr>
            </w:pPr>
            <w:r>
              <w:rPr>
                <w:rFonts w:ascii="Arial" w:hAnsi="Arial"/>
                <w:sz w:val="14"/>
                <w:szCs w:val="14"/>
              </w:rPr>
              <w:t>2</w:t>
            </w:r>
          </w:p>
        </w:tc>
        <w:tc>
          <w:tcPr>
            <w:tcW w:w="850" w:type="dxa"/>
            <w:gridSpan w:val="2"/>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hideMark/>
          </w:tcPr>
          <w:p w14:paraId="56BF87B8" w14:textId="77777777" w:rsidR="008907F4" w:rsidRPr="00A0461D" w:rsidRDefault="2FA6B974" w:rsidP="2FA6B974">
            <w:pPr>
              <w:widowControl w:val="0"/>
              <w:spacing w:before="120" w:after="120" w:line="276" w:lineRule="auto"/>
              <w:ind w:left="62"/>
              <w:jc w:val="center"/>
              <w:rPr>
                <w:rFonts w:ascii="Arial" w:hAnsi="Arial" w:cs="Arial"/>
                <w:sz w:val="14"/>
                <w:szCs w:val="14"/>
                <w:highlight w:val="yellow"/>
              </w:rPr>
            </w:pPr>
            <w:r>
              <w:rPr>
                <w:rFonts w:ascii="Arial" w:hAnsi="Arial"/>
                <w:sz w:val="14"/>
                <w:szCs w:val="14"/>
              </w:rPr>
              <w:t>[</w:t>
            </w:r>
            <w:r>
              <w:rPr>
                <w:rFonts w:ascii="Arial" w:hAnsi="Arial"/>
                <w:sz w:val="14"/>
                <w:szCs w:val="14"/>
                <w:highlight w:val="lightGray"/>
              </w:rPr>
              <w:t>пореден номер</w:t>
            </w:r>
            <w:r>
              <w:rPr>
                <w:rFonts w:ascii="Arial" w:hAnsi="Arial"/>
                <w:sz w:val="14"/>
                <w:szCs w:val="14"/>
              </w:rPr>
              <w:t>]</w:t>
            </w:r>
          </w:p>
        </w:tc>
        <w:tc>
          <w:tcPr>
            <w:tcW w:w="992" w:type="dxa"/>
            <w:gridSpan w:val="2"/>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hideMark/>
          </w:tcPr>
          <w:p w14:paraId="0CC689AB" w14:textId="77777777" w:rsidR="008907F4" w:rsidRPr="00A0461D" w:rsidRDefault="2FA6B974" w:rsidP="2FA6B974">
            <w:pPr>
              <w:widowControl w:val="0"/>
              <w:spacing w:before="120" w:after="120" w:line="276" w:lineRule="auto"/>
              <w:ind w:left="60"/>
              <w:jc w:val="center"/>
              <w:rPr>
                <w:rFonts w:ascii="Arial" w:hAnsi="Arial" w:cs="Arial"/>
                <w:sz w:val="14"/>
                <w:szCs w:val="14"/>
                <w:highlight w:val="yellow"/>
              </w:rPr>
            </w:pPr>
            <w:r>
              <w:rPr>
                <w:rFonts w:ascii="Arial" w:hAnsi="Arial"/>
                <w:sz w:val="14"/>
                <w:szCs w:val="14"/>
              </w:rPr>
              <w:t>[</w:t>
            </w:r>
            <w:r>
              <w:rPr>
                <w:rFonts w:ascii="Arial" w:hAnsi="Arial"/>
                <w:sz w:val="14"/>
                <w:szCs w:val="14"/>
                <w:highlight w:val="lightGray"/>
              </w:rPr>
              <w:t>пореден номер</w:t>
            </w:r>
            <w:r>
              <w:rPr>
                <w:rFonts w:ascii="Arial" w:hAnsi="Arial"/>
                <w:sz w:val="14"/>
                <w:szCs w:val="14"/>
              </w:rPr>
              <w:t>]</w:t>
            </w:r>
          </w:p>
        </w:tc>
        <w:tc>
          <w:tcPr>
            <w:tcW w:w="1418" w:type="dxa"/>
            <w:gridSpan w:val="3"/>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tcPr>
          <w:p w14:paraId="379C2735" w14:textId="77777777" w:rsidR="008907F4" w:rsidRPr="00A0461D" w:rsidRDefault="2FA6B974" w:rsidP="2FA6B974">
            <w:pPr>
              <w:widowControl w:val="0"/>
              <w:spacing w:before="120" w:after="120" w:line="276" w:lineRule="auto"/>
              <w:ind w:left="60"/>
              <w:jc w:val="center"/>
              <w:rPr>
                <w:rFonts w:ascii="Arial" w:hAnsi="Arial" w:cs="Arial"/>
                <w:sz w:val="14"/>
                <w:szCs w:val="14"/>
              </w:rPr>
            </w:pPr>
            <w:r>
              <w:rPr>
                <w:rFonts w:ascii="Arial" w:hAnsi="Arial"/>
                <w:sz w:val="14"/>
                <w:szCs w:val="14"/>
              </w:rPr>
              <w:t>Периодичен отчет</w:t>
            </w:r>
          </w:p>
        </w:tc>
        <w:tc>
          <w:tcPr>
            <w:tcW w:w="992"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tcPr>
          <w:p w14:paraId="7C98FE08" w14:textId="77777777" w:rsidR="008907F4" w:rsidRPr="00A0461D" w:rsidRDefault="2FA6B974" w:rsidP="2FA6B974">
            <w:pPr>
              <w:widowControl w:val="0"/>
              <w:spacing w:before="120" w:after="120" w:line="276" w:lineRule="auto"/>
              <w:ind w:left="60"/>
              <w:jc w:val="center"/>
              <w:rPr>
                <w:rFonts w:ascii="Arial" w:hAnsi="Arial" w:cs="Arial"/>
                <w:sz w:val="14"/>
                <w:szCs w:val="14"/>
              </w:rPr>
            </w:pPr>
            <w:r>
              <w:rPr>
                <w:rFonts w:ascii="Arial" w:hAnsi="Arial"/>
                <w:sz w:val="14"/>
                <w:szCs w:val="14"/>
              </w:rPr>
              <w:t>60 дни след края на отчетен период</w:t>
            </w:r>
          </w:p>
        </w:tc>
        <w:tc>
          <w:tcPr>
            <w:tcW w:w="1134"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tcPr>
          <w:p w14:paraId="14567AAF" w14:textId="77777777" w:rsidR="008907F4" w:rsidRPr="00A0461D" w:rsidRDefault="2FA6B974" w:rsidP="2FA6B974">
            <w:pPr>
              <w:widowControl w:val="0"/>
              <w:spacing w:before="120" w:after="120" w:line="276" w:lineRule="auto"/>
              <w:ind w:left="60"/>
              <w:jc w:val="center"/>
              <w:rPr>
                <w:rFonts w:ascii="Arial" w:hAnsi="Arial" w:cs="Arial"/>
                <w:sz w:val="14"/>
                <w:szCs w:val="14"/>
                <w:highlight w:val="yellow"/>
              </w:rPr>
            </w:pPr>
            <w:r>
              <w:rPr>
                <w:rFonts w:ascii="Arial" w:hAnsi="Arial"/>
                <w:sz w:val="14"/>
                <w:szCs w:val="14"/>
              </w:rPr>
              <w:t xml:space="preserve">Междинно плащане </w:t>
            </w:r>
          </w:p>
        </w:tc>
        <w:tc>
          <w:tcPr>
            <w:tcW w:w="2977"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tcPr>
          <w:p w14:paraId="54AD5620" w14:textId="77777777" w:rsidR="008907F4" w:rsidRPr="00A0461D" w:rsidRDefault="2FA6B974" w:rsidP="2FA6B974">
            <w:pPr>
              <w:widowControl w:val="0"/>
              <w:spacing w:before="120" w:after="120" w:line="276" w:lineRule="auto"/>
              <w:ind w:left="60"/>
              <w:jc w:val="center"/>
              <w:rPr>
                <w:rFonts w:ascii="Arial" w:hAnsi="Arial" w:cs="Arial"/>
                <w:sz w:val="14"/>
                <w:szCs w:val="14"/>
              </w:rPr>
            </w:pPr>
            <w:r>
              <w:rPr>
                <w:rFonts w:ascii="Arial" w:hAnsi="Arial"/>
                <w:i/>
                <w:iCs/>
                <w:color w:val="4AA55B"/>
                <w:sz w:val="14"/>
                <w:szCs w:val="14"/>
              </w:rPr>
              <w:t xml:space="preserve"> </w:t>
            </w:r>
            <w:r>
              <w:rPr>
                <w:rFonts w:ascii="Arial" w:hAnsi="Arial"/>
                <w:sz w:val="14"/>
                <w:szCs w:val="14"/>
              </w:rPr>
              <w:t>60 дни от получаването на периодичния отчет</w:t>
            </w:r>
          </w:p>
        </w:tc>
      </w:tr>
      <w:tr w:rsidR="008907F4" w:rsidRPr="00A0461D" w14:paraId="6CE6D873" w14:textId="77777777" w:rsidTr="2FA6B974">
        <w:trPr>
          <w:trHeight w:hRule="exact" w:val="989"/>
        </w:trPr>
        <w:tc>
          <w:tcPr>
            <w:tcW w:w="709"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hideMark/>
          </w:tcPr>
          <w:p w14:paraId="31D20D68" w14:textId="77777777" w:rsidR="008907F4" w:rsidRPr="00A0461D" w:rsidRDefault="2FA6B974" w:rsidP="2FA6B974">
            <w:pPr>
              <w:widowControl w:val="0"/>
              <w:spacing w:before="120" w:after="120" w:line="276" w:lineRule="auto"/>
              <w:jc w:val="center"/>
              <w:rPr>
                <w:rFonts w:ascii="Arial" w:eastAsia="Times New Roman" w:hAnsi="Arial" w:cs="Arial"/>
                <w:sz w:val="14"/>
                <w:szCs w:val="14"/>
              </w:rPr>
            </w:pPr>
            <w:r>
              <w:rPr>
                <w:rFonts w:ascii="Arial" w:hAnsi="Arial"/>
                <w:sz w:val="14"/>
                <w:szCs w:val="14"/>
              </w:rPr>
              <w:lastRenderedPageBreak/>
              <w:t>3</w:t>
            </w:r>
          </w:p>
        </w:tc>
        <w:tc>
          <w:tcPr>
            <w:tcW w:w="850" w:type="dxa"/>
            <w:gridSpan w:val="2"/>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hideMark/>
          </w:tcPr>
          <w:p w14:paraId="62591D4E" w14:textId="77777777" w:rsidR="008907F4" w:rsidRPr="00A0461D" w:rsidRDefault="2FA6B974" w:rsidP="2FA6B974">
            <w:pPr>
              <w:widowControl w:val="0"/>
              <w:spacing w:before="120" w:after="120" w:line="276" w:lineRule="auto"/>
              <w:ind w:left="62"/>
              <w:jc w:val="center"/>
              <w:rPr>
                <w:rFonts w:ascii="Arial" w:eastAsia="Times New Roman" w:hAnsi="Arial" w:cs="Arial"/>
                <w:sz w:val="14"/>
                <w:szCs w:val="14"/>
                <w:highlight w:val="yellow"/>
              </w:rPr>
            </w:pPr>
            <w:r>
              <w:rPr>
                <w:rFonts w:ascii="Arial" w:hAnsi="Arial"/>
                <w:sz w:val="14"/>
                <w:szCs w:val="14"/>
              </w:rPr>
              <w:t>[</w:t>
            </w:r>
            <w:r>
              <w:rPr>
                <w:rFonts w:ascii="Arial" w:hAnsi="Arial"/>
                <w:sz w:val="14"/>
                <w:szCs w:val="14"/>
                <w:highlight w:val="lightGray"/>
              </w:rPr>
              <w:t>пореден номер</w:t>
            </w:r>
            <w:r>
              <w:rPr>
                <w:rFonts w:ascii="Arial" w:hAnsi="Arial"/>
                <w:sz w:val="14"/>
                <w:szCs w:val="14"/>
              </w:rPr>
              <w:t>]</w:t>
            </w:r>
          </w:p>
        </w:tc>
        <w:tc>
          <w:tcPr>
            <w:tcW w:w="992" w:type="dxa"/>
            <w:gridSpan w:val="2"/>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hideMark/>
          </w:tcPr>
          <w:p w14:paraId="0FC620F7" w14:textId="77777777" w:rsidR="008907F4" w:rsidRPr="00A0461D" w:rsidRDefault="2FA6B974" w:rsidP="2FA6B974">
            <w:pPr>
              <w:widowControl w:val="0"/>
              <w:spacing w:before="120" w:after="120" w:line="276" w:lineRule="auto"/>
              <w:ind w:left="60"/>
              <w:jc w:val="center"/>
              <w:rPr>
                <w:rFonts w:ascii="Arial" w:eastAsia="Times New Roman" w:hAnsi="Arial" w:cs="Arial"/>
                <w:sz w:val="14"/>
                <w:szCs w:val="14"/>
                <w:highlight w:val="yellow"/>
              </w:rPr>
            </w:pPr>
            <w:r>
              <w:rPr>
                <w:rFonts w:ascii="Arial" w:hAnsi="Arial"/>
                <w:sz w:val="14"/>
                <w:szCs w:val="14"/>
              </w:rPr>
              <w:t>[</w:t>
            </w:r>
            <w:r>
              <w:rPr>
                <w:rFonts w:ascii="Arial" w:hAnsi="Arial"/>
                <w:sz w:val="14"/>
                <w:szCs w:val="14"/>
                <w:highlight w:val="lightGray"/>
              </w:rPr>
              <w:t>пореден номер</w:t>
            </w:r>
            <w:r>
              <w:rPr>
                <w:rFonts w:ascii="Arial" w:hAnsi="Arial"/>
                <w:sz w:val="14"/>
                <w:szCs w:val="14"/>
              </w:rPr>
              <w:t>]</w:t>
            </w:r>
          </w:p>
        </w:tc>
        <w:tc>
          <w:tcPr>
            <w:tcW w:w="1418" w:type="dxa"/>
            <w:gridSpan w:val="3"/>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tcPr>
          <w:p w14:paraId="3EEB5F39" w14:textId="796C0A3B" w:rsidR="008907F4" w:rsidRPr="00A0461D" w:rsidRDefault="2FA6B974" w:rsidP="2FA6B974">
            <w:pPr>
              <w:widowControl w:val="0"/>
              <w:spacing w:before="120" w:after="120" w:line="276" w:lineRule="auto"/>
              <w:ind w:left="60"/>
              <w:jc w:val="center"/>
              <w:rPr>
                <w:rFonts w:ascii="Arial" w:hAnsi="Arial" w:cs="Arial"/>
                <w:sz w:val="14"/>
                <w:szCs w:val="14"/>
              </w:rPr>
            </w:pPr>
            <w:r>
              <w:rPr>
                <w:rFonts w:ascii="Arial" w:hAnsi="Arial"/>
                <w:sz w:val="14"/>
                <w:szCs w:val="14"/>
              </w:rPr>
              <w:t xml:space="preserve">Периодичен и окончателен отчет </w:t>
            </w:r>
            <w:r>
              <w:rPr>
                <w:rFonts w:ascii="Arial" w:hAnsi="Arial"/>
                <w:sz w:val="14"/>
                <w:szCs w:val="14"/>
                <w:shd w:val="clear" w:color="auto" w:fill="CCFFFF"/>
              </w:rPr>
              <w:t>и изследване за оценка на резултатите</w:t>
            </w:r>
            <w:r>
              <w:rPr>
                <w:rFonts w:ascii="Arial" w:hAnsi="Arial"/>
                <w:sz w:val="14"/>
                <w:szCs w:val="14"/>
              </w:rPr>
              <w:t xml:space="preserve"> </w:t>
            </w:r>
          </w:p>
        </w:tc>
        <w:tc>
          <w:tcPr>
            <w:tcW w:w="992"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tcPr>
          <w:p w14:paraId="66B0F016" w14:textId="77777777" w:rsidR="008907F4" w:rsidRPr="00A0461D" w:rsidRDefault="2FA6B974" w:rsidP="2FA6B974">
            <w:pPr>
              <w:widowControl w:val="0"/>
              <w:spacing w:before="120" w:after="120" w:line="276" w:lineRule="auto"/>
              <w:ind w:left="60"/>
              <w:jc w:val="center"/>
              <w:rPr>
                <w:rFonts w:ascii="Arial" w:hAnsi="Arial" w:cs="Arial"/>
                <w:sz w:val="14"/>
                <w:szCs w:val="14"/>
              </w:rPr>
            </w:pPr>
            <w:r>
              <w:rPr>
                <w:rFonts w:ascii="Arial" w:hAnsi="Arial"/>
                <w:sz w:val="14"/>
                <w:szCs w:val="14"/>
              </w:rPr>
              <w:t>90 дни след края на отчетен период</w:t>
            </w:r>
          </w:p>
        </w:tc>
        <w:tc>
          <w:tcPr>
            <w:tcW w:w="1134"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tcPr>
          <w:p w14:paraId="2CF768CA" w14:textId="77777777" w:rsidR="008907F4" w:rsidRPr="00A0461D" w:rsidRDefault="2FA6B974" w:rsidP="2FA6B974">
            <w:pPr>
              <w:widowControl w:val="0"/>
              <w:spacing w:before="120" w:after="120" w:line="276" w:lineRule="auto"/>
              <w:ind w:left="60"/>
              <w:jc w:val="center"/>
              <w:rPr>
                <w:rFonts w:ascii="Arial" w:hAnsi="Arial" w:cs="Arial"/>
                <w:sz w:val="14"/>
                <w:szCs w:val="14"/>
                <w:highlight w:val="yellow"/>
              </w:rPr>
            </w:pPr>
            <w:r>
              <w:rPr>
                <w:rFonts w:ascii="Arial" w:hAnsi="Arial"/>
                <w:sz w:val="14"/>
                <w:szCs w:val="14"/>
              </w:rPr>
              <w:t>Окончателно плащане</w:t>
            </w:r>
          </w:p>
        </w:tc>
        <w:tc>
          <w:tcPr>
            <w:tcW w:w="2977"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tcPr>
          <w:p w14:paraId="2A7BDD55" w14:textId="6EF5B59C" w:rsidR="008907F4" w:rsidRPr="00A0461D" w:rsidRDefault="2FA6B974" w:rsidP="2FA6B974">
            <w:pPr>
              <w:widowControl w:val="0"/>
              <w:spacing w:before="120" w:after="120" w:line="276" w:lineRule="auto"/>
              <w:ind w:left="60"/>
              <w:jc w:val="center"/>
              <w:rPr>
                <w:rFonts w:ascii="Arial" w:hAnsi="Arial" w:cs="Arial"/>
                <w:sz w:val="14"/>
                <w:szCs w:val="14"/>
              </w:rPr>
            </w:pPr>
            <w:r>
              <w:rPr>
                <w:rFonts w:ascii="Arial" w:hAnsi="Arial"/>
                <w:sz w:val="14"/>
                <w:szCs w:val="14"/>
              </w:rPr>
              <w:t>60</w:t>
            </w:r>
            <w:r>
              <w:rPr>
                <w:rFonts w:ascii="Arial" w:hAnsi="Arial"/>
                <w:color w:val="FF0000"/>
                <w:sz w:val="14"/>
                <w:szCs w:val="14"/>
              </w:rPr>
              <w:t> </w:t>
            </w:r>
            <w:r>
              <w:rPr>
                <w:rFonts w:ascii="Arial" w:hAnsi="Arial"/>
                <w:sz w:val="14"/>
                <w:szCs w:val="14"/>
              </w:rPr>
              <w:t xml:space="preserve">дни от получаването на периодичния и окончателния отчет и </w:t>
            </w:r>
            <w:r>
              <w:rPr>
                <w:rFonts w:ascii="Arial" w:hAnsi="Arial"/>
                <w:sz w:val="14"/>
                <w:szCs w:val="14"/>
                <w:shd w:val="clear" w:color="auto" w:fill="CCFFFF"/>
              </w:rPr>
              <w:t>изследването за оценка на резултатите</w:t>
            </w:r>
          </w:p>
        </w:tc>
      </w:tr>
    </w:tbl>
    <w:p w14:paraId="6F0A940F" w14:textId="77777777" w:rsidR="008907F4" w:rsidRPr="00815A40" w:rsidRDefault="2FA6B974" w:rsidP="2FA6B974">
      <w:pPr>
        <w:widowControl w:val="0"/>
        <w:spacing w:before="120" w:after="0" w:line="276" w:lineRule="auto"/>
        <w:ind w:left="60" w:firstLine="660"/>
        <w:jc w:val="left"/>
        <w:rPr>
          <w:rFonts w:ascii="Arial" w:hAnsi="Arial" w:cs="Arial"/>
          <w:sz w:val="14"/>
          <w:szCs w:val="14"/>
        </w:rPr>
      </w:pPr>
      <w:r>
        <w:rPr>
          <w:rFonts w:ascii="Arial" w:hAnsi="Arial"/>
          <w:sz w:val="14"/>
          <w:szCs w:val="14"/>
        </w:rPr>
        <w:t>*   Всеки с продължителност 12 месеца.</w:t>
      </w:r>
    </w:p>
    <w:p w14:paraId="03DEED07" w14:textId="77777777" w:rsidR="008907F4" w:rsidRDefault="008907F4" w:rsidP="008907F4">
      <w:pPr>
        <w:spacing w:after="120"/>
        <w:jc w:val="left"/>
        <w:rPr>
          <w:rFonts w:cs="Times New Roman"/>
          <w:b/>
          <w:sz w:val="20"/>
          <w:szCs w:val="20"/>
        </w:rPr>
      </w:pPr>
    </w:p>
    <w:p w14:paraId="6B2BAAE2" w14:textId="77777777" w:rsidR="008907F4" w:rsidRPr="00523306" w:rsidRDefault="2FA6B974" w:rsidP="2FA6B974">
      <w:pPr>
        <w:spacing w:after="120"/>
        <w:jc w:val="left"/>
        <w:rPr>
          <w:rFonts w:cs="Times New Roman"/>
          <w:b/>
          <w:bCs/>
          <w:sz w:val="20"/>
          <w:szCs w:val="20"/>
        </w:rPr>
      </w:pPr>
      <w:r>
        <w:rPr>
          <w:b/>
          <w:bCs/>
          <w:sz w:val="20"/>
          <w:szCs w:val="20"/>
        </w:rPr>
        <w:t>Плащания и гаранции по предварителното финансиране:</w:t>
      </w:r>
    </w:p>
    <w:tbl>
      <w:tblPr>
        <w:tblW w:w="0" w:type="auto"/>
        <w:tblInd w:w="708"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Look w:val="04A0" w:firstRow="1" w:lastRow="0" w:firstColumn="1" w:lastColumn="0" w:noHBand="0" w:noVBand="1"/>
      </w:tblPr>
      <w:tblGrid>
        <w:gridCol w:w="1810"/>
        <w:gridCol w:w="1276"/>
        <w:gridCol w:w="1417"/>
        <w:gridCol w:w="1418"/>
        <w:gridCol w:w="1559"/>
      </w:tblGrid>
      <w:tr w:rsidR="008907F4" w:rsidRPr="00DD54AE" w14:paraId="3A03C41B" w14:textId="77777777" w:rsidTr="2FA6B974">
        <w:tc>
          <w:tcPr>
            <w:tcW w:w="3086" w:type="dxa"/>
            <w:gridSpan w:val="2"/>
            <w:shd w:val="clear" w:color="auto" w:fill="D9D9D9" w:themeFill="background1" w:themeFillShade="D9"/>
          </w:tcPr>
          <w:p w14:paraId="05479285" w14:textId="77777777" w:rsidR="008907F4" w:rsidRPr="00DD54AE" w:rsidRDefault="2FA6B974" w:rsidP="2FA6B974">
            <w:pPr>
              <w:widowControl w:val="0"/>
              <w:tabs>
                <w:tab w:val="left" w:pos="1066"/>
              </w:tabs>
              <w:spacing w:before="120" w:after="120"/>
              <w:jc w:val="center"/>
              <w:rPr>
                <w:rFonts w:ascii="Arial" w:eastAsia="Times New Roman" w:hAnsi="Arial" w:cs="Arial"/>
                <w:b/>
                <w:bCs/>
                <w:sz w:val="14"/>
                <w:szCs w:val="14"/>
              </w:rPr>
            </w:pPr>
            <w:r>
              <w:rPr>
                <w:rFonts w:ascii="Arial" w:hAnsi="Arial"/>
                <w:b/>
                <w:bCs/>
                <w:color w:val="000000" w:themeColor="text1"/>
                <w:sz w:val="14"/>
                <w:szCs w:val="14"/>
              </w:rPr>
              <w:t>Плащане по предварителното финансиране</w:t>
            </w:r>
          </w:p>
        </w:tc>
        <w:tc>
          <w:tcPr>
            <w:tcW w:w="4394" w:type="dxa"/>
            <w:gridSpan w:val="3"/>
            <w:shd w:val="clear" w:color="auto" w:fill="D9D9D9" w:themeFill="background1" w:themeFillShade="D9"/>
          </w:tcPr>
          <w:p w14:paraId="25CCB9E1" w14:textId="77777777" w:rsidR="008907F4" w:rsidRPr="00DD54AE" w:rsidRDefault="2FA6B974" w:rsidP="2FA6B974">
            <w:pPr>
              <w:widowControl w:val="0"/>
              <w:tabs>
                <w:tab w:val="left" w:pos="1066"/>
              </w:tabs>
              <w:spacing w:before="120" w:after="120"/>
              <w:jc w:val="center"/>
              <w:rPr>
                <w:rFonts w:ascii="Arial" w:eastAsia="Times New Roman" w:hAnsi="Arial" w:cs="Arial"/>
                <w:b/>
                <w:bCs/>
                <w:sz w:val="14"/>
                <w:szCs w:val="14"/>
              </w:rPr>
            </w:pPr>
            <w:r>
              <w:rPr>
                <w:rFonts w:ascii="Arial" w:hAnsi="Arial"/>
                <w:b/>
                <w:bCs/>
                <w:sz w:val="14"/>
                <w:szCs w:val="14"/>
              </w:rPr>
              <w:t>Гаранция за предварителното финансиране</w:t>
            </w:r>
          </w:p>
        </w:tc>
      </w:tr>
      <w:tr w:rsidR="008907F4" w:rsidRPr="00DD54AE" w14:paraId="1018F31D" w14:textId="77777777" w:rsidTr="2FA6B974">
        <w:tc>
          <w:tcPr>
            <w:tcW w:w="1810" w:type="dxa"/>
            <w:shd w:val="clear" w:color="auto" w:fill="D9D9D9" w:themeFill="background1" w:themeFillShade="D9"/>
          </w:tcPr>
          <w:p w14:paraId="3D8711B5" w14:textId="77777777" w:rsidR="008907F4" w:rsidRPr="00DD54AE" w:rsidRDefault="2FA6B974" w:rsidP="2FA6B974">
            <w:pPr>
              <w:widowControl w:val="0"/>
              <w:tabs>
                <w:tab w:val="left" w:pos="1066"/>
              </w:tabs>
              <w:spacing w:before="120" w:after="120"/>
              <w:jc w:val="center"/>
              <w:rPr>
                <w:rFonts w:ascii="Arial" w:eastAsia="Times New Roman" w:hAnsi="Arial" w:cs="Arial"/>
                <w:b/>
                <w:bCs/>
                <w:color w:val="000000" w:themeColor="text1"/>
                <w:sz w:val="14"/>
                <w:szCs w:val="14"/>
              </w:rPr>
            </w:pPr>
            <w:r>
              <w:rPr>
                <w:rFonts w:ascii="Arial" w:hAnsi="Arial"/>
                <w:b/>
                <w:bCs/>
                <w:color w:val="000000" w:themeColor="text1"/>
                <w:sz w:val="14"/>
                <w:szCs w:val="14"/>
              </w:rPr>
              <w:t>Вид</w:t>
            </w:r>
          </w:p>
        </w:tc>
        <w:tc>
          <w:tcPr>
            <w:tcW w:w="1276" w:type="dxa"/>
            <w:shd w:val="clear" w:color="auto" w:fill="D9D9D9" w:themeFill="background1" w:themeFillShade="D9"/>
          </w:tcPr>
          <w:p w14:paraId="01BF14B0" w14:textId="77777777" w:rsidR="008907F4" w:rsidRPr="00DD54AE" w:rsidRDefault="2FA6B974" w:rsidP="2FA6B974">
            <w:pPr>
              <w:widowControl w:val="0"/>
              <w:tabs>
                <w:tab w:val="left" w:pos="1066"/>
              </w:tabs>
              <w:spacing w:before="120" w:after="120"/>
              <w:jc w:val="center"/>
              <w:rPr>
                <w:rFonts w:ascii="Arial" w:eastAsia="Times New Roman" w:hAnsi="Arial" w:cs="Arial"/>
                <w:b/>
                <w:bCs/>
                <w:sz w:val="14"/>
                <w:szCs w:val="14"/>
              </w:rPr>
            </w:pPr>
            <w:r>
              <w:rPr>
                <w:rFonts w:ascii="Arial" w:hAnsi="Arial"/>
                <w:b/>
                <w:bCs/>
                <w:color w:val="000000" w:themeColor="text1"/>
                <w:sz w:val="14"/>
                <w:szCs w:val="14"/>
              </w:rPr>
              <w:t>Размер*</w:t>
            </w:r>
          </w:p>
        </w:tc>
        <w:tc>
          <w:tcPr>
            <w:tcW w:w="1417" w:type="dxa"/>
            <w:shd w:val="clear" w:color="auto" w:fill="D9D9D9" w:themeFill="background1" w:themeFillShade="D9"/>
          </w:tcPr>
          <w:p w14:paraId="1A8965CD" w14:textId="77777777" w:rsidR="008907F4" w:rsidRPr="00DD54AE" w:rsidRDefault="2FA6B974" w:rsidP="2FA6B974">
            <w:pPr>
              <w:widowControl w:val="0"/>
              <w:tabs>
                <w:tab w:val="left" w:pos="1066"/>
              </w:tabs>
              <w:spacing w:before="120" w:after="120"/>
              <w:jc w:val="center"/>
              <w:rPr>
                <w:rFonts w:ascii="Arial" w:eastAsia="Times New Roman" w:hAnsi="Arial" w:cs="Arial"/>
                <w:b/>
                <w:bCs/>
                <w:sz w:val="14"/>
                <w:szCs w:val="14"/>
              </w:rPr>
            </w:pPr>
            <w:r>
              <w:rPr>
                <w:rFonts w:ascii="Arial" w:hAnsi="Arial"/>
                <w:b/>
                <w:bCs/>
                <w:color w:val="000000" w:themeColor="text1"/>
                <w:sz w:val="14"/>
                <w:szCs w:val="14"/>
              </w:rPr>
              <w:t>Размер на гаранцията**</w:t>
            </w:r>
          </w:p>
        </w:tc>
        <w:tc>
          <w:tcPr>
            <w:tcW w:w="2977" w:type="dxa"/>
            <w:gridSpan w:val="2"/>
            <w:shd w:val="clear" w:color="auto" w:fill="D9D9D9" w:themeFill="background1" w:themeFillShade="D9"/>
          </w:tcPr>
          <w:p w14:paraId="2413365A" w14:textId="77777777" w:rsidR="008907F4" w:rsidRPr="00DD54AE" w:rsidRDefault="2FA6B974" w:rsidP="2FA6B974">
            <w:pPr>
              <w:widowControl w:val="0"/>
              <w:tabs>
                <w:tab w:val="left" w:pos="1066"/>
              </w:tabs>
              <w:spacing w:before="120" w:after="120"/>
              <w:jc w:val="center"/>
              <w:rPr>
                <w:rFonts w:ascii="Arial" w:eastAsia="Times New Roman" w:hAnsi="Arial" w:cs="Arial"/>
                <w:b/>
                <w:bCs/>
                <w:color w:val="0088CC"/>
                <w:sz w:val="14"/>
                <w:szCs w:val="14"/>
              </w:rPr>
            </w:pPr>
            <w:r>
              <w:rPr>
                <w:rFonts w:ascii="Arial" w:hAnsi="Arial"/>
                <w:b/>
                <w:bCs/>
                <w:sz w:val="14"/>
                <w:szCs w:val="14"/>
              </w:rPr>
              <w:t>Разпределение по участник</w:t>
            </w:r>
          </w:p>
        </w:tc>
      </w:tr>
      <w:tr w:rsidR="008907F4" w:rsidRPr="00DD54AE" w14:paraId="1F1E36BF" w14:textId="77777777" w:rsidTr="2FA6B974">
        <w:trPr>
          <w:trHeight w:val="103"/>
        </w:trPr>
        <w:tc>
          <w:tcPr>
            <w:tcW w:w="1810" w:type="dxa"/>
            <w:vMerge w:val="restart"/>
          </w:tcPr>
          <w:p w14:paraId="28335FE6" w14:textId="77777777" w:rsidR="008907F4" w:rsidRPr="00921383" w:rsidRDefault="2FA6B974" w:rsidP="2FA6B974">
            <w:pPr>
              <w:widowControl w:val="0"/>
              <w:spacing w:before="120" w:after="120"/>
              <w:jc w:val="left"/>
              <w:rPr>
                <w:rFonts w:ascii="Arial" w:eastAsia="Times New Roman" w:hAnsi="Arial" w:cs="Arial"/>
                <w:sz w:val="14"/>
                <w:szCs w:val="14"/>
              </w:rPr>
            </w:pPr>
            <w:r>
              <w:rPr>
                <w:rFonts w:ascii="Arial" w:hAnsi="Arial"/>
                <w:sz w:val="14"/>
                <w:szCs w:val="14"/>
              </w:rPr>
              <w:t>Предварително финансиране</w:t>
            </w:r>
          </w:p>
        </w:tc>
        <w:tc>
          <w:tcPr>
            <w:tcW w:w="1276" w:type="dxa"/>
            <w:vMerge w:val="restart"/>
          </w:tcPr>
          <w:p w14:paraId="55F2D584" w14:textId="77777777" w:rsidR="008907F4" w:rsidRPr="00DD54AE" w:rsidRDefault="2FA6B974" w:rsidP="2FA6B974">
            <w:pPr>
              <w:widowControl w:val="0"/>
              <w:spacing w:before="120" w:after="120"/>
              <w:jc w:val="left"/>
              <w:rPr>
                <w:rFonts w:ascii="Arial" w:eastAsia="Times New Roman" w:hAnsi="Arial" w:cs="Arial"/>
                <w:color w:val="0088CC"/>
                <w:sz w:val="14"/>
                <w:szCs w:val="14"/>
              </w:rPr>
            </w:pPr>
            <w:r>
              <w:rPr>
                <w:rFonts w:ascii="Arial" w:hAnsi="Arial"/>
                <w:i/>
                <w:iCs/>
                <w:color w:val="4AA55B"/>
                <w:sz w:val="14"/>
                <w:szCs w:val="14"/>
              </w:rPr>
              <w:t>[</w:t>
            </w:r>
            <w:r>
              <w:rPr>
                <w:rFonts w:ascii="Arial" w:hAnsi="Arial"/>
                <w:sz w:val="14"/>
                <w:szCs w:val="14"/>
              </w:rPr>
              <w:t>[</w:t>
            </w:r>
            <w:r>
              <w:rPr>
                <w:rFonts w:ascii="Arial" w:hAnsi="Arial"/>
                <w:sz w:val="14"/>
                <w:szCs w:val="14"/>
                <w:highlight w:val="lightGray"/>
              </w:rPr>
              <w:t>сума</w:t>
            </w:r>
            <w:r>
              <w:rPr>
                <w:rFonts w:ascii="Arial" w:hAnsi="Arial"/>
                <w:sz w:val="14"/>
                <w:szCs w:val="14"/>
              </w:rPr>
              <w:t>]</w:t>
            </w:r>
            <w:r>
              <w:rPr>
                <w:rFonts w:ascii="Arial" w:hAnsi="Arial"/>
                <w:i/>
                <w:iCs/>
                <w:color w:val="4AA55B"/>
                <w:sz w:val="14"/>
                <w:szCs w:val="14"/>
              </w:rPr>
              <w:t>]</w:t>
            </w:r>
            <w:r>
              <w:rPr>
                <w:rFonts w:ascii="Arial" w:hAnsi="Arial"/>
                <w:sz w:val="14"/>
                <w:szCs w:val="14"/>
              </w:rPr>
              <w:t xml:space="preserve"> </w:t>
            </w:r>
          </w:p>
        </w:tc>
        <w:tc>
          <w:tcPr>
            <w:tcW w:w="1417" w:type="dxa"/>
            <w:vMerge w:val="restart"/>
            <w:vAlign w:val="bottom"/>
          </w:tcPr>
          <w:p w14:paraId="5FF6166C" w14:textId="77777777" w:rsidR="008907F4" w:rsidRPr="000131B3" w:rsidRDefault="2FA6B974" w:rsidP="2FA6B974">
            <w:pPr>
              <w:widowControl w:val="0"/>
              <w:spacing w:before="120" w:after="120"/>
              <w:jc w:val="left"/>
              <w:rPr>
                <w:rFonts w:ascii="Arial" w:eastAsia="Times New Roman" w:hAnsi="Arial" w:cs="Arial"/>
                <w:color w:val="4AA55B"/>
                <w:sz w:val="14"/>
                <w:szCs w:val="14"/>
              </w:rPr>
            </w:pPr>
            <w:r>
              <w:rPr>
                <w:rFonts w:ascii="Arial" w:hAnsi="Arial"/>
                <w:color w:val="FF0000"/>
                <w:sz w:val="14"/>
                <w:szCs w:val="14"/>
              </w:rPr>
              <w:t xml:space="preserve"> </w:t>
            </w:r>
            <w:r>
              <w:rPr>
                <w:rFonts w:ascii="Arial" w:hAnsi="Arial"/>
                <w:i/>
                <w:iCs/>
                <w:color w:val="4AA55B"/>
                <w:sz w:val="14"/>
                <w:szCs w:val="14"/>
              </w:rPr>
              <w:t>[</w:t>
            </w:r>
            <w:r>
              <w:rPr>
                <w:rFonts w:ascii="Arial" w:hAnsi="Arial"/>
                <w:sz w:val="14"/>
                <w:szCs w:val="14"/>
              </w:rPr>
              <w:t>[</w:t>
            </w:r>
            <w:r>
              <w:rPr>
                <w:rFonts w:ascii="Arial" w:hAnsi="Arial"/>
                <w:sz w:val="14"/>
                <w:szCs w:val="14"/>
                <w:highlight w:val="lightGray"/>
              </w:rPr>
              <w:t>сума</w:t>
            </w:r>
            <w:r>
              <w:rPr>
                <w:rFonts w:ascii="Arial" w:hAnsi="Arial"/>
                <w:sz w:val="14"/>
                <w:szCs w:val="14"/>
              </w:rPr>
              <w:t>]</w:t>
            </w:r>
            <w:r>
              <w:rPr>
                <w:rFonts w:ascii="Arial" w:hAnsi="Arial"/>
                <w:i/>
                <w:iCs/>
                <w:color w:val="4AA55B"/>
                <w:sz w:val="14"/>
                <w:szCs w:val="14"/>
              </w:rPr>
              <w:t xml:space="preserve">] </w:t>
            </w:r>
          </w:p>
          <w:p w14:paraId="1562AD3A" w14:textId="77777777" w:rsidR="008907F4" w:rsidRDefault="008907F4" w:rsidP="00B217B2">
            <w:pPr>
              <w:widowControl w:val="0"/>
              <w:spacing w:before="120" w:after="120"/>
              <w:jc w:val="left"/>
              <w:rPr>
                <w:rFonts w:ascii="Arial" w:eastAsia="Times New Roman" w:hAnsi="Arial" w:cs="Arial"/>
                <w:sz w:val="14"/>
                <w:szCs w:val="14"/>
                <w:lang w:val="en-US"/>
              </w:rPr>
            </w:pPr>
          </w:p>
          <w:p w14:paraId="1994F6C4" w14:textId="72CBF429" w:rsidR="00AE47CF" w:rsidRPr="00DD54AE" w:rsidRDefault="00AE47CF" w:rsidP="00B217B2">
            <w:pPr>
              <w:widowControl w:val="0"/>
              <w:spacing w:before="120" w:after="120"/>
              <w:jc w:val="left"/>
              <w:rPr>
                <w:rFonts w:ascii="Arial" w:eastAsia="Times New Roman" w:hAnsi="Arial" w:cs="Arial"/>
                <w:sz w:val="14"/>
                <w:szCs w:val="14"/>
                <w:lang w:val="en-US"/>
              </w:rPr>
            </w:pPr>
          </w:p>
        </w:tc>
        <w:tc>
          <w:tcPr>
            <w:tcW w:w="1418"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tcPr>
          <w:p w14:paraId="02CB8DFB" w14:textId="77777777" w:rsidR="008907F4" w:rsidRPr="00921383" w:rsidRDefault="2FA6B974" w:rsidP="2FA6B974">
            <w:pPr>
              <w:widowControl w:val="0"/>
              <w:spacing w:before="120" w:after="120"/>
              <w:jc w:val="left"/>
              <w:rPr>
                <w:rFonts w:ascii="Arial" w:eastAsia="Times New Roman" w:hAnsi="Arial" w:cs="Arial"/>
                <w:sz w:val="14"/>
                <w:szCs w:val="14"/>
              </w:rPr>
            </w:pPr>
            <w:r>
              <w:rPr>
                <w:rFonts w:ascii="Arial" w:hAnsi="Arial"/>
                <w:sz w:val="14"/>
                <w:szCs w:val="14"/>
              </w:rPr>
              <w:t>1 — [съкратено наименование]</w:t>
            </w:r>
          </w:p>
        </w:tc>
        <w:tc>
          <w:tcPr>
            <w:tcW w:w="1559" w:type="dxa"/>
          </w:tcPr>
          <w:p w14:paraId="56128251" w14:textId="77777777" w:rsidR="008907F4" w:rsidRPr="00DD54AE" w:rsidRDefault="2FA6B974" w:rsidP="2FA6B974">
            <w:pPr>
              <w:widowControl w:val="0"/>
              <w:spacing w:before="120" w:after="120"/>
              <w:jc w:val="left"/>
              <w:rPr>
                <w:rFonts w:ascii="Arial" w:eastAsia="Times New Roman" w:hAnsi="Arial" w:cs="Arial"/>
                <w:sz w:val="14"/>
                <w:szCs w:val="14"/>
              </w:rPr>
            </w:pPr>
            <w:r>
              <w:rPr>
                <w:rFonts w:ascii="Arial" w:hAnsi="Arial"/>
                <w:i/>
                <w:iCs/>
                <w:color w:val="4AA55B"/>
                <w:sz w:val="14"/>
                <w:szCs w:val="14"/>
              </w:rPr>
              <w:t>[</w:t>
            </w:r>
            <w:r>
              <w:rPr>
                <w:rFonts w:ascii="Arial" w:hAnsi="Arial"/>
                <w:sz w:val="14"/>
                <w:szCs w:val="14"/>
              </w:rPr>
              <w:t>н.п.</w:t>
            </w:r>
            <w:r>
              <w:rPr>
                <w:rFonts w:ascii="Arial" w:hAnsi="Arial"/>
                <w:i/>
                <w:iCs/>
                <w:color w:val="4AA55B"/>
                <w:sz w:val="14"/>
                <w:szCs w:val="14"/>
              </w:rPr>
              <w:t>]</w:t>
            </w:r>
            <w:r>
              <w:rPr>
                <w:rFonts w:ascii="Arial" w:hAnsi="Arial"/>
                <w:color w:val="4AA55B"/>
                <w:sz w:val="14"/>
                <w:szCs w:val="14"/>
              </w:rPr>
              <w:t xml:space="preserve"> </w:t>
            </w:r>
            <w:r>
              <w:rPr>
                <w:rFonts w:ascii="Arial" w:hAnsi="Arial"/>
                <w:i/>
                <w:iCs/>
                <w:color w:val="4AA55B"/>
                <w:sz w:val="14"/>
                <w:szCs w:val="14"/>
              </w:rPr>
              <w:t>[</w:t>
            </w:r>
            <w:r>
              <w:rPr>
                <w:rFonts w:ascii="Arial" w:hAnsi="Arial"/>
                <w:sz w:val="14"/>
                <w:szCs w:val="14"/>
              </w:rPr>
              <w:t>[</w:t>
            </w:r>
            <w:r>
              <w:rPr>
                <w:rFonts w:ascii="Arial" w:hAnsi="Arial"/>
                <w:sz w:val="14"/>
                <w:szCs w:val="14"/>
                <w:highlight w:val="lightGray"/>
              </w:rPr>
              <w:t>сума</w:t>
            </w:r>
            <w:r>
              <w:rPr>
                <w:rFonts w:ascii="Arial" w:hAnsi="Arial"/>
                <w:sz w:val="14"/>
                <w:szCs w:val="14"/>
              </w:rPr>
              <w:t>]</w:t>
            </w:r>
            <w:r>
              <w:rPr>
                <w:rFonts w:ascii="Arial" w:hAnsi="Arial"/>
                <w:i/>
                <w:iCs/>
                <w:color w:val="4AA55B"/>
                <w:sz w:val="14"/>
                <w:szCs w:val="14"/>
              </w:rPr>
              <w:t>]</w:t>
            </w:r>
          </w:p>
        </w:tc>
      </w:tr>
      <w:tr w:rsidR="008907F4" w:rsidRPr="00DD54AE" w14:paraId="1E1588F5" w14:textId="77777777" w:rsidTr="2FA6B974">
        <w:trPr>
          <w:trHeight w:val="102"/>
        </w:trPr>
        <w:tc>
          <w:tcPr>
            <w:tcW w:w="1810" w:type="dxa"/>
            <w:vMerge/>
          </w:tcPr>
          <w:p w14:paraId="6526F548" w14:textId="77777777" w:rsidR="008907F4" w:rsidRPr="00921383" w:rsidRDefault="008907F4" w:rsidP="00B217B2">
            <w:pPr>
              <w:widowControl w:val="0"/>
              <w:spacing w:before="120" w:after="120"/>
              <w:jc w:val="left"/>
              <w:rPr>
                <w:rFonts w:ascii="Arial" w:eastAsia="Times New Roman" w:hAnsi="Arial" w:cs="Arial"/>
                <w:sz w:val="14"/>
                <w:szCs w:val="14"/>
                <w:lang w:val="en-US"/>
              </w:rPr>
            </w:pPr>
          </w:p>
        </w:tc>
        <w:tc>
          <w:tcPr>
            <w:tcW w:w="1276" w:type="dxa"/>
            <w:vMerge/>
          </w:tcPr>
          <w:p w14:paraId="229CB854" w14:textId="77777777" w:rsidR="008907F4" w:rsidRPr="00DD54AE" w:rsidRDefault="008907F4" w:rsidP="00B217B2">
            <w:pPr>
              <w:widowControl w:val="0"/>
              <w:spacing w:before="120" w:after="120"/>
              <w:jc w:val="left"/>
              <w:rPr>
                <w:rFonts w:ascii="Arial" w:eastAsia="Times New Roman" w:hAnsi="Arial" w:cs="Arial"/>
                <w:sz w:val="14"/>
                <w:szCs w:val="14"/>
                <w:lang w:val="en-US"/>
              </w:rPr>
            </w:pPr>
          </w:p>
        </w:tc>
        <w:tc>
          <w:tcPr>
            <w:tcW w:w="1417" w:type="dxa"/>
            <w:vMerge/>
            <w:vAlign w:val="bottom"/>
          </w:tcPr>
          <w:p w14:paraId="71583AF1" w14:textId="77777777" w:rsidR="008907F4" w:rsidRPr="00DD54AE" w:rsidRDefault="008907F4" w:rsidP="00B217B2">
            <w:pPr>
              <w:widowControl w:val="0"/>
              <w:spacing w:before="120" w:after="120"/>
              <w:jc w:val="left"/>
              <w:rPr>
                <w:rFonts w:ascii="Arial" w:eastAsia="Times New Roman" w:hAnsi="Arial" w:cs="Arial"/>
                <w:sz w:val="14"/>
                <w:szCs w:val="14"/>
                <w:lang w:val="en-US"/>
              </w:rPr>
            </w:pPr>
          </w:p>
        </w:tc>
        <w:tc>
          <w:tcPr>
            <w:tcW w:w="1418"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tcPr>
          <w:p w14:paraId="60DA13E1" w14:textId="77777777" w:rsidR="008907F4" w:rsidRPr="00921383" w:rsidRDefault="2FA6B974" w:rsidP="2FA6B974">
            <w:pPr>
              <w:widowControl w:val="0"/>
              <w:spacing w:before="120" w:after="120"/>
              <w:jc w:val="left"/>
              <w:rPr>
                <w:rFonts w:ascii="Arial" w:eastAsia="Times New Roman" w:hAnsi="Arial" w:cs="Arial"/>
                <w:sz w:val="14"/>
                <w:szCs w:val="14"/>
              </w:rPr>
            </w:pPr>
            <w:r>
              <w:rPr>
                <w:rFonts w:ascii="Arial" w:hAnsi="Arial"/>
                <w:sz w:val="14"/>
                <w:szCs w:val="14"/>
              </w:rPr>
              <w:t>2 — [съкратено наименование]</w:t>
            </w:r>
          </w:p>
        </w:tc>
        <w:tc>
          <w:tcPr>
            <w:tcW w:w="1559" w:type="dxa"/>
          </w:tcPr>
          <w:p w14:paraId="293980F9" w14:textId="77777777" w:rsidR="008907F4" w:rsidRPr="00DD54AE" w:rsidRDefault="008907F4" w:rsidP="00B217B2">
            <w:pPr>
              <w:widowControl w:val="0"/>
              <w:spacing w:before="120" w:after="120"/>
              <w:jc w:val="left"/>
              <w:rPr>
                <w:rFonts w:ascii="Arial" w:eastAsia="Times New Roman" w:hAnsi="Arial" w:cs="Arial"/>
                <w:sz w:val="14"/>
                <w:szCs w:val="14"/>
                <w:lang w:val="en-US"/>
              </w:rPr>
            </w:pPr>
          </w:p>
        </w:tc>
      </w:tr>
    </w:tbl>
    <w:p w14:paraId="2BF158F9" w14:textId="77777777" w:rsidR="008907F4" w:rsidRPr="00272EA6" w:rsidRDefault="008907F4" w:rsidP="2FA6B974">
      <w:pPr>
        <w:widowControl w:val="0"/>
        <w:spacing w:before="120" w:after="120"/>
        <w:ind w:firstLine="720"/>
        <w:jc w:val="left"/>
        <w:rPr>
          <w:rFonts w:ascii="Arial" w:eastAsia="Times New Roman" w:hAnsi="Arial" w:cs="Arial"/>
          <w:sz w:val="14"/>
          <w:szCs w:val="14"/>
        </w:rPr>
      </w:pPr>
      <w:r>
        <w:rPr>
          <w:rFonts w:ascii="Arial" w:hAnsi="Arial"/>
          <w:sz w:val="14"/>
          <w:szCs w:val="14"/>
        </w:rPr>
        <w:t xml:space="preserve">* </w:t>
      </w:r>
      <w:r>
        <w:rPr>
          <w:rFonts w:ascii="Arial" w:hAnsi="Arial"/>
          <w:sz w:val="14"/>
          <w:szCs w:val="14"/>
          <w:shd w:val="clear" w:color="auto" w:fill="CCFFFF"/>
        </w:rPr>
        <w:t>Размерът на предварителното финансиране не може да надвишава 20 % от максималния размер на безвъзмездните средства</w:t>
      </w:r>
      <w:r>
        <w:rPr>
          <w:rFonts w:ascii="Arial" w:hAnsi="Arial"/>
          <w:sz w:val="14"/>
          <w:szCs w:val="14"/>
        </w:rPr>
        <w:t>.</w:t>
      </w:r>
    </w:p>
    <w:p w14:paraId="64EF146F" w14:textId="423404E7" w:rsidR="008907F4" w:rsidRPr="00272EA6" w:rsidRDefault="008907F4" w:rsidP="2FA6B974">
      <w:pPr>
        <w:widowControl w:val="0"/>
        <w:spacing w:before="120" w:after="120"/>
        <w:ind w:firstLine="720"/>
        <w:jc w:val="left"/>
        <w:rPr>
          <w:rFonts w:ascii="Arial" w:eastAsia="Times New Roman" w:hAnsi="Arial" w:cs="Arial"/>
          <w:sz w:val="14"/>
          <w:szCs w:val="14"/>
        </w:rPr>
      </w:pPr>
      <w:r>
        <w:rPr>
          <w:rFonts w:ascii="Arial" w:hAnsi="Arial"/>
          <w:sz w:val="14"/>
          <w:szCs w:val="14"/>
        </w:rPr>
        <w:t xml:space="preserve">** </w:t>
      </w:r>
      <w:r>
        <w:rPr>
          <w:rFonts w:ascii="Arial" w:hAnsi="Arial"/>
          <w:sz w:val="14"/>
          <w:szCs w:val="14"/>
          <w:shd w:val="clear" w:color="auto" w:fill="CCFFFF"/>
        </w:rPr>
        <w:t>Размерът на гаранцията за предварителното финансиране трябва да бъде същият като размера на плащането по предварителното финансиране</w:t>
      </w:r>
      <w:r>
        <w:rPr>
          <w:rFonts w:ascii="Arial" w:hAnsi="Arial"/>
          <w:sz w:val="14"/>
          <w:szCs w:val="14"/>
        </w:rPr>
        <w:t xml:space="preserve">. </w:t>
      </w:r>
    </w:p>
    <w:p w14:paraId="42EFC735" w14:textId="77777777" w:rsidR="008907F4" w:rsidRPr="00523306" w:rsidRDefault="2FA6B974" w:rsidP="2FA6B974">
      <w:pPr>
        <w:spacing w:after="120"/>
        <w:jc w:val="left"/>
        <w:rPr>
          <w:rFonts w:cs="Times New Roman"/>
          <w:b/>
          <w:bCs/>
          <w:sz w:val="20"/>
          <w:szCs w:val="20"/>
        </w:rPr>
      </w:pPr>
      <w:r>
        <w:rPr>
          <w:b/>
          <w:bCs/>
          <w:sz w:val="20"/>
          <w:szCs w:val="20"/>
        </w:rPr>
        <w:t>Докладване и условия за плащане</w:t>
      </w:r>
      <w:r>
        <w:rPr>
          <w:sz w:val="20"/>
          <w:szCs w:val="20"/>
        </w:rPr>
        <w:t xml:space="preserve"> (членове 21 и 22)</w:t>
      </w:r>
      <w:r>
        <w:rPr>
          <w:b/>
          <w:bCs/>
          <w:sz w:val="20"/>
          <w:szCs w:val="20"/>
        </w:rPr>
        <w:t>:</w:t>
      </w:r>
    </w:p>
    <w:p w14:paraId="03BA10C7" w14:textId="77777777" w:rsidR="008907F4" w:rsidRDefault="2FA6B974" w:rsidP="2FA6B974">
      <w:pPr>
        <w:spacing w:after="120"/>
        <w:ind w:left="284"/>
        <w:jc w:val="left"/>
        <w:rPr>
          <w:rFonts w:cs="Times New Roman"/>
          <w:b/>
          <w:bCs/>
          <w:sz w:val="20"/>
          <w:szCs w:val="20"/>
        </w:rPr>
      </w:pPr>
      <w:r>
        <w:rPr>
          <w:sz w:val="20"/>
          <w:szCs w:val="20"/>
        </w:rPr>
        <w:t>Взаимозастрахователен механизъм: не</w:t>
      </w:r>
    </w:p>
    <w:p w14:paraId="14225193" w14:textId="456D14C6" w:rsidR="008907F4" w:rsidRPr="006D70D0" w:rsidRDefault="2FA6B974" w:rsidP="2FA6B974">
      <w:pPr>
        <w:spacing w:after="120"/>
        <w:ind w:left="709" w:hanging="425"/>
        <w:rPr>
          <w:rFonts w:cs="Times New Roman"/>
          <w:sz w:val="20"/>
          <w:szCs w:val="20"/>
        </w:rPr>
      </w:pPr>
      <w:r>
        <w:rPr>
          <w:sz w:val="20"/>
          <w:szCs w:val="20"/>
        </w:rPr>
        <w:t xml:space="preserve">Ограничения за разпределението на първоначалното предварително финансиране: предварителното финансиране може да бъде разпределено, само ако към споразумението са се присъединили минималният брой бенефициери, посочен в условията на поканата (ако има такъв), и само между бенефициери, които са се присъединили. </w:t>
      </w:r>
    </w:p>
    <w:p w14:paraId="03A03F7C" w14:textId="77777777" w:rsidR="008907F4" w:rsidRPr="002950CE" w:rsidRDefault="2FA6B974" w:rsidP="2FA6B974">
      <w:pPr>
        <w:spacing w:after="120"/>
        <w:ind w:left="284"/>
        <w:jc w:val="left"/>
        <w:rPr>
          <w:rFonts w:cs="Times New Roman"/>
          <w:strike/>
          <w:sz w:val="20"/>
          <w:szCs w:val="20"/>
        </w:rPr>
      </w:pPr>
      <w:r>
        <w:rPr>
          <w:sz w:val="20"/>
          <w:szCs w:val="20"/>
        </w:rPr>
        <w:t>Таван за междинните плащания: 90 % от максималния размер на безвъзмездните средства</w:t>
      </w:r>
    </w:p>
    <w:p w14:paraId="35B02BAC" w14:textId="77777777" w:rsidR="008907F4" w:rsidRPr="006D70D0" w:rsidRDefault="2FA6B974" w:rsidP="2FA6B974">
      <w:pPr>
        <w:spacing w:after="120"/>
        <w:ind w:left="284"/>
        <w:jc w:val="left"/>
        <w:rPr>
          <w:rFonts w:cs="Times New Roman"/>
          <w:sz w:val="20"/>
          <w:szCs w:val="20"/>
        </w:rPr>
      </w:pPr>
      <w:r>
        <w:rPr>
          <w:sz w:val="20"/>
          <w:szCs w:val="20"/>
        </w:rPr>
        <w:t>Правило за недопускане на печалба: да</w:t>
      </w:r>
    </w:p>
    <w:p w14:paraId="42884518" w14:textId="77777777" w:rsidR="008907F4" w:rsidRPr="006D70D0" w:rsidRDefault="008907F4" w:rsidP="2FA6B974">
      <w:pPr>
        <w:spacing w:after="120"/>
        <w:ind w:left="284"/>
        <w:jc w:val="left"/>
        <w:rPr>
          <w:rFonts w:cs="Times New Roman"/>
          <w:sz w:val="20"/>
          <w:szCs w:val="20"/>
        </w:rPr>
      </w:pPr>
      <w:r>
        <w:rPr>
          <w:sz w:val="20"/>
          <w:szCs w:val="20"/>
        </w:rPr>
        <w:t>Лихва за забава:</w:t>
      </w:r>
      <w:r>
        <w:tab/>
      </w:r>
      <w:r>
        <w:rPr>
          <w:sz w:val="20"/>
          <w:szCs w:val="20"/>
        </w:rPr>
        <w:t>ЕЦБ + 3,5 %</w:t>
      </w:r>
    </w:p>
    <w:p w14:paraId="00CF7ADF" w14:textId="77777777" w:rsidR="008907F4" w:rsidRPr="006D70D0" w:rsidRDefault="2FA6B974" w:rsidP="2FA6B974">
      <w:pPr>
        <w:spacing w:after="120"/>
        <w:ind w:left="284"/>
        <w:jc w:val="left"/>
        <w:rPr>
          <w:rFonts w:cs="Times New Roman"/>
          <w:sz w:val="20"/>
          <w:szCs w:val="20"/>
        </w:rPr>
      </w:pPr>
      <w:r>
        <w:rPr>
          <w:sz w:val="20"/>
          <w:szCs w:val="20"/>
        </w:rPr>
        <w:t xml:space="preserve">Банкова сметка за плащания: </w:t>
      </w:r>
    </w:p>
    <w:p w14:paraId="32A965A0" w14:textId="77777777" w:rsidR="008907F4" w:rsidRPr="006D70D0" w:rsidRDefault="008907F4" w:rsidP="2FA6B974">
      <w:pPr>
        <w:spacing w:after="120"/>
        <w:ind w:left="720"/>
        <w:jc w:val="left"/>
        <w:rPr>
          <w:rFonts w:cs="Times New Roman"/>
          <w:sz w:val="20"/>
          <w:szCs w:val="20"/>
        </w:rPr>
      </w:pPr>
      <w:r>
        <w:rPr>
          <w:sz w:val="20"/>
          <w:szCs w:val="20"/>
        </w:rPr>
        <w:t>[</w:t>
      </w:r>
      <w:r>
        <w:rPr>
          <w:sz w:val="20"/>
          <w:szCs w:val="20"/>
          <w:highlight w:val="lightGray"/>
        </w:rPr>
        <w:t>международен номер на банковата сметка IBAN и SWIFT/BIC, например IT75Y0538703601000000198049; GEBABEBB</w:t>
      </w:r>
      <w:r>
        <w:rPr>
          <w:sz w:val="20"/>
          <w:szCs w:val="20"/>
        </w:rPr>
        <w:t>]</w:t>
      </w:r>
    </w:p>
    <w:p w14:paraId="27AC6FD6" w14:textId="77777777" w:rsidR="008907F4" w:rsidRPr="00A6466B" w:rsidRDefault="2FA6B974" w:rsidP="2FA6B974">
      <w:pPr>
        <w:spacing w:after="120"/>
        <w:ind w:left="284"/>
        <w:jc w:val="left"/>
        <w:rPr>
          <w:rFonts w:cs="Times New Roman"/>
          <w:strike/>
          <w:sz w:val="20"/>
          <w:szCs w:val="20"/>
        </w:rPr>
      </w:pPr>
      <w:r>
        <w:rPr>
          <w:sz w:val="20"/>
          <w:szCs w:val="20"/>
        </w:rPr>
        <w:t>Конвертиране в евро:  двойно конвертиране</w:t>
      </w:r>
      <w:r>
        <w:rPr>
          <w:i/>
          <w:iCs/>
          <w:strike/>
          <w:color w:val="4AA55B"/>
          <w:sz w:val="20"/>
          <w:szCs w:val="20"/>
        </w:rPr>
        <w:t xml:space="preserve"> </w:t>
      </w:r>
    </w:p>
    <w:p w14:paraId="1D4B3960" w14:textId="77777777" w:rsidR="008907F4" w:rsidRPr="004931E1" w:rsidRDefault="2FA6B974" w:rsidP="2FA6B974">
      <w:pPr>
        <w:spacing w:after="120"/>
        <w:ind w:left="709" w:hanging="425"/>
        <w:rPr>
          <w:i/>
          <w:iCs/>
          <w:sz w:val="20"/>
          <w:szCs w:val="20"/>
        </w:rPr>
      </w:pPr>
      <w:r>
        <w:rPr>
          <w:sz w:val="20"/>
          <w:szCs w:val="20"/>
        </w:rPr>
        <w:t>Език на докладване: език на споразумението</w:t>
      </w:r>
    </w:p>
    <w:p w14:paraId="69E4E4C9" w14:textId="77777777" w:rsidR="008907F4" w:rsidRPr="00523306" w:rsidRDefault="2FA6B974" w:rsidP="2FA6B974">
      <w:pPr>
        <w:spacing w:after="120"/>
        <w:jc w:val="left"/>
        <w:rPr>
          <w:rFonts w:cs="Times New Roman"/>
          <w:b/>
          <w:bCs/>
          <w:sz w:val="20"/>
          <w:szCs w:val="20"/>
        </w:rPr>
      </w:pPr>
      <w:r>
        <w:rPr>
          <w:b/>
          <w:bCs/>
          <w:sz w:val="20"/>
          <w:szCs w:val="20"/>
          <w:u w:val="single"/>
        </w:rPr>
        <w:t xml:space="preserve">4.3 Сертификати </w:t>
      </w:r>
      <w:r>
        <w:rPr>
          <w:b/>
          <w:bCs/>
          <w:sz w:val="20"/>
          <w:szCs w:val="20"/>
        </w:rPr>
        <w:t xml:space="preserve"> </w:t>
      </w:r>
      <w:r>
        <w:rPr>
          <w:sz w:val="20"/>
          <w:szCs w:val="20"/>
        </w:rPr>
        <w:t>(член 24)</w:t>
      </w:r>
    </w:p>
    <w:p w14:paraId="1D211662" w14:textId="77777777" w:rsidR="008907F4" w:rsidRPr="00523306" w:rsidRDefault="2FA6B974" w:rsidP="2FA6B974">
      <w:pPr>
        <w:spacing w:after="120"/>
        <w:ind w:left="284"/>
        <w:jc w:val="left"/>
        <w:rPr>
          <w:rFonts w:cs="Times New Roman"/>
          <w:b/>
          <w:bCs/>
          <w:sz w:val="20"/>
          <w:szCs w:val="20"/>
        </w:rPr>
      </w:pPr>
      <w:r>
        <w:rPr>
          <w:sz w:val="20"/>
          <w:szCs w:val="20"/>
        </w:rPr>
        <w:t xml:space="preserve">Сертификати за финансовите отчети (СФО): </w:t>
      </w:r>
    </w:p>
    <w:p w14:paraId="19647144" w14:textId="77777777" w:rsidR="008907F4" w:rsidRPr="00DD54AE" w:rsidRDefault="2FA6B974" w:rsidP="2FA6B974">
      <w:pPr>
        <w:tabs>
          <w:tab w:val="left" w:pos="-1440"/>
          <w:tab w:val="left" w:pos="-720"/>
        </w:tabs>
        <w:spacing w:after="120"/>
        <w:ind w:left="720"/>
        <w:rPr>
          <w:sz w:val="20"/>
          <w:szCs w:val="20"/>
        </w:rPr>
      </w:pPr>
      <w:r>
        <w:rPr>
          <w:sz w:val="20"/>
          <w:szCs w:val="20"/>
        </w:rPr>
        <w:t>Условия:</w:t>
      </w:r>
    </w:p>
    <w:p w14:paraId="3D59F201" w14:textId="77777777" w:rsidR="008907F4" w:rsidRPr="00DD54AE" w:rsidRDefault="2FA6B974" w:rsidP="2FA6B974">
      <w:pPr>
        <w:tabs>
          <w:tab w:val="left" w:pos="-1440"/>
          <w:tab w:val="left" w:pos="-720"/>
        </w:tabs>
        <w:spacing w:after="120"/>
        <w:ind w:left="992"/>
        <w:rPr>
          <w:sz w:val="20"/>
          <w:szCs w:val="20"/>
        </w:rPr>
      </w:pPr>
      <w:r>
        <w:rPr>
          <w:sz w:val="20"/>
          <w:szCs w:val="20"/>
        </w:rPr>
        <w:t>График: междинно/окончателно плащане, ако са достигнати праговете</w:t>
      </w:r>
    </w:p>
    <w:p w14:paraId="3EA5E1F6" w14:textId="77777777" w:rsidR="008907F4" w:rsidRPr="00DD54AE" w:rsidRDefault="2FA6B974" w:rsidP="2FA6B974">
      <w:pPr>
        <w:tabs>
          <w:tab w:val="left" w:pos="-1440"/>
          <w:tab w:val="left" w:pos="-720"/>
        </w:tabs>
        <w:spacing w:after="120"/>
        <w:ind w:left="993"/>
        <w:rPr>
          <w:sz w:val="20"/>
          <w:szCs w:val="20"/>
          <w:highlight w:val="yellow"/>
        </w:rPr>
      </w:pPr>
      <w:r>
        <w:rPr>
          <w:sz w:val="20"/>
          <w:szCs w:val="20"/>
        </w:rPr>
        <w:t>Стандартен праг (на равнище бенефициер):</w:t>
      </w:r>
    </w:p>
    <w:p w14:paraId="7CDA6CC9" w14:textId="77777777" w:rsidR="008907F4" w:rsidRPr="004D76EF" w:rsidRDefault="008907F4" w:rsidP="2FA6B974">
      <w:pPr>
        <w:numPr>
          <w:ilvl w:val="0"/>
          <w:numId w:val="36"/>
        </w:numPr>
        <w:spacing w:after="120"/>
        <w:rPr>
          <w:rFonts w:eastAsia="Times New Roman" w:cs="Times New Roman"/>
          <w:sz w:val="20"/>
          <w:szCs w:val="20"/>
        </w:rPr>
      </w:pPr>
      <w:r>
        <w:rPr>
          <w:sz w:val="20"/>
          <w:szCs w:val="20"/>
          <w:shd w:val="clear" w:color="auto" w:fill="CCFFFF"/>
        </w:rPr>
        <w:t>финансов отчет: вноска на ЕС към действителните разходи по програмата ≥ 750 000 EUR и искана вноска от ЕС към действителните разходи ≥ 325 000 EUR</w:t>
      </w:r>
    </w:p>
    <w:p w14:paraId="628C53BA" w14:textId="77777777" w:rsidR="008907F4" w:rsidRPr="00523306" w:rsidRDefault="2FA6B974" w:rsidP="2FA6B974">
      <w:pPr>
        <w:spacing w:after="120"/>
        <w:jc w:val="left"/>
        <w:rPr>
          <w:rFonts w:cs="Times New Roman"/>
          <w:b/>
          <w:bCs/>
          <w:sz w:val="20"/>
          <w:szCs w:val="20"/>
        </w:rPr>
      </w:pPr>
      <w:r>
        <w:rPr>
          <w:b/>
          <w:bCs/>
          <w:sz w:val="20"/>
          <w:szCs w:val="20"/>
          <w:u w:val="single"/>
        </w:rPr>
        <w:t xml:space="preserve">4.4 Събиране на дължими суми </w:t>
      </w:r>
      <w:r>
        <w:rPr>
          <w:b/>
          <w:bCs/>
          <w:sz w:val="20"/>
          <w:szCs w:val="20"/>
        </w:rPr>
        <w:t xml:space="preserve"> </w:t>
      </w:r>
      <w:r>
        <w:rPr>
          <w:sz w:val="20"/>
          <w:szCs w:val="20"/>
        </w:rPr>
        <w:t>(член 22)</w:t>
      </w:r>
    </w:p>
    <w:p w14:paraId="3C74F863" w14:textId="77777777" w:rsidR="008907F4" w:rsidRPr="00523306" w:rsidRDefault="2FA6B974" w:rsidP="2FA6B974">
      <w:pPr>
        <w:spacing w:after="120"/>
        <w:jc w:val="left"/>
        <w:rPr>
          <w:rFonts w:cs="Times New Roman"/>
          <w:b/>
          <w:bCs/>
          <w:sz w:val="20"/>
          <w:szCs w:val="20"/>
        </w:rPr>
      </w:pPr>
      <w:r>
        <w:rPr>
          <w:b/>
          <w:bCs/>
          <w:sz w:val="20"/>
          <w:szCs w:val="20"/>
        </w:rPr>
        <w:t>Първа по ред отговорност за събиране на дължими суми:</w:t>
      </w:r>
    </w:p>
    <w:p w14:paraId="6E69C46E" w14:textId="77777777" w:rsidR="008907F4" w:rsidRPr="00935774" w:rsidRDefault="2FA6B974" w:rsidP="2FA6B974">
      <w:pPr>
        <w:spacing w:after="120"/>
        <w:ind w:left="284"/>
        <w:jc w:val="left"/>
        <w:rPr>
          <w:rFonts w:cs="Times New Roman"/>
          <w:sz w:val="20"/>
          <w:szCs w:val="20"/>
        </w:rPr>
      </w:pPr>
      <w:r>
        <w:rPr>
          <w:sz w:val="20"/>
          <w:szCs w:val="20"/>
        </w:rPr>
        <w:t>Прекратяване на участието на бенефициер: заинтересован бенефициер</w:t>
      </w:r>
    </w:p>
    <w:p w14:paraId="6AA1A153" w14:textId="77777777" w:rsidR="008907F4" w:rsidRPr="00935774" w:rsidRDefault="2FA6B974" w:rsidP="2FA6B974">
      <w:pPr>
        <w:spacing w:after="120"/>
        <w:ind w:left="1702" w:hanging="1418"/>
        <w:jc w:val="left"/>
        <w:rPr>
          <w:rFonts w:cs="Times New Roman"/>
          <w:sz w:val="20"/>
          <w:szCs w:val="20"/>
        </w:rPr>
      </w:pPr>
      <w:r>
        <w:rPr>
          <w:sz w:val="20"/>
          <w:szCs w:val="20"/>
        </w:rPr>
        <w:lastRenderedPageBreak/>
        <w:t>Окончателно плащане: координатор</w:t>
      </w:r>
    </w:p>
    <w:p w14:paraId="55B6E69C" w14:textId="77777777" w:rsidR="008907F4" w:rsidRPr="00935774" w:rsidRDefault="2FA6B974" w:rsidP="2FA6B974">
      <w:pPr>
        <w:spacing w:after="120"/>
        <w:ind w:left="284"/>
        <w:jc w:val="left"/>
        <w:rPr>
          <w:rFonts w:cs="Times New Roman"/>
          <w:sz w:val="20"/>
          <w:szCs w:val="20"/>
        </w:rPr>
      </w:pPr>
      <w:r>
        <w:rPr>
          <w:sz w:val="20"/>
          <w:szCs w:val="20"/>
        </w:rPr>
        <w:t>След окончателното плащане: заинтересован бенефициер</w:t>
      </w:r>
    </w:p>
    <w:p w14:paraId="64B9D95E" w14:textId="77777777" w:rsidR="008907F4" w:rsidRPr="00523306" w:rsidRDefault="2FA6B974" w:rsidP="2FA6B974">
      <w:pPr>
        <w:spacing w:after="120"/>
        <w:jc w:val="left"/>
        <w:rPr>
          <w:rFonts w:cs="Times New Roman"/>
          <w:b/>
          <w:bCs/>
          <w:sz w:val="20"/>
          <w:szCs w:val="20"/>
        </w:rPr>
      </w:pPr>
      <w:r>
        <w:rPr>
          <w:b/>
          <w:bCs/>
          <w:sz w:val="20"/>
          <w:szCs w:val="20"/>
        </w:rPr>
        <w:t>Солидарна отговорност при принудителни събирания (в случай на неплащане):</w:t>
      </w:r>
    </w:p>
    <w:p w14:paraId="48D4DE2A" w14:textId="5684C873" w:rsidR="008907F4" w:rsidRPr="004931E1" w:rsidRDefault="2FA6B974" w:rsidP="2FA6B974">
      <w:pPr>
        <w:spacing w:after="120"/>
        <w:ind w:left="284"/>
        <w:rPr>
          <w:rFonts w:cs="Times New Roman"/>
          <w:sz w:val="20"/>
          <w:szCs w:val="20"/>
        </w:rPr>
      </w:pPr>
      <w:r>
        <w:rPr>
          <w:i/>
          <w:iCs/>
          <w:color w:val="4AA55B"/>
          <w:sz w:val="20"/>
          <w:szCs w:val="20"/>
        </w:rPr>
        <w:t xml:space="preserve">[ВАРИАНТ 1 по подразбиране: </w:t>
      </w:r>
      <w:r>
        <w:rPr>
          <w:sz w:val="20"/>
          <w:szCs w:val="20"/>
        </w:rPr>
        <w:t>Ограничена солидарна отговорност на други бенефициери — до максималния размер на безвъзмездните средства, отпуснати на бенефициера)</w:t>
      </w:r>
      <w:r>
        <w:rPr>
          <w:i/>
          <w:iCs/>
          <w:color w:val="4AA55B"/>
          <w:sz w:val="20"/>
          <w:szCs w:val="20"/>
        </w:rPr>
        <w:t xml:space="preserve">] [ВАРИАНТ 2, ако е избран за безвъзмездните средства: </w:t>
      </w:r>
      <w:r>
        <w:rPr>
          <w:sz w:val="20"/>
          <w:szCs w:val="20"/>
        </w:rPr>
        <w:t>Безусловна солидарна отговорност на други бенефициери — до максималния размер на безвъзмездните средства за дейността</w:t>
      </w:r>
      <w:r>
        <w:rPr>
          <w:i/>
          <w:iCs/>
          <w:color w:val="4AA55B"/>
          <w:sz w:val="20"/>
          <w:szCs w:val="20"/>
        </w:rPr>
        <w:t xml:space="preserve">] [ВАРИАНТ 3, ако е избран за безвъзмездните средства: </w:t>
      </w:r>
      <w:r>
        <w:rPr>
          <w:sz w:val="20"/>
          <w:szCs w:val="20"/>
        </w:rPr>
        <w:t xml:space="preserve">Индивидуална финансова отговорност: всеки бенефициер носи отговорност само за собствените си дългове (и тези на свързаните с него субекти, ако има такива) </w:t>
      </w:r>
      <w:r>
        <w:rPr>
          <w:i/>
          <w:iCs/>
          <w:color w:val="4AA55B"/>
          <w:sz w:val="20"/>
          <w:szCs w:val="20"/>
        </w:rPr>
        <w:t xml:space="preserve">] </w:t>
      </w:r>
    </w:p>
    <w:p w14:paraId="295BC421" w14:textId="77777777" w:rsidR="008907F4" w:rsidRPr="003403CF" w:rsidRDefault="2FA6B974" w:rsidP="2FA6B974">
      <w:pPr>
        <w:spacing w:after="120"/>
        <w:jc w:val="left"/>
        <w:rPr>
          <w:rFonts w:cs="Times New Roman"/>
          <w:b/>
          <w:bCs/>
          <w:sz w:val="20"/>
          <w:szCs w:val="20"/>
          <w:u w:val="single"/>
        </w:rPr>
      </w:pPr>
      <w:r>
        <w:rPr>
          <w:b/>
          <w:bCs/>
          <w:sz w:val="20"/>
          <w:szCs w:val="20"/>
          <w:u w:val="single"/>
        </w:rPr>
        <w:t xml:space="preserve">5. Последствия при неизпълнение, приложимо право и форум за уреждане на спорове </w:t>
      </w:r>
    </w:p>
    <w:p w14:paraId="407FFBC8" w14:textId="77777777" w:rsidR="008907F4" w:rsidRDefault="008907F4" w:rsidP="2FA6B974">
      <w:pPr>
        <w:spacing w:after="120"/>
        <w:jc w:val="left"/>
        <w:rPr>
          <w:rFonts w:cs="Times New Roman"/>
          <w:b/>
          <w:bCs/>
          <w:sz w:val="20"/>
          <w:szCs w:val="20"/>
        </w:rPr>
      </w:pPr>
      <w:r>
        <w:rPr>
          <w:b/>
          <w:bCs/>
          <w:sz w:val="20"/>
          <w:szCs w:val="20"/>
        </w:rPr>
        <w:t>Приложимо право</w:t>
      </w:r>
      <w:r>
        <w:rPr>
          <w:sz w:val="20"/>
          <w:szCs w:val="20"/>
        </w:rPr>
        <w:t xml:space="preserve"> (член 43)</w:t>
      </w:r>
      <w:r>
        <w:rPr>
          <w:b/>
          <w:bCs/>
          <w:sz w:val="20"/>
          <w:szCs w:val="20"/>
        </w:rPr>
        <w:t>:</w:t>
      </w:r>
      <w:r>
        <w:tab/>
      </w:r>
    </w:p>
    <w:p w14:paraId="08EB00AD" w14:textId="266BE104" w:rsidR="008907F4" w:rsidRPr="00DD54AE" w:rsidRDefault="008907F4" w:rsidP="2FA6B974">
      <w:pPr>
        <w:widowControl w:val="0"/>
        <w:spacing w:after="120"/>
        <w:ind w:left="284"/>
        <w:rPr>
          <w:rFonts w:eastAsia="Times New Roman"/>
          <w:sz w:val="20"/>
          <w:szCs w:val="20"/>
        </w:rPr>
      </w:pPr>
      <w:r>
        <w:rPr>
          <w:sz w:val="20"/>
          <w:szCs w:val="20"/>
        </w:rPr>
        <w:t xml:space="preserve">Стандартен режим на приложимо право: правото на ЕС + </w:t>
      </w:r>
      <w:r>
        <w:rPr>
          <w:sz w:val="20"/>
          <w:szCs w:val="20"/>
          <w:shd w:val="clear" w:color="auto" w:fill="CCFFFF"/>
        </w:rPr>
        <w:t>националното право на държавата членка на предоставящия орган</w:t>
      </w:r>
    </w:p>
    <w:p w14:paraId="3A85983B" w14:textId="77777777" w:rsidR="008907F4" w:rsidRDefault="008907F4" w:rsidP="2FA6B974">
      <w:pPr>
        <w:spacing w:after="120"/>
        <w:jc w:val="left"/>
        <w:rPr>
          <w:rFonts w:cs="Times New Roman"/>
          <w:b/>
          <w:bCs/>
          <w:sz w:val="20"/>
          <w:szCs w:val="20"/>
        </w:rPr>
      </w:pPr>
      <w:r>
        <w:rPr>
          <w:b/>
          <w:bCs/>
          <w:sz w:val="20"/>
          <w:szCs w:val="20"/>
        </w:rPr>
        <w:t>Форум за уреждане на спорове</w:t>
      </w:r>
      <w:r>
        <w:rPr>
          <w:sz w:val="20"/>
          <w:szCs w:val="20"/>
        </w:rPr>
        <w:t xml:space="preserve"> (член 43)</w:t>
      </w:r>
      <w:r>
        <w:rPr>
          <w:b/>
          <w:bCs/>
          <w:sz w:val="20"/>
          <w:szCs w:val="20"/>
        </w:rPr>
        <w:t>:</w:t>
      </w:r>
      <w:r>
        <w:tab/>
      </w:r>
    </w:p>
    <w:p w14:paraId="275508DA" w14:textId="699B481C" w:rsidR="008907F4" w:rsidRPr="00DD54AE" w:rsidRDefault="008907F4" w:rsidP="2FA6B974">
      <w:pPr>
        <w:widowControl w:val="0"/>
        <w:spacing w:after="120"/>
        <w:ind w:left="284"/>
        <w:rPr>
          <w:rFonts w:eastAsia="Times New Roman"/>
          <w:sz w:val="20"/>
          <w:szCs w:val="20"/>
        </w:rPr>
      </w:pPr>
      <w:r>
        <w:rPr>
          <w:sz w:val="20"/>
          <w:szCs w:val="20"/>
        </w:rPr>
        <w:t xml:space="preserve">Стандартен форум за уреждане на спорове: </w:t>
      </w:r>
      <w:r>
        <w:rPr>
          <w:sz w:val="20"/>
          <w:szCs w:val="20"/>
          <w:shd w:val="clear" w:color="auto" w:fill="CCFFFF"/>
        </w:rPr>
        <w:t>компетентните национални съдилища на държавата членка на предоставящия орган</w:t>
      </w:r>
      <w:r>
        <w:rPr>
          <w:sz w:val="20"/>
          <w:szCs w:val="20"/>
        </w:rPr>
        <w:t xml:space="preserve"> </w:t>
      </w:r>
    </w:p>
    <w:p w14:paraId="04415F54" w14:textId="77777777" w:rsidR="008907F4" w:rsidRPr="003403CF" w:rsidRDefault="2FA6B974" w:rsidP="2FA6B974">
      <w:pPr>
        <w:spacing w:after="120"/>
        <w:jc w:val="left"/>
        <w:rPr>
          <w:rFonts w:cs="Times New Roman"/>
          <w:b/>
          <w:bCs/>
          <w:sz w:val="20"/>
          <w:szCs w:val="20"/>
          <w:u w:val="single"/>
        </w:rPr>
      </w:pPr>
      <w:r>
        <w:rPr>
          <w:sz w:val="20"/>
          <w:szCs w:val="20"/>
        </w:rPr>
        <w:t xml:space="preserve"> </w:t>
      </w:r>
      <w:r>
        <w:rPr>
          <w:b/>
          <w:bCs/>
          <w:sz w:val="20"/>
          <w:szCs w:val="20"/>
          <w:u w:val="single"/>
        </w:rPr>
        <w:t>6. Други</w:t>
      </w:r>
    </w:p>
    <w:p w14:paraId="5AF2BB9B" w14:textId="77777777" w:rsidR="008907F4" w:rsidRDefault="2FA6B974" w:rsidP="2FA6B974">
      <w:pPr>
        <w:spacing w:after="120"/>
        <w:jc w:val="left"/>
        <w:rPr>
          <w:rFonts w:cs="Times New Roman"/>
          <w:b/>
          <w:bCs/>
          <w:sz w:val="20"/>
          <w:szCs w:val="20"/>
        </w:rPr>
      </w:pPr>
      <w:r>
        <w:rPr>
          <w:b/>
          <w:bCs/>
          <w:sz w:val="20"/>
          <w:szCs w:val="20"/>
        </w:rPr>
        <w:t xml:space="preserve">Специални правила (приложение 5): </w:t>
      </w:r>
      <w:r>
        <w:rPr>
          <w:sz w:val="20"/>
          <w:szCs w:val="20"/>
        </w:rPr>
        <w:t>да</w:t>
      </w:r>
    </w:p>
    <w:p w14:paraId="2D141BF3" w14:textId="77777777" w:rsidR="008907F4" w:rsidRPr="004931E1" w:rsidRDefault="2FA6B974" w:rsidP="2FA6B974">
      <w:pPr>
        <w:widowControl w:val="0"/>
        <w:numPr>
          <w:ilvl w:val="0"/>
          <w:numId w:val="40"/>
        </w:numPr>
        <w:spacing w:after="120"/>
        <w:ind w:left="709"/>
        <w:jc w:val="left"/>
        <w:rPr>
          <w:rFonts w:eastAsia="Times New Roman"/>
          <w:i/>
          <w:iCs/>
          <w:sz w:val="20"/>
          <w:szCs w:val="20"/>
        </w:rPr>
      </w:pPr>
      <w:r>
        <w:rPr>
          <w:sz w:val="20"/>
          <w:szCs w:val="20"/>
        </w:rPr>
        <w:t xml:space="preserve"> Права върху интелектуална собственост, резултати и предходни знания, права на достъп и права на ползване</w:t>
      </w:r>
    </w:p>
    <w:p w14:paraId="77810FAB" w14:textId="77777777" w:rsidR="008907F4" w:rsidRPr="00A1203B" w:rsidRDefault="2FA6B974" w:rsidP="2FA6B974">
      <w:pPr>
        <w:widowControl w:val="0"/>
        <w:numPr>
          <w:ilvl w:val="1"/>
          <w:numId w:val="40"/>
        </w:numPr>
        <w:spacing w:after="120"/>
        <w:ind w:left="1134" w:hanging="357"/>
        <w:jc w:val="left"/>
        <w:rPr>
          <w:rFonts w:eastAsia="Times New Roman"/>
          <w:sz w:val="20"/>
          <w:szCs w:val="20"/>
        </w:rPr>
      </w:pPr>
      <w:r>
        <w:rPr>
          <w:sz w:val="20"/>
          <w:szCs w:val="20"/>
        </w:rPr>
        <w:t>Списък на предходните знания</w:t>
      </w:r>
    </w:p>
    <w:p w14:paraId="2D42FD85" w14:textId="77777777" w:rsidR="008907F4" w:rsidRPr="00A1203B" w:rsidRDefault="2FA6B974" w:rsidP="2FA6B974">
      <w:pPr>
        <w:widowControl w:val="0"/>
        <w:numPr>
          <w:ilvl w:val="1"/>
          <w:numId w:val="40"/>
        </w:numPr>
        <w:spacing w:after="120"/>
        <w:ind w:left="1134" w:hanging="357"/>
        <w:jc w:val="left"/>
        <w:rPr>
          <w:rFonts w:eastAsia="Times New Roman"/>
          <w:sz w:val="20"/>
          <w:szCs w:val="20"/>
        </w:rPr>
      </w:pPr>
      <w:r>
        <w:rPr>
          <w:sz w:val="20"/>
          <w:szCs w:val="20"/>
        </w:rPr>
        <w:t>Права за ползване на резултатите за целите на комуникацията и разпространението</w:t>
      </w:r>
    </w:p>
    <w:p w14:paraId="7E04AE74" w14:textId="77777777" w:rsidR="008907F4" w:rsidRPr="00A1203B" w:rsidRDefault="2FA6B974" w:rsidP="2FA6B974">
      <w:pPr>
        <w:widowControl w:val="0"/>
        <w:numPr>
          <w:ilvl w:val="0"/>
          <w:numId w:val="40"/>
        </w:numPr>
        <w:spacing w:after="120"/>
        <w:ind w:left="709"/>
        <w:jc w:val="left"/>
        <w:rPr>
          <w:rFonts w:eastAsia="Times New Roman"/>
          <w:sz w:val="20"/>
          <w:szCs w:val="20"/>
        </w:rPr>
      </w:pPr>
      <w:r>
        <w:rPr>
          <w:sz w:val="20"/>
          <w:szCs w:val="20"/>
        </w:rPr>
        <w:t>Комуникация, разпространение и видимост</w:t>
      </w:r>
    </w:p>
    <w:p w14:paraId="14A5A1DD" w14:textId="77777777" w:rsidR="008907F4" w:rsidRPr="00A1203B" w:rsidRDefault="2FA6B974" w:rsidP="2FA6B974">
      <w:pPr>
        <w:widowControl w:val="0"/>
        <w:numPr>
          <w:ilvl w:val="1"/>
          <w:numId w:val="40"/>
        </w:numPr>
        <w:spacing w:after="120"/>
        <w:ind w:left="1134" w:hanging="357"/>
        <w:jc w:val="left"/>
        <w:rPr>
          <w:rFonts w:eastAsia="Times New Roman"/>
          <w:sz w:val="20"/>
          <w:szCs w:val="20"/>
        </w:rPr>
      </w:pPr>
      <w:r>
        <w:rPr>
          <w:sz w:val="20"/>
          <w:szCs w:val="20"/>
        </w:rPr>
        <w:t>Допълнителни дейности по комуникация и разпространение</w:t>
      </w:r>
    </w:p>
    <w:p w14:paraId="313F495E" w14:textId="77777777" w:rsidR="008907F4" w:rsidRPr="00372C98" w:rsidRDefault="2FA6B974" w:rsidP="2FA6B974">
      <w:pPr>
        <w:widowControl w:val="0"/>
        <w:numPr>
          <w:ilvl w:val="1"/>
          <w:numId w:val="40"/>
        </w:numPr>
        <w:spacing w:after="120"/>
        <w:ind w:left="1134" w:hanging="357"/>
        <w:jc w:val="left"/>
        <w:rPr>
          <w:rFonts w:eastAsia="Times New Roman"/>
          <w:sz w:val="20"/>
          <w:szCs w:val="20"/>
        </w:rPr>
      </w:pPr>
      <w:r>
        <w:rPr>
          <w:sz w:val="20"/>
          <w:szCs w:val="20"/>
        </w:rPr>
        <w:t>Специални логотипи</w:t>
      </w:r>
    </w:p>
    <w:p w14:paraId="63EE69D2" w14:textId="77777777" w:rsidR="008907F4" w:rsidRPr="00372C98" w:rsidRDefault="2FA6B974" w:rsidP="2FA6B974">
      <w:pPr>
        <w:widowControl w:val="0"/>
        <w:numPr>
          <w:ilvl w:val="0"/>
          <w:numId w:val="40"/>
        </w:numPr>
        <w:spacing w:after="120"/>
        <w:ind w:left="709"/>
        <w:jc w:val="left"/>
        <w:rPr>
          <w:rFonts w:eastAsia="Times New Roman"/>
          <w:sz w:val="20"/>
          <w:szCs w:val="20"/>
        </w:rPr>
      </w:pPr>
      <w:r>
        <w:rPr>
          <w:sz w:val="20"/>
          <w:szCs w:val="20"/>
        </w:rPr>
        <w:t>Специални правила за извършване на дейността</w:t>
      </w:r>
    </w:p>
    <w:p w14:paraId="4C5E92DA" w14:textId="77777777" w:rsidR="008907F4" w:rsidRDefault="2FA6B974" w:rsidP="2FA6B974">
      <w:pPr>
        <w:widowControl w:val="0"/>
        <w:numPr>
          <w:ilvl w:val="1"/>
          <w:numId w:val="40"/>
        </w:numPr>
        <w:spacing w:after="120"/>
        <w:ind w:left="1134" w:hanging="357"/>
        <w:jc w:val="left"/>
        <w:rPr>
          <w:rFonts w:eastAsia="Times New Roman"/>
          <w:sz w:val="20"/>
          <w:szCs w:val="20"/>
        </w:rPr>
      </w:pPr>
      <w:r>
        <w:rPr>
          <w:sz w:val="20"/>
          <w:szCs w:val="20"/>
        </w:rPr>
        <w:t>Специални правила за кампании за информиране и насърчаване</w:t>
      </w:r>
    </w:p>
    <w:p w14:paraId="63348ECF" w14:textId="77777777" w:rsidR="008907F4" w:rsidRPr="00A1203B" w:rsidRDefault="2FA6B974" w:rsidP="2FA6B974">
      <w:pPr>
        <w:widowControl w:val="0"/>
        <w:numPr>
          <w:ilvl w:val="1"/>
          <w:numId w:val="40"/>
        </w:numPr>
        <w:spacing w:after="120"/>
        <w:ind w:left="1134" w:hanging="357"/>
        <w:jc w:val="left"/>
        <w:rPr>
          <w:rFonts w:eastAsia="Times New Roman"/>
          <w:sz w:val="20"/>
          <w:szCs w:val="20"/>
        </w:rPr>
      </w:pPr>
      <w:r>
        <w:rPr>
          <w:sz w:val="20"/>
          <w:szCs w:val="20"/>
        </w:rPr>
        <w:t xml:space="preserve">Специални правила за финансова подкрепа за трети страни </w:t>
      </w:r>
    </w:p>
    <w:p w14:paraId="72577E54" w14:textId="77777777" w:rsidR="008907F4" w:rsidRPr="004858A6" w:rsidRDefault="008907F4" w:rsidP="2FA6B974">
      <w:pPr>
        <w:spacing w:after="120"/>
        <w:jc w:val="left"/>
        <w:rPr>
          <w:rFonts w:cs="Times New Roman"/>
          <w:b/>
          <w:bCs/>
          <w:sz w:val="20"/>
          <w:szCs w:val="20"/>
        </w:rPr>
      </w:pPr>
      <w:r>
        <w:rPr>
          <w:b/>
          <w:bCs/>
          <w:sz w:val="20"/>
          <w:szCs w:val="20"/>
        </w:rPr>
        <w:t xml:space="preserve">Стандартни срокове след края на проекта: </w:t>
      </w:r>
      <w:r>
        <w:tab/>
      </w:r>
    </w:p>
    <w:p w14:paraId="21964245" w14:textId="77777777" w:rsidR="008907F4" w:rsidRPr="004858A6" w:rsidRDefault="2FA6B974" w:rsidP="2FA6B974">
      <w:pPr>
        <w:widowControl w:val="0"/>
        <w:spacing w:after="120"/>
        <w:ind w:left="426"/>
        <w:jc w:val="left"/>
        <w:rPr>
          <w:rFonts w:eastAsia="Times New Roman"/>
          <w:sz w:val="20"/>
          <w:szCs w:val="20"/>
        </w:rPr>
      </w:pPr>
      <w:r>
        <w:rPr>
          <w:sz w:val="20"/>
          <w:szCs w:val="20"/>
        </w:rPr>
        <w:t>Поверителност (за Х години след окончателното плащане): 5</w:t>
      </w:r>
    </w:p>
    <w:p w14:paraId="1C791E52" w14:textId="77777777" w:rsidR="008907F4" w:rsidRPr="004858A6" w:rsidRDefault="008907F4" w:rsidP="2FA6B974">
      <w:pPr>
        <w:widowControl w:val="0"/>
        <w:spacing w:after="120"/>
        <w:ind w:left="426"/>
        <w:jc w:val="left"/>
        <w:rPr>
          <w:rFonts w:eastAsia="Times New Roman"/>
          <w:sz w:val="20"/>
          <w:szCs w:val="20"/>
        </w:rPr>
      </w:pPr>
      <w:r>
        <w:rPr>
          <w:sz w:val="20"/>
          <w:szCs w:val="20"/>
        </w:rPr>
        <w:t>Съхраняване на документален архив (за Х години след окончателното плащане): 5 (или 3 за безвъзмездни средства до 60 000 EUR)</w:t>
      </w:r>
    </w:p>
    <w:p w14:paraId="6D8CEDAD" w14:textId="77777777" w:rsidR="008907F4" w:rsidRPr="004858A6" w:rsidRDefault="2FA6B974" w:rsidP="2FA6B974">
      <w:pPr>
        <w:widowControl w:val="0"/>
        <w:spacing w:after="120"/>
        <w:ind w:left="426"/>
        <w:jc w:val="left"/>
        <w:rPr>
          <w:rFonts w:eastAsia="Times New Roman"/>
          <w:sz w:val="20"/>
          <w:szCs w:val="20"/>
        </w:rPr>
      </w:pPr>
      <w:r>
        <w:rPr>
          <w:sz w:val="20"/>
          <w:szCs w:val="20"/>
        </w:rPr>
        <w:t>Проверки (до Х години след окончателното плащане): 5 (или 3 за безвъзмездни средства до 60 000 EUR)</w:t>
      </w:r>
    </w:p>
    <w:p w14:paraId="52870766" w14:textId="1D431210" w:rsidR="008907F4" w:rsidRDefault="2FA6B974" w:rsidP="2FA6B974">
      <w:pPr>
        <w:widowControl w:val="0"/>
        <w:spacing w:after="120"/>
        <w:ind w:left="426"/>
        <w:jc w:val="left"/>
        <w:rPr>
          <w:rFonts w:eastAsia="Times New Roman"/>
          <w:sz w:val="20"/>
          <w:szCs w:val="20"/>
        </w:rPr>
      </w:pPr>
      <w:r>
        <w:rPr>
          <w:sz w:val="20"/>
          <w:szCs w:val="20"/>
        </w:rPr>
        <w:t>Одити (до Х години след окончателното плащане): 5 (или 3 за безвъзмездни средства до 60 000 EUR)</w:t>
      </w:r>
    </w:p>
    <w:p w14:paraId="5B8C90F6" w14:textId="6966F36A" w:rsidR="00730D0E" w:rsidRPr="005A1ACA" w:rsidRDefault="00730D0E" w:rsidP="00730D0E">
      <w:pPr>
        <w:spacing w:after="120"/>
        <w:ind w:left="426"/>
        <w:jc w:val="left"/>
        <w:rPr>
          <w:rFonts w:eastAsia="Times New Roman"/>
          <w:sz w:val="20"/>
          <w:szCs w:val="20"/>
        </w:rPr>
      </w:pPr>
    </w:p>
    <w:p w14:paraId="3118A756" w14:textId="710A1854" w:rsidR="00730D0E" w:rsidRPr="005A1ACA" w:rsidRDefault="00730D0E" w:rsidP="008907F4">
      <w:pPr>
        <w:widowControl w:val="0"/>
        <w:spacing w:after="120"/>
        <w:ind w:left="426"/>
        <w:jc w:val="left"/>
        <w:rPr>
          <w:rFonts w:eastAsia="Times New Roman"/>
          <w:sz w:val="20"/>
          <w:szCs w:val="20"/>
        </w:rPr>
      </w:pPr>
    </w:p>
    <w:p w14:paraId="2B544308" w14:textId="68E72A9A" w:rsidR="00730D0E" w:rsidRPr="005A1ACA" w:rsidRDefault="00730D0E" w:rsidP="008907F4">
      <w:pPr>
        <w:widowControl w:val="0"/>
        <w:spacing w:after="120"/>
        <w:ind w:left="426"/>
        <w:jc w:val="left"/>
        <w:rPr>
          <w:rFonts w:eastAsia="Times New Roman"/>
          <w:sz w:val="20"/>
          <w:szCs w:val="20"/>
        </w:rPr>
      </w:pPr>
    </w:p>
    <w:p w14:paraId="075A5028" w14:textId="77777777" w:rsidR="00730D0E" w:rsidRPr="005A1ACA" w:rsidRDefault="00730D0E" w:rsidP="008907F4">
      <w:pPr>
        <w:widowControl w:val="0"/>
        <w:spacing w:after="120"/>
        <w:ind w:left="426"/>
        <w:jc w:val="left"/>
        <w:rPr>
          <w:rFonts w:eastAsia="Times New Roman"/>
          <w:sz w:val="20"/>
          <w:szCs w:val="20"/>
        </w:rPr>
      </w:pPr>
    </w:p>
    <w:p w14:paraId="2133B025" w14:textId="77777777" w:rsidR="008907F4" w:rsidRPr="005A1ACA" w:rsidRDefault="008907F4" w:rsidP="008907F4">
      <w:pPr>
        <w:spacing w:after="120"/>
        <w:ind w:left="426"/>
        <w:jc w:val="left"/>
        <w:rPr>
          <w:rFonts w:eastAsia="Times New Roman"/>
          <w:sz w:val="20"/>
          <w:szCs w:val="20"/>
        </w:rPr>
      </w:pPr>
    </w:p>
    <w:p w14:paraId="56F937FB" w14:textId="77777777" w:rsidR="008907F4" w:rsidRDefault="008907F4" w:rsidP="008907F4">
      <w:pPr>
        <w:spacing w:after="120"/>
        <w:jc w:val="left"/>
        <w:rPr>
          <w:b/>
          <w:szCs w:val="24"/>
        </w:rPr>
      </w:pPr>
      <w:r>
        <w:br w:type="page"/>
      </w:r>
    </w:p>
    <w:p w14:paraId="31E58F65" w14:textId="77777777" w:rsidR="008907F4" w:rsidRDefault="008907F4" w:rsidP="008907F4">
      <w:pPr>
        <w:pStyle w:val="Heading1"/>
      </w:pPr>
      <w:bookmarkStart w:id="21" w:name="_Toc435108949"/>
      <w:bookmarkStart w:id="22" w:name="_Toc524697191"/>
      <w:bookmarkStart w:id="23" w:name="_Toc529197642"/>
      <w:bookmarkStart w:id="24" w:name="_Toc530035870"/>
      <w:bookmarkStart w:id="25" w:name="_Toc24116046"/>
      <w:bookmarkStart w:id="26" w:name="_Toc24126523"/>
      <w:bookmarkStart w:id="27" w:name="_Toc95924915"/>
      <w:r>
        <w:lastRenderedPageBreak/>
        <w:t xml:space="preserve">ГЛАВА 1 </w:t>
      </w:r>
      <w:r>
        <w:tab/>
        <w:t>ОБЩИ ПОЛОЖЕНИЯ</w:t>
      </w:r>
      <w:bookmarkEnd w:id="21"/>
      <w:bookmarkEnd w:id="22"/>
      <w:bookmarkEnd w:id="23"/>
      <w:bookmarkEnd w:id="24"/>
      <w:bookmarkEnd w:id="25"/>
      <w:bookmarkEnd w:id="26"/>
      <w:bookmarkEnd w:id="27"/>
    </w:p>
    <w:p w14:paraId="4EBAEF28" w14:textId="77777777" w:rsidR="008907F4" w:rsidRPr="006A0015" w:rsidRDefault="2FA6B974" w:rsidP="008907F4">
      <w:pPr>
        <w:pStyle w:val="Heading4"/>
      </w:pPr>
      <w:bookmarkStart w:id="28" w:name="_Toc95924916"/>
      <w:bookmarkStart w:id="29" w:name="_Toc435108950"/>
      <w:bookmarkStart w:id="30" w:name="_Toc524697192"/>
      <w:bookmarkStart w:id="31" w:name="_Toc529197643"/>
      <w:bookmarkStart w:id="32" w:name="_Toc530035871"/>
      <w:bookmarkStart w:id="33" w:name="_Toc24116047"/>
      <w:bookmarkStart w:id="34" w:name="_Toc24126524"/>
      <w:r>
        <w:t>ЧЛЕН 1 — ПРЕДМЕТ НА СПОРАЗУМЕНИЕТО</w:t>
      </w:r>
      <w:bookmarkEnd w:id="28"/>
      <w:r>
        <w:t xml:space="preserve"> </w:t>
      </w:r>
      <w:bookmarkEnd w:id="29"/>
      <w:bookmarkEnd w:id="30"/>
      <w:bookmarkEnd w:id="31"/>
      <w:bookmarkEnd w:id="32"/>
      <w:bookmarkEnd w:id="33"/>
      <w:bookmarkEnd w:id="34"/>
    </w:p>
    <w:p w14:paraId="7475A6B9" w14:textId="77777777" w:rsidR="008907F4" w:rsidRDefault="2FA6B974" w:rsidP="008907F4">
      <w:pPr>
        <w:rPr>
          <w:szCs w:val="24"/>
        </w:rPr>
      </w:pPr>
      <w:r>
        <w:t>Настоящото споразумение урежда правата и задълженията, както и реда и условията, приложими към безвъзмездните средства, отпуснати за изпълнението на дейността, посочена в глава 2.</w:t>
      </w:r>
    </w:p>
    <w:p w14:paraId="2790983F" w14:textId="77777777" w:rsidR="008907F4" w:rsidRPr="002D4F9C" w:rsidRDefault="2FA6B974" w:rsidP="008907F4">
      <w:pPr>
        <w:pStyle w:val="Heading4"/>
      </w:pPr>
      <w:bookmarkStart w:id="35" w:name="_Toc95924917"/>
      <w:bookmarkStart w:id="36" w:name="_Toc24116048"/>
      <w:bookmarkStart w:id="37" w:name="_Toc24126525"/>
      <w:r>
        <w:t>ЧЛЕН 2 — ОПРЕДЕЛЕНИЯ</w:t>
      </w:r>
      <w:bookmarkEnd w:id="35"/>
      <w:r>
        <w:t xml:space="preserve"> </w:t>
      </w:r>
      <w:bookmarkEnd w:id="36"/>
      <w:bookmarkEnd w:id="37"/>
    </w:p>
    <w:p w14:paraId="712D5FE2" w14:textId="77777777" w:rsidR="008907F4" w:rsidRPr="002D4F9C" w:rsidRDefault="2FA6B974" w:rsidP="008907F4">
      <w:pPr>
        <w:rPr>
          <w:szCs w:val="24"/>
        </w:rPr>
      </w:pPr>
      <w:r>
        <w:t>За целите на настоящото споразумение се прилагат следните определения:</w:t>
      </w:r>
    </w:p>
    <w:p w14:paraId="74C44760" w14:textId="77777777" w:rsidR="008907F4" w:rsidRPr="001923C9" w:rsidRDefault="008907F4" w:rsidP="008907F4">
      <w:pPr>
        <w:ind w:left="1701" w:hanging="1701"/>
        <w:rPr>
          <w:szCs w:val="24"/>
        </w:rPr>
      </w:pPr>
      <w:r>
        <w:t xml:space="preserve">Дейност — </w:t>
      </w:r>
      <w:r>
        <w:tab/>
        <w:t xml:space="preserve">проектът, който се финансира в контекста на настоящото споразумение. </w:t>
      </w:r>
    </w:p>
    <w:p w14:paraId="28F32BD5" w14:textId="77777777" w:rsidR="008907F4" w:rsidRPr="001923C9" w:rsidRDefault="008907F4" w:rsidP="008907F4">
      <w:pPr>
        <w:ind w:left="1701" w:hanging="1701"/>
        <w:rPr>
          <w:szCs w:val="24"/>
        </w:rPr>
      </w:pPr>
      <w:r>
        <w:t xml:space="preserve">Безвъзмездни средства — </w:t>
      </w:r>
      <w:r>
        <w:tab/>
        <w:t xml:space="preserve">безвъзмездните средства, които се предоставят в контекста на настоящото споразумение. </w:t>
      </w:r>
    </w:p>
    <w:p w14:paraId="13E54AE5" w14:textId="77777777" w:rsidR="008907F4" w:rsidRPr="001923C9" w:rsidRDefault="008907F4" w:rsidP="008907F4">
      <w:pPr>
        <w:ind w:left="1701" w:hanging="1701"/>
        <w:rPr>
          <w:szCs w:val="24"/>
        </w:rPr>
      </w:pPr>
      <w:r>
        <w:t xml:space="preserve">Безвъзмездни средства от ЕС — </w:t>
      </w:r>
      <w:r>
        <w:tab/>
        <w:t>безвъзмездните средства, които се предоставят от институции, органи, служби или агенции на ЕС (включително изпълнителни агенции на ЕС, регулаторни агенции на ЕС, Европейската агенция по отбрана (EDA), съвместни предприятия и др.).</w:t>
      </w:r>
    </w:p>
    <w:p w14:paraId="5E76F5BA" w14:textId="77777777" w:rsidR="008907F4" w:rsidRPr="00465AB7" w:rsidRDefault="008907F4" w:rsidP="008907F4">
      <w:pPr>
        <w:ind w:left="1701" w:hanging="1701"/>
        <w:rPr>
          <w:szCs w:val="24"/>
        </w:rPr>
      </w:pPr>
      <w:r>
        <w:t xml:space="preserve">Участници — </w:t>
      </w:r>
      <w:r>
        <w:tab/>
        <w:t>субекти, участващи в дейността като бенефициери, свързани субекти, асоциирани партньори, трети страни, предоставящи вноски в натура, подизпълнители или получатели на финансова помощ за трети страни.</w:t>
      </w:r>
    </w:p>
    <w:p w14:paraId="14BDC5CD" w14:textId="77777777" w:rsidR="008907F4" w:rsidRPr="00FD5138" w:rsidRDefault="2FA6B974" w:rsidP="008907F4">
      <w:pPr>
        <w:ind w:left="1701" w:hanging="1701"/>
        <w:rPr>
          <w:szCs w:val="24"/>
        </w:rPr>
      </w:pPr>
      <w:r>
        <w:t xml:space="preserve">Бенефициери (БЕН) — подписалите настоящото споразумение страни (директно или чрез формуляр за присъединяване). </w:t>
      </w:r>
    </w:p>
    <w:p w14:paraId="4F5A0C29" w14:textId="77777777" w:rsidR="008907F4" w:rsidRDefault="008907F4" w:rsidP="008907F4">
      <w:pPr>
        <w:ind w:left="1701" w:hanging="1701"/>
        <w:rPr>
          <w:bCs/>
          <w:szCs w:val="24"/>
        </w:rPr>
      </w:pPr>
      <w:r>
        <w:t>Свързани субекти (СС) — субекти, свързани</w:t>
      </w:r>
      <w:r>
        <w:rPr>
          <w:b/>
          <w:bCs/>
        </w:rPr>
        <w:t xml:space="preserve"> </w:t>
      </w:r>
      <w:r>
        <w:t>с бенефициер по смисъла на член 187 от Финансовия регламент на ЕС — Регламент (ЕС) 2018/1046</w:t>
      </w:r>
      <w:r>
        <w:rPr>
          <w:rStyle w:val="FootnoteReference"/>
        </w:rPr>
        <w:footnoteReference w:id="9"/>
      </w:r>
      <w:r>
        <w:t>, които участват в дейността с подобни права и задължения като тези на бенефициерите (задължение за изпълнение на задачи от дейността и право да начисляват разходи и да изискват вноски).</w:t>
      </w:r>
    </w:p>
    <w:p w14:paraId="4C914DB2" w14:textId="77777777" w:rsidR="008907F4" w:rsidRPr="00E66436" w:rsidRDefault="2FA6B974" w:rsidP="008907F4">
      <w:pPr>
        <w:ind w:left="1701" w:hanging="1701"/>
        <w:rPr>
          <w:szCs w:val="24"/>
        </w:rPr>
      </w:pPr>
      <w:r>
        <w:lastRenderedPageBreak/>
        <w:t xml:space="preserve">Асоциирани партньори (АП) — субекти, които участват в дейността, но без право да начисляват разходи или да изискват вноски. </w:t>
      </w:r>
    </w:p>
    <w:p w14:paraId="7D5E8678" w14:textId="77777777" w:rsidR="008907F4" w:rsidRPr="002E6275" w:rsidRDefault="008907F4" w:rsidP="2FA6B974">
      <w:pPr>
        <w:ind w:left="1701" w:hanging="1701"/>
        <w:rPr>
          <w:rFonts w:cs="Times New Roman"/>
        </w:rPr>
      </w:pPr>
      <w:r>
        <w:t xml:space="preserve">Покупки — </w:t>
      </w:r>
      <w:r>
        <w:tab/>
        <w:t>договори за стоки, строителство или услуги, които са необходими за изпълнението на дейността (например оборудване, консумативи и материали), но които не са част от задачите по дейността (вж. приложение 1).</w:t>
      </w:r>
    </w:p>
    <w:p w14:paraId="2E599D82" w14:textId="77777777" w:rsidR="008907F4" w:rsidRPr="00C77ECC" w:rsidRDefault="2FA6B974" w:rsidP="008907F4">
      <w:pPr>
        <w:ind w:left="1701" w:hanging="1701"/>
        <w:rPr>
          <w:bCs/>
          <w:szCs w:val="24"/>
        </w:rPr>
      </w:pPr>
      <w:r>
        <w:t xml:space="preserve">Договори с подизпълнители — договори за стоки, строителство или услуги, които са част от задачите по дейността (вж. приложение 1). </w:t>
      </w:r>
    </w:p>
    <w:p w14:paraId="3EFC5E11" w14:textId="77777777" w:rsidR="008907F4" w:rsidRDefault="2FA6B974" w:rsidP="008907F4">
      <w:pPr>
        <w:ind w:left="1701" w:hanging="1701"/>
        <w:rPr>
          <w:szCs w:val="24"/>
        </w:rPr>
      </w:pPr>
      <w:r>
        <w:t xml:space="preserve">Вноски в натура — вноски в натура по смисъла на член 2, параграф 36 от </w:t>
      </w:r>
      <w:r>
        <w:rPr>
          <w:color w:val="222222"/>
        </w:rPr>
        <w:t>Финансовия регламент на ЕС</w:t>
      </w:r>
      <w:r>
        <w:t xml:space="preserve"> — Регламент (ЕС) 2018/1046, т.е. нефинансови ресурси, които се предоставят безвъзмездно от трети страни.</w:t>
      </w:r>
    </w:p>
    <w:p w14:paraId="72B183D8" w14:textId="77777777" w:rsidR="008907F4" w:rsidRPr="003676B2" w:rsidRDefault="008907F4" w:rsidP="2FA6B974">
      <w:pPr>
        <w:ind w:left="1701" w:hanging="1701"/>
        <w:rPr>
          <w:rFonts w:cs="EUAlbertina"/>
          <w:color w:val="000000" w:themeColor="text1"/>
        </w:rPr>
      </w:pPr>
      <w:r>
        <w:t xml:space="preserve">Измама — </w:t>
      </w:r>
      <w:r>
        <w:tab/>
        <w:t>измама по смисъла на член 3 от Директива </w:t>
      </w:r>
      <w:r>
        <w:rPr>
          <w:color w:val="000000"/>
        </w:rPr>
        <w:t>(ЕС) 2017/1371</w:t>
      </w:r>
      <w:r>
        <w:rPr>
          <w:rStyle w:val="FootnoteReference"/>
          <w:color w:val="000000"/>
        </w:rPr>
        <w:footnoteReference w:id="10"/>
      </w:r>
      <w:r>
        <w:rPr>
          <w:color w:val="000000"/>
          <w:sz w:val="19"/>
          <w:szCs w:val="19"/>
        </w:rPr>
        <w:t xml:space="preserve"> </w:t>
      </w:r>
      <w:r>
        <w:rPr>
          <w:color w:val="000000"/>
        </w:rPr>
        <w:t>и член 1 от Конвенцията за защита на финансовите интереси на Европейските общности, съставена с акта на Съвета от 26 юли 1995 г.</w:t>
      </w:r>
      <w:r>
        <w:rPr>
          <w:rStyle w:val="FootnoteReference"/>
          <w:color w:val="000000"/>
        </w:rPr>
        <w:footnoteReference w:id="11"/>
      </w:r>
      <w:r>
        <w:rPr>
          <w:color w:val="000000"/>
        </w:rPr>
        <w:t>, както и</w:t>
      </w:r>
      <w:r>
        <w:t xml:space="preserve"> всякаква друга незаконна или престъпна заблуда, имаща за цел да доведе до финансова или лична изгода</w:t>
      </w:r>
      <w:r>
        <w:rPr>
          <w:color w:val="000000"/>
        </w:rPr>
        <w:t>.</w:t>
      </w:r>
    </w:p>
    <w:p w14:paraId="1F1BF539" w14:textId="77777777" w:rsidR="008907F4" w:rsidRPr="003676B2" w:rsidRDefault="008907F4" w:rsidP="2FA6B974">
      <w:pPr>
        <w:ind w:left="1701" w:hanging="1701"/>
        <w:rPr>
          <w:rFonts w:cs="EUAlbertina"/>
          <w:color w:val="000000" w:themeColor="text1"/>
        </w:rPr>
      </w:pPr>
      <w:r>
        <w:t xml:space="preserve">Нередности — </w:t>
      </w:r>
      <w:r>
        <w:tab/>
        <w:t xml:space="preserve">всякакъв вид нарушения (регулаторни или договорни), които могат да повлияят на финансовите интереси на ЕС, включително нередности по смисъла на </w:t>
      </w:r>
      <w:r>
        <w:rPr>
          <w:color w:val="000000"/>
        </w:rPr>
        <w:t>член 1, параграф 2 от Регламент (ЕО, Евратом) № 2988/95</w:t>
      </w:r>
      <w:r>
        <w:rPr>
          <w:rStyle w:val="FootnoteReference"/>
          <w:color w:val="000000"/>
        </w:rPr>
        <w:footnoteReference w:id="12"/>
      </w:r>
      <w:r>
        <w:rPr>
          <w:color w:val="000000"/>
        </w:rPr>
        <w:t>.</w:t>
      </w:r>
    </w:p>
    <w:p w14:paraId="0E9B5A03" w14:textId="77777777" w:rsidR="008907F4" w:rsidRDefault="2FA6B974" w:rsidP="008907F4">
      <w:pPr>
        <w:ind w:left="1701" w:hanging="1701"/>
        <w:rPr>
          <w:szCs w:val="24"/>
        </w:rPr>
      </w:pPr>
      <w:r>
        <w:t xml:space="preserve">Тежко професионално нарушение — всякакво </w:t>
      </w:r>
      <w:r>
        <w:rPr>
          <w:color w:val="222222"/>
        </w:rPr>
        <w:t>неприемливо или неуместно поведение при упражняването на професионалните задължения, по-специално от служители, включително тежко професионално нарушение по смисъла на член 136, параграф 1, буква в) от Финансовия регламент на ЕС — Регламент (ЕС)</w:t>
      </w:r>
      <w:r>
        <w:t xml:space="preserve"> 2018/1046.</w:t>
      </w:r>
    </w:p>
    <w:p w14:paraId="78D8D172" w14:textId="77777777" w:rsidR="008907F4" w:rsidRDefault="2FA6B974" w:rsidP="008907F4">
      <w:pPr>
        <w:ind w:left="1701" w:hanging="1701"/>
        <w:rPr>
          <w:szCs w:val="24"/>
        </w:rPr>
      </w:pPr>
      <w:bookmarkStart w:id="38" w:name="_Toc435108951"/>
      <w:bookmarkStart w:id="39" w:name="_Toc524697193"/>
      <w:bookmarkStart w:id="40" w:name="_Toc529197644"/>
      <w:bookmarkStart w:id="41" w:name="_Toc530035872"/>
      <w:bookmarkStart w:id="42" w:name="_Toc24116049"/>
      <w:bookmarkStart w:id="43" w:name="_Toc24126526"/>
      <w:r>
        <w:t>Приложимо право на ЕС, международно и национално право — всички правни актове или други (задължителни или незадължителни) правила и насоки в съответната област.</w:t>
      </w:r>
    </w:p>
    <w:p w14:paraId="30E7F0A3" w14:textId="0118E70D" w:rsidR="008907F4" w:rsidRDefault="008907F4" w:rsidP="008907F4">
      <w:pPr>
        <w:ind w:left="1701" w:hanging="1701"/>
        <w:rPr>
          <w:szCs w:val="24"/>
        </w:rPr>
      </w:pPr>
      <w:r>
        <w:t xml:space="preserve">Портал — </w:t>
      </w:r>
      <w:r>
        <w:tab/>
        <w:t xml:space="preserve">портал на ЕС за финансиране и възлагане на обществени поръчки;  електронен портал и система за обмен, управлявани от Европейската комисия и използвани от нея и от други институции, органи, служби или агенции на ЕС за управлението на техните програми за финансиране (безвъзмездни средства, обществени поръчки, награди и др.). </w:t>
      </w:r>
    </w:p>
    <w:p w14:paraId="2DCEDB0B" w14:textId="77777777" w:rsidR="008907F4" w:rsidRPr="0028356D" w:rsidRDefault="008907F4" w:rsidP="008907F4">
      <w:pPr>
        <w:pStyle w:val="Heading1"/>
      </w:pPr>
      <w:bookmarkStart w:id="44" w:name="_Toc95924918"/>
      <w:r>
        <w:lastRenderedPageBreak/>
        <w:t xml:space="preserve">ГЛАВА 2 </w:t>
      </w:r>
      <w:r>
        <w:tab/>
        <w:t>ДЕЙНОСТ</w:t>
      </w:r>
      <w:bookmarkEnd w:id="38"/>
      <w:bookmarkEnd w:id="39"/>
      <w:bookmarkEnd w:id="40"/>
      <w:bookmarkEnd w:id="41"/>
      <w:bookmarkEnd w:id="42"/>
      <w:bookmarkEnd w:id="43"/>
      <w:bookmarkEnd w:id="44"/>
    </w:p>
    <w:p w14:paraId="73B5F1E9" w14:textId="77777777" w:rsidR="008907F4" w:rsidRPr="0028356D" w:rsidRDefault="2FA6B974" w:rsidP="2FA6B974">
      <w:pPr>
        <w:pStyle w:val="Heading4"/>
        <w:rPr>
          <w:i/>
        </w:rPr>
      </w:pPr>
      <w:bookmarkStart w:id="45" w:name="_Toc95924919"/>
      <w:bookmarkStart w:id="46" w:name="_Toc435108952"/>
      <w:bookmarkStart w:id="47" w:name="_Toc524697194"/>
      <w:bookmarkStart w:id="48" w:name="_Toc529197645"/>
      <w:bookmarkStart w:id="49" w:name="_Toc530035873"/>
      <w:bookmarkStart w:id="50" w:name="_Toc24116050"/>
      <w:bookmarkStart w:id="51" w:name="_Toc24126527"/>
      <w:r>
        <w:t>ЧЛЕН 3 — ДЕЙНОСТ</w:t>
      </w:r>
      <w:bookmarkEnd w:id="45"/>
      <w:r>
        <w:t xml:space="preserve"> </w:t>
      </w:r>
      <w:bookmarkEnd w:id="46"/>
      <w:bookmarkEnd w:id="47"/>
      <w:bookmarkEnd w:id="48"/>
      <w:bookmarkEnd w:id="49"/>
      <w:bookmarkEnd w:id="50"/>
      <w:bookmarkEnd w:id="51"/>
    </w:p>
    <w:p w14:paraId="260E6B56" w14:textId="5C9B0A4E" w:rsidR="008907F4" w:rsidRDefault="2FA6B974" w:rsidP="008907F4">
      <w:pPr>
        <w:rPr>
          <w:szCs w:val="24"/>
        </w:rPr>
      </w:pPr>
      <w:r>
        <w:t>Безвъзмездните средства се отпускат за дейността [</w:t>
      </w:r>
      <w:r>
        <w:rPr>
          <w:b/>
          <w:bCs/>
          <w:highlight w:val="lightGray"/>
        </w:rPr>
        <w:t>въведете номер на проекта</w:t>
      </w:r>
      <w:r>
        <w:t>] — [</w:t>
      </w:r>
      <w:r>
        <w:rPr>
          <w:b/>
          <w:bCs/>
          <w:highlight w:val="lightGray"/>
        </w:rPr>
        <w:t>въведете</w:t>
      </w:r>
      <w:r>
        <w:rPr>
          <w:b/>
          <w:bCs/>
          <w:i/>
          <w:iCs/>
          <w:highlight w:val="lightGray"/>
        </w:rPr>
        <w:t xml:space="preserve"> </w:t>
      </w:r>
      <w:r>
        <w:rPr>
          <w:b/>
          <w:bCs/>
          <w:highlight w:val="lightGray"/>
        </w:rPr>
        <w:t>съкращение</w:t>
      </w:r>
      <w:r>
        <w:rPr>
          <w:b/>
          <w:bCs/>
        </w:rPr>
        <w:t>]</w:t>
      </w:r>
      <w:r>
        <w:t xml:space="preserve"> („дейността“), съгласно описанието в приложение 1.</w:t>
      </w:r>
    </w:p>
    <w:p w14:paraId="1238871B" w14:textId="4B33333A" w:rsidR="008907F4" w:rsidRPr="006A0015" w:rsidRDefault="008907F4" w:rsidP="008907F4">
      <w:pPr>
        <w:pStyle w:val="Heading4"/>
      </w:pPr>
      <w:bookmarkStart w:id="52" w:name="_Toc530035874"/>
      <w:bookmarkStart w:id="53" w:name="_Toc24116051"/>
      <w:bookmarkStart w:id="54" w:name="_Toc24126528"/>
      <w:bookmarkStart w:id="55" w:name="_Toc95924920"/>
      <w:bookmarkStart w:id="56" w:name="_Toc435108953"/>
      <w:bookmarkStart w:id="57" w:name="_Toc524697195"/>
      <w:bookmarkStart w:id="58" w:name="_Toc529197646"/>
      <w:r>
        <w:t>ЧЛЕН 4 — ПРОДЪЛЖИТЕЛНОСТ И НАЧАЛНА ДАТА</w:t>
      </w:r>
      <w:bookmarkEnd w:id="52"/>
      <w:bookmarkEnd w:id="53"/>
      <w:bookmarkEnd w:id="54"/>
      <w:bookmarkEnd w:id="55"/>
      <w:r>
        <w:t xml:space="preserve"> </w:t>
      </w:r>
      <w:bookmarkEnd w:id="56"/>
      <w:bookmarkEnd w:id="57"/>
      <w:bookmarkEnd w:id="58"/>
    </w:p>
    <w:p w14:paraId="1DA3C784" w14:textId="77777777" w:rsidR="008907F4" w:rsidRDefault="2FA6B974" w:rsidP="008907F4">
      <w:pPr>
        <w:rPr>
          <w:szCs w:val="24"/>
        </w:rPr>
      </w:pPr>
      <w:r>
        <w:t xml:space="preserve">Продължителността и началната дата на дейността са определени в Техническите спецификации (вж. точка 1). </w:t>
      </w:r>
    </w:p>
    <w:p w14:paraId="2F29C8FA" w14:textId="77777777" w:rsidR="008907F4" w:rsidRPr="006A36D8" w:rsidRDefault="008907F4" w:rsidP="008907F4">
      <w:pPr>
        <w:pStyle w:val="Heading1"/>
      </w:pPr>
      <w:bookmarkStart w:id="59" w:name="_Toc435108957"/>
      <w:bookmarkStart w:id="60" w:name="_Toc524697196"/>
      <w:bookmarkStart w:id="61" w:name="_Toc529197647"/>
      <w:bookmarkStart w:id="62" w:name="_Toc530035875"/>
      <w:bookmarkStart w:id="63" w:name="_Toc24116052"/>
      <w:bookmarkStart w:id="64" w:name="_Toc24126529"/>
      <w:bookmarkStart w:id="65" w:name="_Toc95924921"/>
      <w:r>
        <w:t xml:space="preserve">ГЛАВА 3 </w:t>
      </w:r>
      <w:r>
        <w:tab/>
        <w:t>БЕЗВЪЗМЕЗДНИ СРЕДСТВА</w:t>
      </w:r>
      <w:bookmarkEnd w:id="59"/>
      <w:bookmarkEnd w:id="60"/>
      <w:bookmarkEnd w:id="61"/>
      <w:bookmarkEnd w:id="62"/>
      <w:bookmarkEnd w:id="63"/>
      <w:bookmarkEnd w:id="64"/>
      <w:bookmarkEnd w:id="65"/>
    </w:p>
    <w:p w14:paraId="710FF73C" w14:textId="77777777" w:rsidR="008907F4" w:rsidRPr="006A36D8" w:rsidRDefault="2FA6B974" w:rsidP="008907F4">
      <w:pPr>
        <w:pStyle w:val="Heading4"/>
      </w:pPr>
      <w:bookmarkStart w:id="66" w:name="_Toc524697197"/>
      <w:bookmarkStart w:id="67" w:name="_Toc529197648"/>
      <w:bookmarkStart w:id="68" w:name="_Toc530035876"/>
      <w:bookmarkStart w:id="69" w:name="_Toc24116053"/>
      <w:bookmarkStart w:id="70" w:name="_Toc24126530"/>
      <w:bookmarkStart w:id="71" w:name="_Toc95924922"/>
      <w:bookmarkStart w:id="72" w:name="_Toc435108958"/>
      <w:r>
        <w:t>ЧЛЕН 5 — БЕЗВЪЗМЕЗДНИ СРЕДСТВА</w:t>
      </w:r>
      <w:bookmarkEnd w:id="66"/>
      <w:bookmarkEnd w:id="67"/>
      <w:bookmarkEnd w:id="68"/>
      <w:bookmarkEnd w:id="69"/>
      <w:bookmarkEnd w:id="70"/>
      <w:bookmarkEnd w:id="71"/>
    </w:p>
    <w:p w14:paraId="0C8C9F87" w14:textId="77777777" w:rsidR="008907F4" w:rsidRDefault="008907F4" w:rsidP="008907F4">
      <w:pPr>
        <w:pStyle w:val="Heading5"/>
        <w:rPr>
          <w:szCs w:val="24"/>
        </w:rPr>
      </w:pPr>
      <w:bookmarkStart w:id="73" w:name="_Toc95924923"/>
      <w:bookmarkStart w:id="74" w:name="_Toc24116054"/>
      <w:bookmarkStart w:id="75" w:name="_Toc24126531"/>
      <w:r>
        <w:t>5.1</w:t>
      </w:r>
      <w:r>
        <w:tab/>
        <w:t>Форма на безвъзмездните средства</w:t>
      </w:r>
      <w:bookmarkEnd w:id="73"/>
      <w:r>
        <w:t xml:space="preserve"> </w:t>
      </w:r>
      <w:bookmarkEnd w:id="74"/>
      <w:bookmarkEnd w:id="75"/>
    </w:p>
    <w:p w14:paraId="09D0B2B9" w14:textId="77777777" w:rsidR="008907F4" w:rsidRPr="003722C7" w:rsidRDefault="008907F4" w:rsidP="008907F4">
      <w:r>
        <w:t>Безвъзмездните средства са безвъзмездни средства за дейност</w:t>
      </w:r>
      <w:r>
        <w:rPr>
          <w:rStyle w:val="FootnoteReference"/>
        </w:rPr>
        <w:footnoteReference w:id="13"/>
      </w:r>
      <w:r>
        <w:t xml:space="preserve"> под формата на комбинирани безвъзмездни средства, отпуснати по бюджет за действителни разходи (т.е. безвъзмездни средства, отпуснати въз основа на действително направените разходи, които могат да включват и други форми на финансиране, като например за единични разходи или вноски, разходи или вноски на базата на единна ставка, разходи или вноски под формата на еднократна сума или финансиране, което не е свързано с разходи). </w:t>
      </w:r>
    </w:p>
    <w:p w14:paraId="26650AEC" w14:textId="77777777" w:rsidR="008907F4" w:rsidRPr="001923C9" w:rsidRDefault="008907F4" w:rsidP="008907F4">
      <w:pPr>
        <w:pStyle w:val="Heading5"/>
        <w:rPr>
          <w:szCs w:val="24"/>
        </w:rPr>
      </w:pPr>
      <w:bookmarkStart w:id="76" w:name="_Toc24116055"/>
      <w:bookmarkStart w:id="77" w:name="_Toc24126532"/>
      <w:bookmarkStart w:id="78" w:name="_Toc95924924"/>
      <w:r>
        <w:t>5.2</w:t>
      </w:r>
      <w:r>
        <w:tab/>
        <w:t>Максимален размер на безвъзмездните средства</w:t>
      </w:r>
      <w:bookmarkEnd w:id="76"/>
      <w:bookmarkEnd w:id="77"/>
      <w:bookmarkEnd w:id="78"/>
    </w:p>
    <w:p w14:paraId="0D60BD8E" w14:textId="77777777" w:rsidR="008907F4" w:rsidRDefault="2FA6B974" w:rsidP="008907F4">
      <w:r>
        <w:t>Максималният размер на безвъзмездните средства е определен в Техническите спецификации (вж. точка 3) и в прогнозния бюджет (приложение 2).</w:t>
      </w:r>
    </w:p>
    <w:p w14:paraId="704F352E" w14:textId="77777777" w:rsidR="008907F4" w:rsidRDefault="008907F4" w:rsidP="008907F4">
      <w:pPr>
        <w:pStyle w:val="Heading5"/>
      </w:pPr>
      <w:bookmarkStart w:id="79" w:name="_Toc24116056"/>
      <w:bookmarkStart w:id="80" w:name="_Toc24126533"/>
      <w:bookmarkStart w:id="81" w:name="_Toc95924925"/>
      <w:r>
        <w:t>5.3</w:t>
      </w:r>
      <w:r>
        <w:tab/>
        <w:t>Процент на финансиране</w:t>
      </w:r>
      <w:bookmarkEnd w:id="79"/>
      <w:bookmarkEnd w:id="80"/>
      <w:bookmarkEnd w:id="81"/>
      <w:r>
        <w:t xml:space="preserve"> </w:t>
      </w:r>
    </w:p>
    <w:p w14:paraId="3D50894B" w14:textId="7A07B79A" w:rsidR="008907F4" w:rsidRPr="00AE47CF" w:rsidRDefault="2FA6B974" w:rsidP="2FA6B974">
      <w:pPr>
        <w:pStyle w:val="CommentText"/>
        <w:rPr>
          <w:rFonts w:eastAsia="Calibri"/>
          <w:sz w:val="24"/>
          <w:szCs w:val="24"/>
        </w:rPr>
      </w:pPr>
      <w:r>
        <w:rPr>
          <w:sz w:val="24"/>
          <w:szCs w:val="24"/>
        </w:rPr>
        <w:t xml:space="preserve">Процентът на финансиране на разходите е </w:t>
      </w:r>
      <w:r>
        <w:rPr>
          <w:i/>
          <w:iCs/>
          <w:color w:val="4AA55B"/>
          <w:sz w:val="24"/>
          <w:szCs w:val="24"/>
        </w:rPr>
        <w:t xml:space="preserve">[ВАРИАНТ за обикновените програми на вътрешния пазар: </w:t>
      </w:r>
      <w:r>
        <w:rPr>
          <w:sz w:val="24"/>
          <w:szCs w:val="24"/>
        </w:rPr>
        <w:t>70 %</w:t>
      </w:r>
      <w:r>
        <w:rPr>
          <w:i/>
          <w:iCs/>
          <w:color w:val="4AA55B"/>
          <w:sz w:val="24"/>
          <w:szCs w:val="24"/>
        </w:rPr>
        <w:t>] [ВАРИАНТ за обикновените програми в трети държави:</w:t>
      </w:r>
      <w:r>
        <w:rPr>
          <w:i/>
          <w:iCs/>
          <w:sz w:val="24"/>
          <w:szCs w:val="24"/>
        </w:rPr>
        <w:t xml:space="preserve"> </w:t>
      </w:r>
      <w:r>
        <w:rPr>
          <w:sz w:val="24"/>
          <w:szCs w:val="24"/>
        </w:rPr>
        <w:t>80 %</w:t>
      </w:r>
      <w:r>
        <w:rPr>
          <w:i/>
          <w:iCs/>
          <w:color w:val="4AA55B"/>
          <w:sz w:val="24"/>
          <w:szCs w:val="24"/>
        </w:rPr>
        <w:t xml:space="preserve">][ВАРИАНТ за обикновените програми в случай на сериозни смущения на пазара, загуба на доверието на потребителите или други специфични проблеми: </w:t>
      </w:r>
      <w:r>
        <w:rPr>
          <w:sz w:val="24"/>
          <w:szCs w:val="24"/>
        </w:rPr>
        <w:t>85 %</w:t>
      </w:r>
      <w:r>
        <w:rPr>
          <w:i/>
          <w:iCs/>
          <w:color w:val="4AA55B"/>
          <w:sz w:val="24"/>
          <w:szCs w:val="24"/>
        </w:rPr>
        <w:t>]</w:t>
      </w:r>
      <w:r>
        <w:rPr>
          <w:i/>
          <w:iCs/>
          <w:sz w:val="24"/>
          <w:szCs w:val="24"/>
        </w:rPr>
        <w:t xml:space="preserve"> </w:t>
      </w:r>
      <w:r>
        <w:rPr>
          <w:i/>
          <w:iCs/>
          <w:color w:val="4AA55B"/>
          <w:sz w:val="24"/>
          <w:szCs w:val="24"/>
        </w:rPr>
        <w:t xml:space="preserve">[ВАРИАНТ за обикновените програми на вътрешния пазар, ако бенефициерът е установен в държави членки, които получават финансова помощ: </w:t>
      </w:r>
      <w:r>
        <w:rPr>
          <w:sz w:val="24"/>
          <w:szCs w:val="24"/>
        </w:rPr>
        <w:t>75 %</w:t>
      </w:r>
      <w:r>
        <w:rPr>
          <w:i/>
          <w:iCs/>
          <w:color w:val="4AA55B"/>
          <w:sz w:val="24"/>
          <w:szCs w:val="24"/>
        </w:rPr>
        <w:t xml:space="preserve">][ВАРИАНТ за обикновените програми в трети държави, ако бенефициерът е установен в държави членки, които получават финансова помощ: </w:t>
      </w:r>
      <w:r>
        <w:rPr>
          <w:sz w:val="24"/>
          <w:szCs w:val="24"/>
        </w:rPr>
        <w:t>85 %</w:t>
      </w:r>
      <w:r>
        <w:rPr>
          <w:i/>
          <w:iCs/>
          <w:color w:val="4AA55B"/>
          <w:sz w:val="24"/>
          <w:szCs w:val="24"/>
        </w:rPr>
        <w:t xml:space="preserve">][ВАРИАНТ за обикновените програми в случай на сериозни смущения на пазара, загуба на доверието на потребителите или други специфични проблеми, ако бенефициерът е установен в държави членки, които получават финансова помощ: </w:t>
      </w:r>
      <w:r>
        <w:rPr>
          <w:sz w:val="24"/>
          <w:szCs w:val="24"/>
        </w:rPr>
        <w:t>90 %</w:t>
      </w:r>
      <w:r>
        <w:rPr>
          <w:i/>
          <w:iCs/>
          <w:color w:val="4AA55B"/>
          <w:sz w:val="24"/>
          <w:szCs w:val="24"/>
        </w:rPr>
        <w:t>]</w:t>
      </w:r>
      <w:r>
        <w:rPr>
          <w:sz w:val="24"/>
          <w:szCs w:val="24"/>
        </w:rPr>
        <w:t xml:space="preserve"> от допустимите разходи.</w:t>
      </w:r>
    </w:p>
    <w:p w14:paraId="55AFCB86" w14:textId="77777777" w:rsidR="008907F4" w:rsidRDefault="2FA6B974" w:rsidP="2FA6B974">
      <w:pPr>
        <w:rPr>
          <w:i/>
          <w:iCs/>
          <w:color w:val="FF0000"/>
        </w:rPr>
      </w:pPr>
      <w:r>
        <w:lastRenderedPageBreak/>
        <w:t>Към вноските не се прилага процент на финансиране.</w:t>
      </w:r>
      <w:r>
        <w:rPr>
          <w:i/>
          <w:iCs/>
          <w:color w:val="FF0000"/>
        </w:rPr>
        <w:t xml:space="preserve"> </w:t>
      </w:r>
    </w:p>
    <w:p w14:paraId="541FC63F" w14:textId="77777777" w:rsidR="008907F4" w:rsidRPr="006A0015" w:rsidRDefault="008907F4" w:rsidP="008907F4">
      <w:pPr>
        <w:pStyle w:val="Heading5"/>
      </w:pPr>
      <w:bookmarkStart w:id="82" w:name="_Toc529197651"/>
      <w:bookmarkStart w:id="83" w:name="_Toc24116057"/>
      <w:bookmarkStart w:id="84" w:name="_Toc24126534"/>
      <w:bookmarkStart w:id="85" w:name="_Toc95924926"/>
      <w:bookmarkStart w:id="86" w:name="_Toc435108963"/>
      <w:bookmarkEnd w:id="72"/>
      <w:r>
        <w:t>5.4</w:t>
      </w:r>
      <w:r>
        <w:tab/>
      </w:r>
      <w:bookmarkStart w:id="87" w:name="_Toc435108955"/>
      <w:r>
        <w:t>Прогнозен бюджет</w:t>
      </w:r>
      <w:bookmarkEnd w:id="87"/>
      <w:bookmarkEnd w:id="82"/>
      <w:r>
        <w:t>, бюджетни категории и форми на финансиране</w:t>
      </w:r>
      <w:bookmarkEnd w:id="83"/>
      <w:bookmarkEnd w:id="84"/>
      <w:bookmarkEnd w:id="85"/>
    </w:p>
    <w:p w14:paraId="62052E4F" w14:textId="77777777" w:rsidR="008907F4" w:rsidRPr="00C329FF" w:rsidRDefault="2FA6B974" w:rsidP="008907F4">
      <w:pPr>
        <w:ind w:left="720" w:hanging="720"/>
        <w:rPr>
          <w:szCs w:val="24"/>
        </w:rPr>
      </w:pPr>
      <w:r>
        <w:t>Прогнозният бюджет за дейността е изложен в приложение 2.</w:t>
      </w:r>
    </w:p>
    <w:p w14:paraId="7BCE7B37" w14:textId="77777777" w:rsidR="008907F4" w:rsidRPr="00C329FF" w:rsidRDefault="2FA6B974" w:rsidP="2FA6B974">
      <w:pPr>
        <w:rPr>
          <w:rFonts w:eastAsia="Times New Roman"/>
          <w:i/>
          <w:iCs/>
          <w:color w:val="808080" w:themeColor="text1" w:themeTint="7F"/>
        </w:rPr>
      </w:pPr>
      <w:r>
        <w:t>Той съдържа прогнозните допустими разходи и вноски за дейността, разбити по участник и бюджетна категория.</w:t>
      </w:r>
      <w:r>
        <w:rPr>
          <w:i/>
          <w:iCs/>
        </w:rPr>
        <w:t xml:space="preserve"> </w:t>
      </w:r>
    </w:p>
    <w:p w14:paraId="3B59EA1D" w14:textId="77777777" w:rsidR="008907F4" w:rsidRPr="00C329FF" w:rsidRDefault="008907F4" w:rsidP="2FA6B974">
      <w:pPr>
        <w:rPr>
          <w:rFonts w:eastAsia="Times New Roman"/>
        </w:rPr>
      </w:pPr>
      <w:r>
        <w:t>В приложение 2 са показани също така видовете разходи и вноски (форми на финансиране)</w:t>
      </w:r>
      <w:r>
        <w:rPr>
          <w:rStyle w:val="FootnoteReference"/>
        </w:rPr>
        <w:footnoteReference w:id="14"/>
      </w:r>
      <w:r>
        <w:t xml:space="preserve">, които ще се използват за всяка бюджетна категория. </w:t>
      </w:r>
    </w:p>
    <w:p w14:paraId="03771B34" w14:textId="77777777" w:rsidR="008907F4" w:rsidRPr="00C329FF" w:rsidRDefault="008907F4" w:rsidP="008907F4">
      <w:pPr>
        <w:pStyle w:val="Heading5"/>
      </w:pPr>
      <w:bookmarkStart w:id="88" w:name="_Toc529197652"/>
      <w:bookmarkStart w:id="89" w:name="_Toc24116058"/>
      <w:bookmarkStart w:id="90" w:name="_Toc24126535"/>
      <w:bookmarkStart w:id="91" w:name="_Toc95924927"/>
      <w:r>
        <w:t>5.5</w:t>
      </w:r>
      <w:r>
        <w:tab/>
      </w:r>
      <w:bookmarkStart w:id="92" w:name="_Toc435108956"/>
      <w:r>
        <w:t>Бюджетна</w:t>
      </w:r>
      <w:bookmarkEnd w:id="92"/>
      <w:r>
        <w:t xml:space="preserve"> гъвкавост</w:t>
      </w:r>
      <w:bookmarkEnd w:id="88"/>
      <w:bookmarkEnd w:id="89"/>
      <w:bookmarkEnd w:id="90"/>
      <w:bookmarkEnd w:id="91"/>
      <w:r>
        <w:t xml:space="preserve"> </w:t>
      </w:r>
    </w:p>
    <w:p w14:paraId="0B5B4401" w14:textId="77777777" w:rsidR="008907F4" w:rsidRPr="00663EB0" w:rsidRDefault="2FA6B974" w:rsidP="008907F4">
      <w:r>
        <w:t xml:space="preserve">Бюджетната разбивка може да бъде коригирана — без изменение (вж. член 39) — чрез трансфер (между участници и бюджетни категории), стига това да не означава съществена или значима промяна в описанието на дейността в приложение 1. </w:t>
      </w:r>
    </w:p>
    <w:p w14:paraId="474C90FC" w14:textId="77777777" w:rsidR="008907F4" w:rsidRDefault="2FA6B974" w:rsidP="008907F4">
      <w:r>
        <w:t>Въпреки това:</w:t>
      </w:r>
    </w:p>
    <w:p w14:paraId="5F62FD58" w14:textId="7661FE71" w:rsidR="008907F4" w:rsidRDefault="008907F4" w:rsidP="008907F4">
      <w:pPr>
        <w:pStyle w:val="ListParagraph"/>
        <w:numPr>
          <w:ilvl w:val="0"/>
          <w:numId w:val="35"/>
        </w:numPr>
      </w:pPr>
      <w:r>
        <w:rPr>
          <w:shd w:val="clear" w:color="auto" w:fill="CCFFFF"/>
        </w:rPr>
        <w:t>за добавянето на суми за подизпълнители, които не са предвидени в приложение 1, се изисква изменение или опростено одобрение в съответствие с член 6.2</w:t>
      </w:r>
    </w:p>
    <w:p w14:paraId="739E0516" w14:textId="77777777" w:rsidR="008907F4" w:rsidRPr="00DA324F" w:rsidRDefault="008907F4" w:rsidP="008907F4">
      <w:pPr>
        <w:pStyle w:val="ListParagraph"/>
        <w:numPr>
          <w:ilvl w:val="0"/>
          <w:numId w:val="35"/>
        </w:numPr>
      </w:pPr>
      <w:r>
        <w:rPr>
          <w:shd w:val="clear" w:color="auto" w:fill="CCFFFF"/>
        </w:rPr>
        <w:t>за други промени се изисква изменение или опростено одобрение, ако е специално предвидено в член 6.2</w:t>
      </w:r>
      <w:r>
        <w:t>.</w:t>
      </w:r>
    </w:p>
    <w:p w14:paraId="10362152" w14:textId="77777777" w:rsidR="008907F4" w:rsidRPr="005105BA" w:rsidRDefault="2FA6B974" w:rsidP="008907F4">
      <w:pPr>
        <w:pStyle w:val="Heading4"/>
      </w:pPr>
      <w:bookmarkStart w:id="93" w:name="_Toc524697200"/>
      <w:bookmarkStart w:id="94" w:name="_Toc529197653"/>
      <w:bookmarkStart w:id="95" w:name="_Toc530035880"/>
      <w:bookmarkStart w:id="96" w:name="_Toc24116059"/>
      <w:bookmarkStart w:id="97" w:name="_Toc24126537"/>
      <w:bookmarkStart w:id="98" w:name="_Toc95924928"/>
      <w:r>
        <w:t>ЧЛЕН 6 — ДОПУСТИМИ И НЕДОПУСТИМИ РАЗХОДИ И ВНОСКИ</w:t>
      </w:r>
      <w:bookmarkEnd w:id="86"/>
      <w:bookmarkEnd w:id="93"/>
      <w:bookmarkEnd w:id="94"/>
      <w:bookmarkEnd w:id="95"/>
      <w:bookmarkEnd w:id="96"/>
      <w:bookmarkEnd w:id="97"/>
      <w:bookmarkEnd w:id="98"/>
    </w:p>
    <w:p w14:paraId="07A8F1E0" w14:textId="77777777" w:rsidR="008907F4" w:rsidRPr="00E93434" w:rsidRDefault="2FA6B974" w:rsidP="008907F4">
      <w:pPr>
        <w:tabs>
          <w:tab w:val="left" w:pos="851"/>
        </w:tabs>
        <w:rPr>
          <w:szCs w:val="24"/>
        </w:rPr>
      </w:pPr>
      <w:r>
        <w:t>За да бъдат</w:t>
      </w:r>
      <w:r>
        <w:rPr>
          <w:b/>
          <w:bCs/>
        </w:rPr>
        <w:t xml:space="preserve"> </w:t>
      </w:r>
      <w:r>
        <w:t xml:space="preserve">допустими, разходите и вноските трябва да отговарят на условията за </w:t>
      </w:r>
      <w:r>
        <w:rPr>
          <w:b/>
          <w:bCs/>
        </w:rPr>
        <w:t>допустимост</w:t>
      </w:r>
      <w:r>
        <w:t xml:space="preserve">, посочени в настоящия член. </w:t>
      </w:r>
    </w:p>
    <w:p w14:paraId="7753E2DB" w14:textId="77777777" w:rsidR="008907F4" w:rsidRPr="005105BA" w:rsidRDefault="008907F4" w:rsidP="008907F4">
      <w:pPr>
        <w:pStyle w:val="Heading5"/>
      </w:pPr>
      <w:bookmarkStart w:id="99" w:name="_Toc435108964"/>
      <w:bookmarkStart w:id="100" w:name="_Toc529197654"/>
      <w:bookmarkStart w:id="101" w:name="_Toc24116060"/>
      <w:bookmarkStart w:id="102" w:name="_Toc24126538"/>
      <w:bookmarkStart w:id="103" w:name="_Toc95924929"/>
      <w:r>
        <w:t>6.1</w:t>
      </w:r>
      <w:r>
        <w:tab/>
        <w:t>Общи условия за допустимост</w:t>
      </w:r>
      <w:bookmarkEnd w:id="99"/>
      <w:bookmarkEnd w:id="100"/>
      <w:bookmarkEnd w:id="101"/>
      <w:bookmarkEnd w:id="102"/>
      <w:bookmarkEnd w:id="103"/>
      <w:r>
        <w:t xml:space="preserve"> </w:t>
      </w:r>
    </w:p>
    <w:p w14:paraId="6832EC82" w14:textId="77777777" w:rsidR="008907F4" w:rsidRPr="005105BA" w:rsidRDefault="2FA6B974" w:rsidP="2FA6B974">
      <w:pPr>
        <w:tabs>
          <w:tab w:val="left" w:pos="851"/>
        </w:tabs>
        <w:rPr>
          <w:b/>
          <w:bCs/>
        </w:rPr>
      </w:pPr>
      <w:r>
        <w:rPr>
          <w:b/>
          <w:bCs/>
        </w:rPr>
        <w:t>Общите условия за допустимост</w:t>
      </w:r>
      <w:r>
        <w:t xml:space="preserve"> са следните: </w:t>
      </w:r>
    </w:p>
    <w:p w14:paraId="04A8284C" w14:textId="77777777" w:rsidR="008907F4" w:rsidRPr="00A56DD8" w:rsidRDefault="2FA6B974" w:rsidP="2FA6B974">
      <w:pPr>
        <w:numPr>
          <w:ilvl w:val="0"/>
          <w:numId w:val="70"/>
        </w:numPr>
      </w:pPr>
      <w:r>
        <w:t>за</w:t>
      </w:r>
      <w:r>
        <w:rPr>
          <w:b/>
          <w:bCs/>
        </w:rPr>
        <w:t xml:space="preserve"> </w:t>
      </w:r>
      <w:r>
        <w:t>действителните разходи:</w:t>
      </w:r>
    </w:p>
    <w:p w14:paraId="421EA2C2" w14:textId="790F7E30" w:rsidR="008907F4" w:rsidRPr="001923C9" w:rsidRDefault="2FA6B974" w:rsidP="2FA6B974">
      <w:pPr>
        <w:numPr>
          <w:ilvl w:val="0"/>
          <w:numId w:val="74"/>
        </w:numPr>
        <w:ind w:left="1560"/>
        <w:rPr>
          <w:rFonts w:eastAsia="Times New Roman"/>
        </w:rPr>
      </w:pPr>
      <w:r>
        <w:t xml:space="preserve">трябва да са действително направени от бенефициера; </w:t>
      </w:r>
    </w:p>
    <w:p w14:paraId="2C56BA54" w14:textId="5B3B0507" w:rsidR="008907F4" w:rsidRPr="00CB717C" w:rsidRDefault="008907F4" w:rsidP="2FA6B974">
      <w:pPr>
        <w:numPr>
          <w:ilvl w:val="0"/>
          <w:numId w:val="74"/>
        </w:numPr>
        <w:ind w:left="1560"/>
        <w:rPr>
          <w:rFonts w:eastAsia="Times New Roman"/>
        </w:rPr>
      </w:pPr>
      <w:r>
        <w:t xml:space="preserve">трябва да са направени в срока, предвиден в член 4 (с изключение на разходи, свързани с подаването на последния периодичен отчет, </w:t>
      </w:r>
      <w:r>
        <w:rPr>
          <w:shd w:val="clear" w:color="auto" w:fill="CCFFFF"/>
        </w:rPr>
        <w:t>окончателния отчет и изследването за оценка на резултатите от извършените мерки</w:t>
      </w:r>
      <w:r>
        <w:t xml:space="preserve">, които могат да бъдат направени впоследствие; вж. член 21); </w:t>
      </w:r>
    </w:p>
    <w:p w14:paraId="1636F7CB" w14:textId="5D387A0C" w:rsidR="008907F4" w:rsidRPr="0070656E" w:rsidDel="0037007F" w:rsidRDefault="2FA6B974" w:rsidP="2FA6B974">
      <w:pPr>
        <w:numPr>
          <w:ilvl w:val="0"/>
          <w:numId w:val="74"/>
        </w:numPr>
        <w:ind w:left="1560"/>
        <w:rPr>
          <w:rFonts w:eastAsia="Times New Roman"/>
        </w:rPr>
      </w:pPr>
      <w:r>
        <w:t>трябва да бъдат декларирани под една от бюджетните категории, посочени в член 6.2 и приложение 2,</w:t>
      </w:r>
    </w:p>
    <w:p w14:paraId="55CCE0F7" w14:textId="4FF39944" w:rsidR="008907F4" w:rsidRPr="0070656E" w:rsidRDefault="2FA6B974" w:rsidP="2FA6B974">
      <w:pPr>
        <w:numPr>
          <w:ilvl w:val="0"/>
          <w:numId w:val="74"/>
        </w:numPr>
        <w:ind w:left="1560"/>
        <w:rPr>
          <w:rFonts w:eastAsia="Times New Roman"/>
        </w:rPr>
      </w:pPr>
      <w:r>
        <w:lastRenderedPageBreak/>
        <w:t>трябва да са направени във връзка с дейността, както е описана в приложение 1, и да са необходими за нейното изпълнение;</w:t>
      </w:r>
    </w:p>
    <w:p w14:paraId="2FDF42BE" w14:textId="6337B3C5" w:rsidR="008907F4" w:rsidRPr="0070656E" w:rsidRDefault="2FA6B974" w:rsidP="2FA6B974">
      <w:pPr>
        <w:numPr>
          <w:ilvl w:val="0"/>
          <w:numId w:val="74"/>
        </w:numPr>
        <w:ind w:left="1560"/>
        <w:rPr>
          <w:rFonts w:eastAsia="Times New Roman"/>
        </w:rPr>
      </w:pPr>
      <w:r>
        <w:t xml:space="preserve">трябва да могат да бъдат установени и проверени, по-специално да са осчетоводени от бенефициера в съответствие със счетоводните стандарти, приложими в държавата, където е седалището на бенефициера, както и с неговите обичайни практики за счетоводно отчитане на разходите;  </w:t>
      </w:r>
    </w:p>
    <w:p w14:paraId="231032CA" w14:textId="77777777" w:rsidR="008907F4" w:rsidRPr="0070656E" w:rsidRDefault="2FA6B974" w:rsidP="2FA6B974">
      <w:pPr>
        <w:numPr>
          <w:ilvl w:val="0"/>
          <w:numId w:val="74"/>
        </w:numPr>
        <w:ind w:left="1560"/>
        <w:rPr>
          <w:rFonts w:eastAsia="Times New Roman"/>
        </w:rPr>
      </w:pPr>
      <w:r>
        <w:t>трябва да са направени при съблюдаване на националното законодателство в областта на данъчното облагане, трудовото право и социалната сигурност, и</w:t>
      </w:r>
    </w:p>
    <w:p w14:paraId="3F7938F6" w14:textId="77777777" w:rsidR="008907F4" w:rsidRPr="0070656E" w:rsidRDefault="2FA6B974" w:rsidP="2FA6B974">
      <w:pPr>
        <w:numPr>
          <w:ilvl w:val="0"/>
          <w:numId w:val="74"/>
        </w:numPr>
        <w:ind w:left="1560"/>
        <w:rPr>
          <w:rFonts w:eastAsia="Times New Roman"/>
        </w:rPr>
      </w:pPr>
      <w:r>
        <w:t>трябва да са разумни, обосновани и да отговарят на принципа на доброто финансово управление, по-специално от гледна точка на икономичността и ефикасността.</w:t>
      </w:r>
    </w:p>
    <w:p w14:paraId="288B1D72" w14:textId="77777777" w:rsidR="008907F4" w:rsidRPr="002A408D" w:rsidRDefault="2FA6B974" w:rsidP="2FA6B974">
      <w:pPr>
        <w:numPr>
          <w:ilvl w:val="0"/>
          <w:numId w:val="70"/>
        </w:numPr>
      </w:pPr>
      <w:r>
        <w:t xml:space="preserve">за единичните разходи или вноски (ако има такива): </w:t>
      </w:r>
    </w:p>
    <w:p w14:paraId="7BF55D5A" w14:textId="20AC866E" w:rsidR="008907F4" w:rsidRPr="0070656E" w:rsidRDefault="2FA6B974" w:rsidP="2FA6B974">
      <w:pPr>
        <w:numPr>
          <w:ilvl w:val="0"/>
          <w:numId w:val="80"/>
        </w:numPr>
        <w:ind w:left="1560"/>
        <w:rPr>
          <w:rFonts w:eastAsia="Times New Roman"/>
        </w:rPr>
      </w:pPr>
      <w:r>
        <w:t>трябва да бъдат декларирани под една от бюджетните категории, посочени в член 6.2 и приложение 2,</w:t>
      </w:r>
    </w:p>
    <w:p w14:paraId="0F0B35B7" w14:textId="77777777" w:rsidR="008907F4" w:rsidRPr="00FA45F3" w:rsidRDefault="2FA6B974" w:rsidP="2FA6B974">
      <w:pPr>
        <w:numPr>
          <w:ilvl w:val="0"/>
          <w:numId w:val="80"/>
        </w:numPr>
        <w:ind w:left="1560"/>
      </w:pPr>
      <w:r>
        <w:t>единиците трябва:</w:t>
      </w:r>
    </w:p>
    <w:p w14:paraId="3C18763D" w14:textId="14B14EA1" w:rsidR="008907F4" w:rsidRPr="00620FC7" w:rsidRDefault="008907F4" w:rsidP="2FA6B974">
      <w:pPr>
        <w:numPr>
          <w:ilvl w:val="0"/>
          <w:numId w:val="44"/>
        </w:numPr>
        <w:tabs>
          <w:tab w:val="left" w:pos="600"/>
        </w:tabs>
        <w:ind w:left="2127"/>
      </w:pPr>
      <w:r>
        <w:t xml:space="preserve">да бъдат действително използвани или представени в срока, предвиден в член 4 (с изключение на единици, свързани с подаването на последния периодичен отчет, </w:t>
      </w:r>
      <w:r>
        <w:rPr>
          <w:shd w:val="clear" w:color="auto" w:fill="CCFFFF"/>
        </w:rPr>
        <w:t>окончателния отчет и изследването за оценка на резултатите от извършените мерки</w:t>
      </w:r>
      <w:r>
        <w:t>, които могат да бъдат използвани или представени впоследствие; вж. член 21);</w:t>
      </w:r>
    </w:p>
    <w:p w14:paraId="117CC3F3" w14:textId="6C729D6A" w:rsidR="008907F4" w:rsidRPr="00FA45F3" w:rsidRDefault="2FA6B974" w:rsidP="2FA6B974">
      <w:pPr>
        <w:numPr>
          <w:ilvl w:val="0"/>
          <w:numId w:val="44"/>
        </w:numPr>
        <w:tabs>
          <w:tab w:val="left" w:pos="600"/>
        </w:tabs>
        <w:ind w:left="2127"/>
      </w:pPr>
      <w:r>
        <w:t>да бъдат необходими за изпълнението на дейността и</w:t>
      </w:r>
    </w:p>
    <w:p w14:paraId="7A76072F" w14:textId="77777777" w:rsidR="008907F4" w:rsidRPr="00FA45F3" w:rsidRDefault="2FA6B974" w:rsidP="2FA6B974">
      <w:pPr>
        <w:numPr>
          <w:ilvl w:val="0"/>
          <w:numId w:val="80"/>
        </w:numPr>
        <w:ind w:left="1560"/>
      </w:pPr>
      <w:r>
        <w:t xml:space="preserve">броят на единиците трябва да подлежи на идентифициране и проверка, и по-специално да бъде подкрепен с документален архив и документи (вж. член 20); </w:t>
      </w:r>
    </w:p>
    <w:p w14:paraId="1CFE81F9" w14:textId="77777777" w:rsidR="008907F4" w:rsidRPr="00FA45F3" w:rsidRDefault="2FA6B974" w:rsidP="2FA6B974">
      <w:pPr>
        <w:numPr>
          <w:ilvl w:val="0"/>
          <w:numId w:val="70"/>
        </w:numPr>
      </w:pPr>
      <w:r>
        <w:t>за</w:t>
      </w:r>
      <w:r>
        <w:rPr>
          <w:b/>
          <w:bCs/>
        </w:rPr>
        <w:t xml:space="preserve"> </w:t>
      </w:r>
      <w:r>
        <w:t xml:space="preserve">разходите или вноските на базата на единна ставка (ако има такива): </w:t>
      </w:r>
    </w:p>
    <w:p w14:paraId="6ACCF683" w14:textId="3E63009D" w:rsidR="008907F4" w:rsidRPr="00FA45F3" w:rsidRDefault="2FA6B974" w:rsidP="2FA6B974">
      <w:pPr>
        <w:numPr>
          <w:ilvl w:val="0"/>
          <w:numId w:val="76"/>
        </w:numPr>
        <w:ind w:left="1560"/>
      </w:pPr>
      <w:r>
        <w:t>трябва да бъдат декларирани под една от бюджетните категории, посочени в член 6.2 и приложение 2,</w:t>
      </w:r>
    </w:p>
    <w:p w14:paraId="5419DD40" w14:textId="77777777" w:rsidR="008907F4" w:rsidRPr="00FA45F3" w:rsidRDefault="2FA6B974" w:rsidP="2FA6B974">
      <w:pPr>
        <w:numPr>
          <w:ilvl w:val="0"/>
          <w:numId w:val="76"/>
        </w:numPr>
        <w:ind w:left="1560"/>
      </w:pPr>
      <w:r>
        <w:t>разходите или вноските, за които се прилага единната ставка, трябва:</w:t>
      </w:r>
    </w:p>
    <w:p w14:paraId="7F49BC2F" w14:textId="4EBE4975" w:rsidR="008907F4" w:rsidRPr="00B34098" w:rsidRDefault="2FA6B974" w:rsidP="2FA6B974">
      <w:pPr>
        <w:numPr>
          <w:ilvl w:val="0"/>
          <w:numId w:val="44"/>
        </w:numPr>
        <w:tabs>
          <w:tab w:val="left" w:pos="600"/>
        </w:tabs>
        <w:ind w:left="2127"/>
      </w:pPr>
      <w:r>
        <w:t>да са допустими;</w:t>
      </w:r>
    </w:p>
    <w:p w14:paraId="4AC55268" w14:textId="7C115137" w:rsidR="008907F4" w:rsidRPr="00FA45F3" w:rsidRDefault="008907F4" w:rsidP="00A61F21">
      <w:pPr>
        <w:numPr>
          <w:ilvl w:val="0"/>
          <w:numId w:val="44"/>
        </w:numPr>
        <w:tabs>
          <w:tab w:val="left" w:pos="600"/>
        </w:tabs>
        <w:ind w:left="2127"/>
      </w:pPr>
      <w:r>
        <w:t>да се отнасят до срока, предвиден в член 4 (с изключение на разходи и вноски, свързани с подаването на последния периодичен отчет,</w:t>
      </w:r>
      <w:r>
        <w:rPr>
          <w:shd w:val="clear" w:color="auto" w:fill="CCFFFF"/>
        </w:rPr>
        <w:t xml:space="preserve"> окончателния отчет и изследването за оценка на резултатите от извършените мерки</w:t>
      </w:r>
      <w:r>
        <w:t>, които могат да бъдат направени впоследствие; вж. член 21);</w:t>
      </w:r>
    </w:p>
    <w:p w14:paraId="0EF73906" w14:textId="77777777" w:rsidR="008907F4" w:rsidRPr="0070656E" w:rsidRDefault="2FA6B974" w:rsidP="2FA6B974">
      <w:pPr>
        <w:numPr>
          <w:ilvl w:val="0"/>
          <w:numId w:val="70"/>
        </w:numPr>
      </w:pPr>
      <w:r>
        <w:lastRenderedPageBreak/>
        <w:t>за разходи или вноски под формата на еднократна сума (ако има такива):</w:t>
      </w:r>
      <w:r>
        <w:rPr>
          <w:i/>
          <w:iCs/>
        </w:rPr>
        <w:t xml:space="preserve"> </w:t>
      </w:r>
    </w:p>
    <w:p w14:paraId="3D535B78" w14:textId="0812D8C4" w:rsidR="008907F4" w:rsidRPr="00B948D5" w:rsidRDefault="2FA6B974" w:rsidP="2FA6B974">
      <w:pPr>
        <w:numPr>
          <w:ilvl w:val="0"/>
          <w:numId w:val="77"/>
        </w:numPr>
        <w:ind w:left="1560"/>
      </w:pPr>
      <w:r>
        <w:t>трябва да бъдат декларирани под една от бюджетните категории, посочени в член 6.2 и приложение 2,</w:t>
      </w:r>
    </w:p>
    <w:p w14:paraId="41E8DE97" w14:textId="72049392" w:rsidR="008907F4" w:rsidRPr="00B948D5" w:rsidRDefault="2FA6B974" w:rsidP="2FA6B974">
      <w:pPr>
        <w:numPr>
          <w:ilvl w:val="0"/>
          <w:numId w:val="77"/>
        </w:numPr>
        <w:ind w:left="1560"/>
      </w:pPr>
      <w:r>
        <w:t>дейността трябва да бъде надлежно изпълнена от бенефициера в съответствие с приложение 1;</w:t>
      </w:r>
    </w:p>
    <w:p w14:paraId="1DB01216" w14:textId="4BDE10F5" w:rsidR="008907F4" w:rsidRPr="0070656E" w:rsidRDefault="008907F4" w:rsidP="00A61F21">
      <w:pPr>
        <w:numPr>
          <w:ilvl w:val="0"/>
          <w:numId w:val="77"/>
        </w:numPr>
        <w:ind w:left="1560"/>
      </w:pPr>
      <w:r>
        <w:t xml:space="preserve">физическите резултати/крайни продукти трябва да бъдат постигнати/предадени в срока, предвиден в член 4 (с изключение на физическите резултати/крайни продукти, свързани с подаването на последния периодичен отчет, </w:t>
      </w:r>
      <w:r>
        <w:rPr>
          <w:shd w:val="clear" w:color="auto" w:fill="CCFFFF"/>
        </w:rPr>
        <w:t>окончателния отчет и изследването за оценка на резултатите от извършените мерки</w:t>
      </w:r>
      <w:r>
        <w:t>, които могат да бъдат постигнати/предадени впоследствие; вж. член 21);</w:t>
      </w:r>
    </w:p>
    <w:p w14:paraId="06B2978F" w14:textId="77777777" w:rsidR="008907F4" w:rsidRPr="0070656E" w:rsidRDefault="2FA6B974" w:rsidP="2FA6B974">
      <w:pPr>
        <w:numPr>
          <w:ilvl w:val="0"/>
          <w:numId w:val="70"/>
        </w:numPr>
      </w:pPr>
      <w:bookmarkStart w:id="104" w:name="_Toc435108965"/>
      <w:bookmarkStart w:id="105" w:name="_Toc529197655"/>
      <w:r>
        <w:t xml:space="preserve">за единични разходи или вноски, разходи или вноски на базата на единна ставка или такива под формата на еднократна сума съгласно обичайните практики за счетоводно отчитане на разходите (ако има такива): </w:t>
      </w:r>
    </w:p>
    <w:p w14:paraId="0C6CF9F5" w14:textId="6A0FDF66" w:rsidR="008907F4" w:rsidRPr="0070656E" w:rsidRDefault="2FA6B974" w:rsidP="2FA6B974">
      <w:pPr>
        <w:numPr>
          <w:ilvl w:val="0"/>
          <w:numId w:val="78"/>
        </w:numPr>
        <w:ind w:left="1560"/>
      </w:pPr>
      <w:r>
        <w:t>трябва да отговарят на общите условия за допустимост за съответния вид разходи,</w:t>
      </w:r>
    </w:p>
    <w:p w14:paraId="4BBDD789" w14:textId="77777777" w:rsidR="008907F4" w:rsidRPr="0070656E" w:rsidRDefault="2FA6B974" w:rsidP="2FA6B974">
      <w:pPr>
        <w:numPr>
          <w:ilvl w:val="0"/>
          <w:numId w:val="78"/>
        </w:numPr>
        <w:ind w:left="1560"/>
        <w:rPr>
          <w:rFonts w:eastAsia="Times New Roman" w:cs="Times New Roman"/>
        </w:rPr>
      </w:pPr>
      <w:r>
        <w:t>ползваните практики за счетоводно отчитане на разходите трябва да се прилагат систематично, на базата на обективни критерии, без оглед на източника на финансиране;</w:t>
      </w:r>
    </w:p>
    <w:p w14:paraId="4D029110" w14:textId="77777777" w:rsidR="008907F4" w:rsidRPr="0070656E" w:rsidRDefault="2FA6B974" w:rsidP="2FA6B974">
      <w:pPr>
        <w:numPr>
          <w:ilvl w:val="0"/>
          <w:numId w:val="70"/>
        </w:numPr>
      </w:pPr>
      <w:r>
        <w:t>за финансиране, което не е свързано с разходи (ако има такова): резултатите трябва да бъдат постигнати или трябва да бъдат изпълнени условията, описани в приложение 1.</w:t>
      </w:r>
    </w:p>
    <w:p w14:paraId="7683FB09" w14:textId="77777777" w:rsidR="008907F4" w:rsidRPr="00626DE4" w:rsidRDefault="2FA6B974" w:rsidP="008907F4">
      <w:pPr>
        <w:autoSpaceDE w:val="0"/>
        <w:autoSpaceDN w:val="0"/>
        <w:adjustRightInd w:val="0"/>
        <w:rPr>
          <w:szCs w:val="24"/>
        </w:rPr>
      </w:pPr>
      <w:r>
        <w:t xml:space="preserve">Освен това за категориите преки разходи (например разходи за персонал, пътни и дневни разходи, разходи за подизпълнители и други преки разходи) са допустими само разходи, които са </w:t>
      </w:r>
      <w:r>
        <w:rPr>
          <w:i/>
          <w:iCs/>
        </w:rPr>
        <w:t>пряко</w:t>
      </w:r>
      <w:r>
        <w:t xml:space="preserve"> свързани с изпълнението на дейността и следователно могат да бъдат отнесени </w:t>
      </w:r>
      <w:r>
        <w:rPr>
          <w:i/>
          <w:iCs/>
        </w:rPr>
        <w:t>пряко</w:t>
      </w:r>
      <w:r>
        <w:t xml:space="preserve"> към нея. Те не трябва да включват каквито и да е </w:t>
      </w:r>
      <w:r>
        <w:rPr>
          <w:i/>
          <w:iCs/>
        </w:rPr>
        <w:t>непреки</w:t>
      </w:r>
      <w:r>
        <w:t xml:space="preserve"> разходи (т.е. разходи, които са свързани само непряко с дейността, например чрез фактори, влияещи върху разходите).</w:t>
      </w:r>
    </w:p>
    <w:p w14:paraId="40427B82" w14:textId="77777777" w:rsidR="008907F4" w:rsidRPr="009473CB" w:rsidRDefault="008907F4" w:rsidP="008907F4">
      <w:pPr>
        <w:pStyle w:val="Heading5"/>
      </w:pPr>
      <w:bookmarkStart w:id="106" w:name="_Toc24116061"/>
      <w:bookmarkStart w:id="107" w:name="_Toc24126539"/>
      <w:bookmarkStart w:id="108" w:name="_Toc95924930"/>
      <w:r>
        <w:t>6.2</w:t>
      </w:r>
      <w:r>
        <w:tab/>
        <w:t xml:space="preserve">Специални условия за допустимост </w:t>
      </w:r>
      <w:bookmarkEnd w:id="104"/>
      <w:bookmarkEnd w:id="105"/>
      <w:r>
        <w:t>за всяка бюджетна категория</w:t>
      </w:r>
      <w:bookmarkEnd w:id="106"/>
      <w:bookmarkEnd w:id="107"/>
      <w:bookmarkEnd w:id="108"/>
    </w:p>
    <w:p w14:paraId="51891227" w14:textId="77777777" w:rsidR="008907F4" w:rsidRDefault="2FA6B974" w:rsidP="008907F4">
      <w:pPr>
        <w:autoSpaceDE w:val="0"/>
        <w:autoSpaceDN w:val="0"/>
        <w:adjustRightInd w:val="0"/>
        <w:rPr>
          <w:szCs w:val="24"/>
        </w:rPr>
      </w:pPr>
      <w:r>
        <w:t xml:space="preserve">За всяка бюджетна категория важат следните </w:t>
      </w:r>
      <w:r>
        <w:rPr>
          <w:b/>
          <w:bCs/>
        </w:rPr>
        <w:t>специални условия за допустимост</w:t>
      </w:r>
      <w:r>
        <w:t xml:space="preserve">: </w:t>
      </w:r>
    </w:p>
    <w:p w14:paraId="128A398A" w14:textId="77777777" w:rsidR="008907F4" w:rsidRPr="004E710E" w:rsidRDefault="2FA6B974" w:rsidP="2FA6B974">
      <w:pPr>
        <w:autoSpaceDE w:val="0"/>
        <w:autoSpaceDN w:val="0"/>
        <w:adjustRightInd w:val="0"/>
        <w:rPr>
          <w:b/>
          <w:bCs/>
          <w:u w:val="single"/>
        </w:rPr>
      </w:pPr>
      <w:r>
        <w:rPr>
          <w:b/>
          <w:bCs/>
          <w:u w:val="single"/>
        </w:rPr>
        <w:t>Преки разходи</w:t>
      </w:r>
    </w:p>
    <w:p w14:paraId="5BCE0EAA" w14:textId="77777777" w:rsidR="008907F4" w:rsidRDefault="2FA6B974" w:rsidP="2FA6B974">
      <w:pPr>
        <w:autoSpaceDE w:val="0"/>
        <w:autoSpaceDN w:val="0"/>
        <w:adjustRightInd w:val="0"/>
        <w:rPr>
          <w:b/>
          <w:bCs/>
        </w:rPr>
      </w:pPr>
      <w:r>
        <w:rPr>
          <w:b/>
          <w:bCs/>
        </w:rPr>
        <w:t>А. Разходи за персонал</w:t>
      </w:r>
    </w:p>
    <w:p w14:paraId="0B157E0E" w14:textId="77777777" w:rsidR="008907F4" w:rsidRDefault="2FA6B974" w:rsidP="008907F4">
      <w:pPr>
        <w:autoSpaceDE w:val="0"/>
        <w:autoSpaceDN w:val="0"/>
        <w:adjustRightInd w:val="0"/>
        <w:rPr>
          <w:szCs w:val="24"/>
        </w:rPr>
      </w:pPr>
      <w:r>
        <w:rPr>
          <w:b/>
          <w:bCs/>
        </w:rPr>
        <w:t>A.1</w:t>
      </w:r>
      <w:r>
        <w:t xml:space="preserve"> </w:t>
      </w:r>
      <w:r>
        <w:rPr>
          <w:b/>
          <w:bCs/>
        </w:rPr>
        <w:t>Разходите за</w:t>
      </w:r>
      <w:r>
        <w:t xml:space="preserve"> </w:t>
      </w:r>
      <w:r>
        <w:rPr>
          <w:b/>
          <w:bCs/>
        </w:rPr>
        <w:t>служители (или еквивалентни)</w:t>
      </w:r>
      <w:r>
        <w:t xml:space="preserve"> са допустими като разходи за персонал, ако отговарят на общите условия за допустимост и ако са свързани с персонала, нает от бенефициера по трудов договор (или еквивалентен акт за назначение) и работещ по дейността. </w:t>
      </w:r>
    </w:p>
    <w:p w14:paraId="5291A0F2" w14:textId="77777777" w:rsidR="008907F4" w:rsidRPr="00372C98" w:rsidRDefault="2FA6B974" w:rsidP="008907F4">
      <w:pPr>
        <w:autoSpaceDE w:val="0"/>
        <w:autoSpaceDN w:val="0"/>
        <w:adjustRightInd w:val="0"/>
        <w:rPr>
          <w:szCs w:val="24"/>
        </w:rPr>
      </w:pPr>
      <w:r>
        <w:t xml:space="preserve">Те трябва да са ограничени до заплати, социалноосигурителни вноски, данъци и други разходи, свързани с възнагражденията, ако такива произтичат от националното </w:t>
      </w:r>
      <w:r>
        <w:lastRenderedPageBreak/>
        <w:t>законодателство или от трудовия договор (или еквивалентния акт за назначение), и да се изчисляват въз основа на действително направените разходи по следния метод:</w:t>
      </w:r>
    </w:p>
    <w:p w14:paraId="37D85728" w14:textId="77777777" w:rsidR="008907F4" w:rsidRPr="00372C98" w:rsidRDefault="2FA6B974" w:rsidP="2FA6B974">
      <w:pPr>
        <w:autoSpaceDE w:val="0"/>
        <w:autoSpaceDN w:val="0"/>
        <w:adjustRightInd w:val="0"/>
        <w:ind w:left="720"/>
        <w:rPr>
          <w:sz w:val="20"/>
          <w:szCs w:val="20"/>
        </w:rPr>
      </w:pPr>
      <w:r>
        <w:rPr>
          <w:sz w:val="20"/>
          <w:szCs w:val="20"/>
        </w:rPr>
        <w:t>{дневна ставка за лицето,</w:t>
      </w:r>
    </w:p>
    <w:p w14:paraId="01945AF3" w14:textId="77777777" w:rsidR="008907F4" w:rsidRPr="00372C98" w:rsidRDefault="2FA6B974" w:rsidP="2FA6B974">
      <w:pPr>
        <w:autoSpaceDE w:val="0"/>
        <w:autoSpaceDN w:val="0"/>
        <w:adjustRightInd w:val="0"/>
        <w:ind w:left="720"/>
        <w:rPr>
          <w:sz w:val="20"/>
          <w:szCs w:val="20"/>
        </w:rPr>
      </w:pPr>
      <w:r>
        <w:rPr>
          <w:sz w:val="20"/>
          <w:szCs w:val="20"/>
        </w:rPr>
        <w:t xml:space="preserve">умножено по </w:t>
      </w:r>
    </w:p>
    <w:p w14:paraId="3371BF58" w14:textId="77777777" w:rsidR="008907F4" w:rsidRPr="00372C98" w:rsidRDefault="2FA6B974" w:rsidP="2FA6B974">
      <w:pPr>
        <w:autoSpaceDE w:val="0"/>
        <w:autoSpaceDN w:val="0"/>
        <w:adjustRightInd w:val="0"/>
        <w:ind w:left="720"/>
        <w:rPr>
          <w:sz w:val="20"/>
          <w:szCs w:val="20"/>
        </w:rPr>
      </w:pPr>
      <w:r>
        <w:rPr>
          <w:sz w:val="20"/>
          <w:szCs w:val="20"/>
        </w:rPr>
        <w:t>броя на отработените по дейността еквиваленти на пълен работен ден (закръглени нагоре или надолу до най-близкия половин ден)}.</w:t>
      </w:r>
    </w:p>
    <w:p w14:paraId="2DC66D1C" w14:textId="77777777" w:rsidR="008907F4" w:rsidRPr="00372C98" w:rsidRDefault="2FA6B974" w:rsidP="008907F4">
      <w:pPr>
        <w:autoSpaceDE w:val="0"/>
        <w:autoSpaceDN w:val="0"/>
        <w:adjustRightInd w:val="0"/>
        <w:rPr>
          <w:szCs w:val="24"/>
        </w:rPr>
      </w:pPr>
      <w:r>
        <w:t>Дневната ставка трябва да се изчислява като:</w:t>
      </w:r>
    </w:p>
    <w:p w14:paraId="30549DDB" w14:textId="77777777" w:rsidR="008907F4" w:rsidRPr="00372C98" w:rsidRDefault="2FA6B974" w:rsidP="2FA6B974">
      <w:pPr>
        <w:autoSpaceDE w:val="0"/>
        <w:autoSpaceDN w:val="0"/>
        <w:adjustRightInd w:val="0"/>
        <w:ind w:left="720"/>
        <w:rPr>
          <w:sz w:val="20"/>
          <w:szCs w:val="20"/>
        </w:rPr>
      </w:pPr>
      <w:r>
        <w:rPr>
          <w:sz w:val="20"/>
          <w:szCs w:val="20"/>
        </w:rPr>
        <w:t xml:space="preserve">{годишните разходи за персонал, отнасящи се за лицето, </w:t>
      </w:r>
    </w:p>
    <w:p w14:paraId="3938B21D" w14:textId="77777777" w:rsidR="008907F4" w:rsidRPr="00372C98" w:rsidRDefault="2FA6B974" w:rsidP="2FA6B974">
      <w:pPr>
        <w:autoSpaceDE w:val="0"/>
        <w:autoSpaceDN w:val="0"/>
        <w:adjustRightInd w:val="0"/>
        <w:ind w:left="720"/>
        <w:rPr>
          <w:sz w:val="20"/>
          <w:szCs w:val="20"/>
        </w:rPr>
      </w:pPr>
      <w:r>
        <w:rPr>
          <w:sz w:val="20"/>
          <w:szCs w:val="20"/>
        </w:rPr>
        <w:t xml:space="preserve">разделени на </w:t>
      </w:r>
    </w:p>
    <w:p w14:paraId="4F15D2AC" w14:textId="77777777" w:rsidR="008907F4" w:rsidRPr="00372C98" w:rsidRDefault="2FA6B974" w:rsidP="2FA6B974">
      <w:pPr>
        <w:autoSpaceDE w:val="0"/>
        <w:autoSpaceDN w:val="0"/>
        <w:adjustRightInd w:val="0"/>
        <w:ind w:left="720"/>
        <w:rPr>
          <w:sz w:val="20"/>
          <w:szCs w:val="20"/>
        </w:rPr>
      </w:pPr>
      <w:r>
        <w:rPr>
          <w:sz w:val="20"/>
          <w:szCs w:val="20"/>
        </w:rPr>
        <w:t>215}</w:t>
      </w:r>
    </w:p>
    <w:p w14:paraId="133FE143" w14:textId="77777777" w:rsidR="008907F4" w:rsidRPr="00372C98" w:rsidRDefault="2FA6B974" w:rsidP="008907F4">
      <w:pPr>
        <w:autoSpaceDE w:val="0"/>
        <w:autoSpaceDN w:val="0"/>
        <w:adjustRightInd w:val="0"/>
        <w:rPr>
          <w:szCs w:val="24"/>
        </w:rPr>
      </w:pPr>
      <w:r>
        <w:t xml:space="preserve">Броят на еквивалентите на пълен работен ден, декларирани за дадено лице, трябва да може да бъде установен и проверен (вж. член 20). </w:t>
      </w:r>
    </w:p>
    <w:p w14:paraId="14B1737A" w14:textId="77777777" w:rsidR="008907F4" w:rsidRDefault="2FA6B974" w:rsidP="008907F4">
      <w:pPr>
        <w:autoSpaceDE w:val="0"/>
        <w:autoSpaceDN w:val="0"/>
        <w:adjustRightInd w:val="0"/>
        <w:rPr>
          <w:szCs w:val="24"/>
        </w:rPr>
      </w:pPr>
      <w:r>
        <w:t>Общият брой еквиваленти на пълен работен ден, декларирани по безвъзмездни средства от ЕС, за едно лице годишно не може да надвишава 215.</w:t>
      </w:r>
    </w:p>
    <w:p w14:paraId="76A7C245" w14:textId="77777777" w:rsidR="008907F4" w:rsidRPr="001371EA" w:rsidRDefault="2FA6B974" w:rsidP="008907F4">
      <w:pPr>
        <w:rPr>
          <w:szCs w:val="24"/>
        </w:rPr>
      </w:pPr>
      <w:r>
        <w:t xml:space="preserve">Разходите за персонал могат да включват и допълнителни плащания на персонал, работещ по дейността (включително плащания по допълнителни договори, независимо от тяхното естество), ако: </w:t>
      </w:r>
    </w:p>
    <w:p w14:paraId="1CD4BEB0" w14:textId="77777777" w:rsidR="008907F4" w:rsidRPr="001371EA" w:rsidRDefault="2FA6B974" w:rsidP="2FA6B974">
      <w:pPr>
        <w:numPr>
          <w:ilvl w:val="0"/>
          <w:numId w:val="55"/>
        </w:numPr>
        <w:autoSpaceDE w:val="0"/>
        <w:autoSpaceDN w:val="0"/>
        <w:adjustRightInd w:val="0"/>
      </w:pPr>
      <w:r>
        <w:t>те са част от обичайните практики на бенефициера относно възнагражденията и се изплащат систематично за аналогичен вид работа или експертни познания;</w:t>
      </w:r>
    </w:p>
    <w:p w14:paraId="28A435E3" w14:textId="77777777" w:rsidR="008907F4" w:rsidRPr="00FD5138" w:rsidRDefault="2FA6B974" w:rsidP="2FA6B974">
      <w:pPr>
        <w:numPr>
          <w:ilvl w:val="0"/>
          <w:numId w:val="55"/>
        </w:numPr>
        <w:autoSpaceDE w:val="0"/>
        <w:autoSpaceDN w:val="0"/>
        <w:adjustRightInd w:val="0"/>
        <w:rPr>
          <w:i/>
          <w:iCs/>
          <w:color w:val="FF0000"/>
        </w:rPr>
      </w:pPr>
      <w:r>
        <w:t>критериите за изчисляване на допълнителните плащания са обективни и се прилагат по правило от бенефициера без оглед на източника на финансиране.</w:t>
      </w:r>
    </w:p>
    <w:p w14:paraId="3EB41809" w14:textId="77777777" w:rsidR="008907F4" w:rsidRPr="008C0006" w:rsidRDefault="2FA6B974" w:rsidP="008907F4">
      <w:pPr>
        <w:autoSpaceDE w:val="0"/>
        <w:autoSpaceDN w:val="0"/>
        <w:adjustRightInd w:val="0"/>
        <w:rPr>
          <w:szCs w:val="24"/>
        </w:rPr>
      </w:pPr>
      <w:r>
        <w:rPr>
          <w:b/>
          <w:bCs/>
        </w:rPr>
        <w:t>A.2</w:t>
      </w:r>
      <w:r>
        <w:t xml:space="preserve"> и </w:t>
      </w:r>
      <w:r>
        <w:rPr>
          <w:b/>
          <w:bCs/>
        </w:rPr>
        <w:t>A.3 Разходите за</w:t>
      </w:r>
      <w:r>
        <w:t xml:space="preserve"> </w:t>
      </w:r>
      <w:r>
        <w:rPr>
          <w:b/>
          <w:bCs/>
        </w:rPr>
        <w:t>физически лица, работещи по пряко сключен договор</w:t>
      </w:r>
      <w:r>
        <w:t xml:space="preserve">, който не е трудов договор, и разходите за </w:t>
      </w:r>
      <w:r>
        <w:rPr>
          <w:b/>
          <w:bCs/>
        </w:rPr>
        <w:t>лица, командировани от трета страна срещу заплащане</w:t>
      </w:r>
      <w:r>
        <w:t xml:space="preserve">, също са допустими като разходи за персонал, ако са свързани с лица, работещи по дейността, отговарят на общите условия за допустимост и: </w:t>
      </w:r>
    </w:p>
    <w:p w14:paraId="1E0AF18E" w14:textId="77777777" w:rsidR="008907F4" w:rsidRPr="008C0006" w:rsidRDefault="2FA6B974" w:rsidP="2FA6B974">
      <w:pPr>
        <w:keepLines/>
        <w:numPr>
          <w:ilvl w:val="0"/>
          <w:numId w:val="17"/>
        </w:numPr>
        <w:autoSpaceDE w:val="0"/>
        <w:autoSpaceDN w:val="0"/>
        <w:adjustRightInd w:val="0"/>
      </w:pPr>
      <w:r>
        <w:t>работата се извършва при условия, подобни на условията, при които работи служител (по-специално по отношение на начина, по който се организира работата, задачите, които се изпълняват, и помещенията, в които тези задачи се изпълняват) и</w:t>
      </w:r>
    </w:p>
    <w:p w14:paraId="24E197B9" w14:textId="77777777" w:rsidR="008907F4" w:rsidRDefault="2FA6B974" w:rsidP="2FA6B974">
      <w:pPr>
        <w:keepLines/>
        <w:numPr>
          <w:ilvl w:val="0"/>
          <w:numId w:val="17"/>
        </w:numPr>
        <w:autoSpaceDE w:val="0"/>
        <w:autoSpaceDN w:val="0"/>
        <w:adjustRightInd w:val="0"/>
      </w:pPr>
      <w:r>
        <w:t xml:space="preserve">резултатът от работата е собственост на бенефициера (освен когато е договорено друго). </w:t>
      </w:r>
    </w:p>
    <w:p w14:paraId="7D866474" w14:textId="77777777" w:rsidR="008907F4" w:rsidRDefault="2FA6B974" w:rsidP="008907F4">
      <w:pPr>
        <w:keepLines/>
        <w:autoSpaceDE w:val="0"/>
        <w:autoSpaceDN w:val="0"/>
        <w:adjustRightInd w:val="0"/>
        <w:rPr>
          <w:szCs w:val="24"/>
        </w:rPr>
      </w:pPr>
      <w:r>
        <w:lastRenderedPageBreak/>
        <w:t>Те трябва да се изчисляват на база ставка, която съответства на действително направените разходи за директно сключения договор или командироването и не трябва да се различават съществено от разходите за персонала, ангажиран с изпълнение на сходни задачи по трудов договор с бенефициера.</w:t>
      </w:r>
    </w:p>
    <w:p w14:paraId="27C8A496" w14:textId="77777777" w:rsidR="008907F4" w:rsidRPr="00B05F6D" w:rsidRDefault="008907F4" w:rsidP="2FA6B974">
      <w:pPr>
        <w:autoSpaceDE w:val="0"/>
        <w:autoSpaceDN w:val="0"/>
        <w:adjustRightInd w:val="0"/>
        <w:rPr>
          <w:rFonts w:cs="Times New Roman"/>
          <w:color w:val="000000" w:themeColor="text1"/>
        </w:rPr>
      </w:pPr>
      <w:r>
        <w:rPr>
          <w:b/>
          <w:bCs/>
          <w:color w:val="000000"/>
        </w:rPr>
        <w:t>A.4</w:t>
      </w:r>
      <w:r>
        <w:rPr>
          <w:color w:val="000000"/>
        </w:rPr>
        <w:t xml:space="preserve"> Работата по дейността на </w:t>
      </w:r>
      <w:r>
        <w:rPr>
          <w:b/>
          <w:bCs/>
          <w:color w:val="000000"/>
        </w:rPr>
        <w:t>собственици на МСП</w:t>
      </w:r>
      <w:r>
        <w:rPr>
          <w:color w:val="000000"/>
        </w:rPr>
        <w:t xml:space="preserve"> (т.е. собственици</w:t>
      </w:r>
      <w:r>
        <w:rPr>
          <w:b/>
          <w:bCs/>
          <w:color w:val="000000"/>
        </w:rPr>
        <w:t xml:space="preserve"> </w:t>
      </w:r>
      <w:r>
        <w:rPr>
          <w:color w:val="000000"/>
        </w:rPr>
        <w:t>на бенефициери, които са малки и средни предприятия</w:t>
      </w:r>
      <w:r>
        <w:rPr>
          <w:rFonts w:cs="Times New Roman"/>
          <w:color w:val="000000"/>
          <w:position w:val="4"/>
          <w:sz w:val="20"/>
          <w:szCs w:val="20"/>
          <w:vertAlign w:val="superscript"/>
        </w:rPr>
        <w:footnoteReference w:id="15"/>
      </w:r>
      <w:r>
        <w:rPr>
          <w:color w:val="000000"/>
        </w:rPr>
        <w:t xml:space="preserve"> и които не получават заплата) или на </w:t>
      </w:r>
      <w:r>
        <w:rPr>
          <w:b/>
          <w:bCs/>
          <w:color w:val="000000"/>
        </w:rPr>
        <w:t>бенефициери физически лица</w:t>
      </w:r>
      <w:r>
        <w:rPr>
          <w:color w:val="000000"/>
        </w:rPr>
        <w:t xml:space="preserve"> (т.е. бенефициери, които са физически лица и които не получават заплата), могат да бъдат декларирани като разходи за персонал</w:t>
      </w:r>
      <w:r>
        <w:t xml:space="preserve">, ако отговарят на общите условия за допустимост и са изчислени като единични разходи </w:t>
      </w:r>
      <w:r>
        <w:rPr>
          <w:color w:val="000000"/>
        </w:rPr>
        <w:t>по метода, посочен в приложение 2а</w:t>
      </w:r>
      <w:r>
        <w:t>.</w:t>
      </w:r>
    </w:p>
    <w:p w14:paraId="575EDE71" w14:textId="77777777" w:rsidR="008907F4" w:rsidRPr="00B05F6D" w:rsidRDefault="2FA6B974" w:rsidP="2FA6B974">
      <w:pPr>
        <w:autoSpaceDE w:val="0"/>
        <w:autoSpaceDN w:val="0"/>
        <w:adjustRightInd w:val="0"/>
        <w:rPr>
          <w:b/>
          <w:bCs/>
        </w:rPr>
      </w:pPr>
      <w:r>
        <w:rPr>
          <w:b/>
          <w:bCs/>
        </w:rPr>
        <w:t xml:space="preserve">Б. Разходи за подизпълнители </w:t>
      </w:r>
    </w:p>
    <w:p w14:paraId="6D88679F" w14:textId="77777777" w:rsidR="008907F4" w:rsidRPr="00B05F6D" w:rsidRDefault="2FA6B974" w:rsidP="008907F4">
      <w:pPr>
        <w:autoSpaceDE w:val="0"/>
        <w:autoSpaceDN w:val="0"/>
        <w:adjustRightInd w:val="0"/>
        <w:rPr>
          <w:szCs w:val="24"/>
        </w:rPr>
      </w:pPr>
      <w:r>
        <w:rPr>
          <w:b/>
          <w:bCs/>
        </w:rPr>
        <w:t>Разходите за подизпълнители</w:t>
      </w:r>
      <w:r>
        <w:t xml:space="preserve"> </w:t>
      </w:r>
      <w:r>
        <w:rPr>
          <w:color w:val="000000" w:themeColor="text1"/>
        </w:rPr>
        <w:t>по дейността</w:t>
      </w:r>
      <w:r>
        <w:t xml:space="preserve"> (включително свързаните разходи за мита, данъци и такси,</w:t>
      </w:r>
      <w:r>
        <w:rPr>
          <w:i/>
          <w:iCs/>
          <w:color w:val="FF0000"/>
        </w:rPr>
        <w:t xml:space="preserve"> </w:t>
      </w:r>
      <w:r>
        <w:t>като например неподлежащ на приспадане данък върху добавената стойност (ДДС) са допустими,</w:t>
      </w:r>
      <w:r>
        <w:rPr>
          <w:b/>
          <w:bCs/>
        </w:rPr>
        <w:t xml:space="preserve"> </w:t>
      </w:r>
      <w:r>
        <w:t xml:space="preserve">ако са изчислени въз основа на действително направените разходи и отговарят на общите условия за допустимост и ако договорите са възложени в съответствие с обичайните практики на закупуване на бенефициера — при условие че с тях се гарантират подизпълнители с най-доброто съотношение между качество и цена (или ако е целесъобразно, с най-ниската цена) и че няма конфликт на интереси (вж. член 12). </w:t>
      </w:r>
    </w:p>
    <w:p w14:paraId="24FC1F0C" w14:textId="77777777" w:rsidR="008907F4" w:rsidRPr="00B05F6D" w:rsidRDefault="2FA6B974" w:rsidP="008907F4">
      <w:pPr>
        <w:rPr>
          <w:szCs w:val="24"/>
        </w:rPr>
      </w:pPr>
      <w:r>
        <w:t>Бенефициерите, които са „възлагащи органи/възложители“ по смисъла на директивите на ЕС относно обществените поръчки, също трябва да съблюдават приложимото национално законодателство относно обществените поръчки.</w:t>
      </w:r>
    </w:p>
    <w:p w14:paraId="773FD291" w14:textId="77777777" w:rsidR="008907F4" w:rsidRPr="00667FF8" w:rsidRDefault="2FA6B974" w:rsidP="008907F4">
      <w:pPr>
        <w:rPr>
          <w:szCs w:val="24"/>
        </w:rPr>
      </w:pPr>
      <w:r>
        <w:t>Задачите за подизпълнение и прогнозните разходи за всеки договор за подизпълнение трябва да бъдат посочени в приложение 1, а общите прогнозни разходи за подизпълнение за всеки бенефициер трябва да бъдат посочени в приложение 2 (или могат да бъдат одобрени ex post в периодичния отчет, ако използването на подизпълнители не води до промени в споразумението, които биха поставили под въпрос решението за отпускане на безвъзмездните средства, или до нарушаване на принципа на равно третиране на кандидатите; „опростена процедура за одобрение“).</w:t>
      </w:r>
    </w:p>
    <w:p w14:paraId="667E0241" w14:textId="77777777" w:rsidR="008907F4" w:rsidRPr="00446CA6" w:rsidRDefault="2FA6B974" w:rsidP="2FA6B974">
      <w:pPr>
        <w:adjustRightInd w:val="0"/>
        <w:rPr>
          <w:b/>
          <w:bCs/>
        </w:rPr>
      </w:pPr>
      <w:r>
        <w:rPr>
          <w:b/>
          <w:bCs/>
        </w:rPr>
        <w:t xml:space="preserve">В. Разходи за закупуване </w:t>
      </w:r>
    </w:p>
    <w:p w14:paraId="0B2961F1" w14:textId="4239AF0A" w:rsidR="008907F4" w:rsidRPr="00446CA6" w:rsidRDefault="2FA6B974" w:rsidP="008907F4">
      <w:pPr>
        <w:adjustRightInd w:val="0"/>
        <w:rPr>
          <w:szCs w:val="24"/>
        </w:rPr>
      </w:pPr>
      <w:r>
        <w:rPr>
          <w:b/>
          <w:bCs/>
        </w:rPr>
        <w:t>Разходите за закупуване</w:t>
      </w:r>
      <w:r>
        <w:t xml:space="preserve"> </w:t>
      </w:r>
      <w:r>
        <w:rPr>
          <w:color w:val="000000" w:themeColor="text1"/>
        </w:rPr>
        <w:t>по дейността</w:t>
      </w:r>
      <w:r>
        <w:t xml:space="preserve"> (включително свързаните разходи за мита,</w:t>
      </w:r>
      <w:r>
        <w:rPr>
          <w:i/>
          <w:iCs/>
          <w:color w:val="FF0000"/>
        </w:rPr>
        <w:t xml:space="preserve"> </w:t>
      </w:r>
      <w:r>
        <w:t xml:space="preserve">данъци и такси, като например неподлежащ на приспадане данък върху добавената </w:t>
      </w:r>
      <w:r>
        <w:lastRenderedPageBreak/>
        <w:t>стойност (ДДС) са допустими, ако отговарят на общите условия за допустимост и ако закупуването е извършено в съответствие с обичайните практики на закупуване на бенефициера — при условие че с тях се гарантират покупки с най-доброто съотношение между качество и цена (или ако е целесъобразно, с най-ниската цена) и че няма конфликт на интереси (вж. член 12).</w:t>
      </w:r>
    </w:p>
    <w:p w14:paraId="4D9F045C" w14:textId="77777777" w:rsidR="008907F4" w:rsidRPr="00446CA6" w:rsidRDefault="2FA6B974" w:rsidP="008907F4">
      <w:pPr>
        <w:rPr>
          <w:szCs w:val="24"/>
        </w:rPr>
      </w:pPr>
      <w:r>
        <w:t>Бенефициерите, които са „възлагащи органи/възложители“ по смисъла на директивите на ЕС относно обществените поръчки, също трябва да съблюдават приложимото национално законодателство относно обществените поръчки.</w:t>
      </w:r>
    </w:p>
    <w:p w14:paraId="687724E5" w14:textId="77777777" w:rsidR="008907F4" w:rsidRPr="009473CB" w:rsidRDefault="2FA6B974" w:rsidP="2FA6B974">
      <w:pPr>
        <w:autoSpaceDE w:val="0"/>
        <w:autoSpaceDN w:val="0"/>
        <w:adjustRightInd w:val="0"/>
        <w:rPr>
          <w:b/>
          <w:bCs/>
        </w:rPr>
      </w:pPr>
      <w:r>
        <w:rPr>
          <w:b/>
          <w:bCs/>
        </w:rPr>
        <w:t>В.1 Пътни и дневни разходи</w:t>
      </w:r>
    </w:p>
    <w:p w14:paraId="3DCF5F7A" w14:textId="77777777" w:rsidR="008907F4" w:rsidRPr="00436FAD" w:rsidRDefault="2FA6B974" w:rsidP="008907F4">
      <w:pPr>
        <w:autoSpaceDE w:val="0"/>
        <w:autoSpaceDN w:val="0"/>
        <w:adjustRightInd w:val="0"/>
        <w:rPr>
          <w:szCs w:val="24"/>
        </w:rPr>
      </w:pPr>
      <w:r>
        <w:t xml:space="preserve">Покупките, свързани с </w:t>
      </w:r>
      <w:r>
        <w:rPr>
          <w:b/>
          <w:bCs/>
        </w:rPr>
        <w:t>пътуване, настаняване</w:t>
      </w:r>
      <w:r>
        <w:t xml:space="preserve"> и </w:t>
      </w:r>
      <w:r>
        <w:rPr>
          <w:b/>
          <w:bCs/>
        </w:rPr>
        <w:t>дневни разноски</w:t>
      </w:r>
      <w:r>
        <w:t>, се изчисляват, както следва:</w:t>
      </w:r>
    </w:p>
    <w:p w14:paraId="578E8F94" w14:textId="7BCCD851" w:rsidR="008907F4" w:rsidRPr="00436FAD" w:rsidRDefault="2FA6B974" w:rsidP="2FA6B974">
      <w:pPr>
        <w:numPr>
          <w:ilvl w:val="0"/>
          <w:numId w:val="84"/>
        </w:numPr>
        <w:autoSpaceDE w:val="0"/>
        <w:autoSpaceDN w:val="0"/>
        <w:adjustRightInd w:val="0"/>
        <w:rPr>
          <w:rFonts w:eastAsia="Times New Roman" w:cs="Times New Roman"/>
        </w:rPr>
      </w:pPr>
      <w:r>
        <w:t>пътуване:</w:t>
      </w:r>
      <w:r>
        <w:rPr>
          <w:i/>
          <w:iCs/>
          <w:color w:val="FF0000"/>
        </w:rPr>
        <w:t xml:space="preserve"> </w:t>
      </w:r>
      <w:r>
        <w:t>въз основа на действително направените разходи и в съответствие с обичайните практики на бенефициера по отношение на пътуванията;</w:t>
      </w:r>
    </w:p>
    <w:p w14:paraId="13270CD1" w14:textId="5D8B2423" w:rsidR="008907F4" w:rsidRPr="00436FAD" w:rsidRDefault="2FA6B974" w:rsidP="2FA6B974">
      <w:pPr>
        <w:numPr>
          <w:ilvl w:val="0"/>
          <w:numId w:val="84"/>
        </w:numPr>
        <w:autoSpaceDE w:val="0"/>
        <w:autoSpaceDN w:val="0"/>
        <w:adjustRightInd w:val="0"/>
        <w:rPr>
          <w:rFonts w:eastAsia="Times New Roman" w:cs="Times New Roman"/>
        </w:rPr>
      </w:pPr>
      <w:r>
        <w:t>настаняване: въз основа на действително направените разходи и в съответствие с обичайните практики на бенефициера по отношение на пътуванията;</w:t>
      </w:r>
    </w:p>
    <w:p w14:paraId="5C235E8E" w14:textId="77777777" w:rsidR="008907F4" w:rsidRPr="00436FAD" w:rsidRDefault="2FA6B974" w:rsidP="2FA6B974">
      <w:pPr>
        <w:numPr>
          <w:ilvl w:val="0"/>
          <w:numId w:val="84"/>
        </w:numPr>
        <w:autoSpaceDE w:val="0"/>
        <w:autoSpaceDN w:val="0"/>
        <w:adjustRightInd w:val="0"/>
        <w:rPr>
          <w:rFonts w:eastAsia="Times New Roman" w:cs="Times New Roman"/>
          <w:b/>
          <w:bCs/>
        </w:rPr>
      </w:pPr>
      <w:r>
        <w:t>дневни разноски:</w:t>
      </w:r>
      <w:r>
        <w:rPr>
          <w:i/>
          <w:iCs/>
          <w:color w:val="FF0000"/>
        </w:rPr>
        <w:t xml:space="preserve"> </w:t>
      </w:r>
      <w:r>
        <w:t>въз основа на действително направените разходи и в съответствие с обичайните практики на бенефициера по отношение на пътуванията.</w:t>
      </w:r>
    </w:p>
    <w:p w14:paraId="53EF4301" w14:textId="77777777" w:rsidR="008907F4" w:rsidRDefault="2FA6B974" w:rsidP="2FA6B974">
      <w:pPr>
        <w:autoSpaceDE w:val="0"/>
        <w:autoSpaceDN w:val="0"/>
        <w:adjustRightInd w:val="0"/>
        <w:rPr>
          <w:b/>
          <w:bCs/>
        </w:rPr>
      </w:pPr>
      <w:r>
        <w:rPr>
          <w:b/>
          <w:bCs/>
        </w:rPr>
        <w:t>В.2. Оборудване</w:t>
      </w:r>
    </w:p>
    <w:p w14:paraId="1CEA59E7" w14:textId="77777777" w:rsidR="008907F4" w:rsidRPr="00446CA6" w:rsidRDefault="2FA6B974" w:rsidP="008907F4">
      <w:pPr>
        <w:autoSpaceDE w:val="0"/>
        <w:autoSpaceDN w:val="0"/>
        <w:adjustRightInd w:val="0"/>
        <w:rPr>
          <w:szCs w:val="24"/>
        </w:rPr>
      </w:pPr>
      <w:r>
        <w:t xml:space="preserve">Покупките на </w:t>
      </w:r>
      <w:r>
        <w:rPr>
          <w:b/>
          <w:bCs/>
        </w:rPr>
        <w:t>оборудване, инфраструктура или други активи</w:t>
      </w:r>
      <w:r>
        <w:t>, използвани за дейността, трябва да бъдат декларирани като амортизационни разходи, изчислени въз основа на действително направените разходи и да бъдат отписани в съответствие с международните счетоводни стандарти и обичайните счетоводни практики на бенефициера.</w:t>
      </w:r>
    </w:p>
    <w:p w14:paraId="6587B2E8" w14:textId="77777777" w:rsidR="008907F4" w:rsidRPr="00446CA6" w:rsidRDefault="2FA6B974" w:rsidP="2FA6B974">
      <w:pPr>
        <w:autoSpaceDE w:val="0"/>
        <w:autoSpaceDN w:val="0"/>
        <w:adjustRightInd w:val="0"/>
        <w:rPr>
          <w:rFonts w:eastAsia="Calibri" w:cs="Times New Roman"/>
          <w:b/>
          <w:bCs/>
          <w:i/>
          <w:iCs/>
        </w:rPr>
      </w:pPr>
      <w:r>
        <w:t>Единствената част от разходите, която може да се вземе предвид, е частта, отговаряща на процента на действително използване за целите на дейността за срока на дейността.</w:t>
      </w:r>
    </w:p>
    <w:p w14:paraId="21E74CC5" w14:textId="77777777" w:rsidR="008907F4" w:rsidRPr="00446CA6" w:rsidRDefault="2FA6B974" w:rsidP="2FA6B974">
      <w:pPr>
        <w:autoSpaceDE w:val="0"/>
        <w:autoSpaceDN w:val="0"/>
        <w:adjustRightInd w:val="0"/>
        <w:rPr>
          <w:i/>
          <w:iCs/>
          <w:color w:val="FF0000"/>
        </w:rPr>
      </w:pPr>
      <w:r>
        <w:t xml:space="preserve">Разходите за </w:t>
      </w:r>
      <w:r>
        <w:rPr>
          <w:b/>
          <w:bCs/>
        </w:rPr>
        <w:t>наем или лизинг</w:t>
      </w:r>
      <w:r>
        <w:t xml:space="preserve"> на оборудване, инфраструктура или други активи също са допустими, ако не надвишават амортизационните разходи за подобно оборудване, инфраструктура или активи и не включват такси по финансирането. </w:t>
      </w:r>
    </w:p>
    <w:p w14:paraId="4178D6EA" w14:textId="77777777" w:rsidR="008907F4" w:rsidRPr="00E215D1" w:rsidRDefault="2FA6B974" w:rsidP="2FA6B974">
      <w:pPr>
        <w:autoSpaceDE w:val="0"/>
        <w:autoSpaceDN w:val="0"/>
        <w:adjustRightInd w:val="0"/>
        <w:rPr>
          <w:b/>
          <w:bCs/>
        </w:rPr>
      </w:pPr>
      <w:r>
        <w:rPr>
          <w:b/>
          <w:bCs/>
        </w:rPr>
        <w:t>В.3 Други стоки, строителство или услуги</w:t>
      </w:r>
    </w:p>
    <w:p w14:paraId="53D9B56F" w14:textId="77777777" w:rsidR="008907F4" w:rsidRDefault="2FA6B974" w:rsidP="008907F4">
      <w:pPr>
        <w:autoSpaceDE w:val="0"/>
        <w:autoSpaceDN w:val="0"/>
        <w:adjustRightInd w:val="0"/>
        <w:rPr>
          <w:szCs w:val="24"/>
        </w:rPr>
      </w:pPr>
      <w:r>
        <w:t xml:space="preserve">Покупките на </w:t>
      </w:r>
      <w:r>
        <w:rPr>
          <w:b/>
          <w:bCs/>
        </w:rPr>
        <w:t>други стоки, строителство и услуги</w:t>
      </w:r>
      <w:r>
        <w:t xml:space="preserve"> трябва да се изчисляват въз основа на действително направените разходи.</w:t>
      </w:r>
    </w:p>
    <w:p w14:paraId="621248C6" w14:textId="77777777" w:rsidR="008907F4" w:rsidRPr="00BA50D2" w:rsidRDefault="2FA6B974" w:rsidP="008907F4">
      <w:pPr>
        <w:autoSpaceDE w:val="0"/>
        <w:autoSpaceDN w:val="0"/>
        <w:adjustRightInd w:val="0"/>
        <w:rPr>
          <w:szCs w:val="24"/>
        </w:rPr>
      </w:pPr>
      <w:r>
        <w:t xml:space="preserve">Тези стоки, строителство и услуги включват, например, консумативи и материали, насърчаване, разпространение на резултатите, правна закрила на резултатите, преводи, публикации, сертификати и финансови гаранции, ако такива се изискват съгласно споразумението. </w:t>
      </w:r>
    </w:p>
    <w:p w14:paraId="727ED1E2" w14:textId="77777777" w:rsidR="008907F4" w:rsidRPr="000F4C9B" w:rsidRDefault="2FA6B974" w:rsidP="2FA6B974">
      <w:pPr>
        <w:autoSpaceDE w:val="0"/>
        <w:autoSpaceDN w:val="0"/>
        <w:adjustRightInd w:val="0"/>
        <w:rPr>
          <w:i/>
          <w:iCs/>
          <w:color w:val="FF0000"/>
        </w:rPr>
      </w:pPr>
      <w:r>
        <w:rPr>
          <w:b/>
          <w:bCs/>
          <w:color w:val="000000" w:themeColor="text1"/>
        </w:rPr>
        <w:t>Г</w:t>
      </w:r>
      <w:r>
        <w:rPr>
          <w:b/>
          <w:bCs/>
        </w:rPr>
        <w:t>.</w:t>
      </w:r>
      <w:r>
        <w:rPr>
          <w:b/>
          <w:bCs/>
          <w:i/>
          <w:iCs/>
        </w:rPr>
        <w:t> </w:t>
      </w:r>
      <w:r>
        <w:rPr>
          <w:b/>
          <w:bCs/>
        </w:rPr>
        <w:t xml:space="preserve">Други категории разходи </w:t>
      </w:r>
    </w:p>
    <w:p w14:paraId="0646B1E8" w14:textId="77777777" w:rsidR="008907F4" w:rsidRPr="000F4C9B" w:rsidRDefault="2FA6B974" w:rsidP="2FA6B974">
      <w:pPr>
        <w:keepLines/>
        <w:autoSpaceDE w:val="0"/>
        <w:autoSpaceDN w:val="0"/>
        <w:adjustRightInd w:val="0"/>
        <w:rPr>
          <w:b/>
          <w:bCs/>
        </w:rPr>
      </w:pPr>
      <w:r>
        <w:rPr>
          <w:b/>
          <w:bCs/>
        </w:rPr>
        <w:lastRenderedPageBreak/>
        <w:t xml:space="preserve">Г.1 Финансова подкрепа за трети страни </w:t>
      </w:r>
    </w:p>
    <w:p w14:paraId="6123CCD9" w14:textId="77777777" w:rsidR="008907F4" w:rsidRPr="00446CA6" w:rsidRDefault="2FA6B974" w:rsidP="2FA6B974">
      <w:pPr>
        <w:keepLines/>
        <w:widowControl w:val="0"/>
        <w:tabs>
          <w:tab w:val="left" w:pos="2268"/>
        </w:tabs>
        <w:autoSpaceDE w:val="0"/>
        <w:autoSpaceDN w:val="0"/>
        <w:adjustRightInd w:val="0"/>
        <w:rPr>
          <w:rFonts w:eastAsia="Times New Roman"/>
        </w:rPr>
      </w:pPr>
      <w:r>
        <w:rPr>
          <w:b/>
          <w:bCs/>
        </w:rPr>
        <w:t>Разходи за предоставяне на финансова подкрепа за трети страни</w:t>
      </w:r>
      <w:r>
        <w:t xml:space="preserve"> (под формата на </w:t>
      </w:r>
      <w:r>
        <w:rPr>
          <w:b/>
          <w:bCs/>
        </w:rPr>
        <w:t>безвъзмездни средства,</w:t>
      </w:r>
      <w:r>
        <w:t xml:space="preserve"> </w:t>
      </w:r>
      <w:r>
        <w:rPr>
          <w:b/>
          <w:bCs/>
        </w:rPr>
        <w:t>награди</w:t>
      </w:r>
      <w:r>
        <w:t xml:space="preserve"> или подобни форми на подкрепа; ако има такива) са допустими, ако и както са обявени като такива в условията на поканата, при условие че отговарят на общите условия за допустимост и се изчисляват въз основа на действително направените разходи</w:t>
      </w:r>
      <w:r>
        <w:rPr>
          <w:i/>
          <w:iCs/>
          <w:color w:val="4AA55B"/>
        </w:rPr>
        <w:t xml:space="preserve"> </w:t>
      </w:r>
      <w:r>
        <w:t>и че подкрепата се осъществява в съответствие с условията, посочени в приложение 1.</w:t>
      </w:r>
    </w:p>
    <w:p w14:paraId="35768A2F" w14:textId="77777777" w:rsidR="008907F4" w:rsidRPr="00446CA6" w:rsidRDefault="2FA6B974" w:rsidP="008907F4">
      <w:pPr>
        <w:adjustRightInd w:val="0"/>
        <w:rPr>
          <w:szCs w:val="24"/>
        </w:rPr>
      </w:pPr>
      <w:r>
        <w:t>Тези условия трябва да гарантират обективни и прозрачни процедури за подбор и да включват най-малко следното:</w:t>
      </w:r>
    </w:p>
    <w:p w14:paraId="1F9FEF63" w14:textId="77777777" w:rsidR="008907F4" w:rsidRPr="00446CA6" w:rsidRDefault="2FA6B974" w:rsidP="2FA6B974">
      <w:pPr>
        <w:numPr>
          <w:ilvl w:val="0"/>
          <w:numId w:val="61"/>
        </w:numPr>
        <w:rPr>
          <w:rFonts w:eastAsia="Times New Roman" w:cs="Times New Roman"/>
        </w:rPr>
      </w:pPr>
      <w:r>
        <w:t>за безвъзмездни средства (или подобни):</w:t>
      </w:r>
    </w:p>
    <w:p w14:paraId="55AF7949" w14:textId="063CE489" w:rsidR="008907F4" w:rsidRPr="00395E8B" w:rsidRDefault="008907F4" w:rsidP="2FA6B974">
      <w:pPr>
        <w:numPr>
          <w:ilvl w:val="0"/>
          <w:numId w:val="51"/>
        </w:numPr>
        <w:adjustRightInd w:val="0"/>
        <w:ind w:left="1560"/>
      </w:pPr>
      <w:r>
        <w:t>максималния размер на финансовата подкрепа за всяка трета страна („получател“); тази сума не може да надвишава сумата, посочена в Техническите спецификации (вж. точка 3)</w:t>
      </w:r>
      <w:r>
        <w:rPr>
          <w:vertAlign w:val="superscript"/>
        </w:rPr>
        <w:footnoteReference w:id="16"/>
      </w:r>
      <w:r>
        <w:t xml:space="preserve"> или договорена по друг начин с предоставящия орган, </w:t>
      </w:r>
    </w:p>
    <w:p w14:paraId="47CCDAEF" w14:textId="223CC1E0" w:rsidR="008907F4" w:rsidRPr="00446CA6" w:rsidRDefault="2FA6B974" w:rsidP="2FA6B974">
      <w:pPr>
        <w:numPr>
          <w:ilvl w:val="0"/>
          <w:numId w:val="51"/>
        </w:numPr>
        <w:adjustRightInd w:val="0"/>
        <w:ind w:left="1560"/>
      </w:pPr>
      <w:r>
        <w:t>критериите за изчисляване на точния размер на финансовата подкрепа,</w:t>
      </w:r>
    </w:p>
    <w:p w14:paraId="18F7CE81" w14:textId="409F4B76" w:rsidR="008907F4" w:rsidRPr="00446CA6" w:rsidRDefault="2FA6B974" w:rsidP="2FA6B974">
      <w:pPr>
        <w:numPr>
          <w:ilvl w:val="0"/>
          <w:numId w:val="51"/>
        </w:numPr>
        <w:adjustRightInd w:val="0"/>
        <w:ind w:left="1560"/>
      </w:pPr>
      <w:r>
        <w:t xml:space="preserve">различните видове дейности, които отговарят на условията за финансова подкрепа въз основа на фиксиран списък, </w:t>
      </w:r>
    </w:p>
    <w:p w14:paraId="75B9EFDF" w14:textId="77777777" w:rsidR="008907F4" w:rsidRPr="00465AB7" w:rsidRDefault="2FA6B974" w:rsidP="2FA6B974">
      <w:pPr>
        <w:numPr>
          <w:ilvl w:val="0"/>
          <w:numId w:val="51"/>
        </w:numPr>
        <w:adjustRightInd w:val="0"/>
        <w:ind w:left="1560"/>
      </w:pPr>
      <w:r>
        <w:t>лицата или категориите лица, които ще бъдат подкрепени и</w:t>
      </w:r>
    </w:p>
    <w:p w14:paraId="79342303" w14:textId="262A9E07" w:rsidR="008907F4" w:rsidRPr="00446CA6" w:rsidRDefault="2FA6B974" w:rsidP="2FA6B974">
      <w:pPr>
        <w:numPr>
          <w:ilvl w:val="0"/>
          <w:numId w:val="51"/>
        </w:numPr>
        <w:adjustRightInd w:val="0"/>
        <w:ind w:left="1560"/>
      </w:pPr>
      <w:r>
        <w:t>критериите и процедурите за предоставяне на финансовата подкрепа;</w:t>
      </w:r>
    </w:p>
    <w:p w14:paraId="60302499" w14:textId="77777777" w:rsidR="008907F4" w:rsidRPr="00446CA6" w:rsidRDefault="2FA6B974" w:rsidP="2FA6B974">
      <w:pPr>
        <w:numPr>
          <w:ilvl w:val="0"/>
          <w:numId w:val="61"/>
        </w:numPr>
        <w:rPr>
          <w:rFonts w:eastAsia="Times New Roman" w:cs="Times New Roman"/>
        </w:rPr>
      </w:pPr>
      <w:r>
        <w:t>за награди (или подобни):</w:t>
      </w:r>
    </w:p>
    <w:p w14:paraId="31F8DAD3" w14:textId="0091EA05" w:rsidR="008907F4" w:rsidRPr="00446CA6" w:rsidRDefault="2FA6B974" w:rsidP="2FA6B974">
      <w:pPr>
        <w:numPr>
          <w:ilvl w:val="0"/>
          <w:numId w:val="66"/>
        </w:numPr>
        <w:adjustRightInd w:val="0"/>
        <w:ind w:left="1560"/>
      </w:pPr>
      <w:r>
        <w:t xml:space="preserve">критериите за допустимост и за присъждане, </w:t>
      </w:r>
    </w:p>
    <w:p w14:paraId="32EF90F1" w14:textId="77777777" w:rsidR="008907F4" w:rsidRPr="00446CA6" w:rsidRDefault="2FA6B974" w:rsidP="2FA6B974">
      <w:pPr>
        <w:numPr>
          <w:ilvl w:val="0"/>
          <w:numId w:val="66"/>
        </w:numPr>
        <w:adjustRightInd w:val="0"/>
        <w:ind w:left="1560"/>
      </w:pPr>
      <w:r>
        <w:t xml:space="preserve">размера на наградата и </w:t>
      </w:r>
    </w:p>
    <w:p w14:paraId="0B176317" w14:textId="0E4FD88D" w:rsidR="008907F4" w:rsidRPr="00B217B2" w:rsidRDefault="2FA6B974" w:rsidP="2FA6B974">
      <w:pPr>
        <w:numPr>
          <w:ilvl w:val="0"/>
          <w:numId w:val="66"/>
        </w:numPr>
        <w:adjustRightInd w:val="0"/>
        <w:ind w:left="1560"/>
      </w:pPr>
      <w:r>
        <w:t xml:space="preserve">условията за плащане. </w:t>
      </w:r>
    </w:p>
    <w:p w14:paraId="1B412AEC" w14:textId="77777777" w:rsidR="008907F4" w:rsidRPr="004E710E" w:rsidRDefault="2FA6B974" w:rsidP="2FA6B974">
      <w:pPr>
        <w:rPr>
          <w:b/>
          <w:bCs/>
          <w:u w:val="single"/>
        </w:rPr>
      </w:pPr>
      <w:r>
        <w:rPr>
          <w:b/>
          <w:bCs/>
          <w:u w:val="single"/>
        </w:rPr>
        <w:t>Непреки разходи</w:t>
      </w:r>
      <w:r>
        <w:t xml:space="preserve"> </w:t>
      </w:r>
    </w:p>
    <w:p w14:paraId="2E1850BD" w14:textId="77777777" w:rsidR="008907F4" w:rsidRPr="005105BA" w:rsidRDefault="2FA6B974" w:rsidP="008907F4">
      <w:pPr>
        <w:rPr>
          <w:szCs w:val="24"/>
        </w:rPr>
      </w:pPr>
      <w:r>
        <w:rPr>
          <w:b/>
          <w:bCs/>
        </w:rPr>
        <w:t xml:space="preserve">Д. Непреки разходи </w:t>
      </w:r>
    </w:p>
    <w:p w14:paraId="75DE348E" w14:textId="77777777" w:rsidR="008907F4" w:rsidRDefault="2FA6B974" w:rsidP="2FA6B974">
      <w:pPr>
        <w:autoSpaceDE w:val="0"/>
        <w:autoSpaceDN w:val="0"/>
        <w:adjustRightInd w:val="0"/>
        <w:rPr>
          <w:i/>
          <w:iCs/>
        </w:rPr>
      </w:pPr>
      <w:r>
        <w:rPr>
          <w:b/>
          <w:bCs/>
        </w:rPr>
        <w:t>Непреките разходи</w:t>
      </w:r>
      <w:r>
        <w:t xml:space="preserve"> ще бъдат възстановени при единна ставка от 4 %</w:t>
      </w:r>
      <w:r>
        <w:rPr>
          <w:i/>
          <w:iCs/>
          <w:color w:val="FF0000"/>
        </w:rPr>
        <w:t xml:space="preserve"> </w:t>
      </w:r>
      <w:r>
        <w:t>от</w:t>
      </w:r>
      <w:r>
        <w:rPr>
          <w:i/>
          <w:iCs/>
          <w:color w:val="FF0000"/>
        </w:rPr>
        <w:t xml:space="preserve"> </w:t>
      </w:r>
      <w:r>
        <w:t>допустимите разходи за персонал (категория А, с изключение на разходите за доброволци, ако има такива)</w:t>
      </w:r>
      <w:r>
        <w:rPr>
          <w:i/>
          <w:iCs/>
        </w:rPr>
        <w:t>.</w:t>
      </w:r>
    </w:p>
    <w:p w14:paraId="689319E1" w14:textId="77777777" w:rsidR="008907F4" w:rsidRPr="00E404E3" w:rsidRDefault="2FA6B974" w:rsidP="2FA6B974">
      <w:pPr>
        <w:autoSpaceDE w:val="0"/>
        <w:autoSpaceDN w:val="0"/>
        <w:adjustRightInd w:val="0"/>
        <w:rPr>
          <w:b/>
          <w:bCs/>
          <w:color w:val="7F7F7F" w:themeColor="background1" w:themeShade="7F"/>
          <w:u w:val="single"/>
        </w:rPr>
      </w:pPr>
      <w:r>
        <w:rPr>
          <w:b/>
          <w:bCs/>
          <w:color w:val="7F7F7F" w:themeColor="background1" w:themeShade="7F"/>
          <w:u w:val="single"/>
        </w:rPr>
        <w:t>Вноски</w:t>
      </w:r>
    </w:p>
    <w:p w14:paraId="6E54B4F6" w14:textId="7676FC2B" w:rsidR="008907F4" w:rsidRPr="00E404E3" w:rsidRDefault="2FA6B974" w:rsidP="2FA6B974">
      <w:pPr>
        <w:rPr>
          <w:strike/>
          <w:color w:val="7F7F7F" w:themeColor="background1" w:themeShade="7F"/>
        </w:rPr>
      </w:pPr>
      <w:r>
        <w:rPr>
          <w:color w:val="7F7F7F" w:themeColor="background1" w:themeShade="7F"/>
        </w:rPr>
        <w:t xml:space="preserve">Не е приложимо </w:t>
      </w:r>
    </w:p>
    <w:p w14:paraId="42AF349B" w14:textId="77777777" w:rsidR="008907F4" w:rsidRPr="005105BA" w:rsidRDefault="008907F4" w:rsidP="008907F4">
      <w:pPr>
        <w:pStyle w:val="Heading5"/>
      </w:pPr>
      <w:bookmarkStart w:id="109" w:name="_Toc529197657"/>
      <w:bookmarkStart w:id="110" w:name="_Toc24116062"/>
      <w:bookmarkStart w:id="111" w:name="_Toc24126540"/>
      <w:bookmarkStart w:id="112" w:name="_Toc95924931"/>
      <w:r>
        <w:lastRenderedPageBreak/>
        <w:t>6.3</w:t>
      </w:r>
      <w:r>
        <w:tab/>
      </w:r>
      <w:bookmarkStart w:id="113" w:name="_Toc435108967"/>
      <w:r>
        <w:t>Недопустими</w:t>
      </w:r>
      <w:bookmarkEnd w:id="113"/>
      <w:bookmarkEnd w:id="109"/>
      <w:r>
        <w:t xml:space="preserve"> разходи и вноски</w:t>
      </w:r>
      <w:bookmarkEnd w:id="110"/>
      <w:bookmarkEnd w:id="111"/>
      <w:bookmarkEnd w:id="112"/>
      <w:r>
        <w:t xml:space="preserve"> </w:t>
      </w:r>
    </w:p>
    <w:p w14:paraId="5682063C" w14:textId="77777777" w:rsidR="008907F4" w:rsidRPr="005105BA" w:rsidRDefault="2FA6B974" w:rsidP="008907F4">
      <w:pPr>
        <w:autoSpaceDE w:val="0"/>
        <w:autoSpaceDN w:val="0"/>
        <w:adjustRightInd w:val="0"/>
        <w:rPr>
          <w:szCs w:val="24"/>
        </w:rPr>
      </w:pPr>
      <w:r>
        <w:rPr>
          <w:b/>
          <w:bCs/>
        </w:rPr>
        <w:t>Не са допустими</w:t>
      </w:r>
      <w:r>
        <w:t xml:space="preserve"> следните разходи и вноски:</w:t>
      </w:r>
    </w:p>
    <w:p w14:paraId="5536032A" w14:textId="77777777" w:rsidR="008907F4" w:rsidRPr="002D77DC" w:rsidRDefault="2FA6B974" w:rsidP="2FA6B974">
      <w:pPr>
        <w:numPr>
          <w:ilvl w:val="0"/>
          <w:numId w:val="67"/>
        </w:numPr>
      </w:pPr>
      <w:r>
        <w:t>разходи или вноски, които не отговарят на условията, посочени по-горе (вж. членове 6.1 и 6.2), по-специално:</w:t>
      </w:r>
    </w:p>
    <w:p w14:paraId="14243428" w14:textId="10EAE995" w:rsidR="008907F4" w:rsidRPr="00DB136F" w:rsidRDefault="2FA6B974" w:rsidP="2FA6B974">
      <w:pPr>
        <w:numPr>
          <w:ilvl w:val="0"/>
          <w:numId w:val="68"/>
        </w:numPr>
        <w:ind w:left="1560"/>
      </w:pPr>
      <w:r>
        <w:t>разходи, свързани с приходи от инвестиции и дивиденти, изплатени от даден бенефициер,</w:t>
      </w:r>
    </w:p>
    <w:p w14:paraId="4BF1AA76" w14:textId="176DC0A7" w:rsidR="008907F4" w:rsidRPr="005105BA" w:rsidRDefault="2FA6B974" w:rsidP="2FA6B974">
      <w:pPr>
        <w:numPr>
          <w:ilvl w:val="0"/>
          <w:numId w:val="68"/>
        </w:numPr>
        <w:ind w:left="1560"/>
      </w:pPr>
      <w:r>
        <w:t>задължение и такси за обслужване на задължение,</w:t>
      </w:r>
    </w:p>
    <w:p w14:paraId="11255918" w14:textId="64B88305" w:rsidR="008907F4" w:rsidRPr="005105BA" w:rsidRDefault="2FA6B974" w:rsidP="2FA6B974">
      <w:pPr>
        <w:numPr>
          <w:ilvl w:val="0"/>
          <w:numId w:val="68"/>
        </w:numPr>
        <w:ind w:left="1560"/>
      </w:pPr>
      <w:r>
        <w:t>провизии за бъдещи загуби или задължения,</w:t>
      </w:r>
    </w:p>
    <w:p w14:paraId="60D7BA98" w14:textId="24E64526" w:rsidR="008907F4" w:rsidRPr="005105BA" w:rsidRDefault="2FA6B974" w:rsidP="2FA6B974">
      <w:pPr>
        <w:numPr>
          <w:ilvl w:val="0"/>
          <w:numId w:val="68"/>
        </w:numPr>
        <w:ind w:left="1560"/>
      </w:pPr>
      <w:r>
        <w:t xml:space="preserve">дължими лихви, </w:t>
      </w:r>
    </w:p>
    <w:p w14:paraId="4F1E40FE" w14:textId="56522714" w:rsidR="008907F4" w:rsidRPr="00C26E6C" w:rsidRDefault="2FA6B974" w:rsidP="2FA6B974">
      <w:pPr>
        <w:numPr>
          <w:ilvl w:val="0"/>
          <w:numId w:val="68"/>
        </w:numPr>
        <w:ind w:left="1560"/>
      </w:pPr>
      <w:r>
        <w:t>загуби при обмяна на валута,</w:t>
      </w:r>
    </w:p>
    <w:p w14:paraId="56B04011" w14:textId="27A062E7" w:rsidR="008907F4" w:rsidRPr="00EC6C3A" w:rsidRDefault="2FA6B974" w:rsidP="2FA6B974">
      <w:pPr>
        <w:numPr>
          <w:ilvl w:val="0"/>
          <w:numId w:val="68"/>
        </w:numPr>
        <w:ind w:left="1560"/>
      </w:pPr>
      <w:r>
        <w:t xml:space="preserve">банкови такси, начислени от банката на бенефициера върху трансфери от предоставящия орган, </w:t>
      </w:r>
    </w:p>
    <w:p w14:paraId="4296A651" w14:textId="7175A71B" w:rsidR="008907F4" w:rsidRPr="005105BA" w:rsidRDefault="2FA6B974" w:rsidP="2FA6B974">
      <w:pPr>
        <w:numPr>
          <w:ilvl w:val="0"/>
          <w:numId w:val="68"/>
        </w:numPr>
        <w:ind w:left="1560"/>
      </w:pPr>
      <w:r>
        <w:t>прекомерни или неоправдани разходи,</w:t>
      </w:r>
    </w:p>
    <w:p w14:paraId="2877389C" w14:textId="4EBC3A3C" w:rsidR="008907F4" w:rsidRPr="00372C98" w:rsidRDefault="2FA6B974" w:rsidP="2FA6B974">
      <w:pPr>
        <w:numPr>
          <w:ilvl w:val="0"/>
          <w:numId w:val="68"/>
        </w:numPr>
        <w:ind w:left="1560"/>
      </w:pPr>
      <w:r>
        <w:t>подлежащ на приспадане ДДС,</w:t>
      </w:r>
    </w:p>
    <w:p w14:paraId="00C38195" w14:textId="369C6228" w:rsidR="008907F4" w:rsidRPr="00804349" w:rsidRDefault="2FA6B974" w:rsidP="2FA6B974">
      <w:pPr>
        <w:numPr>
          <w:ilvl w:val="0"/>
          <w:numId w:val="68"/>
        </w:numPr>
        <w:ind w:left="1560"/>
      </w:pPr>
      <w:r>
        <w:t>направени разходи или вноски за дейности, извършени по време на временно спиране на споразумението за отпускане на безвъзмездната помощ (вж. член 31),</w:t>
      </w:r>
    </w:p>
    <w:p w14:paraId="674EDA7D" w14:textId="77777777" w:rsidR="008907F4" w:rsidRPr="00C42E55" w:rsidRDefault="2FA6B974" w:rsidP="2FA6B974">
      <w:pPr>
        <w:numPr>
          <w:ilvl w:val="0"/>
          <w:numId w:val="68"/>
        </w:numPr>
        <w:ind w:left="1560"/>
      </w:pPr>
      <w:r>
        <w:t>вноски в натура от трети страни;</w:t>
      </w:r>
    </w:p>
    <w:p w14:paraId="5A93324F" w14:textId="79F0CCFA" w:rsidR="00260A0A" w:rsidRDefault="00260A0A" w:rsidP="00260A0A">
      <w:pPr>
        <w:numPr>
          <w:ilvl w:val="0"/>
          <w:numId w:val="67"/>
        </w:numPr>
      </w:pPr>
      <w:r>
        <w:t xml:space="preserve">разходи или вноски, декларирани по други безвъзмездни средства от ЕС (или безвъзмездни средства, предоставени от </w:t>
      </w:r>
      <w:r>
        <w:rPr>
          <w:shd w:val="clear" w:color="auto" w:fill="CCFFFF"/>
        </w:rPr>
        <w:t>друга</w:t>
      </w:r>
      <w:r>
        <w:t xml:space="preserve"> държава — членка на ЕС, държава извън ЕС или друг орган за изпълнение на бюджета на ЕС), с изключение на следните случаи: </w:t>
      </w:r>
    </w:p>
    <w:p w14:paraId="7E981DDE" w14:textId="062ADCEB" w:rsidR="00260A0A" w:rsidRPr="00252668" w:rsidRDefault="2FA6B974" w:rsidP="2FA6B974">
      <w:pPr>
        <w:numPr>
          <w:ilvl w:val="1"/>
          <w:numId w:val="67"/>
        </w:numPr>
        <w:rPr>
          <w:rFonts w:eastAsia="Times New Roman"/>
          <w:color w:val="7F7F7F" w:themeColor="background1" w:themeShade="7F"/>
        </w:rPr>
      </w:pPr>
      <w:r>
        <w:rPr>
          <w:color w:val="7F7F7F" w:themeColor="background1" w:themeShade="7F"/>
        </w:rPr>
        <w:t>Синергични</w:t>
      </w:r>
      <w:r>
        <w:rPr>
          <w:b/>
          <w:bCs/>
          <w:color w:val="7F7F7F" w:themeColor="background1" w:themeShade="7F"/>
        </w:rPr>
        <w:t xml:space="preserve"> </w:t>
      </w:r>
      <w:r>
        <w:rPr>
          <w:color w:val="7F7F7F" w:themeColor="background1" w:themeShade="7F"/>
        </w:rPr>
        <w:t>дейности:</w:t>
      </w:r>
      <w:r>
        <w:rPr>
          <w:b/>
          <w:bCs/>
          <w:color w:val="7F7F7F" w:themeColor="background1" w:themeShade="7F"/>
        </w:rPr>
        <w:t xml:space="preserve"> </w:t>
      </w:r>
      <w:r>
        <w:rPr>
          <w:color w:val="7F7F7F" w:themeColor="background1" w:themeShade="7F"/>
        </w:rPr>
        <w:t>не е приложимо</w:t>
      </w:r>
    </w:p>
    <w:p w14:paraId="2CBECC34" w14:textId="1F81B5DB" w:rsidR="00260A0A" w:rsidRPr="00260A0A" w:rsidRDefault="00260A0A" w:rsidP="2FA6B974">
      <w:pPr>
        <w:numPr>
          <w:ilvl w:val="1"/>
          <w:numId w:val="67"/>
        </w:numPr>
        <w:rPr>
          <w:rFonts w:eastAsia="Times New Roman"/>
        </w:rPr>
      </w:pPr>
      <w:r>
        <w:t>ако безвъзмездните средства за дейност са комбинирани с безвъзмездни средства за оперативни разходи</w:t>
      </w:r>
      <w:r>
        <w:rPr>
          <w:rFonts w:cs="Times New Roman"/>
          <w:position w:val="4"/>
          <w:sz w:val="20"/>
          <w:szCs w:val="20"/>
          <w:vertAlign w:val="superscript"/>
        </w:rPr>
        <w:footnoteReference w:id="17"/>
      </w:r>
      <w:r>
        <w:t>, отпуснати за същия период, и бенефициерът може да докаже, че безвъзмездните средства за оперативни разходи не покриват никакви (преки или непреки) разходи, свързани с безвъзмездните средства за дейност;</w:t>
      </w:r>
    </w:p>
    <w:p w14:paraId="5720D171" w14:textId="5458453C" w:rsidR="008907F4" w:rsidRPr="00260A0A" w:rsidRDefault="00260A0A" w:rsidP="2FA6B974">
      <w:pPr>
        <w:numPr>
          <w:ilvl w:val="0"/>
          <w:numId w:val="67"/>
        </w:numPr>
        <w:rPr>
          <w:color w:val="7F7F7F" w:themeColor="background1" w:themeShade="7F"/>
        </w:rPr>
      </w:pPr>
      <w:r>
        <w:rPr>
          <w:color w:val="7F7F7F" w:themeColor="text1" w:themeTint="80"/>
          <w:shd w:val="clear" w:color="auto" w:fill="CCFFFF"/>
        </w:rPr>
        <w:t>разходи или вноски за служители</w:t>
      </w:r>
      <w:r>
        <w:rPr>
          <w:b/>
          <w:bCs/>
          <w:color w:val="7F7F7F" w:themeColor="text1" w:themeTint="80"/>
          <w:shd w:val="clear" w:color="auto" w:fill="CCFFFF"/>
        </w:rPr>
        <w:t xml:space="preserve"> </w:t>
      </w:r>
      <w:r>
        <w:rPr>
          <w:color w:val="7F7F7F" w:themeColor="text1" w:themeTint="80"/>
          <w:shd w:val="clear" w:color="auto" w:fill="CCFFFF"/>
        </w:rPr>
        <w:t>на национална (или регионална/местна) администрация: не е приложимо</w:t>
      </w:r>
    </w:p>
    <w:p w14:paraId="718B4B77" w14:textId="3ECDECD8" w:rsidR="008907F4" w:rsidRPr="00260A0A" w:rsidRDefault="00260A0A" w:rsidP="2FA6B974">
      <w:pPr>
        <w:numPr>
          <w:ilvl w:val="0"/>
          <w:numId w:val="67"/>
        </w:numPr>
        <w:rPr>
          <w:color w:val="7F7F7F" w:themeColor="background1" w:themeShade="7F"/>
        </w:rPr>
      </w:pPr>
      <w:r>
        <w:rPr>
          <w:color w:val="7F7F7F" w:themeColor="text1" w:themeTint="80"/>
          <w:shd w:val="clear" w:color="auto" w:fill="CCFFFF"/>
        </w:rPr>
        <w:lastRenderedPageBreak/>
        <w:t>разходи или вноски (особено за пътуване и престой) за служители или представители на институции, органи или агенции на ЕС: не е приложимо</w:t>
      </w:r>
    </w:p>
    <w:p w14:paraId="07DB04B4" w14:textId="77777777" w:rsidR="008907F4" w:rsidRPr="001B744A" w:rsidRDefault="2FA6B974" w:rsidP="2FA6B974">
      <w:pPr>
        <w:numPr>
          <w:ilvl w:val="0"/>
          <w:numId w:val="67"/>
        </w:numPr>
      </w:pPr>
      <w:r>
        <w:t>други:</w:t>
      </w:r>
    </w:p>
    <w:p w14:paraId="7850133A" w14:textId="15536B5D" w:rsidR="008907F4" w:rsidRPr="00260A0A" w:rsidRDefault="2FA6B974" w:rsidP="2FA6B974">
      <w:pPr>
        <w:numPr>
          <w:ilvl w:val="0"/>
          <w:numId w:val="71"/>
        </w:numPr>
        <w:ind w:left="1560"/>
        <w:rPr>
          <w:color w:val="7F7F7F" w:themeColor="background1" w:themeShade="7F"/>
        </w:rPr>
      </w:pPr>
      <w:r>
        <w:rPr>
          <w:color w:val="7F7F7F" w:themeColor="background1" w:themeShade="7F"/>
        </w:rPr>
        <w:t>държавни ограничения за допустими разходи:</w:t>
      </w:r>
      <w:r>
        <w:rPr>
          <w:i/>
          <w:iCs/>
          <w:color w:val="7F7F7F" w:themeColor="background1" w:themeShade="7F"/>
        </w:rPr>
        <w:t xml:space="preserve"> </w:t>
      </w:r>
      <w:r>
        <w:rPr>
          <w:color w:val="7F7F7F" w:themeColor="background1" w:themeShade="7F"/>
        </w:rPr>
        <w:t>не е приложимо</w:t>
      </w:r>
    </w:p>
    <w:p w14:paraId="32FE8DDC" w14:textId="77777777" w:rsidR="008907F4" w:rsidRPr="00465AB7" w:rsidRDefault="2FA6B974" w:rsidP="2FA6B974">
      <w:pPr>
        <w:numPr>
          <w:ilvl w:val="0"/>
          <w:numId w:val="71"/>
        </w:numPr>
        <w:ind w:left="1560"/>
        <w:rPr>
          <w:rFonts w:eastAsia="Times New Roman"/>
        </w:rPr>
      </w:pPr>
      <w:r>
        <w:t>разходи или вноски, специално обявени за недопустими в условията на поканата.</w:t>
      </w:r>
    </w:p>
    <w:p w14:paraId="6A94F913" w14:textId="77777777" w:rsidR="008907F4" w:rsidRPr="008C0006" w:rsidRDefault="008907F4" w:rsidP="008907F4">
      <w:pPr>
        <w:pStyle w:val="Heading5"/>
      </w:pPr>
      <w:bookmarkStart w:id="114" w:name="_Toc529197658"/>
      <w:bookmarkStart w:id="115" w:name="_Toc24116063"/>
      <w:bookmarkStart w:id="116" w:name="_Toc24126541"/>
      <w:bookmarkStart w:id="117" w:name="_Toc95924932"/>
      <w:r>
        <w:t>6.4</w:t>
      </w:r>
      <w:r>
        <w:tab/>
      </w:r>
      <w:bookmarkStart w:id="118" w:name="_Toc435108968"/>
      <w:r>
        <w:t>Последствия</w:t>
      </w:r>
      <w:bookmarkEnd w:id="118"/>
      <w:r>
        <w:t xml:space="preserve"> при неизпълнение</w:t>
      </w:r>
      <w:bookmarkEnd w:id="114"/>
      <w:bookmarkEnd w:id="115"/>
      <w:bookmarkEnd w:id="116"/>
      <w:bookmarkEnd w:id="117"/>
    </w:p>
    <w:p w14:paraId="70244B08" w14:textId="77777777" w:rsidR="008907F4" w:rsidRPr="005105BA" w:rsidRDefault="2FA6B974" w:rsidP="008907F4">
      <w:pPr>
        <w:tabs>
          <w:tab w:val="left" w:pos="720"/>
        </w:tabs>
        <w:rPr>
          <w:bCs/>
          <w:szCs w:val="24"/>
        </w:rPr>
      </w:pPr>
      <w:r>
        <w:t xml:space="preserve">Ако бенефициер декларира разходи или вноски, които са недопустими, те няма да бъдат признати (вж. член 27). </w:t>
      </w:r>
    </w:p>
    <w:p w14:paraId="3B5F58C9" w14:textId="77777777" w:rsidR="008907F4" w:rsidRDefault="2FA6B974" w:rsidP="008907F4">
      <w:pPr>
        <w:rPr>
          <w:szCs w:val="24"/>
        </w:rPr>
      </w:pPr>
      <w:r>
        <w:t xml:space="preserve">Това може да доведе също така до прилагане на други мерки, описани в глава 5. </w:t>
      </w:r>
    </w:p>
    <w:p w14:paraId="53DDD9A1" w14:textId="77777777" w:rsidR="008907F4" w:rsidRPr="00CC402E" w:rsidRDefault="008907F4" w:rsidP="008907F4">
      <w:pPr>
        <w:pStyle w:val="Heading1"/>
      </w:pPr>
      <w:bookmarkStart w:id="119" w:name="_Toc435108969"/>
      <w:bookmarkStart w:id="120" w:name="_Toc524697201"/>
      <w:bookmarkStart w:id="121" w:name="_Toc529197659"/>
      <w:bookmarkStart w:id="122" w:name="_Toc530035881"/>
      <w:bookmarkStart w:id="123" w:name="_Toc24116064"/>
      <w:bookmarkStart w:id="124" w:name="_Toc24126542"/>
      <w:bookmarkStart w:id="125" w:name="_Toc95924933"/>
      <w:r>
        <w:t xml:space="preserve">ГЛАВА 4 </w:t>
      </w:r>
      <w:bookmarkEnd w:id="119"/>
      <w:r>
        <w:tab/>
        <w:t>ИЗПЪЛНЕНИЕ НА СПОРАЗУМЕНИЕТО ЗА ОТПУСКАНЕ НА БЕЗВЪЗМЕЗДНИ СРЕДСТВА</w:t>
      </w:r>
      <w:bookmarkEnd w:id="120"/>
      <w:bookmarkEnd w:id="121"/>
      <w:bookmarkEnd w:id="122"/>
      <w:bookmarkEnd w:id="123"/>
      <w:bookmarkEnd w:id="124"/>
      <w:bookmarkEnd w:id="125"/>
    </w:p>
    <w:p w14:paraId="00F2E1B0" w14:textId="77777777" w:rsidR="008907F4" w:rsidRPr="00465AB7" w:rsidRDefault="008907F4" w:rsidP="2FA6B974">
      <w:pPr>
        <w:pStyle w:val="Heading2"/>
      </w:pPr>
      <w:bookmarkStart w:id="126" w:name="_Toc530035883"/>
      <w:bookmarkStart w:id="127" w:name="_Toc24116065"/>
      <w:bookmarkStart w:id="128" w:name="_Toc24126543"/>
      <w:bookmarkStart w:id="129" w:name="_Toc95924934"/>
      <w:r>
        <w:t xml:space="preserve">РАЗДЕЛ 1 </w:t>
      </w:r>
      <w:r>
        <w:tab/>
        <w:t>КОНСОРЦИУМ: БЕНЕФИЦИЕРИ, СВЪРЗАНИ СУБЕКТИ И ДРУГИ УЧАСТНИЦИ</w:t>
      </w:r>
      <w:bookmarkEnd w:id="126"/>
      <w:bookmarkEnd w:id="127"/>
      <w:bookmarkEnd w:id="128"/>
      <w:bookmarkEnd w:id="129"/>
    </w:p>
    <w:p w14:paraId="00C8DB82" w14:textId="77777777" w:rsidR="008907F4" w:rsidRPr="00465AB7" w:rsidRDefault="2FA6B974" w:rsidP="2FA6B974">
      <w:pPr>
        <w:pStyle w:val="Heading4"/>
      </w:pPr>
      <w:bookmarkStart w:id="130" w:name="_Toc530035884"/>
      <w:bookmarkStart w:id="131" w:name="_Toc524697205"/>
      <w:bookmarkStart w:id="132" w:name="_Toc529197662"/>
      <w:bookmarkStart w:id="133" w:name="_Toc24116066"/>
      <w:bookmarkStart w:id="134" w:name="_Toc24126544"/>
      <w:bookmarkStart w:id="135" w:name="_Toc95924935"/>
      <w:bookmarkStart w:id="136" w:name="_Toc435108974"/>
      <w:r>
        <w:t>ЧЛЕН 7 — БЕНЕФИЦИЕРИ</w:t>
      </w:r>
      <w:bookmarkEnd w:id="130"/>
      <w:bookmarkEnd w:id="131"/>
      <w:bookmarkEnd w:id="132"/>
      <w:bookmarkEnd w:id="133"/>
      <w:bookmarkEnd w:id="134"/>
      <w:bookmarkEnd w:id="135"/>
    </w:p>
    <w:p w14:paraId="3499B10B" w14:textId="77777777" w:rsidR="008907F4" w:rsidRPr="00465AB7" w:rsidRDefault="2FA6B974" w:rsidP="2FA6B974">
      <w:pPr>
        <w:adjustRightInd w:val="0"/>
        <w:rPr>
          <w:rFonts w:eastAsia="Times New Roman"/>
        </w:rPr>
      </w:pPr>
      <w:r>
        <w:t xml:space="preserve">Бенефициерите като страни, подписали споразумението, носят пълна отговорност за изпълнението му пред предоставящия орган, както и за спазването на всички задължения по него. </w:t>
      </w:r>
    </w:p>
    <w:p w14:paraId="0729B56C" w14:textId="77777777" w:rsidR="008907F4" w:rsidRDefault="2FA6B974" w:rsidP="2FA6B974">
      <w:pPr>
        <w:adjustRightInd w:val="0"/>
        <w:rPr>
          <w:rFonts w:eastAsia="Times New Roman"/>
        </w:rPr>
      </w:pPr>
      <w:r>
        <w:t xml:space="preserve">Те трябва да изпълнят споразумението възможно най-добре, добросъвестно и съгласно всички задължения и условия, предвидени в него. </w:t>
      </w:r>
    </w:p>
    <w:p w14:paraId="6621A0D3" w14:textId="77777777" w:rsidR="008907F4" w:rsidRDefault="2FA6B974" w:rsidP="2FA6B974">
      <w:pPr>
        <w:adjustRightInd w:val="0"/>
        <w:rPr>
          <w:rFonts w:eastAsia="Times New Roman"/>
        </w:rPr>
      </w:pPr>
      <w:bookmarkStart w:id="137" w:name="_Toc435109052"/>
      <w:r>
        <w:t>Те трябва да разполагат с подходящите ресурси за изпълнение на дейността и да я изпълняват на своя собствена отговорност и в съответствие с член 11. Ако разчитат на свързани субекти или други участници (вж. членове 8 и 9), те продължават да носят еднолична отговорност пред предоставящия орган и пред другите бенефициери.</w:t>
      </w:r>
    </w:p>
    <w:p w14:paraId="3323A3C5" w14:textId="77777777" w:rsidR="008907F4" w:rsidRPr="00097569" w:rsidRDefault="2FA6B974" w:rsidP="2FA6B974">
      <w:pPr>
        <w:adjustRightInd w:val="0"/>
        <w:rPr>
          <w:rFonts w:eastAsia="Calibri" w:cs="Times New Roman"/>
          <w:i/>
          <w:iCs/>
        </w:rPr>
      </w:pPr>
      <w:r>
        <w:t xml:space="preserve">Те са съвместно отговорни за </w:t>
      </w:r>
      <w:r>
        <w:rPr>
          <w:i/>
          <w:iCs/>
        </w:rPr>
        <w:t>техническото</w:t>
      </w:r>
      <w:r>
        <w:t xml:space="preserve"> изпълнение на дейността. Ако даден бенефициер не изпълни своята част от дейността, останалите бенефициери трябва да гарантират, че тази част ще бъде изпълнена от някой друг (без да имат право на увеличение на максималния размер на безвъзмездните средства и след изменение; вж. член 39). </w:t>
      </w:r>
      <w:r>
        <w:rPr>
          <w:i/>
          <w:iCs/>
        </w:rPr>
        <w:t>Финансовата</w:t>
      </w:r>
      <w:r>
        <w:t xml:space="preserve"> отговорност на всеки бенефициер в случай на събирания се урежда от член 22.</w:t>
      </w:r>
      <w:r>
        <w:rPr>
          <w:i/>
          <w:iCs/>
        </w:rPr>
        <w:t xml:space="preserve"> </w:t>
      </w:r>
    </w:p>
    <w:p w14:paraId="794E87F1" w14:textId="77777777" w:rsidR="008907F4" w:rsidRDefault="2FA6B974" w:rsidP="008907F4">
      <w:pPr>
        <w:adjustRightInd w:val="0"/>
        <w:rPr>
          <w:szCs w:val="24"/>
        </w:rPr>
      </w:pPr>
      <w:r>
        <w:t>Бенефициерите (и тяхната дейност) трябва да продължат да бъдат допустими по програмата на ЕС, по линия на която се финансират безвъзмездните средства за целия срок на дейността. Разходите и вноските ще бъдат допустими само доколкото бенефициерът и дейността са допустими.</w:t>
      </w:r>
    </w:p>
    <w:bookmarkEnd w:id="137"/>
    <w:p w14:paraId="54C21E69" w14:textId="77777777" w:rsidR="008907F4" w:rsidRDefault="2FA6B974" w:rsidP="2FA6B974">
      <w:pPr>
        <w:tabs>
          <w:tab w:val="left" w:pos="426"/>
        </w:tabs>
        <w:rPr>
          <w:rFonts w:eastAsia="Times New Roman"/>
        </w:rPr>
      </w:pPr>
      <w:r>
        <w:rPr>
          <w:b/>
          <w:bCs/>
        </w:rPr>
        <w:t>Вътрешните роли и отговорности</w:t>
      </w:r>
      <w:r>
        <w:t xml:space="preserve"> на бенефициерите се разпределят, както следва:</w:t>
      </w:r>
    </w:p>
    <w:p w14:paraId="361597B5" w14:textId="77777777" w:rsidR="008907F4" w:rsidRPr="00D33622" w:rsidRDefault="2FA6B974" w:rsidP="2FA6B974">
      <w:pPr>
        <w:numPr>
          <w:ilvl w:val="0"/>
          <w:numId w:val="45"/>
        </w:numPr>
      </w:pPr>
      <w:r>
        <w:t>Всеки бенефициер трябва:</w:t>
      </w:r>
    </w:p>
    <w:p w14:paraId="7569D45D" w14:textId="2E891E89" w:rsidR="008907F4" w:rsidRPr="005E41F4" w:rsidRDefault="2FA6B974" w:rsidP="2FA6B974">
      <w:pPr>
        <w:numPr>
          <w:ilvl w:val="0"/>
          <w:numId w:val="9"/>
        </w:numPr>
        <w:ind w:left="1560"/>
        <w:rPr>
          <w:rFonts w:eastAsia="Times New Roman"/>
        </w:rPr>
      </w:pPr>
      <w:r>
        <w:lastRenderedPageBreak/>
        <w:t>да актуализира информацията, съхранявана в регистъра за участниците в портала (вж. член 19)</w:t>
      </w:r>
    </w:p>
    <w:p w14:paraId="7804FD47" w14:textId="27F7AE0A" w:rsidR="008907F4" w:rsidRPr="005E41F4" w:rsidRDefault="2FA6B974" w:rsidP="2FA6B974">
      <w:pPr>
        <w:numPr>
          <w:ilvl w:val="0"/>
          <w:numId w:val="9"/>
        </w:numPr>
        <w:ind w:left="1560"/>
        <w:rPr>
          <w:rFonts w:eastAsia="Times New Roman"/>
        </w:rPr>
      </w:pPr>
      <w:r>
        <w:t>да уведоми незабавно предоставящия орган (и другите бенефициери) за всички събития или обстоятелства, които биха могли да се отразят сериозно на изпълнението на дейността или да го забавят (вж. член 19)</w:t>
      </w:r>
    </w:p>
    <w:p w14:paraId="7275729E" w14:textId="77777777" w:rsidR="008907F4" w:rsidRPr="005E41F4" w:rsidRDefault="2FA6B974" w:rsidP="2FA6B974">
      <w:pPr>
        <w:numPr>
          <w:ilvl w:val="0"/>
          <w:numId w:val="9"/>
        </w:numPr>
        <w:ind w:left="1560"/>
        <w:rPr>
          <w:rFonts w:eastAsia="Times New Roman"/>
        </w:rPr>
      </w:pPr>
      <w:r>
        <w:t xml:space="preserve">да представи своевременно на координатора: </w:t>
      </w:r>
    </w:p>
    <w:p w14:paraId="1EBB11E9" w14:textId="75A457BD" w:rsidR="008907F4" w:rsidRPr="00A9367B" w:rsidRDefault="2FA6B974" w:rsidP="2FA6B974">
      <w:pPr>
        <w:numPr>
          <w:ilvl w:val="0"/>
          <w:numId w:val="1"/>
        </w:numPr>
        <w:ind w:left="2127" w:hanging="284"/>
        <w:rPr>
          <w:rFonts w:eastAsia="Times New Roman"/>
        </w:rPr>
      </w:pPr>
      <w:r>
        <w:t>гаранциите за предварителното финансиране (ако се изискват такива; вж. член 23);</w:t>
      </w:r>
    </w:p>
    <w:p w14:paraId="09AACA86" w14:textId="3FC89D59" w:rsidR="008907F4" w:rsidRPr="00E70678" w:rsidRDefault="2FA6B974" w:rsidP="2FA6B974">
      <w:pPr>
        <w:numPr>
          <w:ilvl w:val="0"/>
          <w:numId w:val="1"/>
        </w:numPr>
        <w:ind w:left="2127" w:hanging="284"/>
        <w:rPr>
          <w:rFonts w:eastAsia="Times New Roman"/>
          <w:i/>
          <w:iCs/>
        </w:rPr>
      </w:pPr>
      <w:r>
        <w:t>финансовите отчети и сертификатите за финансовите отчети (СФО) (ако се изискват такива; вж. членове 21 и 24.2, както и Техническите спецификации, точка 4.3)</w:t>
      </w:r>
      <w:r>
        <w:rPr>
          <w:i/>
          <w:iCs/>
        </w:rPr>
        <w:t xml:space="preserve"> </w:t>
      </w:r>
    </w:p>
    <w:p w14:paraId="782836F7" w14:textId="31DBE5B2" w:rsidR="008907F4" w:rsidRPr="00915279" w:rsidRDefault="2FA6B974" w:rsidP="2FA6B974">
      <w:pPr>
        <w:numPr>
          <w:ilvl w:val="0"/>
          <w:numId w:val="1"/>
        </w:numPr>
        <w:ind w:left="2127" w:hanging="284"/>
        <w:rPr>
          <w:rFonts w:eastAsia="Times New Roman"/>
        </w:rPr>
      </w:pPr>
      <w:r>
        <w:t xml:space="preserve">приноса към резултатите и техническите доклади (вж. член 21) </w:t>
      </w:r>
    </w:p>
    <w:p w14:paraId="39D19C17" w14:textId="0A6A8C06" w:rsidR="008907F4" w:rsidRDefault="2FA6B974" w:rsidP="2FA6B974">
      <w:pPr>
        <w:numPr>
          <w:ilvl w:val="0"/>
          <w:numId w:val="1"/>
        </w:numPr>
        <w:ind w:left="2127" w:hanging="284"/>
        <w:rPr>
          <w:rFonts w:eastAsia="Times New Roman"/>
        </w:rPr>
      </w:pPr>
      <w:r>
        <w:t>всички други документи или информация, които се изискват съгласно споразумението от предоставящия орган</w:t>
      </w:r>
    </w:p>
    <w:p w14:paraId="395DE9A9" w14:textId="77777777" w:rsidR="008907F4" w:rsidRPr="005D5B22" w:rsidRDefault="2FA6B974" w:rsidP="2FA6B974">
      <w:pPr>
        <w:numPr>
          <w:ilvl w:val="0"/>
          <w:numId w:val="9"/>
        </w:numPr>
        <w:ind w:left="1560"/>
        <w:rPr>
          <w:rFonts w:eastAsia="Times New Roman"/>
        </w:rPr>
      </w:pPr>
      <w:r>
        <w:t>да представи чрез портала данните и информацията, отнасящи се до участието на свързаните с него субекти.</w:t>
      </w:r>
    </w:p>
    <w:p w14:paraId="62D9C0EC" w14:textId="77777777" w:rsidR="008907F4" w:rsidRPr="001537DF" w:rsidRDefault="2FA6B974" w:rsidP="2FA6B974">
      <w:pPr>
        <w:numPr>
          <w:ilvl w:val="0"/>
          <w:numId w:val="45"/>
        </w:numPr>
      </w:pPr>
      <w:r>
        <w:t>Координаторът трябва:</w:t>
      </w:r>
    </w:p>
    <w:p w14:paraId="56CB1758" w14:textId="47CE4DED" w:rsidR="008907F4" w:rsidRPr="005E41F4" w:rsidRDefault="2FA6B974" w:rsidP="2FA6B974">
      <w:pPr>
        <w:numPr>
          <w:ilvl w:val="0"/>
          <w:numId w:val="69"/>
        </w:numPr>
        <w:ind w:left="1560"/>
        <w:rPr>
          <w:rFonts w:eastAsia="Times New Roman"/>
        </w:rPr>
      </w:pPr>
      <w:r>
        <w:t>да следи за надлежното изпълнение на дейността (вж. член 11)</w:t>
      </w:r>
    </w:p>
    <w:p w14:paraId="484B5D3D" w14:textId="261AD678" w:rsidR="008907F4" w:rsidRPr="00640F57" w:rsidRDefault="2FA6B974" w:rsidP="2FA6B974">
      <w:pPr>
        <w:numPr>
          <w:ilvl w:val="0"/>
          <w:numId w:val="69"/>
        </w:numPr>
        <w:ind w:left="1560"/>
        <w:rPr>
          <w:rFonts w:eastAsia="Times New Roman"/>
        </w:rPr>
      </w:pPr>
      <w:r>
        <w:t xml:space="preserve">да действа като посредник във всяка комуникация между консорциума и предоставящия орган, освен ако в споразумението не е посочено друго или ако предоставящият орган не изисква друго, и по-специално:  </w:t>
      </w:r>
    </w:p>
    <w:p w14:paraId="0E44D7F0" w14:textId="013CEFD6" w:rsidR="008907F4" w:rsidRPr="00640F57" w:rsidRDefault="2FA6B974" w:rsidP="2FA6B974">
      <w:pPr>
        <w:numPr>
          <w:ilvl w:val="0"/>
          <w:numId w:val="44"/>
        </w:numPr>
        <w:tabs>
          <w:tab w:val="left" w:pos="600"/>
        </w:tabs>
        <w:ind w:left="2127"/>
        <w:rPr>
          <w:rFonts w:eastAsia="Times New Roman"/>
        </w:rPr>
      </w:pPr>
      <w:r>
        <w:t>да предостави гаранциите за предварителното финансиране на предоставящия орган (ако има такива);</w:t>
      </w:r>
    </w:p>
    <w:p w14:paraId="021CBF73" w14:textId="7B7C739E" w:rsidR="008907F4" w:rsidRPr="00640F57" w:rsidRDefault="2FA6B974" w:rsidP="2FA6B974">
      <w:pPr>
        <w:numPr>
          <w:ilvl w:val="0"/>
          <w:numId w:val="44"/>
        </w:numPr>
        <w:ind w:left="2127"/>
        <w:rPr>
          <w:rFonts w:eastAsia="Times New Roman"/>
        </w:rPr>
      </w:pPr>
      <w:r>
        <w:t xml:space="preserve">да изисква и да извършва преглед на всички необходими документи или информация и да проверява тяхната пълнота и коректност, преди да ги препрати на предоставящия орган; </w:t>
      </w:r>
    </w:p>
    <w:p w14:paraId="23E9472A" w14:textId="034405F3" w:rsidR="008907F4" w:rsidRDefault="2FA6B974" w:rsidP="2FA6B974">
      <w:pPr>
        <w:numPr>
          <w:ilvl w:val="0"/>
          <w:numId w:val="44"/>
        </w:numPr>
        <w:ind w:left="2127"/>
        <w:rPr>
          <w:rFonts w:eastAsia="Times New Roman"/>
        </w:rPr>
      </w:pPr>
      <w:r>
        <w:t xml:space="preserve">да представя на предоставящия орган физическите резултати и докладите; </w:t>
      </w:r>
    </w:p>
    <w:p w14:paraId="475BEC6D" w14:textId="50099E24" w:rsidR="008907F4" w:rsidRPr="00915279" w:rsidRDefault="2FA6B974" w:rsidP="2FA6B974">
      <w:pPr>
        <w:numPr>
          <w:ilvl w:val="0"/>
          <w:numId w:val="44"/>
        </w:numPr>
        <w:ind w:left="2127"/>
        <w:rPr>
          <w:rFonts w:eastAsia="Times New Roman"/>
        </w:rPr>
      </w:pPr>
      <w:r>
        <w:t xml:space="preserve">да информира предоставящия орган за направените плащания към други бенефициери (да докладва за разпределението на плащанията; ако е необходимо, вж. членове 22 и 32); </w:t>
      </w:r>
    </w:p>
    <w:p w14:paraId="2C89FE18" w14:textId="2A505A39" w:rsidR="008907F4" w:rsidRPr="00915279" w:rsidRDefault="2FA6B974" w:rsidP="2FA6B974">
      <w:pPr>
        <w:numPr>
          <w:ilvl w:val="0"/>
          <w:numId w:val="69"/>
        </w:numPr>
        <w:ind w:left="1560"/>
        <w:rPr>
          <w:rFonts w:eastAsia="Times New Roman"/>
        </w:rPr>
      </w:pPr>
      <w:r>
        <w:t xml:space="preserve">да разпределя получените плащания от предоставящия орган на другите бенефициери без неоснователно забавяне (вж. член 22). </w:t>
      </w:r>
    </w:p>
    <w:p w14:paraId="44E5B928" w14:textId="77777777" w:rsidR="008907F4" w:rsidRDefault="2FA6B974" w:rsidP="2FA6B974">
      <w:r>
        <w:t xml:space="preserve">Координаторът няма право да делегира или да възлага за подизпълнение горепосочените задачи на друг бенефициер или на трета страна (включително свързани субекти). </w:t>
      </w:r>
    </w:p>
    <w:p w14:paraId="3BFD1696" w14:textId="77777777" w:rsidR="008907F4" w:rsidRDefault="2FA6B974" w:rsidP="2FA6B974">
      <w:pPr>
        <w:rPr>
          <w:i/>
          <w:iCs/>
          <w:color w:val="4AA55B"/>
        </w:rPr>
      </w:pPr>
      <w:r>
        <w:lastRenderedPageBreak/>
        <w:t>Координатори, които са обществени органи, могат обаче да делегират задачите, посочени в буква б), подточка ii), последно тире и подточка iii) по-горе на субекти с „разрешение за администриране“, които са създадени или контролирани от тях, или са свързани с тях. В този случай координаторът продължава да носи еднолична отговорност за плащанията и за изпълнението на задълженията по споразумението.</w:t>
      </w:r>
    </w:p>
    <w:p w14:paraId="77585746" w14:textId="77777777" w:rsidR="008907F4" w:rsidRDefault="008907F4" w:rsidP="2FA6B974">
      <w:r>
        <w:t>Освен това координатори, които са „единствени бенефициери“</w:t>
      </w:r>
      <w:r>
        <w:rPr>
          <w:rStyle w:val="FootnoteReference"/>
          <w:lang w:eastAsia="en-GB"/>
        </w:rPr>
        <w:footnoteReference w:id="18"/>
      </w:r>
      <w:r>
        <w:t xml:space="preserve"> (или подобни на тях, като консорциуми за европейска научноизследователска инфраструктура (ERIC), може да делегират задачите, посочени в буква б), подточки i)—iii), на един от своите членове. Координаторът продължава да носи еднолична отговорност за изпълнението на задълженията по споразумението.</w:t>
      </w:r>
    </w:p>
    <w:p w14:paraId="13191005" w14:textId="77777777" w:rsidR="008907F4" w:rsidRDefault="2FA6B974" w:rsidP="2FA6B974">
      <w:pPr>
        <w:rPr>
          <w:rFonts w:eastAsia="Times New Roman"/>
        </w:rPr>
      </w:pPr>
      <w:r>
        <w:t xml:space="preserve">Бенефициерите трябва да имат </w:t>
      </w:r>
      <w:r>
        <w:rPr>
          <w:b/>
          <w:bCs/>
        </w:rPr>
        <w:t>вътрешни договорености</w:t>
      </w:r>
      <w:r>
        <w:t xml:space="preserve"> относно своята работа и координация с оглед осигуряване на правилното изпълнение на дейността. </w:t>
      </w:r>
    </w:p>
    <w:p w14:paraId="43883F65" w14:textId="21EAC208" w:rsidR="008907F4" w:rsidRPr="005E41F4" w:rsidRDefault="2FA6B974" w:rsidP="2FA6B974">
      <w:pPr>
        <w:rPr>
          <w:rFonts w:eastAsia="Times New Roman"/>
        </w:rPr>
      </w:pPr>
      <w:r>
        <w:t xml:space="preserve">По искане на предоставящия орган (вж. Техническите спецификации, точка 1) тези договорености трябва да бъдат предвидени в писмено </w:t>
      </w:r>
      <w:r>
        <w:rPr>
          <w:b/>
          <w:bCs/>
        </w:rPr>
        <w:t>споразумение за създаване на консорциум</w:t>
      </w:r>
      <w:r>
        <w:t xml:space="preserve"> между бенефициерите, което обхваща например:</w:t>
      </w:r>
    </w:p>
    <w:p w14:paraId="5CF4ECA4" w14:textId="12C3A735" w:rsidR="008907F4" w:rsidRPr="005E41F4" w:rsidRDefault="2FA6B974" w:rsidP="2FA6B974">
      <w:pPr>
        <w:numPr>
          <w:ilvl w:val="0"/>
          <w:numId w:val="6"/>
        </w:numPr>
      </w:pPr>
      <w:r>
        <w:t>вътрешната организация на консорциума;</w:t>
      </w:r>
    </w:p>
    <w:p w14:paraId="3B273F72" w14:textId="6D54881D" w:rsidR="008907F4" w:rsidRPr="005E41F4" w:rsidRDefault="2FA6B974" w:rsidP="2FA6B974">
      <w:pPr>
        <w:numPr>
          <w:ilvl w:val="0"/>
          <w:numId w:val="6"/>
        </w:numPr>
      </w:pPr>
      <w:r>
        <w:t>управлението на достъпа до портала;</w:t>
      </w:r>
    </w:p>
    <w:p w14:paraId="6BB9D985" w14:textId="4049F89B" w:rsidR="008907F4" w:rsidRPr="008600B3" w:rsidRDefault="2FA6B974" w:rsidP="2FA6B974">
      <w:pPr>
        <w:numPr>
          <w:ilvl w:val="0"/>
          <w:numId w:val="6"/>
        </w:numPr>
      </w:pPr>
      <w:r>
        <w:t>различни алгоритми за разпределение на плащанията и финансовите отговорности в случай на събирания (ако има такива);</w:t>
      </w:r>
    </w:p>
    <w:p w14:paraId="53DAACBD" w14:textId="187A304A" w:rsidR="008907F4" w:rsidRPr="00041EC2" w:rsidRDefault="2FA6B974" w:rsidP="2FA6B974">
      <w:pPr>
        <w:numPr>
          <w:ilvl w:val="0"/>
          <w:numId w:val="6"/>
        </w:numPr>
      </w:pPr>
      <w:r>
        <w:t>допълнителни правила относно правата и задълженията, свързани с предходни знания и резултати (вж. член 16);</w:t>
      </w:r>
    </w:p>
    <w:p w14:paraId="0721BE62" w14:textId="17EA7D15" w:rsidR="008907F4" w:rsidRPr="005E41F4" w:rsidRDefault="2FA6B974" w:rsidP="2FA6B974">
      <w:pPr>
        <w:numPr>
          <w:ilvl w:val="0"/>
          <w:numId w:val="6"/>
        </w:numPr>
      </w:pPr>
      <w:r>
        <w:t xml:space="preserve">уреждането на вътрешни спорове; </w:t>
      </w:r>
    </w:p>
    <w:p w14:paraId="34916269" w14:textId="77777777" w:rsidR="008907F4" w:rsidRPr="005E41F4" w:rsidRDefault="2FA6B974" w:rsidP="2FA6B974">
      <w:pPr>
        <w:numPr>
          <w:ilvl w:val="0"/>
          <w:numId w:val="6"/>
        </w:numPr>
      </w:pPr>
      <w:r>
        <w:t>договорености за отговорност, обезщетения и поверителност между бенефициерите.</w:t>
      </w:r>
    </w:p>
    <w:p w14:paraId="48792173" w14:textId="60D41074" w:rsidR="008907F4" w:rsidRDefault="2FA6B974" w:rsidP="2FA6B974">
      <w:pPr>
        <w:autoSpaceDE w:val="0"/>
        <w:autoSpaceDN w:val="0"/>
        <w:adjustRightInd w:val="0"/>
        <w:rPr>
          <w:rFonts w:eastAsia="Times New Roman"/>
        </w:rPr>
      </w:pPr>
      <w:r>
        <w:t xml:space="preserve">Вътрешните договорености не трябва да съдържат разпоредби, които противоречат на настоящото споразумение. </w:t>
      </w:r>
    </w:p>
    <w:p w14:paraId="428820BC" w14:textId="0B8F687F" w:rsidR="00403903" w:rsidRPr="005145FE" w:rsidRDefault="00403903" w:rsidP="008907F4">
      <w:pPr>
        <w:autoSpaceDE w:val="0"/>
        <w:autoSpaceDN w:val="0"/>
        <w:adjustRightInd w:val="0"/>
        <w:rPr>
          <w:rFonts w:eastAsia="Calibri" w:cs="Times New Roman"/>
          <w:szCs w:val="24"/>
        </w:rPr>
      </w:pPr>
      <w:r>
        <w:t xml:space="preserve"> </w:t>
      </w:r>
    </w:p>
    <w:p w14:paraId="6A05014E" w14:textId="77777777" w:rsidR="008907F4" w:rsidRPr="00B217B2" w:rsidRDefault="2FA6B974" w:rsidP="2FA6B974">
      <w:pPr>
        <w:pStyle w:val="Heading4"/>
        <w:rPr>
          <w:color w:val="7F7F7F" w:themeColor="background1" w:themeShade="7F"/>
        </w:rPr>
      </w:pPr>
      <w:bookmarkStart w:id="138" w:name="_Toc435108981"/>
      <w:bookmarkStart w:id="139" w:name="_Toc524697207"/>
      <w:bookmarkStart w:id="140" w:name="_Toc529197663"/>
      <w:bookmarkStart w:id="141" w:name="_Toc530035885"/>
      <w:bookmarkStart w:id="142" w:name="_Toc24116067"/>
      <w:bookmarkStart w:id="143" w:name="_Toc24126545"/>
      <w:bookmarkStart w:id="144" w:name="_Toc95924936"/>
      <w:bookmarkEnd w:id="136"/>
      <w:r>
        <w:rPr>
          <w:color w:val="7F7F7F" w:themeColor="background1" w:themeShade="7F"/>
        </w:rPr>
        <w:t>ЧЛЕН 8 — СВЪРЗАНИ СУБЕКТИ</w:t>
      </w:r>
      <w:bookmarkEnd w:id="138"/>
      <w:bookmarkEnd w:id="139"/>
      <w:bookmarkEnd w:id="140"/>
      <w:bookmarkEnd w:id="141"/>
      <w:bookmarkEnd w:id="142"/>
      <w:bookmarkEnd w:id="143"/>
      <w:bookmarkEnd w:id="144"/>
    </w:p>
    <w:p w14:paraId="5D1006F1" w14:textId="3DF887AA" w:rsidR="008907F4" w:rsidRPr="00B217B2" w:rsidRDefault="2FA6B974" w:rsidP="2FA6B974">
      <w:pPr>
        <w:rPr>
          <w:rFonts w:eastAsia="Times New Roman"/>
          <w:b/>
          <w:bCs/>
          <w:color w:val="7F7F7F" w:themeColor="background1" w:themeShade="7F"/>
        </w:rPr>
      </w:pPr>
      <w:bookmarkStart w:id="145" w:name="_Toc435108983"/>
      <w:r>
        <w:rPr>
          <w:color w:val="7F7F7F" w:themeColor="background1" w:themeShade="7F"/>
        </w:rPr>
        <w:t xml:space="preserve">Не е приложимо </w:t>
      </w:r>
      <w:bookmarkStart w:id="146" w:name="_Toc524697208"/>
      <w:bookmarkStart w:id="147" w:name="_Toc529197664"/>
      <w:bookmarkStart w:id="148" w:name="_Toc530035886"/>
      <w:bookmarkEnd w:id="145"/>
    </w:p>
    <w:p w14:paraId="4AE7442F" w14:textId="77777777" w:rsidR="008907F4" w:rsidRPr="00380A56" w:rsidRDefault="2FA6B974" w:rsidP="2FA6B974">
      <w:pPr>
        <w:pStyle w:val="Heading4"/>
        <w:rPr>
          <w:rFonts w:eastAsia="Times New Roman"/>
          <w:i/>
          <w:color w:val="4AA55B"/>
        </w:rPr>
      </w:pPr>
      <w:bookmarkStart w:id="149" w:name="_Toc24116068"/>
      <w:bookmarkStart w:id="150" w:name="_Toc24126546"/>
      <w:bookmarkStart w:id="151" w:name="_Toc95924937"/>
      <w:r>
        <w:lastRenderedPageBreak/>
        <w:t>ЧЛЕН 9 — ДРУГИ УЧАСТНИЦИ, АНГАЖИРАНИ В ДЕЙНОСТТА</w:t>
      </w:r>
      <w:bookmarkEnd w:id="146"/>
      <w:bookmarkEnd w:id="147"/>
      <w:bookmarkEnd w:id="148"/>
      <w:bookmarkEnd w:id="149"/>
      <w:bookmarkEnd w:id="150"/>
      <w:bookmarkEnd w:id="151"/>
    </w:p>
    <w:p w14:paraId="252FA9D9" w14:textId="3F8A8FC1" w:rsidR="008907F4" w:rsidRPr="00294F8D" w:rsidRDefault="008907F4" w:rsidP="008907F4">
      <w:pPr>
        <w:pStyle w:val="Heading5"/>
      </w:pPr>
      <w:bookmarkStart w:id="152" w:name="_Toc529197665"/>
      <w:bookmarkStart w:id="153" w:name="_Toc24116069"/>
      <w:bookmarkStart w:id="154" w:name="_Toc24126547"/>
      <w:bookmarkStart w:id="155" w:name="_Toc95924938"/>
      <w:r>
        <w:t>9.1</w:t>
      </w:r>
      <w:r>
        <w:tab/>
        <w:t>Асоциирани партньори</w:t>
      </w:r>
      <w:bookmarkEnd w:id="152"/>
      <w:bookmarkEnd w:id="153"/>
      <w:bookmarkEnd w:id="154"/>
      <w:bookmarkEnd w:id="155"/>
    </w:p>
    <w:p w14:paraId="3093BD74" w14:textId="0D742F58" w:rsidR="008907F4" w:rsidRPr="00294F8D" w:rsidRDefault="2FA6B974" w:rsidP="2FA6B974">
      <w:pPr>
        <w:rPr>
          <w:rFonts w:eastAsia="Calibri" w:cs="Times New Roman"/>
        </w:rPr>
      </w:pPr>
      <w:r>
        <w:rPr>
          <w:i/>
          <w:iCs/>
          <w:color w:val="4AA55B"/>
        </w:rPr>
        <w:t>[ВАРИАНТ 1, ако бъде избран за безвъзмездните средства:</w:t>
      </w:r>
      <w:r>
        <w:rPr>
          <w:b/>
          <w:bCs/>
          <w:color w:val="4AA55B"/>
        </w:rPr>
        <w:t xml:space="preserve"> </w:t>
      </w:r>
      <w:r>
        <w:t>Следните субекти, които сътрудничат с бенефициер, участват в дейността като „асоциирани партньори“ (АП):</w:t>
      </w:r>
    </w:p>
    <w:p w14:paraId="2ED7D9E4" w14:textId="77777777" w:rsidR="008907F4" w:rsidRPr="00587ACA" w:rsidRDefault="2FA6B974" w:rsidP="2FA6B974">
      <w:pPr>
        <w:numPr>
          <w:ilvl w:val="0"/>
          <w:numId w:val="39"/>
        </w:numPr>
        <w:spacing w:after="60"/>
        <w:ind w:left="782" w:hanging="357"/>
        <w:rPr>
          <w:rFonts w:eastAsia="Calibri" w:cs="Times New Roman"/>
        </w:rPr>
      </w:pPr>
      <w:r>
        <w:t>[</w:t>
      </w:r>
      <w:r>
        <w:rPr>
          <w:b/>
          <w:bCs/>
          <w:highlight w:val="lightGray"/>
        </w:rPr>
        <w:t>официално наименование на АП (кратко наименование)</w:t>
      </w:r>
      <w:r>
        <w:t>], PIC [</w:t>
      </w:r>
      <w:r>
        <w:rPr>
          <w:highlight w:val="lightGray"/>
        </w:rPr>
        <w:t>номер</w:t>
      </w:r>
      <w:r>
        <w:t xml:space="preserve">]: </w:t>
      </w:r>
    </w:p>
    <w:p w14:paraId="29CED5FF" w14:textId="77777777" w:rsidR="008907F4" w:rsidRPr="00587ACA" w:rsidRDefault="2FA6B974" w:rsidP="2FA6B974">
      <w:pPr>
        <w:numPr>
          <w:ilvl w:val="0"/>
          <w:numId w:val="39"/>
        </w:numPr>
        <w:spacing w:after="60"/>
        <w:ind w:left="782" w:hanging="357"/>
        <w:rPr>
          <w:rFonts w:eastAsia="Calibri" w:cs="Times New Roman"/>
        </w:rPr>
      </w:pPr>
      <w:r>
        <w:t>[</w:t>
      </w:r>
      <w:r>
        <w:rPr>
          <w:b/>
          <w:bCs/>
          <w:highlight w:val="lightGray"/>
        </w:rPr>
        <w:t>официално наименование на АП (кратко наименование)</w:t>
      </w:r>
      <w:r>
        <w:t>], PIC [</w:t>
      </w:r>
      <w:r>
        <w:rPr>
          <w:highlight w:val="lightGray"/>
        </w:rPr>
        <w:t>номер</w:t>
      </w:r>
      <w:r>
        <w:t xml:space="preserve">]: </w:t>
      </w:r>
    </w:p>
    <w:p w14:paraId="7EF46D20" w14:textId="77777777" w:rsidR="008907F4" w:rsidRPr="00294F8D" w:rsidRDefault="2FA6B974" w:rsidP="2FA6B974">
      <w:pPr>
        <w:ind w:left="428"/>
        <w:rPr>
          <w:rFonts w:eastAsia="Calibri" w:cs="Times New Roman"/>
        </w:rPr>
      </w:pPr>
      <w:r>
        <w:t>[</w:t>
      </w:r>
      <w:r>
        <w:rPr>
          <w:highlight w:val="lightGray"/>
        </w:rPr>
        <w:t>повтаря се за другите АП</w:t>
      </w:r>
      <w:r>
        <w:t>]</w:t>
      </w:r>
    </w:p>
    <w:p w14:paraId="020B6E7F" w14:textId="77777777" w:rsidR="008907F4" w:rsidRPr="00993F84" w:rsidRDefault="2FA6B974" w:rsidP="2FA6B974">
      <w:pPr>
        <w:rPr>
          <w:rFonts w:eastAsia="Calibri" w:cs="Times New Roman"/>
        </w:rPr>
      </w:pPr>
      <w:r>
        <w:t xml:space="preserve">Асоциираните партньори изпълняват възложените им според посочените по приложение 1 задачи по дейността съгласно член 11. Те нямат право да начисляват разходи или вноски за дейността и разходите за техните задачи са недопустими. </w:t>
      </w:r>
    </w:p>
    <w:p w14:paraId="0B9ABA02" w14:textId="77777777" w:rsidR="008907F4" w:rsidRPr="003722C7" w:rsidRDefault="2FA6B974" w:rsidP="2FA6B974">
      <w:pPr>
        <w:rPr>
          <w:rFonts w:eastAsia="Calibri" w:cs="Times New Roman"/>
        </w:rPr>
      </w:pPr>
      <w:r>
        <w:t>Задачите трябва да са посочени в приложение 1.</w:t>
      </w:r>
    </w:p>
    <w:p w14:paraId="49DE9739" w14:textId="77777777" w:rsidR="008907F4" w:rsidRDefault="2FA6B974" w:rsidP="2FA6B974">
      <w:pPr>
        <w:rPr>
          <w:rFonts w:eastAsia="Calibri" w:cs="Times New Roman"/>
        </w:rPr>
      </w:pPr>
      <w:r>
        <w:t>Бенефициерите трябва да гарантират, че техните договорни задължения по членове 11 (надлежно изпълнение), 12 (конфликти на интереси), 13 (поверителност и сигурност), 14 (етика), 17.2 (видимост), 18 (специални правила за извършване на дейността), 19 (информация) и 20 (съхраняване на документален архив) се прилагат и по отношение на асоциираните партньори.</w:t>
      </w:r>
    </w:p>
    <w:p w14:paraId="7B5C54E3" w14:textId="77777777" w:rsidR="008907F4" w:rsidRDefault="2FA6B974" w:rsidP="2FA6B974">
      <w:pPr>
        <w:rPr>
          <w:rFonts w:eastAsia="Calibri" w:cs="Times New Roman"/>
        </w:rPr>
      </w:pPr>
      <w:r>
        <w:t>Бенефициерите трябва да осигурят възможност на органите, посочени в член 25 (например предоставящия орган, Европейската служба за борба с измамите (OLAF), Европейската сметна палата и др.), да упражняват своите права и спрямо асоциираните партньори.</w:t>
      </w:r>
      <w:r>
        <w:rPr>
          <w:i/>
          <w:iCs/>
          <w:color w:val="4AA55B"/>
        </w:rPr>
        <w:t>]</w:t>
      </w:r>
    </w:p>
    <w:p w14:paraId="20318EAA" w14:textId="77777777" w:rsidR="008907F4" w:rsidRDefault="2FA6B974" w:rsidP="2FA6B974">
      <w:pPr>
        <w:rPr>
          <w:rFonts w:eastAsia="Calibri" w:cs="Times New Roman"/>
        </w:rPr>
      </w:pPr>
      <w:r>
        <w:rPr>
          <w:i/>
          <w:iCs/>
          <w:color w:val="4AA55B"/>
        </w:rPr>
        <w:t>[ВАРИАНТ 2:</w:t>
      </w:r>
      <w:r>
        <w:t xml:space="preserve"> Не е приложимо</w:t>
      </w:r>
      <w:r>
        <w:rPr>
          <w:i/>
          <w:iCs/>
          <w:color w:val="4AA55B"/>
        </w:rPr>
        <w:t xml:space="preserve">] </w:t>
      </w:r>
    </w:p>
    <w:p w14:paraId="283ACF86" w14:textId="76144BFA" w:rsidR="008907F4" w:rsidRPr="00294F8D" w:rsidRDefault="008907F4" w:rsidP="008907F4">
      <w:pPr>
        <w:pStyle w:val="Heading5"/>
      </w:pPr>
      <w:bookmarkStart w:id="156" w:name="_Toc529197666"/>
      <w:bookmarkStart w:id="157" w:name="_Toc24116070"/>
      <w:bookmarkStart w:id="158" w:name="_Toc24126548"/>
      <w:bookmarkStart w:id="159" w:name="_Toc95924939"/>
      <w:r>
        <w:t>9.2</w:t>
      </w:r>
      <w:r>
        <w:tab/>
        <w:t>Трети страни, правещи вноски в натура за дейността</w:t>
      </w:r>
      <w:bookmarkEnd w:id="156"/>
      <w:bookmarkEnd w:id="157"/>
      <w:bookmarkEnd w:id="158"/>
      <w:bookmarkEnd w:id="159"/>
      <w:r>
        <w:t xml:space="preserve"> </w:t>
      </w:r>
    </w:p>
    <w:p w14:paraId="73381142" w14:textId="77777777" w:rsidR="008907F4" w:rsidRPr="00777A26" w:rsidRDefault="2FA6B974" w:rsidP="2FA6B974">
      <w:pPr>
        <w:rPr>
          <w:rFonts w:eastAsia="Calibri" w:cs="Times New Roman"/>
        </w:rPr>
      </w:pPr>
      <w:r>
        <w:t>Други трети страни могат да правят вноски в натура за дейността (т.е. персонал, оборудване, други стоки, строителство и услуги и др., които се предоставят безплатно), ако са необходими за изпълнението.</w:t>
      </w:r>
    </w:p>
    <w:p w14:paraId="48FAF90D" w14:textId="77777777" w:rsidR="008907F4" w:rsidRPr="00777A26" w:rsidRDefault="2FA6B974" w:rsidP="2FA6B974">
      <w:pPr>
        <w:rPr>
          <w:rFonts w:eastAsia="Calibri" w:cs="Times New Roman"/>
        </w:rPr>
      </w:pPr>
      <w:r>
        <w:t xml:space="preserve">Трети страни, правещи вноски в натура за дейността, не изпълняват задачи по дейността. Те нямат право да начисляват разходи или вноски за дейността и разходите за вноските в натура са недопустими. </w:t>
      </w:r>
    </w:p>
    <w:p w14:paraId="5F314D19" w14:textId="77777777" w:rsidR="008907F4" w:rsidRPr="00546153" w:rsidRDefault="2FA6B974" w:rsidP="2FA6B974">
      <w:pPr>
        <w:rPr>
          <w:rFonts w:eastAsia="Calibri" w:cs="Times New Roman"/>
        </w:rPr>
      </w:pPr>
      <w:r>
        <w:t>Третите страни и техните вноски в натура следва да бъдат посочени в приложение 1.</w:t>
      </w:r>
    </w:p>
    <w:p w14:paraId="0167AF13" w14:textId="4F14D183" w:rsidR="008907F4" w:rsidRDefault="008907F4" w:rsidP="008907F4">
      <w:pPr>
        <w:pStyle w:val="Heading5"/>
      </w:pPr>
      <w:bookmarkStart w:id="160" w:name="_Toc24116071"/>
      <w:bookmarkStart w:id="161" w:name="_Toc24126549"/>
      <w:bookmarkStart w:id="162" w:name="_Toc95924940"/>
      <w:r>
        <w:t>9.3</w:t>
      </w:r>
      <w:r>
        <w:tab/>
        <w:t>Подизпълнители</w:t>
      </w:r>
      <w:bookmarkEnd w:id="160"/>
      <w:bookmarkEnd w:id="161"/>
      <w:bookmarkEnd w:id="162"/>
      <w:r>
        <w:t xml:space="preserve"> </w:t>
      </w:r>
    </w:p>
    <w:p w14:paraId="01B40A1A" w14:textId="77777777" w:rsidR="008907F4" w:rsidRPr="00704FAE" w:rsidRDefault="2FA6B974" w:rsidP="008907F4">
      <w:pPr>
        <w:rPr>
          <w:szCs w:val="24"/>
        </w:rPr>
      </w:pPr>
      <w:r>
        <w:t>Подизпълнители могат да участват в дейността, ако това е необходимо за изпълнението.</w:t>
      </w:r>
    </w:p>
    <w:p w14:paraId="72F442A3" w14:textId="77777777" w:rsidR="008907F4" w:rsidRPr="00465AB7" w:rsidRDefault="2FA6B974" w:rsidP="2FA6B974">
      <w:pPr>
        <w:rPr>
          <w:b/>
          <w:bCs/>
        </w:rPr>
      </w:pPr>
      <w:r>
        <w:t>Подизпълнителите трябва да изпълняват своите задачи по дейността в съответствие с член 11. Разходите за възложени на подизпълнители задачи (фактурираната от подизпълнителя цена) са допустими и могат да бъдат начислявани от бенефициерите при условията, посочени в член 6. Разходите се включват в приложение 2 като част от разходите на бенефициерите.</w:t>
      </w:r>
      <w:r>
        <w:rPr>
          <w:b/>
          <w:bCs/>
        </w:rPr>
        <w:t xml:space="preserve"> </w:t>
      </w:r>
    </w:p>
    <w:p w14:paraId="1FAD5F96" w14:textId="77777777" w:rsidR="008907F4" w:rsidRPr="00704FAE" w:rsidDel="00E85932" w:rsidRDefault="2FA6B974" w:rsidP="008907F4">
      <w:pPr>
        <w:rPr>
          <w:szCs w:val="24"/>
        </w:rPr>
      </w:pPr>
      <w:r>
        <w:lastRenderedPageBreak/>
        <w:t>Бенефициерите трябва да гарантират, че техните договорни задължения по членове 11 (надлежно изпълнение), 12 (конфликт на интереси), 13 (поверителност и сигурност), 14 (етика), 17.2 (видимост), 18 (специални правила за извършване на дейността), 19 (информация) и 20 (съхраняване на документален архив) се прилагат и по отношение на подизпълнителите.</w:t>
      </w:r>
    </w:p>
    <w:p w14:paraId="5938CC17" w14:textId="77777777" w:rsidR="008907F4" w:rsidRDefault="2FA6B974" w:rsidP="008907F4">
      <w:pPr>
        <w:rPr>
          <w:szCs w:val="24"/>
        </w:rPr>
      </w:pPr>
      <w:r>
        <w:t xml:space="preserve">Бенефициерите трябва да осигурят възможност на органите, посочени в член 25 (например предоставящия орган, Европейската служба за борба с измамите (OLAF), Европейската сметна палата и др.), да упражняват своите права и спрямо подизпълнителите. </w:t>
      </w:r>
    </w:p>
    <w:p w14:paraId="72FA7CF2" w14:textId="13CAE664" w:rsidR="008907F4" w:rsidRPr="00704FAE" w:rsidRDefault="008907F4" w:rsidP="008907F4">
      <w:pPr>
        <w:pStyle w:val="Heading5"/>
      </w:pPr>
      <w:bookmarkStart w:id="163" w:name="_Toc26357955"/>
      <w:bookmarkStart w:id="164" w:name="_Toc95924941"/>
      <w:r>
        <w:t>9.4</w:t>
      </w:r>
      <w:r>
        <w:tab/>
        <w:t>Получатели на финансова помощ за трети страни</w:t>
      </w:r>
      <w:bookmarkEnd w:id="163"/>
      <w:bookmarkEnd w:id="164"/>
      <w:r>
        <w:t xml:space="preserve"> </w:t>
      </w:r>
    </w:p>
    <w:p w14:paraId="0E985404" w14:textId="77777777" w:rsidR="008907F4" w:rsidRPr="00704FAE" w:rsidRDefault="2FA6B974" w:rsidP="008907F4">
      <w:pPr>
        <w:adjustRightInd w:val="0"/>
        <w:rPr>
          <w:szCs w:val="24"/>
        </w:rPr>
      </w:pPr>
      <w:r>
        <w:t>Ако дейността включва предоставяне на финансова подкрепа за трети страни (например безвъзмездни средства, награди или подобни форми на подкрепа), бенефициерите трябва да гарантират, че техните договорни задължения по членове 12 (конфликт на интереси), 13 (поверителност и сигурност), 14 (етика), 17.2 (видимост), 18 (специални правила за извършване на дейността), 19 (информация) и 20 (съхраняване на документален архив) се прилагат и по отношение на третите страни, получаващи финансовата подкрепа.</w:t>
      </w:r>
    </w:p>
    <w:p w14:paraId="04DBD9ED" w14:textId="77777777" w:rsidR="008907F4" w:rsidRPr="00704FAE" w:rsidRDefault="2FA6B974" w:rsidP="008907F4">
      <w:pPr>
        <w:tabs>
          <w:tab w:val="left" w:pos="709"/>
          <w:tab w:val="left" w:pos="1134"/>
        </w:tabs>
        <w:adjustRightInd w:val="0"/>
        <w:rPr>
          <w:szCs w:val="24"/>
        </w:rPr>
      </w:pPr>
      <w:r>
        <w:t>Бенефициерите трябва също така да осигурят възможност на органите, посочени в член 25 (например предоставящия орган, Европейската служба за борба с измамите (OLAF), Европейската сметна палата и др.), да упражняват своите права и спрямо получателите.</w:t>
      </w:r>
      <w:r>
        <w:rPr>
          <w:b/>
          <w:bCs/>
          <w:i/>
          <w:iCs/>
          <w:color w:val="4AA55B"/>
        </w:rPr>
        <w:t xml:space="preserve"> </w:t>
      </w:r>
    </w:p>
    <w:p w14:paraId="0143FC9E" w14:textId="77777777" w:rsidR="008907F4" w:rsidRPr="00B217B2" w:rsidRDefault="008907F4" w:rsidP="2FA6B974">
      <w:pPr>
        <w:pStyle w:val="Heading4"/>
        <w:rPr>
          <w:color w:val="7F7F7F" w:themeColor="background1" w:themeShade="7F"/>
        </w:rPr>
      </w:pPr>
      <w:bookmarkStart w:id="165" w:name="_Toc530035887"/>
      <w:bookmarkStart w:id="166" w:name="_Toc24116072"/>
      <w:bookmarkStart w:id="167" w:name="_Toc24126550"/>
      <w:bookmarkStart w:id="168" w:name="_Toc95924942"/>
      <w:bookmarkStart w:id="169" w:name="_Toc399333241"/>
      <w:bookmarkStart w:id="170" w:name="_Toc425233949"/>
      <w:bookmarkStart w:id="171" w:name="_Toc425514255"/>
      <w:bookmarkStart w:id="172" w:name="_Toc428530997"/>
      <w:bookmarkStart w:id="173" w:name="_Toc524697206"/>
      <w:bookmarkStart w:id="174" w:name="_Toc529197667"/>
      <w:r>
        <w:rPr>
          <w:color w:val="7F7F7F" w:themeColor="text1" w:themeTint="80"/>
          <w:shd w:val="clear" w:color="auto" w:fill="CCFFFF"/>
        </w:rPr>
        <w:t>ЧЛЕН 10 — УЧАСТНИЦИ СЪС СПЕЦИАЛЕН СТАТУТ</w:t>
      </w:r>
      <w:bookmarkEnd w:id="165"/>
      <w:bookmarkEnd w:id="166"/>
      <w:bookmarkEnd w:id="167"/>
      <w:bookmarkEnd w:id="168"/>
      <w:r>
        <w:rPr>
          <w:color w:val="7F7F7F" w:themeColor="text1" w:themeTint="80"/>
        </w:rPr>
        <w:t xml:space="preserve"> </w:t>
      </w:r>
      <w:bookmarkEnd w:id="169"/>
      <w:bookmarkEnd w:id="170"/>
      <w:bookmarkEnd w:id="171"/>
      <w:bookmarkEnd w:id="172"/>
      <w:bookmarkEnd w:id="173"/>
      <w:bookmarkEnd w:id="174"/>
    </w:p>
    <w:p w14:paraId="283EF09F" w14:textId="5A904631" w:rsidR="008907F4" w:rsidRPr="00B217B2" w:rsidRDefault="008907F4" w:rsidP="2FA6B974">
      <w:pPr>
        <w:tabs>
          <w:tab w:val="left" w:pos="851"/>
        </w:tabs>
        <w:rPr>
          <w:color w:val="7F7F7F" w:themeColor="background1" w:themeShade="7F"/>
        </w:rPr>
      </w:pPr>
      <w:r>
        <w:rPr>
          <w:color w:val="7F7F7F" w:themeColor="text1" w:themeTint="80"/>
          <w:shd w:val="clear" w:color="auto" w:fill="CCFFFF"/>
        </w:rPr>
        <w:t>Не е приложимо</w:t>
      </w:r>
      <w:r>
        <w:rPr>
          <w:color w:val="7F7F7F" w:themeColor="text1" w:themeTint="80"/>
        </w:rPr>
        <w:t xml:space="preserve"> </w:t>
      </w:r>
      <w:bookmarkStart w:id="175" w:name="_Toc529197671"/>
      <w:bookmarkStart w:id="176" w:name="_Toc530035888"/>
      <w:bookmarkEnd w:id="175"/>
    </w:p>
    <w:p w14:paraId="11A1D896" w14:textId="77777777" w:rsidR="008907F4" w:rsidRPr="009762B7" w:rsidRDefault="008907F4" w:rsidP="2FA6B974">
      <w:pPr>
        <w:pStyle w:val="Heading2"/>
        <w:rPr>
          <w:rFonts w:eastAsia="Times New Roman" w:cs="Times New Roman"/>
          <w:color w:val="FF0000"/>
        </w:rPr>
      </w:pPr>
      <w:bookmarkStart w:id="177" w:name="_Toc24116077"/>
      <w:bookmarkStart w:id="178" w:name="_Toc24126554"/>
      <w:bookmarkStart w:id="179" w:name="_Toc95924943"/>
      <w:r>
        <w:t>РАЗДЕЛ 2</w:t>
      </w:r>
      <w:r>
        <w:tab/>
        <w:t>ПРАВИЛА ЗА ИЗВЪРШВАНЕ НА ДЕЙНОСТТА</w:t>
      </w:r>
      <w:bookmarkEnd w:id="176"/>
      <w:bookmarkEnd w:id="177"/>
      <w:bookmarkEnd w:id="178"/>
      <w:bookmarkEnd w:id="179"/>
    </w:p>
    <w:p w14:paraId="08FEA2CA" w14:textId="77777777" w:rsidR="008907F4" w:rsidRPr="00C32F84" w:rsidRDefault="2FA6B974" w:rsidP="2FA6B974">
      <w:pPr>
        <w:pStyle w:val="Heading4"/>
      </w:pPr>
      <w:bookmarkStart w:id="180" w:name="_Toc95924944"/>
      <w:bookmarkStart w:id="181" w:name="_Toc431302908"/>
      <w:bookmarkStart w:id="182" w:name="_Toc433729023"/>
      <w:bookmarkStart w:id="183" w:name="_Toc435778908"/>
      <w:bookmarkStart w:id="184" w:name="_Toc505285881"/>
      <w:bookmarkStart w:id="185" w:name="_Toc529197673"/>
      <w:bookmarkStart w:id="186" w:name="_Toc530035889"/>
      <w:bookmarkStart w:id="187" w:name="_Toc24116079"/>
      <w:bookmarkStart w:id="188" w:name="_Toc24126556"/>
      <w:r>
        <w:t>ЧЛЕН 11 — НАДЛЕЖНО ИЗПЪЛНЕНИЕ НА ДЕЙНОСТТА</w:t>
      </w:r>
      <w:bookmarkEnd w:id="180"/>
      <w:r>
        <w:t xml:space="preserve"> </w:t>
      </w:r>
      <w:bookmarkEnd w:id="181"/>
      <w:bookmarkEnd w:id="182"/>
      <w:bookmarkEnd w:id="183"/>
      <w:bookmarkEnd w:id="184"/>
      <w:bookmarkEnd w:id="185"/>
      <w:bookmarkEnd w:id="186"/>
      <w:bookmarkEnd w:id="187"/>
      <w:bookmarkEnd w:id="188"/>
    </w:p>
    <w:p w14:paraId="2BB7C243" w14:textId="77777777" w:rsidR="008907F4" w:rsidRPr="00C32F84" w:rsidRDefault="008907F4" w:rsidP="008907F4">
      <w:pPr>
        <w:pStyle w:val="Heading5"/>
      </w:pPr>
      <w:bookmarkStart w:id="189" w:name="_Toc431302909"/>
      <w:bookmarkStart w:id="190" w:name="_Toc433729024"/>
      <w:bookmarkStart w:id="191" w:name="_Toc435778909"/>
      <w:bookmarkStart w:id="192" w:name="_Toc505285882"/>
      <w:bookmarkStart w:id="193" w:name="_Toc529197674"/>
      <w:bookmarkStart w:id="194" w:name="_Toc24116080"/>
      <w:bookmarkStart w:id="195" w:name="_Toc24126557"/>
      <w:bookmarkStart w:id="196" w:name="_Toc95924945"/>
      <w:r>
        <w:t xml:space="preserve">11.1 </w:t>
      </w:r>
      <w:r>
        <w:tab/>
        <w:t>Задължение за надлежно изпълнение на дейността</w:t>
      </w:r>
      <w:bookmarkEnd w:id="189"/>
      <w:bookmarkEnd w:id="190"/>
      <w:bookmarkEnd w:id="191"/>
      <w:bookmarkEnd w:id="192"/>
      <w:bookmarkEnd w:id="193"/>
      <w:bookmarkEnd w:id="194"/>
      <w:bookmarkEnd w:id="195"/>
      <w:bookmarkEnd w:id="196"/>
    </w:p>
    <w:p w14:paraId="43A4603D" w14:textId="77777777" w:rsidR="008907F4" w:rsidRDefault="2FA6B974" w:rsidP="2FA6B974">
      <w:pPr>
        <w:adjustRightInd w:val="0"/>
        <w:rPr>
          <w:rFonts w:eastAsia="Times New Roman"/>
        </w:rPr>
      </w:pPr>
      <w:r>
        <w:t xml:space="preserve">Бенефициерите трябва да изпълняват дейността, както е описано в приложение 1 и в съответствие с разпоредбите на споразумението, с условията на поканата и с всички законови задължения съгласно приложимото право на ЕС, международното и националното право. </w:t>
      </w:r>
    </w:p>
    <w:p w14:paraId="140CE8D4" w14:textId="77777777" w:rsidR="008907F4" w:rsidRPr="009F0AF8" w:rsidRDefault="008907F4" w:rsidP="008907F4">
      <w:pPr>
        <w:pStyle w:val="Heading5"/>
      </w:pPr>
      <w:bookmarkStart w:id="197" w:name="_Toc440644771"/>
      <w:bookmarkStart w:id="198" w:name="_Toc474224138"/>
      <w:bookmarkStart w:id="199" w:name="_Toc529197675"/>
      <w:bookmarkStart w:id="200" w:name="_Toc24116081"/>
      <w:bookmarkStart w:id="201" w:name="_Toc24126558"/>
      <w:bookmarkStart w:id="202" w:name="_Toc95924946"/>
      <w:r>
        <w:t>11.2</w:t>
      </w:r>
      <w:r>
        <w:tab/>
        <w:t>Последствия при неизпълнение</w:t>
      </w:r>
      <w:bookmarkEnd w:id="197"/>
      <w:bookmarkEnd w:id="198"/>
      <w:bookmarkEnd w:id="199"/>
      <w:bookmarkEnd w:id="200"/>
      <w:bookmarkEnd w:id="201"/>
      <w:bookmarkEnd w:id="202"/>
      <w:r>
        <w:t xml:space="preserve"> </w:t>
      </w:r>
    </w:p>
    <w:p w14:paraId="4E4CD4F2" w14:textId="77777777" w:rsidR="008907F4" w:rsidRPr="009F0AF8" w:rsidRDefault="2FA6B974" w:rsidP="2FA6B974">
      <w:pPr>
        <w:rPr>
          <w:rFonts w:eastAsia="Calibri" w:cs="Times New Roman"/>
        </w:rPr>
      </w:pPr>
      <w:r>
        <w:t xml:space="preserve">Ако даден бенефициер наруши което и да е от задълженията си по настоящия член, размерът на безвъзмездните средства може да бъде намален (вж. член 28). </w:t>
      </w:r>
    </w:p>
    <w:p w14:paraId="74923023" w14:textId="77777777" w:rsidR="008907F4" w:rsidRDefault="2FA6B974" w:rsidP="2FA6B974">
      <w:pPr>
        <w:adjustRightInd w:val="0"/>
        <w:rPr>
          <w:rFonts w:eastAsia="Calibri" w:cs="Times New Roman"/>
        </w:rPr>
      </w:pPr>
      <w:r>
        <w:t xml:space="preserve">Такива нарушения могат да доведат и до прилагане на други мерки, описани в глава 5. </w:t>
      </w:r>
      <w:bookmarkStart w:id="203" w:name="_Toc524697211"/>
      <w:bookmarkStart w:id="204" w:name="_Toc529197676"/>
      <w:bookmarkStart w:id="205" w:name="_Toc530035890"/>
    </w:p>
    <w:p w14:paraId="274DA1F5" w14:textId="77777777" w:rsidR="008907F4" w:rsidRPr="005E41F4" w:rsidRDefault="2FA6B974" w:rsidP="2FA6B974">
      <w:pPr>
        <w:pStyle w:val="Heading4"/>
        <w:rPr>
          <w:rFonts w:eastAsia="Times New Roman"/>
        </w:rPr>
      </w:pPr>
      <w:bookmarkStart w:id="206" w:name="_Toc95924947"/>
      <w:bookmarkStart w:id="207" w:name="_Toc524697220"/>
      <w:bookmarkStart w:id="208" w:name="_Toc529197700"/>
      <w:bookmarkStart w:id="209" w:name="_Toc530035906"/>
      <w:bookmarkStart w:id="210" w:name="_Toc24116094"/>
      <w:bookmarkStart w:id="211" w:name="_Toc24126571"/>
      <w:bookmarkEnd w:id="203"/>
      <w:bookmarkEnd w:id="204"/>
      <w:bookmarkEnd w:id="205"/>
      <w:r>
        <w:lastRenderedPageBreak/>
        <w:t>ЧЛЕН 12 — КОНФЛИКТ НА ИНТЕРЕСИ</w:t>
      </w:r>
      <w:bookmarkEnd w:id="206"/>
      <w:r>
        <w:t xml:space="preserve"> </w:t>
      </w:r>
      <w:bookmarkEnd w:id="207"/>
      <w:bookmarkEnd w:id="208"/>
      <w:bookmarkEnd w:id="209"/>
      <w:bookmarkEnd w:id="210"/>
      <w:bookmarkEnd w:id="211"/>
    </w:p>
    <w:p w14:paraId="684AF590" w14:textId="77777777" w:rsidR="008907F4" w:rsidRPr="005E41F4" w:rsidRDefault="008907F4" w:rsidP="008907F4">
      <w:pPr>
        <w:pStyle w:val="Heading5"/>
      </w:pPr>
      <w:bookmarkStart w:id="212" w:name="_Toc529197701"/>
      <w:bookmarkStart w:id="213" w:name="_Toc24116095"/>
      <w:bookmarkStart w:id="214" w:name="_Toc24126572"/>
      <w:bookmarkStart w:id="215" w:name="_Toc95924948"/>
      <w:r>
        <w:t>12.1</w:t>
      </w:r>
      <w:r>
        <w:tab/>
        <w:t>Конфликт на интереси</w:t>
      </w:r>
      <w:bookmarkEnd w:id="212"/>
      <w:bookmarkEnd w:id="213"/>
      <w:bookmarkEnd w:id="214"/>
      <w:bookmarkEnd w:id="215"/>
    </w:p>
    <w:p w14:paraId="1EBB930B" w14:textId="77777777" w:rsidR="008907F4" w:rsidRDefault="2FA6B974" w:rsidP="2FA6B974">
      <w:pPr>
        <w:rPr>
          <w:rFonts w:eastAsia="Times New Roman"/>
        </w:rPr>
      </w:pPr>
      <w:r>
        <w:t>Бенефициерите трябва да предприемат всички мерки за предотвратяване на ситуации, при които безпристрастното и обективно изпълнение на споразумението би могло да бъде изложено на риск по причини, свързани със семейството, емоционалния живот, политически или национални пристрастия, икономически интерес или друг пряк или косвен интерес („конфликт на интереси“).</w:t>
      </w:r>
    </w:p>
    <w:p w14:paraId="1D04DEE5" w14:textId="1CBF5DC6" w:rsidR="008907F4" w:rsidRPr="005E41F4" w:rsidRDefault="2FA6B974" w:rsidP="2FA6B974">
      <w:pPr>
        <w:rPr>
          <w:rFonts w:eastAsia="Times New Roman"/>
        </w:rPr>
      </w:pPr>
      <w:r>
        <w:t xml:space="preserve">Те са длъжни незабавно да уведомят официално предоставящия орган за всяка ситуация, която представлява или може да доведе до конфликт на интереси, и незабавно да предприемат всички необходими стъпки за коригиране на ситуацията. </w:t>
      </w:r>
    </w:p>
    <w:p w14:paraId="5EE7BF1F" w14:textId="4CD166DA" w:rsidR="008907F4" w:rsidRPr="005E41F4" w:rsidRDefault="2FA6B974" w:rsidP="2FA6B974">
      <w:pPr>
        <w:rPr>
          <w:rFonts w:eastAsia="Times New Roman"/>
        </w:rPr>
      </w:pPr>
      <w:r>
        <w:t>Предоставящият орган може да извърши проверка, за да потвърди, че предприетите мерки са подходящи, както и да изиска прилагане на допълнителни мерки в конкретен срок.</w:t>
      </w:r>
    </w:p>
    <w:p w14:paraId="7B9BF07C" w14:textId="77777777" w:rsidR="008907F4" w:rsidRPr="005E41F4" w:rsidRDefault="008907F4" w:rsidP="008907F4">
      <w:pPr>
        <w:pStyle w:val="Heading5"/>
      </w:pPr>
      <w:bookmarkStart w:id="216" w:name="_Toc529197702"/>
      <w:bookmarkStart w:id="217" w:name="_Toc24116096"/>
      <w:bookmarkStart w:id="218" w:name="_Toc24126573"/>
      <w:bookmarkStart w:id="219" w:name="_Toc95924949"/>
      <w:r>
        <w:t>12.2</w:t>
      </w:r>
      <w:r>
        <w:tab/>
        <w:t>Последствия при неизпълнение</w:t>
      </w:r>
      <w:bookmarkEnd w:id="216"/>
      <w:bookmarkEnd w:id="217"/>
      <w:bookmarkEnd w:id="218"/>
      <w:bookmarkEnd w:id="219"/>
      <w:r>
        <w:t xml:space="preserve"> </w:t>
      </w:r>
    </w:p>
    <w:p w14:paraId="2865B84A" w14:textId="77777777" w:rsidR="008907F4" w:rsidRPr="005E41F4" w:rsidRDefault="2FA6B974" w:rsidP="2FA6B974">
      <w:pPr>
        <w:autoSpaceDE w:val="0"/>
        <w:autoSpaceDN w:val="0"/>
        <w:adjustRightInd w:val="0"/>
        <w:rPr>
          <w:color w:val="000000" w:themeColor="text1"/>
        </w:rPr>
      </w:pPr>
      <w:r>
        <w:rPr>
          <w:color w:val="000000" w:themeColor="text1"/>
        </w:rPr>
        <w:t>Ако бенефициер наруши което и да е от задълженията си по настоящия</w:t>
      </w:r>
      <w:r>
        <w:t xml:space="preserve"> член,</w:t>
      </w:r>
      <w:r>
        <w:rPr>
          <w:i/>
          <w:iCs/>
        </w:rPr>
        <w:t xml:space="preserve"> </w:t>
      </w:r>
      <w:r>
        <w:rPr>
          <w:color w:val="000000" w:themeColor="text1"/>
        </w:rPr>
        <w:t>размерът на безвъзмездните средства може да бъде намален (вж. член 28), а предоставянето на безвъзмездните средства или участието на бенефициера — прекратени (вж. член 32).</w:t>
      </w:r>
    </w:p>
    <w:p w14:paraId="615BB072" w14:textId="77777777" w:rsidR="008907F4" w:rsidRDefault="2FA6B974" w:rsidP="2FA6B974">
      <w:pPr>
        <w:rPr>
          <w:color w:val="000000" w:themeColor="text1"/>
        </w:rPr>
      </w:pPr>
      <w:r>
        <w:rPr>
          <w:color w:val="000000" w:themeColor="text1"/>
        </w:rPr>
        <w:t>Такива нарушения могат да доведат и до прилагане на други мерки, описани в глава 5.</w:t>
      </w:r>
    </w:p>
    <w:p w14:paraId="158CDCC9" w14:textId="77777777" w:rsidR="008907F4" w:rsidRDefault="2FA6B974" w:rsidP="2FA6B974">
      <w:pPr>
        <w:pStyle w:val="Heading4"/>
      </w:pPr>
      <w:bookmarkStart w:id="220" w:name="_Toc524697221"/>
      <w:bookmarkStart w:id="221" w:name="_Toc529197703"/>
      <w:bookmarkStart w:id="222" w:name="_Toc530035907"/>
      <w:bookmarkStart w:id="223" w:name="_Toc24116097"/>
      <w:bookmarkStart w:id="224" w:name="_Toc24126574"/>
      <w:bookmarkStart w:id="225" w:name="_Toc95924950"/>
      <w:r>
        <w:t>ЧЛЕН 13 — ПОВЕРИТЕЛНОСТ И СИГУРНОСТ</w:t>
      </w:r>
      <w:bookmarkEnd w:id="220"/>
      <w:bookmarkEnd w:id="221"/>
      <w:bookmarkEnd w:id="222"/>
      <w:bookmarkEnd w:id="223"/>
      <w:bookmarkEnd w:id="224"/>
      <w:bookmarkEnd w:id="225"/>
    </w:p>
    <w:p w14:paraId="57FEB68D" w14:textId="77777777" w:rsidR="008907F4" w:rsidRPr="00465AB7" w:rsidRDefault="008907F4" w:rsidP="008907F4">
      <w:pPr>
        <w:pStyle w:val="Heading5"/>
      </w:pPr>
      <w:bookmarkStart w:id="226" w:name="_Toc529197704"/>
      <w:bookmarkStart w:id="227" w:name="_Toc24116098"/>
      <w:bookmarkStart w:id="228" w:name="_Toc24126575"/>
      <w:bookmarkStart w:id="229" w:name="_Toc95924951"/>
      <w:r>
        <w:t>13.1</w:t>
      </w:r>
      <w:r>
        <w:tab/>
      </w:r>
      <w:bookmarkEnd w:id="226"/>
      <w:r>
        <w:t>Чувствителна информация</w:t>
      </w:r>
      <w:bookmarkEnd w:id="227"/>
      <w:bookmarkEnd w:id="228"/>
      <w:bookmarkEnd w:id="229"/>
    </w:p>
    <w:p w14:paraId="61AE2D84" w14:textId="77777777" w:rsidR="008907F4" w:rsidRPr="00465AB7" w:rsidRDefault="2FA6B974" w:rsidP="2FA6B974">
      <w:pPr>
        <w:rPr>
          <w:rFonts w:eastAsia="Times New Roman"/>
        </w:rPr>
      </w:pPr>
      <w:r>
        <w:t>Страните трябва да опазват поверителността на всички данни, документи или други материали (в каквато и да е форма), които се определят като чувствителни в писмена форма („чувствителна информация“) — по време на изпълнението на дейността и най-малко до срока, посочен в Техническите спецификации (вж. точка 6).</w:t>
      </w:r>
    </w:p>
    <w:p w14:paraId="7215092D" w14:textId="2272567F" w:rsidR="008907F4" w:rsidRPr="00465AB7" w:rsidRDefault="2FA6B974" w:rsidP="2FA6B974">
      <w:pPr>
        <w:rPr>
          <w:rFonts w:eastAsia="Calibri" w:cs="Times New Roman"/>
        </w:rPr>
      </w:pPr>
      <w:r>
        <w:t>По искане на бенефициер предоставящият орган може да се съгласи да съхранява тази информация като поверителна за по-дълъг период.</w:t>
      </w:r>
    </w:p>
    <w:p w14:paraId="2C0DF697" w14:textId="77777777" w:rsidR="008907F4" w:rsidRPr="00465AB7" w:rsidRDefault="2FA6B974" w:rsidP="008907F4">
      <w:pPr>
        <w:rPr>
          <w:szCs w:val="24"/>
        </w:rPr>
      </w:pPr>
      <w:r>
        <w:t xml:space="preserve">Освен ако страните не са договорили друго, те могат да ползват чувствителна информация само за изпълнението на споразумението. </w:t>
      </w:r>
    </w:p>
    <w:p w14:paraId="2EB9C06B" w14:textId="77777777" w:rsidR="008907F4" w:rsidRPr="00842CA0" w:rsidRDefault="2FA6B974" w:rsidP="2FA6B974">
      <w:pPr>
        <w:rPr>
          <w:rFonts w:eastAsia="Calibri" w:cs="Times New Roman"/>
        </w:rPr>
      </w:pPr>
      <w:r>
        <w:t>Бенефициерите могат да разкриват чувствителна информация на своя персонал или на други участници, ангажирани в дейността, само ако:</w:t>
      </w:r>
    </w:p>
    <w:p w14:paraId="2717A03D" w14:textId="77777777" w:rsidR="008907F4" w:rsidRPr="00E321D8" w:rsidRDefault="2FA6B974" w:rsidP="2FA6B974">
      <w:pPr>
        <w:numPr>
          <w:ilvl w:val="0"/>
          <w:numId w:val="43"/>
        </w:numPr>
        <w:ind w:left="714" w:hanging="357"/>
        <w:rPr>
          <w:rFonts w:eastAsia="Calibri" w:cs="Times New Roman"/>
        </w:rPr>
      </w:pPr>
      <w:r>
        <w:t>е необходимо да разполагат с нея за изпълнението на споразумението и</w:t>
      </w:r>
    </w:p>
    <w:p w14:paraId="506B160E" w14:textId="77777777" w:rsidR="008907F4" w:rsidRPr="00E321D8" w:rsidRDefault="2FA6B974" w:rsidP="2FA6B974">
      <w:pPr>
        <w:numPr>
          <w:ilvl w:val="0"/>
          <w:numId w:val="43"/>
        </w:numPr>
        <w:ind w:left="714" w:hanging="357"/>
        <w:rPr>
          <w:rFonts w:eastAsia="Calibri" w:cs="Times New Roman"/>
        </w:rPr>
      </w:pPr>
      <w:r>
        <w:t>са поели задължение за опазване на поверителността.</w:t>
      </w:r>
    </w:p>
    <w:p w14:paraId="373A0562" w14:textId="5A080B32" w:rsidR="008907F4" w:rsidRPr="00E44B72" w:rsidRDefault="2FA6B974" w:rsidP="2FA6B974">
      <w:pPr>
        <w:rPr>
          <w:rFonts w:eastAsia="Calibri" w:cs="Times New Roman"/>
        </w:rPr>
      </w:pPr>
      <w:r>
        <w:t xml:space="preserve">Предоставящият орган може да разкрива чувствителна информация на институции и органи на ЕС. </w:t>
      </w:r>
    </w:p>
    <w:p w14:paraId="47ED4277" w14:textId="77777777" w:rsidR="008907F4" w:rsidRPr="00E44B72" w:rsidRDefault="2FA6B974" w:rsidP="2FA6B974">
      <w:pPr>
        <w:rPr>
          <w:rFonts w:eastAsia="Calibri" w:cs="Times New Roman"/>
        </w:rPr>
      </w:pPr>
      <w:r>
        <w:t>Освен това той може да разкрива чувствителна информация на трети страни, ако:</w:t>
      </w:r>
    </w:p>
    <w:p w14:paraId="741B9C1B" w14:textId="77777777" w:rsidR="008907F4" w:rsidRPr="00E44B72" w:rsidRDefault="2FA6B974" w:rsidP="2FA6B974">
      <w:pPr>
        <w:numPr>
          <w:ilvl w:val="0"/>
          <w:numId w:val="81"/>
        </w:numPr>
        <w:rPr>
          <w:rFonts w:eastAsia="Calibri" w:cs="Times New Roman"/>
        </w:rPr>
      </w:pPr>
      <w:r>
        <w:lastRenderedPageBreak/>
        <w:t xml:space="preserve">това е необходимо с оглед изпълнение на споразумението или за </w:t>
      </w:r>
      <w:r>
        <w:rPr>
          <w:color w:val="000000" w:themeColor="text1"/>
        </w:rPr>
        <w:t>защита на финансовите интереси на ЕС</w:t>
      </w:r>
      <w:r>
        <w:t xml:space="preserve"> и </w:t>
      </w:r>
    </w:p>
    <w:p w14:paraId="62409F95" w14:textId="77777777" w:rsidR="008907F4" w:rsidRPr="00E44B72" w:rsidRDefault="2FA6B974" w:rsidP="2FA6B974">
      <w:pPr>
        <w:numPr>
          <w:ilvl w:val="0"/>
          <w:numId w:val="81"/>
        </w:numPr>
        <w:rPr>
          <w:rFonts w:eastAsia="Calibri" w:cs="Times New Roman"/>
        </w:rPr>
      </w:pPr>
      <w:r>
        <w:t xml:space="preserve">получателите на информацията са поели задължение за опазване на поверителността. </w:t>
      </w:r>
    </w:p>
    <w:p w14:paraId="643706FF" w14:textId="77777777" w:rsidR="008907F4" w:rsidRPr="00E44B72" w:rsidRDefault="2FA6B974" w:rsidP="2FA6B974">
      <w:pPr>
        <w:rPr>
          <w:rFonts w:eastAsia="Times New Roman"/>
        </w:rPr>
      </w:pPr>
      <w:r>
        <w:t>Задълженията за поверителност не са приложими, ако:</w:t>
      </w:r>
    </w:p>
    <w:p w14:paraId="2E1445BF" w14:textId="0A08BBDA" w:rsidR="008907F4" w:rsidRPr="00E44B72" w:rsidRDefault="2FA6B974" w:rsidP="2FA6B974">
      <w:pPr>
        <w:numPr>
          <w:ilvl w:val="0"/>
          <w:numId w:val="82"/>
        </w:numPr>
        <w:rPr>
          <w:rFonts w:eastAsia="Times New Roman"/>
        </w:rPr>
      </w:pPr>
      <w:r>
        <w:t>разкриващата страна е дала съгласие да освободи от отговорност другата страна;</w:t>
      </w:r>
    </w:p>
    <w:p w14:paraId="5AC47372" w14:textId="4FE2C003" w:rsidR="008907F4" w:rsidRPr="000114C9" w:rsidRDefault="2FA6B974" w:rsidP="2FA6B974">
      <w:pPr>
        <w:numPr>
          <w:ilvl w:val="0"/>
          <w:numId w:val="82"/>
        </w:numPr>
        <w:rPr>
          <w:rFonts w:eastAsia="Times New Roman"/>
        </w:rPr>
      </w:pPr>
      <w:r>
        <w:t>информацията е станала общодостъпна, без да е налице нарушение на задължението за поверителност;</w:t>
      </w:r>
    </w:p>
    <w:p w14:paraId="3D8DCC0F" w14:textId="77777777" w:rsidR="008907F4" w:rsidRPr="00465AB7" w:rsidRDefault="2FA6B974" w:rsidP="2FA6B974">
      <w:pPr>
        <w:numPr>
          <w:ilvl w:val="0"/>
          <w:numId w:val="82"/>
        </w:numPr>
        <w:rPr>
          <w:rFonts w:eastAsia="Times New Roman"/>
        </w:rPr>
      </w:pPr>
      <w:r>
        <w:t>разкриването на чувствителната информация се изисква по силата на правото на ЕС, международното или националното право.</w:t>
      </w:r>
    </w:p>
    <w:p w14:paraId="03DA27A8" w14:textId="77777777" w:rsidR="008907F4" w:rsidRPr="00465AB7" w:rsidRDefault="2FA6B974" w:rsidP="2FA6B974">
      <w:pPr>
        <w:rPr>
          <w:rFonts w:eastAsia="Times New Roman"/>
        </w:rPr>
      </w:pPr>
      <w:r>
        <w:t>Специалните правила за поверителност (ако има такива) са описани в приложение 5.</w:t>
      </w:r>
    </w:p>
    <w:p w14:paraId="63300117" w14:textId="77777777" w:rsidR="008907F4" w:rsidRPr="00465AB7" w:rsidRDefault="008907F4" w:rsidP="008907F4">
      <w:pPr>
        <w:pStyle w:val="Heading5"/>
      </w:pPr>
      <w:bookmarkStart w:id="230" w:name="_Toc24116099"/>
      <w:bookmarkStart w:id="231" w:name="_Toc24126576"/>
      <w:bookmarkStart w:id="232" w:name="_Toc95924952"/>
      <w:bookmarkStart w:id="233" w:name="_Toc529197705"/>
      <w:r>
        <w:t>13.2</w:t>
      </w:r>
      <w:r>
        <w:tab/>
        <w:t>Класифицирана информация</w:t>
      </w:r>
      <w:bookmarkEnd w:id="230"/>
      <w:bookmarkEnd w:id="231"/>
      <w:bookmarkEnd w:id="232"/>
    </w:p>
    <w:p w14:paraId="43A6BDE0" w14:textId="77777777" w:rsidR="008907F4" w:rsidRPr="00465AB7" w:rsidRDefault="008907F4" w:rsidP="2FA6B974">
      <w:pPr>
        <w:rPr>
          <w:rFonts w:eastAsia="Calibri" w:cs="Times New Roman"/>
        </w:rPr>
      </w:pPr>
      <w:r>
        <w:t>Страните трябва да обработват класифицираната информация в съответствие с приложимото право на ЕС, с международното или националното право в областта на класифицираната информация (по-специално Решение (ЕС, Евратом) 2015/444 на Комисията</w:t>
      </w:r>
      <w:r>
        <w:rPr>
          <w:rFonts w:eastAsia="Calibri" w:cs="Times New Roman"/>
          <w:vertAlign w:val="superscript"/>
        </w:rPr>
        <w:footnoteReference w:id="19"/>
      </w:r>
      <w:r>
        <w:t> и правилата за неговото прилагане).</w:t>
      </w:r>
    </w:p>
    <w:p w14:paraId="6ECF1124" w14:textId="040BA43A" w:rsidR="008907F4" w:rsidRPr="00465AB7" w:rsidRDefault="2FA6B974" w:rsidP="2FA6B974">
      <w:pPr>
        <w:rPr>
          <w:rFonts w:eastAsia="Calibri" w:cs="Times New Roman"/>
        </w:rPr>
      </w:pPr>
      <w:r>
        <w:t>Физически резултати, които съдържат класифицирана информация, се представят съгласно специални процедури, договорени с предоставящия орган.</w:t>
      </w:r>
    </w:p>
    <w:p w14:paraId="18D178F5" w14:textId="4B7B0A87" w:rsidR="008907F4" w:rsidRPr="00465AB7" w:rsidRDefault="2FA6B974" w:rsidP="2FA6B974">
      <w:pPr>
        <w:rPr>
          <w:rFonts w:cs="Times New Roman"/>
        </w:rPr>
      </w:pPr>
      <w:r>
        <w:t>Задачи от дейността, които включват класифицирана информация, могат да бъдат възлагани на подизпълнители само след изричното одобрение (в писмен вид) от страна на предоставящия орган.</w:t>
      </w:r>
    </w:p>
    <w:p w14:paraId="371A119E" w14:textId="7DE317C2" w:rsidR="008907F4" w:rsidRDefault="2FA6B974" w:rsidP="2FA6B974">
      <w:pPr>
        <w:rPr>
          <w:rFonts w:eastAsia="Calibri" w:cs="Times New Roman"/>
        </w:rPr>
      </w:pPr>
      <w:r>
        <w:t>Класифицираната информация не може да бъде разкривана на трета страна (включително участници, ангажирани в изпълнението на дейността) без предварителното изрично писмено одобрение от предоставящия орган.</w:t>
      </w:r>
    </w:p>
    <w:p w14:paraId="7E22A03A" w14:textId="77777777" w:rsidR="008907F4" w:rsidRPr="000114C9" w:rsidRDefault="2FA6B974" w:rsidP="2FA6B974">
      <w:pPr>
        <w:rPr>
          <w:rFonts w:eastAsia="Calibri" w:cs="Times New Roman"/>
        </w:rPr>
      </w:pPr>
      <w:r>
        <w:t>Специалните правила за поверителност (ако има такива) са описани в приложение 5.</w:t>
      </w:r>
    </w:p>
    <w:p w14:paraId="1169DC5D" w14:textId="77777777" w:rsidR="008907F4" w:rsidRPr="000114C9" w:rsidRDefault="008907F4" w:rsidP="008907F4">
      <w:pPr>
        <w:pStyle w:val="Heading5"/>
      </w:pPr>
      <w:bookmarkStart w:id="234" w:name="_Toc24116100"/>
      <w:bookmarkStart w:id="235" w:name="_Toc24126577"/>
      <w:bookmarkStart w:id="236" w:name="_Toc95924953"/>
      <w:r>
        <w:t>13.3</w:t>
      </w:r>
      <w:r>
        <w:tab/>
        <w:t>Последствия при неизпълнение</w:t>
      </w:r>
      <w:bookmarkEnd w:id="233"/>
      <w:bookmarkEnd w:id="234"/>
      <w:bookmarkEnd w:id="235"/>
      <w:bookmarkEnd w:id="236"/>
    </w:p>
    <w:p w14:paraId="2537A90A" w14:textId="77777777" w:rsidR="008907F4" w:rsidRPr="000114C9" w:rsidRDefault="2FA6B974" w:rsidP="008907F4">
      <w:pPr>
        <w:rPr>
          <w:bCs/>
          <w:szCs w:val="24"/>
        </w:rPr>
      </w:pPr>
      <w:r>
        <w:t xml:space="preserve">Ако даден бенефициер наруши което и да е от задълженията си по настоящия член, размерът на безвъзмездните средства може да бъде намален (вж. член 28). </w:t>
      </w:r>
    </w:p>
    <w:p w14:paraId="635CA286" w14:textId="77777777" w:rsidR="008907F4" w:rsidRPr="000114C9" w:rsidRDefault="2FA6B974" w:rsidP="008907F4">
      <w:pPr>
        <w:rPr>
          <w:szCs w:val="24"/>
        </w:rPr>
      </w:pPr>
      <w:r>
        <w:t>Такива нарушения могат да доведат и до прилагане на други мерки, описани в глава 5.</w:t>
      </w:r>
    </w:p>
    <w:p w14:paraId="73D3C9DD" w14:textId="77777777" w:rsidR="008907F4" w:rsidRPr="000114C9" w:rsidRDefault="2FA6B974" w:rsidP="2FA6B974">
      <w:pPr>
        <w:pStyle w:val="Heading4"/>
        <w:rPr>
          <w:rFonts w:eastAsia="Times New Roman"/>
        </w:rPr>
      </w:pPr>
      <w:bookmarkStart w:id="237" w:name="_Toc24116101"/>
      <w:bookmarkStart w:id="238" w:name="_Toc24126578"/>
      <w:bookmarkStart w:id="239" w:name="_Toc95924954"/>
      <w:bookmarkStart w:id="240" w:name="_Toc435109044"/>
      <w:bookmarkStart w:id="241" w:name="_Toc524697223"/>
      <w:bookmarkStart w:id="242" w:name="_Toc529197710"/>
      <w:bookmarkStart w:id="243" w:name="_Toc530035909"/>
      <w:r>
        <w:lastRenderedPageBreak/>
        <w:t>ЧЛЕН 14 — ЕТИКА И ЦЕННОСТИ</w:t>
      </w:r>
      <w:bookmarkEnd w:id="237"/>
      <w:bookmarkEnd w:id="238"/>
      <w:bookmarkEnd w:id="239"/>
    </w:p>
    <w:p w14:paraId="1EF425AA" w14:textId="77777777" w:rsidR="008907F4" w:rsidRPr="00411523" w:rsidRDefault="008907F4" w:rsidP="008907F4">
      <w:pPr>
        <w:pStyle w:val="Heading5"/>
      </w:pPr>
      <w:bookmarkStart w:id="244" w:name="_Toc24116102"/>
      <w:bookmarkStart w:id="245" w:name="_Toc24126579"/>
      <w:bookmarkStart w:id="246" w:name="_Toc95924955"/>
      <w:r>
        <w:t>14.1</w:t>
      </w:r>
      <w:r>
        <w:tab/>
        <w:t>Етика</w:t>
      </w:r>
      <w:bookmarkEnd w:id="244"/>
      <w:bookmarkEnd w:id="245"/>
      <w:bookmarkEnd w:id="246"/>
    </w:p>
    <w:p w14:paraId="1755A056" w14:textId="77777777" w:rsidR="008907F4" w:rsidRDefault="2FA6B974" w:rsidP="2FA6B974">
      <w:pPr>
        <w:rPr>
          <w:rFonts w:eastAsia="Calibri" w:cs="Times New Roman"/>
          <w:color w:val="000000" w:themeColor="text1"/>
        </w:rPr>
      </w:pPr>
      <w:r>
        <w:rPr>
          <w:color w:val="000000" w:themeColor="text1"/>
        </w:rPr>
        <w:t>Дейността се извършва в съответствие с най-високите етични стандарти</w:t>
      </w:r>
      <w:r>
        <w:t xml:space="preserve"> и приложимото право на </w:t>
      </w:r>
      <w:r>
        <w:rPr>
          <w:color w:val="000000" w:themeColor="text1"/>
        </w:rPr>
        <w:t>ЕС</w:t>
      </w:r>
      <w:r>
        <w:t xml:space="preserve">, международното </w:t>
      </w:r>
      <w:r>
        <w:rPr>
          <w:color w:val="000000" w:themeColor="text1"/>
        </w:rPr>
        <w:t xml:space="preserve">и националното право в областта на етичните принципи. </w:t>
      </w:r>
    </w:p>
    <w:p w14:paraId="4AF4B1D9" w14:textId="77777777" w:rsidR="008907F4" w:rsidRPr="000114C9" w:rsidRDefault="2FA6B974" w:rsidP="2FA6B974">
      <w:pPr>
        <w:rPr>
          <w:rFonts w:eastAsia="Calibri" w:cs="Times New Roman"/>
          <w:color w:val="000000" w:themeColor="text1"/>
        </w:rPr>
      </w:pPr>
      <w:r>
        <w:t>Специалните етични правила (ако има такива) са описани в приложение 5.</w:t>
      </w:r>
    </w:p>
    <w:p w14:paraId="2857AAEC" w14:textId="77777777" w:rsidR="008907F4" w:rsidRPr="000114C9" w:rsidRDefault="008907F4" w:rsidP="008907F4">
      <w:pPr>
        <w:pStyle w:val="Heading5"/>
      </w:pPr>
      <w:bookmarkStart w:id="247" w:name="_Toc24116103"/>
      <w:bookmarkStart w:id="248" w:name="_Toc24126580"/>
      <w:bookmarkStart w:id="249" w:name="_Toc95924956"/>
      <w:r>
        <w:t>14.2</w:t>
      </w:r>
      <w:r>
        <w:tab/>
        <w:t>Ценности</w:t>
      </w:r>
      <w:bookmarkEnd w:id="247"/>
      <w:bookmarkEnd w:id="248"/>
      <w:bookmarkEnd w:id="249"/>
    </w:p>
    <w:p w14:paraId="4644F873" w14:textId="77777777" w:rsidR="008907F4" w:rsidRPr="000114C9" w:rsidRDefault="2FA6B974" w:rsidP="2FA6B974">
      <w:pPr>
        <w:rPr>
          <w:rFonts w:eastAsia="Calibri" w:cs="Times New Roman"/>
          <w:color w:val="000000" w:themeColor="text1"/>
        </w:rPr>
      </w:pPr>
      <w:r>
        <w:rPr>
          <w:color w:val="000000" w:themeColor="text1"/>
        </w:rPr>
        <w:t>Бенефициерите трябва да се ангажират със и да гарантират зачитането на основните ценности на ЕС (като зачитане на човешкото достойнство, свободата, демокрацията, равенството, върховенството на закона и правата на човека, включително правата на лицата, които принадлежат към малцинства).</w:t>
      </w:r>
    </w:p>
    <w:p w14:paraId="5EFC3003" w14:textId="77777777" w:rsidR="008907F4" w:rsidRPr="000114C9" w:rsidRDefault="2FA6B974" w:rsidP="2FA6B974">
      <w:pPr>
        <w:rPr>
          <w:rFonts w:eastAsia="Calibri" w:cs="Times New Roman"/>
          <w:color w:val="000000" w:themeColor="text1"/>
        </w:rPr>
      </w:pPr>
      <w:r>
        <w:t>Специалните правила за ценностите (ако има такива) са описани в приложение 5.</w:t>
      </w:r>
    </w:p>
    <w:p w14:paraId="0BCAD3EF" w14:textId="77777777" w:rsidR="008907F4" w:rsidRPr="00123901" w:rsidRDefault="008907F4" w:rsidP="008907F4">
      <w:pPr>
        <w:pStyle w:val="Heading5"/>
      </w:pPr>
      <w:bookmarkStart w:id="250" w:name="_Toc24116104"/>
      <w:bookmarkStart w:id="251" w:name="_Toc24126581"/>
      <w:bookmarkStart w:id="252" w:name="_Toc95924957"/>
      <w:r>
        <w:t>14.3</w:t>
      </w:r>
      <w:r>
        <w:tab/>
        <w:t>Последствия при неизпълнение</w:t>
      </w:r>
      <w:bookmarkEnd w:id="250"/>
      <w:bookmarkEnd w:id="251"/>
      <w:bookmarkEnd w:id="252"/>
    </w:p>
    <w:p w14:paraId="7F31406D" w14:textId="77777777" w:rsidR="008907F4" w:rsidRPr="005E41F4" w:rsidRDefault="2FA6B974" w:rsidP="008907F4">
      <w:pPr>
        <w:rPr>
          <w:bCs/>
          <w:szCs w:val="24"/>
        </w:rPr>
      </w:pPr>
      <w:r>
        <w:t xml:space="preserve">Ако даден бенефициер наруши което и да е от задълженията си по настоящия член, размерът на безвъзмездните средства може да бъде намален (вж. член 28). </w:t>
      </w:r>
    </w:p>
    <w:p w14:paraId="1F81962D" w14:textId="77777777" w:rsidR="008907F4" w:rsidRDefault="2FA6B974" w:rsidP="2FA6B974">
      <w:r>
        <w:t xml:space="preserve">Такива нарушения могат да доведат и до прилагане на други мерки, описани в глава 5. </w:t>
      </w:r>
    </w:p>
    <w:p w14:paraId="496B0A7F" w14:textId="77777777" w:rsidR="008907F4" w:rsidRPr="005E41F4" w:rsidRDefault="2FA6B974" w:rsidP="2FA6B974">
      <w:pPr>
        <w:pStyle w:val="Heading4"/>
      </w:pPr>
      <w:bookmarkStart w:id="253" w:name="_Toc24116105"/>
      <w:bookmarkStart w:id="254" w:name="_Toc24126582"/>
      <w:bookmarkStart w:id="255" w:name="_Toc95924958"/>
      <w:r>
        <w:t>ЧЛЕН 15 — ЗАЩИТА НА ЛИЧНИТЕ ДАННИ</w:t>
      </w:r>
      <w:bookmarkEnd w:id="240"/>
      <w:bookmarkEnd w:id="241"/>
      <w:bookmarkEnd w:id="242"/>
      <w:bookmarkEnd w:id="243"/>
      <w:bookmarkEnd w:id="253"/>
      <w:bookmarkEnd w:id="254"/>
      <w:bookmarkEnd w:id="255"/>
    </w:p>
    <w:p w14:paraId="2A7E9549" w14:textId="77777777" w:rsidR="008907F4" w:rsidRPr="005E41F4" w:rsidRDefault="008907F4" w:rsidP="008907F4">
      <w:pPr>
        <w:pStyle w:val="Heading5"/>
      </w:pPr>
      <w:bookmarkStart w:id="256" w:name="_Toc435109045"/>
      <w:bookmarkStart w:id="257" w:name="_Toc529197711"/>
      <w:bookmarkStart w:id="258" w:name="_Toc24116106"/>
      <w:bookmarkStart w:id="259" w:name="_Toc24126583"/>
      <w:bookmarkStart w:id="260" w:name="_Toc95924959"/>
      <w:r>
        <w:t>15.1</w:t>
      </w:r>
      <w:r>
        <w:tab/>
      </w:r>
      <w:bookmarkStart w:id="261" w:name="_Toc391557654"/>
      <w:r>
        <w:t>Обработване на лични данни от</w:t>
      </w:r>
      <w:bookmarkEnd w:id="261"/>
      <w:r>
        <w:t xml:space="preserve"> </w:t>
      </w:r>
      <w:bookmarkEnd w:id="256"/>
      <w:r>
        <w:t>предоставящия орган</w:t>
      </w:r>
      <w:bookmarkEnd w:id="257"/>
      <w:bookmarkEnd w:id="258"/>
      <w:bookmarkEnd w:id="259"/>
      <w:bookmarkEnd w:id="260"/>
      <w:r>
        <w:t xml:space="preserve"> </w:t>
      </w:r>
    </w:p>
    <w:p w14:paraId="5531E19E" w14:textId="572BCE66" w:rsidR="008907F4" w:rsidRPr="00465AB7" w:rsidRDefault="008907F4" w:rsidP="2FA6B974">
      <w:pPr>
        <w:rPr>
          <w:rFonts w:eastAsia="Times New Roman"/>
        </w:rPr>
      </w:pPr>
      <w:r>
        <w:t xml:space="preserve">Личните данни по споразумението се обработват </w:t>
      </w:r>
      <w:r>
        <w:rPr>
          <w:shd w:val="clear" w:color="auto" w:fill="CCFFFF"/>
        </w:rPr>
        <w:t>за целите, предвидени в декларацията за поверителност</w:t>
      </w:r>
      <w:r>
        <w:t xml:space="preserve">, под отговорността на администратора на лични данни на предоставящия орган </w:t>
      </w:r>
      <w:r>
        <w:rPr>
          <w:shd w:val="clear" w:color="auto" w:fill="CCFFFF"/>
        </w:rPr>
        <w:t>в съответствие с приложимото законодателство за защита на данните, по-специално Регламент 2016/679</w:t>
      </w:r>
      <w:r>
        <w:rPr>
          <w:rStyle w:val="FootnoteReference"/>
          <w:rFonts w:eastAsia="Times New Roman"/>
          <w:shd w:val="clear" w:color="auto" w:fill="CCFFFF"/>
          <w:lang w:eastAsia="en-GB"/>
        </w:rPr>
        <w:footnoteReference w:id="20"/>
      </w:r>
      <w:r>
        <w:rPr>
          <w:shd w:val="clear" w:color="auto" w:fill="CCFFFF"/>
        </w:rPr>
        <w:t xml:space="preserve"> и свързаните с него национални актове</w:t>
      </w:r>
      <w:r>
        <w:t xml:space="preserve"> за защита на данните. </w:t>
      </w:r>
    </w:p>
    <w:p w14:paraId="7AAB7E52" w14:textId="77777777" w:rsidR="008907F4" w:rsidRPr="00465AB7" w:rsidRDefault="008907F4" w:rsidP="008907F4">
      <w:pPr>
        <w:pStyle w:val="Heading5"/>
      </w:pPr>
      <w:bookmarkStart w:id="262" w:name="_Toc367187735"/>
      <w:bookmarkStart w:id="263" w:name="_Toc391557655"/>
      <w:bookmarkStart w:id="264" w:name="_Toc435109046"/>
      <w:bookmarkStart w:id="265" w:name="_Toc529197712"/>
      <w:bookmarkStart w:id="266" w:name="_Toc24116107"/>
      <w:bookmarkStart w:id="267" w:name="_Toc24126584"/>
      <w:bookmarkStart w:id="268" w:name="_Toc95924960"/>
      <w:r>
        <w:t>15.2</w:t>
      </w:r>
      <w:r>
        <w:tab/>
        <w:t>Обработване на лични данни от страна на бенефициерите</w:t>
      </w:r>
      <w:bookmarkEnd w:id="262"/>
      <w:bookmarkEnd w:id="263"/>
      <w:bookmarkEnd w:id="264"/>
      <w:bookmarkEnd w:id="265"/>
      <w:bookmarkEnd w:id="266"/>
      <w:bookmarkEnd w:id="267"/>
      <w:bookmarkEnd w:id="268"/>
      <w:r>
        <w:t xml:space="preserve"> </w:t>
      </w:r>
    </w:p>
    <w:p w14:paraId="2019FA1D" w14:textId="70E0EF90" w:rsidR="008907F4" w:rsidRDefault="2FA6B974" w:rsidP="2FA6B974">
      <w:pPr>
        <w:rPr>
          <w:rFonts w:eastAsia="Times New Roman"/>
        </w:rPr>
      </w:pPr>
      <w:r>
        <w:t>Бенефициерите трябва да обработват личните данни по споразумението съгласно приложимото право на ЕС, международното и националното право в областта на защитата на личните данни (по-специално Регламент (ЕС) 2016/679).</w:t>
      </w:r>
    </w:p>
    <w:p w14:paraId="1F9CFAC9" w14:textId="77777777" w:rsidR="008907F4" w:rsidRDefault="2FA6B974" w:rsidP="2FA6B974">
      <w:r>
        <w:rPr>
          <w:color w:val="000000" w:themeColor="text1"/>
        </w:rPr>
        <w:t>Те трябва да гарантират</w:t>
      </w:r>
      <w:r>
        <w:t>, че личните данни:</w:t>
      </w:r>
    </w:p>
    <w:p w14:paraId="644DB919" w14:textId="5CA8A5F8" w:rsidR="008907F4" w:rsidRDefault="2FA6B974" w:rsidP="2FA6B974">
      <w:pPr>
        <w:pStyle w:val="ListParagraph"/>
        <w:numPr>
          <w:ilvl w:val="0"/>
          <w:numId w:val="52"/>
        </w:numPr>
        <w:spacing w:line="276" w:lineRule="auto"/>
      </w:pPr>
      <w:r>
        <w:t>се обработват законно, добросъвестно и по прозрачен начин по отношение на субектите на данните;</w:t>
      </w:r>
    </w:p>
    <w:p w14:paraId="14C2EA3F" w14:textId="2ABA36B9" w:rsidR="008907F4" w:rsidRDefault="2FA6B974" w:rsidP="2FA6B974">
      <w:pPr>
        <w:pStyle w:val="ListParagraph"/>
        <w:numPr>
          <w:ilvl w:val="0"/>
          <w:numId w:val="52"/>
        </w:numPr>
        <w:spacing w:line="276" w:lineRule="auto"/>
      </w:pPr>
      <w:r>
        <w:lastRenderedPageBreak/>
        <w:t>се събират за конкретни, изрично указани и легитимни цели и не се обработват по-нататък по начин, несъвместим с тези цели;</w:t>
      </w:r>
    </w:p>
    <w:p w14:paraId="14A13786" w14:textId="386047A0" w:rsidR="008907F4" w:rsidRDefault="2FA6B974" w:rsidP="2FA6B974">
      <w:pPr>
        <w:pStyle w:val="ListParagraph"/>
        <w:numPr>
          <w:ilvl w:val="0"/>
          <w:numId w:val="52"/>
        </w:numPr>
        <w:spacing w:line="276" w:lineRule="auto"/>
      </w:pPr>
      <w:r>
        <w:t>са целесъобразни, от значение за и ограничени до степента, необходима за целите, за които се обработват;</w:t>
      </w:r>
    </w:p>
    <w:p w14:paraId="07DBD1D8" w14:textId="0567A8B2" w:rsidR="008907F4" w:rsidRDefault="2FA6B974" w:rsidP="2FA6B974">
      <w:pPr>
        <w:pStyle w:val="ListParagraph"/>
        <w:numPr>
          <w:ilvl w:val="0"/>
          <w:numId w:val="52"/>
        </w:numPr>
        <w:spacing w:line="276" w:lineRule="auto"/>
      </w:pPr>
      <w:r>
        <w:t>са точни и при необходимост се актуализират;</w:t>
      </w:r>
    </w:p>
    <w:p w14:paraId="170E0DDC" w14:textId="77777777" w:rsidR="008907F4" w:rsidRDefault="2FA6B974" w:rsidP="2FA6B974">
      <w:pPr>
        <w:pStyle w:val="ListParagraph"/>
        <w:numPr>
          <w:ilvl w:val="0"/>
          <w:numId w:val="52"/>
        </w:numPr>
        <w:spacing w:line="276" w:lineRule="auto"/>
      </w:pPr>
      <w:r>
        <w:t>се съхраняват във вид, който позволява идентифицирането на субектите на данните, за период не по-дълъг от необходимия за целите, за които данните се обработват; и</w:t>
      </w:r>
    </w:p>
    <w:p w14:paraId="113661DA" w14:textId="77777777" w:rsidR="008907F4" w:rsidRDefault="2FA6B974" w:rsidP="2FA6B974">
      <w:pPr>
        <w:pStyle w:val="ListParagraph"/>
        <w:numPr>
          <w:ilvl w:val="0"/>
          <w:numId w:val="52"/>
        </w:numPr>
        <w:spacing w:line="276" w:lineRule="auto"/>
      </w:pPr>
      <w:r>
        <w:t>се обработват по начин, който гарантира подходящо ниво на сигурност на данните.</w:t>
      </w:r>
    </w:p>
    <w:p w14:paraId="6E54B31F" w14:textId="77777777" w:rsidR="008907F4" w:rsidRPr="00C46A83" w:rsidRDefault="2FA6B974" w:rsidP="2FA6B974">
      <w:pPr>
        <w:rPr>
          <w:rFonts w:eastAsia="Times New Roman"/>
          <w:color w:val="000000" w:themeColor="text1"/>
        </w:rPr>
      </w:pPr>
      <w:r>
        <w:t>Бенефициерите могат да предоставят на своя персонал достъп единствено до данни, които са строго необходими за изпълнение, управление или наблюдение на споразумението. Бенефициерите трябва да гарантират, че персоналът е поел задължение за опазване на поверителността.</w:t>
      </w:r>
    </w:p>
    <w:p w14:paraId="42689EAD" w14:textId="256F07F4" w:rsidR="008907F4" w:rsidRPr="003E148E" w:rsidRDefault="008907F4" w:rsidP="2FA6B974">
      <w:pPr>
        <w:rPr>
          <w:rFonts w:eastAsia="Times New Roman"/>
        </w:rPr>
      </w:pPr>
      <w:r>
        <w:t xml:space="preserve">Бенефициерите трябва да информират лицата, чиито лични данни се изпращат на предоставящия орган и да им предоставят </w:t>
      </w:r>
      <w:r>
        <w:rPr>
          <w:color w:val="000000"/>
          <w:shd w:val="clear" w:color="auto" w:fill="CCFFFF"/>
        </w:rPr>
        <w:t>декларацията</w:t>
      </w:r>
      <w:r>
        <w:rPr>
          <w:shd w:val="clear" w:color="auto" w:fill="CCFFFF"/>
        </w:rPr>
        <w:t xml:space="preserve"> за поверителност</w:t>
      </w:r>
      <w:r>
        <w:t>.</w:t>
      </w:r>
      <w:r>
        <w:rPr>
          <w:i/>
          <w:iCs/>
        </w:rPr>
        <w:t xml:space="preserve"> </w:t>
      </w:r>
    </w:p>
    <w:p w14:paraId="429C3AC6" w14:textId="77777777" w:rsidR="008907F4" w:rsidRPr="00465AB7" w:rsidRDefault="008907F4" w:rsidP="008907F4">
      <w:pPr>
        <w:pStyle w:val="Heading5"/>
      </w:pPr>
      <w:bookmarkStart w:id="269" w:name="_Toc367187736"/>
      <w:bookmarkStart w:id="270" w:name="_Toc435109047"/>
      <w:bookmarkStart w:id="271" w:name="_Toc529197713"/>
      <w:bookmarkStart w:id="272" w:name="_Toc24116108"/>
      <w:bookmarkStart w:id="273" w:name="_Toc24126585"/>
      <w:bookmarkStart w:id="274" w:name="_Toc95924961"/>
      <w:r>
        <w:t>15.3</w:t>
      </w:r>
      <w:r>
        <w:tab/>
        <w:t>Последствия при неизпълнение</w:t>
      </w:r>
      <w:bookmarkEnd w:id="269"/>
      <w:bookmarkEnd w:id="270"/>
      <w:bookmarkEnd w:id="271"/>
      <w:bookmarkEnd w:id="272"/>
      <w:bookmarkEnd w:id="273"/>
      <w:bookmarkEnd w:id="274"/>
    </w:p>
    <w:p w14:paraId="7E87954B" w14:textId="77777777" w:rsidR="008907F4" w:rsidRPr="00465AB7" w:rsidRDefault="2FA6B974" w:rsidP="008907F4">
      <w:pPr>
        <w:rPr>
          <w:bCs/>
          <w:szCs w:val="24"/>
        </w:rPr>
      </w:pPr>
      <w:r>
        <w:t xml:space="preserve">Ако даден бенефициер наруши което и да е от задълженията си по настоящия член, размерът на безвъзмездните средства може да бъде намален (вж. член 28). </w:t>
      </w:r>
    </w:p>
    <w:p w14:paraId="32775682" w14:textId="77777777" w:rsidR="008907F4" w:rsidRPr="00465AB7" w:rsidRDefault="2FA6B974" w:rsidP="008907F4">
      <w:pPr>
        <w:rPr>
          <w:szCs w:val="24"/>
        </w:rPr>
      </w:pPr>
      <w:r>
        <w:t>Такива нарушения могат да доведат и до прилагане на други мерки, описани в глава 5.</w:t>
      </w:r>
    </w:p>
    <w:p w14:paraId="273E813C" w14:textId="77777777" w:rsidR="008907F4" w:rsidRPr="00465AB7" w:rsidRDefault="008907F4" w:rsidP="008907F4">
      <w:pPr>
        <w:pStyle w:val="Heading4"/>
      </w:pPr>
      <w:bookmarkStart w:id="275" w:name="_Toc530035904"/>
      <w:bookmarkStart w:id="276" w:name="_Toc524697218"/>
      <w:bookmarkStart w:id="277" w:name="_Toc529197695"/>
      <w:bookmarkStart w:id="278" w:name="_Toc24126587"/>
      <w:bookmarkStart w:id="279" w:name="_Toc95924962"/>
      <w:bookmarkStart w:id="280" w:name="_Toc24116110"/>
      <w:r>
        <w:t>ЧЛЕН 16 —</w:t>
      </w:r>
      <w:r>
        <w:tab/>
      </w:r>
      <w:r>
        <w:rPr>
          <w:caps w:val="0"/>
        </w:rPr>
        <w:t>ПРАВА ВЪРХУ ИНТЕЛЕКТУАЛНА СОБСТВЕНОСТ (ПИС) —</w:t>
      </w:r>
      <w:r>
        <w:t xml:space="preserve"> ПРЕДХОДНИ ЗНАНИЯ И РЕЗУЛТАТИ </w:t>
      </w:r>
      <w:r>
        <w:rPr>
          <w:caps w:val="0"/>
        </w:rPr>
        <w:t>— ПРАВА НА ДОСТЪП</w:t>
      </w:r>
      <w:r>
        <w:t xml:space="preserve"> И ПРАВА НА ПОЛЗВАНЕ</w:t>
      </w:r>
      <w:bookmarkEnd w:id="275"/>
      <w:bookmarkEnd w:id="276"/>
      <w:bookmarkEnd w:id="277"/>
      <w:bookmarkEnd w:id="278"/>
      <w:bookmarkEnd w:id="279"/>
      <w:r>
        <w:t xml:space="preserve"> </w:t>
      </w:r>
      <w:bookmarkEnd w:id="280"/>
    </w:p>
    <w:p w14:paraId="23F0A3A1" w14:textId="77777777" w:rsidR="008907F4" w:rsidRPr="00465AB7" w:rsidRDefault="008907F4" w:rsidP="008907F4">
      <w:pPr>
        <w:pStyle w:val="Heading5"/>
      </w:pPr>
      <w:bookmarkStart w:id="281" w:name="_Toc529197696"/>
      <w:bookmarkStart w:id="282" w:name="_Toc24116111"/>
      <w:bookmarkStart w:id="283" w:name="_Toc24126588"/>
      <w:bookmarkStart w:id="284" w:name="_Toc95924963"/>
      <w:r>
        <w:t>16.1</w:t>
      </w:r>
      <w:r>
        <w:tab/>
      </w:r>
      <w:bookmarkEnd w:id="281"/>
      <w:bookmarkEnd w:id="282"/>
      <w:bookmarkEnd w:id="283"/>
      <w:r>
        <w:t>Предходни знания и права на достъп до предходни знания</w:t>
      </w:r>
      <w:bookmarkEnd w:id="284"/>
    </w:p>
    <w:p w14:paraId="61C2203E" w14:textId="77777777" w:rsidR="008907F4" w:rsidRPr="00465AB7" w:rsidRDefault="2FA6B974" w:rsidP="008907F4">
      <w:pPr>
        <w:adjustRightInd w:val="0"/>
        <w:rPr>
          <w:szCs w:val="24"/>
        </w:rPr>
      </w:pPr>
      <w:r>
        <w:t>Бенефициерите трябва да си предоставят един на друг и на другите участници достъп до предходните знания, установени като необходими за изпълнение на дейността, при спазване на всички специфични правила, посочени в приложение 5.</w:t>
      </w:r>
    </w:p>
    <w:p w14:paraId="6F5BD2AC" w14:textId="77777777" w:rsidR="008907F4" w:rsidRPr="00465AB7" w:rsidRDefault="2FA6B974" w:rsidP="008907F4">
      <w:pPr>
        <w:rPr>
          <w:szCs w:val="24"/>
        </w:rPr>
      </w:pPr>
      <w:r>
        <w:t xml:space="preserve">„Предходни знания“ означава всички данни, ноу-хау или информация — независимо от тяхната форма или естество (материални или нематериални), включително всички права като права върху интелектуална собственост — които са: </w:t>
      </w:r>
    </w:p>
    <w:p w14:paraId="30ADFCC2" w14:textId="77777777" w:rsidR="008907F4" w:rsidRPr="00465AB7" w:rsidRDefault="2FA6B974" w:rsidP="2FA6B974">
      <w:pPr>
        <w:numPr>
          <w:ilvl w:val="0"/>
          <w:numId w:val="83"/>
        </w:numPr>
        <w:ind w:left="717"/>
      </w:pPr>
      <w:r>
        <w:t>притежавани от бенефициерите преди присъединяването им към споразумението и</w:t>
      </w:r>
    </w:p>
    <w:p w14:paraId="1DC66416" w14:textId="77777777" w:rsidR="008907F4" w:rsidRPr="00465AB7" w:rsidRDefault="2FA6B974" w:rsidP="2FA6B974">
      <w:pPr>
        <w:numPr>
          <w:ilvl w:val="0"/>
          <w:numId w:val="83"/>
        </w:numPr>
        <w:adjustRightInd w:val="0"/>
        <w:rPr>
          <w:rFonts w:eastAsia="Times New Roman" w:cs="Times New Roman"/>
        </w:rPr>
      </w:pPr>
      <w:r>
        <w:t>необходими за изпълнение на дейността или за използване на резултатите.</w:t>
      </w:r>
    </w:p>
    <w:p w14:paraId="5EFA7004" w14:textId="77777777" w:rsidR="008907F4" w:rsidRPr="00CE006C" w:rsidRDefault="2FA6B974" w:rsidP="008907F4">
      <w:pPr>
        <w:adjustRightInd w:val="0"/>
        <w:rPr>
          <w:szCs w:val="24"/>
        </w:rPr>
      </w:pPr>
      <w:r>
        <w:lastRenderedPageBreak/>
        <w:t xml:space="preserve">Ако трета страна може да претендира за права върху предходни знания, съответният бенефициер трябва да гарантира, че е в състояние да изпълни задълженията си по споразумението. </w:t>
      </w:r>
    </w:p>
    <w:p w14:paraId="48A822FE" w14:textId="77777777" w:rsidR="008907F4" w:rsidRPr="00425985" w:rsidRDefault="008907F4" w:rsidP="008907F4">
      <w:pPr>
        <w:pStyle w:val="Heading5"/>
      </w:pPr>
      <w:bookmarkStart w:id="285" w:name="_Toc24116112"/>
      <w:bookmarkStart w:id="286" w:name="_Toc24126589"/>
      <w:bookmarkStart w:id="287" w:name="_Toc529197697"/>
      <w:bookmarkStart w:id="288" w:name="_Toc95924964"/>
      <w:r>
        <w:t>16.2</w:t>
      </w:r>
      <w:r>
        <w:tab/>
        <w:t>Собственост върху резултатите</w:t>
      </w:r>
      <w:bookmarkEnd w:id="285"/>
      <w:bookmarkEnd w:id="286"/>
      <w:bookmarkEnd w:id="287"/>
      <w:bookmarkEnd w:id="288"/>
    </w:p>
    <w:p w14:paraId="7553466F" w14:textId="77777777" w:rsidR="008907F4" w:rsidRPr="00465AB7" w:rsidRDefault="2FA6B974" w:rsidP="008907F4">
      <w:pPr>
        <w:adjustRightInd w:val="0"/>
        <w:rPr>
          <w:szCs w:val="24"/>
        </w:rPr>
      </w:pPr>
      <w:r>
        <w:t>Предоставящият орган не получава собственост върху резултатите, получени от дейността.</w:t>
      </w:r>
    </w:p>
    <w:p w14:paraId="16C1FA33" w14:textId="77777777" w:rsidR="008907F4" w:rsidRPr="00326BC9" w:rsidRDefault="2FA6B974" w:rsidP="008907F4">
      <w:pPr>
        <w:adjustRightInd w:val="0"/>
        <w:rPr>
          <w:szCs w:val="24"/>
        </w:rPr>
      </w:pPr>
      <w:r>
        <w:t>„Резултати“ означава всеки материален или нематериален ефект от дейността, като данни, ноу-хау или информация, независимо от тяхната форма или естество и независимо дали могат да бъдат обект на закрила, както и всички права, свързани с тях, включително правата върху интелектуална собственост.</w:t>
      </w:r>
    </w:p>
    <w:p w14:paraId="2AA84355" w14:textId="5F1BB922" w:rsidR="008907F4" w:rsidRPr="00465AB7" w:rsidRDefault="008907F4" w:rsidP="008907F4">
      <w:pPr>
        <w:pStyle w:val="Heading5"/>
      </w:pPr>
      <w:bookmarkStart w:id="289" w:name="_Toc24126590"/>
      <w:bookmarkStart w:id="290" w:name="_Toc95924965"/>
      <w:bookmarkStart w:id="291" w:name="_Toc529197698"/>
      <w:r>
        <w:t>16.3</w:t>
      </w:r>
      <w:r>
        <w:tab/>
      </w:r>
      <w:bookmarkStart w:id="292" w:name="_Toc24116113"/>
      <w:r>
        <w:t xml:space="preserve">Права на ползване на материали, документи и информация от страна на предоставящия орган </w:t>
      </w:r>
      <w:r>
        <w:rPr>
          <w:shd w:val="clear" w:color="auto" w:fill="CCFFFF"/>
        </w:rPr>
        <w:t>и Европейската комисия</w:t>
      </w:r>
      <w:bookmarkEnd w:id="292"/>
      <w:bookmarkEnd w:id="289"/>
      <w:r>
        <w:t>, получени за целите на политиката, информацията, комуникацията, разпространението и популяризирането</w:t>
      </w:r>
      <w:bookmarkEnd w:id="290"/>
    </w:p>
    <w:p w14:paraId="142BCE53" w14:textId="2F90EFDD" w:rsidR="008907F4" w:rsidRPr="00F57EC8" w:rsidRDefault="008907F4" w:rsidP="008907F4">
      <w:pPr>
        <w:rPr>
          <w:szCs w:val="24"/>
        </w:rPr>
      </w:pPr>
      <w:r>
        <w:t xml:space="preserve">По време на дейността или след това предоставящият орган </w:t>
      </w:r>
      <w:r>
        <w:rPr>
          <w:shd w:val="clear" w:color="auto" w:fill="CCFFFF"/>
        </w:rPr>
        <w:t>и Европейската комисия</w:t>
      </w:r>
      <w:r>
        <w:t xml:space="preserve"> могат да използват свързана с дейността нечувствителна информация, , както и получени от бенефициерите материали и документи (по-специално резюмета за публикация и физическите резултати, както и други материали като снимки или аудио-визуални материали на хартиен носител или в електронен формат) за целите на политиката, информацията, комуникацията, разпространението и популяризирането.</w:t>
      </w:r>
    </w:p>
    <w:p w14:paraId="6F9713B3" w14:textId="77777777" w:rsidR="008907F4" w:rsidRPr="00123901" w:rsidRDefault="2FA6B974" w:rsidP="008907F4">
      <w:pPr>
        <w:rPr>
          <w:szCs w:val="24"/>
        </w:rPr>
      </w:pPr>
      <w:r>
        <w:t>Правото на ползване на материали, документи и информация на бенефициерите се предоставя под формата на безвъзмезден, неизключителен и неотменим лиценз, който обхваща следните права:</w:t>
      </w:r>
    </w:p>
    <w:p w14:paraId="11DBBA28" w14:textId="4029DD9F" w:rsidR="008907F4" w:rsidRPr="00F57EC8" w:rsidRDefault="008907F4" w:rsidP="008907F4">
      <w:pPr>
        <w:pStyle w:val="Style1"/>
        <w:numPr>
          <w:ilvl w:val="0"/>
          <w:numId w:val="8"/>
        </w:numPr>
        <w:spacing w:line="240" w:lineRule="auto"/>
        <w:contextualSpacing w:val="0"/>
      </w:pPr>
      <w:r>
        <w:rPr>
          <w:b/>
          <w:bCs/>
          <w:shd w:val="clear" w:color="auto" w:fill="CCFFFF"/>
        </w:rPr>
        <w:t>ползване за собствени цели</w:t>
      </w:r>
      <w:r>
        <w:rPr>
          <w:shd w:val="clear" w:color="auto" w:fill="CCFFFF"/>
        </w:rPr>
        <w:t xml:space="preserve"> (в частност предоставянето им на лица, работещи за тях или за всяка друга държава членка или служба на ЕС (включително институции, органи, служби, агенции и др.), институция или орган от друга държава членка</w:t>
      </w:r>
      <w:r>
        <w:t>; копиране или възпроизвеждане, в цялост или частично, в неограничен брой; както и съобщаване чрез информационни служби);</w:t>
      </w:r>
    </w:p>
    <w:p w14:paraId="35815B63" w14:textId="1547FB63" w:rsidR="008907F4" w:rsidRPr="00F57EC8" w:rsidRDefault="2FA6B974" w:rsidP="008907F4">
      <w:pPr>
        <w:pStyle w:val="Style1"/>
        <w:numPr>
          <w:ilvl w:val="0"/>
          <w:numId w:val="8"/>
        </w:numPr>
        <w:spacing w:line="240" w:lineRule="auto"/>
        <w:contextualSpacing w:val="0"/>
      </w:pPr>
      <w:r>
        <w:rPr>
          <w:b/>
          <w:bCs/>
        </w:rPr>
        <w:t>разпространение за широката общественост</w:t>
      </w:r>
      <w:r>
        <w:t xml:space="preserve"> (в частност, публикуване на хартиен носител и в електронен или цифров формат, публикуване в интернет под формата на файл, който може или не може да се изтегля, излъчване по който и да е канал, публично изложение или представяне, комуникация чрез информационни служби или включване в широкодостъпни бази данни или индекси);</w:t>
      </w:r>
    </w:p>
    <w:p w14:paraId="3E9BAA0D" w14:textId="6001EB6D" w:rsidR="008907F4" w:rsidRPr="00F57EC8" w:rsidRDefault="2FA6B974" w:rsidP="008907F4">
      <w:pPr>
        <w:pStyle w:val="Style1"/>
        <w:numPr>
          <w:ilvl w:val="0"/>
          <w:numId w:val="8"/>
        </w:numPr>
        <w:spacing w:line="240" w:lineRule="auto"/>
        <w:contextualSpacing w:val="0"/>
      </w:pPr>
      <w:r>
        <w:rPr>
          <w:b/>
          <w:bCs/>
        </w:rPr>
        <w:t>редактиране или преработване</w:t>
      </w:r>
      <w:r>
        <w:t xml:space="preserve"> (включително съкращаване, резюмиране, вмъкване на други елементи (като метаданни, легенди, други графични, визуални, аудио- или текстови елементи), извадки на части (например аудио- или видеофайлове), разделяне на части, ползване в компилация);</w:t>
      </w:r>
    </w:p>
    <w:p w14:paraId="74D77A54" w14:textId="36A0AE4A" w:rsidR="008907F4" w:rsidRPr="00F57EC8" w:rsidRDefault="2FA6B974" w:rsidP="008907F4">
      <w:pPr>
        <w:pStyle w:val="Style1"/>
        <w:numPr>
          <w:ilvl w:val="0"/>
          <w:numId w:val="8"/>
        </w:numPr>
        <w:spacing w:line="240" w:lineRule="auto"/>
        <w:contextualSpacing w:val="0"/>
      </w:pPr>
      <w:r>
        <w:rPr>
          <w:b/>
          <w:bCs/>
        </w:rPr>
        <w:t>превод;</w:t>
      </w:r>
      <w:r>
        <w:t xml:space="preserve"> </w:t>
      </w:r>
    </w:p>
    <w:p w14:paraId="097CDEE8" w14:textId="3462FD4B" w:rsidR="008907F4" w:rsidRPr="00892695" w:rsidRDefault="2FA6B974" w:rsidP="008907F4">
      <w:pPr>
        <w:pStyle w:val="Style1"/>
        <w:numPr>
          <w:ilvl w:val="0"/>
          <w:numId w:val="8"/>
        </w:numPr>
        <w:spacing w:line="240" w:lineRule="auto"/>
        <w:contextualSpacing w:val="0"/>
      </w:pPr>
      <w:r>
        <w:rPr>
          <w:b/>
          <w:bCs/>
        </w:rPr>
        <w:t>съхранение</w:t>
      </w:r>
      <w:r>
        <w:t xml:space="preserve"> на хартиен носител, в електронен или друг формат;</w:t>
      </w:r>
    </w:p>
    <w:p w14:paraId="16801D76" w14:textId="5EAFE4B3" w:rsidR="008907F4" w:rsidRPr="00892695" w:rsidRDefault="2FA6B974" w:rsidP="008907F4">
      <w:pPr>
        <w:pStyle w:val="Style1"/>
        <w:numPr>
          <w:ilvl w:val="0"/>
          <w:numId w:val="8"/>
        </w:numPr>
        <w:spacing w:line="240" w:lineRule="auto"/>
        <w:contextualSpacing w:val="0"/>
      </w:pPr>
      <w:r>
        <w:rPr>
          <w:b/>
          <w:bCs/>
        </w:rPr>
        <w:lastRenderedPageBreak/>
        <w:t>архивиране</w:t>
      </w:r>
      <w:r>
        <w:t xml:space="preserve"> в съответствие с приложимите правила за управление на документация; </w:t>
      </w:r>
    </w:p>
    <w:p w14:paraId="4BF6EDAA" w14:textId="2DC0FCF9" w:rsidR="008907F4" w:rsidRDefault="2FA6B974" w:rsidP="008907F4">
      <w:pPr>
        <w:pStyle w:val="Style1"/>
        <w:numPr>
          <w:ilvl w:val="0"/>
          <w:numId w:val="8"/>
        </w:numPr>
        <w:spacing w:line="240" w:lineRule="auto"/>
        <w:contextualSpacing w:val="0"/>
      </w:pPr>
      <w:r>
        <w:t xml:space="preserve">правото да се упълномощават </w:t>
      </w:r>
      <w:r>
        <w:rPr>
          <w:b/>
          <w:bCs/>
        </w:rPr>
        <w:t>трети страни</w:t>
      </w:r>
      <w:r>
        <w:t xml:space="preserve"> да действат от негово име или да се преотстъпват на трети страни правата на ползване, предвидени в букви б), в), г) и е), ако това е необходимо за дейностите по информиране, комуникация и популяризиране, извършвани от предоставящия орган, и</w:t>
      </w:r>
    </w:p>
    <w:p w14:paraId="5B087CA1" w14:textId="77777777" w:rsidR="008907F4" w:rsidRPr="00465AB7" w:rsidRDefault="2FA6B974" w:rsidP="008907F4">
      <w:pPr>
        <w:pStyle w:val="Style1"/>
        <w:numPr>
          <w:ilvl w:val="0"/>
          <w:numId w:val="8"/>
        </w:numPr>
        <w:spacing w:line="240" w:lineRule="auto"/>
        <w:contextualSpacing w:val="0"/>
      </w:pPr>
      <w:r>
        <w:rPr>
          <w:b/>
          <w:bCs/>
        </w:rPr>
        <w:t>обработване</w:t>
      </w:r>
      <w:r>
        <w:t xml:space="preserve">, анализиране и обобщаване на получените материали, документи и информация и </w:t>
      </w:r>
      <w:r>
        <w:rPr>
          <w:b/>
          <w:bCs/>
        </w:rPr>
        <w:t>създаване на производни произведения</w:t>
      </w:r>
      <w:r>
        <w:t>.</w:t>
      </w:r>
    </w:p>
    <w:p w14:paraId="6FA21F93" w14:textId="77777777" w:rsidR="008907F4" w:rsidRPr="00465AB7" w:rsidRDefault="2FA6B974" w:rsidP="008907F4">
      <w:pPr>
        <w:rPr>
          <w:szCs w:val="24"/>
        </w:rPr>
      </w:pPr>
      <w:r>
        <w:t>Правата на ползване се предоставят за целия срок на съответните права върху индустриална или интелектуална собственост.</w:t>
      </w:r>
    </w:p>
    <w:p w14:paraId="39A24A9B" w14:textId="77777777" w:rsidR="008907F4" w:rsidRPr="00CB15F9" w:rsidRDefault="2FA6B974" w:rsidP="008907F4">
      <w:pPr>
        <w:rPr>
          <w:szCs w:val="24"/>
        </w:rPr>
      </w:pPr>
      <w:r>
        <w:t>Ако материалите или документите зависят от морални права или от права на трети страни (включително права върху интелектуална собственост или права на физически лица върху тяхното изображение и глас), бенефициерите трябва да гарантират, че изпълняват задълженията си по настоящото споразумение (в частност като получат необходимите лицензи и разрешителни от съответните носители на правата).</w:t>
      </w:r>
    </w:p>
    <w:p w14:paraId="2214EE0F" w14:textId="07C927BF" w:rsidR="008907F4" w:rsidRPr="00F57EC8" w:rsidRDefault="2FA6B974" w:rsidP="008907F4">
      <w:pPr>
        <w:rPr>
          <w:szCs w:val="24"/>
        </w:rPr>
      </w:pPr>
      <w:r>
        <w:t>Когато е приложимо, [</w:t>
      </w:r>
      <w:r>
        <w:rPr>
          <w:shd w:val="clear" w:color="auto" w:fill="CCFFFF"/>
        </w:rPr>
        <w:t>предоставящият орган</w:t>
      </w:r>
      <w:r>
        <w:t>] [</w:t>
      </w:r>
      <w:r>
        <w:rPr>
          <w:shd w:val="clear" w:color="auto" w:fill="CCFFFF"/>
        </w:rPr>
        <w:t>Европейската комисия</w:t>
      </w:r>
      <w:r>
        <w:t xml:space="preserve">] включва следната информация: </w:t>
      </w:r>
    </w:p>
    <w:p w14:paraId="17FD6F72" w14:textId="3BD3A896" w:rsidR="008907F4" w:rsidRDefault="008907F4" w:rsidP="2FA6B974">
      <w:pPr>
        <w:ind w:left="360" w:right="486"/>
        <w:rPr>
          <w:sz w:val="20"/>
          <w:szCs w:val="20"/>
        </w:rPr>
      </w:pPr>
      <w:r>
        <w:rPr>
          <w:sz w:val="20"/>
          <w:szCs w:val="20"/>
        </w:rPr>
        <w:t>„© – [година] – [име на притежателя на авторските права]. Всички права запазени. Лицензът се предоставя на [</w:t>
      </w:r>
      <w:r>
        <w:rPr>
          <w:sz w:val="20"/>
          <w:szCs w:val="20"/>
          <w:shd w:val="clear" w:color="auto" w:fill="CCFFFF"/>
        </w:rPr>
        <w:t>предоставящия орган] [Европейската комисия</w:t>
      </w:r>
      <w:r>
        <w:rPr>
          <w:sz w:val="20"/>
          <w:szCs w:val="20"/>
        </w:rPr>
        <w:t xml:space="preserve">] при определени условия.“ </w:t>
      </w:r>
    </w:p>
    <w:p w14:paraId="70A93284" w14:textId="77777777" w:rsidR="008907F4" w:rsidRDefault="008907F4" w:rsidP="008907F4">
      <w:pPr>
        <w:pStyle w:val="Heading5"/>
      </w:pPr>
      <w:bookmarkStart w:id="293" w:name="_Toc95924966"/>
      <w:r>
        <w:t>16.4</w:t>
      </w:r>
      <w:r>
        <w:tab/>
      </w:r>
      <w:bookmarkStart w:id="294" w:name="_Toc24126591"/>
      <w:r>
        <w:t>Специални</w:t>
      </w:r>
      <w:bookmarkEnd w:id="294"/>
      <w:r>
        <w:t xml:space="preserve"> правила относно права върху интелектуална собственост, резултати и предходни знания</w:t>
      </w:r>
      <w:bookmarkEnd w:id="293"/>
    </w:p>
    <w:p w14:paraId="2603E472" w14:textId="77777777" w:rsidR="008907F4" w:rsidRPr="000114C9" w:rsidRDefault="2FA6B974" w:rsidP="2FA6B974">
      <w:pPr>
        <w:rPr>
          <w:rFonts w:eastAsia="Calibri" w:cs="Times New Roman"/>
          <w:i/>
          <w:iCs/>
          <w:color w:val="4AA55B"/>
        </w:rPr>
      </w:pPr>
      <w:r>
        <w:t>Специалните правила относно правата върху интелектуална собственост, резултатите и предходните знания (ако има такива) са посочени в приложение 5.</w:t>
      </w:r>
    </w:p>
    <w:p w14:paraId="7E5FB1DE" w14:textId="77777777" w:rsidR="008907F4" w:rsidRPr="000114C9" w:rsidRDefault="008907F4" w:rsidP="008907F4">
      <w:pPr>
        <w:pStyle w:val="Heading5"/>
      </w:pPr>
      <w:bookmarkStart w:id="295" w:name="_Toc24116114"/>
      <w:bookmarkStart w:id="296" w:name="_Toc24126592"/>
      <w:bookmarkStart w:id="297" w:name="_Toc95924967"/>
      <w:r>
        <w:t>16.5</w:t>
      </w:r>
      <w:r>
        <w:tab/>
        <w:t>Последствия при неизпълнение</w:t>
      </w:r>
      <w:bookmarkEnd w:id="291"/>
      <w:bookmarkEnd w:id="295"/>
      <w:bookmarkEnd w:id="296"/>
      <w:bookmarkEnd w:id="297"/>
    </w:p>
    <w:p w14:paraId="3837844A" w14:textId="77777777" w:rsidR="008907F4" w:rsidRPr="000114C9" w:rsidRDefault="2FA6B974" w:rsidP="008907F4">
      <w:pPr>
        <w:pStyle w:val="Style2"/>
        <w:rPr>
          <w:bCs/>
        </w:rPr>
      </w:pPr>
      <w:r>
        <w:t xml:space="preserve">Ако даден бенефициер наруши което и да е от задълженията си по настоящия член, размерът на безвъзмездните средства може да бъде намален (вж. член 28). </w:t>
      </w:r>
    </w:p>
    <w:p w14:paraId="44DAE16D" w14:textId="77777777" w:rsidR="008907F4" w:rsidRPr="000114C9" w:rsidRDefault="2FA6B974" w:rsidP="008907F4">
      <w:pPr>
        <w:autoSpaceDE w:val="0"/>
        <w:autoSpaceDN w:val="0"/>
        <w:adjustRightInd w:val="0"/>
      </w:pPr>
      <w:r>
        <w:t xml:space="preserve">Такова нарушение може също така да доведе до прилагане на всяка от другите мерки, описани в глава 5. </w:t>
      </w:r>
    </w:p>
    <w:p w14:paraId="1C06E492" w14:textId="77777777" w:rsidR="008907F4" w:rsidRPr="000114C9" w:rsidRDefault="2FA6B974" w:rsidP="008907F4">
      <w:pPr>
        <w:pStyle w:val="Heading4"/>
      </w:pPr>
      <w:bookmarkStart w:id="298" w:name="_Toc95924968"/>
      <w:bookmarkStart w:id="299" w:name="_Toc524697222"/>
      <w:bookmarkStart w:id="300" w:name="_Toc529197706"/>
      <w:bookmarkStart w:id="301" w:name="_Toc24116116"/>
      <w:bookmarkStart w:id="302" w:name="_Toc24126594"/>
      <w:bookmarkStart w:id="303" w:name="_Toc530035908"/>
      <w:r>
        <w:t>ЧЛЕН 17</w:t>
      </w:r>
      <w:r>
        <w:rPr>
          <w:i/>
        </w:rPr>
        <w:t> —</w:t>
      </w:r>
      <w:r>
        <w:t xml:space="preserve"> </w:t>
      </w:r>
      <w:r>
        <w:rPr>
          <w:rFonts w:ascii="Times New Roman" w:hAnsi="Times New Roman"/>
        </w:rPr>
        <w:t>КОМУНИКАЦИЯ</w:t>
      </w:r>
      <w:r>
        <w:t xml:space="preserve">, РАЗПРОСТРАНЕНИЕ </w:t>
      </w:r>
      <w:r>
        <w:rPr>
          <w:rFonts w:ascii="Times New Roman" w:hAnsi="Times New Roman"/>
          <w:caps w:val="0"/>
        </w:rPr>
        <w:t>И ВИДИМОСТ</w:t>
      </w:r>
      <w:bookmarkEnd w:id="298"/>
      <w:r>
        <w:t xml:space="preserve">  </w:t>
      </w:r>
      <w:bookmarkEnd w:id="299"/>
      <w:bookmarkEnd w:id="300"/>
      <w:bookmarkEnd w:id="301"/>
      <w:bookmarkEnd w:id="302"/>
      <w:bookmarkEnd w:id="303"/>
    </w:p>
    <w:p w14:paraId="4F7B83F0" w14:textId="77777777" w:rsidR="008907F4" w:rsidRPr="00465AB7" w:rsidRDefault="008907F4" w:rsidP="008907F4">
      <w:pPr>
        <w:pStyle w:val="Heading5"/>
      </w:pPr>
      <w:bookmarkStart w:id="304" w:name="_Toc24116117"/>
      <w:bookmarkStart w:id="305" w:name="_Toc24126595"/>
      <w:bookmarkStart w:id="306" w:name="_Toc95924969"/>
      <w:r>
        <w:t>17.1</w:t>
      </w:r>
      <w:r>
        <w:tab/>
        <w:t>Комуникация — разпространение — популяризиране на дейността</w:t>
      </w:r>
      <w:bookmarkEnd w:id="304"/>
      <w:bookmarkEnd w:id="305"/>
      <w:bookmarkEnd w:id="306"/>
    </w:p>
    <w:p w14:paraId="5081724A" w14:textId="77777777" w:rsidR="008907F4" w:rsidRPr="00465AB7" w:rsidRDefault="2FA6B974" w:rsidP="008907F4">
      <w:pPr>
        <w:rPr>
          <w:szCs w:val="24"/>
        </w:rPr>
      </w:pPr>
      <w:r>
        <w:t>Освен ако не е договорено друго с предоставящия орган, бенефициерите са длъжни да популяризират дейността и резултатите от нея, като предоставят целева информация на различни видове аудитория (включително медиите и обществеността) съгласно приложение 1 и по стратегически, последователен и ефективен начин.</w:t>
      </w:r>
    </w:p>
    <w:p w14:paraId="110A7480" w14:textId="77777777" w:rsidR="008907F4" w:rsidRPr="00465AB7" w:rsidRDefault="2FA6B974" w:rsidP="2FA6B974">
      <w:pPr>
        <w:rPr>
          <w:color w:val="FF0000"/>
        </w:rPr>
      </w:pPr>
      <w:r>
        <w:t>Преди да осъществят комуникационна или разпространителска дейност с очаквано сериозно медийно въздействие, бенефициерите трябва да уведомят предоставящия орган.</w:t>
      </w:r>
    </w:p>
    <w:p w14:paraId="59241064" w14:textId="77777777" w:rsidR="008907F4" w:rsidRPr="0094246C" w:rsidRDefault="008907F4" w:rsidP="008907F4">
      <w:pPr>
        <w:pStyle w:val="Heading5"/>
        <w:rPr>
          <w:shd w:val="clear" w:color="auto" w:fill="FFC5E2"/>
        </w:rPr>
      </w:pPr>
      <w:bookmarkStart w:id="307" w:name="_Toc24126596"/>
      <w:bookmarkStart w:id="308" w:name="_Toc95924970"/>
      <w:r>
        <w:lastRenderedPageBreak/>
        <w:t>17.2</w:t>
      </w:r>
      <w:r>
        <w:tab/>
      </w:r>
      <w:bookmarkStart w:id="309" w:name="_Toc24116118"/>
      <w:r>
        <w:t>Видимост —</w:t>
      </w:r>
      <w:bookmarkEnd w:id="309"/>
      <w:bookmarkEnd w:id="307"/>
      <w:r>
        <w:t xml:space="preserve"> европейското знаме и текст за финансирането</w:t>
      </w:r>
      <w:bookmarkEnd w:id="308"/>
    </w:p>
    <w:p w14:paraId="5795A784" w14:textId="77777777" w:rsidR="008907F4" w:rsidRDefault="2FA6B974" w:rsidP="2FA6B974">
      <w:pPr>
        <w:adjustRightInd w:val="0"/>
        <w:rPr>
          <w:rFonts w:eastAsia="Times New Roman"/>
        </w:rPr>
      </w:pPr>
      <w:r>
        <w:t>Освен ако не е договорено друго с предоставящия орган, в комуникационните дейности на бенефициерите, свързани с дейността (включително връзки с медиите, конференции, семинари, информационни материали като брошури, листовки, плакати, презентации и др., в електронна форма, чрез традиционни или социални медии и др.), в дейностите за разпространение и в цялата инфраструктура, оборудване, превозни средства, материали или основен резултат, финансиран с безвъзмездните средства, трябва да се упоменава подкрепата от ЕС и да се показва европейското знаме (емблема) и текст за финансирането (с превод на местните езици при необходимост):</w:t>
      </w:r>
    </w:p>
    <w:p w14:paraId="23484EF8" w14:textId="77777777" w:rsidR="008907F4" w:rsidRPr="00AA4858" w:rsidRDefault="008907F4" w:rsidP="008907F4">
      <w:pPr>
        <w:adjustRightInd w:val="0"/>
        <w:ind w:left="1134"/>
        <w:rPr>
          <w:rFonts w:eastAsia="Times New Roman"/>
          <w:szCs w:val="24"/>
        </w:rPr>
      </w:pPr>
      <w:r>
        <w:rPr>
          <w:noProof/>
          <w:lang w:val="en-US"/>
        </w:rPr>
        <w:drawing>
          <wp:inline distT="0" distB="0" distL="0" distR="0" wp14:anchorId="256900E4" wp14:editId="4853E0DA">
            <wp:extent cx="2867025" cy="11811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867025" cy="1181100"/>
                    </a:xfrm>
                    <a:prstGeom prst="rect">
                      <a:avLst/>
                    </a:prstGeom>
                  </pic:spPr>
                </pic:pic>
              </a:graphicData>
            </a:graphic>
          </wp:inline>
        </w:drawing>
      </w:r>
    </w:p>
    <w:p w14:paraId="280A35AB" w14:textId="77777777" w:rsidR="008907F4" w:rsidRPr="00AA4858" w:rsidRDefault="008907F4" w:rsidP="008907F4">
      <w:pPr>
        <w:adjustRightInd w:val="0"/>
        <w:ind w:left="1134"/>
        <w:rPr>
          <w:rFonts w:eastAsia="Times New Roman"/>
          <w:szCs w:val="24"/>
        </w:rPr>
      </w:pPr>
      <w:r>
        <w:rPr>
          <w:noProof/>
          <w:lang w:val="en-US"/>
        </w:rPr>
        <w:drawing>
          <wp:inline distT="0" distB="0" distL="0" distR="0" wp14:anchorId="54E5E39C" wp14:editId="1259BE67">
            <wp:extent cx="3095625" cy="10382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095625" cy="1038225"/>
                    </a:xfrm>
                    <a:prstGeom prst="rect">
                      <a:avLst/>
                    </a:prstGeom>
                  </pic:spPr>
                </pic:pic>
              </a:graphicData>
            </a:graphic>
          </wp:inline>
        </w:drawing>
      </w:r>
    </w:p>
    <w:p w14:paraId="2AB9B617" w14:textId="77777777" w:rsidR="008907F4" w:rsidRPr="00AA4858" w:rsidRDefault="008907F4" w:rsidP="008907F4">
      <w:pPr>
        <w:tabs>
          <w:tab w:val="left" w:pos="993"/>
        </w:tabs>
        <w:adjustRightInd w:val="0"/>
        <w:ind w:left="993"/>
        <w:rPr>
          <w:rFonts w:eastAsia="Times New Roman"/>
          <w:szCs w:val="24"/>
        </w:rPr>
      </w:pPr>
      <w:r>
        <w:rPr>
          <w:noProof/>
          <w:lang w:val="en-US"/>
        </w:rPr>
        <w:drawing>
          <wp:anchor distT="0" distB="0" distL="114300" distR="114300" simplePos="0" relativeHeight="251660800" behindDoc="0" locked="0" layoutInCell="1" allowOverlap="1" wp14:anchorId="17EA2A05" wp14:editId="0D5AC8ED">
            <wp:simplePos x="0" y="0"/>
            <wp:positionH relativeFrom="column">
              <wp:posOffset>2807970</wp:posOffset>
            </wp:positionH>
            <wp:positionV relativeFrom="paragraph">
              <wp:posOffset>120650</wp:posOffset>
            </wp:positionV>
            <wp:extent cx="1625600" cy="1572260"/>
            <wp:effectExtent l="0" t="0" r="0" b="8890"/>
            <wp:wrapThrough wrapText="bothSides">
              <wp:wrapPolygon edited="0">
                <wp:start x="0" y="0"/>
                <wp:lineTo x="0" y="21460"/>
                <wp:lineTo x="21263" y="21460"/>
                <wp:lineTo x="21263" y="0"/>
                <wp:lineTo x="0" y="0"/>
              </wp:wrapPolygon>
            </wp:wrapThrough>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1625600" cy="1572260"/>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7728" behindDoc="0" locked="0" layoutInCell="1" allowOverlap="1" wp14:anchorId="6EDAEE08" wp14:editId="5FEAA31D">
            <wp:simplePos x="0" y="0"/>
            <wp:positionH relativeFrom="column">
              <wp:posOffset>690245</wp:posOffset>
            </wp:positionH>
            <wp:positionV relativeFrom="paragraph">
              <wp:posOffset>9525</wp:posOffset>
            </wp:positionV>
            <wp:extent cx="1484668" cy="1749788"/>
            <wp:effectExtent l="0" t="0" r="1270" b="3175"/>
            <wp:wrapThrough wrapText="bothSides">
              <wp:wrapPolygon edited="0">
                <wp:start x="0" y="0"/>
                <wp:lineTo x="0" y="21404"/>
                <wp:lineTo x="21341" y="21404"/>
                <wp:lineTo x="21341"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484668" cy="1749788"/>
                    </a:xfrm>
                    <a:prstGeom prst="rect">
                      <a:avLst/>
                    </a:prstGeom>
                  </pic:spPr>
                </pic:pic>
              </a:graphicData>
            </a:graphic>
            <wp14:sizeRelH relativeFrom="page">
              <wp14:pctWidth>0</wp14:pctWidth>
            </wp14:sizeRelH>
            <wp14:sizeRelV relativeFrom="page">
              <wp14:pctHeight>0</wp14:pctHeight>
            </wp14:sizeRelV>
          </wp:anchor>
        </w:drawing>
      </w:r>
      <w:r>
        <w:tab/>
      </w:r>
    </w:p>
    <w:p w14:paraId="318B6972" w14:textId="77777777" w:rsidR="008907F4" w:rsidRPr="00AA4858" w:rsidRDefault="008907F4" w:rsidP="008907F4">
      <w:pPr>
        <w:adjustRightInd w:val="0"/>
        <w:ind w:left="851"/>
        <w:rPr>
          <w:rFonts w:eastAsia="Times New Roman"/>
          <w:szCs w:val="24"/>
          <w:lang w:eastAsia="en-GB"/>
        </w:rPr>
      </w:pPr>
    </w:p>
    <w:p w14:paraId="4C591321" w14:textId="77777777" w:rsidR="008907F4" w:rsidRPr="00AA4858" w:rsidRDefault="008907F4" w:rsidP="008907F4">
      <w:pPr>
        <w:adjustRightInd w:val="0"/>
        <w:rPr>
          <w:rFonts w:eastAsia="Times New Roman"/>
          <w:szCs w:val="24"/>
          <w:lang w:eastAsia="en-GB"/>
        </w:rPr>
      </w:pPr>
    </w:p>
    <w:p w14:paraId="103FB53A" w14:textId="77777777" w:rsidR="008907F4" w:rsidRDefault="008907F4" w:rsidP="008907F4">
      <w:pPr>
        <w:adjustRightInd w:val="0"/>
        <w:ind w:left="1134"/>
        <w:rPr>
          <w:rFonts w:eastAsia="Times New Roman"/>
          <w:szCs w:val="24"/>
          <w:lang w:eastAsia="en-GB"/>
        </w:rPr>
      </w:pPr>
    </w:p>
    <w:p w14:paraId="77183C8C" w14:textId="77777777" w:rsidR="008907F4" w:rsidRDefault="008907F4" w:rsidP="008907F4">
      <w:pPr>
        <w:adjustRightInd w:val="0"/>
        <w:rPr>
          <w:rFonts w:eastAsia="Times New Roman"/>
          <w:szCs w:val="24"/>
          <w:lang w:eastAsia="en-GB"/>
        </w:rPr>
      </w:pPr>
    </w:p>
    <w:p w14:paraId="77D7B5D3" w14:textId="77777777" w:rsidR="008907F4" w:rsidRDefault="008907F4" w:rsidP="008907F4">
      <w:pPr>
        <w:adjustRightInd w:val="0"/>
        <w:rPr>
          <w:rFonts w:eastAsia="Times New Roman"/>
          <w:szCs w:val="24"/>
          <w:lang w:eastAsia="en-GB"/>
        </w:rPr>
      </w:pPr>
    </w:p>
    <w:p w14:paraId="2967604E" w14:textId="77777777" w:rsidR="008907F4" w:rsidRPr="00465AB7" w:rsidRDefault="2FA6B974" w:rsidP="2FA6B974">
      <w:pPr>
        <w:adjustRightInd w:val="0"/>
        <w:rPr>
          <w:rFonts w:eastAsia="Times New Roman"/>
        </w:rPr>
      </w:pPr>
      <w:r>
        <w:t xml:space="preserve">Емблемата трябва да бъде отчетлива и отделна и не може да бъде видоизменяна чрез добавяне на други визуални знаци, марки или текст. </w:t>
      </w:r>
    </w:p>
    <w:p w14:paraId="7DE66587" w14:textId="77777777" w:rsidR="008907F4" w:rsidRPr="00465AB7" w:rsidRDefault="2FA6B974" w:rsidP="2FA6B974">
      <w:pPr>
        <w:adjustRightInd w:val="0"/>
        <w:rPr>
          <w:rFonts w:eastAsia="Times New Roman"/>
        </w:rPr>
      </w:pPr>
      <w:r>
        <w:t>Освен емблемата не може да се използва никакъв друг визуален знак за идентичност или лого за изтъкване на подкрепата от ЕС.</w:t>
      </w:r>
    </w:p>
    <w:p w14:paraId="0AD1DA0B" w14:textId="77777777" w:rsidR="008907F4" w:rsidRPr="00465AB7" w:rsidRDefault="2FA6B974" w:rsidP="2FA6B974">
      <w:pPr>
        <w:adjustRightInd w:val="0"/>
        <w:rPr>
          <w:rFonts w:eastAsia="Times New Roman"/>
        </w:rPr>
      </w:pPr>
      <w:r>
        <w:t xml:space="preserve">Когато се поставя до друго лого (например на бенефициери или спонсори), емблемата трябва да бъде поне толкова ясно и видимо обозначена, колкото другите логотипи. </w:t>
      </w:r>
    </w:p>
    <w:p w14:paraId="2FA67DFC" w14:textId="77777777" w:rsidR="008907F4" w:rsidRPr="00465AB7" w:rsidRDefault="2FA6B974" w:rsidP="2FA6B974">
      <w:pPr>
        <w:adjustRightInd w:val="0"/>
        <w:rPr>
          <w:rFonts w:eastAsia="Times New Roman"/>
        </w:rPr>
      </w:pPr>
      <w:r>
        <w:t>С оглед на задълженията си по настоящия член бенефициерите могат да ползват емблемата без предварително одобрение от предоставящия орган. Това обаче не им дава изключителни права на ползване. Освен това те нямат право да присвояват емблемата на ЕС или друга подобна търговска марка или лого чрез регистрация или по какъвто и да е друг начин.</w:t>
      </w:r>
    </w:p>
    <w:p w14:paraId="213C09E9" w14:textId="77777777" w:rsidR="008907F4" w:rsidRPr="00465AB7" w:rsidRDefault="008907F4" w:rsidP="2FA6B974">
      <w:pPr>
        <w:pStyle w:val="Heading5"/>
      </w:pPr>
      <w:bookmarkStart w:id="310" w:name="_Toc24116119"/>
      <w:bookmarkStart w:id="311" w:name="_Toc24126597"/>
      <w:bookmarkStart w:id="312" w:name="_Toc95924971"/>
      <w:r>
        <w:lastRenderedPageBreak/>
        <w:t>17.3</w:t>
      </w:r>
      <w:r>
        <w:tab/>
        <w:t>Качество на информацията — декларация за отказ от отговорност</w:t>
      </w:r>
      <w:bookmarkEnd w:id="310"/>
      <w:bookmarkEnd w:id="311"/>
      <w:bookmarkEnd w:id="312"/>
    </w:p>
    <w:p w14:paraId="1754EF90" w14:textId="77777777" w:rsidR="008907F4" w:rsidRPr="0082064E" w:rsidRDefault="2FA6B974" w:rsidP="2FA6B974">
      <w:pPr>
        <w:adjustRightInd w:val="0"/>
        <w:rPr>
          <w:rFonts w:cs="Times New Roman"/>
        </w:rPr>
      </w:pPr>
      <w:r>
        <w:t>При всяка дейност по комуникация или разпространение, свързана с дейността, трябва да се използва фактически вярна информация.</w:t>
      </w:r>
    </w:p>
    <w:p w14:paraId="30771877" w14:textId="77777777" w:rsidR="008907F4" w:rsidRPr="00892695" w:rsidRDefault="2FA6B974" w:rsidP="2FA6B974">
      <w:pPr>
        <w:adjustRightInd w:val="0"/>
        <w:rPr>
          <w:rFonts w:eastAsia="Times New Roman"/>
        </w:rPr>
      </w:pPr>
      <w:r>
        <w:t>Освен това при нея трябва да се използва следната декларация за отказ от отговорност (преведена на местните езици, когато е уместно):</w:t>
      </w:r>
    </w:p>
    <w:p w14:paraId="63F26D10" w14:textId="77777777" w:rsidR="008907F4" w:rsidRPr="00C46A83" w:rsidRDefault="2FA6B974" w:rsidP="2FA6B974">
      <w:pPr>
        <w:tabs>
          <w:tab w:val="left" w:pos="567"/>
        </w:tabs>
        <w:autoSpaceDE w:val="0"/>
        <w:autoSpaceDN w:val="0"/>
        <w:adjustRightInd w:val="0"/>
        <w:ind w:left="426" w:right="261"/>
        <w:rPr>
          <w:sz w:val="20"/>
          <w:szCs w:val="20"/>
        </w:rPr>
      </w:pPr>
      <w:r>
        <w:rPr>
          <w:sz w:val="20"/>
          <w:szCs w:val="20"/>
        </w:rPr>
        <w:t>„Финансирано от Европейския съюз. Изразените възгледи и мнения обаче принадлежат изцяло на техния(ите) автор(и) и не отразяват непременно възгледите и мненията на Европейския съюз или на [наименование на предоставящия орган]. За тях не носи отговорност нито Европейският съюз, нито предоставящият орган.“</w:t>
      </w:r>
    </w:p>
    <w:p w14:paraId="664EE4DD" w14:textId="77777777" w:rsidR="008907F4" w:rsidRPr="00465AB7" w:rsidRDefault="008907F4" w:rsidP="008907F4">
      <w:pPr>
        <w:pStyle w:val="Heading5"/>
      </w:pPr>
      <w:bookmarkStart w:id="313" w:name="_Toc530036475"/>
      <w:bookmarkStart w:id="314" w:name="_Toc530036661"/>
      <w:bookmarkStart w:id="315" w:name="_Toc530396599"/>
      <w:bookmarkStart w:id="316" w:name="_Toc530396794"/>
      <w:bookmarkStart w:id="317" w:name="_Toc530397176"/>
      <w:bookmarkStart w:id="318" w:name="_Toc532247853"/>
      <w:bookmarkStart w:id="319" w:name="_Toc529197708"/>
      <w:bookmarkStart w:id="320" w:name="_Toc24126598"/>
      <w:bookmarkStart w:id="321" w:name="_Toc95924972"/>
      <w:bookmarkStart w:id="322" w:name="_Toc529197709"/>
      <w:bookmarkEnd w:id="313"/>
      <w:bookmarkEnd w:id="314"/>
      <w:bookmarkEnd w:id="315"/>
      <w:bookmarkEnd w:id="316"/>
      <w:bookmarkEnd w:id="317"/>
      <w:bookmarkEnd w:id="318"/>
      <w:bookmarkEnd w:id="319"/>
      <w:r>
        <w:t>17.4</w:t>
      </w:r>
      <w:r>
        <w:tab/>
        <w:t>Специални правила за комуникация, разпространение и видимост</w:t>
      </w:r>
      <w:bookmarkEnd w:id="320"/>
      <w:bookmarkEnd w:id="321"/>
    </w:p>
    <w:p w14:paraId="7BAEDB42" w14:textId="77777777" w:rsidR="008907F4" w:rsidRDefault="2FA6B974" w:rsidP="2FA6B974">
      <w:pPr>
        <w:rPr>
          <w:rFonts w:eastAsia="Calibri" w:cs="Times New Roman"/>
          <w:i/>
          <w:iCs/>
          <w:color w:val="FF0000"/>
          <w:highlight w:val="yellow"/>
        </w:rPr>
      </w:pPr>
      <w:r>
        <w:t>Специалните правила за комуникация, разпространение и видимост (ако има такива) са посочените в приложение 5.</w:t>
      </w:r>
    </w:p>
    <w:p w14:paraId="7E1E5F2B" w14:textId="77777777" w:rsidR="008907F4" w:rsidRPr="00123901" w:rsidRDefault="008907F4" w:rsidP="008907F4">
      <w:pPr>
        <w:pStyle w:val="Heading5"/>
      </w:pPr>
      <w:bookmarkStart w:id="323" w:name="_Toc24116120"/>
      <w:bookmarkStart w:id="324" w:name="_Toc24126599"/>
      <w:bookmarkStart w:id="325" w:name="_Toc95924973"/>
      <w:r>
        <w:t>17.5</w:t>
      </w:r>
      <w:r>
        <w:tab/>
        <w:t>Последствия при неизпълнение</w:t>
      </w:r>
      <w:bookmarkEnd w:id="322"/>
      <w:bookmarkEnd w:id="323"/>
      <w:bookmarkEnd w:id="324"/>
      <w:bookmarkEnd w:id="325"/>
    </w:p>
    <w:p w14:paraId="6E35FFE9" w14:textId="77777777" w:rsidR="008907F4" w:rsidRPr="005E41F4" w:rsidRDefault="2FA6B974" w:rsidP="008907F4">
      <w:pPr>
        <w:rPr>
          <w:bCs/>
          <w:szCs w:val="24"/>
        </w:rPr>
      </w:pPr>
      <w:r>
        <w:t xml:space="preserve">Ако даден бенефициер наруши което и да е от задълженията си по настоящия член, размерът на безвъзмездните средства може да бъде намален (вж. член 28). </w:t>
      </w:r>
    </w:p>
    <w:p w14:paraId="28A78143" w14:textId="77777777" w:rsidR="008907F4" w:rsidRPr="004E6464" w:rsidRDefault="2FA6B974" w:rsidP="008907F4">
      <w:r>
        <w:t xml:space="preserve">Такива нарушения могат да доведат и до прилагане на други мерки, </w:t>
      </w:r>
      <w:r>
        <w:rPr>
          <w:color w:val="000000" w:themeColor="text1"/>
        </w:rPr>
        <w:t>описани</w:t>
      </w:r>
      <w:r>
        <w:t xml:space="preserve"> в глава 5.</w:t>
      </w:r>
      <w:r>
        <w:rPr>
          <w:color w:val="FF0000"/>
        </w:rPr>
        <w:t xml:space="preserve"> </w:t>
      </w:r>
    </w:p>
    <w:p w14:paraId="3D16A54E" w14:textId="6C4054BE" w:rsidR="008907F4" w:rsidRDefault="2FA6B974" w:rsidP="008907F4">
      <w:pPr>
        <w:pStyle w:val="Heading4"/>
      </w:pPr>
      <w:bookmarkStart w:id="326" w:name="_Toc95924974"/>
      <w:bookmarkStart w:id="327" w:name="_Toc529197691"/>
      <w:bookmarkStart w:id="328" w:name="_Toc530035897"/>
      <w:bookmarkStart w:id="329" w:name="_Toc24116121"/>
      <w:bookmarkStart w:id="330" w:name="_Toc24126600"/>
      <w:r>
        <w:t>ЧЛЕН 18 — СПЕЦИАЛНИ ПРАВИЛА ЗА ИЗВЪРШВАНЕ НА ДЕЙНОСТТА</w:t>
      </w:r>
      <w:bookmarkEnd w:id="326"/>
      <w:r>
        <w:t xml:space="preserve"> </w:t>
      </w:r>
      <w:bookmarkEnd w:id="327"/>
      <w:bookmarkEnd w:id="328"/>
      <w:bookmarkEnd w:id="329"/>
      <w:bookmarkEnd w:id="330"/>
    </w:p>
    <w:p w14:paraId="28D0837E" w14:textId="77777777" w:rsidR="008907F4" w:rsidRPr="00754978" w:rsidRDefault="008907F4" w:rsidP="2FA6B974">
      <w:pPr>
        <w:pStyle w:val="Heading5"/>
        <w:rPr>
          <w:i/>
          <w:iCs/>
        </w:rPr>
      </w:pPr>
      <w:bookmarkStart w:id="331" w:name="_Toc24116122"/>
      <w:bookmarkStart w:id="332" w:name="_Toc24126601"/>
      <w:bookmarkStart w:id="333" w:name="_Toc95924975"/>
      <w:bookmarkStart w:id="334" w:name="_Toc447191982"/>
      <w:bookmarkStart w:id="335" w:name="_Toc456340311"/>
      <w:bookmarkStart w:id="336" w:name="_Toc529197692"/>
      <w:r>
        <w:t xml:space="preserve">18.1 </w:t>
      </w:r>
      <w:r>
        <w:tab/>
        <w:t>Специални правила за извършване на дейността</w:t>
      </w:r>
      <w:bookmarkEnd w:id="331"/>
      <w:bookmarkEnd w:id="332"/>
      <w:bookmarkEnd w:id="333"/>
      <w:r>
        <w:t xml:space="preserve"> </w:t>
      </w:r>
      <w:bookmarkEnd w:id="334"/>
      <w:bookmarkEnd w:id="335"/>
      <w:bookmarkEnd w:id="336"/>
    </w:p>
    <w:p w14:paraId="625150AA" w14:textId="77777777" w:rsidR="008907F4" w:rsidRPr="00754978" w:rsidRDefault="2FA6B974" w:rsidP="2FA6B974">
      <w:pPr>
        <w:rPr>
          <w:rFonts w:eastAsia="Calibri" w:cs="Times New Roman"/>
          <w:i/>
          <w:iCs/>
          <w:color w:val="4AA55B"/>
        </w:rPr>
      </w:pPr>
      <w:bookmarkStart w:id="337" w:name="_Toc447191983"/>
      <w:bookmarkStart w:id="338" w:name="_Toc456340312"/>
      <w:bookmarkStart w:id="339" w:name="_Toc529197693"/>
      <w:r>
        <w:t>Специалните правила за изпълнението на дейността (ако има такива) са описани в приложение 5.</w:t>
      </w:r>
    </w:p>
    <w:p w14:paraId="64906611" w14:textId="77777777" w:rsidR="008907F4" w:rsidRPr="00754978" w:rsidRDefault="008907F4" w:rsidP="008907F4">
      <w:pPr>
        <w:pStyle w:val="Heading5"/>
      </w:pPr>
      <w:bookmarkStart w:id="340" w:name="_Toc24116123"/>
      <w:bookmarkStart w:id="341" w:name="_Toc24126602"/>
      <w:bookmarkStart w:id="342" w:name="_Toc95924976"/>
      <w:r>
        <w:t>18.2</w:t>
      </w:r>
      <w:r>
        <w:tab/>
        <w:t>Последствия при неизпълнение</w:t>
      </w:r>
      <w:bookmarkEnd w:id="337"/>
      <w:bookmarkEnd w:id="338"/>
      <w:bookmarkEnd w:id="339"/>
      <w:bookmarkEnd w:id="340"/>
      <w:bookmarkEnd w:id="341"/>
      <w:bookmarkEnd w:id="342"/>
    </w:p>
    <w:p w14:paraId="12A891FD" w14:textId="77777777" w:rsidR="008907F4" w:rsidRPr="00754978" w:rsidRDefault="2FA6B974" w:rsidP="008907F4">
      <w:r>
        <w:t>Ако даден бенефициер наруши което и да е от задълженията си по настоящия член, размерът на безвъзмездните средства може да бъде намален (вж. член 28).</w:t>
      </w:r>
    </w:p>
    <w:p w14:paraId="67F55B64" w14:textId="77777777" w:rsidR="008907F4" w:rsidRPr="00754978" w:rsidRDefault="2FA6B974" w:rsidP="2FA6B974">
      <w:pPr>
        <w:rPr>
          <w:i/>
          <w:iCs/>
          <w:color w:val="FF0000"/>
          <w:highlight w:val="yellow"/>
        </w:rPr>
      </w:pPr>
      <w:r>
        <w:t>Такова нарушение може също така да доведе до прилагане на всяка от другите мерки, описани в глава 5.</w:t>
      </w:r>
    </w:p>
    <w:p w14:paraId="4AC00C48" w14:textId="77777777" w:rsidR="008907F4" w:rsidRPr="001B5A9B" w:rsidRDefault="008907F4" w:rsidP="2FA6B974">
      <w:pPr>
        <w:pStyle w:val="Heading2"/>
      </w:pPr>
      <w:bookmarkStart w:id="343" w:name="_Toc530035910"/>
      <w:bookmarkStart w:id="344" w:name="_Toc24116124"/>
      <w:bookmarkStart w:id="345" w:name="_Toc24126603"/>
      <w:bookmarkStart w:id="346" w:name="_Toc95924977"/>
      <w:r>
        <w:t>РАЗДЕЛ 3</w:t>
      </w:r>
      <w:r>
        <w:tab/>
        <w:t>УПРАВЛЕНИЕ НА БЕЗВЪЗМЕЗДНИТЕ СРЕДСТВА</w:t>
      </w:r>
      <w:bookmarkEnd w:id="343"/>
      <w:bookmarkEnd w:id="344"/>
      <w:bookmarkEnd w:id="345"/>
      <w:bookmarkEnd w:id="346"/>
    </w:p>
    <w:p w14:paraId="44A3F0C9" w14:textId="77777777" w:rsidR="008907F4" w:rsidRPr="001B5A9B" w:rsidRDefault="2FA6B974" w:rsidP="2FA6B974">
      <w:pPr>
        <w:pStyle w:val="Heading4"/>
      </w:pPr>
      <w:bookmarkStart w:id="347" w:name="_Toc530035911"/>
      <w:bookmarkStart w:id="348" w:name="_Toc435108988"/>
      <w:bookmarkStart w:id="349" w:name="_Toc524697225"/>
      <w:bookmarkStart w:id="350" w:name="_Toc529197715"/>
      <w:bookmarkStart w:id="351" w:name="_Toc24116125"/>
      <w:bookmarkStart w:id="352" w:name="_Toc24126604"/>
      <w:bookmarkStart w:id="353" w:name="_Toc95924978"/>
      <w:r>
        <w:t>ЧЛЕН 19 — ОБЩИ ЗАДЪЛЖЕНИЯ ЗА ПРЕДОСТАВЯНЕ НА ИНФОРМАЦИЯ</w:t>
      </w:r>
      <w:bookmarkEnd w:id="347"/>
      <w:bookmarkEnd w:id="348"/>
      <w:bookmarkEnd w:id="349"/>
      <w:bookmarkEnd w:id="350"/>
      <w:bookmarkEnd w:id="351"/>
      <w:bookmarkEnd w:id="352"/>
      <w:bookmarkEnd w:id="353"/>
    </w:p>
    <w:p w14:paraId="6059258F" w14:textId="77777777" w:rsidR="008907F4" w:rsidRPr="00BE268E" w:rsidRDefault="008907F4" w:rsidP="008907F4">
      <w:pPr>
        <w:pStyle w:val="Heading5"/>
      </w:pPr>
      <w:bookmarkStart w:id="354" w:name="_Toc435108989"/>
      <w:bookmarkStart w:id="355" w:name="_Toc529197716"/>
      <w:bookmarkStart w:id="356" w:name="_Toc28806479"/>
      <w:bookmarkStart w:id="357" w:name="_Toc95924979"/>
      <w:r>
        <w:t>19.1</w:t>
      </w:r>
      <w:r>
        <w:tab/>
      </w:r>
      <w:bookmarkEnd w:id="354"/>
      <w:bookmarkEnd w:id="355"/>
      <w:r>
        <w:t>Искания за информация</w:t>
      </w:r>
      <w:bookmarkEnd w:id="356"/>
      <w:bookmarkEnd w:id="357"/>
    </w:p>
    <w:p w14:paraId="5702D748" w14:textId="77777777" w:rsidR="008907F4" w:rsidRPr="00465AB7" w:rsidRDefault="2FA6B974" w:rsidP="008907F4">
      <w:pPr>
        <w:tabs>
          <w:tab w:val="left" w:pos="851"/>
        </w:tabs>
        <w:rPr>
          <w:szCs w:val="24"/>
        </w:rPr>
      </w:pPr>
      <w:r>
        <w:t xml:space="preserve">По време на изпълнение на дейността или след нейното приключване и съгласно член 7 бенефициерите трябва да предоставят всякаква информация, поискана с оглед на проверката на допустимостта на декларираните разходи или вноски, надлежното изпълнение на дейността и спазването на задълженията по споразумението. </w:t>
      </w:r>
    </w:p>
    <w:p w14:paraId="2309DA6C" w14:textId="77777777" w:rsidR="008907F4" w:rsidRPr="00465AB7" w:rsidRDefault="2FA6B974" w:rsidP="008907F4">
      <w:pPr>
        <w:tabs>
          <w:tab w:val="left" w:pos="851"/>
        </w:tabs>
        <w:rPr>
          <w:szCs w:val="24"/>
        </w:rPr>
      </w:pPr>
      <w:r>
        <w:t>Предоставената информация трябва да е точна, прецизна, пълна и в изисквания формат, включително в електронен формат.</w:t>
      </w:r>
    </w:p>
    <w:p w14:paraId="4C0D1EFA" w14:textId="77777777" w:rsidR="008907F4" w:rsidRPr="00465AB7" w:rsidRDefault="008907F4" w:rsidP="008907F4">
      <w:pPr>
        <w:pStyle w:val="Heading5"/>
      </w:pPr>
      <w:bookmarkStart w:id="358" w:name="_Toc435108990"/>
      <w:bookmarkStart w:id="359" w:name="_Toc529197717"/>
      <w:bookmarkStart w:id="360" w:name="_Toc28806480"/>
      <w:bookmarkStart w:id="361" w:name="_Toc95924980"/>
      <w:r>
        <w:lastRenderedPageBreak/>
        <w:t>19.2</w:t>
      </w:r>
      <w:r>
        <w:tab/>
        <w:t>Актуализиране на данните в регистъра на участниците</w:t>
      </w:r>
      <w:bookmarkEnd w:id="358"/>
      <w:bookmarkEnd w:id="359"/>
      <w:bookmarkEnd w:id="360"/>
      <w:bookmarkEnd w:id="361"/>
    </w:p>
    <w:p w14:paraId="2E6A2A13" w14:textId="77777777" w:rsidR="008907F4" w:rsidRPr="00BE268E" w:rsidRDefault="008907F4" w:rsidP="2FA6B974">
      <w:pPr>
        <w:widowControl w:val="0"/>
        <w:rPr>
          <w:rFonts w:eastAsia="Times New Roman"/>
        </w:rPr>
      </w:pPr>
      <w:r>
        <w:t xml:space="preserve">Във всеки един момент по време на изпълнение на дейността или след това бенефициерите </w:t>
      </w:r>
      <w:r>
        <w:rPr>
          <w:shd w:val="clear" w:color="auto" w:fill="CCFFFF"/>
        </w:rPr>
        <w:t>трябва да актуализират своята информация, която се съхранява в регистъра за участниците в портала, по-конкретно своето наименование, адрес, законни представители, правна форма и организационна структура</w:t>
      </w:r>
      <w:r>
        <w:t>.</w:t>
      </w:r>
    </w:p>
    <w:p w14:paraId="39DCD8CB" w14:textId="77777777" w:rsidR="008907F4" w:rsidRPr="00465AB7" w:rsidRDefault="008907F4" w:rsidP="008907F4">
      <w:pPr>
        <w:pStyle w:val="Heading5"/>
      </w:pPr>
      <w:bookmarkStart w:id="362" w:name="_Toc95924981"/>
      <w:r>
        <w:t>19.3</w:t>
      </w:r>
      <w:r>
        <w:tab/>
        <w:t xml:space="preserve">Информация </w:t>
      </w:r>
      <w:r>
        <w:rPr>
          <w:rStyle w:val="Heading5Char"/>
        </w:rPr>
        <w:t>за събития и обстоятелства, които влияят на дейността</w:t>
      </w:r>
      <w:bookmarkEnd w:id="362"/>
    </w:p>
    <w:p w14:paraId="6875BEEF" w14:textId="77777777" w:rsidR="008907F4" w:rsidRPr="00BE268E" w:rsidRDefault="2FA6B974" w:rsidP="2FA6B974">
      <w:pPr>
        <w:widowControl w:val="0"/>
        <w:rPr>
          <w:rFonts w:eastAsia="Times New Roman"/>
        </w:rPr>
      </w:pPr>
      <w:r>
        <w:t xml:space="preserve">Всеки бенефициер трябва незабавно да уведоми предоставящия орган (и другите бенефициери) за всяко от следните: </w:t>
      </w:r>
    </w:p>
    <w:p w14:paraId="082AB2D7" w14:textId="77777777" w:rsidR="008907F4" w:rsidRPr="00BE268E" w:rsidRDefault="2FA6B974" w:rsidP="2FA6B974">
      <w:pPr>
        <w:widowControl w:val="0"/>
        <w:numPr>
          <w:ilvl w:val="0"/>
          <w:numId w:val="2"/>
        </w:numPr>
        <w:ind w:left="720" w:hanging="404"/>
        <w:rPr>
          <w:rFonts w:eastAsia="Times New Roman"/>
        </w:rPr>
      </w:pPr>
      <w:r>
        <w:rPr>
          <w:b/>
          <w:bCs/>
        </w:rPr>
        <w:t>събития</w:t>
      </w:r>
      <w:r>
        <w:t>, които биха могли да засегнат или да забавят изпълнението на дейността или финансовите интереси на ЕС, по-конкретно:</w:t>
      </w:r>
    </w:p>
    <w:p w14:paraId="691B97AD" w14:textId="3616075A" w:rsidR="008907F4" w:rsidRPr="00BE268E" w:rsidRDefault="2FA6B974" w:rsidP="2FA6B974">
      <w:pPr>
        <w:numPr>
          <w:ilvl w:val="0"/>
          <w:numId w:val="62"/>
        </w:numPr>
        <w:ind w:left="1560"/>
        <w:rPr>
          <w:rFonts w:eastAsia="Times New Roman" w:cs="Times New Roman"/>
        </w:rPr>
      </w:pPr>
      <w:r>
        <w:t xml:space="preserve">промени в неговото състояние, които имат юридически, финансов, технически, организационен или управленско-контролен характер (включително промени, свързани с едно от основанията за изключване, посочени в клетвената декларация, подписана преди подписването на споразумението за отпускане на безвъзмездни средства);  </w:t>
      </w:r>
    </w:p>
    <w:p w14:paraId="6296C32E" w14:textId="6A5729F2" w:rsidR="008907F4" w:rsidRPr="00B217B2" w:rsidRDefault="00403903" w:rsidP="2FA6B974">
      <w:pPr>
        <w:numPr>
          <w:ilvl w:val="0"/>
          <w:numId w:val="62"/>
        </w:numPr>
        <w:ind w:left="1560"/>
        <w:rPr>
          <w:rFonts w:eastAsia="Times New Roman" w:cs="Times New Roman"/>
          <w:color w:val="7F7F7F" w:themeColor="background1" w:themeShade="7F"/>
        </w:rPr>
      </w:pPr>
      <w:r>
        <w:rPr>
          <w:color w:val="7F7F7F" w:themeColor="text1" w:themeTint="80"/>
          <w:shd w:val="clear" w:color="auto" w:fill="CCFFFF"/>
        </w:rPr>
        <w:t>информация, свързана с дейността:</w:t>
      </w:r>
      <w:r>
        <w:rPr>
          <w:b/>
          <w:bCs/>
          <w:color w:val="7F7F7F" w:themeColor="text1" w:themeTint="80"/>
          <w:shd w:val="clear" w:color="auto" w:fill="CCFFFF"/>
        </w:rPr>
        <w:t xml:space="preserve"> </w:t>
      </w:r>
      <w:r>
        <w:rPr>
          <w:color w:val="7F7F7F" w:themeColor="text1" w:themeTint="80"/>
          <w:shd w:val="clear" w:color="auto" w:fill="CCFFFF"/>
        </w:rPr>
        <w:t>не е приложимо</w:t>
      </w:r>
    </w:p>
    <w:p w14:paraId="4CCA94CD" w14:textId="77777777" w:rsidR="008907F4" w:rsidRPr="00BE268E" w:rsidRDefault="2FA6B974" w:rsidP="2FA6B974">
      <w:pPr>
        <w:widowControl w:val="0"/>
        <w:numPr>
          <w:ilvl w:val="0"/>
          <w:numId w:val="2"/>
        </w:numPr>
        <w:ind w:left="720" w:hanging="404"/>
        <w:rPr>
          <w:rFonts w:eastAsia="Times New Roman"/>
        </w:rPr>
      </w:pPr>
      <w:r>
        <w:rPr>
          <w:b/>
          <w:bCs/>
        </w:rPr>
        <w:t>обстоятелства</w:t>
      </w:r>
      <w:r>
        <w:t>, които засягат:</w:t>
      </w:r>
    </w:p>
    <w:p w14:paraId="12BB5531" w14:textId="77777777" w:rsidR="008907F4" w:rsidRPr="00BE268E" w:rsidRDefault="2FA6B974" w:rsidP="2FA6B974">
      <w:pPr>
        <w:numPr>
          <w:ilvl w:val="0"/>
          <w:numId w:val="65"/>
        </w:numPr>
        <w:ind w:left="1560"/>
        <w:rPr>
          <w:rFonts w:eastAsia="Times New Roman" w:cs="Times New Roman"/>
        </w:rPr>
      </w:pPr>
      <w:r>
        <w:t>решението за отпускането на безвъзмездните средства; или</w:t>
      </w:r>
    </w:p>
    <w:p w14:paraId="37BFEEAD" w14:textId="77777777" w:rsidR="008907F4" w:rsidRPr="00BE268E" w:rsidRDefault="2FA6B974" w:rsidP="2FA6B974">
      <w:pPr>
        <w:numPr>
          <w:ilvl w:val="0"/>
          <w:numId w:val="65"/>
        </w:numPr>
        <w:ind w:left="1560"/>
        <w:rPr>
          <w:rFonts w:eastAsia="Times New Roman" w:cs="Times New Roman"/>
        </w:rPr>
      </w:pPr>
      <w:r>
        <w:t xml:space="preserve">изпълнението на изискванията по споразумението. </w:t>
      </w:r>
    </w:p>
    <w:p w14:paraId="59342D53" w14:textId="77777777" w:rsidR="008907F4" w:rsidRPr="00BE268E" w:rsidRDefault="008907F4" w:rsidP="008907F4">
      <w:pPr>
        <w:pStyle w:val="Heading5"/>
      </w:pPr>
      <w:bookmarkStart w:id="363" w:name="_Toc435108991"/>
      <w:bookmarkStart w:id="364" w:name="_Toc529197718"/>
      <w:bookmarkStart w:id="365" w:name="_Toc28806481"/>
      <w:bookmarkStart w:id="366" w:name="_Toc95924982"/>
      <w:r>
        <w:t>19.4</w:t>
      </w:r>
      <w:r>
        <w:tab/>
        <w:t>Последствия при неизпълнение</w:t>
      </w:r>
      <w:bookmarkEnd w:id="363"/>
      <w:bookmarkEnd w:id="364"/>
      <w:bookmarkEnd w:id="365"/>
      <w:bookmarkEnd w:id="366"/>
      <w:r>
        <w:t xml:space="preserve"> </w:t>
      </w:r>
    </w:p>
    <w:p w14:paraId="41BBB81F" w14:textId="77777777" w:rsidR="008907F4" w:rsidRPr="00F71FC1" w:rsidRDefault="2FA6B974" w:rsidP="008907F4">
      <w:pPr>
        <w:rPr>
          <w:bCs/>
          <w:szCs w:val="24"/>
        </w:rPr>
      </w:pPr>
      <w:r>
        <w:t xml:space="preserve">Ако даден бенефициер наруши което и да е от задълженията си по настоящия член, размерът на безвъзмездните средства може да бъде намален (вж. член 28). </w:t>
      </w:r>
    </w:p>
    <w:p w14:paraId="59935779" w14:textId="77777777" w:rsidR="008907F4" w:rsidRPr="00D566AD" w:rsidRDefault="2FA6B974" w:rsidP="008907F4">
      <w:pPr>
        <w:rPr>
          <w:szCs w:val="24"/>
        </w:rPr>
      </w:pPr>
      <w:r>
        <w:t>Такива нарушения могат да доведат и до прилагане на други мерки, описани в глава 5.</w:t>
      </w:r>
    </w:p>
    <w:p w14:paraId="048FB179" w14:textId="77777777" w:rsidR="008907F4" w:rsidRPr="00296F1E" w:rsidRDefault="2FA6B974" w:rsidP="2FA6B974">
      <w:pPr>
        <w:pStyle w:val="Heading4"/>
      </w:pPr>
      <w:bookmarkStart w:id="367" w:name="_Toc24116129"/>
      <w:bookmarkStart w:id="368" w:name="_Toc24126608"/>
      <w:bookmarkStart w:id="369" w:name="_Toc95924983"/>
      <w:r>
        <w:t>ЧЛЕН 20 — СЪХРАНЯВАНЕ НА ДОКУМЕНТАЛЕН АРХИВ</w:t>
      </w:r>
      <w:bookmarkEnd w:id="367"/>
      <w:bookmarkEnd w:id="368"/>
      <w:bookmarkEnd w:id="369"/>
    </w:p>
    <w:p w14:paraId="179833BE" w14:textId="77777777" w:rsidR="008907F4" w:rsidRDefault="008907F4" w:rsidP="2FA6B974">
      <w:pPr>
        <w:pStyle w:val="Heading5"/>
        <w:rPr>
          <w:rFonts w:eastAsia="Calibri"/>
        </w:rPr>
      </w:pPr>
      <w:bookmarkStart w:id="370" w:name="_Toc24116130"/>
      <w:bookmarkStart w:id="371" w:name="_Toc24126609"/>
      <w:bookmarkStart w:id="372" w:name="_Toc95924984"/>
      <w:r>
        <w:t>20.1</w:t>
      </w:r>
      <w:r>
        <w:tab/>
        <w:t>Съхраняване на документален архив и придружаващи документи</w:t>
      </w:r>
      <w:bookmarkEnd w:id="370"/>
      <w:bookmarkEnd w:id="371"/>
      <w:bookmarkEnd w:id="372"/>
    </w:p>
    <w:p w14:paraId="4505D01F" w14:textId="77777777" w:rsidR="008907F4" w:rsidRDefault="2FA6B974" w:rsidP="2FA6B974">
      <w:pPr>
        <w:autoSpaceDE w:val="0"/>
        <w:autoSpaceDN w:val="0"/>
        <w:adjustRightInd w:val="0"/>
        <w:rPr>
          <w:rFonts w:eastAsia="Calibri" w:cs="Times New Roman"/>
        </w:rPr>
      </w:pPr>
      <w:r>
        <w:t>Поне до срока,</w:t>
      </w:r>
      <w:r>
        <w:rPr>
          <w:b/>
          <w:bCs/>
        </w:rPr>
        <w:t xml:space="preserve"> </w:t>
      </w:r>
      <w:r>
        <w:t xml:space="preserve">предвиден в Техническите спецификации (вж. точка 6), бенефициерите трябва да съхраняват документален архив и други придружаващи документи за доказване на надлежното изпълнение на дейността в съответствие с приетите стандарти в съответната сфера (ако има такива). </w:t>
      </w:r>
    </w:p>
    <w:p w14:paraId="0B0E15C6" w14:textId="77777777" w:rsidR="008907F4" w:rsidRDefault="2FA6B974" w:rsidP="2FA6B974">
      <w:pPr>
        <w:autoSpaceDE w:val="0"/>
        <w:autoSpaceDN w:val="0"/>
        <w:adjustRightInd w:val="0"/>
        <w:rPr>
          <w:rFonts w:eastAsia="Calibri" w:cs="Times New Roman"/>
        </w:rPr>
      </w:pPr>
      <w:r>
        <w:t xml:space="preserve">Освен това за същия период бенефициерите трябва да съхраняват следните документи, с които се обосновават декларираните суми: </w:t>
      </w:r>
    </w:p>
    <w:p w14:paraId="3665FE9C" w14:textId="673A7BE0" w:rsidR="008907F4" w:rsidRDefault="2FA6B974" w:rsidP="2FA6B974">
      <w:pPr>
        <w:pStyle w:val="ListParagraph"/>
        <w:numPr>
          <w:ilvl w:val="0"/>
          <w:numId w:val="38"/>
        </w:numPr>
        <w:rPr>
          <w:rFonts w:eastAsia="Calibri"/>
        </w:rPr>
      </w:pPr>
      <w:r>
        <w:t xml:space="preserve">за действителните разходи: целесъобразен документален архив и придружаващи документи с оглед доказване на декларираните разходи (като например договори, договори с подизпълнители, фактури и счетоводни регистри); освен това обичайните процедури за счетоводно отчитане и за вътрешен контрол на бенефициерите трябва да дават възможност за пряко равняване на </w:t>
      </w:r>
      <w:r>
        <w:lastRenderedPageBreak/>
        <w:t xml:space="preserve">декларираните суми, сумите, отразени в счетоводните отчети, и сумите, посочени в придружаващите документи </w:t>
      </w:r>
    </w:p>
    <w:p w14:paraId="01E56A90" w14:textId="08417A71" w:rsidR="008907F4" w:rsidRPr="00D566AD" w:rsidRDefault="2FA6B974" w:rsidP="2FA6B974">
      <w:pPr>
        <w:pStyle w:val="ListParagraph"/>
        <w:numPr>
          <w:ilvl w:val="0"/>
          <w:numId w:val="38"/>
        </w:numPr>
        <w:rPr>
          <w:rFonts w:eastAsia="Calibri"/>
        </w:rPr>
      </w:pPr>
      <w:r>
        <w:t>за разходите и вноските на базата на единна ставка (ако има такива): целесъобразен документален архив и придружаващи документи с оглед доказване на допустимостта на разходите или вноските, към които се прилага единната ставка</w:t>
      </w:r>
    </w:p>
    <w:p w14:paraId="5935B927" w14:textId="77777777" w:rsidR="008907F4" w:rsidRDefault="2FA6B974" w:rsidP="2FA6B974">
      <w:pPr>
        <w:pStyle w:val="ListParagraph"/>
        <w:numPr>
          <w:ilvl w:val="0"/>
          <w:numId w:val="38"/>
        </w:numPr>
        <w:rPr>
          <w:rFonts w:eastAsia="Calibri"/>
        </w:rPr>
      </w:pPr>
      <w:r>
        <w:t xml:space="preserve">за следните опростени разходи и вноски: не е необходимо бенефициерите да съхраняват специален целесъобразен документален архив за действително направените разходи, но трябва да съхраняват: </w:t>
      </w:r>
    </w:p>
    <w:p w14:paraId="7D0CF8C4" w14:textId="19336573" w:rsidR="008907F4" w:rsidRDefault="2FA6B974" w:rsidP="2FA6B974">
      <w:pPr>
        <w:pStyle w:val="ListParagraph"/>
        <w:numPr>
          <w:ilvl w:val="1"/>
          <w:numId w:val="50"/>
        </w:numPr>
        <w:autoSpaceDE w:val="0"/>
        <w:autoSpaceDN w:val="0"/>
        <w:adjustRightInd w:val="0"/>
        <w:ind w:left="1560"/>
        <w:rPr>
          <w:rFonts w:eastAsia="Calibri"/>
        </w:rPr>
      </w:pPr>
      <w:r>
        <w:t>за единични разходи и вноски (ако има такива):</w:t>
      </w:r>
      <w:r>
        <w:rPr>
          <w:i/>
          <w:iCs/>
          <w:color w:val="00B050"/>
        </w:rPr>
        <w:t xml:space="preserve"> </w:t>
      </w:r>
      <w:r>
        <w:t>целесъобразен документален архив и придружаващи документи за доказване на броя на декларираните единици;</w:t>
      </w:r>
    </w:p>
    <w:p w14:paraId="75B061C0" w14:textId="0BCE4C9C" w:rsidR="008907F4" w:rsidRDefault="2FA6B974" w:rsidP="2FA6B974">
      <w:pPr>
        <w:pStyle w:val="ListParagraph"/>
        <w:numPr>
          <w:ilvl w:val="1"/>
          <w:numId w:val="50"/>
        </w:numPr>
        <w:autoSpaceDE w:val="0"/>
        <w:autoSpaceDN w:val="0"/>
        <w:adjustRightInd w:val="0"/>
        <w:ind w:left="1560"/>
        <w:rPr>
          <w:rFonts w:eastAsia="Calibri"/>
        </w:rPr>
      </w:pPr>
      <w:r>
        <w:t>за разходи и вноски под формата на еднократна сума (ако има такива):</w:t>
      </w:r>
      <w:r>
        <w:rPr>
          <w:i/>
          <w:iCs/>
          <w:color w:val="000000" w:themeColor="text1"/>
        </w:rPr>
        <w:t xml:space="preserve"> </w:t>
      </w:r>
      <w:r>
        <w:t>целесъобразен документален архив и придружаващи документи за доказване на надлежното изпълнение на дейността, както е описано в приложение 1;</w:t>
      </w:r>
    </w:p>
    <w:p w14:paraId="0AA2E7FB" w14:textId="3024114E" w:rsidR="008907F4" w:rsidRDefault="2FA6B974" w:rsidP="2FA6B974">
      <w:pPr>
        <w:pStyle w:val="ListParagraph"/>
        <w:numPr>
          <w:ilvl w:val="1"/>
          <w:numId w:val="50"/>
        </w:numPr>
        <w:autoSpaceDE w:val="0"/>
        <w:autoSpaceDN w:val="0"/>
        <w:adjustRightInd w:val="0"/>
        <w:ind w:left="1560"/>
        <w:rPr>
          <w:rFonts w:eastAsia="Calibri"/>
        </w:rPr>
      </w:pPr>
      <w:r>
        <w:t>за финансиране, което не е свързано с разходи (ако има такова): целесъобразен документален архив и придружаващи документи за доказване на постигането на резултатите или изпълнението на условията, описани в приложение 1;</w:t>
      </w:r>
    </w:p>
    <w:p w14:paraId="26AA4AF2" w14:textId="77777777" w:rsidR="008907F4" w:rsidRDefault="2FA6B974" w:rsidP="2FA6B974">
      <w:pPr>
        <w:pStyle w:val="ListParagraph"/>
        <w:numPr>
          <w:ilvl w:val="0"/>
          <w:numId w:val="38"/>
        </w:numPr>
        <w:rPr>
          <w:rFonts w:eastAsia="Calibri"/>
        </w:rPr>
      </w:pPr>
      <w:r>
        <w:t xml:space="preserve">за единични разходи и вноски, разходи и вноски на базата на единна ставка и такива под формата на еднократна сума съгласно обичайните практики за счетоводно отчитане на разходите (ако има такива): бенефициерите трябва да съхраняват целесъобразен документален архив и всички подкрепящи документи, с които се доказва, че практиките им за счетоводно отчитане на разходите се прилагат систематично, на базата на обективни критерии, без оглед на източника на финансиране и че те отговарят на условията за допустимост, посочени в членове 6.1 и 6.2. </w:t>
      </w:r>
    </w:p>
    <w:p w14:paraId="6E09F9AE" w14:textId="77777777" w:rsidR="008907F4" w:rsidRDefault="2FA6B974" w:rsidP="2FA6B974">
      <w:pPr>
        <w:rPr>
          <w:rFonts w:eastAsia="Calibri"/>
        </w:rPr>
      </w:pPr>
      <w:r>
        <w:t>Освен това за конкретните бюджетни категории е необходимо следното:</w:t>
      </w:r>
    </w:p>
    <w:p w14:paraId="0FBC8B44" w14:textId="5D9C2339" w:rsidR="008907F4" w:rsidRPr="00D901C7" w:rsidRDefault="008907F4" w:rsidP="2FA6B974">
      <w:pPr>
        <w:pStyle w:val="ListParagraph"/>
        <w:numPr>
          <w:ilvl w:val="0"/>
          <w:numId w:val="38"/>
        </w:numPr>
        <w:rPr>
          <w:rFonts w:eastAsia="Calibri"/>
        </w:rPr>
      </w:pPr>
      <w:r>
        <w:t>за разходите за персонал: отработеното за бенефициера време по дейността трябва да бъде подкрепено с декларации, подписвани ежемесечно от лицето и неговия надзорен орган, освен ако не е налице друга надеждна система за отчитане на времето; предоставящият орган може да приеме алтернативен доказателствен материал за потвърждаване на отработеното време по дейността, ако счете, че са налице достатъчно гаранции за неговата достоверност;</w:t>
      </w:r>
      <w:r>
        <w:rPr>
          <w:shd w:val="clear" w:color="auto" w:fill="FFCCFF"/>
        </w:rPr>
        <w:t xml:space="preserve"> </w:t>
      </w:r>
    </w:p>
    <w:p w14:paraId="4F375757" w14:textId="77777777" w:rsidR="008907F4" w:rsidRPr="005F1697" w:rsidRDefault="2FA6B974" w:rsidP="2FA6B974">
      <w:pPr>
        <w:pStyle w:val="ListParagraph"/>
        <w:numPr>
          <w:ilvl w:val="0"/>
          <w:numId w:val="38"/>
        </w:numPr>
        <w:rPr>
          <w:rFonts w:eastAsia="Calibri"/>
          <w:color w:val="7F7F7F" w:themeColor="background1" w:themeShade="7F"/>
        </w:rPr>
      </w:pPr>
      <w:r>
        <w:rPr>
          <w:color w:val="7F7F7F" w:themeColor="background1" w:themeShade="7F"/>
        </w:rPr>
        <w:t>допълнителни правила за съхраняване на документален архив: не е приложимо.</w:t>
      </w:r>
    </w:p>
    <w:p w14:paraId="191E81D2" w14:textId="77777777" w:rsidR="008907F4" w:rsidRDefault="2FA6B974" w:rsidP="2FA6B974">
      <w:pPr>
        <w:autoSpaceDE w:val="0"/>
        <w:autoSpaceDN w:val="0"/>
        <w:adjustRightInd w:val="0"/>
        <w:rPr>
          <w:rFonts w:eastAsia="Calibri" w:cs="Times New Roman"/>
        </w:rPr>
      </w:pPr>
      <w:r>
        <w:t xml:space="preserve">Архивът и придружаващите документи се представят при поискване (вж. член 19) или в рамките на проверки, прегледи, одити или разследвания (вж. член 25). </w:t>
      </w:r>
    </w:p>
    <w:p w14:paraId="42670744" w14:textId="7E3C93D1" w:rsidR="008907F4" w:rsidRDefault="008907F4" w:rsidP="2FA6B974">
      <w:pPr>
        <w:autoSpaceDE w:val="0"/>
        <w:autoSpaceDN w:val="0"/>
        <w:adjustRightInd w:val="0"/>
        <w:rPr>
          <w:rFonts w:eastAsia="Calibri" w:cs="Times New Roman"/>
        </w:rPr>
      </w:pPr>
      <w:r>
        <w:t xml:space="preserve">При редовни проверки, прегледи, одити, разследвания, съдебни спорове или предявяване на претенции по друг ред по споразумението бенефициерите трябва да </w:t>
      </w:r>
      <w:r>
        <w:lastRenderedPageBreak/>
        <w:t>съхраняват този архив и другите придружаващи документи до приключване на тези процедури.</w:t>
      </w:r>
    </w:p>
    <w:p w14:paraId="058E9B77" w14:textId="77777777" w:rsidR="008907F4" w:rsidRPr="00653A48" w:rsidRDefault="2FA6B974" w:rsidP="2FA6B974">
      <w:pPr>
        <w:autoSpaceDE w:val="0"/>
        <w:autoSpaceDN w:val="0"/>
        <w:adjustRightInd w:val="0"/>
        <w:rPr>
          <w:rFonts w:eastAsia="Calibri" w:cs="Times New Roman"/>
        </w:rPr>
      </w:pPr>
      <w:r>
        <w:t xml:space="preserve">Бенефициерите трябва да съхраняват оригиналните документи. Цифрови и цифровизирани документи се считат за оригинали, ако се признават за такива съгласно приложимото национално законодателство. Предоставящият орган може да приеме документи, които не са оригинални, ако сметне, че е налице достатъчна гаранция за тяхната достоверност.  </w:t>
      </w:r>
    </w:p>
    <w:p w14:paraId="4AEEDCF3" w14:textId="77777777" w:rsidR="008907F4" w:rsidRPr="005A716A" w:rsidRDefault="008907F4" w:rsidP="008907F4">
      <w:pPr>
        <w:pStyle w:val="Heading5"/>
      </w:pPr>
      <w:bookmarkStart w:id="373" w:name="_Toc24116131"/>
      <w:bookmarkStart w:id="374" w:name="_Toc24126610"/>
      <w:bookmarkStart w:id="375" w:name="_Toc95924985"/>
      <w:r>
        <w:t>20.2</w:t>
      </w:r>
      <w:r>
        <w:tab/>
        <w:t>Последствия при неизпълнение</w:t>
      </w:r>
      <w:bookmarkEnd w:id="373"/>
      <w:bookmarkEnd w:id="374"/>
      <w:bookmarkEnd w:id="375"/>
      <w:r>
        <w:t xml:space="preserve"> </w:t>
      </w:r>
    </w:p>
    <w:p w14:paraId="489F435F" w14:textId="77777777" w:rsidR="008907F4" w:rsidRPr="005A716A" w:rsidRDefault="2FA6B974" w:rsidP="2FA6B974">
      <w:pPr>
        <w:tabs>
          <w:tab w:val="left" w:pos="720"/>
        </w:tabs>
        <w:rPr>
          <w:rFonts w:eastAsia="Calibri" w:cs="Times New Roman"/>
        </w:rPr>
      </w:pPr>
      <w:r>
        <w:t xml:space="preserve">Ако даден бенефициер наруши което и да е от задълженията си по настоящия член, разходите и вноските, които не са подкрепени от достатъчно разходооправдателни документи, ще се считат за недопустими (вж. член 6) и няма да бъдат признати (вж. член 27), а размерът на безвъзмездните средства може да бъде намален (вж. член 28). </w:t>
      </w:r>
    </w:p>
    <w:p w14:paraId="20E87F56" w14:textId="77777777" w:rsidR="008907F4" w:rsidRDefault="2FA6B974" w:rsidP="2FA6B974">
      <w:pPr>
        <w:adjustRightInd w:val="0"/>
        <w:rPr>
          <w:rFonts w:eastAsia="Calibri" w:cs="Times New Roman"/>
        </w:rPr>
      </w:pPr>
      <w:r>
        <w:t xml:space="preserve">Такива нарушения могат да доведат и до прилагане на други мерки, описани в глава 5. </w:t>
      </w:r>
    </w:p>
    <w:p w14:paraId="1269C855" w14:textId="77777777" w:rsidR="008907F4" w:rsidRPr="00D566AD" w:rsidRDefault="2FA6B974" w:rsidP="2FA6B974">
      <w:pPr>
        <w:pStyle w:val="Heading4"/>
      </w:pPr>
      <w:bookmarkStart w:id="376" w:name="_Toc95924986"/>
      <w:bookmarkStart w:id="377" w:name="_Toc530035913"/>
      <w:bookmarkStart w:id="378" w:name="_Toc24116132"/>
      <w:bookmarkStart w:id="379" w:name="_Toc24126611"/>
      <w:bookmarkStart w:id="380" w:name="_Toc435108995"/>
      <w:bookmarkStart w:id="381" w:name="_Toc524697227"/>
      <w:bookmarkStart w:id="382" w:name="_Toc529197722"/>
      <w:r>
        <w:t>ЧЛЕН 21 — ДОКЛАДВАНЕ</w:t>
      </w:r>
      <w:bookmarkEnd w:id="376"/>
      <w:r>
        <w:t xml:space="preserve"> </w:t>
      </w:r>
      <w:bookmarkEnd w:id="377"/>
      <w:bookmarkEnd w:id="378"/>
      <w:bookmarkEnd w:id="379"/>
    </w:p>
    <w:p w14:paraId="7F37204B" w14:textId="46891C7A" w:rsidR="008907F4" w:rsidRPr="00B95868" w:rsidRDefault="008907F4" w:rsidP="008907F4">
      <w:pPr>
        <w:pStyle w:val="Heading5"/>
      </w:pPr>
      <w:bookmarkStart w:id="383" w:name="_Toc24116133"/>
      <w:bookmarkStart w:id="384" w:name="_Toc24126612"/>
      <w:bookmarkStart w:id="385" w:name="_Toc95924987"/>
      <w:bookmarkStart w:id="386" w:name="_Toc435108996"/>
      <w:bookmarkStart w:id="387" w:name="_Toc529197723"/>
      <w:r>
        <w:t>21.1</w:t>
      </w:r>
      <w:r>
        <w:tab/>
        <w:t>Непрекъснато докладване</w:t>
      </w:r>
      <w:bookmarkEnd w:id="383"/>
      <w:bookmarkEnd w:id="384"/>
      <w:bookmarkEnd w:id="385"/>
    </w:p>
    <w:p w14:paraId="00DEDF07" w14:textId="3E3121E5" w:rsidR="008907F4" w:rsidRPr="005F1697" w:rsidRDefault="008907F4" w:rsidP="2FA6B974">
      <w:pPr>
        <w:rPr>
          <w:i/>
          <w:iCs/>
        </w:rPr>
      </w:pPr>
      <w:r>
        <w:rPr>
          <w:i/>
          <w:iCs/>
          <w:color w:val="4AA55B"/>
        </w:rPr>
        <w:t>[</w:t>
      </w:r>
      <w:r>
        <w:rPr>
          <w:i/>
          <w:iCs/>
          <w:color w:val="4AA55B"/>
          <w:shd w:val="clear" w:color="auto" w:fill="CCFFFF"/>
        </w:rPr>
        <w:t>ВАРИАНТ по подразбиране</w:t>
      </w:r>
      <w:r>
        <w:rPr>
          <w:i/>
          <w:iCs/>
          <w:color w:val="4AA55B"/>
        </w:rPr>
        <w:t xml:space="preserve">: </w:t>
      </w:r>
      <w:r>
        <w:rPr>
          <w:color w:val="7F7F7F" w:themeColor="text1" w:themeTint="80"/>
        </w:rPr>
        <w:t>Не е приложимо</w:t>
      </w:r>
      <w:r>
        <w:rPr>
          <w:i/>
          <w:iCs/>
          <w:color w:val="4AA55B"/>
        </w:rPr>
        <w:t>]</w:t>
      </w:r>
    </w:p>
    <w:p w14:paraId="011EB3BD" w14:textId="3D77E4AE" w:rsidR="008907F4" w:rsidRPr="008306C8" w:rsidRDefault="008907F4" w:rsidP="2FA6B974">
      <w:pPr>
        <w:rPr>
          <w:i/>
          <w:iCs/>
        </w:rPr>
      </w:pPr>
      <w:r>
        <w:rPr>
          <w:i/>
          <w:iCs/>
          <w:color w:val="4AA55B"/>
          <w:shd w:val="clear" w:color="auto" w:fill="CCFFFF"/>
        </w:rPr>
        <w:t xml:space="preserve">[ВАРИАНТ, в случай че държава членка изисква непрекъснато наблюдение: </w:t>
      </w:r>
      <w:r>
        <w:rPr>
          <w:shd w:val="clear" w:color="auto" w:fill="CCFFFF"/>
        </w:rPr>
        <w:t xml:space="preserve">Координаторът е длъжен да представя </w:t>
      </w:r>
      <w:r>
        <w:rPr>
          <w:b/>
          <w:bCs/>
          <w:shd w:val="clear" w:color="auto" w:fill="CCFFFF"/>
        </w:rPr>
        <w:t>физическите резултати</w:t>
      </w:r>
      <w:r>
        <w:rPr>
          <w:shd w:val="clear" w:color="auto" w:fill="CCFFFF"/>
        </w:rPr>
        <w:t>, определени в приложение 1, съгласно сроковете и условията, посочени в приложението.</w:t>
      </w:r>
      <w:r>
        <w:rPr>
          <w:i/>
          <w:iCs/>
          <w:color w:val="4AA55B"/>
          <w:shd w:val="clear" w:color="auto" w:fill="CCFFFF"/>
        </w:rPr>
        <w:t>]</w:t>
      </w:r>
      <w:r>
        <w:rPr>
          <w:i/>
          <w:iCs/>
        </w:rPr>
        <w:t xml:space="preserve"> </w:t>
      </w:r>
    </w:p>
    <w:p w14:paraId="11E202E0" w14:textId="77777777" w:rsidR="008907F4" w:rsidRPr="002E6275" w:rsidRDefault="008907F4" w:rsidP="008907F4">
      <w:pPr>
        <w:pStyle w:val="Heading5"/>
      </w:pPr>
      <w:bookmarkStart w:id="388" w:name="_Toc24116134"/>
      <w:bookmarkStart w:id="389" w:name="_Toc24126613"/>
      <w:bookmarkStart w:id="390" w:name="_Toc95924988"/>
      <w:r>
        <w:t>21.2</w:t>
      </w:r>
      <w:r>
        <w:tab/>
        <w:t>Докладване</w:t>
      </w:r>
      <w:bookmarkEnd w:id="388"/>
      <w:bookmarkEnd w:id="389"/>
      <w:bookmarkEnd w:id="390"/>
      <w:r>
        <w:rPr>
          <w:shd w:val="clear" w:color="auto" w:fill="FFCCFF"/>
        </w:rPr>
        <w:t xml:space="preserve"> </w:t>
      </w:r>
    </w:p>
    <w:p w14:paraId="2695069B" w14:textId="77777777" w:rsidR="008907F4" w:rsidRDefault="2FA6B974" w:rsidP="2FA6B974">
      <w:pPr>
        <w:rPr>
          <w:rFonts w:eastAsia="Calibri" w:cs="Times New Roman"/>
        </w:rPr>
      </w:pPr>
      <w:r>
        <w:t xml:space="preserve">В допълнение, за да заявят плащанията, бенефициерите трябва да представят отчети в съответствие с графика и условията, предвидени в Техническите спецификации (вж. точка 4.2):  </w:t>
      </w:r>
    </w:p>
    <w:p w14:paraId="3E2B2E7B" w14:textId="77777777" w:rsidR="008907F4" w:rsidRDefault="2FA6B974" w:rsidP="2FA6B974">
      <w:pPr>
        <w:pStyle w:val="ListParagraph"/>
        <w:numPr>
          <w:ilvl w:val="0"/>
          <w:numId w:val="49"/>
        </w:numPr>
        <w:rPr>
          <w:rFonts w:eastAsia="Calibri"/>
        </w:rPr>
      </w:pPr>
      <w:r>
        <w:t xml:space="preserve">за междинни плащания (ако има такива): </w:t>
      </w:r>
      <w:r>
        <w:rPr>
          <w:b/>
          <w:bCs/>
        </w:rPr>
        <w:t>периодичен отчет</w:t>
      </w:r>
      <w:r>
        <w:t xml:space="preserve">. </w:t>
      </w:r>
    </w:p>
    <w:p w14:paraId="19A2EF6D" w14:textId="77777777" w:rsidR="008907F4" w:rsidRPr="00CB3B85" w:rsidRDefault="2FA6B974" w:rsidP="2FA6B974">
      <w:pPr>
        <w:pStyle w:val="ListParagraph"/>
        <w:numPr>
          <w:ilvl w:val="0"/>
          <w:numId w:val="49"/>
        </w:numPr>
        <w:rPr>
          <w:rFonts w:eastAsia="Calibri"/>
        </w:rPr>
      </w:pPr>
      <w:r>
        <w:t xml:space="preserve">за окончателното плащане: </w:t>
      </w:r>
      <w:r>
        <w:rPr>
          <w:b/>
          <w:bCs/>
        </w:rPr>
        <w:t>последен</w:t>
      </w:r>
      <w:r>
        <w:t xml:space="preserve"> </w:t>
      </w:r>
      <w:r>
        <w:rPr>
          <w:b/>
          <w:bCs/>
        </w:rPr>
        <w:t>периодичен отчет, окончателен отчет и изследване за оценка на резултатите</w:t>
      </w:r>
      <w:r>
        <w:t xml:space="preserve"> от мерките за информиране и насърчаване. </w:t>
      </w:r>
    </w:p>
    <w:p w14:paraId="1AC7F660" w14:textId="77777777" w:rsidR="008907F4" w:rsidRPr="00920868" w:rsidRDefault="008907F4" w:rsidP="2FA6B974">
      <w:pPr>
        <w:rPr>
          <w:i/>
          <w:iCs/>
          <w:color w:val="4AA55B"/>
        </w:rPr>
      </w:pPr>
      <w:bookmarkStart w:id="391" w:name="_Toc455154360"/>
      <w:bookmarkStart w:id="392" w:name="_Toc61017611"/>
      <w:bookmarkStart w:id="393" w:name="_Toc61600982"/>
      <w:r>
        <w:rPr>
          <w:i/>
          <w:iCs/>
          <w:color w:val="4AA55B"/>
        </w:rPr>
        <w:t>[</w:t>
      </w:r>
      <w:r>
        <w:rPr>
          <w:i/>
          <w:iCs/>
          <w:color w:val="4AA55B"/>
          <w:shd w:val="clear" w:color="auto" w:fill="CCFFFF"/>
        </w:rPr>
        <w:t>ВАРИАНТ 1 за дейности с повече от един отчетен период и повече от едно междинно плащане</w:t>
      </w:r>
      <w:r>
        <w:rPr>
          <w:i/>
          <w:iCs/>
          <w:color w:val="4AA55B"/>
        </w:rPr>
        <w:t>:</w:t>
      </w:r>
      <w:bookmarkEnd w:id="391"/>
      <w:bookmarkEnd w:id="392"/>
      <w:bookmarkEnd w:id="393"/>
      <w:r>
        <w:rPr>
          <w:i/>
          <w:iCs/>
          <w:color w:val="4AA55B"/>
        </w:rPr>
        <w:t xml:space="preserve"> </w:t>
      </w:r>
    </w:p>
    <w:p w14:paraId="0443892F" w14:textId="77777777" w:rsidR="008907F4" w:rsidRPr="008F7323" w:rsidRDefault="2FA6B974" w:rsidP="00A61F21">
      <w:bookmarkStart w:id="394" w:name="_Toc61017612"/>
      <w:bookmarkStart w:id="395" w:name="_Toc61600983"/>
      <w:r>
        <w:t xml:space="preserve">С изключение на последния отчетен период координаторът трябва да представи периодичен отчет в срок от 60 дни след края на всеки отчетен период. </w:t>
      </w:r>
      <w:bookmarkEnd w:id="394"/>
      <w:bookmarkEnd w:id="395"/>
    </w:p>
    <w:p w14:paraId="2DF28E6A" w14:textId="77777777" w:rsidR="008907F4" w:rsidRPr="008F7323" w:rsidRDefault="2FA6B974" w:rsidP="00A61F21">
      <w:bookmarkStart w:id="396" w:name="_Toc61017613"/>
      <w:bookmarkStart w:id="397" w:name="_Toc61600984"/>
      <w:r>
        <w:rPr>
          <w:b/>
          <w:bCs/>
        </w:rPr>
        <w:t>Периодичният отчет</w:t>
      </w:r>
      <w:r>
        <w:t xml:space="preserve"> трябва да включва:</w:t>
      </w:r>
      <w:bookmarkEnd w:id="396"/>
      <w:bookmarkEnd w:id="397"/>
    </w:p>
    <w:p w14:paraId="4D4E5724" w14:textId="6A142027" w:rsidR="008907F4" w:rsidRPr="008F7323" w:rsidRDefault="2FA6B974" w:rsidP="2FA6B974">
      <w:pPr>
        <w:pStyle w:val="ListParagraph"/>
        <w:numPr>
          <w:ilvl w:val="0"/>
          <w:numId w:val="86"/>
        </w:numPr>
        <w:rPr>
          <w:rFonts w:eastAsia="Calibri"/>
        </w:rPr>
      </w:pPr>
      <w:r>
        <w:t xml:space="preserve"> „периодичен технически отчет“ (вж. приложение 7), който съдържа: </w:t>
      </w:r>
      <w:bookmarkStart w:id="398" w:name="_Toc61017614"/>
      <w:bookmarkStart w:id="399" w:name="_Toc61600985"/>
      <w:bookmarkEnd w:id="398"/>
      <w:bookmarkEnd w:id="399"/>
    </w:p>
    <w:p w14:paraId="5171E9BA" w14:textId="303E1A59" w:rsidR="008907F4" w:rsidRPr="008F7323" w:rsidRDefault="2FA6B974" w:rsidP="2FA6B974">
      <w:pPr>
        <w:pStyle w:val="ListParagraph"/>
        <w:numPr>
          <w:ilvl w:val="0"/>
          <w:numId w:val="87"/>
        </w:numPr>
        <w:autoSpaceDE w:val="0"/>
        <w:autoSpaceDN w:val="0"/>
        <w:adjustRightInd w:val="0"/>
        <w:rPr>
          <w:rFonts w:eastAsia="Calibri"/>
        </w:rPr>
      </w:pPr>
      <w:r>
        <w:lastRenderedPageBreak/>
        <w:t xml:space="preserve">обяснение на дейностите, извършени от бенефициера, и общ преглед на напредъка за постигане на целите на дейността, включително физическите резултати, определени в приложение 1. </w:t>
      </w:r>
    </w:p>
    <w:p w14:paraId="1A2062C2" w14:textId="72BDDD31" w:rsidR="008907F4" w:rsidRPr="008F7323" w:rsidRDefault="2FA6B974" w:rsidP="2FA6B974">
      <w:pPr>
        <w:ind w:left="1440"/>
        <w:rPr>
          <w:rFonts w:eastAsia="Calibri" w:cs="Times New Roman"/>
        </w:rPr>
      </w:pPr>
      <w:r>
        <w:t>В този отчет трябва да са използвани посочените в приложение 1 показатели за изпълнението и резултатите и да са включени обяснителни бележки, с които се обосновават различията между предвидените за изпълнение дейности и очакваните крайни резултати в съответствие с приложение 1 и действително извършените дейности и получени крайни резултати,</w:t>
      </w:r>
    </w:p>
    <w:p w14:paraId="67796C50" w14:textId="34340B6B" w:rsidR="008907F4" w:rsidRDefault="2FA6B974" w:rsidP="2FA6B974">
      <w:pPr>
        <w:pStyle w:val="ListParagraph"/>
        <w:numPr>
          <w:ilvl w:val="0"/>
          <w:numId w:val="87"/>
        </w:numPr>
        <w:autoSpaceDE w:val="0"/>
        <w:autoSpaceDN w:val="0"/>
        <w:adjustRightInd w:val="0"/>
        <w:rPr>
          <w:rFonts w:eastAsia="Calibri"/>
        </w:rPr>
      </w:pPr>
      <w:r>
        <w:t>копия от използваните документи и визуални материали, които все още не са изпратени на предоставящия орган;</w:t>
      </w:r>
    </w:p>
    <w:p w14:paraId="383D2FF9" w14:textId="744A95B2" w:rsidR="008907F4" w:rsidRPr="008F7323" w:rsidRDefault="2FA6B974" w:rsidP="2FA6B974">
      <w:pPr>
        <w:pStyle w:val="ListParagraph"/>
        <w:numPr>
          <w:ilvl w:val="0"/>
          <w:numId w:val="86"/>
        </w:numPr>
      </w:pPr>
      <w:bookmarkStart w:id="400" w:name="_Toc61017615"/>
      <w:bookmarkStart w:id="401" w:name="_Toc61600986"/>
      <w:r>
        <w:rPr>
          <w:b/>
          <w:bCs/>
        </w:rPr>
        <w:t>периодичен финансов отчет</w:t>
      </w:r>
      <w:r>
        <w:t>, който съдържа:</w:t>
      </w:r>
      <w:bookmarkEnd w:id="400"/>
      <w:bookmarkEnd w:id="401"/>
    </w:p>
    <w:p w14:paraId="1E66476A" w14:textId="1F4DCFE6" w:rsidR="008907F4" w:rsidRPr="008F7323" w:rsidRDefault="2FA6B974" w:rsidP="2FA6B974">
      <w:pPr>
        <w:pStyle w:val="ListParagraph"/>
        <w:numPr>
          <w:ilvl w:val="0"/>
          <w:numId w:val="88"/>
        </w:numPr>
        <w:autoSpaceDE w:val="0"/>
        <w:autoSpaceDN w:val="0"/>
        <w:adjustRightInd w:val="0"/>
      </w:pPr>
      <w:r>
        <w:t>индивидуален финансов отчет (вж. приложение 4) от всеки бенефициер за съответния отчетен период</w:t>
      </w:r>
    </w:p>
    <w:p w14:paraId="54CE6CD2" w14:textId="01FD7342" w:rsidR="008907F4" w:rsidRPr="008F7323" w:rsidRDefault="2FA6B974" w:rsidP="2FA6B974">
      <w:pPr>
        <w:ind w:left="1429"/>
        <w:rPr>
          <w:rFonts w:eastAsia="Times New Roman"/>
        </w:rPr>
      </w:pPr>
      <w:r>
        <w:t>В индивидуалния финансов отчет трябва да бъдат подробно отразени допустимите разходи (действителни разходи и разходи на базата на единна ставка; вж. член 6) за всяка бюджетна категория (вж. приложение 2).</w:t>
      </w:r>
    </w:p>
    <w:p w14:paraId="0E31A0CA" w14:textId="7431932D" w:rsidR="008907F4" w:rsidRPr="008F7323" w:rsidRDefault="2FA6B974" w:rsidP="008907F4">
      <w:pPr>
        <w:autoSpaceDE w:val="0"/>
        <w:autoSpaceDN w:val="0"/>
        <w:adjustRightInd w:val="0"/>
        <w:ind w:left="1440"/>
        <w:rPr>
          <w:bCs/>
          <w:szCs w:val="24"/>
        </w:rPr>
      </w:pPr>
      <w:r>
        <w:t>Бенефициерите трябва да декларират всички допустими разходи, дори когато —</w:t>
      </w:r>
      <w:r>
        <w:rPr>
          <w:b/>
          <w:bCs/>
        </w:rPr>
        <w:t xml:space="preserve"> </w:t>
      </w:r>
      <w:r>
        <w:t>за действителни разходи и</w:t>
      </w:r>
      <w:r>
        <w:rPr>
          <w:b/>
          <w:bCs/>
        </w:rPr>
        <w:t xml:space="preserve"> </w:t>
      </w:r>
      <w:r>
        <w:t>разходи на базата на единна ставка</w:t>
      </w:r>
      <w:r>
        <w:rPr>
          <w:b/>
          <w:bCs/>
        </w:rPr>
        <w:t> </w:t>
      </w:r>
      <w:r>
        <w:t>—</w:t>
      </w:r>
      <w:r>
        <w:rPr>
          <w:b/>
          <w:bCs/>
        </w:rPr>
        <w:t xml:space="preserve"> </w:t>
      </w:r>
      <w:r>
        <w:t xml:space="preserve">те надвишават сумите, предвидени в прогнозния бюджет (вж. приложение 2). Суми, които не са декларирани в индивидуалния финансов отчет, няма да бъдат вземани предвид от предоставящия орган. </w:t>
      </w:r>
    </w:p>
    <w:p w14:paraId="20F21976" w14:textId="15576855" w:rsidR="008907F4" w:rsidRPr="008F7323" w:rsidRDefault="2FA6B974" w:rsidP="008907F4">
      <w:pPr>
        <w:ind w:left="1429"/>
        <w:rPr>
          <w:bCs/>
          <w:szCs w:val="24"/>
        </w:rPr>
      </w:pPr>
      <w:r>
        <w:t>Ако за даден отчетен период не бъде представен индивидуален финансов отчет, той може да бъде включен в периодичния финансов отчет за следващия отчетен период.</w:t>
      </w:r>
    </w:p>
    <w:p w14:paraId="02C78090" w14:textId="77777777" w:rsidR="008907F4" w:rsidRPr="008F7323" w:rsidRDefault="2FA6B974" w:rsidP="008907F4">
      <w:pPr>
        <w:ind w:left="1440" w:firstLine="1"/>
        <w:rPr>
          <w:szCs w:val="24"/>
        </w:rPr>
      </w:pPr>
      <w:r>
        <w:t>Всеки бенефициер трябва да потвърди, че:</w:t>
      </w:r>
    </w:p>
    <w:p w14:paraId="3A9BCCBC" w14:textId="702D4DDA" w:rsidR="008907F4" w:rsidRPr="008F7323" w:rsidRDefault="2FA6B974" w:rsidP="2FA6B974">
      <w:pPr>
        <w:numPr>
          <w:ilvl w:val="1"/>
          <w:numId w:val="2"/>
        </w:numPr>
        <w:ind w:left="2161"/>
        <w:rPr>
          <w:color w:val="000000" w:themeColor="text1"/>
        </w:rPr>
      </w:pPr>
      <w:r>
        <w:rPr>
          <w:color w:val="000000" w:themeColor="text1"/>
        </w:rPr>
        <w:t>предоставената информация е пълна, надеждна и вярна</w:t>
      </w:r>
      <w:r>
        <w:t>,</w:t>
      </w:r>
    </w:p>
    <w:p w14:paraId="060A1986" w14:textId="452CCC0A" w:rsidR="008907F4" w:rsidRPr="008F7323" w:rsidRDefault="2FA6B974" w:rsidP="2FA6B974">
      <w:pPr>
        <w:numPr>
          <w:ilvl w:val="1"/>
          <w:numId w:val="2"/>
        </w:numPr>
        <w:ind w:left="2161"/>
        <w:rPr>
          <w:color w:val="000000" w:themeColor="text1"/>
        </w:rPr>
      </w:pPr>
      <w:r>
        <w:rPr>
          <w:color w:val="000000" w:themeColor="text1"/>
        </w:rPr>
        <w:t>декларираните разходи са допустими (вж. член 6),</w:t>
      </w:r>
    </w:p>
    <w:p w14:paraId="4C81F043" w14:textId="6AF14834" w:rsidR="008907F4" w:rsidRPr="008F7323" w:rsidRDefault="2FA6B974" w:rsidP="2FA6B974">
      <w:pPr>
        <w:numPr>
          <w:ilvl w:val="1"/>
          <w:numId w:val="2"/>
        </w:numPr>
        <w:ind w:left="2161"/>
      </w:pPr>
      <w:r>
        <w:rPr>
          <w:color w:val="000000" w:themeColor="text1"/>
        </w:rPr>
        <w:t>разходите могат да бъдат доказани чрез адекватна документация и разходооправдателни документи (вж. член 20), които ще бъдат представени при поискване (вж. член 19) или</w:t>
      </w:r>
      <w:r>
        <w:t xml:space="preserve"> в рамките на проверки, одити и разследвания (вж. член 25), и</w:t>
      </w:r>
      <w:r>
        <w:rPr>
          <w:color w:val="000000" w:themeColor="text1"/>
        </w:rPr>
        <w:t xml:space="preserve"> </w:t>
      </w:r>
    </w:p>
    <w:p w14:paraId="2FEB183A" w14:textId="0B0657DD" w:rsidR="008907F4" w:rsidRPr="008F7323" w:rsidRDefault="2FA6B974" w:rsidP="2FA6B974">
      <w:pPr>
        <w:numPr>
          <w:ilvl w:val="1"/>
          <w:numId w:val="2"/>
        </w:numPr>
        <w:ind w:left="2161"/>
      </w:pPr>
      <w:r>
        <w:rPr>
          <w:color w:val="000000" w:themeColor="text1"/>
        </w:rPr>
        <w:t>за последния отчетен период: че всички постъпления</w:t>
      </w:r>
      <w:r>
        <w:t xml:space="preserve"> са декларирани (вж. член 22);</w:t>
      </w:r>
    </w:p>
    <w:p w14:paraId="690D3366" w14:textId="3CDBA2F3" w:rsidR="008907F4" w:rsidRPr="008F7323" w:rsidRDefault="2FA6B974" w:rsidP="2FA6B974">
      <w:pPr>
        <w:pStyle w:val="ListParagraph"/>
        <w:numPr>
          <w:ilvl w:val="0"/>
          <w:numId w:val="88"/>
        </w:numPr>
        <w:autoSpaceDE w:val="0"/>
        <w:autoSpaceDN w:val="0"/>
        <w:adjustRightInd w:val="0"/>
      </w:pPr>
      <w:r>
        <w:t>периодичен обобщен финансов отчет, в който са консолидирани индивидуалните финансови отчети за съответния отчетен период и който включва —</w:t>
      </w:r>
      <w:r>
        <w:rPr>
          <w:b/>
          <w:bCs/>
        </w:rPr>
        <w:t xml:space="preserve"> </w:t>
      </w:r>
      <w:r>
        <w:t>с изключение на този за последния отчетен период —</w:t>
      </w:r>
      <w:r>
        <w:rPr>
          <w:b/>
          <w:bCs/>
        </w:rPr>
        <w:t xml:space="preserve"> искането за междинно плащане</w:t>
      </w:r>
      <w:r>
        <w:t>,</w:t>
      </w:r>
    </w:p>
    <w:p w14:paraId="3A79B116" w14:textId="3FCA9A86" w:rsidR="008907F4" w:rsidRPr="008F7323" w:rsidRDefault="2FA6B974" w:rsidP="00A61F21">
      <w:pPr>
        <w:pStyle w:val="ListParagraph"/>
        <w:numPr>
          <w:ilvl w:val="0"/>
          <w:numId w:val="88"/>
        </w:numPr>
        <w:autoSpaceDE w:val="0"/>
        <w:autoSpaceDN w:val="0"/>
        <w:adjustRightInd w:val="0"/>
      </w:pPr>
      <w:bookmarkStart w:id="402" w:name="_Toc61017616"/>
      <w:bookmarkStart w:id="403" w:name="_Toc61600987"/>
      <w:r>
        <w:lastRenderedPageBreak/>
        <w:t>сертификат за финансовите отчети (съставен в съответствие с международните одиторски стандарти, подкрепен от одиторския доклад и съответстващ на изискванията в приложение 6) за всеки бенефициер, ако:</w:t>
      </w:r>
      <w:bookmarkEnd w:id="402"/>
      <w:bookmarkEnd w:id="403"/>
    </w:p>
    <w:p w14:paraId="698B7B72" w14:textId="77777777" w:rsidR="008907F4" w:rsidRPr="008F7323" w:rsidRDefault="2FA6B974" w:rsidP="00A61F21">
      <w:pPr>
        <w:numPr>
          <w:ilvl w:val="1"/>
          <w:numId w:val="2"/>
        </w:numPr>
        <w:ind w:left="2161"/>
      </w:pPr>
      <w:bookmarkStart w:id="404" w:name="_Toc61017617"/>
      <w:bookmarkStart w:id="405" w:name="_Toc61600988"/>
      <w:r>
        <w:t xml:space="preserve">размерът на плащанията, за който той отправя искане за възстановяване на действителни разходи, е 325 000 EUR или повече, и </w:t>
      </w:r>
      <w:bookmarkEnd w:id="404"/>
      <w:bookmarkEnd w:id="405"/>
    </w:p>
    <w:p w14:paraId="270BB82E" w14:textId="3A16EC26" w:rsidR="008907F4" w:rsidRPr="008F7323" w:rsidRDefault="2FA6B974" w:rsidP="00A61F21">
      <w:pPr>
        <w:numPr>
          <w:ilvl w:val="1"/>
          <w:numId w:val="2"/>
        </w:numPr>
        <w:ind w:left="2161"/>
      </w:pPr>
      <w:bookmarkStart w:id="406" w:name="_Toc61017618"/>
      <w:bookmarkStart w:id="407" w:name="_Toc61600989"/>
      <w:r>
        <w:t>максималната финансова вноска на ЕС, предвидена за съответния бенефициер в прогнозния бюджет (вж. приложение 2), под формата на възстановяване на действителни разходи, е в размер на 750 000 EUR или повече</w:t>
      </w:r>
      <w:bookmarkEnd w:id="406"/>
      <w:bookmarkEnd w:id="407"/>
    </w:p>
    <w:p w14:paraId="07A5888B" w14:textId="77777777" w:rsidR="008907F4" w:rsidRPr="008F7323" w:rsidRDefault="008907F4" w:rsidP="2FA6B974">
      <w:pPr>
        <w:pStyle w:val="ListParagraph"/>
        <w:numPr>
          <w:ilvl w:val="0"/>
          <w:numId w:val="88"/>
        </w:numPr>
        <w:autoSpaceDE w:val="0"/>
        <w:autoSpaceDN w:val="0"/>
        <w:adjustRightInd w:val="0"/>
        <w:rPr>
          <w:rFonts w:eastAsia="Calibri"/>
        </w:rPr>
      </w:pPr>
      <w:bookmarkStart w:id="408" w:name="_Toc61017619"/>
      <w:bookmarkStart w:id="409" w:name="_Toc61600990"/>
      <w:r>
        <w:rPr>
          <w:shd w:val="clear" w:color="auto" w:fill="CCFFFF"/>
        </w:rPr>
        <w:t>копия на съответните фактури и разходооправдателни документи, доказващи допустимостта на разходите, когато не се изисква сертификатът, посочен в подточка iii)</w:t>
      </w:r>
      <w:r>
        <w:t>.</w:t>
      </w:r>
      <w:bookmarkEnd w:id="408"/>
      <w:bookmarkEnd w:id="409"/>
    </w:p>
    <w:p w14:paraId="7473E913" w14:textId="5D1BD99D" w:rsidR="008907F4" w:rsidRPr="008F7323" w:rsidRDefault="008907F4" w:rsidP="00A61F21">
      <w:bookmarkStart w:id="410" w:name="_Toc61017620"/>
      <w:bookmarkStart w:id="411" w:name="_Toc61600991"/>
      <w:r>
        <w:t xml:space="preserve">За последния отчетен период координаторът трябва да представи </w:t>
      </w:r>
      <w:r>
        <w:rPr>
          <w:shd w:val="clear" w:color="auto" w:fill="CCFFFF"/>
        </w:rPr>
        <w:t>периодичния отчет, окончателния отчет и изследването за оценка на резултатите</w:t>
      </w:r>
      <w:r>
        <w:t xml:space="preserve"> в срок от 90 дни след края на последния отчетен период.</w:t>
      </w:r>
      <w:bookmarkEnd w:id="410"/>
      <w:bookmarkEnd w:id="411"/>
    </w:p>
    <w:p w14:paraId="1DC18107" w14:textId="77777777" w:rsidR="008907F4" w:rsidRPr="008F7323" w:rsidRDefault="2FA6B974" w:rsidP="00A61F21">
      <w:bookmarkStart w:id="412" w:name="_Toc61017621"/>
      <w:bookmarkStart w:id="413" w:name="_Toc61600992"/>
      <w:r>
        <w:rPr>
          <w:b/>
          <w:bCs/>
        </w:rPr>
        <w:t>Окончателният отчет</w:t>
      </w:r>
      <w:r>
        <w:t xml:space="preserve"> трябва да включва:</w:t>
      </w:r>
      <w:bookmarkEnd w:id="412"/>
      <w:bookmarkEnd w:id="413"/>
    </w:p>
    <w:p w14:paraId="237FBE97" w14:textId="20146935" w:rsidR="008907F4" w:rsidRPr="008F7323" w:rsidRDefault="2FA6B974" w:rsidP="00A61F21">
      <w:pPr>
        <w:pStyle w:val="ListParagraph"/>
        <w:numPr>
          <w:ilvl w:val="0"/>
          <w:numId w:val="90"/>
        </w:numPr>
      </w:pPr>
      <w:bookmarkStart w:id="414" w:name="_Toc61017622"/>
      <w:bookmarkStart w:id="415" w:name="_Toc61600993"/>
      <w:r>
        <w:t>окончателен технически отчет (вж. приложение 8), който съдържа:</w:t>
      </w:r>
      <w:bookmarkEnd w:id="414"/>
      <w:bookmarkEnd w:id="415"/>
    </w:p>
    <w:p w14:paraId="76BF608C" w14:textId="01E9AE65" w:rsidR="008907F4" w:rsidRPr="008F7323" w:rsidRDefault="2FA6B974" w:rsidP="2FA6B974">
      <w:pPr>
        <w:pStyle w:val="ListParagraph"/>
        <w:numPr>
          <w:ilvl w:val="0"/>
          <w:numId w:val="89"/>
        </w:numPr>
        <w:autoSpaceDE w:val="0"/>
        <w:autoSpaceDN w:val="0"/>
        <w:adjustRightInd w:val="0"/>
      </w:pPr>
      <w:r>
        <w:t>общ преглед на извършените дейности и постигнатите резултати от дейността, в която са използвани по-специално посочените в приложение 1 показатели за въздействието,</w:t>
      </w:r>
    </w:p>
    <w:p w14:paraId="26E7D5D2" w14:textId="147452EC" w:rsidR="008907F4" w:rsidRDefault="2FA6B974" w:rsidP="2FA6B974">
      <w:pPr>
        <w:pStyle w:val="ListParagraph"/>
        <w:numPr>
          <w:ilvl w:val="0"/>
          <w:numId w:val="89"/>
        </w:numPr>
        <w:autoSpaceDE w:val="0"/>
        <w:autoSpaceDN w:val="0"/>
        <w:adjustRightInd w:val="0"/>
      </w:pPr>
      <w:r>
        <w:t>резюме за публикуване;</w:t>
      </w:r>
    </w:p>
    <w:p w14:paraId="112D79D4" w14:textId="77777777" w:rsidR="009A293D" w:rsidRDefault="008907F4" w:rsidP="00A61F21">
      <w:pPr>
        <w:pStyle w:val="ListParagraph"/>
        <w:numPr>
          <w:ilvl w:val="0"/>
          <w:numId w:val="90"/>
        </w:numPr>
      </w:pPr>
      <w:bookmarkStart w:id="416" w:name="_Toc61017623"/>
      <w:bookmarkStart w:id="417" w:name="_Toc61600994"/>
      <w:r>
        <w:t>окончателен финансов отчет, съдържащ окончателен обобщен финансов отчет, в който са консолидирани индивидуалните финансови отчети за всички отчетни периоди и който включва искането за окончателно плащане</w:t>
      </w:r>
      <w:bookmarkEnd w:id="416"/>
      <w:bookmarkEnd w:id="417"/>
      <w:r>
        <w:t>.</w:t>
      </w:r>
      <w:bookmarkStart w:id="418" w:name="_Toc61017624"/>
      <w:bookmarkStart w:id="419" w:name="_Toc61600995"/>
    </w:p>
    <w:p w14:paraId="284C47F6" w14:textId="17A42C24" w:rsidR="008907F4" w:rsidRPr="008F7323" w:rsidRDefault="009A293D" w:rsidP="009A293D">
      <w:r>
        <w:rPr>
          <w:b/>
          <w:bCs/>
          <w:shd w:val="clear" w:color="auto" w:fill="CCFFFF"/>
        </w:rPr>
        <w:t>Изследването за оценка на резултатите</w:t>
      </w:r>
      <w:r>
        <w:rPr>
          <w:shd w:val="clear" w:color="auto" w:fill="CCFFFF"/>
        </w:rPr>
        <w:t xml:space="preserve"> от мерките за информиране и насърчаване трябва да бъде проведено от независим външен орган и в него трябва да се използват посочените в приложение 1 показатели за въздействието.</w:t>
      </w:r>
      <w:r>
        <w:rPr>
          <w:i/>
          <w:iCs/>
          <w:color w:val="4AA55B"/>
          <w:shd w:val="clear" w:color="auto" w:fill="CCFFFF"/>
        </w:rPr>
        <w:t>]</w:t>
      </w:r>
      <w:bookmarkEnd w:id="418"/>
      <w:bookmarkEnd w:id="419"/>
      <w:r>
        <w:rPr>
          <w:color w:val="4AA55B"/>
        </w:rPr>
        <w:t xml:space="preserve"> </w:t>
      </w:r>
    </w:p>
    <w:p w14:paraId="11717E9D" w14:textId="77777777" w:rsidR="008907F4" w:rsidRPr="00920868" w:rsidRDefault="008907F4" w:rsidP="2FA6B974">
      <w:pPr>
        <w:rPr>
          <w:i/>
          <w:iCs/>
          <w:color w:val="4AA55B"/>
        </w:rPr>
      </w:pPr>
      <w:bookmarkStart w:id="420" w:name="_Toc371676953"/>
      <w:bookmarkStart w:id="421" w:name="_Toc399397656"/>
      <w:bookmarkEnd w:id="380"/>
      <w:bookmarkEnd w:id="381"/>
      <w:bookmarkEnd w:id="382"/>
      <w:bookmarkEnd w:id="386"/>
      <w:bookmarkEnd w:id="387"/>
      <w:r>
        <w:rPr>
          <w:i/>
          <w:iCs/>
          <w:color w:val="4AA55B"/>
        </w:rPr>
        <w:t>[</w:t>
      </w:r>
      <w:r>
        <w:rPr>
          <w:i/>
          <w:iCs/>
          <w:color w:val="4AA55B"/>
          <w:shd w:val="clear" w:color="auto" w:fill="CCFFFF"/>
        </w:rPr>
        <w:t>ВАРИАНТ 2 за дейности с един отчетен период и БЕЗ междинни плащания</w:t>
      </w:r>
      <w:r>
        <w:rPr>
          <w:i/>
          <w:iCs/>
          <w:color w:val="4AA55B"/>
        </w:rPr>
        <w:t>:</w:t>
      </w:r>
    </w:p>
    <w:p w14:paraId="4A130322" w14:textId="7EF27A24" w:rsidR="008907F4" w:rsidRPr="008F7323" w:rsidRDefault="2FA6B974" w:rsidP="00A61F21">
      <w:bookmarkStart w:id="422" w:name="_Toc61017625"/>
      <w:bookmarkStart w:id="423" w:name="_Toc61600996"/>
      <w:r>
        <w:t xml:space="preserve">В срок от 90 дни след края на отчетния период координаторът трябва да представи окончателен отчет, който включва искането за окончателно плащане, </w:t>
      </w:r>
      <w:r>
        <w:rPr>
          <w:shd w:val="clear" w:color="auto" w:fill="CCFFFF"/>
        </w:rPr>
        <w:t>както и изследването за оценка на резултатите от мерките за информиране и насърчаване</w:t>
      </w:r>
      <w:r>
        <w:t>.</w:t>
      </w:r>
      <w:bookmarkEnd w:id="422"/>
      <w:bookmarkEnd w:id="423"/>
    </w:p>
    <w:p w14:paraId="566C0EBC" w14:textId="77777777" w:rsidR="008907F4" w:rsidRPr="008F7323" w:rsidRDefault="2FA6B974" w:rsidP="00A61F21">
      <w:r>
        <w:rPr>
          <w:b/>
          <w:bCs/>
        </w:rPr>
        <w:t>Окончателният отчет</w:t>
      </w:r>
      <w:r>
        <w:t xml:space="preserve"> трябва да включва:</w:t>
      </w:r>
    </w:p>
    <w:p w14:paraId="0A7E24E8" w14:textId="5D7C5D8A" w:rsidR="008907F4" w:rsidRPr="008F7323" w:rsidRDefault="2FA6B974" w:rsidP="2FA6B974">
      <w:pPr>
        <w:pStyle w:val="ListParagraph"/>
        <w:numPr>
          <w:ilvl w:val="0"/>
          <w:numId w:val="91"/>
        </w:numPr>
      </w:pPr>
      <w:bookmarkStart w:id="424" w:name="_Toc61017626"/>
      <w:bookmarkStart w:id="425" w:name="_Toc61600997"/>
      <w:r>
        <w:t xml:space="preserve">окончателен технически отчет, съдържащ: </w:t>
      </w:r>
      <w:bookmarkEnd w:id="424"/>
      <w:bookmarkEnd w:id="425"/>
    </w:p>
    <w:p w14:paraId="245A8D42" w14:textId="378B2BCC" w:rsidR="008907F4" w:rsidRPr="008F7323" w:rsidRDefault="2FA6B974" w:rsidP="2FA6B974">
      <w:pPr>
        <w:pStyle w:val="ListParagraph"/>
        <w:numPr>
          <w:ilvl w:val="0"/>
          <w:numId w:val="92"/>
        </w:numPr>
        <w:autoSpaceDE w:val="0"/>
        <w:autoSpaceDN w:val="0"/>
        <w:adjustRightInd w:val="0"/>
      </w:pPr>
      <w:r>
        <w:t xml:space="preserve">общ преглед на изпълнението на дейността, включително на физическите резултати, определени в приложение 1. </w:t>
      </w:r>
    </w:p>
    <w:p w14:paraId="40E9E090" w14:textId="26EE3C6E" w:rsidR="008907F4" w:rsidRPr="008F7323" w:rsidRDefault="2FA6B974" w:rsidP="2FA6B974">
      <w:pPr>
        <w:ind w:left="1440"/>
        <w:rPr>
          <w:rFonts w:eastAsia="Times New Roman"/>
        </w:rPr>
      </w:pPr>
      <w:r>
        <w:lastRenderedPageBreak/>
        <w:t xml:space="preserve">В този отчет трябва да са използвани посочените в приложение 1 показатели за изпълнението, резултатите и въздействието и да са включени обяснителни бележки, с които се обосновават различията между работата, предвидена за изпълнение в съответствие с приложение 1, и действително извършената работа, </w:t>
      </w:r>
    </w:p>
    <w:p w14:paraId="6758C801" w14:textId="036E4BF8" w:rsidR="008907F4" w:rsidRDefault="2FA6B974" w:rsidP="2FA6B974">
      <w:pPr>
        <w:pStyle w:val="ListParagraph"/>
        <w:numPr>
          <w:ilvl w:val="0"/>
          <w:numId w:val="92"/>
        </w:numPr>
        <w:autoSpaceDE w:val="0"/>
        <w:autoSpaceDN w:val="0"/>
        <w:adjustRightInd w:val="0"/>
      </w:pPr>
      <w:r>
        <w:rPr>
          <w:b/>
          <w:bCs/>
        </w:rPr>
        <w:t>резюме</w:t>
      </w:r>
      <w:r>
        <w:t xml:space="preserve"> за публикуване;</w:t>
      </w:r>
    </w:p>
    <w:p w14:paraId="53FDCA72" w14:textId="3B265DD0" w:rsidR="008907F4" w:rsidRPr="008F7323" w:rsidRDefault="008907F4" w:rsidP="2FA6B974">
      <w:pPr>
        <w:pStyle w:val="ListParagraph"/>
        <w:numPr>
          <w:ilvl w:val="0"/>
          <w:numId w:val="91"/>
        </w:numPr>
      </w:pPr>
      <w:bookmarkStart w:id="426" w:name="_Toc61017627"/>
      <w:bookmarkStart w:id="427" w:name="_Toc61600998"/>
      <w:r>
        <w:t>окончателен финансов отчет, който съдържа:</w:t>
      </w:r>
      <w:bookmarkEnd w:id="426"/>
      <w:bookmarkEnd w:id="427"/>
    </w:p>
    <w:p w14:paraId="4A4C4976" w14:textId="5EE17FFA" w:rsidR="008907F4" w:rsidRPr="008F7323" w:rsidRDefault="2FA6B974" w:rsidP="2FA6B974">
      <w:pPr>
        <w:pStyle w:val="ListParagraph"/>
        <w:numPr>
          <w:ilvl w:val="0"/>
          <w:numId w:val="93"/>
        </w:numPr>
        <w:autoSpaceDE w:val="0"/>
        <w:autoSpaceDN w:val="0"/>
        <w:adjustRightInd w:val="0"/>
      </w:pPr>
      <w:r>
        <w:t>индивидуален финансов отчет (вж. приложение 4) от всеки бенефициер за отчетния период.</w:t>
      </w:r>
    </w:p>
    <w:p w14:paraId="6BAB09BC" w14:textId="6FCDBFFF" w:rsidR="008907F4" w:rsidRPr="008F7323" w:rsidRDefault="2FA6B974" w:rsidP="2FA6B974">
      <w:pPr>
        <w:ind w:left="1429"/>
        <w:rPr>
          <w:rFonts w:eastAsia="Times New Roman"/>
        </w:rPr>
      </w:pPr>
      <w:r>
        <w:t>В индивидуалния финансов отчет трябва да бъдат подробно отразени допустимите разходи (действителни разходи и разходи на базата на единна ставка; вж. член 6) за всяка бюджетна категория (вж. приложение 2).</w:t>
      </w:r>
    </w:p>
    <w:p w14:paraId="16B804DC" w14:textId="73B40360" w:rsidR="008907F4" w:rsidRPr="008F7323" w:rsidRDefault="2FA6B974" w:rsidP="2FA6B974">
      <w:pPr>
        <w:autoSpaceDE w:val="0"/>
        <w:autoSpaceDN w:val="0"/>
        <w:adjustRightInd w:val="0"/>
        <w:ind w:left="1440"/>
        <w:rPr>
          <w:rFonts w:eastAsia="Times New Roman"/>
        </w:rPr>
      </w:pPr>
      <w:r>
        <w:t>Бенефициерите трябва да декларират всички допустими разходи, дори когато —</w:t>
      </w:r>
      <w:r>
        <w:rPr>
          <w:b/>
          <w:bCs/>
        </w:rPr>
        <w:t xml:space="preserve"> </w:t>
      </w:r>
      <w:r>
        <w:t>за действителни разходи и</w:t>
      </w:r>
      <w:r>
        <w:rPr>
          <w:b/>
          <w:bCs/>
        </w:rPr>
        <w:t xml:space="preserve"> </w:t>
      </w:r>
      <w:r>
        <w:t>разходи на базата на единна ставка</w:t>
      </w:r>
      <w:r>
        <w:rPr>
          <w:b/>
          <w:bCs/>
        </w:rPr>
        <w:t> </w:t>
      </w:r>
      <w:r>
        <w:t>—</w:t>
      </w:r>
      <w:r>
        <w:rPr>
          <w:b/>
          <w:bCs/>
        </w:rPr>
        <w:t xml:space="preserve"> </w:t>
      </w:r>
      <w:r>
        <w:t>те надвишават сумите, предвидени в прогнозния бюджет (вж. приложение 2). Суми, които не са декларирани в индивидуалния финансовия отчет, няма да бъдат вземани предвид от предоставящия орган. Индивидуалните финансови отчети трябва да отразяват и постъпленията от дейността (вж. член 22).</w:t>
      </w:r>
    </w:p>
    <w:p w14:paraId="2C9F2D43" w14:textId="77777777" w:rsidR="008907F4" w:rsidRPr="008F7323" w:rsidRDefault="2FA6B974" w:rsidP="008907F4">
      <w:pPr>
        <w:ind w:left="1440" w:firstLine="1"/>
        <w:rPr>
          <w:szCs w:val="24"/>
        </w:rPr>
      </w:pPr>
      <w:r>
        <w:t>Всеки бенефициер трябва да потвърди, че:</w:t>
      </w:r>
    </w:p>
    <w:p w14:paraId="719825CC" w14:textId="352122EE" w:rsidR="008907F4" w:rsidRPr="008F7323" w:rsidRDefault="2FA6B974" w:rsidP="008907F4">
      <w:pPr>
        <w:numPr>
          <w:ilvl w:val="1"/>
          <w:numId w:val="2"/>
        </w:numPr>
        <w:ind w:left="2161"/>
      </w:pPr>
      <w:r>
        <w:t>предоставената информация е пълна, надеждна и вярна,</w:t>
      </w:r>
    </w:p>
    <w:p w14:paraId="74EF07BB" w14:textId="598950E5" w:rsidR="008907F4" w:rsidRPr="008F7323" w:rsidRDefault="2FA6B974" w:rsidP="008907F4">
      <w:pPr>
        <w:numPr>
          <w:ilvl w:val="1"/>
          <w:numId w:val="2"/>
        </w:numPr>
        <w:ind w:left="2161"/>
      </w:pPr>
      <w:r>
        <w:t>декларираните разходи са допустими (вж. член 6),</w:t>
      </w:r>
    </w:p>
    <w:p w14:paraId="11087E42" w14:textId="74ECBFEB" w:rsidR="008907F4" w:rsidRPr="008F7323" w:rsidRDefault="2FA6B974" w:rsidP="2FA6B974">
      <w:pPr>
        <w:numPr>
          <w:ilvl w:val="1"/>
          <w:numId w:val="2"/>
        </w:numPr>
        <w:ind w:left="2161"/>
      </w:pPr>
      <w:r>
        <w:t xml:space="preserve">разходите могат да бъдат доказани чрез адекватна документация и разходооправдателни документи (вж. член 20), които ще бъдат представени при поискване (вж. член 19) или в рамките на проверки, одити и разследвания (вж. член 25), и </w:t>
      </w:r>
    </w:p>
    <w:p w14:paraId="0DE05E0E" w14:textId="45B09F31" w:rsidR="008907F4" w:rsidRPr="008F7323" w:rsidRDefault="2FA6B974" w:rsidP="2FA6B974">
      <w:pPr>
        <w:numPr>
          <w:ilvl w:val="1"/>
          <w:numId w:val="2"/>
        </w:numPr>
        <w:ind w:left="2161"/>
      </w:pPr>
      <w:r>
        <w:t>че всички постъпления са декларирани (вж. член 22);</w:t>
      </w:r>
    </w:p>
    <w:p w14:paraId="7384FBC6" w14:textId="438F3AC8" w:rsidR="008907F4" w:rsidRPr="00581156" w:rsidRDefault="2FA6B974" w:rsidP="2FA6B974">
      <w:pPr>
        <w:pStyle w:val="ListParagraph"/>
        <w:numPr>
          <w:ilvl w:val="0"/>
          <w:numId w:val="93"/>
        </w:numPr>
        <w:autoSpaceDE w:val="0"/>
        <w:autoSpaceDN w:val="0"/>
        <w:adjustRightInd w:val="0"/>
      </w:pPr>
      <w:r>
        <w:t>окончателен обобщен финансов отчет, в който са консолидирани индивидуалните финансови отчети за отчетния период и който включва искането за окончателно плащане,</w:t>
      </w:r>
    </w:p>
    <w:p w14:paraId="4FBBE014" w14:textId="15F658EE" w:rsidR="008907F4" w:rsidRPr="00581156" w:rsidRDefault="2FA6B974" w:rsidP="00A61F21">
      <w:pPr>
        <w:pStyle w:val="ListParagraph"/>
        <w:numPr>
          <w:ilvl w:val="0"/>
          <w:numId w:val="93"/>
        </w:numPr>
        <w:autoSpaceDE w:val="0"/>
        <w:autoSpaceDN w:val="0"/>
        <w:adjustRightInd w:val="0"/>
      </w:pPr>
      <w:bookmarkStart w:id="428" w:name="_Toc61017628"/>
      <w:bookmarkStart w:id="429" w:name="_Toc61600999"/>
      <w:r>
        <w:t>сертификат за финансовите отчети (съставен в съответствие с международните одиторски стандарти, подкрепен от одиторския доклад и съответстващ на изискванията в приложение 5) за всеки бенефициер, ако:</w:t>
      </w:r>
      <w:bookmarkEnd w:id="428"/>
      <w:bookmarkEnd w:id="429"/>
    </w:p>
    <w:p w14:paraId="7590308F" w14:textId="77777777" w:rsidR="008907F4" w:rsidRPr="00581156" w:rsidRDefault="2FA6B974" w:rsidP="00A61F21">
      <w:pPr>
        <w:numPr>
          <w:ilvl w:val="1"/>
          <w:numId w:val="2"/>
        </w:numPr>
        <w:ind w:left="2161"/>
      </w:pPr>
      <w:bookmarkStart w:id="430" w:name="_Toc61017629"/>
      <w:bookmarkStart w:id="431" w:name="_Toc61601000"/>
      <w:r>
        <w:t xml:space="preserve">той отправя искане за финансова вноска в общ размер на 325 000 EUR или повече под формата на възстановяване на действителни разходи, и </w:t>
      </w:r>
      <w:bookmarkEnd w:id="430"/>
      <w:bookmarkEnd w:id="431"/>
    </w:p>
    <w:p w14:paraId="37A3E139" w14:textId="77777777" w:rsidR="008907F4" w:rsidRPr="00581156" w:rsidRDefault="2FA6B974" w:rsidP="00A61F21">
      <w:pPr>
        <w:numPr>
          <w:ilvl w:val="1"/>
          <w:numId w:val="2"/>
        </w:numPr>
        <w:ind w:left="2161"/>
      </w:pPr>
      <w:bookmarkStart w:id="432" w:name="_Toc61017630"/>
      <w:bookmarkStart w:id="433" w:name="_Toc61601001"/>
      <w:r>
        <w:lastRenderedPageBreak/>
        <w:t>максималната вноска на ЕС, предвидена за съответния бенефициер в прогнозния бюджет (вж. приложение 2), под формата на възстановяване на действителни разходи, е в размер на 750 000 EUR или повече,</w:t>
      </w:r>
      <w:bookmarkEnd w:id="432"/>
      <w:bookmarkEnd w:id="433"/>
    </w:p>
    <w:p w14:paraId="709CF4F2" w14:textId="77777777" w:rsidR="00B1033C" w:rsidRDefault="008907F4" w:rsidP="2FA6B974">
      <w:pPr>
        <w:pStyle w:val="ListParagraph"/>
        <w:numPr>
          <w:ilvl w:val="0"/>
          <w:numId w:val="93"/>
        </w:numPr>
        <w:autoSpaceDE w:val="0"/>
        <w:autoSpaceDN w:val="0"/>
        <w:adjustRightInd w:val="0"/>
      </w:pPr>
      <w:bookmarkStart w:id="434" w:name="_Toc61017631"/>
      <w:bookmarkStart w:id="435" w:name="_Toc61601002"/>
      <w:r>
        <w:rPr>
          <w:shd w:val="clear" w:color="auto" w:fill="CCFFFF"/>
        </w:rPr>
        <w:t>копия на съответните фактури и разходооправдателни документи, доказващи допустимостта на разходите, когато не се изисква сертификатът, посочен в подточка iii)</w:t>
      </w:r>
      <w:r>
        <w:t>.</w:t>
      </w:r>
      <w:bookmarkEnd w:id="434"/>
      <w:bookmarkEnd w:id="435"/>
    </w:p>
    <w:p w14:paraId="2BE0BA03" w14:textId="122DEBB0" w:rsidR="008907F4" w:rsidRPr="00B1033C" w:rsidRDefault="00B1033C" w:rsidP="00B1033C">
      <w:pPr>
        <w:autoSpaceDE w:val="0"/>
        <w:autoSpaceDN w:val="0"/>
        <w:adjustRightInd w:val="0"/>
        <w:rPr>
          <w:szCs w:val="24"/>
        </w:rPr>
      </w:pPr>
      <w:r>
        <w:rPr>
          <w:b/>
          <w:bCs/>
          <w:shd w:val="clear" w:color="auto" w:fill="CCFFFF"/>
        </w:rPr>
        <w:t>Изследването за оценка на резултатите</w:t>
      </w:r>
      <w:r>
        <w:rPr>
          <w:shd w:val="clear" w:color="auto" w:fill="CCFFFF"/>
        </w:rPr>
        <w:t xml:space="preserve"> от мерките за информиране и насърчаване трябва да бъде проведено от независим външен орган и в него трябва да се използват посочените в приложение 1 показатели за въздействието.</w:t>
      </w:r>
      <w:r>
        <w:rPr>
          <w:i/>
          <w:iCs/>
          <w:color w:val="4AA55B"/>
          <w:shd w:val="clear" w:color="auto" w:fill="CCFFFF"/>
        </w:rPr>
        <w:t>]</w:t>
      </w:r>
    </w:p>
    <w:p w14:paraId="674CE2AC" w14:textId="77777777" w:rsidR="008907F4" w:rsidRPr="00236F9C" w:rsidRDefault="008907F4" w:rsidP="008907F4">
      <w:pPr>
        <w:pStyle w:val="Heading5"/>
      </w:pPr>
      <w:bookmarkStart w:id="436" w:name="_Toc24116135"/>
      <w:bookmarkStart w:id="437" w:name="_Toc24126614"/>
      <w:bookmarkStart w:id="438" w:name="_Toc95924989"/>
      <w:r>
        <w:t>21.3</w:t>
      </w:r>
      <w:r>
        <w:tab/>
        <w:t>Валута, в която се изготвят финансовите отчети, и конвертиране в евро</w:t>
      </w:r>
      <w:bookmarkEnd w:id="436"/>
      <w:bookmarkEnd w:id="437"/>
      <w:bookmarkEnd w:id="438"/>
    </w:p>
    <w:p w14:paraId="0BA0DBAC" w14:textId="77777777" w:rsidR="008907F4" w:rsidRDefault="2FA6B974" w:rsidP="008907F4">
      <w:r>
        <w:t>Финансовите отчети трябва да се изготвят в евро.</w:t>
      </w:r>
    </w:p>
    <w:p w14:paraId="3517FA46" w14:textId="77777777" w:rsidR="008907F4" w:rsidRPr="00D76A54" w:rsidRDefault="2FA6B974" w:rsidP="008907F4">
      <w:r>
        <w:t xml:space="preserve">Бенефициерите, чието общо счетоводство се води във валута, различна от евро, трябва да конвертират в евро отразените в счетоводните им отчети разходи по средната стойност на дневните обменни курсове, публикувани в серия C на </w:t>
      </w:r>
      <w:r>
        <w:rPr>
          <w:i/>
          <w:iCs/>
        </w:rPr>
        <w:t>Официален вестник на Европейския съюз</w:t>
      </w:r>
      <w:r>
        <w:t xml:space="preserve"> (на уебсайта на ЕЦБ), като тази средна стойност се изчислява за съответния отчетен период.</w:t>
      </w:r>
    </w:p>
    <w:p w14:paraId="73E93062" w14:textId="77777777" w:rsidR="008907F4" w:rsidRPr="00D76A54" w:rsidRDefault="2FA6B974" w:rsidP="008907F4">
      <w:r>
        <w:t xml:space="preserve">Ако за съответната валута в </w:t>
      </w:r>
      <w:r>
        <w:rPr>
          <w:i/>
          <w:iCs/>
        </w:rPr>
        <w:t>Официален вестник</w:t>
      </w:r>
      <w:r>
        <w:t xml:space="preserve"> няма публикуван дневен обменен курс, разходите трябва да се конвертират по средната стойност на месечните счетоводни обменни курсове, публикувани на уебсайта на Европейската комисия (InforEuro), като тази средна стойност се изчислява за съответния отчетен период.</w:t>
      </w:r>
    </w:p>
    <w:p w14:paraId="53F22174" w14:textId="77777777" w:rsidR="008907F4" w:rsidRPr="00D76A54" w:rsidRDefault="2FA6B974" w:rsidP="2FA6B974">
      <w:pPr>
        <w:rPr>
          <w:i/>
          <w:iCs/>
          <w:color w:val="FF0000"/>
        </w:rPr>
      </w:pPr>
      <w:r>
        <w:t>Бенефициерите, чието общо счетоводство се води в евро, трябва да конвертират разходите, направени в друга валута, в евро съгласно обичайните си счетоводни практики.</w:t>
      </w:r>
    </w:p>
    <w:p w14:paraId="0AFA30BE" w14:textId="77777777" w:rsidR="008907F4" w:rsidRPr="00F6377D" w:rsidRDefault="008907F4" w:rsidP="008907F4">
      <w:pPr>
        <w:pStyle w:val="Heading5"/>
      </w:pPr>
      <w:bookmarkStart w:id="439" w:name="_Toc435109005"/>
      <w:bookmarkStart w:id="440" w:name="_Toc529197728"/>
      <w:bookmarkStart w:id="441" w:name="_Toc24116136"/>
      <w:bookmarkStart w:id="442" w:name="_Toc24126615"/>
      <w:bookmarkStart w:id="443" w:name="_Toc95924990"/>
      <w:bookmarkEnd w:id="420"/>
      <w:bookmarkEnd w:id="421"/>
      <w:r>
        <w:t>21.4</w:t>
      </w:r>
      <w:r>
        <w:tab/>
        <w:t>Език на докладване</w:t>
      </w:r>
      <w:bookmarkEnd w:id="439"/>
      <w:bookmarkEnd w:id="440"/>
      <w:bookmarkEnd w:id="441"/>
      <w:bookmarkEnd w:id="442"/>
      <w:bookmarkEnd w:id="443"/>
    </w:p>
    <w:p w14:paraId="3B2C9515" w14:textId="7B475B31" w:rsidR="008907F4" w:rsidRPr="00F6377D" w:rsidRDefault="2FA6B974" w:rsidP="008907F4">
      <w:pPr>
        <w:contextualSpacing/>
        <w:rPr>
          <w:szCs w:val="24"/>
        </w:rPr>
      </w:pPr>
      <w:r>
        <w:t>Докладването трябва да се извършва на езика на споразумението, освен ако не е договорено друго с предоставящия орган (вж. Техническите спецификации, точка 4.2).</w:t>
      </w:r>
    </w:p>
    <w:p w14:paraId="386018FA" w14:textId="77777777" w:rsidR="008907F4" w:rsidRDefault="008907F4" w:rsidP="008907F4">
      <w:pPr>
        <w:pStyle w:val="Heading5"/>
      </w:pPr>
      <w:bookmarkStart w:id="444" w:name="_Toc529197729"/>
      <w:bookmarkStart w:id="445" w:name="_Toc24116137"/>
      <w:bookmarkStart w:id="446" w:name="_Toc24126616"/>
      <w:bookmarkStart w:id="447" w:name="_Toc95924991"/>
      <w:bookmarkStart w:id="448" w:name="_Toc435109006"/>
      <w:r>
        <w:t>21.5</w:t>
      </w:r>
      <w:r>
        <w:tab/>
        <w:t>Последствия при неизпълнение</w:t>
      </w:r>
      <w:bookmarkEnd w:id="444"/>
      <w:bookmarkEnd w:id="445"/>
      <w:bookmarkEnd w:id="446"/>
      <w:bookmarkEnd w:id="447"/>
      <w:r>
        <w:t xml:space="preserve"> </w:t>
      </w:r>
      <w:bookmarkEnd w:id="448"/>
    </w:p>
    <w:p w14:paraId="59AAFA32" w14:textId="77777777" w:rsidR="008907F4" w:rsidRPr="005105BA" w:rsidRDefault="2FA6B974" w:rsidP="008907F4">
      <w:pPr>
        <w:rPr>
          <w:szCs w:val="24"/>
        </w:rPr>
      </w:pPr>
      <w:r>
        <w:t>Ако представеният доклад не отговаря на условията, предвидени в настоящия член, предоставящият орган може да отложи крайния срок за плащане (вж. член 29) и да приложи други мерки, описани в глава 5.</w:t>
      </w:r>
    </w:p>
    <w:p w14:paraId="0F4D4608" w14:textId="77777777" w:rsidR="008907F4" w:rsidRPr="00DD1C12" w:rsidRDefault="2FA6B974" w:rsidP="008907F4">
      <w:pPr>
        <w:rPr>
          <w:bCs/>
          <w:szCs w:val="24"/>
        </w:rPr>
      </w:pPr>
      <w:r>
        <w:t>Ако координаторът наруши своите задължения за докладване, предоставящият орган може да прекрати споразумението за отпускане на безвъзмездни средства или участието на координатора (вж. член 32) или да приложи други мерки, описани в глава 5.</w:t>
      </w:r>
    </w:p>
    <w:p w14:paraId="228449AB" w14:textId="77777777" w:rsidR="008907F4" w:rsidRPr="005105BA" w:rsidRDefault="2FA6B974" w:rsidP="2FA6B974">
      <w:pPr>
        <w:pStyle w:val="Heading4"/>
      </w:pPr>
      <w:bookmarkStart w:id="449" w:name="_Toc95924992"/>
      <w:bookmarkStart w:id="450" w:name="_Toc435109007"/>
      <w:bookmarkStart w:id="451" w:name="_Toc529197730"/>
      <w:bookmarkStart w:id="452" w:name="_Toc530035914"/>
      <w:bookmarkStart w:id="453" w:name="_Toc24116138"/>
      <w:bookmarkStart w:id="454" w:name="_Toc24126617"/>
      <w:bookmarkStart w:id="455" w:name="_Toc524697229"/>
      <w:r>
        <w:lastRenderedPageBreak/>
        <w:t>ЧЛЕН 22 — ПЛАЩАНИЯ И СЪБИРАНИЯ — ИЗЧИСЛЯВАНЕ НА ДЪЛЖИМИТЕ СУМИ</w:t>
      </w:r>
      <w:bookmarkEnd w:id="449"/>
      <w:r>
        <w:t xml:space="preserve"> </w:t>
      </w:r>
      <w:bookmarkEnd w:id="450"/>
      <w:bookmarkEnd w:id="451"/>
      <w:bookmarkEnd w:id="452"/>
      <w:bookmarkEnd w:id="453"/>
      <w:bookmarkEnd w:id="454"/>
      <w:bookmarkEnd w:id="455"/>
    </w:p>
    <w:p w14:paraId="480AF7C4" w14:textId="77777777" w:rsidR="008907F4" w:rsidRPr="005105BA" w:rsidRDefault="008907F4" w:rsidP="008907F4">
      <w:pPr>
        <w:pStyle w:val="Heading5"/>
      </w:pPr>
      <w:bookmarkStart w:id="456" w:name="_Toc435109008"/>
      <w:bookmarkStart w:id="457" w:name="_Toc529197731"/>
      <w:bookmarkStart w:id="458" w:name="_Toc24116139"/>
      <w:bookmarkStart w:id="459" w:name="_Toc24126618"/>
      <w:bookmarkStart w:id="460" w:name="_Toc95924993"/>
      <w:r>
        <w:t>22.1</w:t>
      </w:r>
      <w:r>
        <w:tab/>
        <w:t>Плащания и условия за плащане</w:t>
      </w:r>
      <w:bookmarkEnd w:id="456"/>
      <w:bookmarkEnd w:id="457"/>
      <w:bookmarkEnd w:id="458"/>
      <w:bookmarkEnd w:id="459"/>
      <w:bookmarkEnd w:id="460"/>
    </w:p>
    <w:p w14:paraId="67D00174" w14:textId="77777777" w:rsidR="008907F4" w:rsidRDefault="2FA6B974" w:rsidP="008907F4">
      <w:pPr>
        <w:rPr>
          <w:szCs w:val="24"/>
        </w:rPr>
      </w:pPr>
      <w:r>
        <w:t>Плащанията</w:t>
      </w:r>
      <w:r>
        <w:rPr>
          <w:b/>
          <w:bCs/>
        </w:rPr>
        <w:t xml:space="preserve"> </w:t>
      </w:r>
      <w:r>
        <w:t>ще бъдат извършвани в съответствие с графика и условията, предвидени в Техническите спецификации (вж. точка 4.2).</w:t>
      </w:r>
    </w:p>
    <w:p w14:paraId="31D4A485" w14:textId="77777777" w:rsidR="008907F4" w:rsidRDefault="2FA6B974" w:rsidP="2FA6B974">
      <w:r>
        <w:t>Те ще бъдат извършвани в евро по банковата сметка, посочена от координатора (вж. Техническите спецификации, точка 4.2), и трябва да бъдат разпределени без неоправдано забавяне (възможно е да има ограничения по отношение на разпределението на първоначалното предварително финансиране на плащането; вж. Техническите спецификации, точка 4.2).</w:t>
      </w:r>
    </w:p>
    <w:p w14:paraId="45B852F0" w14:textId="374CFCCA" w:rsidR="008907F4" w:rsidRDefault="2FA6B974" w:rsidP="008907F4">
      <w:r>
        <w:t>Плащанията по тази банкова сметка освобождават предоставящия орган от задължението му за плащане.</w:t>
      </w:r>
    </w:p>
    <w:p w14:paraId="4B52AC1C" w14:textId="77777777" w:rsidR="008907F4" w:rsidRPr="00F735D9" w:rsidRDefault="2FA6B974" w:rsidP="008907F4">
      <w:r>
        <w:t xml:space="preserve">Разходите за банкови преводи се поемат, както следва: </w:t>
      </w:r>
    </w:p>
    <w:p w14:paraId="3DA18FBB" w14:textId="24EF2988" w:rsidR="008907F4" w:rsidRPr="00DA415B" w:rsidRDefault="2FA6B974" w:rsidP="2FA6B974">
      <w:pPr>
        <w:numPr>
          <w:ilvl w:val="0"/>
          <w:numId w:val="5"/>
        </w:numPr>
        <w:tabs>
          <w:tab w:val="clear" w:pos="360"/>
        </w:tabs>
        <w:ind w:left="720"/>
        <w:rPr>
          <w:rFonts w:eastAsia="Times New Roman"/>
        </w:rPr>
      </w:pPr>
      <w:r>
        <w:rPr>
          <w:color w:val="000000" w:themeColor="text1"/>
        </w:rPr>
        <w:t>предоставящият орган</w:t>
      </w:r>
      <w:r>
        <w:t xml:space="preserve"> </w:t>
      </w:r>
      <w:r>
        <w:rPr>
          <w:color w:val="000000" w:themeColor="text1"/>
        </w:rPr>
        <w:t>поема разходите за банкови преводи, начислявани от неговата банка</w:t>
      </w:r>
      <w:r>
        <w:t>;</w:t>
      </w:r>
    </w:p>
    <w:p w14:paraId="7A13BF70" w14:textId="6F966C46" w:rsidR="008907F4" w:rsidRPr="00F735D9" w:rsidRDefault="2FA6B974" w:rsidP="2FA6B974">
      <w:pPr>
        <w:numPr>
          <w:ilvl w:val="0"/>
          <w:numId w:val="5"/>
        </w:numPr>
        <w:tabs>
          <w:tab w:val="clear" w:pos="360"/>
        </w:tabs>
        <w:ind w:left="720"/>
        <w:rPr>
          <w:rFonts w:eastAsia="Times New Roman"/>
        </w:rPr>
      </w:pPr>
      <w:r>
        <w:t>бенефициерът поема разходите за банкови преводи, начислявани от неговата банка,</w:t>
      </w:r>
    </w:p>
    <w:p w14:paraId="62A428F7" w14:textId="77777777" w:rsidR="008907F4" w:rsidRPr="00F735D9" w:rsidRDefault="2FA6B974" w:rsidP="2FA6B974">
      <w:pPr>
        <w:numPr>
          <w:ilvl w:val="0"/>
          <w:numId w:val="5"/>
        </w:numPr>
        <w:tabs>
          <w:tab w:val="clear" w:pos="360"/>
        </w:tabs>
        <w:ind w:left="720"/>
        <w:rPr>
          <w:rFonts w:eastAsia="Times New Roman"/>
        </w:rPr>
      </w:pPr>
      <w:r>
        <w:t>страната, по чиято вина се налага повторен банков превод, поема всички разходи за повторния превод.</w:t>
      </w:r>
    </w:p>
    <w:p w14:paraId="4EC4808B" w14:textId="66184678" w:rsidR="008907F4" w:rsidRDefault="2FA6B974" w:rsidP="2FA6B974">
      <w:pPr>
        <w:rPr>
          <w:b/>
          <w:bCs/>
        </w:rPr>
      </w:pPr>
      <w:r>
        <w:t>Плащанията от предоставящия орган се считат за извършени на датата, на която са дебитирани по неговата сметка.</w:t>
      </w:r>
      <w:r>
        <w:rPr>
          <w:b/>
          <w:bCs/>
        </w:rPr>
        <w:t xml:space="preserve"> </w:t>
      </w:r>
    </w:p>
    <w:p w14:paraId="63843527" w14:textId="77777777" w:rsidR="008907F4" w:rsidRPr="005105BA" w:rsidRDefault="008907F4" w:rsidP="008907F4">
      <w:pPr>
        <w:pStyle w:val="Heading5"/>
      </w:pPr>
      <w:bookmarkStart w:id="461" w:name="_Toc529197732"/>
      <w:bookmarkStart w:id="462" w:name="_Toc24116140"/>
      <w:bookmarkStart w:id="463" w:name="_Toc24126619"/>
      <w:bookmarkStart w:id="464" w:name="_Toc95924994"/>
      <w:r>
        <w:t>22.2</w:t>
      </w:r>
      <w:r>
        <w:tab/>
        <w:t>Събирания</w:t>
      </w:r>
      <w:bookmarkEnd w:id="461"/>
      <w:bookmarkEnd w:id="462"/>
      <w:bookmarkEnd w:id="463"/>
      <w:bookmarkEnd w:id="464"/>
    </w:p>
    <w:p w14:paraId="61F7FF25" w14:textId="5C112FCD" w:rsidR="008907F4" w:rsidRPr="005E41F4" w:rsidRDefault="2FA6B974" w:rsidP="008907F4">
      <w:pPr>
        <w:rPr>
          <w:szCs w:val="24"/>
        </w:rPr>
      </w:pPr>
      <w:r>
        <w:t xml:space="preserve">Събиранията ще се извършват, ако при прекратяване на участието на бенефициер, в момента на окончателното плащане или след това се окаже, че предоставящият орган е платил повече и следва да си събере всички суми, които са платени, но не са били дължими. </w:t>
      </w:r>
    </w:p>
    <w:p w14:paraId="02041074" w14:textId="77777777" w:rsidR="008907F4" w:rsidRDefault="2FA6B974" w:rsidP="008907F4">
      <w:pPr>
        <w:rPr>
          <w:szCs w:val="24"/>
        </w:rPr>
      </w:pPr>
      <w:r>
        <w:t>Общият режим на отговорност за събиранията е, както следва: При окончателно плащане координаторът носи пълна отговорност за събиранията, дори ако той не е бил крайният получател на недължимите суми. При прекратяване на участието на бенефициер или след окончателното плащане събиранията се извършват директно от съответните бенефициери.</w:t>
      </w:r>
    </w:p>
    <w:p w14:paraId="70F7D5BB" w14:textId="77777777" w:rsidR="008907F4" w:rsidRPr="00E215D1" w:rsidRDefault="2FA6B974" w:rsidP="008907F4">
      <w:pPr>
        <w:rPr>
          <w:szCs w:val="24"/>
        </w:rPr>
      </w:pPr>
      <w:r>
        <w:t>Бенефициерите носят пълна отговорност за погасяването на дълговете на своите свързани субекти.</w:t>
      </w:r>
    </w:p>
    <w:p w14:paraId="6ECF4B7D" w14:textId="77777777" w:rsidR="008907F4" w:rsidRPr="00E215D1" w:rsidRDefault="2FA6B974" w:rsidP="008907F4">
      <w:pPr>
        <w:rPr>
          <w:szCs w:val="24"/>
        </w:rPr>
      </w:pPr>
      <w:r>
        <w:t>В случай на принудителни събирания (вж. член 22.4):</w:t>
      </w:r>
    </w:p>
    <w:p w14:paraId="218FE230" w14:textId="144514BE" w:rsidR="008907F4" w:rsidRPr="00E215D1" w:rsidRDefault="2FA6B974" w:rsidP="2FA6B974">
      <w:pPr>
        <w:pStyle w:val="ListParagraph"/>
        <w:numPr>
          <w:ilvl w:val="0"/>
          <w:numId w:val="56"/>
        </w:numPr>
      </w:pPr>
      <w:r>
        <w:t xml:space="preserve">бенефициерите ще носят солидарна отговорност за погасяване на дългове на друг бенефициер съгласно споразумението (включително лихви за забава), ако </w:t>
      </w:r>
      <w:r>
        <w:lastRenderedPageBreak/>
        <w:t>това се изисква от предоставящия орган (вж. Техническите спецификации, точка 4.4);</w:t>
      </w:r>
    </w:p>
    <w:p w14:paraId="27E514F2" w14:textId="77777777" w:rsidR="008907F4" w:rsidRPr="00250C12" w:rsidRDefault="2FA6B974" w:rsidP="2FA6B974">
      <w:pPr>
        <w:pStyle w:val="ListParagraph"/>
        <w:numPr>
          <w:ilvl w:val="0"/>
          <w:numId w:val="56"/>
        </w:numPr>
      </w:pPr>
      <w:r>
        <w:t>свързаните субекти ще носят отговорност за погасяване на дългове на своите бенефициери съгласно споразумението (включително лихви за забава), ако това се изисква от предоставящия орган (вж. Техническите спецификации, точка 4.4).</w:t>
      </w:r>
    </w:p>
    <w:p w14:paraId="1A6142A9" w14:textId="77777777" w:rsidR="008907F4" w:rsidRDefault="008907F4" w:rsidP="008907F4">
      <w:pPr>
        <w:pStyle w:val="Heading5"/>
      </w:pPr>
      <w:bookmarkStart w:id="465" w:name="_Toc529197733"/>
      <w:bookmarkStart w:id="466" w:name="_Toc24116141"/>
      <w:bookmarkStart w:id="467" w:name="_Toc24126620"/>
      <w:bookmarkStart w:id="468" w:name="_Toc95924995"/>
      <w:bookmarkStart w:id="469" w:name="_Toc435109009"/>
      <w:r>
        <w:t>22.3</w:t>
      </w:r>
      <w:r>
        <w:tab/>
        <w:t>Дължими суми</w:t>
      </w:r>
      <w:bookmarkEnd w:id="465"/>
      <w:bookmarkEnd w:id="466"/>
      <w:bookmarkEnd w:id="467"/>
      <w:bookmarkEnd w:id="468"/>
      <w:r>
        <w:t xml:space="preserve"> </w:t>
      </w:r>
    </w:p>
    <w:p w14:paraId="20471075" w14:textId="77777777" w:rsidR="008907F4" w:rsidRPr="00666A93" w:rsidRDefault="2FA6B974" w:rsidP="2FA6B974">
      <w:pPr>
        <w:rPr>
          <w:b/>
          <w:bCs/>
        </w:rPr>
      </w:pPr>
      <w:bookmarkStart w:id="470" w:name="_Toc524697230"/>
      <w:bookmarkStart w:id="471" w:name="_Toc529197734"/>
      <w:r>
        <w:rPr>
          <w:b/>
          <w:bCs/>
        </w:rPr>
        <w:t xml:space="preserve">22.3.1 Плащания за предварително финансиране </w:t>
      </w:r>
      <w:bookmarkEnd w:id="469"/>
      <w:bookmarkEnd w:id="470"/>
      <w:bookmarkEnd w:id="471"/>
    </w:p>
    <w:p w14:paraId="614F21C8" w14:textId="77777777" w:rsidR="008907F4" w:rsidRDefault="2FA6B974" w:rsidP="008907F4">
      <w:r>
        <w:t xml:space="preserve">Целта на предварителното финансиране е да се предоставят оборотни средства на бенефициерите. </w:t>
      </w:r>
    </w:p>
    <w:p w14:paraId="33CFE839" w14:textId="77777777" w:rsidR="008907F4" w:rsidRDefault="2FA6B974" w:rsidP="008907F4">
      <w:r>
        <w:t>То остава собственост на ЕС до извършване на окончателното плащане.</w:t>
      </w:r>
    </w:p>
    <w:p w14:paraId="61B4BA81" w14:textId="3F24F4AA" w:rsidR="008907F4" w:rsidRPr="007811D7" w:rsidRDefault="008907F4" w:rsidP="2FA6B974">
      <w:pPr>
        <w:rPr>
          <w:rFonts w:eastAsia="Times New Roman"/>
        </w:rPr>
      </w:pPr>
      <w:r>
        <w:rPr>
          <w:shd w:val="clear" w:color="auto" w:fill="CCFFFF"/>
        </w:rPr>
        <w:t>В срок от 30 дни от влизането в сила</w:t>
      </w:r>
      <w:r>
        <w:t xml:space="preserve"> на настоящото споразумение координаторът може да подаде пред предоставящия орган заявление за плащания за </w:t>
      </w:r>
      <w:r>
        <w:rPr>
          <w:b/>
          <w:bCs/>
        </w:rPr>
        <w:t>предварително финансиране</w:t>
      </w:r>
      <w:r>
        <w:t xml:space="preserve">, придружено от финансова гаранция (ако е необходимо; вж. Техническите спецификации, точка 4.2 и член 23.1). </w:t>
      </w:r>
    </w:p>
    <w:p w14:paraId="6F67EE35" w14:textId="77777777" w:rsidR="007811D7" w:rsidRDefault="2FA6B974" w:rsidP="2FA6B974">
      <w:pPr>
        <w:rPr>
          <w:i/>
          <w:iCs/>
          <w:color w:val="4AA55B"/>
        </w:rPr>
      </w:pPr>
      <w:r>
        <w:rPr>
          <w:i/>
          <w:iCs/>
        </w:rPr>
        <w:t>[</w:t>
      </w:r>
      <w:r>
        <w:rPr>
          <w:i/>
          <w:iCs/>
          <w:color w:val="4AA55B"/>
        </w:rPr>
        <w:t>ВАРИАНТ за бенефициери със седалище в държави членки, които получават финансова помощ в съответствие с член 15, параграф 3 от Регламент (ЕС) № 1144/2014:</w:t>
      </w:r>
      <w:r>
        <w:rPr>
          <w:b/>
          <w:bCs/>
          <w:i/>
          <w:iCs/>
        </w:rPr>
        <w:t xml:space="preserve"> </w:t>
      </w:r>
      <w:r>
        <w:t>Бенефициери със седалище в държави членки, които получават финансова помощ, могат да подадат заявлението си за плащания за предварително финансиране на две части: заявлението за първата част трябва да бъде подадено в предвидения в предходния параграф срок, а заявлението за остатъка по предварителното финансиране може да бъде подадено едва след уравняването на първата част на предварителното финансиране.</w:t>
      </w:r>
      <w:r>
        <w:rPr>
          <w:i/>
          <w:iCs/>
        </w:rPr>
        <w:t>]</w:t>
      </w:r>
      <w:r>
        <w:rPr>
          <w:i/>
          <w:iCs/>
          <w:color w:val="4AA55B"/>
        </w:rPr>
        <w:t xml:space="preserve"> </w:t>
      </w:r>
    </w:p>
    <w:p w14:paraId="2C2E6E27" w14:textId="7D646758" w:rsidR="008907F4" w:rsidRPr="00C346A1" w:rsidRDefault="2FA6B974" w:rsidP="008907F4">
      <w:r>
        <w:t>Плащания за предварително финансиране (или части от тях) могат да бъдат прихванати (</w:t>
      </w:r>
      <w:r>
        <w:rPr>
          <w:color w:val="000000" w:themeColor="text1"/>
        </w:rPr>
        <w:t>без съгласието на бенефициерите</w:t>
      </w:r>
      <w:r>
        <w:t xml:space="preserve">) от други суми, дължими от даден бенефициер на предоставящия орган, до сумата, дължима на този бенефициер. </w:t>
      </w:r>
    </w:p>
    <w:p w14:paraId="0C4490C8" w14:textId="77777777" w:rsidR="008907F4" w:rsidRPr="009755B5" w:rsidRDefault="2FA6B974" w:rsidP="2FA6B974">
      <w:pPr>
        <w:rPr>
          <w:b/>
          <w:bCs/>
          <w:i/>
          <w:iCs/>
        </w:rPr>
      </w:pPr>
      <w:r>
        <w:t>Плащания няма да бъдат извършвани при</w:t>
      </w:r>
      <w:r>
        <w:rPr>
          <w:b/>
          <w:bCs/>
          <w:i/>
          <w:iCs/>
        </w:rPr>
        <w:t xml:space="preserve"> </w:t>
      </w:r>
      <w:r>
        <w:t>отлагане на крайния срок за плащане или при временно спиране на плащанията (вж. членове 29 и 30).</w:t>
      </w:r>
    </w:p>
    <w:p w14:paraId="3D730E7D" w14:textId="77777777" w:rsidR="008907F4" w:rsidRPr="00666A93" w:rsidRDefault="2FA6B974" w:rsidP="2FA6B974">
      <w:pPr>
        <w:rPr>
          <w:b/>
          <w:bCs/>
        </w:rPr>
      </w:pPr>
      <w:bookmarkStart w:id="472" w:name="_Toc524697232"/>
      <w:bookmarkStart w:id="473" w:name="_Toc529197735"/>
      <w:bookmarkStart w:id="474" w:name="_Toc435109010"/>
      <w:bookmarkStart w:id="475" w:name="_Toc524697231"/>
      <w:r>
        <w:rPr>
          <w:b/>
          <w:bCs/>
        </w:rPr>
        <w:t>22.3.2 Дължима сума при прекратяване на участието на бенефициер — събиране</w:t>
      </w:r>
      <w:bookmarkEnd w:id="472"/>
      <w:bookmarkEnd w:id="473"/>
    </w:p>
    <w:p w14:paraId="01FFB658" w14:textId="33DA165D" w:rsidR="008907F4" w:rsidRDefault="2FA6B974" w:rsidP="008907F4">
      <w:pPr>
        <w:rPr>
          <w:szCs w:val="24"/>
        </w:rPr>
      </w:pPr>
      <w:r>
        <w:t xml:space="preserve">В случай на прекратяване на участието на бенефициер предоставящият орган определя предварителната сума, дължима за съответния бенефициер. Плащанията (ако има такива) се извършват при следващото междинно или окончателно плащане. </w:t>
      </w:r>
    </w:p>
    <w:p w14:paraId="4A02F4C8" w14:textId="77777777" w:rsidR="008907F4" w:rsidRPr="0070656E" w:rsidRDefault="2FA6B974" w:rsidP="2FA6B974">
      <w:pPr>
        <w:rPr>
          <w:rFonts w:eastAsia="Times New Roman" w:cs="Times New Roman"/>
        </w:rPr>
      </w:pPr>
      <w:r>
        <w:rPr>
          <w:b/>
          <w:bCs/>
        </w:rPr>
        <w:t>Дължимата сума</w:t>
      </w:r>
      <w:r>
        <w:t xml:space="preserve"> се изчислява по следния начин:</w:t>
      </w:r>
    </w:p>
    <w:p w14:paraId="6E7579F1" w14:textId="77777777" w:rsidR="008907F4" w:rsidRPr="0070656E" w:rsidRDefault="2FA6B974" w:rsidP="2FA6B974">
      <w:pPr>
        <w:ind w:left="1800" w:hanging="1080"/>
        <w:rPr>
          <w:rFonts w:eastAsia="Calibri" w:cs="Times New Roman"/>
        </w:rPr>
      </w:pPr>
      <w:r>
        <w:t>Стъпка 1 — изчисляване на общата приета вноска от ЕС</w:t>
      </w:r>
    </w:p>
    <w:p w14:paraId="2BD408DD" w14:textId="77777777" w:rsidR="008907F4" w:rsidRPr="0070656E" w:rsidRDefault="2FA6B974" w:rsidP="2FA6B974">
      <w:pPr>
        <w:rPr>
          <w:rFonts w:eastAsia="Calibri" w:cs="Times New Roman"/>
          <w:u w:val="single"/>
        </w:rPr>
      </w:pPr>
      <w:r>
        <w:rPr>
          <w:u w:val="single"/>
        </w:rPr>
        <w:t>Стъпка 1 — изчисляване на общата приета вноска от ЕС</w:t>
      </w:r>
    </w:p>
    <w:p w14:paraId="0064D8EF" w14:textId="22C513CF" w:rsidR="008907F4" w:rsidRPr="0070656E" w:rsidRDefault="2FA6B974" w:rsidP="2FA6B974">
      <w:pPr>
        <w:rPr>
          <w:rFonts w:eastAsia="Times New Roman"/>
        </w:rPr>
      </w:pPr>
      <w:r>
        <w:t xml:space="preserve">Предоставящият орган първо изчислява „приетата вноска от ЕС“ за бенефициера за всички отчетни периоди, като изчислява „максималната вноска на ЕС към разходите“ </w:t>
      </w:r>
      <w:r>
        <w:lastRenderedPageBreak/>
        <w:t>(като прилага процента на финансиране към приетите разходи на бенефициера) и също така взема предвид исканията за по-ниска вноска към разходите и ограничаването до прага по СФО (ако има такъв; вж. член 24.5) и добавя вноските (приетите единични вноски, вноски на базата на единна ставка или такива под формата на еднократна сума и финансирането, което не е свързано с разходи, ако има такова).</w:t>
      </w:r>
    </w:p>
    <w:p w14:paraId="37E309B7" w14:textId="6F18726E" w:rsidR="008907F4" w:rsidRPr="0070656E" w:rsidRDefault="2FA6B974" w:rsidP="2FA6B974">
      <w:pPr>
        <w:rPr>
          <w:rFonts w:eastAsia="Calibri" w:cs="Times New Roman"/>
        </w:rPr>
      </w:pPr>
      <w:r>
        <w:t>След това предоставящият орган взема предвид намаленията в размера на безвъзмездните средства (ако има такива). Получената сума е „общата приета вноска от ЕС“ за бенефициера.</w:t>
      </w:r>
    </w:p>
    <w:p w14:paraId="1BF87080" w14:textId="77777777" w:rsidR="008907F4" w:rsidRPr="0070656E" w:rsidRDefault="2FA6B974" w:rsidP="008907F4">
      <w:pPr>
        <w:rPr>
          <w:bCs/>
          <w:szCs w:val="24"/>
        </w:rPr>
      </w:pPr>
      <w:r>
        <w:t xml:space="preserve">След това </w:t>
      </w:r>
      <w:r>
        <w:rPr>
          <w:b/>
          <w:bCs/>
        </w:rPr>
        <w:t>остатъкът</w:t>
      </w:r>
      <w:r>
        <w:t xml:space="preserve"> се изчислява чрез приспадане на получените плащания (ако има такива; вж. отчета за разпределението на плащанията в член 32) от общата приета вноска от ЕС:</w:t>
      </w:r>
    </w:p>
    <w:p w14:paraId="25009726" w14:textId="77777777" w:rsidR="008907F4" w:rsidRPr="0070656E" w:rsidRDefault="2FA6B974" w:rsidP="2FA6B974">
      <w:pPr>
        <w:ind w:left="360" w:firstLine="349"/>
        <w:rPr>
          <w:sz w:val="21"/>
          <w:szCs w:val="21"/>
        </w:rPr>
      </w:pPr>
      <w:r>
        <w:rPr>
          <w:sz w:val="28"/>
          <w:szCs w:val="28"/>
        </w:rPr>
        <w:t>{</w:t>
      </w:r>
      <w:r>
        <w:rPr>
          <w:sz w:val="20"/>
          <w:szCs w:val="20"/>
        </w:rPr>
        <w:t>общата приета вноска от ЕС</w:t>
      </w:r>
      <w:r>
        <w:t xml:space="preserve"> </w:t>
      </w:r>
      <w:r>
        <w:rPr>
          <w:sz w:val="21"/>
          <w:szCs w:val="21"/>
        </w:rPr>
        <w:t>за бенефициера</w:t>
      </w:r>
    </w:p>
    <w:p w14:paraId="22B34C92" w14:textId="77777777" w:rsidR="008907F4" w:rsidRPr="00627D02" w:rsidRDefault="2FA6B974" w:rsidP="2FA6B974">
      <w:pPr>
        <w:ind w:left="360" w:firstLine="349"/>
        <w:rPr>
          <w:sz w:val="20"/>
          <w:szCs w:val="20"/>
        </w:rPr>
      </w:pPr>
      <w:r>
        <w:rPr>
          <w:sz w:val="20"/>
          <w:szCs w:val="20"/>
        </w:rPr>
        <w:t>минус</w:t>
      </w:r>
    </w:p>
    <w:p w14:paraId="538D469E" w14:textId="77777777" w:rsidR="008907F4" w:rsidRPr="00F57370" w:rsidRDefault="2FA6B974" w:rsidP="008907F4">
      <w:pPr>
        <w:ind w:left="360" w:firstLine="349"/>
      </w:pPr>
      <w:r>
        <w:rPr>
          <w:sz w:val="20"/>
          <w:szCs w:val="20"/>
        </w:rPr>
        <w:t>{получените плащания за предварително финансиране и междинни плащания (ако има такива)}</w:t>
      </w:r>
      <w:r>
        <w:rPr>
          <w:sz w:val="28"/>
          <w:szCs w:val="28"/>
        </w:rPr>
        <w:t>}</w:t>
      </w:r>
      <w:r>
        <w:t>.</w:t>
      </w:r>
    </w:p>
    <w:p w14:paraId="6DDB0379" w14:textId="77777777" w:rsidR="008907F4" w:rsidRPr="004005E3" w:rsidRDefault="2FA6B974" w:rsidP="2FA6B974">
      <w:pPr>
        <w:rPr>
          <w:rFonts w:eastAsia="Calibri" w:cs="Times New Roman"/>
        </w:rPr>
      </w:pPr>
      <w:r>
        <w:t xml:space="preserve">Ако остатъкът е </w:t>
      </w:r>
      <w:r>
        <w:rPr>
          <w:b/>
          <w:bCs/>
        </w:rPr>
        <w:t>положителен</w:t>
      </w:r>
      <w:r>
        <w:t>, сумата ще бъде включена в следващото междинно или окончателно плащане към консорциума.</w:t>
      </w:r>
      <w:r>
        <w:rPr>
          <w:sz w:val="16"/>
          <w:szCs w:val="16"/>
        </w:rPr>
        <w:t xml:space="preserve"> </w:t>
      </w:r>
    </w:p>
    <w:p w14:paraId="06211E44" w14:textId="77777777" w:rsidR="008907F4" w:rsidRDefault="2FA6B974" w:rsidP="008907F4">
      <w:pPr>
        <w:rPr>
          <w:szCs w:val="24"/>
        </w:rPr>
      </w:pPr>
      <w:r>
        <w:t xml:space="preserve">Ако остатъкът е </w:t>
      </w:r>
      <w:r>
        <w:rPr>
          <w:b/>
          <w:bCs/>
        </w:rPr>
        <w:t>отрицателен</w:t>
      </w:r>
      <w:r>
        <w:t xml:space="preserve">, той ще бъде </w:t>
      </w:r>
      <w:r>
        <w:rPr>
          <w:b/>
          <w:bCs/>
        </w:rPr>
        <w:t>събран</w:t>
      </w:r>
      <w:r>
        <w:t xml:space="preserve"> в съответствие със следната процедура:</w:t>
      </w:r>
    </w:p>
    <w:p w14:paraId="3F92B9FF" w14:textId="77777777" w:rsidR="008907F4" w:rsidRPr="005E41F4" w:rsidRDefault="2FA6B974" w:rsidP="008907F4">
      <w:pPr>
        <w:rPr>
          <w:szCs w:val="24"/>
        </w:rPr>
      </w:pPr>
      <w:r>
        <w:t>Предоставящият орган</w:t>
      </w:r>
      <w:r>
        <w:rPr>
          <w:i/>
          <w:iCs/>
        </w:rPr>
        <w:t xml:space="preserve"> </w:t>
      </w:r>
      <w:r>
        <w:t xml:space="preserve">ще изпрати на съответния бенефициер </w:t>
      </w:r>
      <w:r>
        <w:rPr>
          <w:b/>
          <w:bCs/>
        </w:rPr>
        <w:t>писмо с предварителна информация</w:t>
      </w:r>
      <w:r>
        <w:t xml:space="preserve">: </w:t>
      </w:r>
    </w:p>
    <w:p w14:paraId="7AF63450" w14:textId="77777777" w:rsidR="008907F4" w:rsidRPr="003722C7" w:rsidRDefault="2FA6B974" w:rsidP="2FA6B974">
      <w:pPr>
        <w:numPr>
          <w:ilvl w:val="0"/>
          <w:numId w:val="4"/>
        </w:numPr>
      </w:pPr>
      <w:r>
        <w:t>с което го уведомява официално за намерението си да пристъпи към събиране, за дължимата сума, за сумата, която подлежи на събиране, и за основанията за това; и</w:t>
      </w:r>
    </w:p>
    <w:p w14:paraId="5241E89B" w14:textId="77777777" w:rsidR="008907F4" w:rsidRPr="005E41F4" w:rsidRDefault="2FA6B974" w:rsidP="2FA6B974">
      <w:pPr>
        <w:numPr>
          <w:ilvl w:val="0"/>
          <w:numId w:val="4"/>
        </w:numPr>
      </w:pPr>
      <w:r>
        <w:t xml:space="preserve">с искане да представи коментари в срок от 30 дни от получаване на уведомлението. </w:t>
      </w:r>
    </w:p>
    <w:p w14:paraId="458572C7" w14:textId="7C7149BF" w:rsidR="008907F4" w:rsidRDefault="2FA6B974" w:rsidP="008907F4">
      <w:pPr>
        <w:rPr>
          <w:szCs w:val="24"/>
        </w:rPr>
      </w:pPr>
      <w:r>
        <w:t>Ако коментари не бъдат представени (или въпреки получените коментари предоставящият орган вземе решение да пристъпи към събиране), той потвърждава</w:t>
      </w:r>
      <w:r>
        <w:rPr>
          <w:b/>
          <w:bCs/>
        </w:rPr>
        <w:t xml:space="preserve"> </w:t>
      </w:r>
      <w:r>
        <w:t>сумата, която подлежи на събиране, и отправя искане до координатора тя да бъде изплатена (</w:t>
      </w:r>
      <w:r>
        <w:rPr>
          <w:b/>
          <w:bCs/>
        </w:rPr>
        <w:t>писмо за потвърждение</w:t>
      </w:r>
      <w:r>
        <w:t>).</w:t>
      </w:r>
    </w:p>
    <w:p w14:paraId="2B91086C" w14:textId="77777777" w:rsidR="008907F4" w:rsidRPr="0070656E" w:rsidRDefault="2FA6B974" w:rsidP="2FA6B974">
      <w:pPr>
        <w:rPr>
          <w:rFonts w:eastAsia="Times New Roman"/>
        </w:rPr>
      </w:pPr>
      <w:r>
        <w:t xml:space="preserve">Впоследствие сумите се вземат предвид и при следващото междинно или окончателно плащане. </w:t>
      </w:r>
    </w:p>
    <w:p w14:paraId="75FCDFB0" w14:textId="77777777" w:rsidR="008907F4" w:rsidRPr="0070656E" w:rsidRDefault="008907F4" w:rsidP="2FA6B974">
      <w:pPr>
        <w:rPr>
          <w:b/>
          <w:bCs/>
        </w:rPr>
      </w:pPr>
      <w:bookmarkStart w:id="476" w:name="_Toc529197736"/>
      <w:r>
        <w:rPr>
          <w:b/>
          <w:bCs/>
        </w:rPr>
        <w:t>22.3.3</w:t>
      </w:r>
      <w:r>
        <w:tab/>
      </w:r>
      <w:r>
        <w:rPr>
          <w:b/>
          <w:bCs/>
        </w:rPr>
        <w:t>Междинни плащания</w:t>
      </w:r>
      <w:bookmarkEnd w:id="474"/>
      <w:bookmarkEnd w:id="475"/>
      <w:bookmarkEnd w:id="476"/>
    </w:p>
    <w:p w14:paraId="011E5595" w14:textId="77777777" w:rsidR="008907F4" w:rsidRPr="0070656E" w:rsidRDefault="2FA6B974" w:rsidP="008907F4">
      <w:r>
        <w:t xml:space="preserve">Чрез междинните плащания се възстановяват допустимите разходи и вноски, заявени за изпълнение на дейността през отчетните периоди (ако има такива). </w:t>
      </w:r>
    </w:p>
    <w:p w14:paraId="03C5E550" w14:textId="77777777" w:rsidR="008907F4" w:rsidRPr="0070656E" w:rsidRDefault="2FA6B974" w:rsidP="008907F4">
      <w:r>
        <w:t>Междинните плащания (ако има такива) се извършват в съответствие с графика и условията, предвидени в Техническите спецификации (вж. точка 4.2).</w:t>
      </w:r>
    </w:p>
    <w:p w14:paraId="59FAD9AC" w14:textId="77777777" w:rsidR="008907F4" w:rsidRPr="0070656E" w:rsidRDefault="2FA6B974" w:rsidP="008907F4">
      <w:pPr>
        <w:rPr>
          <w:szCs w:val="24"/>
        </w:rPr>
      </w:pPr>
      <w:r>
        <w:lastRenderedPageBreak/>
        <w:t>Плащането се извършва след одобрение на периодичния отчет. Одобрението не означава признаване на съответствието, автентичността, пълнотата и коректността на неговото съдържание.</w:t>
      </w:r>
    </w:p>
    <w:p w14:paraId="077D75E2" w14:textId="2B8A9BBD" w:rsidR="008907F4" w:rsidRPr="0070656E" w:rsidRDefault="2FA6B974" w:rsidP="008907F4">
      <w:pPr>
        <w:rPr>
          <w:bCs/>
          <w:szCs w:val="24"/>
        </w:rPr>
      </w:pPr>
      <w:r>
        <w:rPr>
          <w:b/>
          <w:bCs/>
        </w:rPr>
        <w:t>Междинното плащане</w:t>
      </w:r>
      <w:r>
        <w:t xml:space="preserve"> се изчислява от държавата членка по следните стъпки:</w:t>
      </w:r>
    </w:p>
    <w:p w14:paraId="732023E2" w14:textId="77777777" w:rsidR="008907F4" w:rsidRPr="0070656E" w:rsidRDefault="2FA6B974" w:rsidP="008907F4">
      <w:pPr>
        <w:ind w:left="960" w:hanging="600"/>
        <w:rPr>
          <w:bCs/>
          <w:szCs w:val="24"/>
        </w:rPr>
      </w:pPr>
      <w:r>
        <w:t xml:space="preserve">Стъпка 1 — изчисляване на общата приета вноска от ЕС </w:t>
      </w:r>
    </w:p>
    <w:p w14:paraId="330D8B90" w14:textId="77777777" w:rsidR="008907F4" w:rsidRPr="0070656E" w:rsidRDefault="2FA6B974" w:rsidP="008907F4">
      <w:pPr>
        <w:ind w:left="960" w:hanging="600"/>
      </w:pPr>
      <w:r>
        <w:t xml:space="preserve">Стъпка 2 — ограничаване до тавана за междинните плащания </w:t>
      </w:r>
    </w:p>
    <w:p w14:paraId="29AFF3E6" w14:textId="77777777" w:rsidR="008907F4" w:rsidRPr="00667FF8" w:rsidRDefault="2FA6B974" w:rsidP="2FA6B974">
      <w:pPr>
        <w:ind w:left="709" w:hanging="709"/>
        <w:rPr>
          <w:u w:val="single"/>
        </w:rPr>
      </w:pPr>
      <w:r>
        <w:rPr>
          <w:u w:val="single"/>
        </w:rPr>
        <w:t>Стъпка 1 — изчисляване на общата приета вноска от ЕС</w:t>
      </w:r>
    </w:p>
    <w:p w14:paraId="5E2C7733" w14:textId="55DF8BAA" w:rsidR="008907F4" w:rsidRDefault="2FA6B974" w:rsidP="008907F4">
      <w:pPr>
        <w:rPr>
          <w:bCs/>
          <w:szCs w:val="24"/>
        </w:rPr>
      </w:pPr>
      <w:r>
        <w:t>Предоставящият орган изчислява „приетата вноска от ЕС“ за дейността за отчетния период, като първо изчислява „максималната вноска на ЕС към разходите“ (като прилага процента на финансиране към приетите разходи на всеки бенефициер) и също така взема предвид исканията за по-ниска вноска към разходите и ограничаването до прага по СФО (ако има такъв; вж. член 24.5) и добавя вноските (приетите единични вноски, вноски на базата на единна ставка или такива под формата на еднократна сума и финансирането, което не е свързано с разходи, ако има такова).</w:t>
      </w:r>
    </w:p>
    <w:p w14:paraId="6AE5C5A7" w14:textId="5FEC363E" w:rsidR="008907F4" w:rsidRPr="0070656E" w:rsidRDefault="2FA6B974" w:rsidP="008907F4">
      <w:pPr>
        <w:rPr>
          <w:bCs/>
          <w:szCs w:val="24"/>
        </w:rPr>
      </w:pPr>
      <w:r>
        <w:t>След това предоставящият орган взема предвид намаленията в размера на безвъзмездните средства в резултат от прекратяване на участието на бенефициер (ако има такива). Получената сума е „общата приета вноска от ЕС“.</w:t>
      </w:r>
    </w:p>
    <w:p w14:paraId="0BDC879D" w14:textId="77777777" w:rsidR="008907F4" w:rsidRPr="0070656E" w:rsidRDefault="2FA6B974" w:rsidP="2FA6B974">
      <w:pPr>
        <w:rPr>
          <w:rFonts w:eastAsia="Times New Roman"/>
          <w:u w:val="single"/>
        </w:rPr>
      </w:pPr>
      <w:r>
        <w:rPr>
          <w:u w:val="single"/>
        </w:rPr>
        <w:t xml:space="preserve">Стъпка 2 — ограничаване до тавана за междинните плащания </w:t>
      </w:r>
    </w:p>
    <w:p w14:paraId="264B53E6" w14:textId="77777777" w:rsidR="008907F4" w:rsidRPr="0070656E" w:rsidDel="004D441A" w:rsidRDefault="2FA6B974" w:rsidP="008907F4">
      <w:r>
        <w:t>След това получената сума се ограничава, за да се гарантира, че общият размер на предварителното финансиране и междинните плащания (ако има такива) не надвишава тавана за междинните плащания, предвиден в Техническите спецификации (вж. точка 4.2).</w:t>
      </w:r>
    </w:p>
    <w:p w14:paraId="32DE6B6F" w14:textId="444902EB" w:rsidR="008907F4" w:rsidRPr="0070656E" w:rsidRDefault="2FA6B974" w:rsidP="008907F4">
      <w:r>
        <w:t>Междинни плащания (или части от тях) могат да бъдат прихванати (</w:t>
      </w:r>
      <w:r>
        <w:rPr>
          <w:color w:val="000000" w:themeColor="text1"/>
        </w:rPr>
        <w:t>без съгласието на бенефициерите</w:t>
      </w:r>
      <w:r>
        <w:t xml:space="preserve">) от други суми, дължими от даден бенефициер на предоставящия орган, до сумата, дължима на този бенефициер. </w:t>
      </w:r>
    </w:p>
    <w:p w14:paraId="19CC42BD" w14:textId="77777777" w:rsidR="008907F4" w:rsidRPr="0070656E" w:rsidRDefault="2FA6B974" w:rsidP="2FA6B974">
      <w:pPr>
        <w:rPr>
          <w:b/>
          <w:bCs/>
          <w:i/>
          <w:iCs/>
        </w:rPr>
      </w:pPr>
      <w:r>
        <w:t>Плащания няма да бъдат извършвани при</w:t>
      </w:r>
      <w:r>
        <w:rPr>
          <w:b/>
          <w:bCs/>
          <w:i/>
          <w:iCs/>
        </w:rPr>
        <w:t xml:space="preserve"> </w:t>
      </w:r>
      <w:r>
        <w:t>отлагане на крайния срок за плащане или при временно спиране на плащанията (вж. членове 29 и 30).</w:t>
      </w:r>
    </w:p>
    <w:p w14:paraId="4C291617" w14:textId="77777777" w:rsidR="008907F4" w:rsidRPr="0070656E" w:rsidRDefault="2FA6B974" w:rsidP="2FA6B974">
      <w:pPr>
        <w:ind w:left="851" w:hanging="851"/>
        <w:rPr>
          <w:b/>
          <w:bCs/>
        </w:rPr>
      </w:pPr>
      <w:bookmarkStart w:id="477" w:name="_Toc529197737"/>
      <w:r>
        <w:rPr>
          <w:b/>
          <w:bCs/>
        </w:rPr>
        <w:t>22.3.4 Окончателно плащане — окончателен размер на безвъзмездните средства — приходи и печалба — събиране</w:t>
      </w:r>
      <w:bookmarkEnd w:id="477"/>
    </w:p>
    <w:p w14:paraId="5F414A7E" w14:textId="77777777" w:rsidR="008907F4" w:rsidRPr="0070656E" w:rsidRDefault="2FA6B974" w:rsidP="008907F4">
      <w:pPr>
        <w:rPr>
          <w:szCs w:val="24"/>
        </w:rPr>
      </w:pPr>
      <w:r>
        <w:t>С окончателното плащане (изплащането на остатъка) се възстановяват останалите допустими разходи и вноски, заявени от бенефициера за изпълнение на дейността (ако има такива).</w:t>
      </w:r>
    </w:p>
    <w:p w14:paraId="66D3B151" w14:textId="77777777" w:rsidR="008907F4" w:rsidRPr="000B1D23" w:rsidRDefault="2FA6B974" w:rsidP="008907F4">
      <w:pPr>
        <w:rPr>
          <w:bCs/>
          <w:szCs w:val="24"/>
        </w:rPr>
      </w:pPr>
      <w:r>
        <w:t xml:space="preserve">Окончателното плащане ще бъде извършено в съответствие с графика и условията, посочени в Техническите спецификации (вж. точка 4.2). </w:t>
      </w:r>
    </w:p>
    <w:p w14:paraId="62465FB1" w14:textId="16661F6E" w:rsidR="008907F4" w:rsidRPr="000B1D23" w:rsidRDefault="2FA6B974" w:rsidP="008907F4">
      <w:pPr>
        <w:rPr>
          <w:szCs w:val="24"/>
        </w:rPr>
      </w:pPr>
      <w:r>
        <w:t xml:space="preserve">Плащането се извършва след одобрение на последния периодичен отчет и на окончателния отчет </w:t>
      </w:r>
      <w:r>
        <w:rPr>
          <w:shd w:val="clear" w:color="auto" w:fill="CCFFFF"/>
        </w:rPr>
        <w:t>и след получаването на изследването за оценка на резултатите от мерките за информиране и насърчаване</w:t>
      </w:r>
      <w:r>
        <w:t>. Одобрението не означава признаване на съответствието, автентичността, пълнотата и коректността на неговото съдържание.</w:t>
      </w:r>
    </w:p>
    <w:p w14:paraId="40D1FF63" w14:textId="77777777" w:rsidR="008907F4" w:rsidRPr="00667FF8" w:rsidRDefault="2FA6B974" w:rsidP="008907F4">
      <w:r>
        <w:rPr>
          <w:b/>
          <w:bCs/>
        </w:rPr>
        <w:lastRenderedPageBreak/>
        <w:t>Окончателният размер на безвъзмездните средства за дейността</w:t>
      </w:r>
      <w:r>
        <w:t xml:space="preserve"> ще бъде изчислен в следните стъпки: </w:t>
      </w:r>
    </w:p>
    <w:p w14:paraId="533F5CFE" w14:textId="77777777" w:rsidR="008907F4" w:rsidRPr="00667FF8" w:rsidRDefault="2FA6B974" w:rsidP="008907F4">
      <w:pPr>
        <w:ind w:left="1701" w:hanging="981"/>
      </w:pPr>
      <w:r>
        <w:t>Стъпка 1 — изчисляване на общата приета вноска от ЕС</w:t>
      </w:r>
    </w:p>
    <w:p w14:paraId="40DF68EB" w14:textId="77777777" w:rsidR="008907F4" w:rsidRPr="00667FF8" w:rsidRDefault="2FA6B974" w:rsidP="2FA6B974">
      <w:pPr>
        <w:ind w:left="1701" w:hanging="981"/>
        <w:rPr>
          <w:rFonts w:eastAsia="Calibri" w:cs="Times New Roman"/>
        </w:rPr>
      </w:pPr>
      <w:r>
        <w:t>Стъпка 2 — Ограничаване до максималния размер на безвъзмездните средства</w:t>
      </w:r>
    </w:p>
    <w:p w14:paraId="55C8E7BF" w14:textId="77777777" w:rsidR="008907F4" w:rsidRPr="0070656E" w:rsidRDefault="2FA6B974" w:rsidP="2FA6B974">
      <w:pPr>
        <w:ind w:left="1701" w:hanging="981"/>
        <w:rPr>
          <w:rFonts w:eastAsia="Calibri" w:cs="Times New Roman"/>
        </w:rPr>
      </w:pPr>
      <w:r>
        <w:t>Стъпка 3 — Намаляване на средствата по правилото за недопускане на печалба</w:t>
      </w:r>
    </w:p>
    <w:p w14:paraId="176F6534" w14:textId="77777777" w:rsidR="008907F4" w:rsidRPr="0070656E" w:rsidRDefault="2FA6B974" w:rsidP="2FA6B974">
      <w:pPr>
        <w:rPr>
          <w:u w:val="single"/>
        </w:rPr>
      </w:pPr>
      <w:r>
        <w:rPr>
          <w:u w:val="single"/>
        </w:rPr>
        <w:t>Стъпка 1 — изчисляване на общата приета вноска от ЕС</w:t>
      </w:r>
    </w:p>
    <w:p w14:paraId="278A3510" w14:textId="3A20F500" w:rsidR="008907F4" w:rsidRPr="001F7F46" w:rsidRDefault="2FA6B974" w:rsidP="2FA6B974">
      <w:pPr>
        <w:rPr>
          <w:rFonts w:eastAsia="Times New Roman"/>
        </w:rPr>
      </w:pPr>
      <w:r>
        <w:t xml:space="preserve">Предоставящият орган първо изчислява „приетата вноска от ЕС“ за дейността за всички отчетни периоди, като изчислява „максималната вноска на ЕС към разходите“ (като прилага процента на финансиране към общите приети разходи на всеки бенефициер) и също така взема предвид исканията за по-ниска вноска към разходите и ограничаването до прага по СФО (ако има такъв; вж. член 24.5) и добавя вноските (приетите единични вноски, вноски на базата на единна ставка или такива под формата на еднократна сума и финансирането, което не е свързано с разходи, ако има такова). </w:t>
      </w:r>
    </w:p>
    <w:p w14:paraId="7C2270FD" w14:textId="0FD6397B" w:rsidR="008907F4" w:rsidRPr="00146977" w:rsidRDefault="2FA6B974" w:rsidP="2FA6B974">
      <w:pPr>
        <w:rPr>
          <w:rFonts w:eastAsia="Times New Roman"/>
        </w:rPr>
      </w:pPr>
      <w:r>
        <w:t>След това предоставящият орган взема предвид намаленията в размера на безвъзмездните средства (ако има такива). Получената сума е „общата приета вноска от ЕС“.</w:t>
      </w:r>
    </w:p>
    <w:p w14:paraId="5055935E" w14:textId="77777777" w:rsidR="008907F4" w:rsidRPr="00F64AF8" w:rsidRDefault="2FA6B974" w:rsidP="2FA6B974">
      <w:pPr>
        <w:rPr>
          <w:rFonts w:eastAsia="Times New Roman"/>
          <w:u w:val="single"/>
        </w:rPr>
      </w:pPr>
      <w:r>
        <w:rPr>
          <w:u w:val="single"/>
        </w:rPr>
        <w:t>Стъпка 2 — Ограничаване до максималния размер на безвъзмездните средства</w:t>
      </w:r>
    </w:p>
    <w:p w14:paraId="7E0367EB" w14:textId="77777777" w:rsidR="008907F4" w:rsidRPr="005105BA" w:rsidRDefault="2FA6B974" w:rsidP="008907F4">
      <w:pPr>
        <w:rPr>
          <w:szCs w:val="24"/>
        </w:rPr>
      </w:pPr>
      <w:r>
        <w:t>Ако получената сума е по-голяма от максималния размер на безвъзмездните средства, посочен в член 5.2, тя ще бъде ограничена до този размер.</w:t>
      </w:r>
    </w:p>
    <w:p w14:paraId="63B69C5A" w14:textId="77777777" w:rsidR="008907F4" w:rsidRPr="00F64AF8" w:rsidRDefault="2FA6B974" w:rsidP="2FA6B974">
      <w:pPr>
        <w:rPr>
          <w:u w:val="single"/>
        </w:rPr>
      </w:pPr>
      <w:r>
        <w:rPr>
          <w:u w:val="single"/>
        </w:rPr>
        <w:t xml:space="preserve">Стъпка 3 — Намаляване на средствата по правилото за недопускане на печалба </w:t>
      </w:r>
    </w:p>
    <w:p w14:paraId="6F991DCE" w14:textId="77777777" w:rsidR="008907F4" w:rsidRDefault="2FA6B974" w:rsidP="008907F4">
      <w:r>
        <w:t>Ако правилото за недопускане на печалба е предвидено в Техническите спецификации (вж. точка 4.2), безвъзмездните средства не трябва да водят до генериране на печалба (т.е. излишък над сумата, получена след стъпка 2 плюс приходите от дейността, над допустимите разходи и вноски, одобрени от предоставящия орган).</w:t>
      </w:r>
    </w:p>
    <w:p w14:paraId="6019645D" w14:textId="77777777" w:rsidR="008907F4" w:rsidRDefault="2FA6B974" w:rsidP="008907F4">
      <w:r>
        <w:t>„Приходи“ са всички постъпления, генерирани от дейността в нейния срок (вж. член 4), в полза на бенефициери, които са юридически лица със стопанска цел.</w:t>
      </w:r>
    </w:p>
    <w:p w14:paraId="492C3FCB" w14:textId="4FC52773" w:rsidR="008907F4" w:rsidRDefault="2FA6B974" w:rsidP="2FA6B974">
      <w:pPr>
        <w:rPr>
          <w:b/>
          <w:bCs/>
          <w:i/>
          <w:iCs/>
          <w:color w:val="4AA55B"/>
        </w:rPr>
      </w:pPr>
      <w:r>
        <w:t>Ако е налице печалба, тя се приспада пропорционално на окончателната ставка на възстановяване на допустимите разходи, одобрени от предоставящия орган (спрямо изчислената при стъпки 1 и 2 сума минус вноските).</w:t>
      </w:r>
    </w:p>
    <w:p w14:paraId="419819D3" w14:textId="77777777" w:rsidR="008907F4" w:rsidRPr="000B1D23" w:rsidRDefault="2FA6B974" w:rsidP="008907F4">
      <w:pPr>
        <w:rPr>
          <w:bCs/>
          <w:szCs w:val="24"/>
        </w:rPr>
      </w:pPr>
      <w:r>
        <w:rPr>
          <w:b/>
          <w:bCs/>
        </w:rPr>
        <w:t>Остатъкът</w:t>
      </w:r>
      <w:r>
        <w:t xml:space="preserve"> (окончателното плащане) след това се изчислява, като от окончателния размер на безвъзмездните средства се извади общият размер на предварителното финансиране и извършените междинни плащания (ако има такива):</w:t>
      </w:r>
    </w:p>
    <w:p w14:paraId="03238DA5" w14:textId="77777777" w:rsidR="008907F4" w:rsidRPr="00627D02" w:rsidRDefault="2FA6B974" w:rsidP="2FA6B974">
      <w:pPr>
        <w:ind w:left="360" w:firstLine="349"/>
        <w:rPr>
          <w:sz w:val="20"/>
          <w:szCs w:val="20"/>
        </w:rPr>
      </w:pPr>
      <w:r>
        <w:rPr>
          <w:sz w:val="28"/>
          <w:szCs w:val="28"/>
        </w:rPr>
        <w:t>{</w:t>
      </w:r>
      <w:r>
        <w:rPr>
          <w:sz w:val="20"/>
          <w:szCs w:val="20"/>
        </w:rPr>
        <w:t>окончателен размер на безвъзмездните средства</w:t>
      </w:r>
    </w:p>
    <w:p w14:paraId="05FDAC31" w14:textId="77777777" w:rsidR="008907F4" w:rsidRPr="00627D02" w:rsidRDefault="2FA6B974" w:rsidP="2FA6B974">
      <w:pPr>
        <w:ind w:left="360" w:firstLine="349"/>
        <w:rPr>
          <w:sz w:val="20"/>
          <w:szCs w:val="20"/>
        </w:rPr>
      </w:pPr>
      <w:r>
        <w:rPr>
          <w:sz w:val="20"/>
          <w:szCs w:val="20"/>
        </w:rPr>
        <w:t>минус</w:t>
      </w:r>
    </w:p>
    <w:p w14:paraId="6FC37E96" w14:textId="77777777" w:rsidR="008907F4" w:rsidRDefault="2FA6B974" w:rsidP="008907F4">
      <w:pPr>
        <w:ind w:left="360" w:firstLine="349"/>
      </w:pPr>
      <w:r>
        <w:rPr>
          <w:sz w:val="20"/>
          <w:szCs w:val="20"/>
        </w:rPr>
        <w:t>{извършени плащания за предварително финансиране и междинни плащания (ако има такива)}</w:t>
      </w:r>
      <w:r>
        <w:rPr>
          <w:sz w:val="28"/>
          <w:szCs w:val="28"/>
        </w:rPr>
        <w:t>}</w:t>
      </w:r>
      <w:r>
        <w:t>.</w:t>
      </w:r>
    </w:p>
    <w:p w14:paraId="39DC2676" w14:textId="77777777" w:rsidR="008907F4" w:rsidRDefault="2FA6B974" w:rsidP="008907F4">
      <w:r>
        <w:lastRenderedPageBreak/>
        <w:t xml:space="preserve">Ако остатъкът е </w:t>
      </w:r>
      <w:r>
        <w:rPr>
          <w:b/>
          <w:bCs/>
        </w:rPr>
        <w:t>положителен</w:t>
      </w:r>
      <w:r>
        <w:t xml:space="preserve">, той ще бъде </w:t>
      </w:r>
      <w:r>
        <w:rPr>
          <w:b/>
          <w:bCs/>
        </w:rPr>
        <w:t>изплатен</w:t>
      </w:r>
      <w:r>
        <w:t xml:space="preserve"> на координатора.</w:t>
      </w:r>
    </w:p>
    <w:p w14:paraId="4DBC4FAA" w14:textId="5857C2EC" w:rsidR="008907F4" w:rsidRPr="00A73A2A" w:rsidRDefault="2FA6B974" w:rsidP="008907F4">
      <w:r>
        <w:t>Окончателното плащане (или част от него) може да бъде прихванато (</w:t>
      </w:r>
      <w:r>
        <w:rPr>
          <w:color w:val="000000" w:themeColor="text1"/>
        </w:rPr>
        <w:t>без съгласието на бенефициерите</w:t>
      </w:r>
      <w:r>
        <w:t xml:space="preserve">) от суми, дължими от даден бенефициер на предоставящия орган — до сумата, дължима на този бенефициер. </w:t>
      </w:r>
    </w:p>
    <w:p w14:paraId="4C48FB95" w14:textId="77777777" w:rsidR="008907F4" w:rsidRDefault="2FA6B974" w:rsidP="008907F4">
      <w:r>
        <w:t>Плащания няма да бъдат извършвани при</w:t>
      </w:r>
      <w:r>
        <w:rPr>
          <w:b/>
          <w:bCs/>
          <w:i/>
          <w:iCs/>
        </w:rPr>
        <w:t xml:space="preserve"> </w:t>
      </w:r>
      <w:r>
        <w:t>отлагане на крайния срок за плащане или при временно спиране на плащанията (вж. членове 29 и 30).</w:t>
      </w:r>
    </w:p>
    <w:p w14:paraId="26E86044" w14:textId="77777777" w:rsidR="008907F4" w:rsidRDefault="2FA6B974" w:rsidP="008907F4">
      <w:r>
        <w:t xml:space="preserve">Ако остатъкът е </w:t>
      </w:r>
      <w:r>
        <w:rPr>
          <w:b/>
          <w:bCs/>
        </w:rPr>
        <w:t>отрицателен</w:t>
      </w:r>
      <w:r>
        <w:t xml:space="preserve">, той ще бъде </w:t>
      </w:r>
      <w:r>
        <w:rPr>
          <w:b/>
          <w:bCs/>
        </w:rPr>
        <w:t>събран</w:t>
      </w:r>
      <w:r>
        <w:t xml:space="preserve"> в съответствие със следната процедура:</w:t>
      </w:r>
      <w:r>
        <w:rPr>
          <w:b/>
          <w:bCs/>
          <w:i/>
          <w:iCs/>
          <w:color w:val="4AA55B"/>
        </w:rPr>
        <w:t xml:space="preserve"> </w:t>
      </w:r>
    </w:p>
    <w:p w14:paraId="3BC1E213" w14:textId="77777777" w:rsidR="008907F4" w:rsidRPr="005E41F4" w:rsidRDefault="2FA6B974" w:rsidP="008907F4">
      <w:pPr>
        <w:rPr>
          <w:szCs w:val="24"/>
        </w:rPr>
      </w:pPr>
      <w:bookmarkStart w:id="478" w:name="_Toc435109012"/>
      <w:r>
        <w:t>Предоставящият орган</w:t>
      </w:r>
      <w:r>
        <w:rPr>
          <w:i/>
          <w:iCs/>
        </w:rPr>
        <w:t xml:space="preserve"> </w:t>
      </w:r>
      <w:r>
        <w:t xml:space="preserve">ще изпрати на координатора </w:t>
      </w:r>
      <w:r>
        <w:rPr>
          <w:b/>
          <w:bCs/>
        </w:rPr>
        <w:t>писмо с предварителна информация</w:t>
      </w:r>
      <w:r>
        <w:t xml:space="preserve">: </w:t>
      </w:r>
    </w:p>
    <w:p w14:paraId="180AD6C9" w14:textId="3999F723" w:rsidR="008907F4" w:rsidRDefault="2FA6B974" w:rsidP="2FA6B974">
      <w:pPr>
        <w:numPr>
          <w:ilvl w:val="0"/>
          <w:numId w:val="4"/>
        </w:numPr>
      </w:pPr>
      <w:r>
        <w:t>с което го уведомява официално за намерението си да пристъпи към събиране, за окончателния размер на безвъзмездните средства, за сумата, която подлежи на събиране, и основанията за това;</w:t>
      </w:r>
    </w:p>
    <w:p w14:paraId="72DE955D" w14:textId="77777777" w:rsidR="008907F4" w:rsidRPr="005E41F4" w:rsidRDefault="2FA6B974" w:rsidP="2FA6B974">
      <w:pPr>
        <w:numPr>
          <w:ilvl w:val="0"/>
          <w:numId w:val="4"/>
        </w:numPr>
      </w:pPr>
      <w:r>
        <w:t xml:space="preserve">с искане да представи коментари в срок от 30 дни от получаване на уведомлението. </w:t>
      </w:r>
    </w:p>
    <w:p w14:paraId="60150167" w14:textId="77777777" w:rsidR="008907F4" w:rsidRPr="00115815" w:rsidRDefault="2FA6B974" w:rsidP="2FA6B974">
      <w:pPr>
        <w:rPr>
          <w:rFonts w:eastAsia="Calibri" w:cs="Times New Roman"/>
        </w:rPr>
      </w:pPr>
      <w:r>
        <w:t>Ако коментари не бъдат представени (или въпреки получените коментари предоставящият орган вземе решение да пристъпи към събиране), той потвърждава</w:t>
      </w:r>
      <w:r>
        <w:rPr>
          <w:b/>
          <w:bCs/>
        </w:rPr>
        <w:t xml:space="preserve"> </w:t>
      </w:r>
      <w:r>
        <w:t>сумата, която подлежи на събиране</w:t>
      </w:r>
      <w:r>
        <w:rPr>
          <w:b/>
          <w:bCs/>
        </w:rPr>
        <w:t xml:space="preserve"> </w:t>
      </w:r>
      <w:r>
        <w:t>(</w:t>
      </w:r>
      <w:r>
        <w:rPr>
          <w:b/>
          <w:bCs/>
        </w:rPr>
        <w:t>писмо за потвърждение</w:t>
      </w:r>
      <w:r>
        <w:t xml:space="preserve">), заедно с </w:t>
      </w:r>
      <w:r>
        <w:rPr>
          <w:b/>
          <w:bCs/>
        </w:rPr>
        <w:t>дебитно известие</w:t>
      </w:r>
      <w:r>
        <w:t xml:space="preserve"> с условията и датата за плащане.</w:t>
      </w:r>
    </w:p>
    <w:p w14:paraId="20E3A68F" w14:textId="39A401B9" w:rsidR="008907F4" w:rsidRDefault="2FA6B974" w:rsidP="008907F4">
      <w:pPr>
        <w:rPr>
          <w:szCs w:val="24"/>
        </w:rPr>
      </w:pPr>
      <w:r>
        <w:rPr>
          <w:color w:val="000000" w:themeColor="text1"/>
        </w:rPr>
        <w:t>Ако до датата, посочена в дебитното известие, не бъде извършено плащане</w:t>
      </w:r>
      <w:r>
        <w:t xml:space="preserve">, предоставящият орган ще извърши </w:t>
      </w:r>
      <w:r>
        <w:rPr>
          <w:b/>
          <w:bCs/>
        </w:rPr>
        <w:t xml:space="preserve">принудително събиране </w:t>
      </w:r>
      <w:r>
        <w:t>в съответствие с член 22.4.</w:t>
      </w:r>
    </w:p>
    <w:p w14:paraId="58798321" w14:textId="77777777" w:rsidR="008907F4" w:rsidRPr="00667FF8" w:rsidRDefault="2FA6B974" w:rsidP="2FA6B974">
      <w:pPr>
        <w:ind w:left="709" w:hanging="709"/>
        <w:rPr>
          <w:b/>
          <w:bCs/>
        </w:rPr>
      </w:pPr>
      <w:bookmarkStart w:id="479" w:name="_Toc524697234"/>
      <w:bookmarkStart w:id="480" w:name="_Toc529197738"/>
      <w:r>
        <w:rPr>
          <w:b/>
          <w:bCs/>
        </w:rPr>
        <w:t>22.3.5 Извършване на одит след окончателното плащане — коригиран окончателен размер на безвъзмездните средства — събиране</w:t>
      </w:r>
      <w:bookmarkEnd w:id="479"/>
      <w:bookmarkEnd w:id="480"/>
    </w:p>
    <w:p w14:paraId="48A87842" w14:textId="56096AF0" w:rsidR="008907F4" w:rsidRPr="00667FF8" w:rsidRDefault="2FA6B974" w:rsidP="2FA6B974">
      <w:pPr>
        <w:rPr>
          <w:rFonts w:eastAsia="Calibri" w:cs="Times New Roman"/>
        </w:rPr>
      </w:pPr>
      <w:r>
        <w:t xml:space="preserve">Ако след окончателното плащане </w:t>
      </w:r>
      <w:r>
        <w:rPr>
          <w:color w:val="002060"/>
        </w:rPr>
        <w:t>(</w:t>
      </w:r>
      <w:r>
        <w:t xml:space="preserve">в частност след извършване на проверки, прегледи, одити или разследвания; вж. член 25), предоставящият орган не признае дадени разходи или вноски (вж. член 27) или намали размера на безвъзмездните средства (вж. член 28), той изчислява </w:t>
      </w:r>
      <w:r>
        <w:rPr>
          <w:b/>
          <w:bCs/>
        </w:rPr>
        <w:t>коригирания окончателен размер</w:t>
      </w:r>
      <w:r>
        <w:t xml:space="preserve"> на безвъзмездните средства за съответния бенефициер. </w:t>
      </w:r>
    </w:p>
    <w:p w14:paraId="021A4BB4" w14:textId="77777777" w:rsidR="008907F4" w:rsidRPr="00667FF8" w:rsidRDefault="2FA6B974" w:rsidP="008907F4">
      <w:r>
        <w:rPr>
          <w:b/>
          <w:bCs/>
        </w:rPr>
        <w:t>Коригираният окончателен размер на безвъзмездните средства за бенефициера</w:t>
      </w:r>
      <w:r>
        <w:t xml:space="preserve"> се изчислява в следните стъпки: </w:t>
      </w:r>
    </w:p>
    <w:p w14:paraId="45D6F60E" w14:textId="77777777" w:rsidR="008907F4" w:rsidRPr="00667FF8" w:rsidRDefault="2FA6B974" w:rsidP="008907F4">
      <w:pPr>
        <w:ind w:left="1701" w:hanging="981"/>
      </w:pPr>
      <w:r>
        <w:t>Стъпка 1 — изчисляване на коригираната обща приета вноска от ЕС</w:t>
      </w:r>
    </w:p>
    <w:p w14:paraId="62AA63BC" w14:textId="77777777" w:rsidR="008907F4" w:rsidRPr="00667FF8" w:rsidRDefault="2FA6B974" w:rsidP="2FA6B974">
      <w:pPr>
        <w:rPr>
          <w:u w:val="single"/>
        </w:rPr>
      </w:pPr>
      <w:r>
        <w:rPr>
          <w:u w:val="single"/>
        </w:rPr>
        <w:t>Стъпка 1 — изчисляване на коригираната обща приета вноска от ЕС</w:t>
      </w:r>
    </w:p>
    <w:p w14:paraId="3DC0FC50" w14:textId="365BD13E" w:rsidR="008907F4" w:rsidRPr="001F7F46" w:rsidRDefault="2FA6B974" w:rsidP="008907F4">
      <w:r>
        <w:t>Предоставящият орган първо изчислява „коригираната приета вноска от ЕС“ за бенефициера, като изчислява „коригираните приети разходи“ и „коригираните приети вноски“.</w:t>
      </w:r>
    </w:p>
    <w:p w14:paraId="2F9C5AD0" w14:textId="77777777" w:rsidR="008907F4" w:rsidRPr="00667FF8" w:rsidRDefault="2FA6B974" w:rsidP="008907F4">
      <w:r>
        <w:lastRenderedPageBreak/>
        <w:t>След това той взема предвид намаленията в размера на безвъзмездните средства (ако има такива). Получената „коригирана обща приета вноска от ЕС“ е коригираният окончателен размер на безвъзмездните средства на бенефициера.</w:t>
      </w:r>
    </w:p>
    <w:p w14:paraId="1C54978F" w14:textId="77777777" w:rsidR="008907F4" w:rsidRPr="00667FF8" w:rsidRDefault="2FA6B974" w:rsidP="2FA6B974">
      <w:pPr>
        <w:rPr>
          <w:rFonts w:eastAsia="Calibri" w:cs="Times New Roman"/>
          <w:i/>
          <w:iCs/>
        </w:rPr>
      </w:pPr>
      <w:r>
        <w:t xml:space="preserve">Ако коригираният окончателен размер на безвъзмездните средства е по-малък от окончателния размер на безвъзмездните средства за бенефициера (т.е. неговия дял от окончателния размер на безвъзмездните средства за дейността), той ще бъде </w:t>
      </w:r>
      <w:r>
        <w:rPr>
          <w:b/>
          <w:bCs/>
        </w:rPr>
        <w:t>събран</w:t>
      </w:r>
      <w:r>
        <w:t xml:space="preserve"> в съответствие със следната процедура:</w:t>
      </w:r>
    </w:p>
    <w:p w14:paraId="7447130D" w14:textId="77777777" w:rsidR="008907F4" w:rsidRPr="00667FF8" w:rsidRDefault="2FA6B974" w:rsidP="2FA6B974">
      <w:pPr>
        <w:rPr>
          <w:rFonts w:eastAsia="Calibri" w:cs="Times New Roman"/>
        </w:rPr>
      </w:pPr>
      <w:r>
        <w:rPr>
          <w:b/>
          <w:bCs/>
        </w:rPr>
        <w:t>Окончателният размер на безвъзмездните средства за бенефициера</w:t>
      </w:r>
      <w:r>
        <w:t xml:space="preserve"> (т.е. неговият дял от окончателния размер на безвъзмездните средства за дейността) се изчислява, както следва:</w:t>
      </w:r>
    </w:p>
    <w:p w14:paraId="65B2CC36" w14:textId="77777777" w:rsidR="008907F4" w:rsidRPr="00667FF8" w:rsidRDefault="2FA6B974" w:rsidP="2FA6B974">
      <w:pPr>
        <w:tabs>
          <w:tab w:val="left" w:pos="0"/>
        </w:tabs>
        <w:ind w:left="357"/>
        <w:rPr>
          <w:rFonts w:eastAsia="Calibri" w:cs="Times New Roman"/>
          <w:sz w:val="20"/>
          <w:szCs w:val="20"/>
        </w:rPr>
      </w:pPr>
      <w:r>
        <w:rPr>
          <w:b/>
          <w:bCs/>
          <w:sz w:val="32"/>
          <w:szCs w:val="32"/>
        </w:rPr>
        <w:t>{</w:t>
      </w:r>
      <w:r>
        <w:rPr>
          <w:sz w:val="28"/>
          <w:szCs w:val="28"/>
        </w:rPr>
        <w:t>{</w:t>
      </w:r>
      <w:r>
        <w:rPr>
          <w:sz w:val="20"/>
          <w:szCs w:val="20"/>
        </w:rPr>
        <w:t xml:space="preserve">{общата приета вноска от ЕС за бенефициера </w:t>
      </w:r>
    </w:p>
    <w:p w14:paraId="17512270" w14:textId="77777777" w:rsidR="008907F4" w:rsidRPr="00667FF8" w:rsidRDefault="2FA6B974" w:rsidP="2FA6B974">
      <w:pPr>
        <w:tabs>
          <w:tab w:val="left" w:pos="0"/>
        </w:tabs>
        <w:ind w:left="357"/>
        <w:rPr>
          <w:rFonts w:eastAsia="Calibri" w:cs="Times New Roman"/>
          <w:sz w:val="20"/>
          <w:szCs w:val="20"/>
        </w:rPr>
      </w:pPr>
      <w:r>
        <w:rPr>
          <w:sz w:val="20"/>
          <w:szCs w:val="20"/>
        </w:rPr>
        <w:t>разделени на</w:t>
      </w:r>
    </w:p>
    <w:p w14:paraId="1EA2EEF8" w14:textId="77777777" w:rsidR="008907F4" w:rsidRPr="00667FF8" w:rsidRDefault="2FA6B974" w:rsidP="2FA6B974">
      <w:pPr>
        <w:tabs>
          <w:tab w:val="left" w:pos="0"/>
        </w:tabs>
        <w:ind w:left="357"/>
        <w:rPr>
          <w:rFonts w:eastAsia="Calibri" w:cs="Times New Roman"/>
        </w:rPr>
      </w:pPr>
      <w:r>
        <w:rPr>
          <w:sz w:val="20"/>
          <w:szCs w:val="20"/>
        </w:rPr>
        <w:t>общата приета вноска от ЕС за дейността</w:t>
      </w:r>
      <w:r>
        <w:rPr>
          <w:sz w:val="28"/>
          <w:szCs w:val="28"/>
        </w:rPr>
        <w:t>}</w:t>
      </w:r>
    </w:p>
    <w:p w14:paraId="6BB6501F" w14:textId="77777777" w:rsidR="008907F4" w:rsidRPr="00A73A2A" w:rsidRDefault="2FA6B974" w:rsidP="2FA6B974">
      <w:pPr>
        <w:tabs>
          <w:tab w:val="left" w:pos="0"/>
        </w:tabs>
        <w:ind w:left="357"/>
        <w:rPr>
          <w:rFonts w:eastAsia="Calibri" w:cs="Times New Roman"/>
          <w:sz w:val="20"/>
          <w:szCs w:val="20"/>
        </w:rPr>
      </w:pPr>
      <w:r>
        <w:rPr>
          <w:sz w:val="20"/>
          <w:szCs w:val="20"/>
        </w:rPr>
        <w:t xml:space="preserve">умножено по </w:t>
      </w:r>
    </w:p>
    <w:p w14:paraId="4C2C9FA9" w14:textId="77777777" w:rsidR="008907F4" w:rsidRPr="00FC6E4C" w:rsidRDefault="2FA6B974" w:rsidP="2FA6B974">
      <w:pPr>
        <w:ind w:left="357"/>
        <w:rPr>
          <w:rFonts w:eastAsia="Calibri" w:cs="Times New Roman"/>
        </w:rPr>
      </w:pPr>
      <w:r>
        <w:rPr>
          <w:sz w:val="20"/>
          <w:szCs w:val="20"/>
        </w:rPr>
        <w:t>окончателния размер на безвъзмездните средства за дейността</w:t>
      </w:r>
      <w:r>
        <w:rPr>
          <w:b/>
          <w:bCs/>
          <w:sz w:val="32"/>
          <w:szCs w:val="32"/>
        </w:rPr>
        <w:t>}</w:t>
      </w:r>
      <w:r>
        <w:t>.</w:t>
      </w:r>
    </w:p>
    <w:p w14:paraId="66F5ED89" w14:textId="77777777" w:rsidR="008907F4" w:rsidRPr="005E41F4" w:rsidRDefault="2FA6B974" w:rsidP="008907F4">
      <w:pPr>
        <w:rPr>
          <w:szCs w:val="24"/>
        </w:rPr>
      </w:pPr>
      <w:r>
        <w:t xml:space="preserve">Предоставящият орган ще изпрати на съответния бенефициер </w:t>
      </w:r>
      <w:r>
        <w:rPr>
          <w:b/>
          <w:bCs/>
        </w:rPr>
        <w:t>писмо с предварителна информация</w:t>
      </w:r>
      <w:r>
        <w:t>:</w:t>
      </w:r>
    </w:p>
    <w:p w14:paraId="03A68421" w14:textId="77777777" w:rsidR="008907F4" w:rsidRPr="00FC6E4C" w:rsidRDefault="2FA6B974" w:rsidP="2FA6B974">
      <w:pPr>
        <w:numPr>
          <w:ilvl w:val="0"/>
          <w:numId w:val="4"/>
        </w:numPr>
      </w:pPr>
      <w:r>
        <w:t>с което го уведомява официално за намерението си да пристъпи към събиране, за сумата, която подлежи на събиране, и за основанията за това; и</w:t>
      </w:r>
    </w:p>
    <w:p w14:paraId="262793EC" w14:textId="77777777" w:rsidR="008907F4" w:rsidRPr="00FC6E4C" w:rsidRDefault="2FA6B974" w:rsidP="2FA6B974">
      <w:pPr>
        <w:numPr>
          <w:ilvl w:val="0"/>
          <w:numId w:val="4"/>
        </w:numPr>
      </w:pPr>
      <w:r>
        <w:t xml:space="preserve">с искане да представи коментари в срок от 30 дни от получаване на уведомлението. </w:t>
      </w:r>
    </w:p>
    <w:p w14:paraId="57628579" w14:textId="77777777" w:rsidR="008907F4" w:rsidRDefault="2FA6B974" w:rsidP="008907F4">
      <w:pPr>
        <w:rPr>
          <w:szCs w:val="24"/>
        </w:rPr>
      </w:pPr>
      <w:r>
        <w:t>Ако коментари не бъдат представени (или въпреки получените коментари предоставящият орган вземе решение да пристъпи към събиране), той потвърждава сумата, която подлежи на събиране (</w:t>
      </w:r>
      <w:r>
        <w:rPr>
          <w:b/>
          <w:bCs/>
        </w:rPr>
        <w:t>писмо за потвърждение</w:t>
      </w:r>
      <w:r>
        <w:t xml:space="preserve">), заедно с </w:t>
      </w:r>
      <w:r>
        <w:rPr>
          <w:b/>
          <w:bCs/>
        </w:rPr>
        <w:t>дебитно известие</w:t>
      </w:r>
      <w:r>
        <w:t xml:space="preserve"> с условията и датата за плащане.</w:t>
      </w:r>
    </w:p>
    <w:p w14:paraId="79A74A65" w14:textId="77777777" w:rsidR="008907F4" w:rsidRDefault="2FA6B974" w:rsidP="008907F4">
      <w:pPr>
        <w:rPr>
          <w:szCs w:val="24"/>
        </w:rPr>
      </w:pPr>
      <w:r>
        <w:t xml:space="preserve">Събиранията от свързани субекти (ако има такива) ще се извършват чрез техните бенефициери. </w:t>
      </w:r>
    </w:p>
    <w:p w14:paraId="21DE03EC" w14:textId="52C7DC06" w:rsidR="008907F4" w:rsidRDefault="2FA6B974" w:rsidP="008907F4">
      <w:pPr>
        <w:rPr>
          <w:szCs w:val="24"/>
        </w:rPr>
      </w:pPr>
      <w:r>
        <w:rPr>
          <w:color w:val="000000" w:themeColor="text1"/>
        </w:rPr>
        <w:t>Ако до датата, посочена в дебитното известие, не бъде извършено плащане</w:t>
      </w:r>
      <w:r>
        <w:t xml:space="preserve">, предоставящият орган ще извърши </w:t>
      </w:r>
      <w:r>
        <w:rPr>
          <w:b/>
          <w:bCs/>
        </w:rPr>
        <w:t xml:space="preserve">принудително събиране </w:t>
      </w:r>
      <w:r>
        <w:t>в съответствие с член 22.4.</w:t>
      </w:r>
    </w:p>
    <w:p w14:paraId="5D4938B1" w14:textId="77777777" w:rsidR="008907F4" w:rsidRPr="002022DD" w:rsidRDefault="008907F4" w:rsidP="008907F4">
      <w:pPr>
        <w:pStyle w:val="Heading5"/>
      </w:pPr>
      <w:bookmarkStart w:id="481" w:name="_Toc24116142"/>
      <w:bookmarkStart w:id="482" w:name="_Toc24126621"/>
      <w:bookmarkStart w:id="483" w:name="_Toc95924996"/>
      <w:r>
        <w:t>22.4</w:t>
      </w:r>
      <w:r>
        <w:tab/>
        <w:t>Принудително събиране</w:t>
      </w:r>
      <w:bookmarkEnd w:id="481"/>
      <w:bookmarkEnd w:id="482"/>
      <w:bookmarkEnd w:id="483"/>
    </w:p>
    <w:p w14:paraId="5D10D4D6" w14:textId="77777777" w:rsidR="008907F4" w:rsidRDefault="2FA6B974" w:rsidP="008907F4">
      <w:pPr>
        <w:rPr>
          <w:szCs w:val="24"/>
        </w:rPr>
      </w:pPr>
      <w:r>
        <w:rPr>
          <w:color w:val="000000" w:themeColor="text1"/>
        </w:rPr>
        <w:t>Ако до датата, посочена в дебитното известие, не бъде извършено плащане</w:t>
      </w:r>
      <w:r>
        <w:t xml:space="preserve">, дължимата сума ще бъде събрана: </w:t>
      </w:r>
    </w:p>
    <w:p w14:paraId="69C1FD37" w14:textId="10242C06" w:rsidR="008907F4" w:rsidRPr="00670D93" w:rsidRDefault="2FA6B974" w:rsidP="2FA6B974">
      <w:pPr>
        <w:numPr>
          <w:ilvl w:val="0"/>
          <w:numId w:val="48"/>
        </w:numPr>
        <w:rPr>
          <w:color w:val="000000" w:themeColor="text1"/>
        </w:rPr>
      </w:pPr>
      <w:r>
        <w:t>като</w:t>
      </w:r>
      <w:r>
        <w:rPr>
          <w:b/>
          <w:bCs/>
        </w:rPr>
        <w:t xml:space="preserve"> </w:t>
      </w:r>
      <w:r>
        <w:t xml:space="preserve">се прихване сумата — </w:t>
      </w:r>
      <w:r>
        <w:rPr>
          <w:color w:val="000000" w:themeColor="text1"/>
        </w:rPr>
        <w:t>без съгласието на координатора или бенефициера</w:t>
      </w:r>
      <w:r>
        <w:t xml:space="preserve"> — от други суми, дължими на координатора или бенефициера </w:t>
      </w:r>
      <w:r>
        <w:rPr>
          <w:color w:val="000000" w:themeColor="text1"/>
        </w:rPr>
        <w:t>от предоставящия орган</w:t>
      </w:r>
      <w:r>
        <w:t>.</w:t>
      </w:r>
      <w:r>
        <w:rPr>
          <w:color w:val="000000" w:themeColor="text1"/>
        </w:rPr>
        <w:t xml:space="preserve"> </w:t>
      </w:r>
    </w:p>
    <w:p w14:paraId="521C2143" w14:textId="77777777" w:rsidR="008907F4" w:rsidRDefault="2FA6B974" w:rsidP="2FA6B974">
      <w:pPr>
        <w:ind w:left="720"/>
        <w:rPr>
          <w:color w:val="000000" w:themeColor="text1"/>
        </w:rPr>
      </w:pPr>
      <w:r>
        <w:rPr>
          <w:color w:val="000000" w:themeColor="text1"/>
        </w:rPr>
        <w:lastRenderedPageBreak/>
        <w:t>При извънредни обстоятелства с цел защита на финансовите интереси на ЕС</w:t>
      </w:r>
      <w:r>
        <w:t xml:space="preserve"> сумата </w:t>
      </w:r>
      <w:r>
        <w:rPr>
          <w:color w:val="000000" w:themeColor="text1"/>
        </w:rPr>
        <w:t>може да бъде прихваната преди датата на плащане, посочена в дебитното известие.</w:t>
      </w:r>
    </w:p>
    <w:p w14:paraId="3633566A" w14:textId="4C031659" w:rsidR="008907F4" w:rsidRPr="00451BE9" w:rsidRDefault="008907F4" w:rsidP="2FA6B974">
      <w:pPr>
        <w:numPr>
          <w:ilvl w:val="0"/>
          <w:numId w:val="48"/>
        </w:numPr>
        <w:rPr>
          <w:i/>
          <w:iCs/>
          <w:color w:val="000000" w:themeColor="text1"/>
        </w:rPr>
      </w:pPr>
      <w:r>
        <w:rPr>
          <w:color w:val="000000"/>
        </w:rPr>
        <w:t>като се задейства(т)</w:t>
      </w:r>
      <w:r>
        <w:t xml:space="preserve"> финансовата/ите гаранция/и (ако има такава/ива);</w:t>
      </w:r>
    </w:p>
    <w:p w14:paraId="6A86F77F" w14:textId="02A8720D" w:rsidR="008907F4" w:rsidRPr="00D76A54" w:rsidRDefault="2FA6B974" w:rsidP="2FA6B974">
      <w:pPr>
        <w:numPr>
          <w:ilvl w:val="0"/>
          <w:numId w:val="48"/>
        </w:numPr>
        <w:autoSpaceDE w:val="0"/>
        <w:autoSpaceDN w:val="0"/>
        <w:adjustRightInd w:val="0"/>
      </w:pPr>
      <w:r>
        <w:t>като се задейства солидарната отговорност на други бенефициери (ако има такава; вж. Техническите спецификации, точка 4.4);</w:t>
      </w:r>
    </w:p>
    <w:p w14:paraId="56D1BEEB" w14:textId="7FD9EE90" w:rsidR="008907F4" w:rsidRPr="00217693" w:rsidRDefault="008907F4" w:rsidP="00A61F21">
      <w:pPr>
        <w:numPr>
          <w:ilvl w:val="0"/>
          <w:numId w:val="48"/>
        </w:numPr>
        <w:autoSpaceDE w:val="0"/>
        <w:autoSpaceDN w:val="0"/>
        <w:adjustRightInd w:val="0"/>
      </w:pPr>
      <w:r>
        <w:rPr>
          <w:shd w:val="clear" w:color="auto" w:fill="CCFFFF"/>
        </w:rPr>
        <w:t>като се задейства солидарната отговорност на свързани субекти: не е приложимо</w:t>
      </w:r>
      <w:r>
        <w:t xml:space="preserve"> </w:t>
      </w:r>
    </w:p>
    <w:p w14:paraId="479619E8" w14:textId="13677FC6" w:rsidR="008907F4" w:rsidRPr="00BA3DBC" w:rsidRDefault="008907F4" w:rsidP="2FA6B974">
      <w:pPr>
        <w:numPr>
          <w:ilvl w:val="0"/>
          <w:numId w:val="48"/>
        </w:numPr>
        <w:autoSpaceDE w:val="0"/>
        <w:autoSpaceDN w:val="0"/>
        <w:adjustRightInd w:val="0"/>
      </w:pPr>
      <w:r>
        <w:t>като предприеме съдебни действия (вж. член 43).</w:t>
      </w:r>
    </w:p>
    <w:p w14:paraId="646CBFA2" w14:textId="77777777" w:rsidR="008907F4" w:rsidRDefault="2FA6B974" w:rsidP="008907F4">
      <w:pPr>
        <w:rPr>
          <w:szCs w:val="24"/>
        </w:rPr>
      </w:pPr>
      <w:r>
        <w:t xml:space="preserve">Сумата, подлежаща на събиране, се увеличава с </w:t>
      </w:r>
      <w:r>
        <w:rPr>
          <w:b/>
          <w:bCs/>
        </w:rPr>
        <w:t>лихва за забава</w:t>
      </w:r>
      <w:r>
        <w:t xml:space="preserve"> съгласно процента, посочен в член 22.5 от деня след датата на плащането, посочена в дебитното известие, до датата на получаване на пълното плащане включително.</w:t>
      </w:r>
    </w:p>
    <w:p w14:paraId="3B008856" w14:textId="77777777" w:rsidR="008907F4" w:rsidRPr="006D59CC" w:rsidRDefault="2FA6B974" w:rsidP="008907F4">
      <w:pPr>
        <w:rPr>
          <w:szCs w:val="24"/>
        </w:rPr>
      </w:pPr>
      <w:r>
        <w:t>Частичните плащания се насочват първо за покриване на разходи, такси и лихви за забава и след това за покриване на главницата.</w:t>
      </w:r>
    </w:p>
    <w:p w14:paraId="1E7B26F5" w14:textId="77777777" w:rsidR="008907F4" w:rsidRDefault="008907F4" w:rsidP="008907F4">
      <w:pPr>
        <w:rPr>
          <w:szCs w:val="24"/>
        </w:rPr>
      </w:pPr>
      <w:r>
        <w:t>Банковите такси, начислени в процеса на събиране, се заплащат от бенефициера, освен в случаите, когато се прилага Директива (ЕС) 2015/2366</w:t>
      </w:r>
      <w:r>
        <w:rPr>
          <w:rStyle w:val="FootnoteReference"/>
        </w:rPr>
        <w:footnoteReference w:id="21"/>
      </w:r>
      <w:r>
        <w:t>.</w:t>
      </w:r>
    </w:p>
    <w:p w14:paraId="75924511" w14:textId="77777777" w:rsidR="008907F4" w:rsidRPr="00894FAD" w:rsidRDefault="008907F4" w:rsidP="008907F4">
      <w:pPr>
        <w:pStyle w:val="Heading5"/>
      </w:pPr>
      <w:bookmarkStart w:id="484" w:name="_Toc435109018"/>
      <w:bookmarkStart w:id="485" w:name="_Toc529197740"/>
      <w:bookmarkStart w:id="486" w:name="_Toc24116143"/>
      <w:bookmarkStart w:id="487" w:name="_Toc24126622"/>
      <w:bookmarkStart w:id="488" w:name="_Toc95924997"/>
      <w:bookmarkEnd w:id="478"/>
      <w:r>
        <w:t>22.5</w:t>
      </w:r>
      <w:r>
        <w:tab/>
        <w:t>Последствия при неизпълнение</w:t>
      </w:r>
      <w:bookmarkEnd w:id="484"/>
      <w:bookmarkEnd w:id="485"/>
      <w:bookmarkEnd w:id="486"/>
      <w:bookmarkEnd w:id="487"/>
      <w:bookmarkEnd w:id="488"/>
    </w:p>
    <w:p w14:paraId="077082A2" w14:textId="16D59EDA" w:rsidR="008907F4" w:rsidRPr="00751307" w:rsidRDefault="2FA6B974" w:rsidP="008907F4">
      <w:r>
        <w:rPr>
          <w:b/>
          <w:bCs/>
        </w:rPr>
        <w:t>22.5.1</w:t>
      </w:r>
      <w:r>
        <w:t xml:space="preserve"> Ако предоставящият орган не извърши плащане в предвидените за плащане срокове (вж. по-горе), бенефициерите имат право на </w:t>
      </w:r>
      <w:r>
        <w:rPr>
          <w:b/>
          <w:bCs/>
        </w:rPr>
        <w:t>лихви за забава</w:t>
      </w:r>
      <w:r>
        <w:t xml:space="preserve">, равна на процента, прилаган от Европейската централна банка (ЕЦБ) за нейните главни операции по рефинансиране в евро („референтен лихвен процент“), плюс процента за лихви за забава, посочен в Техническите спецификации (вж. точка 4.2). Референтният лихвен процент е процентът в сила на първия ден от месеца, в който изтича срокът за плащане, както е публикуван в серия C на </w:t>
      </w:r>
      <w:r>
        <w:rPr>
          <w:i/>
          <w:iCs/>
        </w:rPr>
        <w:t>Официален вестник на Европейския съюз</w:t>
      </w:r>
      <w:r>
        <w:t>.</w:t>
      </w:r>
      <w:r>
        <w:rPr>
          <w:color w:val="000000" w:themeColor="text1"/>
        </w:rPr>
        <w:t xml:space="preserve"> </w:t>
      </w:r>
    </w:p>
    <w:p w14:paraId="0250323C" w14:textId="77777777" w:rsidR="008907F4" w:rsidRPr="00751307" w:rsidRDefault="2FA6B974" w:rsidP="008907F4">
      <w:r>
        <w:t>Ако лихвата за забава е по-ниска или равна на 200 EUR, тя се изплаща на координатора само при представяне на искане в срок от два месеца от получаването на забавеното плащане.</w:t>
      </w:r>
    </w:p>
    <w:p w14:paraId="59A3CFCF" w14:textId="4D23395D" w:rsidR="008907F4" w:rsidRPr="00751307" w:rsidRDefault="00D735AE" w:rsidP="008907F4">
      <w:pPr>
        <w:rPr>
          <w:szCs w:val="24"/>
        </w:rPr>
      </w:pPr>
      <w:r>
        <w:t xml:space="preserve"> </w:t>
      </w:r>
    </w:p>
    <w:p w14:paraId="7C6811E3" w14:textId="77777777" w:rsidR="008907F4" w:rsidRPr="00751307" w:rsidRDefault="2FA6B974" w:rsidP="008907F4">
      <w:pPr>
        <w:rPr>
          <w:szCs w:val="24"/>
        </w:rPr>
      </w:pPr>
      <w:r>
        <w:t>Ако плащанията са временно спрени или крайният срок за плащане е отложен (вж. членове 29 и 30), плащането не се счита за забавено.</w:t>
      </w:r>
    </w:p>
    <w:p w14:paraId="3F833291" w14:textId="77777777" w:rsidR="008907F4" w:rsidRPr="00751307" w:rsidRDefault="2FA6B974" w:rsidP="008907F4">
      <w:pPr>
        <w:rPr>
          <w:szCs w:val="24"/>
        </w:rPr>
      </w:pPr>
      <w:r>
        <w:t xml:space="preserve">Лихвата за забава покрива периода от деня след датата на падеж на плащането (вж. по-горе) до датата на плащане включително. </w:t>
      </w:r>
    </w:p>
    <w:p w14:paraId="2737BD51" w14:textId="77777777" w:rsidR="008907F4" w:rsidRPr="00894FAD" w:rsidRDefault="2FA6B974" w:rsidP="008907F4">
      <w:pPr>
        <w:rPr>
          <w:szCs w:val="24"/>
        </w:rPr>
      </w:pPr>
      <w:r>
        <w:lastRenderedPageBreak/>
        <w:t>Лихвата за забава не се отчита при изчисляване на окончателния размер на безвъзмездните средства.</w:t>
      </w:r>
    </w:p>
    <w:p w14:paraId="2066A1B2" w14:textId="77777777" w:rsidR="008907F4" w:rsidRPr="000B1D23" w:rsidRDefault="2FA6B974" w:rsidP="008907F4">
      <w:pPr>
        <w:rPr>
          <w:szCs w:val="24"/>
        </w:rPr>
      </w:pPr>
      <w:r>
        <w:rPr>
          <w:b/>
          <w:bCs/>
        </w:rPr>
        <w:t>22.5.2</w:t>
      </w:r>
      <w:r>
        <w:t> Ако координаторът наруши което и да е от задълженията си по настоящия член, размерът на безвъзмездните средства може да бъде намален (вж. член 29), а споразумението за отпускане на безвъзмездни средства или участието на координатора могат да бъдат прекратени (вж. член 32).</w:t>
      </w:r>
    </w:p>
    <w:p w14:paraId="1C55F844" w14:textId="77777777" w:rsidR="008907F4" w:rsidRDefault="2FA6B974" w:rsidP="008907F4">
      <w:pPr>
        <w:rPr>
          <w:szCs w:val="24"/>
        </w:rPr>
      </w:pPr>
      <w:r>
        <w:t>Такива нарушения могат да доведат и до прилагане на други мерки, описани в глава 5.</w:t>
      </w:r>
    </w:p>
    <w:p w14:paraId="292210F0" w14:textId="77777777" w:rsidR="008907F4" w:rsidRPr="00E7049F" w:rsidRDefault="2FA6B974" w:rsidP="2FA6B974">
      <w:pPr>
        <w:pStyle w:val="Heading4"/>
      </w:pPr>
      <w:bookmarkStart w:id="489" w:name="_Toc529197741"/>
      <w:bookmarkStart w:id="490" w:name="_Toc530035915"/>
      <w:bookmarkStart w:id="491" w:name="_Toc24116144"/>
      <w:bookmarkStart w:id="492" w:name="_Toc24126623"/>
      <w:bookmarkStart w:id="493" w:name="_Toc95924998"/>
      <w:r>
        <w:t>ЧЛЕН 23 — ГАРАНЦИИ</w:t>
      </w:r>
      <w:bookmarkEnd w:id="489"/>
      <w:bookmarkEnd w:id="490"/>
      <w:bookmarkEnd w:id="491"/>
      <w:bookmarkEnd w:id="492"/>
      <w:bookmarkEnd w:id="493"/>
    </w:p>
    <w:p w14:paraId="1AF07E90" w14:textId="77777777" w:rsidR="008907F4" w:rsidRPr="00561A51" w:rsidRDefault="008907F4" w:rsidP="008907F4">
      <w:pPr>
        <w:pStyle w:val="Heading5"/>
      </w:pPr>
      <w:bookmarkStart w:id="494" w:name="_Toc529197742"/>
      <w:bookmarkStart w:id="495" w:name="_Toc24116145"/>
      <w:bookmarkStart w:id="496" w:name="_Toc24126624"/>
      <w:bookmarkStart w:id="497" w:name="_Toc95924999"/>
      <w:r>
        <w:t>23.1</w:t>
      </w:r>
      <w:r>
        <w:tab/>
        <w:t>Гаранция за предварителното финансиране</w:t>
      </w:r>
      <w:bookmarkEnd w:id="494"/>
      <w:bookmarkEnd w:id="495"/>
      <w:bookmarkEnd w:id="496"/>
      <w:bookmarkEnd w:id="497"/>
    </w:p>
    <w:p w14:paraId="173416B5" w14:textId="1C17ADE9" w:rsidR="008907F4" w:rsidRDefault="2FA6B974" w:rsidP="008907F4">
      <w:pPr>
        <w:rPr>
          <w:szCs w:val="24"/>
        </w:rPr>
      </w:pPr>
      <w:r>
        <w:t>По искане на предоставящия орган (вж. Техническите спецификации, точка 4.2) бенефициерите трябва да предоставят (една или повече) гаранции за предварителното финансиране съгласно сроковете и сумите, посочени в Техническите спецификации.</w:t>
      </w:r>
    </w:p>
    <w:p w14:paraId="4457E0AA" w14:textId="05303731" w:rsidR="008907F4" w:rsidRDefault="2FA6B974" w:rsidP="008907F4">
      <w:pPr>
        <w:rPr>
          <w:szCs w:val="24"/>
        </w:rPr>
      </w:pPr>
      <w:r>
        <w:t>Заедно със заявлението за плащане за предварително финансиране координаторът трябва да представи на предоставящия орган финансова гаранция.</w:t>
      </w:r>
    </w:p>
    <w:p w14:paraId="7A52BB76" w14:textId="77777777" w:rsidR="008907F4" w:rsidRPr="001D1983" w:rsidRDefault="2FA6B974" w:rsidP="008907F4">
      <w:pPr>
        <w:rPr>
          <w:szCs w:val="24"/>
        </w:rPr>
      </w:pPr>
      <w:r>
        <w:t>Гаранцията трябва да е в съответствие с глава IV от Делегиран регламент (ЕС) № 907/2014 на Комисията и да отговаря на следните условия:</w:t>
      </w:r>
    </w:p>
    <w:p w14:paraId="52EE98AD" w14:textId="4F3EBBBD" w:rsidR="008907F4" w:rsidRPr="001D1983" w:rsidRDefault="2FA6B974" w:rsidP="008907F4">
      <w:pPr>
        <w:pStyle w:val="ListParagraph"/>
        <w:numPr>
          <w:ilvl w:val="0"/>
          <w:numId w:val="37"/>
        </w:numPr>
        <w:ind w:hanging="436"/>
      </w:pPr>
      <w:r>
        <w:t>да е предоставена от банка или одобрена финансова институция, установена в ЕС, или — по искане на координатора и след одобрение от предоставящия орган — от трета страна или банка или финансова институция, установена извън ЕС, предлагаща еквивалентна гаранция;</w:t>
      </w:r>
    </w:p>
    <w:p w14:paraId="2663F399" w14:textId="4C97A629" w:rsidR="008907F4" w:rsidRPr="001D1983" w:rsidRDefault="2FA6B974" w:rsidP="2FA6B974">
      <w:pPr>
        <w:pStyle w:val="ListParagraph"/>
        <w:numPr>
          <w:ilvl w:val="0"/>
          <w:numId w:val="37"/>
        </w:numPr>
        <w:ind w:hanging="436"/>
      </w:pPr>
      <w:r>
        <w:t xml:space="preserve">гарантът е гарант при първо поискване и не се изисква предоставящият орган първо да предявява иск към основния длъжник </w:t>
      </w:r>
      <w:r>
        <w:rPr>
          <w:color w:val="000000" w:themeColor="text1"/>
        </w:rPr>
        <w:t>(т.е. съответния бенефициер) и</w:t>
      </w:r>
    </w:p>
    <w:p w14:paraId="63850ABF" w14:textId="77777777" w:rsidR="008907F4" w:rsidRPr="001D1983" w:rsidRDefault="2FA6B974" w:rsidP="2FA6B974">
      <w:pPr>
        <w:pStyle w:val="ListParagraph"/>
        <w:numPr>
          <w:ilvl w:val="0"/>
          <w:numId w:val="37"/>
        </w:numPr>
        <w:ind w:hanging="436"/>
        <w:rPr>
          <w:color w:val="000000" w:themeColor="text1"/>
        </w:rPr>
      </w:pPr>
      <w:r>
        <w:t xml:space="preserve">остава </w:t>
      </w:r>
      <w:r>
        <w:rPr>
          <w:color w:val="000000" w:themeColor="text1"/>
        </w:rPr>
        <w:t xml:space="preserve">изрично в сила до окончателното плащане, а ако окончателното плащане е под формата на събиране — до три месеца след уведомяването на бенефициера за дебитното известие. </w:t>
      </w:r>
    </w:p>
    <w:p w14:paraId="01FA3D3F" w14:textId="77777777" w:rsidR="008907F4" w:rsidRPr="000541DB" w:rsidRDefault="2FA6B974" w:rsidP="2FA6B974">
      <w:pPr>
        <w:rPr>
          <w:i/>
          <w:iCs/>
        </w:rPr>
      </w:pPr>
      <w:r>
        <w:rPr>
          <w:color w:val="000000" w:themeColor="text1"/>
        </w:rPr>
        <w:t>Гаранцията ще бъде освободена в рамките на следващия месец.</w:t>
      </w:r>
    </w:p>
    <w:p w14:paraId="780C5706" w14:textId="77777777" w:rsidR="008907F4" w:rsidRPr="00E406AE" w:rsidRDefault="008907F4" w:rsidP="008907F4">
      <w:pPr>
        <w:pStyle w:val="Heading5"/>
      </w:pPr>
      <w:bookmarkStart w:id="498" w:name="_Toc529197743"/>
      <w:bookmarkStart w:id="499" w:name="_Toc24116146"/>
      <w:bookmarkStart w:id="500" w:name="_Toc24126625"/>
      <w:bookmarkStart w:id="501" w:name="_Toc95925000"/>
      <w:r>
        <w:t>23.2</w:t>
      </w:r>
      <w:r>
        <w:tab/>
        <w:t>Последствия при неизпълнение</w:t>
      </w:r>
      <w:bookmarkEnd w:id="498"/>
      <w:bookmarkEnd w:id="499"/>
      <w:bookmarkEnd w:id="500"/>
      <w:bookmarkEnd w:id="501"/>
      <w:r>
        <w:t xml:space="preserve"> </w:t>
      </w:r>
    </w:p>
    <w:p w14:paraId="0C7389C8" w14:textId="77777777" w:rsidR="008907F4" w:rsidRDefault="2FA6B974" w:rsidP="008907F4">
      <w:pPr>
        <w:rPr>
          <w:bCs/>
          <w:szCs w:val="24"/>
        </w:rPr>
      </w:pPr>
      <w:r>
        <w:t>Ако бенефициерите нарушат задължението си да предоставят гаранция за предварителното финансиране, то няма да бъде изплатено.</w:t>
      </w:r>
    </w:p>
    <w:p w14:paraId="477966CB" w14:textId="77777777" w:rsidR="008907F4" w:rsidRDefault="2FA6B974" w:rsidP="008907F4">
      <w:pPr>
        <w:rPr>
          <w:szCs w:val="24"/>
        </w:rPr>
      </w:pPr>
      <w:r>
        <w:t xml:space="preserve">Такива нарушения могат да доведат и до прилагане на други мерки, описани в глава 5. </w:t>
      </w:r>
      <w:bookmarkStart w:id="502" w:name="_Toc529197744"/>
    </w:p>
    <w:p w14:paraId="176948E0" w14:textId="77777777" w:rsidR="008907F4" w:rsidRPr="008F7323" w:rsidRDefault="2FA6B974" w:rsidP="008907F4">
      <w:pPr>
        <w:pStyle w:val="Heading4"/>
      </w:pPr>
      <w:bookmarkStart w:id="503" w:name="_Toc530035916"/>
      <w:bookmarkStart w:id="504" w:name="_Toc24116147"/>
      <w:bookmarkStart w:id="505" w:name="_Toc24126626"/>
      <w:bookmarkStart w:id="506" w:name="_Toc95925001"/>
      <w:r>
        <w:t>ЧЛЕН 24 — СЕРТИФИКАТИ</w:t>
      </w:r>
      <w:bookmarkStart w:id="507" w:name="_Toc529197745"/>
      <w:bookmarkStart w:id="508" w:name="_Toc24116148"/>
      <w:bookmarkStart w:id="509" w:name="_Toc24126627"/>
      <w:bookmarkEnd w:id="502"/>
      <w:bookmarkEnd w:id="503"/>
      <w:bookmarkEnd w:id="504"/>
      <w:bookmarkEnd w:id="505"/>
      <w:bookmarkEnd w:id="506"/>
    </w:p>
    <w:p w14:paraId="3D1D65A8" w14:textId="77777777" w:rsidR="008907F4" w:rsidRPr="00B217B2" w:rsidRDefault="008907F4" w:rsidP="2FA6B974">
      <w:pPr>
        <w:pStyle w:val="Heading5"/>
        <w:ind w:left="0" w:firstLine="0"/>
        <w:rPr>
          <w:color w:val="7F7F7F" w:themeColor="background1" w:themeShade="7F"/>
        </w:rPr>
      </w:pPr>
      <w:bookmarkStart w:id="510" w:name="_Toc95925002"/>
      <w:r>
        <w:rPr>
          <w:color w:val="7F7F7F" w:themeColor="text1" w:themeTint="80"/>
        </w:rPr>
        <w:t>24.1</w:t>
      </w:r>
      <w:r>
        <w:tab/>
      </w:r>
      <w:r>
        <w:rPr>
          <w:color w:val="7F7F7F" w:themeColor="text1" w:themeTint="80"/>
        </w:rPr>
        <w:t>Доклад от оперативна проверка</w:t>
      </w:r>
      <w:bookmarkEnd w:id="507"/>
      <w:bookmarkEnd w:id="508"/>
      <w:bookmarkEnd w:id="509"/>
      <w:bookmarkEnd w:id="510"/>
    </w:p>
    <w:p w14:paraId="2BD1C549" w14:textId="77777777" w:rsidR="008907F4" w:rsidRPr="00B217B2" w:rsidRDefault="2FA6B974" w:rsidP="2FA6B974">
      <w:pPr>
        <w:rPr>
          <w:color w:val="7F7F7F" w:themeColor="background1" w:themeShade="7F"/>
        </w:rPr>
      </w:pPr>
      <w:bookmarkStart w:id="511" w:name="_Toc529197746"/>
      <w:r>
        <w:rPr>
          <w:color w:val="7F7F7F" w:themeColor="background1" w:themeShade="7F"/>
        </w:rPr>
        <w:t xml:space="preserve">Не е приложимо </w:t>
      </w:r>
    </w:p>
    <w:p w14:paraId="298A4089" w14:textId="77777777" w:rsidR="008907F4" w:rsidRPr="00E406AE" w:rsidRDefault="008907F4" w:rsidP="008907F4">
      <w:pPr>
        <w:pStyle w:val="Heading5"/>
      </w:pPr>
      <w:bookmarkStart w:id="512" w:name="_Toc24116149"/>
      <w:bookmarkStart w:id="513" w:name="_Toc24126628"/>
      <w:bookmarkStart w:id="514" w:name="_Toc95925003"/>
      <w:r>
        <w:lastRenderedPageBreak/>
        <w:t>24.2</w:t>
      </w:r>
      <w:r>
        <w:tab/>
        <w:t>Сертификат за финансовия отчет (СФО)</w:t>
      </w:r>
      <w:bookmarkEnd w:id="511"/>
      <w:bookmarkEnd w:id="512"/>
      <w:bookmarkEnd w:id="513"/>
      <w:bookmarkEnd w:id="514"/>
    </w:p>
    <w:p w14:paraId="37DA9865" w14:textId="77777777" w:rsidR="008907F4" w:rsidRDefault="2FA6B974" w:rsidP="008907F4">
      <w:r>
        <w:t>При необходимост (вж. Техническите спецификации, точка 4.3) бенефициерите трябва да представят сертификати за финансовите си отчети (СФО) в съответствие с графика, прага и условията, посочени в Техническите спецификации.</w:t>
      </w:r>
    </w:p>
    <w:p w14:paraId="58151F40" w14:textId="77777777" w:rsidR="008907F4" w:rsidRPr="002E6275" w:rsidRDefault="2FA6B974" w:rsidP="008907F4">
      <w:r>
        <w:t>Координаторът трябва да ги представи като част от периодичния отчет (вж. член 21).</w:t>
      </w:r>
    </w:p>
    <w:p w14:paraId="3D5CBBCF" w14:textId="77777777" w:rsidR="008907F4" w:rsidRDefault="008907F4" w:rsidP="008907F4">
      <w:r>
        <w:rPr>
          <w:color w:val="444444"/>
          <w:shd w:val="clear" w:color="auto" w:fill="FFFFFF"/>
        </w:rPr>
        <w:t xml:space="preserve">Ако праговете са надхвърлени, бенефициерите трябва да предоставят копия на съответните фактури и разходооправдателни документи, доказващи допустимостта на разходите. </w:t>
      </w:r>
    </w:p>
    <w:p w14:paraId="299DBAB5" w14:textId="77777777" w:rsidR="008907F4" w:rsidRPr="002E6275" w:rsidRDefault="2FA6B974" w:rsidP="008907F4">
      <w:r>
        <w:t>Сертификатите трябва да бъдат съставени по образеца в приложение 9, да покриват разходите, декларирани въз основа на действителните разходи и разходи съгласно обичайните практики за счетоводно отчитане на разходите (ако има такива), и да отговарят на следните условия:</w:t>
      </w:r>
    </w:p>
    <w:p w14:paraId="231088AC" w14:textId="77777777" w:rsidR="008907F4" w:rsidRPr="002E6275" w:rsidRDefault="2FA6B974" w:rsidP="00A61F21">
      <w:pPr>
        <w:pStyle w:val="ListParagraph"/>
        <w:numPr>
          <w:ilvl w:val="0"/>
          <w:numId w:val="53"/>
        </w:numPr>
      </w:pPr>
      <w:r>
        <w:t>да са издадени от квалифициран одобрен външен одитор, който е независим и спазва изискванията в Директива 2006/43/ЕО (или за обществени органи: от компетентен независим държавен служител);</w:t>
      </w:r>
    </w:p>
    <w:p w14:paraId="4C57FCEF" w14:textId="77777777" w:rsidR="008907F4" w:rsidRPr="004674A3" w:rsidRDefault="2FA6B974" w:rsidP="00A61F21">
      <w:pPr>
        <w:pStyle w:val="ListParagraph"/>
        <w:numPr>
          <w:ilvl w:val="0"/>
          <w:numId w:val="53"/>
        </w:numPr>
      </w:pPr>
      <w:r>
        <w:t>проверката трябва да бъде извършена в съответствие с най-високите професионални стандарти, за да се гарантира,</w:t>
      </w:r>
      <w:r>
        <w:rPr>
          <w:sz w:val="20"/>
          <w:szCs w:val="20"/>
        </w:rPr>
        <w:t xml:space="preserve"> </w:t>
      </w:r>
      <w:r>
        <w:t>че финансовите отчети отговарят на разпоредбите в настоящото споразумение и че декларираните разходи са допустими.</w:t>
      </w:r>
    </w:p>
    <w:p w14:paraId="668F3D7B" w14:textId="77777777" w:rsidR="008907F4" w:rsidRDefault="2FA6B974" w:rsidP="2FA6B974">
      <w:pPr>
        <w:autoSpaceDE w:val="0"/>
        <w:autoSpaceDN w:val="0"/>
        <w:adjustRightInd w:val="0"/>
        <w:rPr>
          <w:rFonts w:eastAsia="Times New Roman"/>
        </w:rPr>
      </w:pPr>
      <w:r>
        <w:t>Сертификатите не засягат правото на предоставящия орган да извършва свои проверки, прегледи или одити, нито възпрепятстват Европейската сметна палата (ECA), Европейската прокуратура (EPPO) или Европейската служба за борба с измамите (OLAF) да използват прерогативите си за провеждане на одити и разследвания по споразумението (вж. член 25).</w:t>
      </w:r>
    </w:p>
    <w:p w14:paraId="20367DAA" w14:textId="0B30A998" w:rsidR="008907F4" w:rsidRPr="009C560F" w:rsidRDefault="2FA6B974" w:rsidP="2FA6B974">
      <w:pPr>
        <w:rPr>
          <w:rFonts w:eastAsia="Calibri" w:cs="Times New Roman"/>
        </w:rPr>
      </w:pPr>
      <w:r>
        <w:t>Ако разходите (или част от тях) вече са били одитирани от предоставящия орган, тези разходи не трябва да бъдат включени в сертификата и няма да бъдат отчетени за изчисляване на прага (ако има такъв).</w:t>
      </w:r>
    </w:p>
    <w:p w14:paraId="657F9E66" w14:textId="77777777" w:rsidR="008907F4" w:rsidRPr="00B217B2" w:rsidRDefault="008907F4" w:rsidP="2FA6B974">
      <w:pPr>
        <w:pStyle w:val="Heading5"/>
        <w:rPr>
          <w:color w:val="7F7F7F" w:themeColor="background1" w:themeShade="7F"/>
        </w:rPr>
      </w:pPr>
      <w:bookmarkStart w:id="515" w:name="_Toc529197747"/>
      <w:bookmarkStart w:id="516" w:name="_Toc24116150"/>
      <w:bookmarkStart w:id="517" w:name="_Toc24126629"/>
      <w:bookmarkStart w:id="518" w:name="_Toc95925004"/>
      <w:r>
        <w:rPr>
          <w:color w:val="7F7F7F" w:themeColor="text1" w:themeTint="80"/>
        </w:rPr>
        <w:t>24.3</w:t>
      </w:r>
      <w:r>
        <w:tab/>
      </w:r>
      <w:r>
        <w:rPr>
          <w:color w:val="7F7F7F" w:themeColor="text1" w:themeTint="80"/>
        </w:rPr>
        <w:t>Сертификат за съответствие на обичайните практики за счетоводно отчитане на разходите</w:t>
      </w:r>
      <w:bookmarkEnd w:id="515"/>
      <w:bookmarkEnd w:id="516"/>
      <w:bookmarkEnd w:id="517"/>
      <w:bookmarkEnd w:id="518"/>
    </w:p>
    <w:p w14:paraId="6BEC9F5F" w14:textId="77777777" w:rsidR="008907F4" w:rsidRPr="00B217B2" w:rsidRDefault="2FA6B974" w:rsidP="2FA6B974">
      <w:pPr>
        <w:rPr>
          <w:strike/>
          <w:color w:val="7F7F7F" w:themeColor="background1" w:themeShade="7F"/>
        </w:rPr>
      </w:pPr>
      <w:r>
        <w:rPr>
          <w:color w:val="7F7F7F" w:themeColor="background1" w:themeShade="7F"/>
        </w:rPr>
        <w:t xml:space="preserve">Не е приложимо </w:t>
      </w:r>
    </w:p>
    <w:p w14:paraId="6FAAE410" w14:textId="77777777" w:rsidR="008907F4" w:rsidRPr="00B217B2" w:rsidRDefault="008907F4" w:rsidP="2FA6B974">
      <w:pPr>
        <w:pStyle w:val="Heading5"/>
        <w:rPr>
          <w:color w:val="7F7F7F" w:themeColor="background1" w:themeShade="7F"/>
        </w:rPr>
      </w:pPr>
      <w:bookmarkStart w:id="519" w:name="_Toc95925005"/>
      <w:bookmarkStart w:id="520" w:name="_Toc24116151"/>
      <w:bookmarkStart w:id="521" w:name="_Toc24126630"/>
      <w:bookmarkStart w:id="522" w:name="_Toc529197748"/>
      <w:bookmarkStart w:id="523" w:name="_Toc42972430"/>
      <w:bookmarkStart w:id="524" w:name="_Toc529197749"/>
      <w:bookmarkStart w:id="525" w:name="_Toc24116152"/>
      <w:bookmarkStart w:id="526" w:name="_Toc24126631"/>
      <w:r>
        <w:rPr>
          <w:color w:val="7F7F7F" w:themeColor="text1" w:themeTint="80"/>
        </w:rPr>
        <w:t>24.4</w:t>
      </w:r>
      <w:r>
        <w:tab/>
      </w:r>
      <w:bookmarkStart w:id="527" w:name="_Toc31233635"/>
      <w:r>
        <w:rPr>
          <w:color w:val="7F7F7F" w:themeColor="text1" w:themeTint="80"/>
        </w:rPr>
        <w:t>Одит на системи и процеси</w:t>
      </w:r>
      <w:bookmarkEnd w:id="527"/>
      <w:bookmarkEnd w:id="519"/>
    </w:p>
    <w:p w14:paraId="09FC3107" w14:textId="77777777" w:rsidR="008907F4" w:rsidRPr="00B217B2" w:rsidRDefault="2FA6B974" w:rsidP="2FA6B974">
      <w:pPr>
        <w:rPr>
          <w:color w:val="7F7F7F" w:themeColor="background1" w:themeShade="7F"/>
        </w:rPr>
      </w:pPr>
      <w:r>
        <w:rPr>
          <w:color w:val="7F7F7F" w:themeColor="background1" w:themeShade="7F"/>
        </w:rPr>
        <w:t>Не е приложимо</w:t>
      </w:r>
    </w:p>
    <w:p w14:paraId="2AF18CB8" w14:textId="6E2F9A8D" w:rsidR="008907F4" w:rsidRPr="00E406AE" w:rsidRDefault="008907F4" w:rsidP="008907F4">
      <w:pPr>
        <w:pStyle w:val="Heading5"/>
      </w:pPr>
      <w:bookmarkStart w:id="528" w:name="_Toc95925006"/>
      <w:bookmarkEnd w:id="520"/>
      <w:bookmarkEnd w:id="521"/>
      <w:bookmarkEnd w:id="522"/>
      <w:bookmarkEnd w:id="523"/>
      <w:r>
        <w:t>24.5</w:t>
      </w:r>
      <w:r>
        <w:tab/>
        <w:t>Последствия при неизпълнение</w:t>
      </w:r>
      <w:bookmarkEnd w:id="524"/>
      <w:bookmarkEnd w:id="525"/>
      <w:bookmarkEnd w:id="526"/>
      <w:bookmarkEnd w:id="528"/>
      <w:r>
        <w:t xml:space="preserve"> </w:t>
      </w:r>
    </w:p>
    <w:p w14:paraId="0FB04B02" w14:textId="77777777" w:rsidR="008907F4" w:rsidRDefault="2FA6B974" w:rsidP="008907F4">
      <w:pPr>
        <w:rPr>
          <w:bCs/>
          <w:szCs w:val="24"/>
        </w:rPr>
      </w:pPr>
      <w:r>
        <w:t>Ако даден бенефициер не представи сертификат за финансовите отчети (СФО) или сертификатът не е признат, приетата вноска от ЕС към разходите ще бъде ограничена, за да отрази прага по СФО.</w:t>
      </w:r>
    </w:p>
    <w:p w14:paraId="793A4F3C" w14:textId="77777777" w:rsidR="008907F4" w:rsidRDefault="2FA6B974" w:rsidP="008907F4">
      <w:r>
        <w:lastRenderedPageBreak/>
        <w:t>Ако даден бенефициер наруши което и да е от другите си задължения по настоящия член, предоставящият орган може да приложи мерките, описани в глава 5.</w:t>
      </w:r>
      <w:r>
        <w:rPr>
          <w:i/>
          <w:iCs/>
          <w:color w:val="FF0000"/>
        </w:rPr>
        <w:t xml:space="preserve"> </w:t>
      </w:r>
    </w:p>
    <w:p w14:paraId="4CFEA3E3" w14:textId="77777777" w:rsidR="008907F4" w:rsidRPr="00F6377D" w:rsidRDefault="2FA6B974" w:rsidP="008907F4">
      <w:pPr>
        <w:pStyle w:val="Heading4"/>
      </w:pPr>
      <w:bookmarkStart w:id="529" w:name="_Toc435109019"/>
      <w:bookmarkStart w:id="530" w:name="_Toc524697235"/>
      <w:bookmarkStart w:id="531" w:name="_Toc529197753"/>
      <w:bookmarkStart w:id="532" w:name="_Toc530035917"/>
      <w:bookmarkStart w:id="533" w:name="_Toc24116153"/>
      <w:bookmarkStart w:id="534" w:name="_Toc24126632"/>
      <w:bookmarkStart w:id="535" w:name="_Toc95925007"/>
      <w:r>
        <w:t>ЧЛЕН 25 — ПРОВЕРКИ, ПРЕГЛЕДИ, ОДИТИ И РАЗСЛЕДВАНИЯ — РАЗШИРЯВАНЕ НА ОБХВАТА НА КОНСТАТАЦИИТЕ</w:t>
      </w:r>
      <w:bookmarkEnd w:id="529"/>
      <w:bookmarkEnd w:id="530"/>
      <w:bookmarkEnd w:id="531"/>
      <w:bookmarkEnd w:id="532"/>
      <w:bookmarkEnd w:id="533"/>
      <w:bookmarkEnd w:id="534"/>
      <w:bookmarkEnd w:id="535"/>
    </w:p>
    <w:p w14:paraId="5FE2154D" w14:textId="77777777" w:rsidR="008907F4" w:rsidRPr="0034034A" w:rsidRDefault="008907F4" w:rsidP="2FA6B974">
      <w:pPr>
        <w:pStyle w:val="Heading5"/>
        <w:rPr>
          <w:i/>
          <w:iCs/>
        </w:rPr>
      </w:pPr>
      <w:bookmarkStart w:id="536" w:name="_Toc24116154"/>
      <w:bookmarkStart w:id="537" w:name="_Toc24126633"/>
      <w:bookmarkStart w:id="538" w:name="_Toc95925008"/>
      <w:bookmarkStart w:id="539" w:name="_Toc435109020"/>
      <w:bookmarkStart w:id="540" w:name="_Toc529197754"/>
      <w:r>
        <w:t>25.1</w:t>
      </w:r>
      <w:r>
        <w:tab/>
        <w:t>Проверки, прегледи и одити от страна на предоставящия орган</w:t>
      </w:r>
      <w:bookmarkEnd w:id="536"/>
      <w:bookmarkEnd w:id="537"/>
      <w:bookmarkEnd w:id="538"/>
      <w:r>
        <w:t xml:space="preserve"> </w:t>
      </w:r>
      <w:bookmarkEnd w:id="539"/>
      <w:bookmarkEnd w:id="540"/>
    </w:p>
    <w:p w14:paraId="7F582301" w14:textId="77777777" w:rsidR="008907F4" w:rsidRPr="00891BE7" w:rsidRDefault="2FA6B974" w:rsidP="2FA6B974">
      <w:pPr>
        <w:tabs>
          <w:tab w:val="left" w:pos="851"/>
        </w:tabs>
        <w:ind w:left="851" w:hanging="851"/>
        <w:rPr>
          <w:b/>
          <w:bCs/>
        </w:rPr>
      </w:pPr>
      <w:r>
        <w:rPr>
          <w:b/>
          <w:bCs/>
        </w:rPr>
        <w:t>25.1.1 Вътрешни проверки</w:t>
      </w:r>
    </w:p>
    <w:p w14:paraId="7343DD1D" w14:textId="33976E46" w:rsidR="008907F4" w:rsidRPr="00891BE7" w:rsidRDefault="2FA6B974" w:rsidP="008907F4">
      <w:pPr>
        <w:tabs>
          <w:tab w:val="left" w:pos="851"/>
        </w:tabs>
        <w:rPr>
          <w:szCs w:val="24"/>
        </w:rPr>
      </w:pPr>
      <w:r>
        <w:t xml:space="preserve">По време на изпълнение на дейността и след нейното приключване предоставящият орган може да проверява надлежното изпълнение на дейността и спазването на задълженията по споразумението, включително оценка на разходите и вноските, физическите резултати и отчетите. </w:t>
      </w:r>
    </w:p>
    <w:p w14:paraId="0D869634" w14:textId="77777777" w:rsidR="008907F4" w:rsidRPr="00891BE7" w:rsidRDefault="2FA6B974" w:rsidP="2FA6B974">
      <w:pPr>
        <w:tabs>
          <w:tab w:val="left" w:pos="851"/>
        </w:tabs>
        <w:ind w:left="851" w:hanging="851"/>
        <w:rPr>
          <w:b/>
          <w:bCs/>
        </w:rPr>
      </w:pPr>
      <w:r>
        <w:rPr>
          <w:b/>
          <w:bCs/>
        </w:rPr>
        <w:t>25.1.2 Прегледи на проекта</w:t>
      </w:r>
    </w:p>
    <w:p w14:paraId="3C99071D" w14:textId="56F76058" w:rsidR="00A837CA" w:rsidRPr="00891BE7" w:rsidRDefault="2FA6B974" w:rsidP="00A837CA">
      <w:pPr>
        <w:tabs>
          <w:tab w:val="left" w:pos="851"/>
        </w:tabs>
        <w:rPr>
          <w:szCs w:val="24"/>
        </w:rPr>
      </w:pPr>
      <w:r>
        <w:t xml:space="preserve">Предоставящият орган може да извършва прегледи на надлежното изпълнение на дейността и спазването на задълженията по споразумението (общи прегледи на проекта или прегледи по конкретни въпроси). </w:t>
      </w:r>
    </w:p>
    <w:p w14:paraId="55B2B176" w14:textId="77777777" w:rsidR="00A837CA" w:rsidRPr="00891BE7" w:rsidRDefault="2FA6B974" w:rsidP="00A837CA">
      <w:pPr>
        <w:rPr>
          <w:szCs w:val="24"/>
        </w:rPr>
      </w:pPr>
      <w:r>
        <w:t>Тези прегледи на проекта може да започнат по време на изпълнението на дейността и до срока, посочен в Техническите спецификации (вж. точка 6). Координаторът или съответният бенефициер ще бъде официално уведомен за тях и ще се счита, че те започват на датата на уведомлението.</w:t>
      </w:r>
    </w:p>
    <w:p w14:paraId="434ED21C" w14:textId="75420D3B" w:rsidR="00A837CA" w:rsidRPr="00891BE7" w:rsidRDefault="2FA6B974" w:rsidP="00A837CA">
      <w:pPr>
        <w:rPr>
          <w:szCs w:val="24"/>
        </w:rPr>
      </w:pPr>
      <w:r>
        <w:t xml:space="preserve">Ако е необходимо, предоставящият орган може да бъде подпомогнат от независими външни експерти. Ако той използва външни експерти, координаторът или съответният бенефициер ще бъде информиран и ще има правото на възражение на основание на търговска поверителност или конфликт на интереси. </w:t>
      </w:r>
    </w:p>
    <w:p w14:paraId="41DF58A2" w14:textId="0D71BC8A" w:rsidR="00A837CA" w:rsidRDefault="2FA6B974" w:rsidP="00A837CA">
      <w:pPr>
        <w:tabs>
          <w:tab w:val="left" w:pos="851"/>
        </w:tabs>
        <w:rPr>
          <w:szCs w:val="24"/>
        </w:rPr>
      </w:pPr>
      <w:r>
        <w:t>Координаторът или съответният бенефициер сътрудничат надлежно и представят в искания краен срок всякаква информация и данни в допълнение към вече представените физически резултати и отчети (включително информация за ползването на ресурси). Предоставящият орган може да изиска бенефициерите да му предоставят такава информация директно. Чувствителната информация и документи се третират в съответствие с член 13.</w:t>
      </w:r>
    </w:p>
    <w:p w14:paraId="30581E3D" w14:textId="77777777" w:rsidR="00A837CA" w:rsidRDefault="2FA6B974" w:rsidP="00A837CA">
      <w:pPr>
        <w:tabs>
          <w:tab w:val="left" w:pos="851"/>
        </w:tabs>
        <w:rPr>
          <w:szCs w:val="24"/>
        </w:rPr>
      </w:pPr>
      <w:r>
        <w:t xml:space="preserve">Координаторът или съответният бенефициер може да бъде поканен да участва в срещи, включително и с външните експерти. </w:t>
      </w:r>
    </w:p>
    <w:p w14:paraId="3F8CC667" w14:textId="77777777" w:rsidR="00A837CA" w:rsidRPr="00AC6F78" w:rsidRDefault="2FA6B974" w:rsidP="00A837CA">
      <w:pPr>
        <w:tabs>
          <w:tab w:val="left" w:pos="851"/>
        </w:tabs>
        <w:rPr>
          <w:szCs w:val="24"/>
        </w:rPr>
      </w:pPr>
      <w:r>
        <w:t xml:space="preserve">При </w:t>
      </w:r>
      <w:r>
        <w:rPr>
          <w:b/>
          <w:bCs/>
        </w:rPr>
        <w:t>посещения на място</w:t>
      </w:r>
      <w:r>
        <w:t xml:space="preserve"> съответният бенефициер трябва да осигури достъп до своите обекти и помещения (включително и на външните експерти) и да гарантира, че исканата информация е налична.</w:t>
      </w:r>
    </w:p>
    <w:p w14:paraId="16A438C2" w14:textId="77777777" w:rsidR="00A837CA" w:rsidRDefault="2FA6B974" w:rsidP="00A837CA">
      <w:pPr>
        <w:tabs>
          <w:tab w:val="left" w:pos="851"/>
        </w:tabs>
        <w:rPr>
          <w:szCs w:val="24"/>
        </w:rPr>
      </w:pPr>
      <w:r>
        <w:t>Представената информация трябва да е точна, прецизна, пълна и в изисквания формат, в т.ч. електронен формат.</w:t>
      </w:r>
    </w:p>
    <w:p w14:paraId="35222E10" w14:textId="77777777" w:rsidR="00A837CA" w:rsidRPr="00891BE7" w:rsidRDefault="2FA6B974" w:rsidP="00A837CA">
      <w:pPr>
        <w:tabs>
          <w:tab w:val="left" w:pos="851"/>
        </w:tabs>
        <w:autoSpaceDE w:val="0"/>
        <w:autoSpaceDN w:val="0"/>
        <w:adjustRightInd w:val="0"/>
        <w:rPr>
          <w:szCs w:val="24"/>
        </w:rPr>
      </w:pPr>
      <w:r>
        <w:t xml:space="preserve">Въз основа на констатациите от прегледа се изготвя </w:t>
      </w:r>
      <w:r>
        <w:rPr>
          <w:b/>
          <w:bCs/>
        </w:rPr>
        <w:t>доклад за прегледа на проекта</w:t>
      </w:r>
      <w:r>
        <w:t xml:space="preserve">. </w:t>
      </w:r>
    </w:p>
    <w:p w14:paraId="7B4DEF81" w14:textId="3F525036" w:rsidR="00A837CA" w:rsidRPr="00891BE7" w:rsidRDefault="2FA6B974" w:rsidP="00A837CA">
      <w:pPr>
        <w:tabs>
          <w:tab w:val="left" w:pos="851"/>
        </w:tabs>
        <w:autoSpaceDE w:val="0"/>
        <w:autoSpaceDN w:val="0"/>
        <w:adjustRightInd w:val="0"/>
        <w:rPr>
          <w:szCs w:val="24"/>
        </w:rPr>
      </w:pPr>
      <w:r>
        <w:lastRenderedPageBreak/>
        <w:t xml:space="preserve">Предоставящият орган уведомява официално относно доклада за прегледа на проекта координатора или съответния бенефициер, който може да представи коментари в срок от 30 дни от получаване на уведомлението. </w:t>
      </w:r>
    </w:p>
    <w:p w14:paraId="77EA23F1" w14:textId="77777777" w:rsidR="00A837CA" w:rsidRPr="00891BE7" w:rsidRDefault="2FA6B974" w:rsidP="00A837CA">
      <w:pPr>
        <w:tabs>
          <w:tab w:val="left" w:pos="851"/>
        </w:tabs>
        <w:autoSpaceDE w:val="0"/>
        <w:autoSpaceDN w:val="0"/>
        <w:adjustRightInd w:val="0"/>
        <w:rPr>
          <w:szCs w:val="24"/>
        </w:rPr>
      </w:pPr>
      <w:r>
        <w:t xml:space="preserve">Прегледите на проекта (включително докладите за прегледите на проекта) се изготвят на езика на споразумението. </w:t>
      </w:r>
    </w:p>
    <w:p w14:paraId="654F36F4" w14:textId="6948F357" w:rsidR="008907F4" w:rsidRPr="00B27946" w:rsidRDefault="008907F4" w:rsidP="2FA6B974">
      <w:pPr>
        <w:tabs>
          <w:tab w:val="left" w:pos="851"/>
          <w:tab w:val="left" w:pos="1134"/>
        </w:tabs>
        <w:autoSpaceDE w:val="0"/>
        <w:autoSpaceDN w:val="0"/>
        <w:adjustRightInd w:val="0"/>
        <w:rPr>
          <w:b/>
          <w:bCs/>
        </w:rPr>
      </w:pPr>
      <w:r>
        <w:rPr>
          <w:b/>
          <w:bCs/>
        </w:rPr>
        <w:t>25.1.3</w:t>
      </w:r>
      <w:r>
        <w:tab/>
      </w:r>
      <w:r>
        <w:rPr>
          <w:b/>
          <w:bCs/>
        </w:rPr>
        <w:t>Одити</w:t>
      </w:r>
    </w:p>
    <w:p w14:paraId="0618A9D1" w14:textId="2F4537F9" w:rsidR="00A837CA" w:rsidRPr="00891BE7" w:rsidRDefault="2FA6B974" w:rsidP="00A837CA">
      <w:pPr>
        <w:tabs>
          <w:tab w:val="left" w:pos="1134"/>
        </w:tabs>
        <w:rPr>
          <w:szCs w:val="24"/>
        </w:rPr>
      </w:pPr>
      <w:r>
        <w:t xml:space="preserve">Предоставящият орган може да извършва одити на надлежното изпълнение на дейността и спазването на задълженията по споразумението. </w:t>
      </w:r>
    </w:p>
    <w:p w14:paraId="7B37647B" w14:textId="77777777" w:rsidR="00A837CA" w:rsidRPr="00891BE7" w:rsidRDefault="2FA6B974" w:rsidP="00A837CA">
      <w:pPr>
        <w:rPr>
          <w:szCs w:val="24"/>
        </w:rPr>
      </w:pPr>
      <w:r>
        <w:t>Тези одити може да започнат по време на изпълнението на дейността и до срока, посочен в Техническите спецификации (вж. точка 6). Съответният бенефициер ще бъде официално уведомен за тях и ще се счита, че те започват на датата на уведомлението.</w:t>
      </w:r>
    </w:p>
    <w:p w14:paraId="1716AD4F" w14:textId="2FDB0420" w:rsidR="00A837CA" w:rsidRPr="003316CF" w:rsidRDefault="2FA6B974" w:rsidP="00A837CA">
      <w:pPr>
        <w:rPr>
          <w:szCs w:val="24"/>
        </w:rPr>
      </w:pPr>
      <w:r>
        <w:t xml:space="preserve">Предоставящият орган може да използва своята служба за одит, да възлага извършването на одити на централизирана служба или да използва външни одиторски дружества. Ако използва външно дружество, съответният бенефициер ще бъде информиран и ще има правото да възрази на основание на търговска поверителност или конфликт на интереси. </w:t>
      </w:r>
    </w:p>
    <w:p w14:paraId="5C037575" w14:textId="77777777" w:rsidR="00A837CA" w:rsidRPr="003316CF" w:rsidRDefault="2FA6B974" w:rsidP="00A837CA">
      <w:pPr>
        <w:tabs>
          <w:tab w:val="left" w:pos="851"/>
        </w:tabs>
        <w:rPr>
          <w:szCs w:val="24"/>
        </w:rPr>
      </w:pPr>
      <w:r>
        <w:t>Съответният бенефициер сътрудничи надлежно и предоставя в искания краен срок всякаква информация (включително пълни счетоводни отчети, индивидуални фишове за заплати или други лични данни), за да се провери спазването на споразумението. Чувствителната информация и документи се третират в съответствие с член 13.</w:t>
      </w:r>
    </w:p>
    <w:p w14:paraId="0BBDE778" w14:textId="77777777" w:rsidR="00A837CA" w:rsidRPr="005E41F4" w:rsidRDefault="2FA6B974" w:rsidP="00A837CA">
      <w:pPr>
        <w:tabs>
          <w:tab w:val="left" w:pos="851"/>
        </w:tabs>
        <w:rPr>
          <w:szCs w:val="24"/>
        </w:rPr>
      </w:pPr>
      <w:r>
        <w:t xml:space="preserve">При </w:t>
      </w:r>
      <w:r>
        <w:rPr>
          <w:b/>
          <w:bCs/>
        </w:rPr>
        <w:t>посещения на място</w:t>
      </w:r>
      <w:r>
        <w:t xml:space="preserve"> съответният бенефициер трябва да осигури достъп до своите обекти и помещения (включително и на външното одиторско дружество) и да гарантира, че исканата информация е налична.</w:t>
      </w:r>
    </w:p>
    <w:p w14:paraId="0F659188" w14:textId="77777777" w:rsidR="00A837CA" w:rsidRPr="005E41F4" w:rsidRDefault="2FA6B974" w:rsidP="00A837CA">
      <w:pPr>
        <w:tabs>
          <w:tab w:val="left" w:pos="851"/>
        </w:tabs>
        <w:rPr>
          <w:szCs w:val="24"/>
        </w:rPr>
      </w:pPr>
      <w:r>
        <w:t>Представената информация трябва да е точна, прецизна, пълна и в изисквания формат, в т.ч. електронен формат.</w:t>
      </w:r>
    </w:p>
    <w:p w14:paraId="468CC4F4" w14:textId="77777777" w:rsidR="00A837CA" w:rsidRPr="005E41F4" w:rsidRDefault="2FA6B974" w:rsidP="00A837CA">
      <w:pPr>
        <w:tabs>
          <w:tab w:val="left" w:pos="851"/>
        </w:tabs>
        <w:rPr>
          <w:szCs w:val="24"/>
        </w:rPr>
      </w:pPr>
      <w:r>
        <w:t xml:space="preserve">На базата на одитните констатации се изготвя </w:t>
      </w:r>
      <w:r>
        <w:rPr>
          <w:b/>
          <w:bCs/>
        </w:rPr>
        <w:t>проект на одитен доклад</w:t>
      </w:r>
      <w:r>
        <w:t xml:space="preserve">. </w:t>
      </w:r>
    </w:p>
    <w:p w14:paraId="216CA779" w14:textId="77777777" w:rsidR="00A837CA" w:rsidRPr="005E41F4" w:rsidRDefault="2FA6B974" w:rsidP="00A837CA">
      <w:pPr>
        <w:tabs>
          <w:tab w:val="left" w:pos="851"/>
        </w:tabs>
        <w:autoSpaceDE w:val="0"/>
        <w:autoSpaceDN w:val="0"/>
        <w:adjustRightInd w:val="0"/>
        <w:rPr>
          <w:szCs w:val="24"/>
        </w:rPr>
      </w:pPr>
      <w:r>
        <w:t xml:space="preserve">Одиторите представят официално проекта на одитния доклад на съответния бенефициер, който може да представи коментари в срок от 30 дни от получаване на уведомлението (процедура по изразяване на възражения по одита). </w:t>
      </w:r>
    </w:p>
    <w:p w14:paraId="606196D6" w14:textId="77777777" w:rsidR="00A837CA" w:rsidRPr="005E41F4" w:rsidRDefault="2FA6B974" w:rsidP="00A837CA">
      <w:pPr>
        <w:tabs>
          <w:tab w:val="left" w:pos="851"/>
        </w:tabs>
        <w:autoSpaceDE w:val="0"/>
        <w:autoSpaceDN w:val="0"/>
        <w:adjustRightInd w:val="0"/>
        <w:rPr>
          <w:szCs w:val="24"/>
        </w:rPr>
      </w:pPr>
      <w:r>
        <w:rPr>
          <w:b/>
          <w:bCs/>
        </w:rPr>
        <w:t>Окончателният одитен доклад</w:t>
      </w:r>
      <w:r>
        <w:t xml:space="preserve"> отразява коментарите, представени от съответния бенефициер, и му се предоставя официално.</w:t>
      </w:r>
    </w:p>
    <w:p w14:paraId="122A69E4" w14:textId="1AE46D55" w:rsidR="00A837CA" w:rsidRPr="005E41F4" w:rsidRDefault="2FA6B974" w:rsidP="00A837CA">
      <w:pPr>
        <w:tabs>
          <w:tab w:val="left" w:pos="851"/>
        </w:tabs>
        <w:autoSpaceDE w:val="0"/>
        <w:autoSpaceDN w:val="0"/>
        <w:adjustRightInd w:val="0"/>
        <w:rPr>
          <w:szCs w:val="24"/>
        </w:rPr>
      </w:pPr>
      <w:r>
        <w:t>Одитите (включително одитните доклади) са на езика на споразумението.</w:t>
      </w:r>
    </w:p>
    <w:p w14:paraId="2AFC2661" w14:textId="77777777" w:rsidR="008907F4" w:rsidRPr="00A837CA" w:rsidRDefault="008907F4" w:rsidP="008907F4">
      <w:pPr>
        <w:pStyle w:val="Heading5"/>
      </w:pPr>
      <w:bookmarkStart w:id="541" w:name="_Toc24116155"/>
      <w:bookmarkStart w:id="542" w:name="_Toc24126634"/>
      <w:bookmarkStart w:id="543" w:name="_Toc95925009"/>
      <w:r>
        <w:t>25.2</w:t>
      </w:r>
      <w:r>
        <w:tab/>
        <w:t>Европейската комисия извършва проверки, прегледи и одити на безвъзмездни средства на други предоставящи органи</w:t>
      </w:r>
      <w:bookmarkEnd w:id="541"/>
      <w:bookmarkEnd w:id="542"/>
      <w:bookmarkEnd w:id="543"/>
    </w:p>
    <w:p w14:paraId="5E96BA54" w14:textId="436CC0FF" w:rsidR="00A837CA" w:rsidRPr="003A3B98" w:rsidRDefault="00A837CA" w:rsidP="00A837CA">
      <w:pPr>
        <w:tabs>
          <w:tab w:val="left" w:pos="851"/>
          <w:tab w:val="left" w:pos="1134"/>
        </w:tabs>
      </w:pPr>
      <w:r>
        <w:rPr>
          <w:shd w:val="clear" w:color="auto" w:fill="CCFFFF"/>
        </w:rPr>
        <w:t>Европейската комисия</w:t>
      </w:r>
      <w:r>
        <w:t xml:space="preserve"> има същите права да извършва проверки, прегледи и одити като предоставящия орган.</w:t>
      </w:r>
    </w:p>
    <w:p w14:paraId="427E0ED3" w14:textId="77777777" w:rsidR="008907F4" w:rsidRPr="00B217B2" w:rsidRDefault="008907F4" w:rsidP="2FA6B974">
      <w:pPr>
        <w:pStyle w:val="Heading5"/>
        <w:rPr>
          <w:color w:val="7F7F7F" w:themeColor="background1" w:themeShade="7F"/>
        </w:rPr>
      </w:pPr>
      <w:bookmarkStart w:id="544" w:name="_Toc24116156"/>
      <w:bookmarkStart w:id="545" w:name="_Toc24126635"/>
      <w:bookmarkStart w:id="546" w:name="_Toc95925010"/>
      <w:r>
        <w:rPr>
          <w:color w:val="7F7F7F" w:themeColor="text1" w:themeTint="80"/>
        </w:rPr>
        <w:lastRenderedPageBreak/>
        <w:t>25.3</w:t>
      </w:r>
      <w:r>
        <w:tab/>
      </w:r>
      <w:r>
        <w:rPr>
          <w:color w:val="7F7F7F" w:themeColor="text1" w:themeTint="80"/>
        </w:rPr>
        <w:t>Достъп до документация за оценка на опростени форми на финансиране</w:t>
      </w:r>
      <w:bookmarkEnd w:id="544"/>
      <w:bookmarkEnd w:id="545"/>
      <w:bookmarkEnd w:id="546"/>
    </w:p>
    <w:p w14:paraId="790B7EE7" w14:textId="77777777" w:rsidR="008907F4" w:rsidRPr="00B217B2" w:rsidRDefault="2FA6B974" w:rsidP="2FA6B974">
      <w:pPr>
        <w:tabs>
          <w:tab w:val="left" w:pos="851"/>
        </w:tabs>
        <w:rPr>
          <w:i/>
          <w:iCs/>
          <w:color w:val="7F7F7F" w:themeColor="background1" w:themeShade="7F"/>
        </w:rPr>
      </w:pPr>
      <w:r>
        <w:rPr>
          <w:color w:val="7F7F7F" w:themeColor="background1" w:themeShade="7F"/>
        </w:rPr>
        <w:t>не е приложимо.</w:t>
      </w:r>
    </w:p>
    <w:p w14:paraId="49106458" w14:textId="77777777" w:rsidR="008907F4" w:rsidRPr="005E41F4" w:rsidRDefault="008907F4" w:rsidP="008907F4">
      <w:pPr>
        <w:pStyle w:val="Heading5"/>
      </w:pPr>
      <w:bookmarkStart w:id="547" w:name="_Toc435109021"/>
      <w:bookmarkStart w:id="548" w:name="_Toc529197755"/>
      <w:bookmarkStart w:id="549" w:name="_Toc24116157"/>
      <w:bookmarkStart w:id="550" w:name="_Toc24126636"/>
      <w:bookmarkStart w:id="551" w:name="_Toc95925011"/>
      <w:r>
        <w:t>25.4</w:t>
      </w:r>
      <w:r>
        <w:tab/>
      </w:r>
      <w:bookmarkEnd w:id="547"/>
      <w:bookmarkEnd w:id="548"/>
      <w:r>
        <w:t>Одити и разследвания на Европейската служба за борба с измамите (OLAF), Европейската прокуратура и Европейската сметна палата</w:t>
      </w:r>
      <w:bookmarkEnd w:id="549"/>
      <w:bookmarkEnd w:id="550"/>
      <w:bookmarkEnd w:id="551"/>
    </w:p>
    <w:p w14:paraId="14E66AB3" w14:textId="77777777" w:rsidR="008907F4" w:rsidRPr="00393D01" w:rsidRDefault="2FA6B974" w:rsidP="008907F4">
      <w:pPr>
        <w:tabs>
          <w:tab w:val="left" w:pos="851"/>
        </w:tabs>
        <w:rPr>
          <w:szCs w:val="24"/>
        </w:rPr>
      </w:pPr>
      <w:r>
        <w:t>Следните органи могат също да извършват проверки, прегледи, одити и разследвания — по време на дейността или след това:</w:t>
      </w:r>
    </w:p>
    <w:p w14:paraId="669809A0" w14:textId="77777777" w:rsidR="008907F4" w:rsidRPr="00393D01" w:rsidRDefault="008907F4" w:rsidP="2FA6B974">
      <w:pPr>
        <w:numPr>
          <w:ilvl w:val="0"/>
          <w:numId w:val="46"/>
        </w:numPr>
        <w:ind w:left="666"/>
        <w:rPr>
          <w:rFonts w:eastAsia="Calibri" w:cs="Times New Roman"/>
        </w:rPr>
      </w:pPr>
      <w:r>
        <w:t>Европейската служба за борба с измамите (OLAF) съгласно регламенти № 883/2013</w:t>
      </w:r>
      <w:r>
        <w:rPr>
          <w:rStyle w:val="FootnoteReference"/>
          <w:sz w:val="24"/>
          <w:szCs w:val="24"/>
        </w:rPr>
        <w:footnoteReference w:id="22"/>
      </w:r>
      <w:r>
        <w:t xml:space="preserve"> и № 2185/96</w:t>
      </w:r>
      <w:r>
        <w:rPr>
          <w:rStyle w:val="FootnoteReference"/>
          <w:sz w:val="24"/>
          <w:szCs w:val="24"/>
        </w:rPr>
        <w:footnoteReference w:id="23"/>
      </w:r>
      <w:r>
        <w:t>;</w:t>
      </w:r>
    </w:p>
    <w:p w14:paraId="71B62C98" w14:textId="77777777" w:rsidR="008907F4" w:rsidRPr="00393D01" w:rsidRDefault="2FA6B974" w:rsidP="2FA6B974">
      <w:pPr>
        <w:numPr>
          <w:ilvl w:val="0"/>
          <w:numId w:val="46"/>
        </w:numPr>
        <w:ind w:left="666"/>
        <w:rPr>
          <w:rFonts w:eastAsia="Calibri" w:cs="Times New Roman"/>
        </w:rPr>
      </w:pPr>
      <w:r>
        <w:t>Европейската прокуратура съгласно Регламент (ЕС) 2017/1939;</w:t>
      </w:r>
    </w:p>
    <w:p w14:paraId="74D9AB84" w14:textId="77777777" w:rsidR="008907F4" w:rsidRPr="00393D01" w:rsidRDefault="2FA6B974" w:rsidP="2FA6B974">
      <w:pPr>
        <w:numPr>
          <w:ilvl w:val="0"/>
          <w:numId w:val="46"/>
        </w:numPr>
        <w:ind w:left="666"/>
        <w:rPr>
          <w:rFonts w:eastAsia="Calibri" w:cs="Times New Roman"/>
        </w:rPr>
      </w:pPr>
      <w:r>
        <w:t>Европейската сметна палата (ЕСП) съгласно член 287 от Договора за функционирането на ЕС (ДФЕС) и член 257 от Финансовия регламент на ЕС — Регламент (ЕС) 2018/1046.</w:t>
      </w:r>
    </w:p>
    <w:p w14:paraId="5D95E129" w14:textId="77777777" w:rsidR="008907F4" w:rsidRDefault="2FA6B974" w:rsidP="008907F4">
      <w:pPr>
        <w:tabs>
          <w:tab w:val="left" w:pos="851"/>
        </w:tabs>
        <w:rPr>
          <w:szCs w:val="24"/>
        </w:rPr>
      </w:pPr>
      <w:r>
        <w:t>При поискване от тези органи съответният бенефициер предоставя пълна, вярна и цялостна информация (включително пълни счетоводни отчети, индивидуални фишове за заплати или други лични данни, включително в електронен формат) и достъп до обекти и помещения за</w:t>
      </w:r>
      <w:r>
        <w:rPr>
          <w:b/>
          <w:bCs/>
        </w:rPr>
        <w:t xml:space="preserve"> </w:t>
      </w:r>
      <w:r>
        <w:t>посещения на място или инспекции — както е предвидено в тези регламенти.</w:t>
      </w:r>
    </w:p>
    <w:p w14:paraId="59EBC59F" w14:textId="77777777" w:rsidR="008907F4" w:rsidRPr="00393D01" w:rsidRDefault="2FA6B974" w:rsidP="008907F4">
      <w:pPr>
        <w:tabs>
          <w:tab w:val="left" w:pos="851"/>
        </w:tabs>
        <w:rPr>
          <w:szCs w:val="24"/>
        </w:rPr>
      </w:pPr>
      <w:r>
        <w:t>За целта съответният бенефициер трябва да съхранява цялата относима информация, свързана с дейността, поне до срока, посочен в Техническите спецификации (точка 6) и при всички случаи до приключването на всички текущи проверки, прегледи, одити, разследвания, съдебни спорове или други подадени искове.</w:t>
      </w:r>
    </w:p>
    <w:p w14:paraId="45095BE6" w14:textId="4BD3AF0B" w:rsidR="008907F4" w:rsidRPr="003316CF" w:rsidRDefault="008907F4" w:rsidP="008907F4">
      <w:pPr>
        <w:pStyle w:val="Heading5"/>
      </w:pPr>
      <w:bookmarkStart w:id="552" w:name="_Toc529197758"/>
      <w:bookmarkStart w:id="553" w:name="_Toc24116158"/>
      <w:bookmarkStart w:id="554" w:name="_Toc24126637"/>
      <w:bookmarkStart w:id="555" w:name="_Toc95925012"/>
      <w:r>
        <w:t>25.5</w:t>
      </w:r>
      <w:r>
        <w:tab/>
      </w:r>
      <w:bookmarkStart w:id="556" w:name="_Toc435109024"/>
      <w:r>
        <w:t>Последствия от проверките, прегледите, одитите и разследванията — разширяване на обхвата</w:t>
      </w:r>
      <w:bookmarkEnd w:id="556"/>
      <w:bookmarkEnd w:id="552"/>
      <w:bookmarkEnd w:id="553"/>
      <w:bookmarkEnd w:id="554"/>
      <w:r>
        <w:t xml:space="preserve"> на констатациите</w:t>
      </w:r>
      <w:bookmarkEnd w:id="555"/>
    </w:p>
    <w:p w14:paraId="1317590E" w14:textId="77777777" w:rsidR="008907F4" w:rsidRPr="005E41F4" w:rsidRDefault="008907F4" w:rsidP="2FA6B974">
      <w:pPr>
        <w:autoSpaceDE w:val="0"/>
        <w:autoSpaceDN w:val="0"/>
        <w:adjustRightInd w:val="0"/>
        <w:ind w:left="851" w:hanging="851"/>
        <w:rPr>
          <w:b/>
          <w:bCs/>
        </w:rPr>
      </w:pPr>
      <w:r>
        <w:rPr>
          <w:b/>
          <w:bCs/>
        </w:rPr>
        <w:t xml:space="preserve">25.5.1 </w:t>
      </w:r>
      <w:r>
        <w:tab/>
      </w:r>
      <w:r>
        <w:rPr>
          <w:b/>
          <w:bCs/>
        </w:rPr>
        <w:t>Последствия от проверките, прегледите, одитите и разследванията по линия на настоящите безвъзмездни средства</w:t>
      </w:r>
    </w:p>
    <w:p w14:paraId="01C0210B" w14:textId="77777777" w:rsidR="008907F4" w:rsidRPr="002E6275" w:rsidRDefault="2FA6B974" w:rsidP="008907F4">
      <w:pPr>
        <w:autoSpaceDE w:val="0"/>
        <w:autoSpaceDN w:val="0"/>
        <w:adjustRightInd w:val="0"/>
        <w:rPr>
          <w:bCs/>
          <w:szCs w:val="24"/>
        </w:rPr>
      </w:pPr>
      <w:r>
        <w:t xml:space="preserve">Констатациите от проверки, прегледи, одити или разследвания в контекста на настоящите безвъзмездни средства може да доведат до непризнавания (вж. член 27), намаляване на размера на безвъзмездните средства (вж. член 28) или други мерки, описани в глава 5.  </w:t>
      </w:r>
    </w:p>
    <w:p w14:paraId="42C043E4" w14:textId="77777777" w:rsidR="008907F4" w:rsidRPr="005E41F4" w:rsidRDefault="2FA6B974" w:rsidP="008907F4">
      <w:pPr>
        <w:autoSpaceDE w:val="0"/>
        <w:autoSpaceDN w:val="0"/>
        <w:adjustRightInd w:val="0"/>
        <w:rPr>
          <w:szCs w:val="24"/>
        </w:rPr>
      </w:pPr>
      <w:r>
        <w:lastRenderedPageBreak/>
        <w:t>Непризнаванията или намаляванията на размера на безвъзмездните средства след окончателното плащане водят до коригиран окончателен размер на безвъзмездните средства (вж. член 22).</w:t>
      </w:r>
    </w:p>
    <w:p w14:paraId="64F951B4" w14:textId="77777777" w:rsidR="008907F4" w:rsidRPr="00891BE7" w:rsidRDefault="2FA6B974" w:rsidP="008907F4">
      <w:pPr>
        <w:autoSpaceDE w:val="0"/>
        <w:autoSpaceDN w:val="0"/>
        <w:adjustRightInd w:val="0"/>
        <w:rPr>
          <w:szCs w:val="24"/>
        </w:rPr>
      </w:pPr>
      <w:r>
        <w:t xml:space="preserve">Констатациите от проверки, прегледи, одити или разследвания по време на изпълнението на дейността могат да доведат до искане за изменение (вж. член 39), за да се промени описанието на дейността, посочена в приложение 1. </w:t>
      </w:r>
    </w:p>
    <w:p w14:paraId="2ABD39FA" w14:textId="77777777" w:rsidR="008907F4" w:rsidRDefault="008907F4" w:rsidP="008907F4">
      <w:pPr>
        <w:autoSpaceDE w:val="0"/>
        <w:autoSpaceDN w:val="0"/>
        <w:adjustRightInd w:val="0"/>
        <w:rPr>
          <w:szCs w:val="24"/>
        </w:rPr>
      </w:pPr>
      <w:r>
        <w:t>Освен това констатациите, произтичащи от разследвания на OLAF или Европейската прокуратура, може да доведат до наказателно преследване съгласно националното право.</w:t>
      </w:r>
    </w:p>
    <w:p w14:paraId="3865EF68" w14:textId="77777777" w:rsidR="008907F4" w:rsidRPr="00B217B2" w:rsidRDefault="008907F4" w:rsidP="2FA6B974">
      <w:pPr>
        <w:rPr>
          <w:b/>
          <w:bCs/>
          <w:color w:val="7F7F7F" w:themeColor="background1" w:themeShade="7F"/>
        </w:rPr>
      </w:pPr>
      <w:r>
        <w:rPr>
          <w:b/>
          <w:bCs/>
          <w:color w:val="7F7F7F" w:themeColor="text1" w:themeTint="80"/>
          <w:shd w:val="clear" w:color="auto" w:fill="CCFFFF"/>
        </w:rPr>
        <w:t>25.5.2 Разширяване на обхвата на констатациите, направени по линия на други безвъзмездни средства</w:t>
      </w:r>
    </w:p>
    <w:p w14:paraId="399E3C7A" w14:textId="7FC2BD68" w:rsidR="008907F4" w:rsidRPr="00B217B2" w:rsidRDefault="00891BE7" w:rsidP="2FA6B974">
      <w:pPr>
        <w:autoSpaceDE w:val="0"/>
        <w:autoSpaceDN w:val="0"/>
        <w:adjustRightInd w:val="0"/>
        <w:rPr>
          <w:color w:val="7F7F7F" w:themeColor="background1" w:themeShade="7F"/>
        </w:rPr>
      </w:pPr>
      <w:r>
        <w:rPr>
          <w:color w:val="7F7F7F" w:themeColor="text1" w:themeTint="80"/>
          <w:shd w:val="clear" w:color="auto" w:fill="CCFFFF"/>
        </w:rPr>
        <w:t>Не е приложимо</w:t>
      </w:r>
    </w:p>
    <w:p w14:paraId="0682EA0B" w14:textId="77777777" w:rsidR="008907F4" w:rsidRPr="002E6275" w:rsidRDefault="008907F4" w:rsidP="008907F4">
      <w:pPr>
        <w:pStyle w:val="Heading5"/>
      </w:pPr>
      <w:bookmarkStart w:id="557" w:name="_Toc435109025"/>
      <w:bookmarkStart w:id="558" w:name="_Toc529197759"/>
      <w:bookmarkStart w:id="559" w:name="_Toc24116159"/>
      <w:bookmarkStart w:id="560" w:name="_Toc24126638"/>
      <w:bookmarkStart w:id="561" w:name="_Toc95925013"/>
      <w:r>
        <w:t>25.6</w:t>
      </w:r>
      <w:r>
        <w:tab/>
        <w:t>Последствия при неизпълнение</w:t>
      </w:r>
      <w:bookmarkEnd w:id="557"/>
      <w:bookmarkEnd w:id="558"/>
      <w:bookmarkEnd w:id="559"/>
      <w:bookmarkEnd w:id="560"/>
      <w:bookmarkEnd w:id="561"/>
      <w:r>
        <w:t xml:space="preserve"> </w:t>
      </w:r>
    </w:p>
    <w:p w14:paraId="675953AD" w14:textId="77777777" w:rsidR="008907F4" w:rsidRDefault="2FA6B974" w:rsidP="008907F4">
      <w:pPr>
        <w:adjustRightInd w:val="0"/>
        <w:rPr>
          <w:szCs w:val="24"/>
        </w:rPr>
      </w:pPr>
      <w:r>
        <w:t xml:space="preserve">Ако даден бенефициер наруши което и да е от задълженията си по настоящия член, разходите и вноските, които не са подкрепени от достатъчно разходооправдателни документи, ще се считат за недопустими (вж. член 6) и няма да бъдат признати (вж. член 27), а размерът на безвъзмездните средства може да бъде намален (вж. член 28). </w:t>
      </w:r>
    </w:p>
    <w:p w14:paraId="68EC1014" w14:textId="77777777" w:rsidR="008907F4" w:rsidRPr="008F020D" w:rsidRDefault="2FA6B974" w:rsidP="008907F4">
      <w:pPr>
        <w:adjustRightInd w:val="0"/>
        <w:rPr>
          <w:szCs w:val="24"/>
        </w:rPr>
      </w:pPr>
      <w:r>
        <w:t xml:space="preserve">Такива нарушения могат да доведат и до прилагане на други мерки, описани в глава 5. </w:t>
      </w:r>
    </w:p>
    <w:p w14:paraId="4331AF40" w14:textId="77777777" w:rsidR="008907F4" w:rsidRPr="00B217B2" w:rsidRDefault="2FA6B974" w:rsidP="2FA6B974">
      <w:pPr>
        <w:pStyle w:val="Heading4"/>
        <w:rPr>
          <w:color w:val="7F7F7F" w:themeColor="background1" w:themeShade="7F"/>
        </w:rPr>
      </w:pPr>
      <w:bookmarkStart w:id="562" w:name="_Toc530035918"/>
      <w:bookmarkStart w:id="563" w:name="_Toc435109026"/>
      <w:bookmarkStart w:id="564" w:name="_Toc524697236"/>
      <w:bookmarkStart w:id="565" w:name="_Toc529197760"/>
      <w:bookmarkStart w:id="566" w:name="_Toc24116160"/>
      <w:bookmarkStart w:id="567" w:name="_Toc24126639"/>
      <w:bookmarkStart w:id="568" w:name="_Toc95925014"/>
      <w:r>
        <w:rPr>
          <w:color w:val="7F7F7F" w:themeColor="background1" w:themeShade="7F"/>
        </w:rPr>
        <w:t>ЧЛЕН 26 — ОЦЕНКИ НА ВЪЗДЕЙСТВИЕТО</w:t>
      </w:r>
      <w:bookmarkEnd w:id="562"/>
      <w:bookmarkEnd w:id="563"/>
      <w:bookmarkEnd w:id="564"/>
      <w:bookmarkEnd w:id="565"/>
      <w:bookmarkEnd w:id="566"/>
      <w:bookmarkEnd w:id="567"/>
      <w:bookmarkEnd w:id="568"/>
    </w:p>
    <w:p w14:paraId="641CF7E0" w14:textId="794450FE" w:rsidR="008907F4" w:rsidRPr="00B217B2" w:rsidRDefault="2FA6B974" w:rsidP="2FA6B974">
      <w:pPr>
        <w:tabs>
          <w:tab w:val="left" w:pos="720"/>
        </w:tabs>
        <w:rPr>
          <w:color w:val="7F7F7F" w:themeColor="background1" w:themeShade="7F"/>
        </w:rPr>
      </w:pPr>
      <w:r>
        <w:rPr>
          <w:color w:val="7F7F7F" w:themeColor="background1" w:themeShade="7F"/>
        </w:rPr>
        <w:t xml:space="preserve">Не е приложимо  </w:t>
      </w:r>
    </w:p>
    <w:p w14:paraId="465E2D1B" w14:textId="77777777" w:rsidR="008907F4" w:rsidRDefault="008907F4" w:rsidP="2FA6B974">
      <w:pPr>
        <w:pStyle w:val="Heading1"/>
      </w:pPr>
      <w:bookmarkStart w:id="569" w:name="_Toc530035921"/>
      <w:bookmarkStart w:id="570" w:name="_Toc24116163"/>
      <w:bookmarkStart w:id="571" w:name="_Toc24126642"/>
      <w:bookmarkStart w:id="572" w:name="_Toc95925015"/>
      <w:bookmarkStart w:id="573" w:name="_Toc435109054"/>
      <w:bookmarkStart w:id="574" w:name="_Toc524697239"/>
      <w:bookmarkStart w:id="575" w:name="_Toc529197765"/>
      <w:r>
        <w:t xml:space="preserve">ГЛАВА 5 </w:t>
      </w:r>
      <w:r>
        <w:tab/>
      </w:r>
      <w:bookmarkEnd w:id="569"/>
      <w:r>
        <w:t>ПОСЛЕДИЦИ ОТ НЕИЗПЪЛНЕНИЕ</w:t>
      </w:r>
      <w:bookmarkEnd w:id="570"/>
      <w:bookmarkEnd w:id="571"/>
      <w:bookmarkEnd w:id="572"/>
    </w:p>
    <w:p w14:paraId="25F551C2" w14:textId="77777777" w:rsidR="008907F4" w:rsidRPr="00992AF1" w:rsidRDefault="008907F4" w:rsidP="2FA6B974">
      <w:pPr>
        <w:pStyle w:val="Heading2"/>
        <w:rPr>
          <w:rFonts w:eastAsia="Times New Roman"/>
        </w:rPr>
      </w:pPr>
      <w:bookmarkStart w:id="576" w:name="_Toc530035922"/>
      <w:bookmarkStart w:id="577" w:name="_Toc24116164"/>
      <w:bookmarkStart w:id="578" w:name="_Toc24126643"/>
      <w:bookmarkStart w:id="579" w:name="_Toc95925016"/>
      <w:r>
        <w:t>РАЗДЕЛ 1</w:t>
      </w:r>
      <w:r>
        <w:tab/>
        <w:t>НЕПРИЗНАВАНИЯ И НАМАЛЯВАНЕ НА РАЗМЕРА НА БЕЗВЪЗМЕЗДНИТЕ СРЕДСТВА</w:t>
      </w:r>
      <w:bookmarkEnd w:id="573"/>
      <w:bookmarkEnd w:id="574"/>
      <w:bookmarkEnd w:id="575"/>
      <w:bookmarkEnd w:id="576"/>
      <w:bookmarkEnd w:id="577"/>
      <w:bookmarkEnd w:id="578"/>
      <w:bookmarkEnd w:id="579"/>
    </w:p>
    <w:p w14:paraId="4F4E36FF" w14:textId="77777777" w:rsidR="008907F4" w:rsidRPr="005E41F4" w:rsidRDefault="2FA6B974" w:rsidP="2FA6B974">
      <w:pPr>
        <w:pStyle w:val="Heading4"/>
        <w:rPr>
          <w:rFonts w:eastAsia="Times New Roman"/>
        </w:rPr>
      </w:pPr>
      <w:bookmarkStart w:id="580" w:name="_Toc95925017"/>
      <w:bookmarkStart w:id="581" w:name="_Toc530035923"/>
      <w:bookmarkStart w:id="582" w:name="_Toc435109056"/>
      <w:bookmarkStart w:id="583" w:name="_Toc524697241"/>
      <w:bookmarkStart w:id="584" w:name="_Toc529197767"/>
      <w:bookmarkStart w:id="585" w:name="_Toc24116165"/>
      <w:bookmarkStart w:id="586" w:name="_Toc24126644"/>
      <w:r>
        <w:t>ЧЛЕН 27 — НЕПРИЗНАВАНЕ НА РАЗХОДИ И ВНОСКИ</w:t>
      </w:r>
      <w:bookmarkEnd w:id="580"/>
      <w:r>
        <w:t xml:space="preserve"> </w:t>
      </w:r>
      <w:bookmarkEnd w:id="581"/>
      <w:bookmarkEnd w:id="582"/>
      <w:bookmarkEnd w:id="583"/>
      <w:bookmarkEnd w:id="584"/>
      <w:bookmarkEnd w:id="585"/>
      <w:bookmarkEnd w:id="586"/>
    </w:p>
    <w:p w14:paraId="06A0C555" w14:textId="77777777" w:rsidR="008907F4" w:rsidRPr="005E41F4" w:rsidRDefault="008907F4" w:rsidP="008907F4">
      <w:pPr>
        <w:pStyle w:val="Heading5"/>
      </w:pPr>
      <w:bookmarkStart w:id="587" w:name="_Toc435109057"/>
      <w:bookmarkStart w:id="588" w:name="_Toc529197768"/>
      <w:bookmarkStart w:id="589" w:name="_Toc24116166"/>
      <w:bookmarkStart w:id="590" w:name="_Toc24126645"/>
      <w:bookmarkStart w:id="591" w:name="_Toc95925018"/>
      <w:r>
        <w:t>27.1</w:t>
      </w:r>
      <w:r>
        <w:tab/>
        <w:t>Условия</w:t>
      </w:r>
      <w:bookmarkEnd w:id="587"/>
      <w:bookmarkEnd w:id="588"/>
      <w:bookmarkEnd w:id="589"/>
      <w:bookmarkEnd w:id="590"/>
      <w:bookmarkEnd w:id="591"/>
      <w:r>
        <w:t xml:space="preserve"> </w:t>
      </w:r>
    </w:p>
    <w:p w14:paraId="60BF088C" w14:textId="0E4676C2" w:rsidR="008907F4" w:rsidRPr="005E41F4" w:rsidRDefault="2FA6B974" w:rsidP="008907F4">
      <w:pPr>
        <w:rPr>
          <w:szCs w:val="24"/>
        </w:rPr>
      </w:pPr>
      <w:r>
        <w:t xml:space="preserve">Предоставящият орган — при прекратяване на участието на бенефициер, </w:t>
      </w:r>
      <w:r>
        <w:rPr>
          <w:i/>
          <w:iCs/>
          <w:color w:val="4AA55B"/>
        </w:rPr>
        <w:t>[ВАРИАНТ за дейности с повече от един ОП и повече от едно междинно плащане:</w:t>
      </w:r>
      <w:r>
        <w:t xml:space="preserve"> в момента на междинно плащане</w:t>
      </w:r>
      <w:r>
        <w:rPr>
          <w:i/>
          <w:iCs/>
          <w:color w:val="4AA55B"/>
        </w:rPr>
        <w:t>]</w:t>
      </w:r>
      <w:r>
        <w:t>, в момента на окончателното плащане или след това — може да не признае разходи или вноски, които са недопустими (вж. член 6), и по-конкретно след извършване на проверки, прегледи, одити или разследвания (вж. член 25).</w:t>
      </w:r>
    </w:p>
    <w:p w14:paraId="1BB7C551" w14:textId="77777777" w:rsidR="008907F4" w:rsidRPr="00221085" w:rsidRDefault="2FA6B974" w:rsidP="2FA6B974">
      <w:pPr>
        <w:rPr>
          <w:rFonts w:eastAsia="Times New Roman"/>
          <w:b/>
          <w:bCs/>
          <w:color w:val="000000" w:themeColor="text1"/>
        </w:rPr>
      </w:pPr>
      <w:bookmarkStart w:id="592" w:name="_Toc435109058"/>
      <w:bookmarkStart w:id="593" w:name="_Toc529197769"/>
      <w:r>
        <w:t>Недопустимите разходи или вноски не се признават</w:t>
      </w:r>
      <w:r>
        <w:rPr>
          <w:color w:val="000000" w:themeColor="text1"/>
        </w:rPr>
        <w:t>.</w:t>
      </w:r>
    </w:p>
    <w:p w14:paraId="741981D3" w14:textId="77777777" w:rsidR="008907F4" w:rsidRPr="005E41F4" w:rsidRDefault="008907F4" w:rsidP="2FA6B974">
      <w:pPr>
        <w:pStyle w:val="Heading5"/>
        <w:rPr>
          <w:rFonts w:eastAsia="Times New Roman"/>
        </w:rPr>
      </w:pPr>
      <w:bookmarkStart w:id="594" w:name="_Toc24116167"/>
      <w:bookmarkStart w:id="595" w:name="_Toc24126646"/>
      <w:bookmarkStart w:id="596" w:name="_Toc95925019"/>
      <w:r>
        <w:t>27.2</w:t>
      </w:r>
      <w:r>
        <w:tab/>
        <w:t>Процедура</w:t>
      </w:r>
      <w:bookmarkEnd w:id="592"/>
      <w:bookmarkEnd w:id="593"/>
      <w:bookmarkEnd w:id="594"/>
      <w:bookmarkEnd w:id="595"/>
      <w:bookmarkEnd w:id="596"/>
    </w:p>
    <w:p w14:paraId="11966DD9" w14:textId="77777777" w:rsidR="008907F4" w:rsidRDefault="2FA6B974" w:rsidP="008907F4">
      <w:pPr>
        <w:rPr>
          <w:bCs/>
          <w:szCs w:val="24"/>
        </w:rPr>
      </w:pPr>
      <w:r>
        <w:t xml:space="preserve">В случаите, когато непризнаването не води до събиране, държавата членка уведомява официално координатора или съответния бенефициер за непризнаването на разходите, за сумите и за основанията за непризнаването. Координаторът или съответният </w:t>
      </w:r>
      <w:r>
        <w:lastRenderedPageBreak/>
        <w:t>бенефициер може в рамките на 30 дни от получаването на официалното уведомление да представи коментари, ако не е съгласен с непризнаването (процедура за преразглеждане на плащането).</w:t>
      </w:r>
    </w:p>
    <w:p w14:paraId="5300CA6A" w14:textId="77777777" w:rsidR="008907F4" w:rsidRPr="005E41F4" w:rsidRDefault="2FA6B974" w:rsidP="008907F4">
      <w:pPr>
        <w:rPr>
          <w:szCs w:val="24"/>
        </w:rPr>
      </w:pPr>
      <w:r>
        <w:t xml:space="preserve">Ако непризнаването на разходите доведе до събиране, държавата членка прилага състезателната процедура с писмото с предварителна информация, предвидено в член 22. </w:t>
      </w:r>
    </w:p>
    <w:p w14:paraId="60622144" w14:textId="77777777" w:rsidR="008907F4" w:rsidRPr="002E6275" w:rsidRDefault="008907F4" w:rsidP="008907F4">
      <w:pPr>
        <w:pStyle w:val="Heading5"/>
      </w:pPr>
      <w:bookmarkStart w:id="597" w:name="_Toc435109059"/>
      <w:bookmarkStart w:id="598" w:name="_Toc529197770"/>
      <w:bookmarkStart w:id="599" w:name="_Toc24116168"/>
      <w:bookmarkStart w:id="600" w:name="_Toc24126647"/>
      <w:bookmarkStart w:id="601" w:name="_Toc95925020"/>
      <w:r>
        <w:t>27.3</w:t>
      </w:r>
      <w:r>
        <w:tab/>
        <w:t>Последици</w:t>
      </w:r>
      <w:bookmarkEnd w:id="597"/>
      <w:bookmarkEnd w:id="598"/>
      <w:bookmarkEnd w:id="599"/>
      <w:bookmarkEnd w:id="600"/>
      <w:bookmarkEnd w:id="601"/>
    </w:p>
    <w:p w14:paraId="2FA328F6" w14:textId="130F57F6" w:rsidR="008907F4" w:rsidRDefault="2FA6B974" w:rsidP="2FA6B974">
      <w:pPr>
        <w:rPr>
          <w:rFonts w:eastAsia="Calibri" w:cs="Times New Roman"/>
        </w:rPr>
      </w:pPr>
      <w:r>
        <w:t>Ако предоставящият орган не признае дадени разходи, той ги приспада от декларираните разходи и след това изчислява дължимата сума (и при необходимост извършва събиране; вж. член 22).</w:t>
      </w:r>
    </w:p>
    <w:p w14:paraId="2167377E" w14:textId="77777777" w:rsidR="008907F4" w:rsidRPr="005E41F4" w:rsidRDefault="2FA6B974" w:rsidP="008907F4">
      <w:pPr>
        <w:pStyle w:val="Heading4"/>
      </w:pPr>
      <w:bookmarkStart w:id="602" w:name="_Toc435109060"/>
      <w:bookmarkStart w:id="603" w:name="_Toc524697242"/>
      <w:bookmarkStart w:id="604" w:name="_Toc529197771"/>
      <w:bookmarkStart w:id="605" w:name="_Toc530035924"/>
      <w:bookmarkStart w:id="606" w:name="_Toc24116169"/>
      <w:bookmarkStart w:id="607" w:name="_Toc24126648"/>
      <w:bookmarkStart w:id="608" w:name="_Toc95925021"/>
      <w:r>
        <w:t>ЧЛЕН 28 — НАМАЛЯВАНЕ НА РАЗМЕРА НА БЕЗВЪЗМЕЗДНИТЕ СРЕДСТВА</w:t>
      </w:r>
      <w:bookmarkEnd w:id="602"/>
      <w:bookmarkEnd w:id="603"/>
      <w:bookmarkEnd w:id="604"/>
      <w:bookmarkEnd w:id="605"/>
      <w:bookmarkEnd w:id="606"/>
      <w:bookmarkEnd w:id="607"/>
      <w:bookmarkEnd w:id="608"/>
    </w:p>
    <w:p w14:paraId="0FC89340" w14:textId="77777777" w:rsidR="008907F4" w:rsidRPr="005E41F4" w:rsidRDefault="008907F4" w:rsidP="008907F4">
      <w:pPr>
        <w:pStyle w:val="Heading5"/>
      </w:pPr>
      <w:bookmarkStart w:id="609" w:name="_Toc435109061"/>
      <w:bookmarkStart w:id="610" w:name="_Toc529197772"/>
      <w:bookmarkStart w:id="611" w:name="_Toc24116170"/>
      <w:bookmarkStart w:id="612" w:name="_Toc24126649"/>
      <w:bookmarkStart w:id="613" w:name="_Toc95925022"/>
      <w:r>
        <w:t>28.1</w:t>
      </w:r>
      <w:r>
        <w:tab/>
        <w:t>Условия</w:t>
      </w:r>
      <w:bookmarkEnd w:id="609"/>
      <w:bookmarkEnd w:id="610"/>
      <w:bookmarkEnd w:id="611"/>
      <w:bookmarkEnd w:id="612"/>
      <w:bookmarkEnd w:id="613"/>
    </w:p>
    <w:p w14:paraId="1CC5B3C0" w14:textId="4E221DE1" w:rsidR="008907F4" w:rsidRPr="00915279" w:rsidRDefault="2FA6B974" w:rsidP="2FA6B974">
      <w:pPr>
        <w:rPr>
          <w:rFonts w:eastAsia="Times New Roman" w:cs="Times New Roman"/>
          <w:color w:val="000000" w:themeColor="text1"/>
        </w:rPr>
      </w:pPr>
      <w:r>
        <w:t xml:space="preserve">Предоставящият орган </w:t>
      </w:r>
      <w:r>
        <w:rPr>
          <w:color w:val="000000" w:themeColor="text1"/>
        </w:rPr>
        <w:t>може</w:t>
      </w:r>
      <w:r>
        <w:t xml:space="preserve">  — при прекратяване на участието на бенефициер, в момента на окончателното плащане или след това — </w:t>
      </w:r>
      <w:r>
        <w:rPr>
          <w:color w:val="000000" w:themeColor="text1"/>
        </w:rPr>
        <w:t>да намали размера на безвъзмездните средства за даден бенефициер, ако:</w:t>
      </w:r>
    </w:p>
    <w:p w14:paraId="678D9AC0" w14:textId="77777777" w:rsidR="008907F4" w:rsidRPr="00915279" w:rsidRDefault="2FA6B974" w:rsidP="2FA6B974">
      <w:pPr>
        <w:pStyle w:val="ListParagraph"/>
        <w:numPr>
          <w:ilvl w:val="0"/>
          <w:numId w:val="57"/>
        </w:numPr>
      </w:pPr>
      <w:r>
        <w:t xml:space="preserve">бенефициерът </w:t>
      </w:r>
      <w:r>
        <w:rPr>
          <w:color w:val="000000" w:themeColor="text1"/>
        </w:rPr>
        <w:t>(или лице с правомощия за представителство, вземане на решения или контрол, или лице с ключова роля за отпускането/усвояването на безвъзмездните средства)</w:t>
      </w:r>
      <w:r>
        <w:t xml:space="preserve"> е извършил:</w:t>
      </w:r>
    </w:p>
    <w:p w14:paraId="3E7694F6" w14:textId="77777777" w:rsidR="008907F4" w:rsidRPr="00667FF8" w:rsidRDefault="2FA6B974" w:rsidP="2FA6B974">
      <w:pPr>
        <w:pStyle w:val="ListParagraph"/>
        <w:numPr>
          <w:ilvl w:val="0"/>
          <w:numId w:val="33"/>
        </w:numPr>
        <w:ind w:left="1560"/>
        <w:rPr>
          <w:rFonts w:eastAsia="Calibri"/>
          <w:b/>
          <w:bCs/>
        </w:rPr>
      </w:pPr>
      <w:r>
        <w:rPr>
          <w:color w:val="000000" w:themeColor="text1"/>
        </w:rPr>
        <w:t>сериозни грешки, нередности и измами, или</w:t>
      </w:r>
    </w:p>
    <w:p w14:paraId="663D79B5" w14:textId="77777777" w:rsidR="008907F4" w:rsidRPr="00667FF8" w:rsidRDefault="2FA6B974" w:rsidP="2FA6B974">
      <w:pPr>
        <w:pStyle w:val="ListParagraph"/>
        <w:numPr>
          <w:ilvl w:val="0"/>
          <w:numId w:val="33"/>
        </w:numPr>
        <w:ind w:left="1560"/>
        <w:rPr>
          <w:rFonts w:eastAsia="Calibri"/>
          <w:b/>
          <w:bCs/>
        </w:rPr>
      </w:pPr>
      <w:r>
        <w:rPr>
          <w:color w:val="000000" w:themeColor="text1"/>
        </w:rPr>
        <w:t xml:space="preserve">тежко нарушение на задълженията по настоящото споразумение или по време на процедурата за възлагането му (включително неправилно изпълнение на дейността, неспазване на условията на поканата, представяне на невярна информация, непредоставяне на изисквана информация, нарушение на етичните правила или правилата за сигурност (ако са приложими) и др.), или </w:t>
      </w:r>
    </w:p>
    <w:p w14:paraId="5F72F483" w14:textId="7C25BCA7" w:rsidR="008907F4" w:rsidRPr="00730D0E" w:rsidRDefault="00730D0E" w:rsidP="2FA6B974">
      <w:pPr>
        <w:pStyle w:val="ListParagraph"/>
        <w:numPr>
          <w:ilvl w:val="0"/>
          <w:numId w:val="57"/>
        </w:numPr>
        <w:rPr>
          <w:rFonts w:eastAsia="Calibri"/>
          <w:b/>
          <w:bCs/>
          <w:color w:val="808080" w:themeColor="text1" w:themeTint="7F"/>
        </w:rPr>
      </w:pPr>
      <w:r>
        <w:rPr>
          <w:color w:val="7F7F7F" w:themeColor="text1" w:themeTint="80"/>
          <w:shd w:val="clear" w:color="auto" w:fill="CCFFFF"/>
        </w:rPr>
        <w:t>разширяването на обхвата на констатациите: не е приложимо</w:t>
      </w:r>
      <w:r>
        <w:rPr>
          <w:color w:val="7F7F7F" w:themeColor="text1" w:themeTint="80"/>
        </w:rPr>
        <w:t>.</w:t>
      </w:r>
    </w:p>
    <w:p w14:paraId="581B24AC" w14:textId="77777777" w:rsidR="008907F4" w:rsidRPr="00470F38" w:rsidRDefault="2FA6B974" w:rsidP="2FA6B974">
      <w:pPr>
        <w:rPr>
          <w:color w:val="000000" w:themeColor="text1"/>
        </w:rPr>
      </w:pPr>
      <w:bookmarkStart w:id="614" w:name="_Toc435109062"/>
      <w:bookmarkStart w:id="615" w:name="_Toc529197773"/>
      <w:r>
        <w:rPr>
          <w:color w:val="000000" w:themeColor="text1"/>
        </w:rPr>
        <w:t>Размерът на намалението ще бъде изчислен за всеки съответен бенефициер и пропорционално на</w:t>
      </w:r>
      <w:r>
        <w:t xml:space="preserve"> тежестта и продължителността на </w:t>
      </w:r>
      <w:r>
        <w:rPr>
          <w:color w:val="000000" w:themeColor="text1"/>
        </w:rPr>
        <w:t>грешките, нередностите, измамите или нарушенията на задълженията чрез прилагане на процент на намаление</w:t>
      </w:r>
      <w:r>
        <w:t xml:space="preserve"> към </w:t>
      </w:r>
      <w:r>
        <w:rPr>
          <w:color w:val="000000" w:themeColor="text1"/>
        </w:rPr>
        <w:t>приетата по отношение на него вноска от ЕС.</w:t>
      </w:r>
    </w:p>
    <w:p w14:paraId="245AC795" w14:textId="77777777" w:rsidR="008907F4" w:rsidRPr="00667FF8" w:rsidRDefault="008907F4" w:rsidP="2FA6B974">
      <w:pPr>
        <w:pStyle w:val="Heading5"/>
        <w:ind w:left="0" w:firstLine="0"/>
        <w:rPr>
          <w:rFonts w:eastAsia="Times New Roman"/>
        </w:rPr>
      </w:pPr>
      <w:bookmarkStart w:id="616" w:name="_Toc24116171"/>
      <w:bookmarkStart w:id="617" w:name="_Toc24126650"/>
      <w:bookmarkStart w:id="618" w:name="_Toc95925023"/>
      <w:r>
        <w:t>28.2</w:t>
      </w:r>
      <w:r>
        <w:tab/>
        <w:t>Процедура</w:t>
      </w:r>
      <w:bookmarkEnd w:id="614"/>
      <w:bookmarkEnd w:id="615"/>
      <w:bookmarkEnd w:id="616"/>
      <w:bookmarkEnd w:id="617"/>
      <w:bookmarkEnd w:id="618"/>
    </w:p>
    <w:p w14:paraId="49A76496" w14:textId="0BEF993F" w:rsidR="008907F4" w:rsidRPr="008F2086" w:rsidRDefault="2FA6B974" w:rsidP="2FA6B974">
      <w:pPr>
        <w:rPr>
          <w:rFonts w:eastAsia="Calibri" w:cs="Times New Roman"/>
          <w:color w:val="000000" w:themeColor="text1"/>
        </w:rPr>
      </w:pPr>
      <w:r>
        <w:rPr>
          <w:color w:val="000000" w:themeColor="text1"/>
        </w:rPr>
        <w:t xml:space="preserve">В случаите, когато намаляването на размера на безвъзмездните средства не води до събиране, предоставящият орган уведомява официално координатора или съответния бенефициер за намалението, за неговия размер и за основанията за него. Координаторът или съответният бенефициер може в рамките на 30 дни от получаване на официалното уведомление да представи коментари, ако не е съгласен с намаляването (процедура за преразглеждане на плащането). </w:t>
      </w:r>
    </w:p>
    <w:p w14:paraId="35CAB6F1" w14:textId="2D4D9A0A" w:rsidR="008907F4" w:rsidRPr="005E41F4" w:rsidRDefault="2FA6B974" w:rsidP="008907F4">
      <w:pPr>
        <w:rPr>
          <w:bCs/>
          <w:szCs w:val="24"/>
        </w:rPr>
      </w:pPr>
      <w:r>
        <w:rPr>
          <w:color w:val="000000" w:themeColor="text1"/>
        </w:rPr>
        <w:lastRenderedPageBreak/>
        <w:t>Ако намаляването на размера на безвъзмездните средства доведе до събиране, предоставящият орган ще пристъпи към процедура на изразяване на възражения, като изпрати писмо с предварителна информация, както е посочено в член 22</w:t>
      </w:r>
      <w:r>
        <w:t>.</w:t>
      </w:r>
    </w:p>
    <w:p w14:paraId="3CD91D55" w14:textId="77777777" w:rsidR="008907F4" w:rsidRPr="00D93896" w:rsidRDefault="008907F4" w:rsidP="008907F4">
      <w:pPr>
        <w:pStyle w:val="Heading5"/>
      </w:pPr>
      <w:bookmarkStart w:id="619" w:name="_Toc435109063"/>
      <w:bookmarkStart w:id="620" w:name="_Toc529197774"/>
      <w:bookmarkStart w:id="621" w:name="_Toc24116172"/>
      <w:bookmarkStart w:id="622" w:name="_Toc24126651"/>
      <w:bookmarkStart w:id="623" w:name="_Toc95925024"/>
      <w:r>
        <w:t>28.3</w:t>
      </w:r>
      <w:r>
        <w:tab/>
        <w:t>Последици</w:t>
      </w:r>
      <w:bookmarkEnd w:id="619"/>
      <w:bookmarkEnd w:id="620"/>
      <w:bookmarkEnd w:id="621"/>
      <w:bookmarkEnd w:id="622"/>
      <w:bookmarkEnd w:id="623"/>
      <w:r>
        <w:t xml:space="preserve"> </w:t>
      </w:r>
    </w:p>
    <w:p w14:paraId="7047214A" w14:textId="6D1279FA" w:rsidR="008907F4" w:rsidRPr="002E6275" w:rsidRDefault="2FA6B974" w:rsidP="2FA6B974">
      <w:pPr>
        <w:rPr>
          <w:rFonts w:eastAsia="Calibri" w:cs="Times New Roman"/>
        </w:rPr>
      </w:pPr>
      <w:r>
        <w:t xml:space="preserve">Ако </w:t>
      </w:r>
      <w:r>
        <w:rPr>
          <w:color w:val="000000" w:themeColor="text1"/>
        </w:rPr>
        <w:t>предоставящият орган</w:t>
      </w:r>
      <w:r>
        <w:t xml:space="preserve"> намали размера на безвъзмездните средства, той приспада намалението и след това изчислява дължимата сума (а при необходимост извършва събиране; вж. член 22).</w:t>
      </w:r>
    </w:p>
    <w:p w14:paraId="73D504CC" w14:textId="77777777" w:rsidR="008907F4" w:rsidRPr="005E41F4" w:rsidRDefault="008907F4" w:rsidP="008907F4">
      <w:pPr>
        <w:pStyle w:val="Heading2"/>
      </w:pPr>
      <w:bookmarkStart w:id="624" w:name="_Toc530035925"/>
      <w:bookmarkStart w:id="625" w:name="_Toc24116173"/>
      <w:bookmarkStart w:id="626" w:name="_Toc24126652"/>
      <w:bookmarkStart w:id="627" w:name="_Toc95925025"/>
      <w:r>
        <w:t>РАЗДЕЛ 2</w:t>
      </w:r>
      <w:r>
        <w:tab/>
        <w:t>ВРЕМЕННО СПИРАНЕ И ПРЕКРАТЯВАНЕ</w:t>
      </w:r>
      <w:bookmarkEnd w:id="624"/>
      <w:bookmarkEnd w:id="625"/>
      <w:bookmarkEnd w:id="626"/>
      <w:bookmarkEnd w:id="627"/>
    </w:p>
    <w:p w14:paraId="4E25FC1F" w14:textId="77777777" w:rsidR="008907F4" w:rsidRPr="005E41F4" w:rsidRDefault="2FA6B974" w:rsidP="2FA6B974">
      <w:pPr>
        <w:pStyle w:val="Heading4"/>
      </w:pPr>
      <w:bookmarkStart w:id="628" w:name="_Toc530035926"/>
      <w:bookmarkStart w:id="629" w:name="_Toc530036537"/>
      <w:bookmarkStart w:id="630" w:name="_Toc530036723"/>
      <w:bookmarkStart w:id="631" w:name="_Toc530396675"/>
      <w:bookmarkStart w:id="632" w:name="_Toc530396870"/>
      <w:bookmarkStart w:id="633" w:name="_Toc530397252"/>
      <w:bookmarkStart w:id="634" w:name="_Toc532247928"/>
      <w:bookmarkStart w:id="635" w:name="_Toc435109064"/>
      <w:bookmarkStart w:id="636" w:name="_Toc520307895"/>
      <w:bookmarkStart w:id="637" w:name="_Toc520308889"/>
      <w:bookmarkStart w:id="638" w:name="_Toc520309063"/>
      <w:bookmarkStart w:id="639" w:name="_Toc520310544"/>
      <w:bookmarkStart w:id="640" w:name="_Toc520310714"/>
      <w:bookmarkStart w:id="641" w:name="_Toc520311108"/>
      <w:bookmarkStart w:id="642" w:name="_Toc520311274"/>
      <w:bookmarkStart w:id="643" w:name="_Toc520313572"/>
      <w:bookmarkStart w:id="644" w:name="_Toc520313736"/>
      <w:bookmarkStart w:id="645" w:name="_Toc524529611"/>
      <w:bookmarkStart w:id="646" w:name="_Toc524530023"/>
      <w:bookmarkStart w:id="647" w:name="_Toc524530191"/>
      <w:bookmarkStart w:id="648" w:name="_Toc524530359"/>
      <w:bookmarkStart w:id="649" w:name="_Toc524545661"/>
      <w:bookmarkStart w:id="650" w:name="_Toc524545826"/>
      <w:bookmarkStart w:id="651" w:name="_Toc524546153"/>
      <w:bookmarkStart w:id="652" w:name="_Toc524596543"/>
      <w:bookmarkStart w:id="653" w:name="_Toc524697243"/>
      <w:bookmarkStart w:id="654" w:name="_Toc524697389"/>
      <w:bookmarkStart w:id="655" w:name="_Toc524697652"/>
      <w:bookmarkStart w:id="656" w:name="_Toc524697985"/>
      <w:bookmarkStart w:id="657" w:name="_Toc524884405"/>
      <w:bookmarkStart w:id="658" w:name="_Toc524885395"/>
      <w:bookmarkStart w:id="659" w:name="_Toc524885567"/>
      <w:bookmarkStart w:id="660" w:name="_Toc524885739"/>
      <w:bookmarkStart w:id="661" w:name="_Toc525221095"/>
      <w:bookmarkStart w:id="662" w:name="_Toc525221274"/>
      <w:bookmarkStart w:id="663" w:name="_Toc525254359"/>
      <w:bookmarkStart w:id="664" w:name="_Toc529197775"/>
      <w:bookmarkStart w:id="665" w:name="_Toc12092779"/>
      <w:bookmarkStart w:id="666" w:name="_Toc435109072"/>
      <w:bookmarkStart w:id="667" w:name="_Toc524697247"/>
      <w:bookmarkStart w:id="668" w:name="_Toc529197779"/>
      <w:bookmarkStart w:id="669" w:name="_Toc530035929"/>
      <w:bookmarkStart w:id="670" w:name="_Toc24116174"/>
      <w:bookmarkStart w:id="671" w:name="_Toc24126653"/>
      <w:bookmarkStart w:id="672" w:name="_Toc95925026"/>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r>
        <w:t>ЧЛЕН 29 — ОТЛАГАНЕ НА КРАЙНИЯ СРОК ЗА ПЛАЩАНЕ</w:t>
      </w:r>
      <w:bookmarkEnd w:id="666"/>
      <w:bookmarkEnd w:id="667"/>
      <w:bookmarkEnd w:id="668"/>
      <w:bookmarkEnd w:id="669"/>
      <w:bookmarkEnd w:id="670"/>
      <w:bookmarkEnd w:id="671"/>
      <w:bookmarkEnd w:id="672"/>
    </w:p>
    <w:p w14:paraId="22460E66" w14:textId="77777777" w:rsidR="008907F4" w:rsidRPr="005E41F4" w:rsidRDefault="008907F4" w:rsidP="008907F4">
      <w:pPr>
        <w:pStyle w:val="Heading5"/>
      </w:pPr>
      <w:bookmarkStart w:id="673" w:name="_Toc435109073"/>
      <w:bookmarkStart w:id="674" w:name="_Toc529197780"/>
      <w:bookmarkStart w:id="675" w:name="_Toc24116175"/>
      <w:bookmarkStart w:id="676" w:name="_Toc24126654"/>
      <w:bookmarkStart w:id="677" w:name="_Toc95925027"/>
      <w:r>
        <w:t>29.1</w:t>
      </w:r>
      <w:r>
        <w:tab/>
        <w:t>Условия</w:t>
      </w:r>
      <w:bookmarkEnd w:id="673"/>
      <w:bookmarkEnd w:id="674"/>
      <w:bookmarkEnd w:id="675"/>
      <w:bookmarkEnd w:id="676"/>
      <w:bookmarkEnd w:id="677"/>
    </w:p>
    <w:p w14:paraId="74A3306D" w14:textId="50F6C99C" w:rsidR="008907F4" w:rsidRPr="00894FAD" w:rsidRDefault="2FA6B974" w:rsidP="008907F4">
      <w:pPr>
        <w:rPr>
          <w:szCs w:val="24"/>
        </w:rPr>
      </w:pPr>
      <w:r>
        <w:rPr>
          <w:color w:val="000000" w:themeColor="text1"/>
        </w:rPr>
        <w:t>Предоставящият орган</w:t>
      </w:r>
      <w:r>
        <w:t xml:space="preserve"> може по всяко време да отложи крайния срок за плащане, ако плащането не може да бъде обработено, защото:</w:t>
      </w:r>
    </w:p>
    <w:p w14:paraId="3385A97A" w14:textId="451FB6D5" w:rsidR="008907F4" w:rsidRPr="00894FAD" w:rsidRDefault="2FA6B974" w:rsidP="2FA6B974">
      <w:pPr>
        <w:pStyle w:val="ListParagraph"/>
        <w:numPr>
          <w:ilvl w:val="0"/>
          <w:numId w:val="58"/>
        </w:numPr>
      </w:pPr>
      <w:r>
        <w:t>исканите доклади или изследването (вж. член 21) не са представени или са непълни, или е необходима допълнителна информация;</w:t>
      </w:r>
    </w:p>
    <w:p w14:paraId="29C38C1B" w14:textId="02FA47C2" w:rsidR="008907F4" w:rsidRPr="00890268" w:rsidRDefault="008907F4" w:rsidP="2FA6B974">
      <w:pPr>
        <w:pStyle w:val="ListParagraph"/>
        <w:numPr>
          <w:ilvl w:val="0"/>
          <w:numId w:val="58"/>
        </w:numPr>
      </w:pPr>
      <w:r>
        <w:t>са налице съмнения относно подлежащата на плащане сума (например запитвания относно допустимост, необходимост от намаляване на размера на безвъзмездните средства и др.) и са необходими допълнителни проверки, прегледи, одити или разследвания, или</w:t>
      </w:r>
    </w:p>
    <w:p w14:paraId="4DE2B908" w14:textId="77777777" w:rsidR="008907F4" w:rsidRPr="00985E50" w:rsidRDefault="2FA6B974" w:rsidP="2FA6B974">
      <w:pPr>
        <w:pStyle w:val="ListParagraph"/>
        <w:numPr>
          <w:ilvl w:val="0"/>
          <w:numId w:val="58"/>
        </w:numPr>
      </w:pPr>
      <w:r>
        <w:t>са налице други въпроси, засягащи финансовите интереси на Съюза.</w:t>
      </w:r>
    </w:p>
    <w:p w14:paraId="0DE13DDA" w14:textId="77777777" w:rsidR="008907F4" w:rsidRPr="005E41F4" w:rsidRDefault="008907F4" w:rsidP="008907F4">
      <w:pPr>
        <w:pStyle w:val="Heading5"/>
      </w:pPr>
      <w:bookmarkStart w:id="678" w:name="_Toc435109074"/>
      <w:bookmarkStart w:id="679" w:name="_Toc529197781"/>
      <w:bookmarkStart w:id="680" w:name="_Toc24116176"/>
      <w:bookmarkStart w:id="681" w:name="_Toc24126655"/>
      <w:bookmarkStart w:id="682" w:name="_Toc95925028"/>
      <w:r>
        <w:t>29.2</w:t>
      </w:r>
      <w:r>
        <w:tab/>
        <w:t>Процедура</w:t>
      </w:r>
      <w:bookmarkEnd w:id="678"/>
      <w:bookmarkEnd w:id="679"/>
      <w:bookmarkEnd w:id="680"/>
      <w:bookmarkEnd w:id="681"/>
      <w:bookmarkEnd w:id="682"/>
    </w:p>
    <w:p w14:paraId="150E94C9" w14:textId="70BF3ECE" w:rsidR="008907F4" w:rsidRPr="005E41F4" w:rsidRDefault="2FA6B974" w:rsidP="008907F4">
      <w:pPr>
        <w:rPr>
          <w:szCs w:val="24"/>
        </w:rPr>
      </w:pPr>
      <w:r>
        <w:rPr>
          <w:color w:val="000000" w:themeColor="text1"/>
        </w:rPr>
        <w:t>Предоставящият орган</w:t>
      </w:r>
      <w:r>
        <w:t xml:space="preserve"> уведомява официално координатора за отлагането на крайния срок и основанията за него. </w:t>
      </w:r>
    </w:p>
    <w:p w14:paraId="6B6EAC86" w14:textId="77777777" w:rsidR="008907F4" w:rsidRPr="005E41F4" w:rsidRDefault="2FA6B974" w:rsidP="008907F4">
      <w:pPr>
        <w:rPr>
          <w:szCs w:val="24"/>
        </w:rPr>
      </w:pPr>
      <w:r>
        <w:t xml:space="preserve">Отлагането </w:t>
      </w:r>
      <w:r>
        <w:rPr>
          <w:b/>
          <w:bCs/>
        </w:rPr>
        <w:t>поражда действие</w:t>
      </w:r>
      <w:r>
        <w:t xml:space="preserve"> на датата на изпращане на уведомлението. </w:t>
      </w:r>
    </w:p>
    <w:p w14:paraId="0FDD71CA" w14:textId="77777777" w:rsidR="008907F4" w:rsidRPr="005E41F4" w:rsidRDefault="2FA6B974" w:rsidP="008907F4">
      <w:pPr>
        <w:rPr>
          <w:szCs w:val="24"/>
        </w:rPr>
      </w:pPr>
      <w:r>
        <w:t xml:space="preserve">Ако условията за отлагане на крайния срок за плащане вече не се изпълняват, отлагането </w:t>
      </w:r>
      <w:r>
        <w:rPr>
          <w:b/>
          <w:bCs/>
        </w:rPr>
        <w:t>се отменя</w:t>
      </w:r>
      <w:r>
        <w:t xml:space="preserve"> и започва да тече оставащата част от срока за плащане (вж. Техническите спецификации, точка 4.2).</w:t>
      </w:r>
    </w:p>
    <w:p w14:paraId="3D631572" w14:textId="12DBDBF5" w:rsidR="008907F4" w:rsidRPr="005E41F4" w:rsidRDefault="2FA6B974" w:rsidP="008907F4">
      <w:pPr>
        <w:rPr>
          <w:szCs w:val="24"/>
        </w:rPr>
      </w:pPr>
      <w:r>
        <w:t xml:space="preserve">Ако отлагането надвиши два месеца, координаторът може да поиска от </w:t>
      </w:r>
      <w:r>
        <w:rPr>
          <w:color w:val="000000" w:themeColor="text1"/>
        </w:rPr>
        <w:t>предоставящия орган</w:t>
      </w:r>
      <w:r>
        <w:t xml:space="preserve"> да потвърди дали то ще продължи. </w:t>
      </w:r>
    </w:p>
    <w:p w14:paraId="1D3A7FB2" w14:textId="196941AC" w:rsidR="008907F4" w:rsidRPr="005E41F4" w:rsidRDefault="2FA6B974" w:rsidP="008907F4">
      <w:pPr>
        <w:rPr>
          <w:szCs w:val="24"/>
        </w:rPr>
      </w:pPr>
      <w:r>
        <w:t xml:space="preserve">Ако крайният срок за плащане е отложен поради несъответствие на доклада и непредставяне на коригирания доклад (или ако той е представен, но отново не е одобрен), </w:t>
      </w:r>
      <w:r>
        <w:rPr>
          <w:color w:val="000000" w:themeColor="text1"/>
        </w:rPr>
        <w:t>предоставящият орган</w:t>
      </w:r>
      <w:r>
        <w:t xml:space="preserve"> може също така да прекрати споразумението за отпускане на безвъзмездни средства или участието на координатора (вж. член 32).</w:t>
      </w:r>
    </w:p>
    <w:p w14:paraId="68419BDD" w14:textId="77777777" w:rsidR="008907F4" w:rsidRPr="005E41F4" w:rsidRDefault="2FA6B974" w:rsidP="008907F4">
      <w:pPr>
        <w:pStyle w:val="Heading4"/>
      </w:pPr>
      <w:bookmarkStart w:id="683" w:name="_Toc435109075"/>
      <w:bookmarkStart w:id="684" w:name="_Toc524697248"/>
      <w:bookmarkStart w:id="685" w:name="_Toc529197782"/>
      <w:bookmarkStart w:id="686" w:name="_Toc530035930"/>
      <w:bookmarkStart w:id="687" w:name="_Toc24116177"/>
      <w:bookmarkStart w:id="688" w:name="_Toc24126656"/>
      <w:bookmarkStart w:id="689" w:name="_Toc95925029"/>
      <w:r>
        <w:lastRenderedPageBreak/>
        <w:t>ЧЛЕН 30 — ВРЕМЕННО СПИРАНЕ НА ПЛАЩАНЕТО</w:t>
      </w:r>
      <w:bookmarkEnd w:id="683"/>
      <w:bookmarkEnd w:id="684"/>
      <w:bookmarkEnd w:id="685"/>
      <w:bookmarkEnd w:id="686"/>
      <w:bookmarkEnd w:id="687"/>
      <w:bookmarkEnd w:id="688"/>
      <w:bookmarkEnd w:id="689"/>
    </w:p>
    <w:p w14:paraId="38056313" w14:textId="77777777" w:rsidR="008907F4" w:rsidRPr="005E41F4" w:rsidRDefault="008907F4" w:rsidP="008907F4">
      <w:pPr>
        <w:pStyle w:val="Heading5"/>
      </w:pPr>
      <w:bookmarkStart w:id="690" w:name="_Toc435109076"/>
      <w:bookmarkStart w:id="691" w:name="_Toc529197783"/>
      <w:bookmarkStart w:id="692" w:name="_Toc24116178"/>
      <w:bookmarkStart w:id="693" w:name="_Toc24126657"/>
      <w:bookmarkStart w:id="694" w:name="_Toc95925030"/>
      <w:r>
        <w:t>30.1</w:t>
      </w:r>
      <w:r>
        <w:tab/>
        <w:t>Условия</w:t>
      </w:r>
      <w:bookmarkEnd w:id="690"/>
      <w:bookmarkEnd w:id="691"/>
      <w:bookmarkEnd w:id="692"/>
      <w:bookmarkEnd w:id="693"/>
      <w:bookmarkEnd w:id="694"/>
      <w:r>
        <w:t xml:space="preserve"> </w:t>
      </w:r>
    </w:p>
    <w:p w14:paraId="41B6980F" w14:textId="4DC06036" w:rsidR="008907F4" w:rsidRPr="00ED188F" w:rsidRDefault="2FA6B974" w:rsidP="008907F4">
      <w:r>
        <w:rPr>
          <w:color w:val="000000" w:themeColor="text1"/>
        </w:rPr>
        <w:t>Предоставящият орган</w:t>
      </w:r>
      <w:r>
        <w:t xml:space="preserve"> може по всяко време временно да спре плащанията — изцяло или частично</w:t>
      </w:r>
      <w:r>
        <w:rPr>
          <w:i/>
          <w:iCs/>
        </w:rPr>
        <w:t> </w:t>
      </w:r>
      <w:r>
        <w:t>— за един или повече бенефициери, ако:</w:t>
      </w:r>
    </w:p>
    <w:p w14:paraId="14F44E38" w14:textId="77777777" w:rsidR="008907F4" w:rsidRPr="003316CF" w:rsidRDefault="2FA6B974" w:rsidP="2FA6B974">
      <w:pPr>
        <w:pStyle w:val="ListParagraph"/>
        <w:numPr>
          <w:ilvl w:val="0"/>
          <w:numId w:val="59"/>
        </w:numPr>
        <w:rPr>
          <w:color w:val="000000" w:themeColor="text1"/>
        </w:rPr>
      </w:pPr>
      <w:r>
        <w:rPr>
          <w:color w:val="000000" w:themeColor="text1"/>
        </w:rPr>
        <w:t>бенефициерът (или лице с правомощия за представителство, вземане на решения или контрол, или лице с ключова роля за отпускането/усвояването на безвъзмездните средства) е извършил или има съмнение, че е извършил:</w:t>
      </w:r>
    </w:p>
    <w:p w14:paraId="7B697ADB" w14:textId="77777777" w:rsidR="008907F4" w:rsidRPr="00ED188F" w:rsidRDefault="2FA6B974" w:rsidP="2FA6B974">
      <w:pPr>
        <w:pStyle w:val="ListParagraph"/>
        <w:numPr>
          <w:ilvl w:val="0"/>
          <w:numId w:val="60"/>
        </w:numPr>
        <w:ind w:left="1560"/>
        <w:rPr>
          <w:color w:val="000000" w:themeColor="text1"/>
        </w:rPr>
      </w:pPr>
      <w:r>
        <w:rPr>
          <w:color w:val="000000" w:themeColor="text1"/>
        </w:rPr>
        <w:t xml:space="preserve">сериозни грешки, нередности и измами, или </w:t>
      </w:r>
    </w:p>
    <w:p w14:paraId="189B0C76" w14:textId="77777777" w:rsidR="008907F4" w:rsidRPr="00667FF8" w:rsidRDefault="2FA6B974" w:rsidP="2FA6B974">
      <w:pPr>
        <w:pStyle w:val="ListParagraph"/>
        <w:numPr>
          <w:ilvl w:val="0"/>
          <w:numId w:val="60"/>
        </w:numPr>
        <w:ind w:left="1560"/>
        <w:rPr>
          <w:color w:val="000000" w:themeColor="text1"/>
        </w:rPr>
      </w:pPr>
      <w:r>
        <w:t xml:space="preserve">тежко нарушение на задълженията </w:t>
      </w:r>
      <w:r>
        <w:rPr>
          <w:color w:val="000000" w:themeColor="text1"/>
        </w:rPr>
        <w:t>по настоящото споразумение</w:t>
      </w:r>
      <w:r>
        <w:t xml:space="preserve"> или </w:t>
      </w:r>
      <w:r>
        <w:rPr>
          <w:color w:val="000000" w:themeColor="text1"/>
        </w:rPr>
        <w:t>по време на процедурата за възлагането му</w:t>
      </w:r>
      <w:r>
        <w:t xml:space="preserve"> (включително неправилно изпълнение на дейността, </w:t>
      </w:r>
      <w:r>
        <w:rPr>
          <w:color w:val="000000" w:themeColor="text1"/>
        </w:rPr>
        <w:t>неспазване на условията на поканата</w:t>
      </w:r>
      <w:r>
        <w:t>, представяне на невярна информация, непредоставяне на изисквана информация, нарушение на етичните правила или правилата за сигурност (ако са приложими) и др.), или</w:t>
      </w:r>
    </w:p>
    <w:p w14:paraId="0F39C9BC" w14:textId="4E6E6A71" w:rsidR="008907F4" w:rsidRPr="00730D0E" w:rsidRDefault="00730D0E" w:rsidP="2FA6B974">
      <w:pPr>
        <w:pStyle w:val="ListParagraph"/>
        <w:numPr>
          <w:ilvl w:val="0"/>
          <w:numId w:val="59"/>
        </w:numPr>
        <w:rPr>
          <w:color w:val="808080" w:themeColor="text1" w:themeTint="7F"/>
        </w:rPr>
      </w:pPr>
      <w:r>
        <w:rPr>
          <w:color w:val="7F7F7F" w:themeColor="text1" w:themeTint="80"/>
          <w:shd w:val="clear" w:color="auto" w:fill="CCFFFF"/>
        </w:rPr>
        <w:t>разширяването на обхвата на констатациите: не е приложимо</w:t>
      </w:r>
      <w:r>
        <w:rPr>
          <w:color w:val="7F7F7F" w:themeColor="text1" w:themeTint="80"/>
        </w:rPr>
        <w:t xml:space="preserve">. </w:t>
      </w:r>
    </w:p>
    <w:p w14:paraId="36FCF3FC" w14:textId="16490EE8" w:rsidR="008907F4" w:rsidRPr="005E41F4" w:rsidRDefault="2FA6B974" w:rsidP="2FA6B974">
      <w:pPr>
        <w:rPr>
          <w:rFonts w:eastAsia="Times New Roman"/>
        </w:rPr>
      </w:pPr>
      <w:r>
        <w:t xml:space="preserve">Ако плащанията бъдат временно спрени за един или повече бенефициери, </w:t>
      </w:r>
      <w:r>
        <w:rPr>
          <w:color w:val="000000" w:themeColor="text1"/>
        </w:rPr>
        <w:t>предоставящият орган</w:t>
      </w:r>
      <w:r>
        <w:t xml:space="preserve"> прави частично(и) плащане(ия) за частта(ите), която(които) не е(са) временно спряна(спрени). Когато временното спиране се отнася за окончателното плащане, плащането (или събирането) на оставащата сума след отмяната на спирането се счита за плащане, с което дейността приключва.</w:t>
      </w:r>
    </w:p>
    <w:p w14:paraId="2128D75A" w14:textId="77777777" w:rsidR="008907F4" w:rsidRPr="00ED188F" w:rsidRDefault="008907F4" w:rsidP="008907F4">
      <w:pPr>
        <w:pStyle w:val="Heading5"/>
      </w:pPr>
      <w:bookmarkStart w:id="695" w:name="_Toc435109077"/>
      <w:bookmarkStart w:id="696" w:name="_Toc529197784"/>
      <w:bookmarkStart w:id="697" w:name="_Toc24116179"/>
      <w:bookmarkStart w:id="698" w:name="_Toc24126658"/>
      <w:bookmarkStart w:id="699" w:name="_Toc95925031"/>
      <w:r>
        <w:t>30.2</w:t>
      </w:r>
      <w:r>
        <w:tab/>
        <w:t>Процедура</w:t>
      </w:r>
      <w:bookmarkEnd w:id="695"/>
      <w:bookmarkEnd w:id="696"/>
      <w:bookmarkEnd w:id="697"/>
      <w:bookmarkEnd w:id="698"/>
      <w:bookmarkEnd w:id="699"/>
    </w:p>
    <w:p w14:paraId="36DA5224" w14:textId="77777777" w:rsidR="008907F4" w:rsidRPr="005E41F4" w:rsidRDefault="2FA6B974" w:rsidP="2FA6B974">
      <w:pPr>
        <w:tabs>
          <w:tab w:val="num" w:pos="360"/>
        </w:tabs>
        <w:rPr>
          <w:rFonts w:eastAsia="Times New Roman"/>
        </w:rPr>
      </w:pPr>
      <w:r>
        <w:t xml:space="preserve">Преди да спре временно плащанията, предоставящият орган изпраща на съответния бенефициер </w:t>
      </w:r>
      <w:r>
        <w:rPr>
          <w:b/>
          <w:bCs/>
        </w:rPr>
        <w:t>писмо с предварителна информация</w:t>
      </w:r>
      <w:r>
        <w:t>:</w:t>
      </w:r>
    </w:p>
    <w:p w14:paraId="708DFCA0" w14:textId="77777777" w:rsidR="008907F4" w:rsidRPr="00ED188F" w:rsidRDefault="2FA6B974" w:rsidP="2FA6B974">
      <w:pPr>
        <w:numPr>
          <w:ilvl w:val="0"/>
          <w:numId w:val="10"/>
        </w:numPr>
        <w:rPr>
          <w:rFonts w:eastAsia="Times New Roman"/>
        </w:rPr>
      </w:pPr>
      <w:r>
        <w:t xml:space="preserve">с което го уведомява официално за намерението си да спре временно плащанията и за основанията за това; и </w:t>
      </w:r>
    </w:p>
    <w:p w14:paraId="12218641" w14:textId="77777777" w:rsidR="008907F4" w:rsidRPr="00ED188F" w:rsidRDefault="2FA6B974" w:rsidP="2FA6B974">
      <w:pPr>
        <w:numPr>
          <w:ilvl w:val="0"/>
          <w:numId w:val="10"/>
        </w:numPr>
        <w:rPr>
          <w:rFonts w:eastAsia="Times New Roman"/>
        </w:rPr>
      </w:pPr>
      <w:r>
        <w:t>с искане да представи коментари в срок от 30 дни от получаване на уведомлението.</w:t>
      </w:r>
    </w:p>
    <w:p w14:paraId="2B283678" w14:textId="3DE73DD4" w:rsidR="008907F4" w:rsidRPr="00ED188F" w:rsidRDefault="2FA6B974" w:rsidP="008907F4">
      <w:pPr>
        <w:rPr>
          <w:szCs w:val="24"/>
        </w:rPr>
      </w:pPr>
      <w:r>
        <w:t xml:space="preserve">Ако </w:t>
      </w:r>
      <w:r>
        <w:rPr>
          <w:color w:val="000000" w:themeColor="text1"/>
        </w:rPr>
        <w:t>предоставящият орган</w:t>
      </w:r>
      <w:r>
        <w:t xml:space="preserve"> не получи коментари или въпреки получените коментари вземе решение да пристъпи към процедурата, той потвърждава временното спиране (</w:t>
      </w:r>
      <w:r>
        <w:rPr>
          <w:b/>
          <w:bCs/>
        </w:rPr>
        <w:t>писмо за потвърждение</w:t>
      </w:r>
      <w:r>
        <w:t xml:space="preserve">). В противен случай той уведомява официално, че процедурата е прекратена. </w:t>
      </w:r>
    </w:p>
    <w:p w14:paraId="40BE5EAE" w14:textId="3C38BB5D" w:rsidR="008907F4" w:rsidRDefault="2FA6B974" w:rsidP="2FA6B974">
      <w:pPr>
        <w:tabs>
          <w:tab w:val="num" w:pos="360"/>
        </w:tabs>
        <w:rPr>
          <w:rFonts w:eastAsia="Times New Roman"/>
        </w:rPr>
      </w:pPr>
      <w:r>
        <w:t xml:space="preserve">В края на процедурата по временното спиране </w:t>
      </w:r>
      <w:r>
        <w:rPr>
          <w:color w:val="000000" w:themeColor="text1"/>
        </w:rPr>
        <w:t>предоставящият орган</w:t>
      </w:r>
      <w:r>
        <w:t xml:space="preserve"> уведомява също така координатора. </w:t>
      </w:r>
    </w:p>
    <w:p w14:paraId="6242FED1" w14:textId="77777777" w:rsidR="008907F4" w:rsidRPr="00625E53" w:rsidRDefault="2FA6B974" w:rsidP="2FA6B974">
      <w:pPr>
        <w:tabs>
          <w:tab w:val="num" w:pos="360"/>
        </w:tabs>
        <w:rPr>
          <w:rFonts w:eastAsia="Times New Roman"/>
        </w:rPr>
      </w:pPr>
      <w:r>
        <w:t xml:space="preserve">Временното спиране на плащанията </w:t>
      </w:r>
      <w:r>
        <w:rPr>
          <w:b/>
          <w:bCs/>
        </w:rPr>
        <w:t>поражда действие</w:t>
      </w:r>
      <w:r>
        <w:t xml:space="preserve"> в деня след изпращането на уведомлението за потвърждение. </w:t>
      </w:r>
    </w:p>
    <w:p w14:paraId="3F368E50" w14:textId="77777777" w:rsidR="008907F4" w:rsidRDefault="2FA6B974" w:rsidP="2FA6B974">
      <w:pPr>
        <w:rPr>
          <w:rFonts w:eastAsia="Times New Roman"/>
        </w:rPr>
      </w:pPr>
      <w:r>
        <w:lastRenderedPageBreak/>
        <w:t xml:space="preserve">Ако условията за възобновяване на плащанията са изпълнени, временното спиране </w:t>
      </w:r>
      <w:r>
        <w:rPr>
          <w:b/>
          <w:bCs/>
        </w:rPr>
        <w:t>се отменя</w:t>
      </w:r>
      <w:r>
        <w:t xml:space="preserve">. Предоставящият орган уведомява официално съответния бенефициер (и координатора) и определя датата за края на временното спиране на плащанията.  </w:t>
      </w:r>
    </w:p>
    <w:p w14:paraId="2AFE6C9A" w14:textId="77777777" w:rsidR="008907F4" w:rsidRPr="008F5E6B" w:rsidRDefault="2FA6B974" w:rsidP="2FA6B974">
      <w:pPr>
        <w:rPr>
          <w:rFonts w:eastAsia="Times New Roman"/>
          <w:i/>
          <w:iCs/>
        </w:rPr>
      </w:pPr>
      <w:r>
        <w:t>По време на временното спиране на съответните бенефициери не се изплаща предварително финансиране. За междинни плащания периодичните отчети за всички отчетни периоди освен последния (вж. член 21) не може да включват финансови отчети на съответния бенефициер (или свързаните с него субекти). Координаторът трябва да ги включи в следващия периодичен отчет след отмяната на временното спиране или — ако временното спиране не бъде отменено преди края на дейността — в последния периодичен отчет.</w:t>
      </w:r>
      <w:r>
        <w:rPr>
          <w:i/>
          <w:iCs/>
        </w:rPr>
        <w:t xml:space="preserve"> </w:t>
      </w:r>
    </w:p>
    <w:p w14:paraId="7D992C1B" w14:textId="77777777" w:rsidR="008907F4" w:rsidRPr="00894FAD" w:rsidRDefault="2FA6B974" w:rsidP="2FA6B974">
      <w:pPr>
        <w:pStyle w:val="Heading4"/>
      </w:pPr>
      <w:bookmarkStart w:id="700" w:name="_Toc95925032"/>
      <w:bookmarkStart w:id="701" w:name="_Toc97092421"/>
      <w:bookmarkStart w:id="702" w:name="_Toc530035931"/>
      <w:bookmarkStart w:id="703" w:name="_Toc435109078"/>
      <w:bookmarkStart w:id="704" w:name="_Toc524697249"/>
      <w:bookmarkStart w:id="705" w:name="_Toc529197785"/>
      <w:bookmarkStart w:id="706" w:name="_Toc24116180"/>
      <w:bookmarkStart w:id="707" w:name="_Toc24126659"/>
      <w:r>
        <w:t>ЧЛЕН 31 — ВРЕМЕННО СПИРАНЕ НА СПОРАЗУМЕНИЕТО ЗА ОТПУСКАНЕ НА БЕЗВЪЗМЕЗДНИ СРЕДСТВА</w:t>
      </w:r>
      <w:bookmarkEnd w:id="700"/>
      <w:r>
        <w:t xml:space="preserve"> </w:t>
      </w:r>
      <w:bookmarkEnd w:id="701"/>
      <w:bookmarkEnd w:id="702"/>
      <w:bookmarkEnd w:id="703"/>
      <w:bookmarkEnd w:id="704"/>
      <w:bookmarkEnd w:id="705"/>
      <w:bookmarkEnd w:id="706"/>
      <w:bookmarkEnd w:id="707"/>
    </w:p>
    <w:p w14:paraId="783DF1AE" w14:textId="0048B827" w:rsidR="008907F4" w:rsidRPr="00894FAD" w:rsidRDefault="008907F4" w:rsidP="008907F4">
      <w:pPr>
        <w:pStyle w:val="Heading5"/>
      </w:pPr>
      <w:bookmarkStart w:id="708" w:name="_Toc435109079"/>
      <w:bookmarkStart w:id="709" w:name="_Toc529197786"/>
      <w:bookmarkStart w:id="710" w:name="_Toc24116181"/>
      <w:bookmarkStart w:id="711" w:name="_Toc24126660"/>
      <w:bookmarkStart w:id="712" w:name="_Toc95925033"/>
      <w:r>
        <w:t>31.1</w:t>
      </w:r>
      <w:r>
        <w:tab/>
        <w:t>Временно спиране на споразумението за отпускане на безвъзмездни средства по искане на бенефициерите</w:t>
      </w:r>
      <w:bookmarkEnd w:id="708"/>
      <w:bookmarkEnd w:id="709"/>
      <w:bookmarkEnd w:id="710"/>
      <w:bookmarkEnd w:id="711"/>
      <w:bookmarkEnd w:id="712"/>
    </w:p>
    <w:p w14:paraId="7B6D935F" w14:textId="77777777" w:rsidR="008907F4" w:rsidRPr="00894FAD" w:rsidRDefault="2FA6B974" w:rsidP="2FA6B974">
      <w:pPr>
        <w:rPr>
          <w:rFonts w:eastAsia="Times New Roman"/>
          <w:b/>
          <w:bCs/>
        </w:rPr>
      </w:pPr>
      <w:r>
        <w:rPr>
          <w:b/>
          <w:bCs/>
        </w:rPr>
        <w:t>31.1.1 Условия и процедура</w:t>
      </w:r>
    </w:p>
    <w:p w14:paraId="35BBAAC2" w14:textId="77777777" w:rsidR="008907F4" w:rsidRPr="00894FAD" w:rsidRDefault="2FA6B974" w:rsidP="2FA6B974">
      <w:pPr>
        <w:rPr>
          <w:rFonts w:eastAsia="Times New Roman"/>
        </w:rPr>
      </w:pPr>
      <w:r>
        <w:t xml:space="preserve">Бенефициерите могат да поискат временно спиране на споразумението за отпускане на безвъзмездни средства или на част от него, ако </w:t>
      </w:r>
      <w:r>
        <w:rPr>
          <w:i/>
          <w:iCs/>
        </w:rPr>
        <w:t>извънредни обстоятелства</w:t>
      </w:r>
      <w:r>
        <w:t xml:space="preserve">, в частност непреодолима сила (вж. член 35), са направили изпълнението невъзможно или изключително трудно. </w:t>
      </w:r>
    </w:p>
    <w:p w14:paraId="7B92A911" w14:textId="77777777" w:rsidR="008907F4" w:rsidRPr="00894FAD" w:rsidRDefault="2FA6B974" w:rsidP="2FA6B974">
      <w:pPr>
        <w:rPr>
          <w:rFonts w:eastAsia="Times New Roman"/>
        </w:rPr>
      </w:pPr>
      <w:r>
        <w:t xml:space="preserve">Частично временно спиране на програмата не може да доведе до отлагане на крайната дата на проекта, посочена в Техническите спецификации (вж. точка 1). </w:t>
      </w:r>
    </w:p>
    <w:p w14:paraId="446CF427" w14:textId="77777777" w:rsidR="008907F4" w:rsidRPr="00894FAD" w:rsidRDefault="2FA6B974" w:rsidP="2FA6B974">
      <w:pPr>
        <w:rPr>
          <w:rFonts w:eastAsia="Times New Roman"/>
        </w:rPr>
      </w:pPr>
      <w:r>
        <w:t xml:space="preserve">Координаторът трябва да представи искане за </w:t>
      </w:r>
      <w:r>
        <w:rPr>
          <w:b/>
          <w:bCs/>
        </w:rPr>
        <w:t>изменение</w:t>
      </w:r>
      <w:r>
        <w:t xml:space="preserve"> (вж. член 39) с:</w:t>
      </w:r>
    </w:p>
    <w:p w14:paraId="22DF4321" w14:textId="1D328CD7" w:rsidR="008907F4" w:rsidRPr="00894FAD" w:rsidRDefault="2FA6B974" w:rsidP="2FA6B974">
      <w:pPr>
        <w:numPr>
          <w:ilvl w:val="0"/>
          <w:numId w:val="15"/>
        </w:numPr>
        <w:rPr>
          <w:rFonts w:eastAsia="Times New Roman"/>
        </w:rPr>
      </w:pPr>
      <w:r>
        <w:t xml:space="preserve">основанията за него; </w:t>
      </w:r>
    </w:p>
    <w:p w14:paraId="6A1EFCFC" w14:textId="77777777" w:rsidR="008907F4" w:rsidRPr="00894FAD" w:rsidRDefault="2FA6B974" w:rsidP="2FA6B974">
      <w:pPr>
        <w:numPr>
          <w:ilvl w:val="0"/>
          <w:numId w:val="15"/>
        </w:numPr>
        <w:rPr>
          <w:rFonts w:eastAsia="Times New Roman"/>
        </w:rPr>
      </w:pPr>
      <w:r>
        <w:t>датата, на която временното спиране влиза в сила; тази дата може да бъде преди датата, на която се подава искането за изменението; и</w:t>
      </w:r>
    </w:p>
    <w:p w14:paraId="41DC51FF" w14:textId="77777777" w:rsidR="008907F4" w:rsidRPr="00894FAD" w:rsidRDefault="2FA6B974" w:rsidP="2FA6B974">
      <w:pPr>
        <w:numPr>
          <w:ilvl w:val="0"/>
          <w:numId w:val="15"/>
        </w:numPr>
        <w:rPr>
          <w:rFonts w:eastAsia="Times New Roman"/>
        </w:rPr>
      </w:pPr>
      <w:r>
        <w:t>очакваната дата на възобновяване на изпълнението.</w:t>
      </w:r>
    </w:p>
    <w:p w14:paraId="3C42868B" w14:textId="77777777" w:rsidR="008907F4" w:rsidRPr="00894FAD" w:rsidRDefault="2FA6B974" w:rsidP="2FA6B974">
      <w:pPr>
        <w:tabs>
          <w:tab w:val="left" w:pos="0"/>
        </w:tabs>
        <w:rPr>
          <w:rFonts w:eastAsia="Times New Roman"/>
        </w:rPr>
      </w:pPr>
      <w:r>
        <w:t xml:space="preserve">Ако страната, която получава искането, подпише изменението, временното спиране </w:t>
      </w:r>
      <w:r>
        <w:rPr>
          <w:b/>
          <w:bCs/>
        </w:rPr>
        <w:t>поражда действие</w:t>
      </w:r>
      <w:r>
        <w:t xml:space="preserve"> от датата, посочена в изменението.</w:t>
      </w:r>
    </w:p>
    <w:p w14:paraId="5F305358" w14:textId="77777777" w:rsidR="008907F4" w:rsidRPr="00216C11" w:rsidRDefault="2FA6B974" w:rsidP="2FA6B974">
      <w:pPr>
        <w:rPr>
          <w:rFonts w:eastAsia="Times New Roman"/>
        </w:rPr>
      </w:pPr>
      <w:r>
        <w:t xml:space="preserve">След като обстоятелствата позволят възобновяване на изпълнението, координаторът трябва незабавно да поиска друго </w:t>
      </w:r>
      <w:r>
        <w:rPr>
          <w:b/>
          <w:bCs/>
        </w:rPr>
        <w:t>изменение</w:t>
      </w:r>
      <w:r>
        <w:t xml:space="preserve"> на споразумението, с което да се определи датата на края на временното спиране и датата на възобновяване на изпълнението (един ден след датата на края на временното спиране), както и да се направят други промени, необходими за адаптиране на дейността към новото положение (вж. член 39) — освен ако предоставянето на безвъзмездните средства не е прекратено (вж. член 32). Отмяната на временното спиране </w:t>
      </w:r>
      <w:r>
        <w:rPr>
          <w:b/>
          <w:bCs/>
        </w:rPr>
        <w:t>влиза в сила</w:t>
      </w:r>
      <w:r>
        <w:t xml:space="preserve"> от датата на края на временното спиране, посочена в изменението. Тази дата може да бъде преди датата, на която се подава искането за изменението. </w:t>
      </w:r>
    </w:p>
    <w:p w14:paraId="5BFA306F" w14:textId="77777777" w:rsidR="008907F4" w:rsidRDefault="2FA6B974" w:rsidP="2FA6B974">
      <w:pPr>
        <w:rPr>
          <w:rFonts w:eastAsia="Times New Roman"/>
        </w:rPr>
      </w:pPr>
      <w:r>
        <w:t xml:space="preserve">По време на временното спиране не се изплаща предварително финансиране. Направените разходи или вноските за дейности, извършени по време на временното </w:t>
      </w:r>
      <w:r>
        <w:lastRenderedPageBreak/>
        <w:t xml:space="preserve">спиране на споразумението за отпускане на безвъзмездните средства, не са допустими (вж. член 6.3). </w:t>
      </w:r>
    </w:p>
    <w:p w14:paraId="2820E785" w14:textId="14D274AE" w:rsidR="008907F4" w:rsidRPr="00AE668D" w:rsidRDefault="008907F4" w:rsidP="008907F4">
      <w:pPr>
        <w:pStyle w:val="Heading5"/>
      </w:pPr>
      <w:bookmarkStart w:id="713" w:name="_Toc529197787"/>
      <w:bookmarkStart w:id="714" w:name="_Toc435109080"/>
      <w:bookmarkStart w:id="715" w:name="_Toc24116182"/>
      <w:bookmarkStart w:id="716" w:name="_Toc24126661"/>
      <w:bookmarkStart w:id="717" w:name="_Toc95925034"/>
      <w:r>
        <w:t>31.2</w:t>
      </w:r>
      <w:r>
        <w:tab/>
        <w:t xml:space="preserve">Временно спиране на споразумението за отпускане на безвъзмездни средства по инициатива на </w:t>
      </w:r>
      <w:r>
        <w:rPr>
          <w:color w:val="000000"/>
        </w:rPr>
        <w:t>предоставящия орган</w:t>
      </w:r>
      <w:bookmarkEnd w:id="713"/>
      <w:bookmarkEnd w:id="714"/>
      <w:bookmarkEnd w:id="715"/>
      <w:bookmarkEnd w:id="716"/>
      <w:bookmarkEnd w:id="717"/>
    </w:p>
    <w:p w14:paraId="115EA0F3" w14:textId="77777777" w:rsidR="008907F4" w:rsidRPr="00AE668D" w:rsidRDefault="2FA6B974" w:rsidP="2FA6B974">
      <w:pPr>
        <w:tabs>
          <w:tab w:val="left" w:pos="1134"/>
        </w:tabs>
        <w:ind w:left="1134" w:hanging="1134"/>
        <w:rPr>
          <w:rFonts w:eastAsia="Times New Roman"/>
          <w:b/>
          <w:bCs/>
        </w:rPr>
      </w:pPr>
      <w:r>
        <w:rPr>
          <w:b/>
          <w:bCs/>
        </w:rPr>
        <w:t>31.2.1</w:t>
      </w:r>
      <w:r>
        <w:t xml:space="preserve"> </w:t>
      </w:r>
      <w:r>
        <w:rPr>
          <w:b/>
          <w:bCs/>
        </w:rPr>
        <w:t>Условия</w:t>
      </w:r>
    </w:p>
    <w:p w14:paraId="765156A0" w14:textId="57646AB3" w:rsidR="008907F4" w:rsidRPr="005E41F4" w:rsidRDefault="2FA6B974" w:rsidP="2FA6B974">
      <w:pPr>
        <w:rPr>
          <w:rFonts w:eastAsia="Times New Roman"/>
        </w:rPr>
      </w:pPr>
      <w:r>
        <w:t>Предоставящият орган може да спре временно споразумението за отпускане на безвъзмездни средства или част от него, ако:</w:t>
      </w:r>
    </w:p>
    <w:p w14:paraId="29753BDA" w14:textId="77777777" w:rsidR="008907F4" w:rsidRPr="000324E5" w:rsidRDefault="2FA6B974" w:rsidP="2FA6B974">
      <w:pPr>
        <w:pStyle w:val="ListParagraph"/>
        <w:numPr>
          <w:ilvl w:val="0"/>
          <w:numId w:val="75"/>
        </w:numPr>
        <w:rPr>
          <w:color w:val="000000" w:themeColor="text1"/>
        </w:rPr>
      </w:pPr>
      <w:r>
        <w:rPr>
          <w:color w:val="000000" w:themeColor="text1"/>
        </w:rPr>
        <w:t>бенефициерът (или лице с правомощия за представителство, вземане на решения или контрол, или лице с ключова роля за отпускането/усвояването на безвъзмездните средства) е извършил или има съмнение, че е извършил:</w:t>
      </w:r>
    </w:p>
    <w:p w14:paraId="1185DA43" w14:textId="77777777" w:rsidR="008907F4" w:rsidRPr="000324E5" w:rsidRDefault="2FA6B974" w:rsidP="2FA6B974">
      <w:pPr>
        <w:pStyle w:val="ListParagraph"/>
        <w:numPr>
          <w:ilvl w:val="0"/>
          <w:numId w:val="34"/>
        </w:numPr>
        <w:ind w:left="1800"/>
        <w:rPr>
          <w:color w:val="000000" w:themeColor="text1"/>
        </w:rPr>
      </w:pPr>
      <w:r>
        <w:rPr>
          <w:color w:val="000000" w:themeColor="text1"/>
        </w:rPr>
        <w:t xml:space="preserve">сериозни грешки, нередности и измами, или </w:t>
      </w:r>
    </w:p>
    <w:p w14:paraId="5712FB6E" w14:textId="77777777" w:rsidR="008907F4" w:rsidRPr="00667FF8" w:rsidRDefault="2FA6B974" w:rsidP="2FA6B974">
      <w:pPr>
        <w:pStyle w:val="ListParagraph"/>
        <w:numPr>
          <w:ilvl w:val="0"/>
          <w:numId w:val="34"/>
        </w:numPr>
        <w:ind w:left="1800"/>
        <w:rPr>
          <w:color w:val="000000" w:themeColor="text1"/>
        </w:rPr>
      </w:pPr>
      <w:r>
        <w:t xml:space="preserve">тежко нарушение на задълженията </w:t>
      </w:r>
      <w:r>
        <w:rPr>
          <w:color w:val="000000" w:themeColor="text1"/>
        </w:rPr>
        <w:t>по настоящото споразумение</w:t>
      </w:r>
      <w:r>
        <w:t xml:space="preserve"> или </w:t>
      </w:r>
      <w:r>
        <w:rPr>
          <w:color w:val="000000" w:themeColor="text1"/>
        </w:rPr>
        <w:t>по време на процедурата за възлагането му (включително неправилно изпълнение на дейността, неспазване на условията на поканата, представяне на невярна информация, непредоставяне на изисквана информация, нарушение на етичните правила или правилата за сигурност (ако са приложими) и др.), или</w:t>
      </w:r>
    </w:p>
    <w:p w14:paraId="0E44828E" w14:textId="3F89DDBD" w:rsidR="008907F4" w:rsidRPr="00730D0E" w:rsidRDefault="00730D0E" w:rsidP="2FA6B974">
      <w:pPr>
        <w:pStyle w:val="ListParagraph"/>
        <w:numPr>
          <w:ilvl w:val="0"/>
          <w:numId w:val="75"/>
        </w:numPr>
        <w:rPr>
          <w:color w:val="808080" w:themeColor="text1" w:themeTint="7F"/>
        </w:rPr>
      </w:pPr>
      <w:r>
        <w:rPr>
          <w:color w:val="7F7F7F" w:themeColor="text1" w:themeTint="80"/>
          <w:shd w:val="clear" w:color="auto" w:fill="CCFFFF"/>
        </w:rPr>
        <w:t>разширяването на обхвата на констатациите: не е приложимо</w:t>
      </w:r>
      <w:r>
        <w:rPr>
          <w:color w:val="7F7F7F" w:themeColor="text1" w:themeTint="80"/>
        </w:rPr>
        <w:t xml:space="preserve"> </w:t>
      </w:r>
    </w:p>
    <w:p w14:paraId="75514205" w14:textId="77777777" w:rsidR="008907F4" w:rsidRPr="008F2736" w:rsidRDefault="2FA6B974" w:rsidP="2FA6B974">
      <w:pPr>
        <w:pStyle w:val="ListParagraph"/>
        <w:numPr>
          <w:ilvl w:val="0"/>
          <w:numId w:val="75"/>
        </w:numPr>
      </w:pPr>
      <w:r>
        <w:t xml:space="preserve">други: </w:t>
      </w:r>
    </w:p>
    <w:p w14:paraId="0084A30C" w14:textId="6E682502" w:rsidR="00403903" w:rsidRPr="00372C98" w:rsidRDefault="00403903" w:rsidP="2FA6B974">
      <w:pPr>
        <w:pStyle w:val="ListParagraph"/>
        <w:numPr>
          <w:ilvl w:val="0"/>
          <w:numId w:val="64"/>
        </w:numPr>
        <w:ind w:left="1560"/>
      </w:pPr>
      <w:r>
        <w:rPr>
          <w:color w:val="7F7F7F" w:themeColor="text1" w:themeTint="80"/>
          <w:shd w:val="clear" w:color="auto" w:fill="CCFFFF"/>
        </w:rPr>
        <w:t>въпроси, свързани с дейността:</w:t>
      </w:r>
      <w:r>
        <w:rPr>
          <w:b/>
          <w:bCs/>
          <w:color w:val="7F7F7F" w:themeColor="text1" w:themeTint="80"/>
          <w:shd w:val="clear" w:color="auto" w:fill="CCFFFF"/>
        </w:rPr>
        <w:t xml:space="preserve"> </w:t>
      </w:r>
      <w:r>
        <w:rPr>
          <w:color w:val="7F7F7F" w:themeColor="text1" w:themeTint="80"/>
          <w:shd w:val="clear" w:color="auto" w:fill="CCFFFF"/>
        </w:rPr>
        <w:t>не е приложимо</w:t>
      </w:r>
    </w:p>
    <w:p w14:paraId="495EC21C" w14:textId="69499D53" w:rsidR="008907F4" w:rsidRPr="00B217B2" w:rsidRDefault="00403903" w:rsidP="2FA6B974">
      <w:pPr>
        <w:pStyle w:val="ListParagraph"/>
        <w:numPr>
          <w:ilvl w:val="0"/>
          <w:numId w:val="64"/>
        </w:numPr>
        <w:ind w:left="1560"/>
        <w:rPr>
          <w:color w:val="7F7F7F" w:themeColor="background1" w:themeShade="7F"/>
        </w:rPr>
      </w:pPr>
      <w:r>
        <w:rPr>
          <w:color w:val="7F7F7F" w:themeColor="text1" w:themeTint="80"/>
        </w:rPr>
        <w:t>допълнителни основания за временно спиране на споразумението за отпускане на безвъзмездни средства:</w:t>
      </w:r>
      <w:r>
        <w:rPr>
          <w:i/>
          <w:iCs/>
          <w:color w:val="7F7F7F" w:themeColor="text1" w:themeTint="80"/>
        </w:rPr>
        <w:t xml:space="preserve"> </w:t>
      </w:r>
      <w:r>
        <w:rPr>
          <w:color w:val="7F7F7F" w:themeColor="text1" w:themeTint="80"/>
        </w:rPr>
        <w:t>не е приложимо</w:t>
      </w:r>
      <w:r>
        <w:rPr>
          <w:color w:val="000000"/>
        </w:rPr>
        <w:t>.</w:t>
      </w:r>
    </w:p>
    <w:p w14:paraId="53499598" w14:textId="77777777" w:rsidR="008907F4" w:rsidRPr="005E41F4" w:rsidRDefault="2FA6B974" w:rsidP="2FA6B974">
      <w:pPr>
        <w:tabs>
          <w:tab w:val="left" w:pos="1134"/>
        </w:tabs>
        <w:ind w:left="1134" w:hanging="1134"/>
        <w:rPr>
          <w:rFonts w:eastAsia="Times New Roman"/>
          <w:b/>
          <w:bCs/>
        </w:rPr>
      </w:pPr>
      <w:r>
        <w:rPr>
          <w:b/>
          <w:bCs/>
        </w:rPr>
        <w:t>31.2.2 Процедура</w:t>
      </w:r>
    </w:p>
    <w:p w14:paraId="48FCD7DD" w14:textId="5A638B02" w:rsidR="008907F4" w:rsidRPr="005E41F4" w:rsidRDefault="2FA6B974" w:rsidP="2FA6B974">
      <w:pPr>
        <w:tabs>
          <w:tab w:val="left" w:pos="0"/>
        </w:tabs>
        <w:rPr>
          <w:rFonts w:eastAsia="Times New Roman"/>
        </w:rPr>
      </w:pPr>
      <w:r>
        <w:t xml:space="preserve">Преди да бъде спряно временно споразумението за отпускане на безвъзмездни средства, предоставящият орган ще изпрати на координатора </w:t>
      </w:r>
      <w:r>
        <w:rPr>
          <w:b/>
          <w:bCs/>
        </w:rPr>
        <w:t>писмо с предварителна информация</w:t>
      </w:r>
      <w:r>
        <w:t>:</w:t>
      </w:r>
    </w:p>
    <w:p w14:paraId="26F2057D" w14:textId="77777777" w:rsidR="008907F4" w:rsidRPr="005E41F4" w:rsidRDefault="2FA6B974" w:rsidP="2FA6B974">
      <w:pPr>
        <w:numPr>
          <w:ilvl w:val="0"/>
          <w:numId w:val="11"/>
        </w:numPr>
        <w:tabs>
          <w:tab w:val="left" w:pos="0"/>
        </w:tabs>
        <w:rPr>
          <w:rFonts w:eastAsia="Times New Roman"/>
        </w:rPr>
      </w:pPr>
      <w:r>
        <w:t xml:space="preserve">с което го уведомява официално за намерението си да спре временно споразумението за отпускане на безвъзмездни средства и за основанията за това; и </w:t>
      </w:r>
    </w:p>
    <w:p w14:paraId="2DC95BD6" w14:textId="77777777" w:rsidR="008907F4" w:rsidRPr="005E41F4" w:rsidRDefault="2FA6B974" w:rsidP="2FA6B974">
      <w:pPr>
        <w:numPr>
          <w:ilvl w:val="0"/>
          <w:numId w:val="11"/>
        </w:numPr>
        <w:tabs>
          <w:tab w:val="left" w:pos="0"/>
        </w:tabs>
        <w:rPr>
          <w:rFonts w:eastAsia="Times New Roman"/>
        </w:rPr>
      </w:pPr>
      <w:r>
        <w:t xml:space="preserve">с искане да представи коментари в срок от 30 дни от получаване на уведомлението. </w:t>
      </w:r>
    </w:p>
    <w:p w14:paraId="20D4E8E6" w14:textId="76F7BC30" w:rsidR="008907F4" w:rsidRPr="005E41F4" w:rsidRDefault="2FA6B974" w:rsidP="008907F4">
      <w:pPr>
        <w:tabs>
          <w:tab w:val="left" w:pos="0"/>
        </w:tabs>
        <w:rPr>
          <w:szCs w:val="24"/>
        </w:rPr>
      </w:pPr>
      <w:r>
        <w:t>Ако предоставящият орган не получи коментари или въпреки получените коментари вземе решение да пристъпи към процедурата, той потвърждава временното спиране (</w:t>
      </w:r>
      <w:r>
        <w:rPr>
          <w:b/>
          <w:bCs/>
        </w:rPr>
        <w:t>писмо за потвърждение</w:t>
      </w:r>
      <w:r>
        <w:t xml:space="preserve">). В противен случай той уведомява официално, че процедурата е прекратена. </w:t>
      </w:r>
    </w:p>
    <w:p w14:paraId="22F79653" w14:textId="77777777" w:rsidR="008907F4" w:rsidRPr="005E41F4" w:rsidRDefault="2FA6B974" w:rsidP="2FA6B974">
      <w:pPr>
        <w:tabs>
          <w:tab w:val="left" w:pos="0"/>
        </w:tabs>
        <w:rPr>
          <w:rFonts w:eastAsia="Times New Roman"/>
        </w:rPr>
      </w:pPr>
      <w:r>
        <w:t xml:space="preserve">Временното спиране </w:t>
      </w:r>
      <w:r>
        <w:rPr>
          <w:b/>
          <w:bCs/>
        </w:rPr>
        <w:t>поражда действие</w:t>
      </w:r>
      <w:r>
        <w:t xml:space="preserve"> в деня след изпращането на уведомлението за потвърждение (или на по-късна дата, посочена в уведомлението).</w:t>
      </w:r>
    </w:p>
    <w:p w14:paraId="0F4EAEAB" w14:textId="59106437" w:rsidR="008907F4" w:rsidRPr="005E41F4" w:rsidRDefault="2FA6B974" w:rsidP="2FA6B974">
      <w:pPr>
        <w:rPr>
          <w:rFonts w:eastAsia="Times New Roman"/>
        </w:rPr>
      </w:pPr>
      <w:r>
        <w:lastRenderedPageBreak/>
        <w:t xml:space="preserve">След като обстоятелствата позволят възобновяване на изпълнението на дейността, предоставящият орган уведомява официално координатора с </w:t>
      </w:r>
      <w:r>
        <w:rPr>
          <w:b/>
          <w:bCs/>
        </w:rPr>
        <w:t>писмо за отмяната на временното спиране</w:t>
      </w:r>
      <w:r>
        <w:t xml:space="preserve">, в което определя датата на края на временното спиране и отправя покана към координатора да поиска изменение на споразумението за определяне на дата на възобновяването му (един ден след датата на края на временното спиране), за удължаване на продължителността и за други промени, необходими за адаптиране на дейността към новото положение (вж. член 39) — освен ако предоставянето на безвъзмездните средства не е прекратено (вж. член 32). Отмяната на временното спиране </w:t>
      </w:r>
      <w:r>
        <w:rPr>
          <w:b/>
          <w:bCs/>
        </w:rPr>
        <w:t>влиза в сила</w:t>
      </w:r>
      <w:r>
        <w:t xml:space="preserve"> от датата на края на временното спиране, посочена в писмото за отмяна на временното спиране. Тази дата може да бъде преди датата на изпращане на писмото. </w:t>
      </w:r>
    </w:p>
    <w:p w14:paraId="588F98A8" w14:textId="77777777" w:rsidR="008907F4" w:rsidRPr="005E41F4" w:rsidRDefault="2FA6B974" w:rsidP="2FA6B974">
      <w:pPr>
        <w:rPr>
          <w:rFonts w:eastAsia="Times New Roman"/>
        </w:rPr>
      </w:pPr>
      <w:r>
        <w:t xml:space="preserve">По време на временното спиране не се изплаща предварително финансиране. Направените разходи или вноските за дейности, извършени по време на временното спиране, не са допустими (вж. член 6.3).  </w:t>
      </w:r>
    </w:p>
    <w:p w14:paraId="17E04A43" w14:textId="309D4F60" w:rsidR="008907F4" w:rsidRPr="005E41F4" w:rsidRDefault="2FA6B974" w:rsidP="008907F4">
      <w:pPr>
        <w:rPr>
          <w:szCs w:val="24"/>
        </w:rPr>
      </w:pPr>
      <w:r>
        <w:t>Бенефициерите нямат право да предявяват искове за нанесени вреди поради временното спиране от страна на предоставящия орган (вж. член 33).</w:t>
      </w:r>
    </w:p>
    <w:p w14:paraId="128DAF07" w14:textId="204553C2" w:rsidR="008907F4" w:rsidRPr="005E41F4" w:rsidRDefault="2FA6B974" w:rsidP="2FA6B974">
      <w:pPr>
        <w:rPr>
          <w:rFonts w:eastAsia="Times New Roman"/>
        </w:rPr>
      </w:pPr>
      <w:r>
        <w:t>Временното спиране на споразумението за отпускане на безвъзмездни средства не засяга правото на предоставящия орган</w:t>
      </w:r>
      <w:r>
        <w:rPr>
          <w:i/>
          <w:iCs/>
        </w:rPr>
        <w:t xml:space="preserve"> </w:t>
      </w:r>
      <w:r>
        <w:t>да прекрати споразумението за отпускане на безвъзмездни средства или участието на даден бенефициер (вж. член 32) или да намали размера на безвъзмездните средства (вж. член 28).</w:t>
      </w:r>
    </w:p>
    <w:p w14:paraId="60806C58" w14:textId="77777777" w:rsidR="008907F4" w:rsidRPr="00667FF8" w:rsidRDefault="2FA6B974" w:rsidP="2FA6B974">
      <w:pPr>
        <w:pStyle w:val="Heading4"/>
      </w:pPr>
      <w:bookmarkStart w:id="718" w:name="_Toc95925035"/>
      <w:bookmarkStart w:id="719" w:name="_Toc530035932"/>
      <w:bookmarkStart w:id="720" w:name="_Toc24116183"/>
      <w:bookmarkStart w:id="721" w:name="_Toc24126662"/>
      <w:bookmarkStart w:id="722" w:name="_Toc435109081"/>
      <w:bookmarkStart w:id="723" w:name="_Toc524697250"/>
      <w:bookmarkStart w:id="724" w:name="_Toc529197788"/>
      <w:r>
        <w:t>ЧЛЕН 32 — ПРЕКРАТЯВАНЕ НА СПОРАЗУМЕНИЕТО ЗА ОТПУСКАНЕ НА БЕЗВЪЗМЕЗДНИ СРЕДСТВА ИЛИ НА УЧАСТИЕТО НА БЕНЕФИЦИЕРА</w:t>
      </w:r>
      <w:bookmarkEnd w:id="718"/>
      <w:r>
        <w:t xml:space="preserve"> </w:t>
      </w:r>
      <w:bookmarkEnd w:id="719"/>
      <w:bookmarkEnd w:id="720"/>
      <w:bookmarkEnd w:id="721"/>
      <w:bookmarkEnd w:id="722"/>
      <w:bookmarkEnd w:id="723"/>
      <w:bookmarkEnd w:id="724"/>
    </w:p>
    <w:p w14:paraId="39C94CC7" w14:textId="77777777" w:rsidR="008907F4" w:rsidRPr="00667FF8" w:rsidRDefault="008907F4" w:rsidP="008907F4">
      <w:pPr>
        <w:pStyle w:val="Heading5"/>
      </w:pPr>
      <w:bookmarkStart w:id="725" w:name="_Toc435109082"/>
      <w:bookmarkStart w:id="726" w:name="_Toc529197789"/>
      <w:bookmarkStart w:id="727" w:name="_Toc24116184"/>
      <w:bookmarkStart w:id="728" w:name="_Toc24126663"/>
      <w:bookmarkStart w:id="729" w:name="_Toc95925036"/>
      <w:r>
        <w:t>32.1</w:t>
      </w:r>
      <w:r>
        <w:tab/>
        <w:t>Прекратяване на споразумението за отпускане на безвъзмездни средства по искане на бенефициерите</w:t>
      </w:r>
      <w:bookmarkEnd w:id="725"/>
      <w:bookmarkEnd w:id="726"/>
      <w:bookmarkEnd w:id="727"/>
      <w:bookmarkEnd w:id="728"/>
      <w:bookmarkEnd w:id="729"/>
      <w:r>
        <w:t xml:space="preserve"> </w:t>
      </w:r>
    </w:p>
    <w:p w14:paraId="7A933BD7" w14:textId="77777777" w:rsidR="008907F4" w:rsidRPr="00667FF8" w:rsidRDefault="2FA6B974" w:rsidP="2FA6B974">
      <w:pPr>
        <w:rPr>
          <w:rFonts w:eastAsia="Times New Roman"/>
          <w:b/>
          <w:bCs/>
        </w:rPr>
      </w:pPr>
      <w:r>
        <w:rPr>
          <w:b/>
          <w:bCs/>
        </w:rPr>
        <w:t>32.1.1 Условия и процедура</w:t>
      </w:r>
    </w:p>
    <w:p w14:paraId="7D6BA73B" w14:textId="77777777" w:rsidR="008907F4" w:rsidRPr="00667FF8" w:rsidRDefault="2FA6B974" w:rsidP="2FA6B974">
      <w:pPr>
        <w:rPr>
          <w:rFonts w:eastAsia="Times New Roman"/>
        </w:rPr>
      </w:pPr>
      <w:r>
        <w:t>Бенефициерите могат да поискат прекратяване на споразумението за отпускане на безвъзмездни средства.</w:t>
      </w:r>
    </w:p>
    <w:p w14:paraId="25FB73A7" w14:textId="77777777" w:rsidR="008907F4" w:rsidRPr="00667FF8" w:rsidRDefault="2FA6B974" w:rsidP="2FA6B974">
      <w:pPr>
        <w:rPr>
          <w:rFonts w:eastAsia="Times New Roman"/>
        </w:rPr>
      </w:pPr>
      <w:r>
        <w:t xml:space="preserve">Координаторът трябва да представи искане за </w:t>
      </w:r>
      <w:r>
        <w:rPr>
          <w:b/>
          <w:bCs/>
        </w:rPr>
        <w:t>изменение</w:t>
      </w:r>
      <w:r>
        <w:t xml:space="preserve"> (вж. член 39) с:</w:t>
      </w:r>
    </w:p>
    <w:p w14:paraId="3A9092D4" w14:textId="43E3D1A7" w:rsidR="008907F4" w:rsidRPr="00667FF8" w:rsidRDefault="2FA6B974" w:rsidP="2FA6B974">
      <w:pPr>
        <w:numPr>
          <w:ilvl w:val="0"/>
          <w:numId w:val="12"/>
        </w:numPr>
        <w:rPr>
          <w:rFonts w:eastAsia="Times New Roman"/>
        </w:rPr>
      </w:pPr>
      <w:r>
        <w:t xml:space="preserve">основанията за него; </w:t>
      </w:r>
    </w:p>
    <w:p w14:paraId="575D9B97" w14:textId="77777777" w:rsidR="008907F4" w:rsidRPr="00465AB7" w:rsidRDefault="2FA6B974" w:rsidP="2FA6B974">
      <w:pPr>
        <w:numPr>
          <w:ilvl w:val="0"/>
          <w:numId w:val="12"/>
        </w:numPr>
        <w:rPr>
          <w:rFonts w:eastAsia="Times New Roman"/>
        </w:rPr>
      </w:pPr>
      <w:r>
        <w:t>датата, на която бенефициерите прекратяват работа по дейността („дата на прекратяване на работата“) и</w:t>
      </w:r>
    </w:p>
    <w:p w14:paraId="3D26E21F" w14:textId="77777777" w:rsidR="008907F4" w:rsidRPr="00465AB7" w:rsidRDefault="2FA6B974" w:rsidP="2FA6B974">
      <w:pPr>
        <w:numPr>
          <w:ilvl w:val="0"/>
          <w:numId w:val="12"/>
        </w:numPr>
        <w:rPr>
          <w:rFonts w:eastAsia="Times New Roman"/>
        </w:rPr>
      </w:pPr>
      <w:r>
        <w:t>датата, на която прекратяването влиза в сила („дата на прекратяване“); тази дата трябва да бъде след датата, на която се подава искането за изменението.</w:t>
      </w:r>
    </w:p>
    <w:p w14:paraId="17BD992E" w14:textId="77777777" w:rsidR="008907F4" w:rsidRPr="009D6067" w:rsidRDefault="2FA6B974" w:rsidP="2FA6B974">
      <w:pPr>
        <w:rPr>
          <w:rFonts w:eastAsia="Times New Roman"/>
        </w:rPr>
      </w:pPr>
      <w:r>
        <w:t xml:space="preserve">Прекратяването </w:t>
      </w:r>
      <w:r>
        <w:rPr>
          <w:b/>
          <w:bCs/>
        </w:rPr>
        <w:t>поражда действие</w:t>
      </w:r>
      <w:r>
        <w:t xml:space="preserve"> на датата на прекратяването, посочена в изменението.</w:t>
      </w:r>
    </w:p>
    <w:p w14:paraId="5FAA2BFC" w14:textId="77777777" w:rsidR="008907F4" w:rsidRPr="009D6067" w:rsidRDefault="2FA6B974" w:rsidP="2FA6B974">
      <w:pPr>
        <w:rPr>
          <w:rFonts w:eastAsia="Times New Roman"/>
        </w:rPr>
      </w:pPr>
      <w:r>
        <w:t>Ако не са посочени основания за прекратяването или ако предоставящият орган сметне, че основанията не могат да бъдат причина за прекратяването, той може да счита споразумението за неправилно прекратено.</w:t>
      </w:r>
    </w:p>
    <w:p w14:paraId="1E665E2E" w14:textId="77777777" w:rsidR="008907F4" w:rsidRPr="009D6067" w:rsidRDefault="2FA6B974" w:rsidP="2FA6B974">
      <w:pPr>
        <w:rPr>
          <w:rFonts w:eastAsia="Times New Roman"/>
          <w:b/>
          <w:bCs/>
        </w:rPr>
      </w:pPr>
      <w:r>
        <w:rPr>
          <w:b/>
          <w:bCs/>
        </w:rPr>
        <w:lastRenderedPageBreak/>
        <w:t>32.1.2 Последици</w:t>
      </w:r>
    </w:p>
    <w:p w14:paraId="5837D94F" w14:textId="77777777" w:rsidR="008907F4" w:rsidRPr="009D6067" w:rsidRDefault="2FA6B974" w:rsidP="2FA6B974">
      <w:pPr>
        <w:rPr>
          <w:rFonts w:eastAsia="Times New Roman"/>
        </w:rPr>
      </w:pPr>
      <w:r>
        <w:t xml:space="preserve">В срок от 90 дни от датата, на която влиза в сила прекратяването, координаторът е длъжен да представи </w:t>
      </w:r>
      <w:r>
        <w:rPr>
          <w:b/>
          <w:bCs/>
        </w:rPr>
        <w:t>периодичен отчет</w:t>
      </w:r>
      <w:r>
        <w:t xml:space="preserve"> (за текущия отчетен период към момента на прекратяването), </w:t>
      </w:r>
      <w:r>
        <w:rPr>
          <w:b/>
          <w:bCs/>
        </w:rPr>
        <w:t>окончателния отчет</w:t>
      </w:r>
      <w:r>
        <w:t xml:space="preserve"> и </w:t>
      </w:r>
      <w:r>
        <w:rPr>
          <w:b/>
          <w:bCs/>
        </w:rPr>
        <w:t>изследването за оценка на резултатите</w:t>
      </w:r>
      <w:r>
        <w:t xml:space="preserve"> от мерките за информиране и насърчаване.</w:t>
      </w:r>
    </w:p>
    <w:p w14:paraId="71989A4A" w14:textId="2BB5D0C4" w:rsidR="008907F4" w:rsidRPr="002E6275" w:rsidRDefault="2FA6B974" w:rsidP="2FA6B974">
      <w:pPr>
        <w:rPr>
          <w:rFonts w:eastAsia="Times New Roman"/>
        </w:rPr>
      </w:pPr>
      <w:r>
        <w:t>Предоставящият орган изчислява</w:t>
      </w:r>
      <w:r>
        <w:rPr>
          <w:b/>
          <w:bCs/>
        </w:rPr>
        <w:t xml:space="preserve"> </w:t>
      </w:r>
      <w:r>
        <w:t>окончателния размер на безвъзмездните средства и окончателното плащане въз основа на представените отчет и изследване, като взема предвид направените разходи и вноските за дейности, извършени преди прекратяването да влезе в сила (вж. член 22). Разходите, свързани с изпълнение на поръчки след прекратяване на споразумението, не са допустими.</w:t>
      </w:r>
    </w:p>
    <w:p w14:paraId="06640CFC" w14:textId="7AAA3F98" w:rsidR="008907F4" w:rsidRPr="002E6275" w:rsidRDefault="2FA6B974" w:rsidP="2FA6B974">
      <w:pPr>
        <w:rPr>
          <w:rFonts w:eastAsia="Times New Roman"/>
        </w:rPr>
      </w:pPr>
      <w:r>
        <w:t>Ако предоставящият орган не получи отчетите в рамките на срока, се вземат предвид само разходите и вноските, които са включени в одобрен периодичен отчет (ако няма одобрен периодичен отчет, не се вземат предвид никакви разходи/вноски)</w:t>
      </w:r>
      <w:r>
        <w:rPr>
          <w:i/>
          <w:iCs/>
        </w:rPr>
        <w:t>.</w:t>
      </w:r>
    </w:p>
    <w:p w14:paraId="4752DC04" w14:textId="77777777" w:rsidR="008907F4" w:rsidRPr="005E41F4" w:rsidRDefault="2FA6B974" w:rsidP="2FA6B974">
      <w:pPr>
        <w:rPr>
          <w:rFonts w:eastAsia="Times New Roman"/>
        </w:rPr>
      </w:pPr>
      <w:r>
        <w:t>Неправилното прекратяване може да доведе до намаляване на размера на безвъзмездните средства (вж. член 28).</w:t>
      </w:r>
    </w:p>
    <w:p w14:paraId="50CF4F55" w14:textId="77777777" w:rsidR="008907F4" w:rsidRPr="005E41F4" w:rsidRDefault="2FA6B974" w:rsidP="2FA6B974">
      <w:pPr>
        <w:rPr>
          <w:rFonts w:eastAsia="Times New Roman"/>
        </w:rPr>
      </w:pPr>
      <w:r>
        <w:t xml:space="preserve">След прекратяването задълженията на бенефициерите (по-конкретно по членове 13 (поверителност и сигурност), 16 (право върху интелектуална собственост), 17 (комуникация, разпространение и видимост), 21 (докладване), 25 (проверки, прегледи, одити и разследвания), 26 (оценка на въздействието), 27 (непризнавания), 28 (намаляване на размера на безвъзмездните средства) и 42 (прехвърляне на вземания) продължават да се прилагат. </w:t>
      </w:r>
    </w:p>
    <w:p w14:paraId="3C234D77" w14:textId="77777777" w:rsidR="008907F4" w:rsidRPr="005E41F4" w:rsidRDefault="008907F4" w:rsidP="008907F4">
      <w:pPr>
        <w:pStyle w:val="Heading5"/>
      </w:pPr>
      <w:bookmarkStart w:id="730" w:name="_Toc24116185"/>
      <w:bookmarkStart w:id="731" w:name="_Toc24126664"/>
      <w:bookmarkStart w:id="732" w:name="_Toc95925037"/>
      <w:bookmarkStart w:id="733" w:name="_Toc435109083"/>
      <w:bookmarkStart w:id="734" w:name="_Toc529197790"/>
      <w:r>
        <w:t>32.2</w:t>
      </w:r>
      <w:r>
        <w:tab/>
        <w:t>Прекратяване на участието на бенефициер по искане на консорциума</w:t>
      </w:r>
      <w:bookmarkEnd w:id="730"/>
      <w:bookmarkEnd w:id="731"/>
      <w:bookmarkEnd w:id="732"/>
      <w:r>
        <w:t xml:space="preserve"> </w:t>
      </w:r>
      <w:bookmarkEnd w:id="733"/>
      <w:bookmarkEnd w:id="734"/>
    </w:p>
    <w:p w14:paraId="315FA30D" w14:textId="77777777" w:rsidR="008907F4" w:rsidRPr="0051575A" w:rsidRDefault="2FA6B974" w:rsidP="2FA6B974">
      <w:pPr>
        <w:rPr>
          <w:rFonts w:eastAsia="Times New Roman"/>
          <w:b/>
          <w:bCs/>
        </w:rPr>
      </w:pPr>
      <w:r>
        <w:rPr>
          <w:b/>
          <w:bCs/>
        </w:rPr>
        <w:t>32.2.1 Условия и процедура</w:t>
      </w:r>
    </w:p>
    <w:p w14:paraId="3CFEF4E0" w14:textId="77777777" w:rsidR="008907F4" w:rsidRPr="0051575A" w:rsidRDefault="2FA6B974" w:rsidP="2FA6B974">
      <w:pPr>
        <w:rPr>
          <w:rFonts w:eastAsia="Times New Roman"/>
        </w:rPr>
      </w:pPr>
      <w:r>
        <w:t xml:space="preserve">Координаторът може да поиска прекратяване на участието на един или повече бенефициери по искане на съответния бенефициер или от името на другите бенефициери. </w:t>
      </w:r>
    </w:p>
    <w:p w14:paraId="1C051656" w14:textId="77777777" w:rsidR="008907F4" w:rsidRDefault="2FA6B974" w:rsidP="2FA6B974">
      <w:pPr>
        <w:rPr>
          <w:rFonts w:eastAsia="Times New Roman"/>
        </w:rPr>
      </w:pPr>
      <w:r>
        <w:t xml:space="preserve">Координаторът трябва да представи искане за </w:t>
      </w:r>
      <w:r>
        <w:rPr>
          <w:b/>
          <w:bCs/>
        </w:rPr>
        <w:t>изменение</w:t>
      </w:r>
      <w:r>
        <w:t xml:space="preserve"> (вж. член 39) с:</w:t>
      </w:r>
    </w:p>
    <w:p w14:paraId="0A36965F" w14:textId="6F63A71D" w:rsidR="008907F4" w:rsidRPr="0051575A" w:rsidRDefault="2FA6B974" w:rsidP="2FA6B974">
      <w:pPr>
        <w:numPr>
          <w:ilvl w:val="0"/>
          <w:numId w:val="13"/>
        </w:numPr>
        <w:rPr>
          <w:rFonts w:eastAsia="Times New Roman"/>
        </w:rPr>
      </w:pPr>
      <w:r>
        <w:t xml:space="preserve">основанията за него; </w:t>
      </w:r>
    </w:p>
    <w:p w14:paraId="6B3365AB" w14:textId="05A91374" w:rsidR="008907F4" w:rsidRPr="0051575A" w:rsidRDefault="2FA6B974" w:rsidP="2FA6B974">
      <w:pPr>
        <w:numPr>
          <w:ilvl w:val="0"/>
          <w:numId w:val="13"/>
        </w:numPr>
        <w:rPr>
          <w:rFonts w:eastAsia="Times New Roman"/>
        </w:rPr>
      </w:pPr>
      <w:r>
        <w:t>становището на съответния бенефициер (или доказателство, че такова становище е било поискано писмено);</w:t>
      </w:r>
    </w:p>
    <w:p w14:paraId="2DD042F0" w14:textId="1DC0F5A5" w:rsidR="008907F4" w:rsidRPr="00465AB7" w:rsidRDefault="2FA6B974" w:rsidP="2FA6B974">
      <w:pPr>
        <w:numPr>
          <w:ilvl w:val="0"/>
          <w:numId w:val="13"/>
        </w:numPr>
        <w:rPr>
          <w:rFonts w:eastAsia="Times New Roman"/>
        </w:rPr>
      </w:pPr>
      <w:r>
        <w:t>датата, на която бенефициерът прекратява работа по дейността („дата на прекратяване на работата“);</w:t>
      </w:r>
    </w:p>
    <w:p w14:paraId="29A4C7BB" w14:textId="77777777" w:rsidR="008907F4" w:rsidRPr="009D6067" w:rsidRDefault="2FA6B974" w:rsidP="2FA6B974">
      <w:pPr>
        <w:numPr>
          <w:ilvl w:val="0"/>
          <w:numId w:val="13"/>
        </w:numPr>
        <w:rPr>
          <w:rFonts w:eastAsia="Times New Roman"/>
        </w:rPr>
      </w:pPr>
      <w:r>
        <w:t xml:space="preserve">датата, на която прекратяването влиза в сила („дата на прекратяване“); тази дата трябва да бъде след датата, на която се подава искането за изменението. </w:t>
      </w:r>
    </w:p>
    <w:p w14:paraId="318F22E8" w14:textId="77777777" w:rsidR="008907F4" w:rsidRPr="009D6067" w:rsidRDefault="2FA6B974" w:rsidP="2FA6B974">
      <w:r>
        <w:t>Ако прекратяването се отнася до координатора и се извършва без негово съгласие, искането за изменение се подава от друг бенефициер (действащ от името на консорциума).</w:t>
      </w:r>
    </w:p>
    <w:p w14:paraId="5B3AED2E" w14:textId="77777777" w:rsidR="008907F4" w:rsidRPr="009D6067" w:rsidRDefault="2FA6B974" w:rsidP="2FA6B974">
      <w:pPr>
        <w:rPr>
          <w:rFonts w:eastAsia="Times New Roman"/>
        </w:rPr>
      </w:pPr>
      <w:r>
        <w:lastRenderedPageBreak/>
        <w:t xml:space="preserve">Прекратяването </w:t>
      </w:r>
      <w:r>
        <w:rPr>
          <w:b/>
          <w:bCs/>
        </w:rPr>
        <w:t>поражда действие</w:t>
      </w:r>
      <w:r>
        <w:t xml:space="preserve"> на датата на прекратяването, посочена в изменението.</w:t>
      </w:r>
    </w:p>
    <w:p w14:paraId="7EA9E1D0" w14:textId="7FCE9589" w:rsidR="008907F4" w:rsidRPr="009D6067" w:rsidRDefault="2FA6B974" w:rsidP="2FA6B974">
      <w:pPr>
        <w:rPr>
          <w:rFonts w:eastAsia="Times New Roman"/>
        </w:rPr>
      </w:pPr>
      <w:r>
        <w:t>Ако не е предоставена информация за прекратяването или ако предоставящият орган сметне, че основанията не могат да бъдат причина за прекратяването, той може да счита участието на бенефициера за неправилно прекратено.</w:t>
      </w:r>
    </w:p>
    <w:p w14:paraId="5648DC2D" w14:textId="77777777" w:rsidR="008907F4" w:rsidRPr="009D6067" w:rsidRDefault="2FA6B974" w:rsidP="2FA6B974">
      <w:pPr>
        <w:rPr>
          <w:rFonts w:eastAsia="Times New Roman"/>
          <w:b/>
          <w:bCs/>
        </w:rPr>
      </w:pPr>
      <w:r>
        <w:rPr>
          <w:b/>
          <w:bCs/>
        </w:rPr>
        <w:t>32.2.2 Последици</w:t>
      </w:r>
    </w:p>
    <w:p w14:paraId="44338EAD" w14:textId="77777777" w:rsidR="008907F4" w:rsidRPr="009D6067" w:rsidRDefault="2FA6B974" w:rsidP="2FA6B974">
      <w:pPr>
        <w:rPr>
          <w:rFonts w:eastAsia="Times New Roman" w:cs="Times New Roman"/>
        </w:rPr>
      </w:pPr>
      <w:r>
        <w:t>Координаторът е длъжен — в срок от 60 дни от влизане в сила на прекратяването — да представи:</w:t>
      </w:r>
    </w:p>
    <w:p w14:paraId="08F56502" w14:textId="7B0D5EF1" w:rsidR="008907F4" w:rsidRPr="009D6067" w:rsidRDefault="2FA6B974" w:rsidP="2FA6B974">
      <w:pPr>
        <w:numPr>
          <w:ilvl w:val="0"/>
          <w:numId w:val="42"/>
        </w:numPr>
        <w:rPr>
          <w:rFonts w:eastAsia="Times New Roman" w:cs="Times New Roman"/>
        </w:rPr>
      </w:pPr>
      <w:r>
        <w:rPr>
          <w:b/>
          <w:bCs/>
        </w:rPr>
        <w:t>отчет за разпределението на плащанията</w:t>
      </w:r>
      <w:r>
        <w:t xml:space="preserve"> към съответния бенефициер; </w:t>
      </w:r>
    </w:p>
    <w:p w14:paraId="4930AF41" w14:textId="39792435" w:rsidR="008907F4" w:rsidRPr="009D6067" w:rsidRDefault="2FA6B974" w:rsidP="2FA6B974">
      <w:pPr>
        <w:numPr>
          <w:ilvl w:val="0"/>
          <w:numId w:val="42"/>
        </w:numPr>
        <w:rPr>
          <w:rFonts w:eastAsia="Times New Roman" w:cs="Times New Roman"/>
        </w:rPr>
      </w:pPr>
      <w:r>
        <w:rPr>
          <w:b/>
          <w:bCs/>
        </w:rPr>
        <w:t>отчет относно прекратяването</w:t>
      </w:r>
      <w:r>
        <w:t xml:space="preserve"> от съответния бенефициер за текущия отчетен период до прекратяването, който съдържа преглед на напредъка в изпълнението, както и финансовия отчет и, ако е приложимо, сертификата за финансовия отчет (СФО) или копия на съответните фактури и придружаващи документи (вж. членове 21 и 24.2 и Техническите спецификации точка 4.3);</w:t>
      </w:r>
    </w:p>
    <w:p w14:paraId="6BC02CEC" w14:textId="77777777" w:rsidR="008907F4" w:rsidRDefault="2FA6B974" w:rsidP="2FA6B974">
      <w:pPr>
        <w:numPr>
          <w:ilvl w:val="0"/>
          <w:numId w:val="42"/>
        </w:numPr>
        <w:rPr>
          <w:rFonts w:eastAsia="Times New Roman" w:cs="Times New Roman"/>
        </w:rPr>
      </w:pPr>
      <w:r>
        <w:t xml:space="preserve">второ </w:t>
      </w:r>
      <w:r>
        <w:rPr>
          <w:b/>
          <w:bCs/>
        </w:rPr>
        <w:t>искане за изменение</w:t>
      </w:r>
      <w:r>
        <w:t xml:space="preserve"> (вж. член 39) с други необходими изменения (например преразпределение на задачите и прогнозния бюджет на бенефициера, чието участие е прекратено; добавяне на нов бенефициер, който да замести бенефициера, чието участие е прекратено; смяна на координатора и др.).</w:t>
      </w:r>
    </w:p>
    <w:p w14:paraId="4688518B" w14:textId="33B24F7F" w:rsidR="008907F4" w:rsidRPr="002E6275" w:rsidRDefault="2FA6B974" w:rsidP="2FA6B974">
      <w:pPr>
        <w:rPr>
          <w:rFonts w:eastAsia="Times New Roman" w:cs="Times New Roman"/>
        </w:rPr>
      </w:pPr>
      <w:r>
        <w:t>Предоставящият орган изчислява</w:t>
      </w:r>
      <w:r>
        <w:rPr>
          <w:b/>
          <w:bCs/>
        </w:rPr>
        <w:t xml:space="preserve"> </w:t>
      </w:r>
      <w:r>
        <w:t>сумата, дължима на бенефициера, въз основа на представения доклад и вземайки предвид направените разходи и вноските за дейности, извършени преди прекратяването да влезе в сила (вж. член 22). Разходите, свързани с изпълнение на поръчки след прекратяване на споразумението, не са допустими.</w:t>
      </w:r>
    </w:p>
    <w:p w14:paraId="76AD2C6A" w14:textId="77777777" w:rsidR="008907F4" w:rsidRPr="002E6275" w:rsidRDefault="2FA6B974" w:rsidP="2FA6B974">
      <w:r>
        <w:t>Информацията в отчета относно прекратяването трябва също така да бъде включена в периодичния отчет за следващия отчетен период (вж. член 21).</w:t>
      </w:r>
    </w:p>
    <w:p w14:paraId="6C8DE66D" w14:textId="4EF054C5" w:rsidR="008907F4" w:rsidRPr="002E6275" w:rsidRDefault="2FA6B974" w:rsidP="2FA6B974">
      <w:pPr>
        <w:rPr>
          <w:rFonts w:eastAsia="Times New Roman" w:cs="Times New Roman"/>
        </w:rPr>
      </w:pPr>
      <w:r>
        <w:t>Ако предоставящият орган не получи отчета относно прекратяването в рамките на срока, се вземат предвид само разходите и вноските, които са включени в одобрен периодичен отчет (ако няма одобрен периодичен отчет, не се вземат предвид никакви разходи/вноски).</w:t>
      </w:r>
    </w:p>
    <w:p w14:paraId="1ACDD09F" w14:textId="006465D0" w:rsidR="008907F4" w:rsidRPr="002E6275" w:rsidRDefault="2FA6B974" w:rsidP="2FA6B974">
      <w:pPr>
        <w:rPr>
          <w:rFonts w:eastAsia="Times New Roman" w:cs="Times New Roman"/>
        </w:rPr>
      </w:pPr>
      <w:r>
        <w:t>Ако предоставящият орган не получи отчета за разпределението на плащанията в предвидения срок, то той приема, че:</w:t>
      </w:r>
    </w:p>
    <w:p w14:paraId="64C92253" w14:textId="77777777" w:rsidR="008907F4" w:rsidRPr="002E6275" w:rsidRDefault="2FA6B974" w:rsidP="2FA6B974">
      <w:pPr>
        <w:numPr>
          <w:ilvl w:val="0"/>
          <w:numId w:val="41"/>
        </w:numPr>
        <w:ind w:left="714" w:hanging="357"/>
        <w:rPr>
          <w:rFonts w:eastAsia="Times New Roman" w:cs="Times New Roman"/>
        </w:rPr>
      </w:pPr>
      <w:r>
        <w:t>координаторът не е разпределил никакви плащания към съответния бенефициер и</w:t>
      </w:r>
    </w:p>
    <w:p w14:paraId="1336BDB2" w14:textId="77777777" w:rsidR="008907F4" w:rsidRPr="002E6275" w:rsidRDefault="2FA6B974" w:rsidP="2FA6B974">
      <w:pPr>
        <w:numPr>
          <w:ilvl w:val="0"/>
          <w:numId w:val="41"/>
        </w:numPr>
        <w:ind w:left="714" w:hanging="357"/>
        <w:rPr>
          <w:rFonts w:eastAsia="Times New Roman" w:cs="Times New Roman"/>
        </w:rPr>
      </w:pPr>
      <w:r>
        <w:t xml:space="preserve">съответният бенефициер не е длъжен да връща никакви суми на координатора. </w:t>
      </w:r>
    </w:p>
    <w:p w14:paraId="36180C96" w14:textId="7A77F2B0" w:rsidR="008907F4" w:rsidRPr="009D6067" w:rsidRDefault="2FA6B974" w:rsidP="2FA6B974">
      <w:pPr>
        <w:rPr>
          <w:rFonts w:eastAsia="Times New Roman"/>
        </w:rPr>
      </w:pPr>
      <w:r>
        <w:t xml:space="preserve">Ако второто искане за изменение бъде прието от предоставящия орган, споразумението </w:t>
      </w:r>
      <w:r>
        <w:rPr>
          <w:b/>
          <w:bCs/>
        </w:rPr>
        <w:t>се изменя</w:t>
      </w:r>
      <w:r>
        <w:t xml:space="preserve"> с цел въвеждане на необходимите промени (вж. член 39).</w:t>
      </w:r>
    </w:p>
    <w:p w14:paraId="53A7B5CD" w14:textId="1EF106E3" w:rsidR="008907F4" w:rsidRPr="005E41F4" w:rsidRDefault="2FA6B974" w:rsidP="2FA6B974">
      <w:pPr>
        <w:rPr>
          <w:rFonts w:eastAsia="Times New Roman"/>
        </w:rPr>
      </w:pPr>
      <w:r>
        <w:t xml:space="preserve">Ако предоставящият орган отхвърли второто искане за изменение (защото то поставя под въпрос решението за отпускане на безвъзмездните средства или нарушава </w:t>
      </w:r>
      <w:r>
        <w:lastRenderedPageBreak/>
        <w:t>принципа на равно третиране на кандидатите) споразумението за отпускане на безвъзмездните средства може да бъде прекратено (вж. член 32).</w:t>
      </w:r>
    </w:p>
    <w:p w14:paraId="63F6551C" w14:textId="77777777" w:rsidR="008907F4" w:rsidRPr="005E41F4" w:rsidRDefault="2FA6B974" w:rsidP="2FA6B974">
      <w:pPr>
        <w:rPr>
          <w:rFonts w:eastAsia="Times New Roman"/>
        </w:rPr>
      </w:pPr>
      <w:r>
        <w:t>Неправилното прекратяване може да доведе до намаляване на размера на безвъзмездните средства (вж. член 31) или прекратяване на споразумението за отпускане на безвъзмездните средства (вж. член 32).</w:t>
      </w:r>
    </w:p>
    <w:p w14:paraId="7C2BF2A1" w14:textId="77777777" w:rsidR="008907F4" w:rsidRDefault="2FA6B974" w:rsidP="2FA6B974">
      <w:pPr>
        <w:rPr>
          <w:rFonts w:eastAsia="Times New Roman"/>
        </w:rPr>
      </w:pPr>
      <w:r>
        <w:t xml:space="preserve">След прекратяването задълженията на съответния бенефициер (по-конкретно по членове 13 (поверителност и сигурност), 16 (право върху интелектуална собственост), 17 (комуникация, разпространение и видимост), 21 (докладване), 25 (проверки, прегледи, одити и разследвания), 26 (оценка на въздействието), 27 (непризнавания), 28 (намаляване на размера на безвъзмездните средства) и 42 (прехвърляне на вземания) продължават да се прилагат. </w:t>
      </w:r>
    </w:p>
    <w:p w14:paraId="3D07F410" w14:textId="01944905" w:rsidR="008907F4" w:rsidRPr="005E41F4" w:rsidRDefault="008907F4" w:rsidP="008907F4">
      <w:pPr>
        <w:pStyle w:val="Heading5"/>
      </w:pPr>
      <w:bookmarkStart w:id="735" w:name="_Toc24116186"/>
      <w:bookmarkStart w:id="736" w:name="_Toc24126665"/>
      <w:bookmarkStart w:id="737" w:name="_Toc95925038"/>
      <w:bookmarkStart w:id="738" w:name="_Toc529197791"/>
      <w:bookmarkStart w:id="739" w:name="_Toc435109084"/>
      <w:r>
        <w:t>32.3</w:t>
      </w:r>
      <w:r>
        <w:tab/>
        <w:t>Прекратяване на споразумението за отпускане на безвъзмездни средства или на участието на бенефициер по инициатива на предоставящия орган</w:t>
      </w:r>
      <w:bookmarkEnd w:id="735"/>
      <w:bookmarkEnd w:id="736"/>
      <w:bookmarkEnd w:id="737"/>
      <w:r>
        <w:t xml:space="preserve"> </w:t>
      </w:r>
      <w:bookmarkEnd w:id="738"/>
      <w:bookmarkEnd w:id="739"/>
    </w:p>
    <w:p w14:paraId="752AE11A" w14:textId="77777777" w:rsidR="008907F4" w:rsidRPr="005E41F4" w:rsidRDefault="2FA6B974" w:rsidP="2FA6B974">
      <w:pPr>
        <w:ind w:left="1134" w:hanging="1134"/>
        <w:rPr>
          <w:rFonts w:eastAsia="Times New Roman"/>
          <w:b/>
          <w:bCs/>
        </w:rPr>
      </w:pPr>
      <w:r>
        <w:rPr>
          <w:b/>
          <w:bCs/>
        </w:rPr>
        <w:t>32.3.1 Условия</w:t>
      </w:r>
    </w:p>
    <w:p w14:paraId="090A93BE" w14:textId="61F0780F" w:rsidR="008907F4" w:rsidRPr="005E41F4" w:rsidRDefault="2FA6B974" w:rsidP="2FA6B974">
      <w:pPr>
        <w:rPr>
          <w:rFonts w:eastAsia="Times New Roman"/>
        </w:rPr>
      </w:pPr>
      <w:r>
        <w:t>Предоставящият орган може да прекрати споразумението за отпускане на безвъзмездни средства или участието на един или повече бенефициери, ако:</w:t>
      </w:r>
    </w:p>
    <w:p w14:paraId="75D285B6" w14:textId="6A3D438F" w:rsidR="008907F4" w:rsidRPr="00AB122F" w:rsidRDefault="2FA6B974" w:rsidP="2FA6B974">
      <w:pPr>
        <w:numPr>
          <w:ilvl w:val="0"/>
          <w:numId w:val="72"/>
        </w:numPr>
        <w:rPr>
          <w:rFonts w:eastAsia="Times New Roman"/>
          <w:color w:val="000000" w:themeColor="text1"/>
        </w:rPr>
      </w:pPr>
      <w:r>
        <w:rPr>
          <w:color w:val="000000" w:themeColor="text1"/>
        </w:rPr>
        <w:t>един или повече бенефициери не се присъединят към споразумението (вж. член 40);</w:t>
      </w:r>
    </w:p>
    <w:p w14:paraId="28607EF8" w14:textId="67A06110" w:rsidR="008907F4" w:rsidRPr="00BC47E8" w:rsidRDefault="2FA6B974" w:rsidP="2FA6B974">
      <w:pPr>
        <w:numPr>
          <w:ilvl w:val="0"/>
          <w:numId w:val="72"/>
        </w:numPr>
        <w:rPr>
          <w:rFonts w:eastAsia="Times New Roman"/>
          <w:color w:val="000000" w:themeColor="text1"/>
        </w:rPr>
      </w:pPr>
      <w:r>
        <w:rPr>
          <w:color w:val="000000" w:themeColor="text1"/>
        </w:rPr>
        <w:t>е налице промяна в дейността или в състоянието на бенефициера от юридически, финансов, технически, организационен или управленско-контролен характер, която е вероятно да се отрази съществено върху изпълнението на дейността или да постави под въпрос решението за възлагане на споразумението за отпускане на безвъзмездните средства (включително промени, свързани с едно от основанията за изключване, посочени в клетвената декларация);</w:t>
      </w:r>
    </w:p>
    <w:p w14:paraId="18F3C0A5" w14:textId="0F79866A" w:rsidR="008907F4" w:rsidRPr="00BC47E8" w:rsidRDefault="2FA6B974" w:rsidP="2FA6B974">
      <w:pPr>
        <w:numPr>
          <w:ilvl w:val="0"/>
          <w:numId w:val="72"/>
        </w:numPr>
        <w:rPr>
          <w:rFonts w:eastAsia="Times New Roman"/>
        </w:rPr>
      </w:pPr>
      <w:r>
        <w:rPr>
          <w:color w:val="000000" w:themeColor="text1"/>
        </w:rPr>
        <w:t>след прекратяване на участието на един или повече бенефициери необходимите промени в споразумението (и въздействието им върху дейността) биха</w:t>
      </w:r>
      <w:r>
        <w:t xml:space="preserve"> поставили под въпрос решението за отпускане на безвъзмездните средства или биха нарушили принципа на равно третиране на кандидатите; </w:t>
      </w:r>
    </w:p>
    <w:p w14:paraId="5A323788" w14:textId="0E66097D" w:rsidR="008907F4" w:rsidRPr="00BC47E8" w:rsidRDefault="2FA6B974" w:rsidP="2FA6B974">
      <w:pPr>
        <w:numPr>
          <w:ilvl w:val="0"/>
          <w:numId w:val="72"/>
        </w:numPr>
        <w:rPr>
          <w:rFonts w:eastAsia="Times New Roman"/>
          <w:color w:val="000000" w:themeColor="text1"/>
        </w:rPr>
      </w:pPr>
      <w:r>
        <w:rPr>
          <w:color w:val="000000" w:themeColor="text1"/>
        </w:rPr>
        <w:t>изпълнението на дейността е станало невъзможно или необходимите промени за продължаването ѝ биха</w:t>
      </w:r>
      <w:r>
        <w:t xml:space="preserve"> поставили под въпрос решението за отпускане на безвъзмездните средства или биха нарушили принципа на равно третиране на кандидатите;</w:t>
      </w:r>
    </w:p>
    <w:p w14:paraId="53894215" w14:textId="66B3A215" w:rsidR="008907F4" w:rsidRPr="00BC47E8" w:rsidRDefault="2FA6B974" w:rsidP="2FA6B974">
      <w:pPr>
        <w:numPr>
          <w:ilvl w:val="0"/>
          <w:numId w:val="72"/>
        </w:numPr>
        <w:rPr>
          <w:rFonts w:eastAsia="Times New Roman"/>
          <w:color w:val="000000" w:themeColor="text1"/>
        </w:rPr>
      </w:pPr>
      <w:r>
        <w:rPr>
          <w:color w:val="000000" w:themeColor="text1"/>
        </w:rPr>
        <w:t>бенефициер (или лице с неограничена отговорност за своите задължения) е обект на производство по фалит или подобна процедура (включително несъстоятелност, ликвидация, управление от ликвидатор или съд, споразумение с кредитори, преустановяване на стопанската дейност и др.);</w:t>
      </w:r>
    </w:p>
    <w:p w14:paraId="53B90C20" w14:textId="7D87F329" w:rsidR="008907F4" w:rsidRPr="00BC47E8" w:rsidRDefault="2FA6B974" w:rsidP="2FA6B974">
      <w:pPr>
        <w:numPr>
          <w:ilvl w:val="0"/>
          <w:numId w:val="72"/>
        </w:numPr>
        <w:rPr>
          <w:rFonts w:eastAsia="Times New Roman"/>
          <w:color w:val="000000" w:themeColor="text1"/>
        </w:rPr>
      </w:pPr>
      <w:r>
        <w:rPr>
          <w:color w:val="000000" w:themeColor="text1"/>
        </w:rPr>
        <w:t>бенефициер (или лице с неограничена отговорност за своите задължения) е нарушил задълженията си по отношение на плащането на социалноосигурителни вноски или данъци;</w:t>
      </w:r>
    </w:p>
    <w:p w14:paraId="7D13020F" w14:textId="357914A6" w:rsidR="008907F4" w:rsidRPr="00BC47E8" w:rsidRDefault="2FA6B974" w:rsidP="2FA6B974">
      <w:pPr>
        <w:numPr>
          <w:ilvl w:val="0"/>
          <w:numId w:val="72"/>
        </w:numPr>
        <w:rPr>
          <w:rFonts w:eastAsia="Times New Roman"/>
          <w:color w:val="000000" w:themeColor="text1"/>
        </w:rPr>
      </w:pPr>
      <w:r>
        <w:rPr>
          <w:color w:val="000000" w:themeColor="text1"/>
        </w:rPr>
        <w:lastRenderedPageBreak/>
        <w:t xml:space="preserve"> бенефициер (или лице с правомощия за представителство, вземане на решения или контрол, или лице с ключова роля за отпускането/усвояването на безвъзмездните средства) е признат за виновен за тежко професионално нарушение;</w:t>
      </w:r>
    </w:p>
    <w:p w14:paraId="5D4302DE" w14:textId="1C741422" w:rsidR="008907F4" w:rsidRPr="00BC47E8" w:rsidRDefault="2FA6B974" w:rsidP="2FA6B974">
      <w:pPr>
        <w:numPr>
          <w:ilvl w:val="0"/>
          <w:numId w:val="72"/>
        </w:numPr>
        <w:rPr>
          <w:rFonts w:eastAsia="Times New Roman"/>
          <w:color w:val="000000" w:themeColor="text1"/>
        </w:rPr>
      </w:pPr>
      <w:r>
        <w:rPr>
          <w:color w:val="000000" w:themeColor="text1"/>
        </w:rPr>
        <w:t>бенефициер (или лице с правомощия за представителство, вземане на решения или контрол, или лице с ключова роля за отпускането/усвояването на безвъзмездните средства) е извършил измама, корупция или участва в престъпна организация, изпиране на пари</w:t>
      </w:r>
      <w:r>
        <w:t>, престъпления, свързани с тероризъм (включително финансиране на тероризъм), детски труд или трафик на хора;</w:t>
      </w:r>
    </w:p>
    <w:p w14:paraId="6ED1DD94" w14:textId="7B06B8C2" w:rsidR="008907F4" w:rsidRPr="00B95CE3" w:rsidRDefault="2FA6B974" w:rsidP="2FA6B974">
      <w:pPr>
        <w:numPr>
          <w:ilvl w:val="0"/>
          <w:numId w:val="72"/>
        </w:numPr>
        <w:rPr>
          <w:rFonts w:eastAsia="Times New Roman"/>
          <w:color w:val="000000" w:themeColor="text1"/>
        </w:rPr>
      </w:pPr>
      <w:r>
        <w:rPr>
          <w:color w:val="000000" w:themeColor="text1"/>
        </w:rPr>
        <w:t>бенефициер (или лице с правомощия за представителство, вземане на решения или контрол, или лице с ключова роля за отпускането/усвояването на безвъзмездните средства) е бил</w:t>
      </w:r>
      <w:r>
        <w:t xml:space="preserve"> създаден под различна юрисдикция с намерението да бъдат заобиколени данъчни, социални или други правни задължения в страната на произход (или е създал друг субект с тази цел);</w:t>
      </w:r>
    </w:p>
    <w:p w14:paraId="042E7C4B" w14:textId="77777777" w:rsidR="008907F4" w:rsidRPr="000324E5" w:rsidRDefault="2FA6B974" w:rsidP="2FA6B974">
      <w:pPr>
        <w:numPr>
          <w:ilvl w:val="0"/>
          <w:numId w:val="72"/>
        </w:numPr>
        <w:rPr>
          <w:rFonts w:eastAsia="Times New Roman"/>
          <w:color w:val="000000" w:themeColor="text1"/>
        </w:rPr>
      </w:pPr>
      <w:r>
        <w:rPr>
          <w:color w:val="000000" w:themeColor="text1"/>
        </w:rPr>
        <w:t>бенефициер (или лице с правомощия за представителство, вземане на решения или контрол, или лице с ключова роля за отпускането/усвояването на безвъзмездните средства) е извършил:</w:t>
      </w:r>
    </w:p>
    <w:p w14:paraId="0662F0BD" w14:textId="77777777" w:rsidR="008907F4" w:rsidRPr="005E41F4" w:rsidRDefault="2FA6B974" w:rsidP="2FA6B974">
      <w:pPr>
        <w:numPr>
          <w:ilvl w:val="0"/>
          <w:numId w:val="73"/>
        </w:numPr>
        <w:ind w:left="1560"/>
        <w:rPr>
          <w:rFonts w:eastAsia="Times New Roman"/>
          <w:color w:val="000000" w:themeColor="text1"/>
        </w:rPr>
      </w:pPr>
      <w:r>
        <w:rPr>
          <w:color w:val="000000" w:themeColor="text1"/>
        </w:rPr>
        <w:t xml:space="preserve">сериозни грешки, нередности и измами, или </w:t>
      </w:r>
    </w:p>
    <w:p w14:paraId="1CBA2B93" w14:textId="29C51171" w:rsidR="008907F4" w:rsidRPr="00667FF8" w:rsidRDefault="2FA6B974" w:rsidP="2FA6B974">
      <w:pPr>
        <w:numPr>
          <w:ilvl w:val="0"/>
          <w:numId w:val="73"/>
        </w:numPr>
        <w:ind w:left="1560"/>
        <w:rPr>
          <w:rFonts w:eastAsia="Times New Roman"/>
          <w:color w:val="000000" w:themeColor="text1"/>
        </w:rPr>
      </w:pPr>
      <w:r>
        <w:rPr>
          <w:color w:val="000000" w:themeColor="text1"/>
        </w:rPr>
        <w:t>тежко нарушение на задълженията по настоящото споразумение или по време на процедурата за възлагането му (включително неправилно изпълнение на дейността, неспазване на условията на поканата, представяне на невярна информация, непредоставяне на изисквана информация, нарушение на етичните правила или правилата за сигурност (ако са приложими) и др.);</w:t>
      </w:r>
    </w:p>
    <w:p w14:paraId="2D2660A0" w14:textId="66D79495" w:rsidR="008907F4" w:rsidRPr="00730D0E" w:rsidRDefault="00403903" w:rsidP="2FA6B974">
      <w:pPr>
        <w:numPr>
          <w:ilvl w:val="0"/>
          <w:numId w:val="72"/>
        </w:numPr>
        <w:rPr>
          <w:rFonts w:eastAsia="Times New Roman"/>
          <w:color w:val="808080" w:themeColor="text1" w:themeTint="7F"/>
        </w:rPr>
      </w:pPr>
      <w:r>
        <w:rPr>
          <w:color w:val="7F7F7F" w:themeColor="text1" w:themeTint="80"/>
          <w:shd w:val="clear" w:color="auto" w:fill="CCFFFF"/>
        </w:rPr>
        <w:t>разширяването на обхвата на констатациите: не е приложимо</w:t>
      </w:r>
    </w:p>
    <w:p w14:paraId="345592C6" w14:textId="38EFB092" w:rsidR="008907F4" w:rsidRPr="00B217B2" w:rsidRDefault="008E3B99" w:rsidP="2FA6B974">
      <w:pPr>
        <w:numPr>
          <w:ilvl w:val="0"/>
          <w:numId w:val="72"/>
        </w:numPr>
        <w:rPr>
          <w:rFonts w:eastAsia="Times New Roman"/>
          <w:color w:val="7F7F7F" w:themeColor="background1" w:themeShade="7F"/>
        </w:rPr>
      </w:pPr>
      <w:r>
        <w:rPr>
          <w:color w:val="000000"/>
        </w:rPr>
        <w:t>въпреки изричното искане от предоставящия орган даден бенефициер не отправи искане — чрез координатора — за изменение на споразумението, с което да се прекрати участието на един от</w:t>
      </w:r>
      <w:r>
        <w:t xml:space="preserve"> асоциираните му партньори, </w:t>
      </w:r>
      <w:r>
        <w:rPr>
          <w:color w:val="000000"/>
        </w:rPr>
        <w:t>който се намира в една от ситуациите по букви г), д), е),</w:t>
      </w:r>
      <w:r>
        <w:t xml:space="preserve"> ж), з), и) или й), и </w:t>
      </w:r>
      <w:r>
        <w:rPr>
          <w:color w:val="000000"/>
        </w:rPr>
        <w:t>да се преразпределят неговите задачи, или</w:t>
      </w:r>
      <w:r>
        <w:t>;</w:t>
      </w:r>
    </w:p>
    <w:p w14:paraId="53FA9573" w14:textId="77777777" w:rsidR="00403903" w:rsidRPr="00403903" w:rsidRDefault="2FA6B974" w:rsidP="2FA6B974">
      <w:pPr>
        <w:numPr>
          <w:ilvl w:val="0"/>
          <w:numId w:val="72"/>
        </w:numPr>
        <w:rPr>
          <w:rFonts w:eastAsia="Times New Roman"/>
          <w:color w:val="7F7F7F" w:themeColor="background1" w:themeShade="7F"/>
        </w:rPr>
      </w:pPr>
      <w:r>
        <w:rPr>
          <w:color w:val="7F7F7F" w:themeColor="background1" w:themeShade="7F"/>
        </w:rPr>
        <w:t xml:space="preserve"> други: </w:t>
      </w:r>
    </w:p>
    <w:p w14:paraId="4F4450FE" w14:textId="361C7088" w:rsidR="00403903" w:rsidRPr="00403903" w:rsidRDefault="00403903" w:rsidP="2FA6B974">
      <w:pPr>
        <w:numPr>
          <w:ilvl w:val="0"/>
          <w:numId w:val="103"/>
        </w:numPr>
        <w:ind w:left="1560"/>
        <w:rPr>
          <w:rFonts w:eastAsia="Times New Roman"/>
        </w:rPr>
      </w:pPr>
      <w:r>
        <w:rPr>
          <w:color w:val="7F7F7F" w:themeColor="text1" w:themeTint="80"/>
          <w:shd w:val="clear" w:color="auto" w:fill="CCFFFF"/>
        </w:rPr>
        <w:t>въпроси, свързани с дейността:</w:t>
      </w:r>
      <w:r>
        <w:rPr>
          <w:b/>
          <w:bCs/>
          <w:color w:val="7F7F7F" w:themeColor="text1" w:themeTint="80"/>
          <w:shd w:val="clear" w:color="auto" w:fill="CCFFFF"/>
        </w:rPr>
        <w:t xml:space="preserve"> </w:t>
      </w:r>
      <w:r>
        <w:rPr>
          <w:color w:val="7F7F7F" w:themeColor="text1" w:themeTint="80"/>
          <w:shd w:val="clear" w:color="auto" w:fill="CCFFFF"/>
        </w:rPr>
        <w:t>не е приложимо</w:t>
      </w:r>
    </w:p>
    <w:p w14:paraId="51EC75B1" w14:textId="6B9F4023" w:rsidR="008907F4" w:rsidRPr="00B217B2" w:rsidRDefault="00403903" w:rsidP="2FA6B974">
      <w:pPr>
        <w:numPr>
          <w:ilvl w:val="0"/>
          <w:numId w:val="103"/>
        </w:numPr>
        <w:ind w:left="1560"/>
        <w:rPr>
          <w:rFonts w:eastAsia="Times New Roman"/>
          <w:color w:val="7F7F7F" w:themeColor="background1" w:themeShade="7F"/>
        </w:rPr>
      </w:pPr>
      <w:r>
        <w:rPr>
          <w:color w:val="7F7F7F" w:themeColor="text1" w:themeTint="80"/>
        </w:rPr>
        <w:t>допълнителни основания за прекратяване на споразумението за отпускане на безвъзмездни средства:</w:t>
      </w:r>
      <w:r>
        <w:rPr>
          <w:i/>
          <w:iCs/>
          <w:color w:val="7F7F7F" w:themeColor="text1" w:themeTint="80"/>
        </w:rPr>
        <w:t xml:space="preserve"> </w:t>
      </w:r>
      <w:r>
        <w:rPr>
          <w:color w:val="7F7F7F" w:themeColor="text1" w:themeTint="80"/>
        </w:rPr>
        <w:t>не е приложимо.</w:t>
      </w:r>
    </w:p>
    <w:p w14:paraId="776BF73E" w14:textId="77777777" w:rsidR="008907F4" w:rsidRPr="005E41F4" w:rsidRDefault="008907F4" w:rsidP="2FA6B974">
      <w:pPr>
        <w:tabs>
          <w:tab w:val="left" w:pos="851"/>
        </w:tabs>
        <w:rPr>
          <w:rFonts w:eastAsia="Times New Roman"/>
          <w:b/>
          <w:bCs/>
        </w:rPr>
      </w:pPr>
      <w:r>
        <w:rPr>
          <w:b/>
          <w:bCs/>
        </w:rPr>
        <w:t xml:space="preserve">32.3.2 </w:t>
      </w:r>
      <w:r>
        <w:tab/>
      </w:r>
      <w:r>
        <w:rPr>
          <w:b/>
          <w:bCs/>
        </w:rPr>
        <w:t>Процедура</w:t>
      </w:r>
      <w:r>
        <w:tab/>
      </w:r>
    </w:p>
    <w:p w14:paraId="03F8ED9A" w14:textId="00A71133" w:rsidR="008907F4" w:rsidRPr="005E41F4" w:rsidRDefault="2FA6B974" w:rsidP="2FA6B974">
      <w:pPr>
        <w:tabs>
          <w:tab w:val="left" w:pos="851"/>
        </w:tabs>
        <w:rPr>
          <w:rFonts w:eastAsia="Times New Roman"/>
        </w:rPr>
      </w:pPr>
      <w:r>
        <w:t xml:space="preserve">Преди да прекрати споразумението за отпускане на безвъзмездни средства или участието на един или повече бенефициери, предоставящият орган изпраща на координатора или на съответния бенефициер </w:t>
      </w:r>
      <w:r>
        <w:rPr>
          <w:b/>
          <w:bCs/>
        </w:rPr>
        <w:t>писмо с предварителна информация</w:t>
      </w:r>
      <w:r>
        <w:t xml:space="preserve">: </w:t>
      </w:r>
    </w:p>
    <w:p w14:paraId="7FBFEBF5" w14:textId="77777777" w:rsidR="008907F4" w:rsidRPr="005E41F4" w:rsidRDefault="2FA6B974" w:rsidP="2FA6B974">
      <w:pPr>
        <w:numPr>
          <w:ilvl w:val="0"/>
          <w:numId w:val="7"/>
        </w:numPr>
        <w:ind w:left="709" w:hanging="291"/>
        <w:rPr>
          <w:rFonts w:eastAsia="Times New Roman"/>
        </w:rPr>
      </w:pPr>
      <w:r>
        <w:lastRenderedPageBreak/>
        <w:t>с което го уведомява официално за намерението си за прекратяване и за основанията за това; и</w:t>
      </w:r>
    </w:p>
    <w:p w14:paraId="00CC0CFF" w14:textId="77777777" w:rsidR="008907F4" w:rsidRPr="00A043BC" w:rsidRDefault="2FA6B974" w:rsidP="2FA6B974">
      <w:pPr>
        <w:numPr>
          <w:ilvl w:val="0"/>
          <w:numId w:val="7"/>
        </w:numPr>
        <w:ind w:left="709" w:hanging="291"/>
        <w:rPr>
          <w:rFonts w:eastAsia="Times New Roman"/>
        </w:rPr>
      </w:pPr>
      <w:r>
        <w:t xml:space="preserve">с искане да представи коментари в срок от 30 дни от получаване на уведомлението.  </w:t>
      </w:r>
    </w:p>
    <w:p w14:paraId="2F1B30D6" w14:textId="49C919E7" w:rsidR="008907F4" w:rsidRDefault="2FA6B974" w:rsidP="2FA6B974">
      <w:pPr>
        <w:rPr>
          <w:rFonts w:eastAsia="Times New Roman"/>
        </w:rPr>
      </w:pPr>
      <w:r>
        <w:t>Ако предоставящият орган не получи коментари или въпреки получените коментари вземе решение да пристъпи към процедурата, той потвърждава прекратяването и датата, на която то влиза в сила (</w:t>
      </w:r>
      <w:r>
        <w:rPr>
          <w:b/>
          <w:bCs/>
        </w:rPr>
        <w:t>писмо за потвърждение</w:t>
      </w:r>
      <w:r>
        <w:t xml:space="preserve">). В противен случай той уведомява официално, че процедурата е прекратена. </w:t>
      </w:r>
    </w:p>
    <w:p w14:paraId="412D3CF0" w14:textId="60D786F4" w:rsidR="008907F4" w:rsidRPr="005E41F4" w:rsidRDefault="2FA6B974" w:rsidP="2FA6B974">
      <w:pPr>
        <w:tabs>
          <w:tab w:val="num" w:pos="360"/>
        </w:tabs>
        <w:rPr>
          <w:rFonts w:eastAsia="Times New Roman"/>
        </w:rPr>
      </w:pPr>
      <w:r>
        <w:t xml:space="preserve">При прекратяване на участието на бенефициер предоставящият орган уведомява също така координатора в края на процедурата. </w:t>
      </w:r>
    </w:p>
    <w:p w14:paraId="7F879531" w14:textId="5135FBAD" w:rsidR="008907F4" w:rsidRPr="005E41F4" w:rsidRDefault="2FA6B974" w:rsidP="2FA6B974">
      <w:pPr>
        <w:rPr>
          <w:rFonts w:eastAsia="Times New Roman"/>
        </w:rPr>
      </w:pPr>
      <w:r>
        <w:t xml:space="preserve">Прекратяването </w:t>
      </w:r>
      <w:r>
        <w:rPr>
          <w:b/>
          <w:bCs/>
        </w:rPr>
        <w:t>поражда действие</w:t>
      </w:r>
      <w:r>
        <w:t xml:space="preserve"> в деня след изпращането на уведомлението за потвърждение (или на по-късна дата, посочена в уведомлението; „дата на прекратяване“).</w:t>
      </w:r>
    </w:p>
    <w:p w14:paraId="0F7384C5" w14:textId="77777777" w:rsidR="008907F4" w:rsidRPr="005E41F4" w:rsidRDefault="008907F4" w:rsidP="2FA6B974">
      <w:pPr>
        <w:tabs>
          <w:tab w:val="left" w:pos="851"/>
        </w:tabs>
        <w:rPr>
          <w:rFonts w:eastAsia="Times New Roman"/>
        </w:rPr>
      </w:pPr>
      <w:r>
        <w:rPr>
          <w:b/>
          <w:bCs/>
        </w:rPr>
        <w:t>32.3.3</w:t>
      </w:r>
      <w:r>
        <w:tab/>
      </w:r>
      <w:r>
        <w:rPr>
          <w:b/>
          <w:bCs/>
        </w:rPr>
        <w:t xml:space="preserve">Последици </w:t>
      </w:r>
    </w:p>
    <w:p w14:paraId="5DB938BB" w14:textId="77777777" w:rsidR="008907F4" w:rsidRPr="005E41F4" w:rsidRDefault="2FA6B974" w:rsidP="2FA6B974">
      <w:pPr>
        <w:pStyle w:val="ListParagraph"/>
        <w:numPr>
          <w:ilvl w:val="0"/>
          <w:numId w:val="63"/>
        </w:numPr>
      </w:pPr>
      <w:r>
        <w:t xml:space="preserve">При </w:t>
      </w:r>
      <w:r>
        <w:rPr>
          <w:b/>
          <w:bCs/>
        </w:rPr>
        <w:t>прекратяване на споразумението за отпускане на безвъзмездни средства</w:t>
      </w:r>
      <w:r>
        <w:t xml:space="preserve">: </w:t>
      </w:r>
    </w:p>
    <w:p w14:paraId="25C23C7F" w14:textId="77777777" w:rsidR="008907F4" w:rsidRPr="00213F96" w:rsidRDefault="2FA6B974" w:rsidP="2FA6B974">
      <w:pPr>
        <w:ind w:left="720"/>
        <w:rPr>
          <w:rFonts w:eastAsia="Times New Roman"/>
        </w:rPr>
      </w:pPr>
      <w:r>
        <w:t xml:space="preserve">В срок от 90 дни от датата, на която влиза в сила прекратяването, координаторът е длъжен да представи </w:t>
      </w:r>
      <w:r>
        <w:rPr>
          <w:b/>
          <w:bCs/>
        </w:rPr>
        <w:t>периодичен отчет</w:t>
      </w:r>
      <w:r>
        <w:t xml:space="preserve"> (за последния текущ отчетен период към момента на прекратяването), </w:t>
      </w:r>
      <w:r>
        <w:rPr>
          <w:b/>
          <w:bCs/>
        </w:rPr>
        <w:t>окончателния отчет</w:t>
      </w:r>
      <w:r>
        <w:t xml:space="preserve"> и </w:t>
      </w:r>
      <w:r>
        <w:rPr>
          <w:b/>
          <w:bCs/>
        </w:rPr>
        <w:t>изследване за оценка на резултатите</w:t>
      </w:r>
      <w:r>
        <w:t xml:space="preserve"> от мерките за информиране и насърчаване.</w:t>
      </w:r>
    </w:p>
    <w:p w14:paraId="27979075" w14:textId="2752E6F1" w:rsidR="008907F4" w:rsidRPr="008C52C3" w:rsidRDefault="2FA6B974" w:rsidP="2FA6B974">
      <w:pPr>
        <w:ind w:left="720"/>
      </w:pPr>
      <w:r>
        <w:t>Предоставящият орган изчислява окончателния размер на безвъзмездните средства и окончателното плащане въз основа на представения доклад и вземайки предвид направените разходи и вноските за дейности, извършени преди прекратяването да влезе в сила (вж. член 22). Разходите, свързани с изпълнение на поръчки след прекратяване на споразумението, не са допустими.</w:t>
      </w:r>
    </w:p>
    <w:p w14:paraId="7C8D9471" w14:textId="77777777" w:rsidR="008907F4" w:rsidRPr="00915279" w:rsidRDefault="2FA6B974" w:rsidP="2FA6B974">
      <w:pPr>
        <w:ind w:left="720"/>
        <w:rPr>
          <w:rFonts w:eastAsia="Times New Roman"/>
        </w:rPr>
      </w:pPr>
      <w:r>
        <w:t>Ако споразумението за отпускане на безвъзмездни средства се прекратява в резултат на нарушение на задължението за подаване на доклади, координаторът не може да представя доклади след прекратяването.</w:t>
      </w:r>
    </w:p>
    <w:p w14:paraId="5E84BF3D" w14:textId="40A504DF" w:rsidR="008907F4" w:rsidRPr="00915279" w:rsidRDefault="2FA6B974" w:rsidP="2FA6B974">
      <w:pPr>
        <w:ind w:left="720"/>
        <w:rPr>
          <w:rFonts w:eastAsia="Times New Roman"/>
        </w:rPr>
      </w:pPr>
      <w:r>
        <w:t>Ако предоставящият орган не получи отчета в рамките на срока, се вземат предвид само разходите и вноските, които са включени в одобрен периодичен отчет (ако няма одобрен периодичен отчет, не се вземат предвид никакви разходи/вноски).</w:t>
      </w:r>
    </w:p>
    <w:p w14:paraId="25A981AB" w14:textId="50B67F22" w:rsidR="008907F4" w:rsidRPr="005E41F4" w:rsidRDefault="2FA6B974" w:rsidP="2FA6B974">
      <w:pPr>
        <w:ind w:left="720"/>
        <w:rPr>
          <w:rFonts w:eastAsia="Times New Roman"/>
        </w:rPr>
      </w:pPr>
      <w:r>
        <w:t xml:space="preserve">Прекратяването не засяга правото на предоставящия орган да намалява размера на безвъзмездните средства (вж. член 28) или да налага административни санкции (вж. член 34). </w:t>
      </w:r>
    </w:p>
    <w:p w14:paraId="72E05648" w14:textId="2D0A0232" w:rsidR="008907F4" w:rsidRPr="005E41F4" w:rsidRDefault="2FA6B974" w:rsidP="2FA6B974">
      <w:pPr>
        <w:ind w:left="719"/>
        <w:rPr>
          <w:rFonts w:eastAsia="Times New Roman"/>
        </w:rPr>
      </w:pPr>
      <w:r>
        <w:t>Бенефициерите нямат право да предявяват искове за нанесени вреди поради прекратяването от страна на предоставящия орган (вж. член 33).</w:t>
      </w:r>
    </w:p>
    <w:p w14:paraId="235B0E34" w14:textId="77777777" w:rsidR="008907F4" w:rsidRPr="005E41F4" w:rsidRDefault="2FA6B974" w:rsidP="2FA6B974">
      <w:pPr>
        <w:ind w:left="719"/>
        <w:rPr>
          <w:rFonts w:eastAsia="Times New Roman"/>
        </w:rPr>
      </w:pPr>
      <w:r>
        <w:t xml:space="preserve">След прекратяването задълженията на бенефициерите (по-конкретно по членове 13 (поверителност и сигурност), 16 (право върху интелектуална </w:t>
      </w:r>
      <w:r>
        <w:lastRenderedPageBreak/>
        <w:t xml:space="preserve">собственост), 17 (комуникация, разпространение и видимост), 21 (докладване), 25 (проверки, прегледи, одити и разследвания), 26 (оценка на въздействието), 27 (непризнавания), 28 (намаляване на размера на безвъзмездните средства) и 42 (прехвърляне на вземания) продължават да се прилагат. </w:t>
      </w:r>
    </w:p>
    <w:p w14:paraId="773CB914" w14:textId="77777777" w:rsidR="008907F4" w:rsidRPr="00383E0C" w:rsidRDefault="2FA6B974" w:rsidP="2FA6B974">
      <w:pPr>
        <w:pStyle w:val="ListParagraph"/>
        <w:numPr>
          <w:ilvl w:val="0"/>
          <w:numId w:val="63"/>
        </w:numPr>
      </w:pPr>
      <w:r>
        <w:t xml:space="preserve">при </w:t>
      </w:r>
      <w:r>
        <w:rPr>
          <w:b/>
          <w:bCs/>
        </w:rPr>
        <w:t>прекратяване на участието на бенефициер</w:t>
      </w:r>
      <w:r>
        <w:t xml:space="preserve">: </w:t>
      </w:r>
    </w:p>
    <w:p w14:paraId="6F952C73" w14:textId="77777777" w:rsidR="008907F4" w:rsidRPr="00CA3001" w:rsidRDefault="2FA6B974" w:rsidP="2FA6B974">
      <w:pPr>
        <w:ind w:left="720"/>
        <w:rPr>
          <w:rFonts w:eastAsia="Times New Roman" w:cs="Times New Roman"/>
        </w:rPr>
      </w:pPr>
      <w:r>
        <w:t>Координаторът е длъжен — в срок от 60 дни от влизане в сила на прекратяването — да представи:</w:t>
      </w:r>
    </w:p>
    <w:p w14:paraId="48D71F1A" w14:textId="5E24D334" w:rsidR="008907F4" w:rsidRPr="00CA3001" w:rsidRDefault="2FA6B974" w:rsidP="2FA6B974">
      <w:pPr>
        <w:numPr>
          <w:ilvl w:val="0"/>
          <w:numId w:val="16"/>
        </w:numPr>
        <w:ind w:left="1803"/>
        <w:rPr>
          <w:rFonts w:eastAsia="Times New Roman" w:cs="Times New Roman"/>
        </w:rPr>
      </w:pPr>
      <w:r>
        <w:rPr>
          <w:b/>
          <w:bCs/>
        </w:rPr>
        <w:t>отчет за разпределението на плащанията</w:t>
      </w:r>
      <w:r>
        <w:t xml:space="preserve"> към съответния бенефициер; </w:t>
      </w:r>
    </w:p>
    <w:p w14:paraId="7FD114DD" w14:textId="376A9F87" w:rsidR="008907F4" w:rsidRPr="00DB1C06" w:rsidRDefault="2FA6B974" w:rsidP="2FA6B974">
      <w:pPr>
        <w:numPr>
          <w:ilvl w:val="0"/>
          <w:numId w:val="16"/>
        </w:numPr>
        <w:ind w:left="1803"/>
        <w:rPr>
          <w:rFonts w:eastAsia="Times New Roman" w:cs="Times New Roman"/>
        </w:rPr>
      </w:pPr>
      <w:r>
        <w:rPr>
          <w:b/>
          <w:bCs/>
        </w:rPr>
        <w:t>отчет относно прекратяването</w:t>
      </w:r>
      <w:r>
        <w:t xml:space="preserve"> от съответния бенефициер за текущия отчетен период до прекратяването, който съдържа преглед на напредъка в изпълнението, както и финансовия отчет и, ако е приложимо, сертификата за финансовия отчет (СФО) или копия на съответните фактури и придружаващи документи (вж. членове 21 и 24.2 и Техническите спецификации точка 4.3);</w:t>
      </w:r>
    </w:p>
    <w:p w14:paraId="131A5C1F" w14:textId="77777777" w:rsidR="008907F4" w:rsidRPr="00CA3001" w:rsidRDefault="2FA6B974" w:rsidP="2FA6B974">
      <w:pPr>
        <w:numPr>
          <w:ilvl w:val="0"/>
          <w:numId w:val="16"/>
        </w:numPr>
        <w:ind w:left="1803"/>
        <w:rPr>
          <w:rFonts w:eastAsia="Times New Roman" w:cs="Times New Roman"/>
        </w:rPr>
      </w:pPr>
      <w:r>
        <w:rPr>
          <w:b/>
          <w:bCs/>
        </w:rPr>
        <w:t xml:space="preserve">искане за изменение </w:t>
      </w:r>
      <w:r>
        <w:t xml:space="preserve">(вж. член 39) с необходими изменения (например преразпределение на задачите и прогнозния бюджет на бенефициера, чието участие е прекратено; добавяне на нов бенефициер, който да замести бенефициера, чието участие е прекратено; смяна на координатора и др.). </w:t>
      </w:r>
    </w:p>
    <w:p w14:paraId="754CD239" w14:textId="4B028FA9" w:rsidR="008907F4" w:rsidRPr="002E6275" w:rsidRDefault="2FA6B974" w:rsidP="2FA6B974">
      <w:pPr>
        <w:ind w:left="720"/>
        <w:rPr>
          <w:rFonts w:eastAsia="Times New Roman"/>
        </w:rPr>
      </w:pPr>
      <w:r>
        <w:t>Предоставящият орган изчислява</w:t>
      </w:r>
      <w:r>
        <w:rPr>
          <w:b/>
          <w:bCs/>
        </w:rPr>
        <w:t xml:space="preserve"> </w:t>
      </w:r>
      <w:r>
        <w:t>сумата, дължима на бенефициера, въз основа на представения доклад и вземайки предвид направените разходи и вноските за дейности, извършени преди прекратяването да влезе в сила (вж. член 22). Разходите, свързани с изпълнение на поръчки след прекратяване на споразумението, не са допустими.</w:t>
      </w:r>
    </w:p>
    <w:p w14:paraId="1F29C10E" w14:textId="77777777" w:rsidR="008907F4" w:rsidRPr="002E6275" w:rsidRDefault="2FA6B974" w:rsidP="2FA6B974">
      <w:pPr>
        <w:ind w:left="720"/>
        <w:rPr>
          <w:rFonts w:eastAsia="Times New Roman" w:cs="Times New Roman"/>
        </w:rPr>
      </w:pPr>
      <w:r>
        <w:t>Информацията в отчета относно прекратяването трябва също така да бъде включена в периодичния отчет за следващия отчетен период (вж. член 21).</w:t>
      </w:r>
    </w:p>
    <w:p w14:paraId="1FE002BD" w14:textId="2E4425D0" w:rsidR="008907F4" w:rsidRPr="002E6275" w:rsidRDefault="2FA6B974" w:rsidP="2FA6B974">
      <w:pPr>
        <w:ind w:left="720"/>
        <w:rPr>
          <w:rFonts w:eastAsia="Times New Roman" w:cs="Times New Roman"/>
        </w:rPr>
      </w:pPr>
      <w:r>
        <w:t>Ако предоставящият орган не получи отчета относно прекратяването в рамките на срока, се вземат предвид само разходите и вноските, които са включени в одобрен периодичен отчет (ако няма одобрен периодичен отчет, не се вземат предвид никакви разходи/вноски).</w:t>
      </w:r>
    </w:p>
    <w:p w14:paraId="6FD5DF87" w14:textId="02F15264" w:rsidR="008907F4" w:rsidRPr="002E6275" w:rsidRDefault="2FA6B974" w:rsidP="2FA6B974">
      <w:pPr>
        <w:ind w:left="720"/>
        <w:rPr>
          <w:rFonts w:eastAsia="Times New Roman" w:cs="Times New Roman"/>
        </w:rPr>
      </w:pPr>
      <w:r>
        <w:t>Ако предоставящият орган не получи отчета за разпределението на плащанията в предвидения срок, то той приема, че:</w:t>
      </w:r>
    </w:p>
    <w:p w14:paraId="7AED3A32" w14:textId="77777777" w:rsidR="008907F4" w:rsidRPr="002E6275" w:rsidRDefault="2FA6B974" w:rsidP="2FA6B974">
      <w:pPr>
        <w:numPr>
          <w:ilvl w:val="0"/>
          <w:numId w:val="41"/>
        </w:numPr>
        <w:ind w:left="1434" w:hanging="357"/>
        <w:rPr>
          <w:rFonts w:eastAsia="Times New Roman" w:cs="Times New Roman"/>
        </w:rPr>
      </w:pPr>
      <w:r>
        <w:t>координаторът не е разпределил никакви плащания към съответния бенефициер и</w:t>
      </w:r>
    </w:p>
    <w:p w14:paraId="79DE8F9D" w14:textId="77777777" w:rsidR="008907F4" w:rsidRPr="002E6275" w:rsidRDefault="2FA6B974" w:rsidP="2FA6B974">
      <w:pPr>
        <w:numPr>
          <w:ilvl w:val="0"/>
          <w:numId w:val="41"/>
        </w:numPr>
        <w:ind w:left="1434" w:hanging="357"/>
        <w:rPr>
          <w:rFonts w:eastAsia="Times New Roman" w:cs="Times New Roman"/>
        </w:rPr>
      </w:pPr>
      <w:r>
        <w:t xml:space="preserve">съответният бенефициер не е длъжен да връща никакви суми на координатора. </w:t>
      </w:r>
    </w:p>
    <w:p w14:paraId="6A387930" w14:textId="09A043F3" w:rsidR="008907F4" w:rsidRPr="002E6275" w:rsidRDefault="2FA6B974" w:rsidP="2FA6B974">
      <w:pPr>
        <w:ind w:left="789"/>
        <w:rPr>
          <w:rFonts w:eastAsia="Times New Roman"/>
        </w:rPr>
      </w:pPr>
      <w:r>
        <w:t xml:space="preserve">Ако искането за изменение бъде прието от предоставящия орган, споразумението </w:t>
      </w:r>
      <w:r>
        <w:rPr>
          <w:b/>
          <w:bCs/>
        </w:rPr>
        <w:t>се изменя</w:t>
      </w:r>
      <w:r>
        <w:t xml:space="preserve"> с цел въвеждане на необходимите промени (вж. член 39).</w:t>
      </w:r>
    </w:p>
    <w:p w14:paraId="138E09B8" w14:textId="38AD0C1D" w:rsidR="008907F4" w:rsidRPr="002E6275" w:rsidRDefault="2FA6B974" w:rsidP="2FA6B974">
      <w:pPr>
        <w:ind w:left="789"/>
        <w:rPr>
          <w:rFonts w:eastAsia="Times New Roman"/>
        </w:rPr>
      </w:pPr>
      <w:r>
        <w:lastRenderedPageBreak/>
        <w:t>Ако предоставящият орган отхвърли искането за изменение, защото то поставя под въпрос решението за отпускане на безвъзмездните средства или нарушава принципа на равно третиране на кандидатите, споразумението за отпускане на безвъзмездните средства може да бъде прекратено (вж. член 32).</w:t>
      </w:r>
    </w:p>
    <w:p w14:paraId="4B17A52B" w14:textId="77777777" w:rsidR="008907F4" w:rsidRDefault="2FA6B974" w:rsidP="2FA6B974">
      <w:pPr>
        <w:ind w:left="788"/>
        <w:rPr>
          <w:rFonts w:eastAsia="Times New Roman"/>
        </w:rPr>
      </w:pPr>
      <w:r>
        <w:t xml:space="preserve">След прекратяването задълженията на съответния бенефициер (по-конкретно по членове 13 (поверителност и сигурност), 16 (право върху интелектуална собственост), 17 (комуникация, разпространение и видимост), 21 (докладване), 25 (проверки, прегледи, одити и разследвания), 26 (оценка на въздействието), 27 (непризнавания), 28 (намаляване на размера на безвъзмездните средства) и 42 (прехвърляне на вземания) продължават да се прилагат. </w:t>
      </w:r>
    </w:p>
    <w:p w14:paraId="65284DD7" w14:textId="77777777" w:rsidR="008907F4" w:rsidRPr="005E41F4" w:rsidRDefault="008907F4" w:rsidP="008907F4">
      <w:pPr>
        <w:pStyle w:val="Heading2"/>
      </w:pPr>
      <w:bookmarkStart w:id="740" w:name="_Toc530035933"/>
      <w:bookmarkStart w:id="741" w:name="_Toc24116187"/>
      <w:bookmarkStart w:id="742" w:name="_Toc24126666"/>
      <w:bookmarkStart w:id="743" w:name="_Toc95925039"/>
      <w:r>
        <w:t>РАЗДЕЛ 3</w:t>
      </w:r>
      <w:r>
        <w:tab/>
        <w:t>ДРУГИ ПОСЛЕДИЦИ: ВРЕДИ И АДМИНИСТРАТИВНИ САНКЦИИ</w:t>
      </w:r>
      <w:bookmarkEnd w:id="740"/>
      <w:bookmarkEnd w:id="741"/>
      <w:bookmarkEnd w:id="742"/>
      <w:bookmarkEnd w:id="743"/>
    </w:p>
    <w:p w14:paraId="563F2E89" w14:textId="77777777" w:rsidR="008907F4" w:rsidRPr="00F6377D" w:rsidRDefault="2FA6B974" w:rsidP="2FA6B974">
      <w:pPr>
        <w:pStyle w:val="Heading4"/>
        <w:rPr>
          <w:rFonts w:eastAsia="Times New Roman"/>
        </w:rPr>
      </w:pPr>
      <w:bookmarkStart w:id="744" w:name="_Toc95925040"/>
      <w:bookmarkStart w:id="745" w:name="_Toc524697252"/>
      <w:bookmarkStart w:id="746" w:name="_Toc529197793"/>
      <w:bookmarkStart w:id="747" w:name="_Toc530035934"/>
      <w:bookmarkStart w:id="748" w:name="_Toc24116188"/>
      <w:bookmarkStart w:id="749" w:name="_Toc24126667"/>
      <w:r>
        <w:t>ЧЛЕН 33 — ВРЕДИ</w:t>
      </w:r>
      <w:bookmarkEnd w:id="744"/>
      <w:r>
        <w:t xml:space="preserve"> </w:t>
      </w:r>
      <w:bookmarkEnd w:id="745"/>
      <w:bookmarkEnd w:id="746"/>
      <w:bookmarkEnd w:id="747"/>
      <w:bookmarkEnd w:id="748"/>
      <w:bookmarkEnd w:id="749"/>
    </w:p>
    <w:p w14:paraId="50E91A28" w14:textId="77777777" w:rsidR="008907F4" w:rsidRPr="00625E53" w:rsidRDefault="008907F4" w:rsidP="008907F4">
      <w:pPr>
        <w:pStyle w:val="Heading5"/>
      </w:pPr>
      <w:bookmarkStart w:id="750" w:name="_Toc529197794"/>
      <w:bookmarkStart w:id="751" w:name="_Toc24116189"/>
      <w:bookmarkStart w:id="752" w:name="_Toc24126668"/>
      <w:bookmarkStart w:id="753" w:name="_Toc95925041"/>
      <w:r>
        <w:t>33.1</w:t>
      </w:r>
      <w:r>
        <w:tab/>
        <w:t>Отговорност на предоставящия орган</w:t>
      </w:r>
      <w:bookmarkEnd w:id="750"/>
      <w:bookmarkEnd w:id="751"/>
      <w:bookmarkEnd w:id="752"/>
      <w:bookmarkEnd w:id="753"/>
      <w:r>
        <w:t xml:space="preserve"> </w:t>
      </w:r>
    </w:p>
    <w:p w14:paraId="199D48F3" w14:textId="77777777" w:rsidR="008907F4" w:rsidRPr="004C0175" w:rsidRDefault="2FA6B974" w:rsidP="2FA6B974">
      <w:pPr>
        <w:adjustRightInd w:val="0"/>
        <w:rPr>
          <w:rFonts w:eastAsia="Times New Roman"/>
        </w:rPr>
      </w:pPr>
      <w:r>
        <w:t>От предоставящия орган не може да бъде търсена отговорност за вреди, причинени на бенефициерите или на трети страни в резултат на изпълнение на споразумението, включително за груба небрежност.</w:t>
      </w:r>
    </w:p>
    <w:p w14:paraId="420452A4" w14:textId="77777777" w:rsidR="008907F4" w:rsidRPr="00625E53" w:rsidRDefault="2FA6B974" w:rsidP="2FA6B974">
      <w:pPr>
        <w:adjustRightInd w:val="0"/>
        <w:rPr>
          <w:rFonts w:eastAsia="Times New Roman"/>
        </w:rPr>
      </w:pPr>
      <w:r>
        <w:t>От предоставящия орган не може да бъде търсена отговорност за вреди, причинени от който и да е от бенефициерите или от други участници, ангажирани в дейността, в резултат на изпълнение на споразумението.</w:t>
      </w:r>
    </w:p>
    <w:p w14:paraId="3AE3388B" w14:textId="77777777" w:rsidR="008907F4" w:rsidRPr="00760DF8" w:rsidRDefault="008907F4" w:rsidP="008907F4">
      <w:pPr>
        <w:pStyle w:val="Heading5"/>
      </w:pPr>
      <w:bookmarkStart w:id="754" w:name="_Toc529197795"/>
      <w:bookmarkStart w:id="755" w:name="_Toc24116190"/>
      <w:bookmarkStart w:id="756" w:name="_Toc24126669"/>
      <w:bookmarkStart w:id="757" w:name="_Toc95925042"/>
      <w:r>
        <w:t>33.2</w:t>
      </w:r>
      <w:r>
        <w:tab/>
        <w:t>Отговорност на бенефициерите</w:t>
      </w:r>
      <w:bookmarkEnd w:id="754"/>
      <w:bookmarkEnd w:id="755"/>
      <w:bookmarkEnd w:id="756"/>
      <w:bookmarkEnd w:id="757"/>
    </w:p>
    <w:p w14:paraId="39FCF39B" w14:textId="2ED3FEBD" w:rsidR="008907F4" w:rsidRPr="00A959A4" w:rsidRDefault="2FA6B974" w:rsidP="2FA6B974">
      <w:pPr>
        <w:rPr>
          <w:rFonts w:eastAsia="Times New Roman"/>
        </w:rPr>
      </w:pPr>
      <w:r>
        <w:t xml:space="preserve">Бенефициерите са длъжни да обезщетят предоставящия орган за вреди, понесени от него, в резултат на изпълнение на дейността или за това, че дейността не е изпълнена в пълно съответствие със споразумението, при условие че те са били причинени от груба небрежност или умишлено действие. </w:t>
      </w:r>
    </w:p>
    <w:p w14:paraId="381A433F" w14:textId="77777777" w:rsidR="008907F4" w:rsidRDefault="2FA6B974" w:rsidP="008907F4">
      <w:r>
        <w:t xml:space="preserve">Отговорността не се отнася за непреки или последващи загуби или подобни вреди (като загуба на печалба, загуба на приход или загуба на договор), при условие че те не са били причинени от умишлено действие или нарушаване на поверителността. </w:t>
      </w:r>
    </w:p>
    <w:p w14:paraId="62929BBB" w14:textId="77777777" w:rsidR="008907F4" w:rsidRPr="005E41F4" w:rsidRDefault="2FA6B974" w:rsidP="008907F4">
      <w:pPr>
        <w:pStyle w:val="Heading4"/>
      </w:pPr>
      <w:bookmarkStart w:id="758" w:name="_Toc524697253"/>
      <w:bookmarkStart w:id="759" w:name="_Toc529197796"/>
      <w:bookmarkStart w:id="760" w:name="_Toc530035935"/>
      <w:bookmarkStart w:id="761" w:name="_Toc24116191"/>
      <w:bookmarkStart w:id="762" w:name="_Toc24126670"/>
      <w:bookmarkStart w:id="763" w:name="_Toc95925043"/>
      <w:bookmarkStart w:id="764" w:name="_Toc435109085"/>
      <w:bookmarkStart w:id="765" w:name="_Toc97092422"/>
      <w:r>
        <w:t>ЧЛЕН 34 — АДМИНИСТРАТИВНИ САНКЦИИ И ДРУГИ МЕРКИ</w:t>
      </w:r>
      <w:bookmarkEnd w:id="758"/>
      <w:bookmarkEnd w:id="759"/>
      <w:bookmarkEnd w:id="760"/>
      <w:bookmarkEnd w:id="761"/>
      <w:bookmarkEnd w:id="762"/>
      <w:bookmarkEnd w:id="763"/>
    </w:p>
    <w:p w14:paraId="2D6D3897" w14:textId="77777777" w:rsidR="008907F4" w:rsidRDefault="008907F4" w:rsidP="008907F4">
      <w:pPr>
        <w:rPr>
          <w:szCs w:val="24"/>
        </w:rPr>
      </w:pPr>
      <w:r>
        <w:t>Нищо в настоящото споразумение не може да се тълкува като възпрепятстващо приемането на административни санкции (т.е. изключване от процедури за възлагане на ЕС съгласно член 64 от Регламент (ЕС) № 1306/2013</w:t>
      </w:r>
      <w:r>
        <w:rPr>
          <w:rStyle w:val="FootnoteReference"/>
        </w:rPr>
        <w:footnoteReference w:id="24"/>
      </w:r>
      <w:r>
        <w:t xml:space="preserve"> и/или финансови санкции съгласно член 5 от Делегиран регламент (ЕС) 2015/1829 на Комисията) или </w:t>
      </w:r>
      <w:r>
        <w:lastRenderedPageBreak/>
        <w:t>предприемането на други мерки в областта на публичното право в допълнение или като алтернатива на договорните мерки, предвидени по настоящото споразумение (вж. например членове 135—145 от Финансовия регламент на ЕС — Регламент (ЕС) 2018/1046 и членове 4 и 7 от Регламент № 2988/95</w:t>
      </w:r>
      <w:r>
        <w:rPr>
          <w:rFonts w:cs="Times New Roman"/>
          <w:position w:val="4"/>
          <w:sz w:val="20"/>
          <w:szCs w:val="20"/>
          <w:vertAlign w:val="superscript"/>
        </w:rPr>
        <w:footnoteReference w:id="25"/>
      </w:r>
      <w:r>
        <w:t>).</w:t>
      </w:r>
    </w:p>
    <w:p w14:paraId="5220C2A9" w14:textId="77777777" w:rsidR="008907F4" w:rsidRPr="008E5A26" w:rsidRDefault="008907F4" w:rsidP="2FA6B974">
      <w:pPr>
        <w:pStyle w:val="Heading2"/>
      </w:pPr>
      <w:bookmarkStart w:id="766" w:name="_Toc530035936"/>
      <w:bookmarkStart w:id="767" w:name="_Toc24116192"/>
      <w:bookmarkStart w:id="768" w:name="_Toc24126671"/>
      <w:bookmarkStart w:id="769" w:name="_Toc95925044"/>
      <w:r>
        <w:t>РАЗДЕЛ 4</w:t>
      </w:r>
      <w:r>
        <w:tab/>
        <w:t>НЕПРЕОДОЛИМА СИЛА</w:t>
      </w:r>
      <w:bookmarkEnd w:id="766"/>
      <w:bookmarkEnd w:id="767"/>
      <w:bookmarkEnd w:id="768"/>
      <w:bookmarkEnd w:id="769"/>
    </w:p>
    <w:p w14:paraId="4DD8A403" w14:textId="77777777" w:rsidR="008907F4" w:rsidRPr="005E41F4" w:rsidRDefault="2FA6B974" w:rsidP="2FA6B974">
      <w:pPr>
        <w:pStyle w:val="Heading4"/>
      </w:pPr>
      <w:bookmarkStart w:id="770" w:name="_Toc95925045"/>
      <w:bookmarkStart w:id="771" w:name="_Toc435109086"/>
      <w:bookmarkStart w:id="772" w:name="_Toc524697255"/>
      <w:bookmarkStart w:id="773" w:name="_Toc529197798"/>
      <w:bookmarkStart w:id="774" w:name="_Toc530035937"/>
      <w:bookmarkStart w:id="775" w:name="_Toc24116193"/>
      <w:bookmarkStart w:id="776" w:name="_Toc24126672"/>
      <w:bookmarkEnd w:id="764"/>
      <w:r>
        <w:t>ЧЛЕН 35 — НЕПРЕОДОЛИМА СИЛА</w:t>
      </w:r>
      <w:bookmarkEnd w:id="770"/>
      <w:r>
        <w:t xml:space="preserve"> </w:t>
      </w:r>
      <w:bookmarkEnd w:id="765"/>
      <w:bookmarkEnd w:id="771"/>
      <w:bookmarkEnd w:id="772"/>
      <w:bookmarkEnd w:id="773"/>
      <w:bookmarkEnd w:id="774"/>
      <w:bookmarkEnd w:id="775"/>
      <w:bookmarkEnd w:id="776"/>
    </w:p>
    <w:p w14:paraId="0B18E009" w14:textId="77777777" w:rsidR="008907F4" w:rsidRPr="005E41F4" w:rsidRDefault="2FA6B974" w:rsidP="2FA6B974">
      <w:pPr>
        <w:rPr>
          <w:rFonts w:eastAsia="Times New Roman"/>
        </w:rPr>
      </w:pPr>
      <w:r>
        <w:t xml:space="preserve">Страна, която поради непреодолима сила не може да изпълнява своите задължения по споразумението, не се счита за извършила нарушение. </w:t>
      </w:r>
    </w:p>
    <w:p w14:paraId="54575DAF" w14:textId="77777777" w:rsidR="008907F4" w:rsidRPr="005E41F4" w:rsidRDefault="2FA6B974" w:rsidP="2FA6B974">
      <w:pPr>
        <w:ind w:left="851" w:hanging="851"/>
        <w:rPr>
          <w:rFonts w:eastAsia="Times New Roman"/>
        </w:rPr>
      </w:pPr>
      <w:r>
        <w:t>„Непреодолима сила“ означава всички ситуации или събития, които:</w:t>
      </w:r>
    </w:p>
    <w:p w14:paraId="36B1E70E" w14:textId="77777777" w:rsidR="008907F4" w:rsidRPr="005E41F4" w:rsidRDefault="2FA6B974" w:rsidP="2FA6B974">
      <w:pPr>
        <w:numPr>
          <w:ilvl w:val="0"/>
          <w:numId w:val="3"/>
        </w:numPr>
        <w:rPr>
          <w:rFonts w:eastAsia="Times New Roman"/>
        </w:rPr>
      </w:pPr>
      <w:r>
        <w:t xml:space="preserve">не позволяват на една от страните да изпълнява задълженията си по споразумението, </w:t>
      </w:r>
    </w:p>
    <w:p w14:paraId="61F9CDD0" w14:textId="77777777" w:rsidR="008907F4" w:rsidRPr="005E41F4" w:rsidRDefault="2FA6B974" w:rsidP="2FA6B974">
      <w:pPr>
        <w:numPr>
          <w:ilvl w:val="0"/>
          <w:numId w:val="3"/>
        </w:numPr>
        <w:rPr>
          <w:rFonts w:eastAsia="Times New Roman"/>
        </w:rPr>
      </w:pPr>
      <w:r>
        <w:t>са били непредвидими, извънредни и извън контрола на страните,</w:t>
      </w:r>
    </w:p>
    <w:p w14:paraId="47599A93" w14:textId="77777777" w:rsidR="008907F4" w:rsidRPr="0034034A" w:rsidRDefault="2FA6B974" w:rsidP="2FA6B974">
      <w:pPr>
        <w:numPr>
          <w:ilvl w:val="0"/>
          <w:numId w:val="3"/>
        </w:numPr>
        <w:rPr>
          <w:rFonts w:eastAsia="Times New Roman"/>
        </w:rPr>
      </w:pPr>
      <w:r>
        <w:t>не се дължи на пропуск или небрежност на страните (или на други участници в дейността); и</w:t>
      </w:r>
    </w:p>
    <w:p w14:paraId="538BD676" w14:textId="77777777" w:rsidR="008907F4" w:rsidRPr="005E41F4" w:rsidRDefault="2FA6B974" w:rsidP="2FA6B974">
      <w:pPr>
        <w:numPr>
          <w:ilvl w:val="0"/>
          <w:numId w:val="3"/>
        </w:numPr>
        <w:rPr>
          <w:rFonts w:eastAsia="Times New Roman"/>
        </w:rPr>
      </w:pPr>
      <w:r>
        <w:t xml:space="preserve">се оказват неизбежни въпреки положените дължими усилия. </w:t>
      </w:r>
    </w:p>
    <w:p w14:paraId="36AF5DA3" w14:textId="77777777" w:rsidR="008907F4" w:rsidRPr="005E41F4" w:rsidRDefault="2FA6B974" w:rsidP="2FA6B974">
      <w:pPr>
        <w:rPr>
          <w:rFonts w:eastAsia="Times New Roman"/>
        </w:rPr>
      </w:pPr>
      <w:r>
        <w:t>Съответната страна е длъжна</w:t>
      </w:r>
      <w:r>
        <w:rPr>
          <w:i/>
          <w:iCs/>
        </w:rPr>
        <w:t xml:space="preserve"> </w:t>
      </w:r>
      <w:r>
        <w:t>незабавно да уведоми официално другата страна за всяка ситуация, която представлява непреодолима сила, като посочи нейния характер, предполагаема продължителност и предвидими последици.</w:t>
      </w:r>
    </w:p>
    <w:p w14:paraId="00A7F7DB" w14:textId="77777777" w:rsidR="008907F4" w:rsidRPr="005E41F4" w:rsidRDefault="2FA6B974" w:rsidP="2FA6B974">
      <w:pPr>
        <w:rPr>
          <w:rFonts w:eastAsia="Times New Roman"/>
        </w:rPr>
      </w:pPr>
      <w:r>
        <w:t>Страните са длъжни да предприемат незабавно всички необходими стъпки, за да ограничат вредите от непреодолимата сила и да положат всички усилия</w:t>
      </w:r>
      <w:r>
        <w:rPr>
          <w:i/>
          <w:iCs/>
        </w:rPr>
        <w:t xml:space="preserve"> </w:t>
      </w:r>
      <w:r>
        <w:t>да възобновят изпълнението на дейността в най-кратък срок.</w:t>
      </w:r>
    </w:p>
    <w:p w14:paraId="46DC4488" w14:textId="77777777" w:rsidR="008907F4" w:rsidRPr="004C0175" w:rsidRDefault="008907F4" w:rsidP="008907F4">
      <w:pPr>
        <w:pStyle w:val="Heading1"/>
      </w:pPr>
      <w:bookmarkStart w:id="777" w:name="_Toc435109087"/>
      <w:bookmarkStart w:id="778" w:name="_Toc524697256"/>
      <w:bookmarkStart w:id="779" w:name="_Toc529197799"/>
      <w:bookmarkStart w:id="780" w:name="_Toc530035938"/>
      <w:bookmarkStart w:id="781" w:name="_Toc24116194"/>
      <w:bookmarkStart w:id="782" w:name="_Toc24118688"/>
      <w:bookmarkStart w:id="783" w:name="_Toc24126673"/>
      <w:bookmarkStart w:id="784" w:name="_Toc95925046"/>
      <w:r>
        <w:t xml:space="preserve">ГЛАВА 6 </w:t>
      </w:r>
      <w:r>
        <w:tab/>
        <w:t>ЗАКЛЮЧИТЕЛНИ РАЗПОРЕДБИ</w:t>
      </w:r>
      <w:bookmarkEnd w:id="777"/>
      <w:bookmarkEnd w:id="778"/>
      <w:bookmarkEnd w:id="779"/>
      <w:bookmarkEnd w:id="780"/>
      <w:bookmarkEnd w:id="781"/>
      <w:bookmarkEnd w:id="782"/>
      <w:bookmarkEnd w:id="783"/>
      <w:bookmarkEnd w:id="784"/>
    </w:p>
    <w:p w14:paraId="0B3DE330" w14:textId="77777777" w:rsidR="008907F4" w:rsidRPr="004C0175" w:rsidRDefault="008907F4" w:rsidP="2FA6B974">
      <w:pPr>
        <w:pStyle w:val="Heading4"/>
        <w:rPr>
          <w:rFonts w:eastAsia="Times New Roman"/>
        </w:rPr>
      </w:pPr>
      <w:bookmarkStart w:id="785" w:name="_Toc435109088"/>
      <w:bookmarkStart w:id="786" w:name="_Toc524697257"/>
      <w:bookmarkStart w:id="787" w:name="_Toc529197800"/>
      <w:bookmarkStart w:id="788" w:name="_Toc530035939"/>
      <w:bookmarkStart w:id="789" w:name="_Toc24116195"/>
      <w:bookmarkStart w:id="790" w:name="_Toc24118689"/>
      <w:bookmarkStart w:id="791" w:name="_Toc24126674"/>
      <w:bookmarkStart w:id="792" w:name="_Toc95925047"/>
      <w:r>
        <w:t xml:space="preserve">ЧЛЕН 36 — </w:t>
      </w:r>
      <w:r>
        <w:rPr>
          <w:shd w:val="clear" w:color="auto" w:fill="CCFFFF"/>
        </w:rPr>
        <w:t>КОМУНИКАЦИЯ МЕЖДУ СТРАНИТЕ</w:t>
      </w:r>
      <w:bookmarkEnd w:id="785"/>
      <w:bookmarkEnd w:id="786"/>
      <w:bookmarkEnd w:id="787"/>
      <w:bookmarkEnd w:id="788"/>
      <w:bookmarkEnd w:id="789"/>
      <w:bookmarkEnd w:id="790"/>
      <w:bookmarkEnd w:id="791"/>
      <w:bookmarkEnd w:id="792"/>
    </w:p>
    <w:p w14:paraId="604155D8" w14:textId="77777777" w:rsidR="008907F4" w:rsidRPr="005E41F4" w:rsidRDefault="008907F4" w:rsidP="008907F4">
      <w:pPr>
        <w:pStyle w:val="Heading5"/>
      </w:pPr>
      <w:bookmarkStart w:id="793" w:name="_Toc435109089"/>
      <w:bookmarkStart w:id="794" w:name="_Toc529197801"/>
      <w:bookmarkStart w:id="795" w:name="_Toc24116196"/>
      <w:bookmarkStart w:id="796" w:name="_Toc24118690"/>
      <w:bookmarkStart w:id="797" w:name="_Toc24126675"/>
      <w:bookmarkStart w:id="798" w:name="_Toc95925048"/>
      <w:r>
        <w:rPr>
          <w:shd w:val="clear" w:color="auto" w:fill="CCFFFF"/>
        </w:rPr>
        <w:t>36.1</w:t>
      </w:r>
      <w:r>
        <w:tab/>
      </w:r>
      <w:r>
        <w:rPr>
          <w:shd w:val="clear" w:color="auto" w:fill="CCFFFF"/>
        </w:rPr>
        <w:t>Форми на комуникация и средства за комуникация</w:t>
      </w:r>
      <w:bookmarkEnd w:id="793"/>
      <w:bookmarkEnd w:id="794"/>
      <w:bookmarkEnd w:id="795"/>
      <w:bookmarkEnd w:id="796"/>
      <w:bookmarkEnd w:id="797"/>
      <w:bookmarkEnd w:id="798"/>
      <w:r>
        <w:t xml:space="preserve"> </w:t>
      </w:r>
    </w:p>
    <w:p w14:paraId="45871C28" w14:textId="77777777" w:rsidR="008907F4" w:rsidRPr="008F69D9" w:rsidRDefault="2FA6B974" w:rsidP="008907F4">
      <w:pPr>
        <w:adjustRightInd w:val="0"/>
        <w:rPr>
          <w:szCs w:val="24"/>
        </w:rPr>
      </w:pPr>
      <w:r>
        <w:t>Комуникацията по споразумението (информация, искания, представяне на документи, „официални уведомления“ и др.) трябва:</w:t>
      </w:r>
    </w:p>
    <w:p w14:paraId="6B4FF874" w14:textId="7D20CC54" w:rsidR="008907F4" w:rsidRPr="000A19BE" w:rsidRDefault="2FA6B974" w:rsidP="2FA6B974">
      <w:pPr>
        <w:numPr>
          <w:ilvl w:val="0"/>
          <w:numId w:val="3"/>
        </w:numPr>
        <w:rPr>
          <w:rFonts w:eastAsia="Times New Roman"/>
        </w:rPr>
      </w:pPr>
      <w:r>
        <w:t xml:space="preserve">да бъде в писмен вид, </w:t>
      </w:r>
    </w:p>
    <w:p w14:paraId="75FB76BE" w14:textId="77777777" w:rsidR="008907F4" w:rsidRPr="000A19BE" w:rsidRDefault="2FA6B974" w:rsidP="2FA6B974">
      <w:pPr>
        <w:numPr>
          <w:ilvl w:val="0"/>
          <w:numId w:val="3"/>
        </w:numPr>
        <w:rPr>
          <w:rFonts w:eastAsia="Times New Roman"/>
        </w:rPr>
      </w:pPr>
      <w:r>
        <w:t>да съдържа ясно позоваване на споразумението (номер и съкращението на проекта) и</w:t>
      </w:r>
    </w:p>
    <w:p w14:paraId="4B0759EC" w14:textId="77777777" w:rsidR="008907F4" w:rsidRPr="000A19BE" w:rsidRDefault="2FA6B974" w:rsidP="2FA6B974">
      <w:pPr>
        <w:numPr>
          <w:ilvl w:val="0"/>
          <w:numId w:val="3"/>
        </w:numPr>
        <w:rPr>
          <w:rFonts w:eastAsia="Times New Roman"/>
        </w:rPr>
      </w:pPr>
      <w:r>
        <w:t>да се извършва посредством формулярите и образците, ако са предвидени такива.</w:t>
      </w:r>
    </w:p>
    <w:p w14:paraId="74119929" w14:textId="77777777" w:rsidR="008907F4" w:rsidRPr="008F69D9" w:rsidRDefault="2FA6B974" w:rsidP="008907F4">
      <w:pPr>
        <w:adjustRightInd w:val="0"/>
        <w:rPr>
          <w:szCs w:val="24"/>
        </w:rPr>
      </w:pPr>
      <w:r>
        <w:lastRenderedPageBreak/>
        <w:t>Освен за официалните уведомления страните следва да използват електронни средства за комуникация.</w:t>
      </w:r>
    </w:p>
    <w:p w14:paraId="622D9F58" w14:textId="77777777" w:rsidR="008907F4" w:rsidRDefault="2FA6B974" w:rsidP="008907F4">
      <w:pPr>
        <w:adjustRightInd w:val="0"/>
        <w:rPr>
          <w:szCs w:val="24"/>
        </w:rPr>
      </w:pPr>
      <w:r>
        <w:t xml:space="preserve">Официалните уведомления се изпращат по препоръчана поща с потвърждение за доставка („официално уведомление на хартиен носител“). </w:t>
      </w:r>
    </w:p>
    <w:p w14:paraId="0B46F114" w14:textId="1816FB6F" w:rsidR="008907F4" w:rsidRDefault="2FA6B974" w:rsidP="008907F4">
      <w:pPr>
        <w:adjustRightInd w:val="0"/>
      </w:pPr>
      <w:r>
        <w:t xml:space="preserve">Официалните уведомления обаче могат да се изпращат по електронен път, ако приложимото национално законодателство на съответния предоставящ орган го позволява, по-специално с потвърждение за доставка. </w:t>
      </w:r>
    </w:p>
    <w:p w14:paraId="3B9B3447" w14:textId="77777777" w:rsidR="008907F4" w:rsidRPr="004C0175" w:rsidRDefault="008907F4" w:rsidP="008907F4">
      <w:pPr>
        <w:pStyle w:val="Heading5"/>
      </w:pPr>
      <w:bookmarkStart w:id="799" w:name="_Toc435109090"/>
      <w:bookmarkStart w:id="800" w:name="_Toc529197802"/>
      <w:bookmarkStart w:id="801" w:name="_Toc24116197"/>
      <w:bookmarkStart w:id="802" w:name="_Toc24118691"/>
      <w:bookmarkStart w:id="803" w:name="_Toc24126676"/>
      <w:bookmarkStart w:id="804" w:name="_Toc95925049"/>
      <w:r>
        <w:rPr>
          <w:shd w:val="clear" w:color="auto" w:fill="CCFFFF"/>
        </w:rPr>
        <w:t>36.2</w:t>
      </w:r>
      <w:r>
        <w:tab/>
      </w:r>
      <w:r>
        <w:rPr>
          <w:shd w:val="clear" w:color="auto" w:fill="CCFFFF"/>
        </w:rPr>
        <w:t>Дата на съобщенията</w:t>
      </w:r>
      <w:bookmarkEnd w:id="799"/>
      <w:bookmarkEnd w:id="800"/>
      <w:bookmarkEnd w:id="801"/>
      <w:bookmarkEnd w:id="802"/>
      <w:bookmarkEnd w:id="803"/>
      <w:bookmarkEnd w:id="804"/>
      <w:r>
        <w:t xml:space="preserve"> </w:t>
      </w:r>
    </w:p>
    <w:p w14:paraId="4C31617B" w14:textId="77777777" w:rsidR="008907F4" w:rsidRPr="000A19BE" w:rsidRDefault="2FA6B974" w:rsidP="008907F4">
      <w:pPr>
        <w:adjustRightInd w:val="0"/>
        <w:rPr>
          <w:szCs w:val="24"/>
        </w:rPr>
      </w:pPr>
      <w:r>
        <w:t>Съобщенията се считат за осъществени в момента на изпращане от изпращащата страна (т.е. на датата и в часа, когато са изпратени).</w:t>
      </w:r>
    </w:p>
    <w:p w14:paraId="1D7595C9" w14:textId="77777777" w:rsidR="008907F4" w:rsidRPr="000A19BE" w:rsidRDefault="2FA6B974" w:rsidP="008907F4">
      <w:pPr>
        <w:adjustRightInd w:val="0"/>
        <w:rPr>
          <w:szCs w:val="24"/>
        </w:rPr>
      </w:pPr>
      <w:r>
        <w:t>Официалните уведомления на хартиен носител, изпратени с препоръчана поща с потвърждение за доставка, се считат за осъществени, ако са били направени:</w:t>
      </w:r>
    </w:p>
    <w:p w14:paraId="42FFFB4A" w14:textId="77777777" w:rsidR="008907F4" w:rsidRPr="000A19BE" w:rsidRDefault="2FA6B974" w:rsidP="2FA6B974">
      <w:pPr>
        <w:numPr>
          <w:ilvl w:val="0"/>
          <w:numId w:val="3"/>
        </w:numPr>
        <w:rPr>
          <w:rFonts w:eastAsia="Times New Roman"/>
        </w:rPr>
      </w:pPr>
      <w:r>
        <w:t>на датата на доставка, регистрирана от пощенската служба, или</w:t>
      </w:r>
    </w:p>
    <w:p w14:paraId="7158135B" w14:textId="77777777" w:rsidR="008907F4" w:rsidRPr="000A19BE" w:rsidRDefault="2FA6B974" w:rsidP="2FA6B974">
      <w:pPr>
        <w:numPr>
          <w:ilvl w:val="0"/>
          <w:numId w:val="3"/>
        </w:numPr>
        <w:rPr>
          <w:rFonts w:eastAsia="Times New Roman"/>
        </w:rPr>
      </w:pPr>
      <w:r>
        <w:t xml:space="preserve"> до крайния срок за събиране на пратки в пощенската служба.</w:t>
      </w:r>
    </w:p>
    <w:p w14:paraId="5AEB8337" w14:textId="77777777" w:rsidR="008907F4" w:rsidRDefault="008907F4" w:rsidP="008907F4">
      <w:pPr>
        <w:pStyle w:val="Heading5"/>
      </w:pPr>
      <w:bookmarkStart w:id="805" w:name="_Toc435109091"/>
      <w:bookmarkStart w:id="806" w:name="_Toc529197803"/>
      <w:bookmarkStart w:id="807" w:name="_Toc24116198"/>
      <w:bookmarkStart w:id="808" w:name="_Toc24118692"/>
      <w:bookmarkStart w:id="809" w:name="_Toc24126677"/>
      <w:bookmarkStart w:id="810" w:name="_Toc95925050"/>
      <w:r>
        <w:t>36.3</w:t>
      </w:r>
      <w:r>
        <w:tab/>
      </w:r>
      <w:r>
        <w:rPr>
          <w:shd w:val="clear" w:color="auto" w:fill="CCFFFF"/>
        </w:rPr>
        <w:t>Адреси за комуникация</w:t>
      </w:r>
      <w:bookmarkEnd w:id="805"/>
      <w:bookmarkEnd w:id="806"/>
      <w:bookmarkEnd w:id="807"/>
      <w:bookmarkEnd w:id="808"/>
      <w:bookmarkEnd w:id="809"/>
      <w:bookmarkEnd w:id="810"/>
    </w:p>
    <w:p w14:paraId="1815CA3F" w14:textId="4D59E17C" w:rsidR="008907F4" w:rsidRPr="0094448E" w:rsidRDefault="008907F4" w:rsidP="2FA6B974">
      <w:pPr>
        <w:rPr>
          <w:rFonts w:eastAsia="Times New Roman"/>
          <w:i/>
          <w:iCs/>
        </w:rPr>
      </w:pPr>
      <w:r>
        <w:rPr>
          <w:b/>
          <w:bCs/>
          <w:shd w:val="clear" w:color="auto" w:fill="CCFFFF"/>
        </w:rPr>
        <w:t>Официалните уведомления</w:t>
      </w:r>
      <w:r>
        <w:rPr>
          <w:shd w:val="clear" w:color="auto" w:fill="CCFFFF"/>
        </w:rPr>
        <w:t xml:space="preserve"> </w:t>
      </w:r>
      <w:r>
        <w:rPr>
          <w:b/>
          <w:bCs/>
          <w:shd w:val="clear" w:color="auto" w:fill="CCFFFF"/>
        </w:rPr>
        <w:t>на хартиен носител</w:t>
      </w:r>
      <w:r>
        <w:t xml:space="preserve">, адресирани </w:t>
      </w:r>
      <w:r>
        <w:rPr>
          <w:b/>
          <w:bCs/>
        </w:rPr>
        <w:t>до предоставящия орган</w:t>
      </w:r>
      <w:r>
        <w:t xml:space="preserve">, се изпращат на следния адрес: </w:t>
      </w:r>
    </w:p>
    <w:p w14:paraId="16FC90A1" w14:textId="6C61D8E4" w:rsidR="008907F4" w:rsidRDefault="00403903" w:rsidP="2FA6B974">
      <w:pPr>
        <w:ind w:left="360"/>
        <w:rPr>
          <w:rFonts w:eastAsia="Times New Roman"/>
        </w:rPr>
      </w:pPr>
      <w:r>
        <w:t>[</w:t>
      </w:r>
      <w:r>
        <w:rPr>
          <w:highlight w:val="lightGray"/>
        </w:rPr>
        <w:t>наименование на компетентния орган</w:t>
      </w:r>
      <w:r>
        <w:t>]</w:t>
      </w:r>
    </w:p>
    <w:p w14:paraId="72453DBD" w14:textId="3BFC6404" w:rsidR="008907F4" w:rsidRDefault="2FA6B974" w:rsidP="2FA6B974">
      <w:pPr>
        <w:ind w:left="360"/>
        <w:rPr>
          <w:rFonts w:eastAsia="Times New Roman"/>
        </w:rPr>
      </w:pPr>
      <w:r>
        <w:t>[</w:t>
      </w:r>
      <w:r>
        <w:rPr>
          <w:highlight w:val="lightGray"/>
        </w:rPr>
        <w:t>Отдел</w:t>
      </w:r>
      <w:r>
        <w:t xml:space="preserve">] </w:t>
      </w:r>
    </w:p>
    <w:p w14:paraId="655E5FEA" w14:textId="67D43FD7" w:rsidR="008907F4" w:rsidRDefault="2FA6B974" w:rsidP="2FA6B974">
      <w:pPr>
        <w:ind w:left="360"/>
        <w:rPr>
          <w:rFonts w:eastAsia="Times New Roman"/>
        </w:rPr>
      </w:pPr>
      <w:r>
        <w:t>[</w:t>
      </w:r>
      <w:r>
        <w:rPr>
          <w:highlight w:val="lightGray"/>
        </w:rPr>
        <w:t>Адрес</w:t>
      </w:r>
      <w:r>
        <w:t>]</w:t>
      </w:r>
    </w:p>
    <w:p w14:paraId="70926F58" w14:textId="662EEC1D" w:rsidR="008907F4" w:rsidRPr="002F4B5E" w:rsidRDefault="00D735AE" w:rsidP="2FA6B974">
      <w:pPr>
        <w:ind w:left="360"/>
        <w:rPr>
          <w:rFonts w:eastAsia="Times New Roman"/>
        </w:rPr>
      </w:pPr>
      <w:r>
        <w:t>електронна поща: [</w:t>
      </w:r>
      <w:r>
        <w:rPr>
          <w:highlight w:val="lightGray"/>
        </w:rPr>
        <w:t>електронна поща</w:t>
      </w:r>
      <w:r>
        <w:t>]</w:t>
      </w:r>
    </w:p>
    <w:p w14:paraId="3CC66CEB" w14:textId="77777777" w:rsidR="008907F4" w:rsidRPr="000E549F" w:rsidRDefault="008907F4" w:rsidP="2FA6B974">
      <w:pPr>
        <w:rPr>
          <w:rFonts w:eastAsia="Times New Roman"/>
          <w:color w:val="000000" w:themeColor="text1"/>
        </w:rPr>
      </w:pPr>
      <w:r>
        <w:rPr>
          <w:shd w:val="clear" w:color="auto" w:fill="CCFFFF"/>
        </w:rPr>
        <w:t>Официалните уведомления</w:t>
      </w:r>
      <w:r>
        <w:t xml:space="preserve"> на хартиен носител,</w:t>
      </w:r>
      <w:r>
        <w:rPr>
          <w:b/>
          <w:bCs/>
        </w:rPr>
        <w:t xml:space="preserve"> </w:t>
      </w:r>
      <w:r>
        <w:t xml:space="preserve">адресирани </w:t>
      </w:r>
      <w:r>
        <w:rPr>
          <w:b/>
          <w:bCs/>
        </w:rPr>
        <w:t>до бенефициерите</w:t>
      </w:r>
      <w:r>
        <w:t xml:space="preserve">, се изпращат на техния официален адрес, както е посочен в Регистъра за бенефициери в портала за участниците. </w:t>
      </w:r>
    </w:p>
    <w:p w14:paraId="234D4738" w14:textId="77777777" w:rsidR="008907F4" w:rsidRDefault="2FA6B974" w:rsidP="008907F4">
      <w:pPr>
        <w:pStyle w:val="Heading4"/>
      </w:pPr>
      <w:bookmarkStart w:id="811" w:name="_Toc95925051"/>
      <w:bookmarkStart w:id="812" w:name="_Toc435109092"/>
      <w:bookmarkStart w:id="813" w:name="_Toc524697258"/>
      <w:bookmarkStart w:id="814" w:name="_Toc529197804"/>
      <w:bookmarkStart w:id="815" w:name="_Toc530035940"/>
      <w:bookmarkStart w:id="816" w:name="_Toc24116199"/>
      <w:bookmarkStart w:id="817" w:name="_Toc24118693"/>
      <w:bookmarkStart w:id="818" w:name="_Toc24126678"/>
      <w:r>
        <w:t>ЧЛЕН 37 — ТЪЛКУВАНЕ НА СПОРАЗУМЕНИЕТО</w:t>
      </w:r>
      <w:bookmarkEnd w:id="811"/>
      <w:r>
        <w:t xml:space="preserve"> </w:t>
      </w:r>
      <w:bookmarkEnd w:id="812"/>
      <w:bookmarkEnd w:id="813"/>
      <w:bookmarkEnd w:id="814"/>
      <w:bookmarkEnd w:id="815"/>
      <w:bookmarkEnd w:id="816"/>
      <w:bookmarkEnd w:id="817"/>
      <w:bookmarkEnd w:id="818"/>
    </w:p>
    <w:p w14:paraId="66B1ECA2" w14:textId="77777777" w:rsidR="008907F4" w:rsidRPr="00DD0F78" w:rsidRDefault="2FA6B974" w:rsidP="008907F4">
      <w:pPr>
        <w:tabs>
          <w:tab w:val="left" w:pos="851"/>
        </w:tabs>
        <w:rPr>
          <w:szCs w:val="24"/>
        </w:rPr>
      </w:pPr>
      <w:r>
        <w:t>Разпоредбите, предвидени в Техническите спецификации, имат предимство пред останалите условия на споразумението.</w:t>
      </w:r>
    </w:p>
    <w:p w14:paraId="52CFF305" w14:textId="77777777" w:rsidR="008907F4" w:rsidRPr="00BE268E" w:rsidRDefault="2FA6B974" w:rsidP="008907F4">
      <w:pPr>
        <w:tabs>
          <w:tab w:val="left" w:pos="851"/>
        </w:tabs>
        <w:rPr>
          <w:szCs w:val="24"/>
        </w:rPr>
      </w:pPr>
      <w:r>
        <w:t>Приложение 5 има предимство пред условията; условията имат предимство пред приложенията, с изключение на приложение 5.</w:t>
      </w:r>
    </w:p>
    <w:p w14:paraId="0EAADD70" w14:textId="77777777" w:rsidR="008907F4" w:rsidRDefault="2FA6B974" w:rsidP="008907F4">
      <w:pPr>
        <w:tabs>
          <w:tab w:val="left" w:pos="851"/>
        </w:tabs>
        <w:rPr>
          <w:szCs w:val="24"/>
        </w:rPr>
      </w:pPr>
      <w:r>
        <w:t>Приложение 2 има предимство пред приложение 1.</w:t>
      </w:r>
    </w:p>
    <w:p w14:paraId="4BFDC444" w14:textId="77777777" w:rsidR="008907F4" w:rsidRPr="001F08D1" w:rsidRDefault="2FA6B974" w:rsidP="008907F4">
      <w:pPr>
        <w:pStyle w:val="Heading4"/>
      </w:pPr>
      <w:bookmarkStart w:id="819" w:name="_Toc529877127"/>
      <w:bookmarkStart w:id="820" w:name="_Toc529883753"/>
      <w:bookmarkStart w:id="821" w:name="_Toc529884941"/>
      <w:bookmarkStart w:id="822" w:name="_Toc530035941"/>
      <w:bookmarkStart w:id="823" w:name="_Toc530036567"/>
      <w:bookmarkStart w:id="824" w:name="_Toc530036753"/>
      <w:bookmarkStart w:id="825" w:name="_Toc530396705"/>
      <w:bookmarkStart w:id="826" w:name="_Toc530396900"/>
      <w:bookmarkStart w:id="827" w:name="_Toc530397282"/>
      <w:bookmarkStart w:id="828" w:name="_Toc532247958"/>
      <w:bookmarkStart w:id="829" w:name="_Toc435109094"/>
      <w:bookmarkStart w:id="830" w:name="_Toc524884436"/>
      <w:bookmarkStart w:id="831" w:name="_Toc524885426"/>
      <w:bookmarkStart w:id="832" w:name="_Toc524885598"/>
      <w:bookmarkStart w:id="833" w:name="_Toc524885770"/>
      <w:bookmarkStart w:id="834" w:name="_Toc525221126"/>
      <w:bookmarkStart w:id="835" w:name="_Toc525221305"/>
      <w:bookmarkStart w:id="836" w:name="_Toc525254390"/>
      <w:bookmarkStart w:id="837" w:name="_Toc529197806"/>
      <w:bookmarkStart w:id="838" w:name="_Toc12092808"/>
      <w:bookmarkStart w:id="839" w:name="_Toc95925052"/>
      <w:bookmarkStart w:id="840" w:name="_Toc435109095"/>
      <w:bookmarkStart w:id="841" w:name="_Toc524697259"/>
      <w:bookmarkStart w:id="842" w:name="_Toc529197807"/>
      <w:bookmarkStart w:id="843" w:name="_Toc530035942"/>
      <w:bookmarkStart w:id="844" w:name="_Toc24116200"/>
      <w:bookmarkStart w:id="845" w:name="_Toc24118694"/>
      <w:bookmarkStart w:id="846" w:name="_Toc24126679"/>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r>
        <w:lastRenderedPageBreak/>
        <w:t>ЧЛЕН 38 — ИЗЧИСЛЯВАНЕ НА СРОКОВЕ И КРАЙНИ СРОКОВЕ</w:t>
      </w:r>
      <w:bookmarkEnd w:id="839"/>
      <w:r>
        <w:t xml:space="preserve"> </w:t>
      </w:r>
      <w:bookmarkEnd w:id="840"/>
      <w:bookmarkEnd w:id="841"/>
      <w:bookmarkEnd w:id="842"/>
      <w:bookmarkEnd w:id="843"/>
      <w:bookmarkEnd w:id="844"/>
      <w:bookmarkEnd w:id="845"/>
      <w:bookmarkEnd w:id="846"/>
    </w:p>
    <w:p w14:paraId="615F2F7B" w14:textId="77777777" w:rsidR="008907F4" w:rsidRPr="00F65F5B" w:rsidRDefault="008907F4" w:rsidP="2FA6B974">
      <w:pPr>
        <w:rPr>
          <w:rFonts w:eastAsia="SimSun"/>
        </w:rPr>
      </w:pPr>
      <w:r>
        <w:t>В съответствие с Регламент № 1182/71</w:t>
      </w:r>
      <w:r>
        <w:rPr>
          <w:vertAlign w:val="superscript"/>
        </w:rPr>
        <w:footnoteReference w:id="26"/>
      </w:r>
      <w:r>
        <w:rPr>
          <w:b/>
          <w:bCs/>
        </w:rPr>
        <w:t xml:space="preserve"> </w:t>
      </w:r>
      <w:r>
        <w:t xml:space="preserve">сроковете, посочени в дни, месеци или години, се изчисляват от момента на настъпване на пораждащото събитие. </w:t>
      </w:r>
    </w:p>
    <w:p w14:paraId="1BAD662A" w14:textId="77777777" w:rsidR="008907F4" w:rsidRPr="00F65F5B" w:rsidRDefault="2FA6B974" w:rsidP="2FA6B974">
      <w:pPr>
        <w:rPr>
          <w:rFonts w:eastAsia="SimSun"/>
        </w:rPr>
      </w:pPr>
      <w:r>
        <w:t>Денят, в който настъпва това събитие, не се счита за част от срока.</w:t>
      </w:r>
    </w:p>
    <w:p w14:paraId="663522FC" w14:textId="77777777" w:rsidR="008907F4" w:rsidRPr="00F65F5B" w:rsidRDefault="2FA6B974" w:rsidP="2FA6B974">
      <w:pPr>
        <w:rPr>
          <w:rFonts w:eastAsia="SimSun"/>
        </w:rPr>
      </w:pPr>
      <w:bookmarkStart w:id="847" w:name="_Toc435109096"/>
      <w:bookmarkStart w:id="848" w:name="_Toc524697260"/>
      <w:bookmarkStart w:id="849" w:name="_Toc529197808"/>
      <w:bookmarkStart w:id="850" w:name="_Toc530035943"/>
      <w:r>
        <w:t>„Дни“ означава календарни, а не работни дни.</w:t>
      </w:r>
    </w:p>
    <w:p w14:paraId="1F8C1390" w14:textId="77777777" w:rsidR="008907F4" w:rsidRDefault="2FA6B974" w:rsidP="2FA6B974">
      <w:pPr>
        <w:pStyle w:val="Heading4"/>
        <w:rPr>
          <w:rFonts w:eastAsia="Times New Roman"/>
        </w:rPr>
      </w:pPr>
      <w:bookmarkStart w:id="851" w:name="_Toc95925053"/>
      <w:bookmarkStart w:id="852" w:name="_Toc24116201"/>
      <w:bookmarkStart w:id="853" w:name="_Toc24118695"/>
      <w:bookmarkStart w:id="854" w:name="_Toc24126680"/>
      <w:r>
        <w:t>ЧЛЕН 39 — ИЗМЕНЕНИЯ</w:t>
      </w:r>
      <w:bookmarkEnd w:id="851"/>
      <w:r>
        <w:t xml:space="preserve"> </w:t>
      </w:r>
      <w:bookmarkEnd w:id="852"/>
      <w:bookmarkEnd w:id="853"/>
      <w:bookmarkEnd w:id="854"/>
      <w:bookmarkEnd w:id="847"/>
      <w:bookmarkEnd w:id="848"/>
      <w:bookmarkEnd w:id="849"/>
      <w:bookmarkEnd w:id="850"/>
    </w:p>
    <w:p w14:paraId="5BD73202" w14:textId="77777777" w:rsidR="008907F4" w:rsidRPr="00F735D9" w:rsidRDefault="008907F4" w:rsidP="008907F4">
      <w:pPr>
        <w:pStyle w:val="Heading5"/>
      </w:pPr>
      <w:bookmarkStart w:id="855" w:name="_Toc435109097"/>
      <w:bookmarkStart w:id="856" w:name="_Toc529197809"/>
      <w:bookmarkStart w:id="857" w:name="_Toc24116202"/>
      <w:bookmarkStart w:id="858" w:name="_Toc24118696"/>
      <w:bookmarkStart w:id="859" w:name="_Toc24126681"/>
      <w:bookmarkStart w:id="860" w:name="_Toc95925054"/>
      <w:r>
        <w:t>39.1</w:t>
      </w:r>
      <w:r>
        <w:tab/>
        <w:t>Условия</w:t>
      </w:r>
      <w:bookmarkEnd w:id="855"/>
      <w:bookmarkEnd w:id="856"/>
      <w:bookmarkEnd w:id="857"/>
      <w:bookmarkEnd w:id="858"/>
      <w:bookmarkEnd w:id="859"/>
      <w:bookmarkEnd w:id="860"/>
    </w:p>
    <w:p w14:paraId="69A6677E" w14:textId="77777777" w:rsidR="008907F4" w:rsidRDefault="2FA6B974" w:rsidP="2FA6B974">
      <w:pPr>
        <w:rPr>
          <w:rFonts w:eastAsia="Times New Roman"/>
        </w:rPr>
      </w:pPr>
      <w:r>
        <w:t xml:space="preserve">Споразумението може да бъде изменяно, освен в случаите, когато изменението води до промени в споразумението, които биха поставили под въпрос решението за отпускане на безвъзмездни средства или биха нарушили принципа на равнопоставеност на кандидатите. </w:t>
      </w:r>
    </w:p>
    <w:p w14:paraId="2FDD34C6" w14:textId="77777777" w:rsidR="008907F4" w:rsidRDefault="2FA6B974" w:rsidP="2FA6B974">
      <w:pPr>
        <w:ind w:left="851" w:hanging="851"/>
        <w:rPr>
          <w:rFonts w:eastAsia="Times New Roman"/>
        </w:rPr>
      </w:pPr>
      <w:r>
        <w:t>Изменения могат да се правят по искане на всяка от страните.</w:t>
      </w:r>
    </w:p>
    <w:p w14:paraId="543E6E43" w14:textId="77777777" w:rsidR="008907F4" w:rsidRPr="00F735D9" w:rsidRDefault="008907F4" w:rsidP="008907F4">
      <w:pPr>
        <w:pStyle w:val="Heading5"/>
      </w:pPr>
      <w:bookmarkStart w:id="861" w:name="_Toc435109098"/>
      <w:bookmarkStart w:id="862" w:name="_Toc529197810"/>
      <w:bookmarkStart w:id="863" w:name="_Toc24116203"/>
      <w:bookmarkStart w:id="864" w:name="_Toc24118697"/>
      <w:bookmarkStart w:id="865" w:name="_Toc24126682"/>
      <w:bookmarkStart w:id="866" w:name="_Toc95925055"/>
      <w:r>
        <w:t>39.2</w:t>
      </w:r>
      <w:r>
        <w:tab/>
        <w:t>Процедура</w:t>
      </w:r>
      <w:bookmarkEnd w:id="861"/>
      <w:bookmarkEnd w:id="862"/>
      <w:bookmarkEnd w:id="863"/>
      <w:bookmarkEnd w:id="864"/>
      <w:bookmarkEnd w:id="865"/>
      <w:bookmarkEnd w:id="866"/>
    </w:p>
    <w:p w14:paraId="7A18F47A" w14:textId="77777777" w:rsidR="008907F4" w:rsidRPr="005E41F4" w:rsidRDefault="2FA6B974" w:rsidP="2FA6B974">
      <w:pPr>
        <w:rPr>
          <w:rFonts w:eastAsia="Times New Roman"/>
        </w:rPr>
      </w:pPr>
      <w:r>
        <w:t>Страната, която иска изменение,</w:t>
      </w:r>
      <w:r>
        <w:rPr>
          <w:b/>
          <w:bCs/>
        </w:rPr>
        <w:t xml:space="preserve"> </w:t>
      </w:r>
      <w:r>
        <w:t>подава</w:t>
      </w:r>
      <w:r>
        <w:rPr>
          <w:b/>
          <w:bCs/>
        </w:rPr>
        <w:t xml:space="preserve"> </w:t>
      </w:r>
      <w:r>
        <w:t>искане за изменение (вж. член 36).</w:t>
      </w:r>
    </w:p>
    <w:p w14:paraId="2A67DAFE" w14:textId="77777777" w:rsidR="008907F4" w:rsidRDefault="2FA6B974" w:rsidP="2FA6B974">
      <w:pPr>
        <w:rPr>
          <w:rFonts w:eastAsia="Times New Roman"/>
        </w:rPr>
      </w:pPr>
      <w:r>
        <w:t>Координаторът подава и получава искания за изменение от името на бенефициерите (вж. приложение 3). Ако е налице искане за смяна на координатора без неговото съгласие, искането се подава от друг бенефициер (който действа от името на останалите бенефициери).</w:t>
      </w:r>
    </w:p>
    <w:p w14:paraId="6D4900B0" w14:textId="77777777" w:rsidR="008907F4" w:rsidRPr="005E41F4" w:rsidRDefault="2FA6B974" w:rsidP="2FA6B974">
      <w:pPr>
        <w:rPr>
          <w:rFonts w:eastAsia="Times New Roman"/>
        </w:rPr>
      </w:pPr>
      <w:r>
        <w:t>Искането за изменение трябва да включва:</w:t>
      </w:r>
    </w:p>
    <w:p w14:paraId="24AC458B" w14:textId="1EF3F661" w:rsidR="008907F4" w:rsidRPr="005E41F4" w:rsidRDefault="2FA6B974" w:rsidP="2FA6B974">
      <w:pPr>
        <w:numPr>
          <w:ilvl w:val="0"/>
          <w:numId w:val="14"/>
        </w:numPr>
        <w:rPr>
          <w:rFonts w:eastAsia="Times New Roman"/>
        </w:rPr>
      </w:pPr>
      <w:r>
        <w:t>основанията за него;</w:t>
      </w:r>
    </w:p>
    <w:p w14:paraId="7FF4A4A8" w14:textId="77777777" w:rsidR="008907F4" w:rsidRPr="005E41F4" w:rsidRDefault="2FA6B974" w:rsidP="2FA6B974">
      <w:pPr>
        <w:numPr>
          <w:ilvl w:val="0"/>
          <w:numId w:val="14"/>
        </w:numPr>
        <w:rPr>
          <w:rFonts w:eastAsia="Times New Roman"/>
        </w:rPr>
      </w:pPr>
      <w:r>
        <w:t>подходящите придружаващи документи; и</w:t>
      </w:r>
    </w:p>
    <w:p w14:paraId="675DC5F4" w14:textId="77777777" w:rsidR="008907F4" w:rsidRPr="005E41F4" w:rsidRDefault="2FA6B974" w:rsidP="2FA6B974">
      <w:pPr>
        <w:numPr>
          <w:ilvl w:val="0"/>
          <w:numId w:val="14"/>
        </w:numPr>
        <w:rPr>
          <w:rFonts w:eastAsia="Times New Roman"/>
        </w:rPr>
      </w:pPr>
      <w:r>
        <w:t>при смяна на координатора без неговото съгласие: становището на координатора (или доказателство, че такова становище е било поискано писмено).</w:t>
      </w:r>
    </w:p>
    <w:p w14:paraId="13800479" w14:textId="77777777" w:rsidR="008907F4" w:rsidRPr="005E41F4" w:rsidRDefault="2FA6B974" w:rsidP="2FA6B974">
      <w:pPr>
        <w:rPr>
          <w:rFonts w:eastAsia="Times New Roman"/>
        </w:rPr>
      </w:pPr>
      <w:r>
        <w:t>Предоставящият орган може да изиска допълнителна информация.</w:t>
      </w:r>
    </w:p>
    <w:p w14:paraId="31385FD6" w14:textId="2459E084" w:rsidR="008907F4" w:rsidRPr="005E41F4" w:rsidRDefault="2FA6B974" w:rsidP="008907F4">
      <w:r>
        <w:t xml:space="preserve">Ако страната, която получава искането, е съгласна, тя трябва да подпише изменението в рамките на 45 дни от получаването на уведомлението (или на друга допълнителна информация, изискана от предоставящия орган). Ако не е съгласна, тя изпраща официално уведомление за това в същия срок. Крайният срок може да бъде удължен, ако това е необходимо за извършване на оценка на искането. Ако в предвидения срок не бъде получено уведомление, искането се счита за отхвърлено. </w:t>
      </w:r>
    </w:p>
    <w:p w14:paraId="5AC17254" w14:textId="77777777" w:rsidR="008907F4" w:rsidRPr="005E41F4" w:rsidRDefault="2FA6B974" w:rsidP="2FA6B974">
      <w:pPr>
        <w:rPr>
          <w:rFonts w:eastAsia="Times New Roman"/>
        </w:rPr>
      </w:pPr>
      <w:r>
        <w:t xml:space="preserve">Изменението </w:t>
      </w:r>
      <w:r>
        <w:rPr>
          <w:b/>
          <w:bCs/>
        </w:rPr>
        <w:t>влиза в сила</w:t>
      </w:r>
      <w:r>
        <w:t xml:space="preserve"> на датата на подписването му от получаващата страна. </w:t>
      </w:r>
    </w:p>
    <w:p w14:paraId="4A4BD556" w14:textId="77777777" w:rsidR="008907F4" w:rsidRPr="005E41F4" w:rsidRDefault="2FA6B974" w:rsidP="008907F4">
      <w:pPr>
        <w:rPr>
          <w:szCs w:val="24"/>
        </w:rPr>
      </w:pPr>
      <w:r>
        <w:lastRenderedPageBreak/>
        <w:t xml:space="preserve">Изменението </w:t>
      </w:r>
      <w:r>
        <w:rPr>
          <w:b/>
          <w:bCs/>
        </w:rPr>
        <w:t>поражда действие</w:t>
      </w:r>
      <w:r>
        <w:t xml:space="preserve"> на датата на влизането в сила или на друга дата, посочена в изменението. </w:t>
      </w:r>
    </w:p>
    <w:p w14:paraId="5A440F65" w14:textId="77777777" w:rsidR="008907F4" w:rsidRPr="005E41F4" w:rsidRDefault="2FA6B974" w:rsidP="008907F4">
      <w:pPr>
        <w:pStyle w:val="Heading4"/>
      </w:pPr>
      <w:bookmarkStart w:id="867" w:name="_Toc435109099"/>
      <w:bookmarkStart w:id="868" w:name="_Toc524697261"/>
      <w:bookmarkStart w:id="869" w:name="_Toc529197811"/>
      <w:bookmarkStart w:id="870" w:name="_Toc530035944"/>
      <w:bookmarkStart w:id="871" w:name="_Toc24116204"/>
      <w:bookmarkStart w:id="872" w:name="_Toc24118698"/>
      <w:bookmarkStart w:id="873" w:name="_Toc24126683"/>
      <w:bookmarkStart w:id="874" w:name="_Toc95925056"/>
      <w:r>
        <w:t>ЧЛЕН 40 — ПРИСЪЕДИНЯВАНЕ И ДОБАВЯНЕ НА НОВИ БЕНЕФИЦИЕРИ</w:t>
      </w:r>
      <w:bookmarkEnd w:id="867"/>
      <w:bookmarkEnd w:id="868"/>
      <w:bookmarkEnd w:id="869"/>
      <w:bookmarkEnd w:id="870"/>
      <w:bookmarkEnd w:id="871"/>
      <w:bookmarkEnd w:id="872"/>
      <w:bookmarkEnd w:id="873"/>
      <w:bookmarkEnd w:id="874"/>
    </w:p>
    <w:p w14:paraId="000F76A7" w14:textId="77777777" w:rsidR="008907F4" w:rsidRPr="005E41F4" w:rsidRDefault="008907F4" w:rsidP="008907F4">
      <w:pPr>
        <w:pStyle w:val="Heading5"/>
      </w:pPr>
      <w:bookmarkStart w:id="875" w:name="_Toc435109100"/>
      <w:bookmarkStart w:id="876" w:name="_Toc529197812"/>
      <w:bookmarkStart w:id="877" w:name="_Toc24116205"/>
      <w:bookmarkStart w:id="878" w:name="_Toc24118699"/>
      <w:bookmarkStart w:id="879" w:name="_Toc24126684"/>
      <w:bookmarkStart w:id="880" w:name="_Toc95925057"/>
      <w:r>
        <w:t>40.1</w:t>
      </w:r>
      <w:r>
        <w:tab/>
        <w:t>Присъединяване на бенефициерите, упоменати в преамбюла</w:t>
      </w:r>
      <w:bookmarkEnd w:id="875"/>
      <w:bookmarkEnd w:id="876"/>
      <w:bookmarkEnd w:id="877"/>
      <w:bookmarkEnd w:id="878"/>
      <w:bookmarkEnd w:id="879"/>
      <w:bookmarkEnd w:id="880"/>
    </w:p>
    <w:p w14:paraId="6C4799CA" w14:textId="77777777" w:rsidR="008907F4" w:rsidRPr="005E41F4" w:rsidRDefault="2FA6B974" w:rsidP="2FA6B974">
      <w:pPr>
        <w:tabs>
          <w:tab w:val="left" w:pos="851"/>
        </w:tabs>
        <w:rPr>
          <w:rFonts w:eastAsia="Times New Roman"/>
        </w:rPr>
      </w:pPr>
      <w:r>
        <w:t xml:space="preserve">Бенефициерите, които не са координатор, трябва да се присъединят към споразумението за отпускане на безвъзмездни средства, като подпишат формуляра за присъединяване (вж. приложение 3) в срок от 30 дни след влизането в сила на споразумението (вж. член 44). </w:t>
      </w:r>
    </w:p>
    <w:p w14:paraId="11E3D246" w14:textId="77777777" w:rsidR="008907F4" w:rsidRPr="005E41F4" w:rsidRDefault="2FA6B974" w:rsidP="008907F4">
      <w:pPr>
        <w:tabs>
          <w:tab w:val="left" w:pos="851"/>
        </w:tabs>
        <w:rPr>
          <w:szCs w:val="24"/>
        </w:rPr>
      </w:pPr>
      <w:r>
        <w:t>Те приемат правата и задълженията по споразумението, считано от датата на влизането му в сила (вж. член 44).</w:t>
      </w:r>
    </w:p>
    <w:p w14:paraId="6C067A4E" w14:textId="61D12466" w:rsidR="008907F4" w:rsidRPr="005E41F4" w:rsidRDefault="2FA6B974" w:rsidP="008907F4">
      <w:pPr>
        <w:tabs>
          <w:tab w:val="left" w:pos="828"/>
        </w:tabs>
        <w:rPr>
          <w:szCs w:val="24"/>
        </w:rPr>
      </w:pPr>
      <w:r>
        <w:t xml:space="preserve">Ако даден бенефициер не се присъедини към споразумението за отпускане на безвъзмездни средства в посочения по-горе срок, координаторът е длъжен в срок от 30 дни да поиска изменение (вж. член 39) с цел да се прекрати участието на бенефициера и да се въведат промените, необходими за надлежното изпълнение на дейността. Това не засяга правото на предоставящия орган да прекрати споразумението за отпускане на безвъзмездни средства (вж. член 32). </w:t>
      </w:r>
    </w:p>
    <w:p w14:paraId="4F8EE8FD" w14:textId="77777777" w:rsidR="008907F4" w:rsidRPr="00B217B2" w:rsidRDefault="008907F4" w:rsidP="2FA6B974">
      <w:pPr>
        <w:pStyle w:val="Heading5"/>
        <w:rPr>
          <w:color w:val="7F7F7F" w:themeColor="background1" w:themeShade="7F"/>
        </w:rPr>
      </w:pPr>
      <w:bookmarkStart w:id="881" w:name="_Toc435109101"/>
      <w:bookmarkStart w:id="882" w:name="_Toc529197813"/>
      <w:bookmarkStart w:id="883" w:name="_Toc24116206"/>
      <w:bookmarkStart w:id="884" w:name="_Toc24118700"/>
      <w:bookmarkStart w:id="885" w:name="_Toc24126685"/>
      <w:bookmarkStart w:id="886" w:name="_Toc95925058"/>
      <w:r>
        <w:rPr>
          <w:color w:val="7F7F7F" w:themeColor="text1" w:themeTint="80"/>
        </w:rPr>
        <w:t>40.2</w:t>
      </w:r>
      <w:r>
        <w:tab/>
      </w:r>
      <w:r>
        <w:rPr>
          <w:color w:val="7F7F7F" w:themeColor="text1" w:themeTint="80"/>
        </w:rPr>
        <w:t>Добавяне на нови бенефициери</w:t>
      </w:r>
      <w:bookmarkEnd w:id="881"/>
      <w:bookmarkEnd w:id="882"/>
      <w:bookmarkEnd w:id="883"/>
      <w:bookmarkEnd w:id="884"/>
      <w:bookmarkEnd w:id="885"/>
      <w:bookmarkEnd w:id="886"/>
    </w:p>
    <w:p w14:paraId="388D060E" w14:textId="77777777" w:rsidR="008907F4" w:rsidRPr="00B217B2" w:rsidRDefault="2FA6B974" w:rsidP="2FA6B974">
      <w:pPr>
        <w:rPr>
          <w:color w:val="7F7F7F" w:themeColor="background1" w:themeShade="7F"/>
        </w:rPr>
      </w:pPr>
      <w:r>
        <w:rPr>
          <w:color w:val="7F7F7F" w:themeColor="background1" w:themeShade="7F"/>
        </w:rPr>
        <w:t>не е приложимо.</w:t>
      </w:r>
    </w:p>
    <w:p w14:paraId="152E2041" w14:textId="77777777" w:rsidR="008907F4" w:rsidRPr="00B217B2" w:rsidRDefault="2FA6B974" w:rsidP="2FA6B974">
      <w:pPr>
        <w:pStyle w:val="Heading4"/>
        <w:rPr>
          <w:rFonts w:eastAsia="Times New Roman"/>
          <w:color w:val="7F7F7F" w:themeColor="background1" w:themeShade="7F"/>
        </w:rPr>
      </w:pPr>
      <w:bookmarkStart w:id="887" w:name="_Toc95925059"/>
      <w:bookmarkStart w:id="888" w:name="_Toc24116207"/>
      <w:bookmarkStart w:id="889" w:name="_Toc24118701"/>
      <w:bookmarkStart w:id="890" w:name="_Toc24126686"/>
      <w:bookmarkStart w:id="891" w:name="_Toc529197814"/>
      <w:r>
        <w:rPr>
          <w:caps w:val="0"/>
          <w:color w:val="7F7F7F" w:themeColor="background1" w:themeShade="7F"/>
        </w:rPr>
        <w:t>ЧЛЕН 41 — ПРЕХВЪРЛЯНЕ НА СПОРАЗУМЕНИЕТО</w:t>
      </w:r>
      <w:bookmarkEnd w:id="887"/>
      <w:r>
        <w:rPr>
          <w:caps w:val="0"/>
          <w:color w:val="7F7F7F" w:themeColor="background1" w:themeShade="7F"/>
        </w:rPr>
        <w:t xml:space="preserve"> </w:t>
      </w:r>
      <w:bookmarkEnd w:id="888"/>
      <w:bookmarkEnd w:id="889"/>
      <w:bookmarkEnd w:id="890"/>
    </w:p>
    <w:bookmarkEnd w:id="891"/>
    <w:p w14:paraId="259816EF" w14:textId="77777777" w:rsidR="008907F4" w:rsidRPr="00B217B2" w:rsidRDefault="2FA6B974" w:rsidP="2FA6B974">
      <w:pPr>
        <w:rPr>
          <w:rFonts w:eastAsia="Calibri" w:cs="Times New Roman"/>
          <w:color w:val="7F7F7F" w:themeColor="background1" w:themeShade="7F"/>
        </w:rPr>
      </w:pPr>
      <w:r>
        <w:rPr>
          <w:color w:val="7F7F7F" w:themeColor="background1" w:themeShade="7F"/>
        </w:rPr>
        <w:t>не е приложимо.</w:t>
      </w:r>
    </w:p>
    <w:p w14:paraId="56B4A6F0" w14:textId="35C723E8" w:rsidR="008907F4" w:rsidRPr="00640F57" w:rsidRDefault="2FA6B974" w:rsidP="2FA6B974">
      <w:pPr>
        <w:pStyle w:val="Heading4"/>
        <w:rPr>
          <w:rFonts w:eastAsia="Times New Roman"/>
        </w:rPr>
      </w:pPr>
      <w:bookmarkStart w:id="892" w:name="_Toc435109048"/>
      <w:bookmarkStart w:id="893" w:name="_Toc524697262"/>
      <w:bookmarkStart w:id="894" w:name="_Toc529197815"/>
      <w:bookmarkStart w:id="895" w:name="_Toc530035945"/>
      <w:bookmarkStart w:id="896" w:name="_Toc24116208"/>
      <w:bookmarkStart w:id="897" w:name="_Toc24118702"/>
      <w:bookmarkStart w:id="898" w:name="_Toc24126687"/>
      <w:bookmarkStart w:id="899" w:name="_Toc95925060"/>
      <w:r>
        <w:t>ЧЛЕН 42 — ПРЕХВЪРЛЯНЕ НА ИСКАНИЯ ЗА ПЛАЩАНЕ ОТ ПРЕДОСТАВЯЩИЯ ОРГАН</w:t>
      </w:r>
      <w:bookmarkEnd w:id="892"/>
      <w:bookmarkEnd w:id="893"/>
      <w:bookmarkEnd w:id="894"/>
      <w:bookmarkEnd w:id="895"/>
      <w:bookmarkEnd w:id="896"/>
      <w:bookmarkEnd w:id="897"/>
      <w:bookmarkEnd w:id="898"/>
      <w:bookmarkEnd w:id="899"/>
    </w:p>
    <w:p w14:paraId="6B753667" w14:textId="3FE48140" w:rsidR="008907F4" w:rsidRDefault="2FA6B974" w:rsidP="2FA6B974">
      <w:pPr>
        <w:rPr>
          <w:rFonts w:eastAsia="Times New Roman"/>
        </w:rPr>
      </w:pPr>
      <w:r>
        <w:t xml:space="preserve">Бенефициерите нямат право да прехвърлят на трети страни искания за плащане от предоставящия орган, освен с изричното писмено одобрение на предоставящия орган, въз основа на </w:t>
      </w:r>
      <w:r>
        <w:rPr>
          <w:color w:val="000000" w:themeColor="text1"/>
        </w:rPr>
        <w:t>мотивирано писмено</w:t>
      </w:r>
      <w:r>
        <w:t xml:space="preserve"> искане от координатора (от името на съответния бенефициер). </w:t>
      </w:r>
    </w:p>
    <w:p w14:paraId="0AB4F8DE" w14:textId="6A09069F" w:rsidR="008907F4" w:rsidRPr="00F735D9" w:rsidRDefault="2FA6B974" w:rsidP="2FA6B974">
      <w:pPr>
        <w:rPr>
          <w:rFonts w:eastAsia="Times New Roman"/>
        </w:rPr>
      </w:pPr>
      <w:r>
        <w:t>Ако предоставящият орган не е приел прехвърлянето или ако редът за прехвърляне не е спазен, прехвърлянето няма правно действие за него.</w:t>
      </w:r>
    </w:p>
    <w:p w14:paraId="5BBC2268" w14:textId="70762709" w:rsidR="008907F4" w:rsidRDefault="2FA6B974" w:rsidP="2FA6B974">
      <w:pPr>
        <w:contextualSpacing/>
        <w:rPr>
          <w:rFonts w:eastAsia="Times New Roman"/>
        </w:rPr>
      </w:pPr>
      <w:r>
        <w:t>Прехвърлянето при никакви обстоятелства не освобождава бенефициерите от задълженията им към предоставящия орган.</w:t>
      </w:r>
    </w:p>
    <w:p w14:paraId="5B80CDBD" w14:textId="77777777" w:rsidR="008907F4" w:rsidRPr="00F735D9" w:rsidRDefault="2FA6B974" w:rsidP="008907F4">
      <w:pPr>
        <w:pStyle w:val="Heading4"/>
      </w:pPr>
      <w:bookmarkStart w:id="900" w:name="_Toc95925061"/>
      <w:bookmarkStart w:id="901" w:name="_Toc435109102"/>
      <w:bookmarkStart w:id="902" w:name="_Toc524697263"/>
      <w:bookmarkStart w:id="903" w:name="_Toc529197816"/>
      <w:bookmarkStart w:id="904" w:name="_Toc530035946"/>
      <w:bookmarkStart w:id="905" w:name="_Toc24116209"/>
      <w:bookmarkStart w:id="906" w:name="_Toc24118703"/>
      <w:bookmarkStart w:id="907" w:name="_Toc24126688"/>
      <w:r>
        <w:t>ЧЛЕН 43 — ПРИЛОЖИМО ПРАВО И УРЕЖДАНЕ НА СПОРОВЕ</w:t>
      </w:r>
      <w:bookmarkEnd w:id="900"/>
      <w:r>
        <w:t xml:space="preserve"> </w:t>
      </w:r>
      <w:bookmarkEnd w:id="901"/>
      <w:bookmarkEnd w:id="902"/>
      <w:bookmarkEnd w:id="903"/>
      <w:bookmarkEnd w:id="904"/>
      <w:bookmarkEnd w:id="905"/>
      <w:bookmarkEnd w:id="906"/>
      <w:bookmarkEnd w:id="907"/>
    </w:p>
    <w:p w14:paraId="7761C351" w14:textId="77777777" w:rsidR="008907F4" w:rsidRDefault="008907F4" w:rsidP="008907F4">
      <w:pPr>
        <w:pStyle w:val="Heading5"/>
      </w:pPr>
      <w:bookmarkStart w:id="908" w:name="_Toc435109103"/>
      <w:bookmarkStart w:id="909" w:name="_Toc529197817"/>
      <w:bookmarkStart w:id="910" w:name="_Toc24116210"/>
      <w:bookmarkStart w:id="911" w:name="_Toc24118704"/>
      <w:bookmarkStart w:id="912" w:name="_Toc24126689"/>
      <w:bookmarkStart w:id="913" w:name="_Toc95925062"/>
      <w:r>
        <w:t>43.1</w:t>
      </w:r>
      <w:r>
        <w:tab/>
        <w:t>Приложимо право</w:t>
      </w:r>
      <w:bookmarkEnd w:id="908"/>
      <w:bookmarkEnd w:id="909"/>
      <w:bookmarkEnd w:id="910"/>
      <w:bookmarkEnd w:id="911"/>
      <w:bookmarkEnd w:id="912"/>
      <w:bookmarkEnd w:id="913"/>
    </w:p>
    <w:p w14:paraId="7C8EFDB2" w14:textId="317AC967" w:rsidR="008907F4" w:rsidRDefault="008907F4" w:rsidP="008907F4">
      <w:pPr>
        <w:adjustRightInd w:val="0"/>
        <w:rPr>
          <w:szCs w:val="24"/>
        </w:rPr>
      </w:pPr>
      <w:r>
        <w:rPr>
          <w:shd w:val="clear" w:color="auto" w:fill="CCFFFF"/>
        </w:rPr>
        <w:t>Споразумението се урежда от приложимото законодателство на ЕС, което при необходимост се допълва от националното законодателството на държавата членка на предоставящия орган</w:t>
      </w:r>
      <w:r>
        <w:t>.</w:t>
      </w:r>
    </w:p>
    <w:p w14:paraId="14A79EDC" w14:textId="77777777" w:rsidR="008907F4" w:rsidRDefault="008907F4" w:rsidP="008907F4">
      <w:pPr>
        <w:pStyle w:val="Heading5"/>
      </w:pPr>
      <w:bookmarkStart w:id="914" w:name="_Toc435109104"/>
      <w:bookmarkStart w:id="915" w:name="_Toc529197818"/>
      <w:bookmarkStart w:id="916" w:name="_Toc24116211"/>
      <w:bookmarkStart w:id="917" w:name="_Toc24118705"/>
      <w:bookmarkStart w:id="918" w:name="_Toc24126690"/>
      <w:bookmarkStart w:id="919" w:name="_Toc95925063"/>
      <w:r>
        <w:lastRenderedPageBreak/>
        <w:t>43.2</w:t>
      </w:r>
      <w:r>
        <w:tab/>
        <w:t>Уреждане на спорове</w:t>
      </w:r>
      <w:bookmarkEnd w:id="914"/>
      <w:bookmarkEnd w:id="915"/>
      <w:bookmarkEnd w:id="916"/>
      <w:bookmarkEnd w:id="917"/>
      <w:bookmarkEnd w:id="918"/>
      <w:bookmarkEnd w:id="919"/>
    </w:p>
    <w:p w14:paraId="7D8627DF" w14:textId="5069348B" w:rsidR="008907F4" w:rsidRDefault="008907F4" w:rsidP="008907F4">
      <w:pPr>
        <w:adjustRightInd w:val="0"/>
        <w:rPr>
          <w:szCs w:val="24"/>
        </w:rPr>
      </w:pPr>
      <w:r>
        <w:rPr>
          <w:shd w:val="clear" w:color="auto" w:fill="CCFFFF"/>
        </w:rPr>
        <w:t>Ако възникне спор относно тълкуването, прилагането или валидността на споразумението, страните трябва да заведат иск пред компетентните съдилища на държавата членка на предоставящия орган</w:t>
      </w:r>
      <w:r>
        <w:t>.</w:t>
      </w:r>
    </w:p>
    <w:p w14:paraId="1EB4A0EE" w14:textId="77777777" w:rsidR="008907F4" w:rsidRPr="00F735D9" w:rsidRDefault="2FA6B974" w:rsidP="008907F4">
      <w:pPr>
        <w:pStyle w:val="Heading4"/>
      </w:pPr>
      <w:bookmarkStart w:id="920" w:name="_Toc435109105"/>
      <w:bookmarkStart w:id="921" w:name="_Toc524697264"/>
      <w:bookmarkStart w:id="922" w:name="_Toc529197819"/>
      <w:bookmarkStart w:id="923" w:name="_Toc530035947"/>
      <w:bookmarkStart w:id="924" w:name="_Toc24116212"/>
      <w:bookmarkStart w:id="925" w:name="_Toc24118706"/>
      <w:bookmarkStart w:id="926" w:name="_Toc24126691"/>
      <w:bookmarkStart w:id="927" w:name="_Toc95925064"/>
      <w:r>
        <w:t>ЧЛЕН 44 — ВЛИЗАНЕ В СИЛА</w:t>
      </w:r>
      <w:bookmarkEnd w:id="920"/>
      <w:bookmarkEnd w:id="921"/>
      <w:bookmarkEnd w:id="922"/>
      <w:bookmarkEnd w:id="923"/>
      <w:bookmarkEnd w:id="924"/>
      <w:bookmarkEnd w:id="925"/>
      <w:bookmarkEnd w:id="926"/>
      <w:bookmarkEnd w:id="927"/>
    </w:p>
    <w:p w14:paraId="128E9B50" w14:textId="077C601E" w:rsidR="008907F4" w:rsidRDefault="2FA6B974" w:rsidP="2FA6B974">
      <w:pPr>
        <w:tabs>
          <w:tab w:val="left" w:pos="851"/>
        </w:tabs>
        <w:rPr>
          <w:rFonts w:eastAsia="Times New Roman"/>
        </w:rPr>
      </w:pPr>
      <w:r>
        <w:t xml:space="preserve">Настоящото споразумение влиза в сила в деня на подписването му от предоставящия орган или от координатора в зависимост от това кой поставя последен подписа си. </w:t>
      </w:r>
    </w:p>
    <w:p w14:paraId="03E8FF2B" w14:textId="77777777" w:rsidR="008907F4" w:rsidRDefault="008907F4" w:rsidP="008907F4">
      <w:pPr>
        <w:tabs>
          <w:tab w:val="left" w:pos="828"/>
        </w:tabs>
        <w:rPr>
          <w:szCs w:val="24"/>
        </w:rPr>
      </w:pPr>
    </w:p>
    <w:p w14:paraId="1E98417D" w14:textId="77777777" w:rsidR="00260A0A" w:rsidRPr="00260A0A" w:rsidRDefault="00260A0A" w:rsidP="2FA6B974">
      <w:pPr>
        <w:spacing w:after="0"/>
        <w:rPr>
          <w:rFonts w:eastAsia="Times New Roman"/>
        </w:rPr>
      </w:pPr>
      <w:r>
        <w:rPr>
          <w:shd w:val="clear" w:color="auto" w:fill="CCFFFF"/>
        </w:rPr>
        <w:t>ПОДПИСИ</w:t>
      </w:r>
    </w:p>
    <w:p w14:paraId="52150A63" w14:textId="26A31ED5" w:rsidR="00260A0A" w:rsidRPr="00260A0A" w:rsidRDefault="00260A0A" w:rsidP="00260A0A">
      <w:pPr>
        <w:spacing w:after="0"/>
        <w:ind w:left="4962" w:hanging="4962"/>
        <w:rPr>
          <w:bCs/>
          <w:szCs w:val="24"/>
        </w:rPr>
      </w:pPr>
      <w:r>
        <w:t>За координатора</w:t>
      </w:r>
      <w:r>
        <w:tab/>
        <w:t>За предоставящия орган</w:t>
      </w:r>
    </w:p>
    <w:p w14:paraId="0C3C57BA" w14:textId="36146D79" w:rsidR="00260A0A" w:rsidRPr="00260A0A" w:rsidRDefault="00260A0A" w:rsidP="2FA6B974">
      <w:pPr>
        <w:spacing w:after="0"/>
        <w:ind w:left="4962" w:hanging="4962"/>
        <w:rPr>
          <w:rFonts w:eastAsia="Times New Roman"/>
        </w:rPr>
      </w:pPr>
      <w:r>
        <w:t>[</w:t>
      </w:r>
      <w:r>
        <w:rPr>
          <w:highlight w:val="lightGray"/>
        </w:rPr>
        <w:t>собствено име/фамилно име/длъжност</w:t>
      </w:r>
      <w:r>
        <w:t>]</w:t>
      </w:r>
      <w:r>
        <w:tab/>
        <w:t>[</w:t>
      </w:r>
      <w:r>
        <w:rPr>
          <w:highlight w:val="lightGray"/>
        </w:rPr>
        <w:t>собствено име/фамилно име</w:t>
      </w:r>
      <w:r>
        <w:t>]</w:t>
      </w:r>
    </w:p>
    <w:p w14:paraId="01FE334C" w14:textId="75906EAC" w:rsidR="00260A0A" w:rsidRPr="00260A0A" w:rsidRDefault="00260A0A" w:rsidP="2FA6B974">
      <w:pPr>
        <w:spacing w:after="0"/>
        <w:ind w:left="4962" w:hanging="4962"/>
        <w:rPr>
          <w:rFonts w:eastAsia="Times New Roman"/>
        </w:rPr>
      </w:pPr>
      <w:r>
        <w:t>[</w:t>
      </w:r>
      <w:r>
        <w:rPr>
          <w:highlight w:val="lightGray"/>
        </w:rPr>
        <w:t>подпис</w:t>
      </w:r>
      <w:r>
        <w:t>]</w:t>
      </w:r>
      <w:r>
        <w:tab/>
        <w:t>[</w:t>
      </w:r>
      <w:r>
        <w:rPr>
          <w:highlight w:val="lightGray"/>
        </w:rPr>
        <w:t>подпис</w:t>
      </w:r>
      <w:r>
        <w:t>]</w:t>
      </w:r>
    </w:p>
    <w:p w14:paraId="10028AFB" w14:textId="77777777" w:rsidR="00260A0A" w:rsidRPr="00260A0A" w:rsidRDefault="00260A0A" w:rsidP="2FA6B974">
      <w:pPr>
        <w:spacing w:after="0"/>
        <w:ind w:left="4962" w:hanging="4962"/>
        <w:rPr>
          <w:rFonts w:eastAsia="Times New Roman"/>
        </w:rPr>
      </w:pPr>
      <w:r>
        <w:t>Съставено на [</w:t>
      </w:r>
      <w:r>
        <w:rPr>
          <w:highlight w:val="lightGray"/>
        </w:rPr>
        <w:t>English</w:t>
      </w:r>
      <w:r>
        <w:t>]</w:t>
      </w:r>
      <w:r>
        <w:tab/>
        <w:t>Съставено на [</w:t>
      </w:r>
      <w:r>
        <w:rPr>
          <w:highlight w:val="lightGray"/>
        </w:rPr>
        <w:t>English</w:t>
      </w:r>
      <w:r>
        <w:t xml:space="preserve">] </w:t>
      </w:r>
    </w:p>
    <w:p w14:paraId="4C9A84A5" w14:textId="21D45788" w:rsidR="00260A0A" w:rsidRPr="00260A0A" w:rsidRDefault="00260A0A" w:rsidP="00260A0A">
      <w:pPr>
        <w:spacing w:after="0"/>
        <w:ind w:left="4962" w:hanging="4962"/>
        <w:rPr>
          <w:rFonts w:eastAsia="Times New Roman"/>
          <w:szCs w:val="20"/>
        </w:rPr>
      </w:pPr>
      <w:r>
        <w:tab/>
      </w:r>
    </w:p>
    <w:p w14:paraId="5EDF8708" w14:textId="77777777" w:rsidR="00260A0A" w:rsidRPr="00260A0A" w:rsidRDefault="00260A0A" w:rsidP="00260A0A">
      <w:pPr>
        <w:spacing w:after="0"/>
        <w:rPr>
          <w:rFonts w:eastAsia="Times New Roman"/>
          <w:szCs w:val="20"/>
        </w:rPr>
      </w:pPr>
      <w:r>
        <w:t xml:space="preserve"> </w:t>
      </w:r>
    </w:p>
    <w:p w14:paraId="404C169F" w14:textId="77777777" w:rsidR="00260A0A" w:rsidRPr="00260A0A" w:rsidRDefault="00260A0A" w:rsidP="2FA6B974">
      <w:pPr>
        <w:widowControl w:val="0"/>
        <w:spacing w:after="0" w:line="230" w:lineRule="exact"/>
        <w:ind w:right="140"/>
        <w:rPr>
          <w:rFonts w:eastAsia="Times New Roman" w:cs="Times New Roman"/>
        </w:rPr>
      </w:pPr>
      <w:r>
        <w:t>[</w:t>
      </w:r>
      <w:r>
        <w:rPr>
          <w:highlight w:val="lightGray"/>
        </w:rPr>
        <w:t>дата</w:t>
      </w:r>
      <w:r>
        <w:t>]</w:t>
      </w:r>
      <w:r>
        <w:tab/>
        <w:t>[</w:t>
      </w:r>
      <w:r>
        <w:rPr>
          <w:highlight w:val="lightGray"/>
        </w:rPr>
        <w:t>печат</w:t>
      </w:r>
      <w:r>
        <w:t>][</w:t>
      </w:r>
      <w:r>
        <w:rPr>
          <w:highlight w:val="lightGray"/>
        </w:rPr>
        <w:t>дата</w:t>
      </w:r>
      <w:r>
        <w:t>]</w:t>
      </w:r>
      <w:r>
        <w:tab/>
        <w:t>[</w:t>
      </w:r>
      <w:r>
        <w:rPr>
          <w:highlight w:val="lightGray"/>
        </w:rPr>
        <w:t>печат</w:t>
      </w:r>
      <w:r>
        <w:t>]</w:t>
      </w:r>
    </w:p>
    <w:p w14:paraId="30841BB1" w14:textId="77777777" w:rsidR="008907F4" w:rsidRDefault="008907F4" w:rsidP="008907F4">
      <w:pPr>
        <w:spacing w:after="0"/>
        <w:ind w:left="4962" w:hanging="4962"/>
        <w:rPr>
          <w:rFonts w:eastAsia="Times New Roman"/>
          <w:szCs w:val="20"/>
        </w:rPr>
      </w:pPr>
    </w:p>
    <w:p w14:paraId="57272CE4" w14:textId="77777777" w:rsidR="008907F4" w:rsidRDefault="008907F4" w:rsidP="008907F4">
      <w:pPr>
        <w:pStyle w:val="Corpsdutexte30"/>
        <w:shd w:val="clear" w:color="auto" w:fill="auto"/>
        <w:spacing w:before="0" w:after="0" w:line="230" w:lineRule="exact"/>
        <w:ind w:right="140"/>
        <w:rPr>
          <w:rFonts w:eastAsia="Times New Roman"/>
          <w:szCs w:val="20"/>
        </w:rPr>
        <w:sectPr w:rsidR="008907F4" w:rsidSect="003171C9">
          <w:headerReference w:type="even" r:id="rId22"/>
          <w:headerReference w:type="default" r:id="rId23"/>
          <w:footerReference w:type="default" r:id="rId24"/>
          <w:headerReference w:type="first" r:id="rId25"/>
          <w:pgSz w:w="11906" w:h="16838"/>
          <w:pgMar w:top="1722" w:right="1418" w:bottom="1418" w:left="1418" w:header="709" w:footer="709" w:gutter="0"/>
          <w:cols w:space="708"/>
          <w:docGrid w:linePitch="360"/>
        </w:sectPr>
      </w:pPr>
    </w:p>
    <w:p w14:paraId="14F20DA2" w14:textId="77777777" w:rsidR="008907F4" w:rsidRPr="00C93AB2" w:rsidRDefault="2FA6B974" w:rsidP="008907F4">
      <w:pPr>
        <w:pStyle w:val="Annex"/>
      </w:pPr>
      <w:r>
        <w:lastRenderedPageBreak/>
        <w:t>ПРИЛОЖЕНИЕ 1</w:t>
      </w:r>
    </w:p>
    <w:p w14:paraId="2501BB6C" w14:textId="77777777" w:rsidR="008907F4" w:rsidRPr="005A1ACA" w:rsidRDefault="008907F4" w:rsidP="008907F4">
      <w:pPr>
        <w:widowControl w:val="0"/>
        <w:spacing w:line="230" w:lineRule="exact"/>
        <w:jc w:val="center"/>
        <w:rPr>
          <w:rFonts w:eastAsia="Times New Roman"/>
          <w:b/>
          <w:bCs/>
          <w:color w:val="000000"/>
          <w:sz w:val="23"/>
          <w:szCs w:val="23"/>
        </w:rPr>
      </w:pPr>
    </w:p>
    <w:p w14:paraId="4E7FE138" w14:textId="77777777" w:rsidR="008907F4" w:rsidRPr="00131E95" w:rsidRDefault="2FA6B974" w:rsidP="2FA6B974">
      <w:pPr>
        <w:widowControl w:val="0"/>
        <w:spacing w:line="230" w:lineRule="exact"/>
        <w:jc w:val="center"/>
        <w:rPr>
          <w:rFonts w:eastAsia="Times New Roman"/>
          <w:b/>
          <w:bCs/>
        </w:rPr>
      </w:pPr>
      <w:r>
        <w:rPr>
          <w:b/>
          <w:bCs/>
          <w:color w:val="000000" w:themeColor="text1"/>
        </w:rPr>
        <w:t>ОПИСАНИЕ НА ДЕЙНОСТТА</w:t>
      </w:r>
    </w:p>
    <w:p w14:paraId="1AF00A05" w14:textId="77777777" w:rsidR="008907F4" w:rsidRDefault="008907F4" w:rsidP="008907F4">
      <w:pPr>
        <w:pStyle w:val="Corpsdutexte30"/>
        <w:shd w:val="clear" w:color="auto" w:fill="auto"/>
        <w:spacing w:before="0" w:after="718" w:line="230" w:lineRule="exact"/>
        <w:ind w:right="140"/>
        <w:rPr>
          <w:rFonts w:eastAsia="Times New Roman"/>
          <w:szCs w:val="20"/>
        </w:rPr>
      </w:pPr>
    </w:p>
    <w:p w14:paraId="05BD3225" w14:textId="77777777" w:rsidR="008907F4" w:rsidRPr="00381C03" w:rsidRDefault="008907F4" w:rsidP="008907F4"/>
    <w:p w14:paraId="46395E21" w14:textId="77777777" w:rsidR="008907F4" w:rsidRPr="00381C03" w:rsidRDefault="008907F4" w:rsidP="008907F4"/>
    <w:p w14:paraId="21DCE3AB" w14:textId="77777777" w:rsidR="008907F4" w:rsidRPr="00381C03" w:rsidRDefault="008907F4" w:rsidP="008907F4"/>
    <w:p w14:paraId="3216DC22" w14:textId="77777777" w:rsidR="008907F4" w:rsidRPr="00381C03" w:rsidRDefault="008907F4" w:rsidP="008907F4"/>
    <w:p w14:paraId="3207C2FE" w14:textId="77777777" w:rsidR="008907F4" w:rsidRPr="00381C03" w:rsidRDefault="008907F4" w:rsidP="008907F4"/>
    <w:p w14:paraId="6ED05E6A" w14:textId="77777777" w:rsidR="008907F4" w:rsidRPr="00381C03" w:rsidRDefault="008907F4" w:rsidP="008907F4"/>
    <w:p w14:paraId="4AC30809" w14:textId="77777777" w:rsidR="008907F4" w:rsidRPr="00381C03" w:rsidRDefault="008907F4" w:rsidP="008907F4"/>
    <w:p w14:paraId="3718211B" w14:textId="77777777" w:rsidR="008907F4" w:rsidRPr="00381C03" w:rsidRDefault="008907F4" w:rsidP="008907F4"/>
    <w:p w14:paraId="33BAC880" w14:textId="77777777" w:rsidR="008907F4" w:rsidRPr="00381C03" w:rsidRDefault="008907F4" w:rsidP="008907F4"/>
    <w:p w14:paraId="1FAA991D" w14:textId="77777777" w:rsidR="008907F4" w:rsidRPr="00381C03" w:rsidRDefault="008907F4" w:rsidP="008907F4"/>
    <w:p w14:paraId="6EC0B35E" w14:textId="77777777" w:rsidR="008907F4" w:rsidRPr="00381C03" w:rsidRDefault="008907F4" w:rsidP="008907F4"/>
    <w:p w14:paraId="71AE0213" w14:textId="77777777" w:rsidR="008907F4" w:rsidRPr="00381C03" w:rsidRDefault="008907F4" w:rsidP="008907F4"/>
    <w:p w14:paraId="3B928684" w14:textId="77777777" w:rsidR="008907F4" w:rsidRPr="00381C03" w:rsidRDefault="008907F4" w:rsidP="008907F4"/>
    <w:p w14:paraId="7F3F5A47" w14:textId="77777777" w:rsidR="008907F4" w:rsidRPr="00381C03" w:rsidRDefault="008907F4" w:rsidP="008907F4"/>
    <w:p w14:paraId="3C775E50" w14:textId="77777777" w:rsidR="008907F4" w:rsidRPr="00381C03" w:rsidRDefault="008907F4" w:rsidP="008907F4"/>
    <w:p w14:paraId="4A69FB1A" w14:textId="77777777" w:rsidR="008907F4" w:rsidRPr="00381C03" w:rsidRDefault="008907F4" w:rsidP="008907F4"/>
    <w:p w14:paraId="5ED2FEB1" w14:textId="77777777" w:rsidR="008907F4" w:rsidRPr="00381C03" w:rsidRDefault="008907F4" w:rsidP="008907F4"/>
    <w:p w14:paraId="5F81BBDE" w14:textId="77777777" w:rsidR="008907F4" w:rsidRPr="00381C03" w:rsidRDefault="008907F4" w:rsidP="008907F4"/>
    <w:p w14:paraId="0F111F40" w14:textId="77777777" w:rsidR="008907F4" w:rsidRPr="00381C03" w:rsidRDefault="008907F4" w:rsidP="008907F4"/>
    <w:p w14:paraId="1EE8876F" w14:textId="77777777" w:rsidR="008907F4" w:rsidRPr="00381C03" w:rsidRDefault="008907F4" w:rsidP="008907F4"/>
    <w:p w14:paraId="59A0751B" w14:textId="77777777" w:rsidR="008907F4" w:rsidRPr="00381C03" w:rsidRDefault="008907F4" w:rsidP="008907F4"/>
    <w:p w14:paraId="7BB96718" w14:textId="77777777" w:rsidR="008907F4" w:rsidRPr="00381C03" w:rsidRDefault="008907F4" w:rsidP="008907F4">
      <w:pPr>
        <w:jc w:val="right"/>
      </w:pPr>
    </w:p>
    <w:p w14:paraId="12B4FF34" w14:textId="77777777" w:rsidR="008907F4" w:rsidRPr="00381C03" w:rsidRDefault="008907F4" w:rsidP="008907F4">
      <w:pPr>
        <w:sectPr w:rsidR="008907F4" w:rsidRPr="00381C03" w:rsidSect="00730D0E">
          <w:pgSz w:w="11906" w:h="16838"/>
          <w:pgMar w:top="1702" w:right="1418" w:bottom="1418" w:left="1418" w:header="709" w:footer="709" w:gutter="0"/>
          <w:cols w:space="708"/>
          <w:docGrid w:linePitch="360"/>
        </w:sectPr>
      </w:pPr>
    </w:p>
    <w:p w14:paraId="44AF2E8E" w14:textId="77777777" w:rsidR="008907F4" w:rsidRPr="00946A9C" w:rsidRDefault="2FA6B974" w:rsidP="008907F4">
      <w:pPr>
        <w:pStyle w:val="Annex"/>
      </w:pPr>
      <w:r>
        <w:lastRenderedPageBreak/>
        <w:t>ПРИЛОЖЕНИЕ 2</w:t>
      </w:r>
    </w:p>
    <w:p w14:paraId="2C9B7620" w14:textId="77777777" w:rsidR="008907F4" w:rsidRPr="00131E95" w:rsidRDefault="2FA6B974" w:rsidP="2FA6B974">
      <w:pPr>
        <w:tabs>
          <w:tab w:val="left" w:pos="1276"/>
        </w:tabs>
        <w:jc w:val="center"/>
        <w:rPr>
          <w:b/>
          <w:bCs/>
        </w:rPr>
      </w:pPr>
      <w:r>
        <w:rPr>
          <w:b/>
          <w:bCs/>
        </w:rPr>
        <w:t>ПРОГНОЗЕН БЮДЖЕТ</w:t>
      </w:r>
    </w:p>
    <w:p w14:paraId="630F6F62" w14:textId="28C54173" w:rsidR="008907F4" w:rsidRDefault="008907F4" w:rsidP="000D30C6">
      <w:pPr>
        <w:ind w:left="-284"/>
      </w:pPr>
    </w:p>
    <w:p w14:paraId="0823C59D" w14:textId="77777777" w:rsidR="008907F4" w:rsidRPr="00667FF8" w:rsidRDefault="008907F4" w:rsidP="008907F4">
      <w:pPr>
        <w:pStyle w:val="CommentText"/>
      </w:pPr>
    </w:p>
    <w:p w14:paraId="5F60CE95" w14:textId="77777777" w:rsidR="008907F4" w:rsidRPr="009F52FA" w:rsidRDefault="008907F4" w:rsidP="008907F4">
      <w:pPr>
        <w:tabs>
          <w:tab w:val="left" w:pos="1276"/>
        </w:tabs>
        <w:jc w:val="center"/>
        <w:rPr>
          <w:sz w:val="22"/>
        </w:rPr>
        <w:sectPr w:rsidR="008907F4" w:rsidRPr="009F52FA" w:rsidSect="00381C03">
          <w:pgSz w:w="16838" w:h="11906" w:orient="landscape"/>
          <w:pgMar w:top="1417" w:right="1920" w:bottom="1417" w:left="1417" w:header="708" w:footer="708" w:gutter="0"/>
          <w:cols w:space="708"/>
          <w:docGrid w:linePitch="360"/>
        </w:sectPr>
      </w:pPr>
    </w:p>
    <w:p w14:paraId="535692B1" w14:textId="77777777" w:rsidR="00CF7824" w:rsidRPr="00CF7824" w:rsidRDefault="2FA6B974" w:rsidP="00CF7824">
      <w:pPr>
        <w:pStyle w:val="Annex"/>
      </w:pPr>
      <w:r>
        <w:lastRenderedPageBreak/>
        <w:t>ПРИЛОЖЕНИЕ 2a</w:t>
      </w:r>
    </w:p>
    <w:p w14:paraId="3B4665DF" w14:textId="77777777" w:rsidR="00CF7824" w:rsidRPr="00CF7824" w:rsidRDefault="00CF7824" w:rsidP="00CF7824">
      <w:pPr>
        <w:tabs>
          <w:tab w:val="left" w:pos="1276"/>
        </w:tabs>
        <w:ind w:left="1276" w:hanging="1276"/>
        <w:jc w:val="right"/>
        <w:rPr>
          <w:b/>
          <w:szCs w:val="24"/>
        </w:rPr>
      </w:pPr>
    </w:p>
    <w:p w14:paraId="10D9EEBD" w14:textId="77777777" w:rsidR="00325CCD" w:rsidRDefault="2FA6B974" w:rsidP="2FA6B974">
      <w:pPr>
        <w:tabs>
          <w:tab w:val="left" w:pos="1276"/>
        </w:tabs>
        <w:ind w:left="1276" w:hanging="1276"/>
        <w:jc w:val="center"/>
        <w:rPr>
          <w:b/>
          <w:bCs/>
        </w:rPr>
      </w:pPr>
      <w:r>
        <w:rPr>
          <w:b/>
          <w:bCs/>
        </w:rPr>
        <w:t>ДОПЪЛНИТЕЛНА ИНФОРМАЦИЯ ОТНОСНО ЕДИНИЧНИТЕ РАЗХОДИ И ВНОСКИ</w:t>
      </w:r>
    </w:p>
    <w:p w14:paraId="02577F5C" w14:textId="77777777" w:rsidR="000D30C6" w:rsidRPr="000D30C6" w:rsidRDefault="000D30C6" w:rsidP="000D30C6">
      <w:pPr>
        <w:rPr>
          <w:rFonts w:eastAsia="Calibri" w:cs="Times New Roman"/>
          <w:highlight w:val="yellow"/>
        </w:rPr>
      </w:pPr>
    </w:p>
    <w:p w14:paraId="71BDA165" w14:textId="77777777" w:rsidR="000D30C6" w:rsidRPr="000D30C6" w:rsidRDefault="000D30C6" w:rsidP="000D30C6">
      <w:pPr>
        <w:rPr>
          <w:rFonts w:eastAsia="Calibri" w:cs="Times New Roman"/>
        </w:rPr>
      </w:pPr>
      <w:r>
        <w:rPr>
          <w:b/>
          <w:u w:val="single"/>
        </w:rPr>
        <w:t>Собственици на МСП/бенефициери физически лица без заплата</w:t>
      </w:r>
      <w:r>
        <w:t xml:space="preserve"> </w:t>
      </w:r>
      <w:r>
        <w:rPr>
          <w:sz w:val="20"/>
        </w:rPr>
        <w:t>(Решение C(2020) 7115</w:t>
      </w:r>
      <w:r>
        <w:rPr>
          <w:rFonts w:eastAsia="Calibri" w:cs="Times New Roman"/>
          <w:sz w:val="20"/>
          <w:vertAlign w:val="superscript"/>
        </w:rPr>
        <w:footnoteReference w:id="27"/>
      </w:r>
      <w:r>
        <w:rPr>
          <w:sz w:val="20"/>
        </w:rPr>
        <w:t>)</w:t>
      </w:r>
    </w:p>
    <w:p w14:paraId="12E589A5" w14:textId="77777777" w:rsidR="000D30C6" w:rsidRPr="000D30C6" w:rsidRDefault="000D30C6" w:rsidP="000D30C6">
      <w:pPr>
        <w:autoSpaceDE w:val="0"/>
        <w:autoSpaceDN w:val="0"/>
        <w:adjustRightInd w:val="0"/>
        <w:snapToGrid w:val="0"/>
        <w:rPr>
          <w:rFonts w:eastAsia="Calibri" w:cs="Times New Roman"/>
          <w:sz w:val="20"/>
          <w:szCs w:val="20"/>
          <w:u w:val="single"/>
        </w:rPr>
      </w:pPr>
      <w:r>
        <w:rPr>
          <w:sz w:val="20"/>
          <w:szCs w:val="20"/>
          <w:u w:val="single"/>
        </w:rPr>
        <w:t>Вид</w:t>
      </w:r>
      <w:r>
        <w:rPr>
          <w:sz w:val="20"/>
          <w:szCs w:val="20"/>
        </w:rPr>
        <w:t>: единични разходи</w:t>
      </w:r>
    </w:p>
    <w:p w14:paraId="0ADE435B" w14:textId="77777777" w:rsidR="000D30C6" w:rsidRPr="000D30C6" w:rsidRDefault="000D30C6" w:rsidP="000D30C6">
      <w:pPr>
        <w:autoSpaceDE w:val="0"/>
        <w:autoSpaceDN w:val="0"/>
        <w:adjustRightInd w:val="0"/>
        <w:snapToGrid w:val="0"/>
        <w:rPr>
          <w:rFonts w:eastAsia="Calibri" w:cs="Times New Roman"/>
          <w:sz w:val="20"/>
          <w:szCs w:val="20"/>
          <w:u w:val="single"/>
        </w:rPr>
      </w:pPr>
      <w:r>
        <w:rPr>
          <w:sz w:val="20"/>
          <w:szCs w:val="20"/>
          <w:u w:val="single"/>
        </w:rPr>
        <w:t>Единици</w:t>
      </w:r>
      <w:r>
        <w:rPr>
          <w:sz w:val="20"/>
          <w:szCs w:val="20"/>
        </w:rPr>
        <w:t>: брой отработени по дейността дни (закръглени нагоре или надолу до най-близкия половин ден).</w:t>
      </w:r>
    </w:p>
    <w:p w14:paraId="0BCAA752" w14:textId="77777777" w:rsidR="000D30C6" w:rsidRPr="000D30C6" w:rsidRDefault="000D30C6" w:rsidP="000D30C6">
      <w:pPr>
        <w:autoSpaceDE w:val="0"/>
        <w:autoSpaceDN w:val="0"/>
        <w:adjustRightInd w:val="0"/>
        <w:snapToGrid w:val="0"/>
        <w:ind w:left="360" w:hanging="360"/>
        <w:rPr>
          <w:rFonts w:eastAsia="Calibri" w:cs="Times New Roman"/>
          <w:sz w:val="20"/>
          <w:szCs w:val="20"/>
        </w:rPr>
      </w:pPr>
      <w:r>
        <w:rPr>
          <w:sz w:val="20"/>
          <w:szCs w:val="20"/>
          <w:u w:val="single"/>
        </w:rPr>
        <w:t>Размер на единица (дневна ставка)</w:t>
      </w:r>
      <w:r>
        <w:rPr>
          <w:sz w:val="20"/>
          <w:szCs w:val="20"/>
        </w:rPr>
        <w:t xml:space="preserve">: изчислена по следната формула: </w:t>
      </w:r>
    </w:p>
    <w:p w14:paraId="78819D2C" w14:textId="77777777" w:rsidR="000D30C6" w:rsidRPr="000D30C6" w:rsidRDefault="000D30C6" w:rsidP="000D30C6">
      <w:pPr>
        <w:autoSpaceDE w:val="0"/>
        <w:autoSpaceDN w:val="0"/>
        <w:adjustRightInd w:val="0"/>
        <w:snapToGrid w:val="0"/>
        <w:spacing w:after="0"/>
        <w:ind w:left="1080"/>
        <w:rPr>
          <w:rFonts w:eastAsia="Times New Roman" w:cs="Times New Roman"/>
          <w:sz w:val="18"/>
          <w:szCs w:val="18"/>
        </w:rPr>
      </w:pPr>
      <w:r>
        <w:rPr>
          <w:sz w:val="18"/>
          <w:szCs w:val="18"/>
        </w:rPr>
        <w:t xml:space="preserve">{5080 EUR / 18 дни = </w:t>
      </w:r>
      <w:r>
        <w:rPr>
          <w:b/>
          <w:sz w:val="18"/>
          <w:szCs w:val="18"/>
        </w:rPr>
        <w:t>282,22</w:t>
      </w:r>
      <w:r>
        <w:rPr>
          <w:sz w:val="18"/>
          <w:szCs w:val="18"/>
        </w:rPr>
        <w:t xml:space="preserve">} </w:t>
      </w:r>
    </w:p>
    <w:p w14:paraId="1F779D84" w14:textId="77777777" w:rsidR="000D30C6" w:rsidRPr="000D30C6" w:rsidRDefault="000D30C6" w:rsidP="000D30C6">
      <w:pPr>
        <w:autoSpaceDE w:val="0"/>
        <w:autoSpaceDN w:val="0"/>
        <w:adjustRightInd w:val="0"/>
        <w:snapToGrid w:val="0"/>
        <w:spacing w:after="0"/>
        <w:ind w:left="1080"/>
        <w:rPr>
          <w:rFonts w:eastAsia="Times New Roman" w:cs="Times New Roman"/>
          <w:iCs/>
          <w:sz w:val="18"/>
          <w:szCs w:val="18"/>
        </w:rPr>
      </w:pPr>
      <w:r>
        <w:rPr>
          <w:iCs/>
          <w:sz w:val="18"/>
          <w:szCs w:val="18"/>
        </w:rPr>
        <w:t xml:space="preserve">умножено по </w:t>
      </w:r>
    </w:p>
    <w:p w14:paraId="4AE2A699" w14:textId="77777777" w:rsidR="000D30C6" w:rsidRPr="000D30C6" w:rsidRDefault="000D30C6" w:rsidP="000D30C6">
      <w:pPr>
        <w:autoSpaceDE w:val="0"/>
        <w:autoSpaceDN w:val="0"/>
        <w:adjustRightInd w:val="0"/>
        <w:snapToGrid w:val="0"/>
        <w:ind w:left="1080"/>
        <w:rPr>
          <w:rFonts w:eastAsia="Times New Roman" w:cs="Times New Roman"/>
          <w:iCs/>
          <w:sz w:val="18"/>
          <w:szCs w:val="18"/>
        </w:rPr>
      </w:pPr>
      <w:r>
        <w:rPr>
          <w:iCs/>
          <w:sz w:val="18"/>
          <w:szCs w:val="18"/>
        </w:rPr>
        <w:t>{коефициент за корекция, специфичен за държавата, в която е установен бенефициерът}</w:t>
      </w:r>
    </w:p>
    <w:p w14:paraId="741E06A8" w14:textId="77777777" w:rsidR="000D30C6" w:rsidRPr="000D30C6" w:rsidRDefault="000D30C6" w:rsidP="000D30C6">
      <w:pPr>
        <w:autoSpaceDE w:val="0"/>
        <w:autoSpaceDN w:val="0"/>
        <w:adjustRightInd w:val="0"/>
        <w:snapToGrid w:val="0"/>
        <w:ind w:left="360"/>
        <w:rPr>
          <w:rFonts w:eastAsia="Calibri" w:cs="Times New Roman"/>
          <w:sz w:val="20"/>
          <w:szCs w:val="20"/>
        </w:rPr>
      </w:pPr>
      <w:r>
        <w:rPr>
          <w:sz w:val="20"/>
          <w:szCs w:val="20"/>
        </w:rPr>
        <w:t>Използваните специфични за държавата коефициенти за корекция са тези, определени в работната програма „Хоризонт Европа“ (раздела за действия „Мария Склодовска-Кюри“), която е действаща към момента на поканата (вж.</w:t>
      </w:r>
      <w:hyperlink r:id="rId26" w:history="1">
        <w:r>
          <w:rPr>
            <w:color w:val="0088CC"/>
            <w:sz w:val="20"/>
            <w:szCs w:val="20"/>
            <w:u w:val="single"/>
          </w:rPr>
          <w:t> „Документи за справка“ на портала</w:t>
        </w:r>
      </w:hyperlink>
      <w:r>
        <w:rPr>
          <w:sz w:val="20"/>
          <w:szCs w:val="20"/>
        </w:rPr>
        <w:t>).</w:t>
      </w:r>
    </w:p>
    <w:p w14:paraId="33558AA8" w14:textId="77777777" w:rsidR="00325CCD" w:rsidRPr="00827628" w:rsidRDefault="00325CCD" w:rsidP="00827628">
      <w:pPr>
        <w:tabs>
          <w:tab w:val="left" w:pos="1276"/>
        </w:tabs>
        <w:ind w:left="1276" w:hanging="1276"/>
        <w:jc w:val="left"/>
        <w:rPr>
          <w:b/>
          <w:szCs w:val="24"/>
        </w:rPr>
      </w:pPr>
    </w:p>
    <w:p w14:paraId="748C0627" w14:textId="77777777" w:rsidR="00325CCD" w:rsidRPr="00827628" w:rsidRDefault="00325CCD" w:rsidP="00827628">
      <w:pPr>
        <w:tabs>
          <w:tab w:val="left" w:pos="1276"/>
        </w:tabs>
        <w:ind w:left="1276" w:hanging="1276"/>
        <w:jc w:val="left"/>
        <w:rPr>
          <w:b/>
          <w:szCs w:val="24"/>
        </w:rPr>
      </w:pPr>
    </w:p>
    <w:p w14:paraId="5C86E221" w14:textId="77777777" w:rsidR="00CF7824" w:rsidRDefault="00CF7824">
      <w:pPr>
        <w:spacing w:line="276" w:lineRule="auto"/>
        <w:jc w:val="left"/>
        <w:rPr>
          <w:rFonts w:eastAsia="Times New Roman" w:cstheme="majorBidi"/>
          <w:b/>
          <w:iCs/>
          <w:color w:val="000000"/>
          <w:szCs w:val="28"/>
          <w:u w:val="single"/>
        </w:rPr>
      </w:pPr>
      <w:r>
        <w:br w:type="page"/>
      </w:r>
    </w:p>
    <w:p w14:paraId="1FE20CF6" w14:textId="221D63B5" w:rsidR="008907F4" w:rsidRPr="00C93AB2" w:rsidRDefault="2FA6B974" w:rsidP="008907F4">
      <w:pPr>
        <w:pStyle w:val="Annex"/>
      </w:pPr>
      <w:r>
        <w:lastRenderedPageBreak/>
        <w:t>ПРИЛОЖЕНИЕ 3</w:t>
      </w:r>
    </w:p>
    <w:p w14:paraId="3E18033F" w14:textId="77777777" w:rsidR="008907F4" w:rsidRPr="005A1ACA" w:rsidRDefault="008907F4" w:rsidP="00216718"/>
    <w:p w14:paraId="3A416579" w14:textId="63BED162" w:rsidR="008907F4" w:rsidRPr="00D1398D" w:rsidRDefault="008907F4" w:rsidP="2FA6B974">
      <w:pPr>
        <w:widowControl w:val="0"/>
        <w:spacing w:after="504" w:line="230" w:lineRule="exact"/>
        <w:jc w:val="center"/>
        <w:rPr>
          <w:rFonts w:eastAsia="Times New Roman"/>
          <w:b/>
          <w:bCs/>
        </w:rPr>
      </w:pPr>
      <w:r>
        <w:rPr>
          <w:b/>
          <w:bCs/>
          <w:color w:val="000000"/>
        </w:rPr>
        <w:t>ФОРМУЛЯР ЗА ПРИСЪЕДИНЯВАНЕ НА БЕНЕФИЦИЕРИ</w:t>
      </w:r>
      <w:r>
        <w:rPr>
          <w:rFonts w:cs="Times New Roman"/>
          <w:position w:val="4"/>
          <w:sz w:val="20"/>
          <w:szCs w:val="20"/>
          <w:vertAlign w:val="superscript"/>
        </w:rPr>
        <w:footnoteReference w:id="28"/>
      </w:r>
    </w:p>
    <w:p w14:paraId="38A7B1FD" w14:textId="77777777" w:rsidR="00216718" w:rsidRPr="00265DAD" w:rsidRDefault="00216718" w:rsidP="00216718">
      <w:pPr>
        <w:autoSpaceDE w:val="0"/>
        <w:autoSpaceDN w:val="0"/>
        <w:adjustRightInd w:val="0"/>
        <w:rPr>
          <w:i/>
          <w:iCs/>
          <w:color w:val="4AA55B"/>
          <w:sz w:val="20"/>
        </w:rPr>
      </w:pPr>
      <w:r>
        <w:rPr>
          <w:i/>
          <w:iCs/>
          <w:color w:val="4AA55B"/>
          <w:sz w:val="20"/>
        </w:rPr>
        <w:t>(</w:t>
      </w:r>
      <w:r>
        <w:rPr>
          <w:i/>
          <w:color w:val="4AA55B"/>
          <w:sz w:val="20"/>
        </w:rPr>
        <w:t>Да се попълва и подписва от всички бенефициери, различни от координатора, и след това — при изменения за всеки нов бенефициер (координатор или друг).)</w:t>
      </w:r>
    </w:p>
    <w:p w14:paraId="1464146D" w14:textId="77777777" w:rsidR="00216718" w:rsidRPr="005A1ACA" w:rsidRDefault="00216718" w:rsidP="00216718">
      <w:pPr>
        <w:rPr>
          <w:lang w:eastAsia="en-GB"/>
        </w:rPr>
      </w:pPr>
    </w:p>
    <w:p w14:paraId="5E704C8C" w14:textId="77777777" w:rsidR="00216718" w:rsidRPr="00092198" w:rsidRDefault="00216718" w:rsidP="00216718">
      <w:pPr>
        <w:autoSpaceDE w:val="0"/>
        <w:autoSpaceDN w:val="0"/>
        <w:adjustRightInd w:val="0"/>
        <w:rPr>
          <w:szCs w:val="24"/>
        </w:rPr>
      </w:pPr>
      <w:r>
        <w:t>[</w:t>
      </w:r>
      <w:r>
        <w:rPr>
          <w:b/>
          <w:iCs/>
          <w:szCs w:val="24"/>
          <w:highlight w:val="lightGray"/>
        </w:rPr>
        <w:t>официално наименование на БЕН (кратко наименование)</w:t>
      </w:r>
      <w:r>
        <w:t>], PIC [</w:t>
      </w:r>
      <w:r>
        <w:rPr>
          <w:szCs w:val="24"/>
          <w:highlight w:val="lightGray"/>
        </w:rPr>
        <w:t>номер</w:t>
      </w:r>
      <w:r>
        <w:t>], със седалище в</w:t>
      </w:r>
      <w:r>
        <w:rPr>
          <w:i/>
          <w:iCs/>
          <w:szCs w:val="24"/>
        </w:rPr>
        <w:t xml:space="preserve"> </w:t>
      </w:r>
      <w:r>
        <w:t>[</w:t>
      </w:r>
      <w:r>
        <w:rPr>
          <w:iCs/>
          <w:szCs w:val="24"/>
          <w:highlight w:val="lightGray"/>
        </w:rPr>
        <w:t>официален адрес</w:t>
      </w:r>
      <w:r>
        <w:t>]</w:t>
      </w:r>
    </w:p>
    <w:p w14:paraId="1535847B" w14:textId="77777777" w:rsidR="00216718" w:rsidRPr="00F82E53" w:rsidRDefault="00216718" w:rsidP="00216718">
      <w:pPr>
        <w:widowControl w:val="0"/>
        <w:jc w:val="center"/>
        <w:rPr>
          <w:rFonts w:eastAsia="Times New Roman"/>
          <w:b/>
          <w:bCs/>
          <w:szCs w:val="24"/>
        </w:rPr>
      </w:pPr>
      <w:r>
        <w:rPr>
          <w:b/>
          <w:bCs/>
          <w:color w:val="000000"/>
          <w:szCs w:val="24"/>
        </w:rPr>
        <w:t>приема</w:t>
      </w:r>
    </w:p>
    <w:p w14:paraId="4128328F" w14:textId="77777777" w:rsidR="00216718" w:rsidRPr="00F82E53" w:rsidRDefault="00216718" w:rsidP="00216718">
      <w:pPr>
        <w:widowControl w:val="0"/>
        <w:ind w:left="20" w:right="-14"/>
        <w:rPr>
          <w:rFonts w:eastAsia="Times New Roman"/>
          <w:color w:val="000000"/>
          <w:szCs w:val="24"/>
        </w:rPr>
      </w:pPr>
      <w:r>
        <w:rPr>
          <w:b/>
          <w:bCs/>
          <w:color w:val="000000"/>
          <w:szCs w:val="24"/>
        </w:rPr>
        <w:t xml:space="preserve">да стане </w:t>
      </w:r>
      <w:r>
        <w:rPr>
          <w:i/>
          <w:color w:val="4AA55B"/>
          <w:szCs w:val="24"/>
        </w:rPr>
        <w:t>[</w:t>
      </w:r>
      <w:r>
        <w:t>бенефициер</w:t>
      </w:r>
      <w:r>
        <w:rPr>
          <w:i/>
          <w:color w:val="4AA55B"/>
          <w:szCs w:val="24"/>
        </w:rPr>
        <w:t>][</w:t>
      </w:r>
      <w:r>
        <w:t>координатор</w:t>
      </w:r>
      <w:r>
        <w:rPr>
          <w:i/>
          <w:color w:val="4AA55B"/>
          <w:szCs w:val="24"/>
        </w:rPr>
        <w:t>]</w:t>
      </w:r>
      <w:r>
        <w:t xml:space="preserve"> </w:t>
      </w:r>
    </w:p>
    <w:p w14:paraId="3E28638D" w14:textId="77777777" w:rsidR="00216718" w:rsidRPr="00F82E53" w:rsidRDefault="00216718" w:rsidP="00216718">
      <w:pPr>
        <w:widowControl w:val="0"/>
        <w:ind w:left="20" w:right="-14"/>
        <w:rPr>
          <w:rFonts w:eastAsia="Times New Roman"/>
          <w:szCs w:val="24"/>
        </w:rPr>
      </w:pPr>
      <w:r>
        <w:rPr>
          <w:b/>
          <w:bCs/>
          <w:color w:val="000000"/>
          <w:szCs w:val="24"/>
        </w:rPr>
        <w:t>по споразумение</w:t>
      </w:r>
      <w:r>
        <w:rPr>
          <w:color w:val="000000"/>
          <w:szCs w:val="24"/>
        </w:rPr>
        <w:t>[</w:t>
      </w:r>
      <w:r>
        <w:rPr>
          <w:b/>
          <w:color w:val="000000"/>
          <w:szCs w:val="24"/>
          <w:highlight w:val="lightGray"/>
        </w:rPr>
        <w:t>попълва се номер</w:t>
      </w:r>
      <w:r>
        <w:rPr>
          <w:color w:val="000000"/>
          <w:szCs w:val="24"/>
        </w:rPr>
        <w:t xml:space="preserve">] </w:t>
      </w:r>
      <w:r>
        <w:rPr>
          <w:b/>
          <w:szCs w:val="24"/>
        </w:rPr>
        <w:t>— [</w:t>
      </w:r>
      <w:r>
        <w:rPr>
          <w:b/>
          <w:szCs w:val="24"/>
          <w:highlight w:val="lightGray"/>
        </w:rPr>
        <w:t>попълва се съкращение</w:t>
      </w:r>
      <w:r>
        <w:rPr>
          <w:b/>
          <w:szCs w:val="24"/>
        </w:rPr>
        <w:t>]</w:t>
      </w:r>
      <w:r>
        <w:rPr>
          <w:color w:val="000000"/>
          <w:szCs w:val="24"/>
        </w:rPr>
        <w:t xml:space="preserve"> („споразумението“)</w:t>
      </w:r>
    </w:p>
    <w:p w14:paraId="2E7FFCA1" w14:textId="77777777" w:rsidR="00216718" w:rsidRPr="00F82E53" w:rsidRDefault="00216718" w:rsidP="00216718">
      <w:pPr>
        <w:widowControl w:val="0"/>
        <w:ind w:left="20" w:right="20"/>
        <w:rPr>
          <w:rFonts w:eastAsia="Times New Roman"/>
          <w:i/>
          <w:iCs/>
          <w:szCs w:val="24"/>
        </w:rPr>
      </w:pPr>
      <w:r>
        <w:rPr>
          <w:b/>
          <w:bCs/>
          <w:color w:val="000000"/>
          <w:szCs w:val="24"/>
        </w:rPr>
        <w:t>между</w:t>
      </w:r>
      <w:r>
        <w:rPr>
          <w:color w:val="000000"/>
          <w:szCs w:val="24"/>
        </w:rPr>
        <w:t xml:space="preserve"> [</w:t>
      </w:r>
      <w:r>
        <w:rPr>
          <w:color w:val="000000"/>
          <w:szCs w:val="24"/>
          <w:highlight w:val="lightGray"/>
        </w:rPr>
        <w:t>официално наименование на КООР (съкратено наименование)</w:t>
      </w:r>
      <w:r>
        <w:rPr>
          <w:color w:val="000000"/>
          <w:szCs w:val="24"/>
        </w:rPr>
        <w:t>]</w:t>
      </w:r>
      <w:r>
        <w:rPr>
          <w:b/>
          <w:bCs/>
          <w:color w:val="000000"/>
          <w:szCs w:val="24"/>
        </w:rPr>
        <w:t xml:space="preserve"> и</w:t>
      </w:r>
      <w:r>
        <w:rPr>
          <w:i/>
          <w:iCs/>
          <w:color w:val="000000"/>
          <w:szCs w:val="24"/>
        </w:rPr>
        <w:t xml:space="preserve"> </w:t>
      </w:r>
      <w:r>
        <w:t>[</w:t>
      </w:r>
      <w:r>
        <w:rPr>
          <w:szCs w:val="24"/>
          <w:highlight w:val="lightGray"/>
        </w:rPr>
        <w:t>наименование на компетентния орган</w:t>
      </w:r>
      <w:r>
        <w:t>] действащ от името и за сметка на [</w:t>
      </w:r>
      <w:r>
        <w:rPr>
          <w:highlight w:val="lightGray"/>
        </w:rPr>
        <w:t>име на държавата членка</w:t>
      </w:r>
      <w:r>
        <w:t>] („предоставящ орган“)</w:t>
      </w:r>
    </w:p>
    <w:p w14:paraId="7F0B6F3F" w14:textId="77777777" w:rsidR="00216718" w:rsidRPr="005B73BC" w:rsidRDefault="00216718" w:rsidP="00216718">
      <w:pPr>
        <w:autoSpaceDE w:val="0"/>
        <w:autoSpaceDN w:val="0"/>
        <w:adjustRightInd w:val="0"/>
        <w:jc w:val="center"/>
        <w:rPr>
          <w:b/>
          <w:szCs w:val="24"/>
        </w:rPr>
      </w:pPr>
      <w:r>
        <w:rPr>
          <w:b/>
          <w:i/>
          <w:color w:val="4AA55B"/>
          <w:szCs w:val="24"/>
        </w:rPr>
        <w:t>[</w:t>
      </w:r>
      <w:r>
        <w:rPr>
          <w:i/>
          <w:color w:val="4AA55B"/>
          <w:szCs w:val="24"/>
        </w:rPr>
        <w:t>ВАРИАНТ за бенефициери, които НЕ са координатор:</w:t>
      </w:r>
      <w:r>
        <w:rPr>
          <w:b/>
          <w:szCs w:val="24"/>
        </w:rPr>
        <w:t xml:space="preserve"> и упълномощава</w:t>
      </w:r>
    </w:p>
    <w:p w14:paraId="74B7BE04" w14:textId="77777777" w:rsidR="00216718" w:rsidRPr="00795C2B" w:rsidRDefault="00216718" w:rsidP="00216718">
      <w:pPr>
        <w:rPr>
          <w:i/>
        </w:rPr>
      </w:pPr>
      <w:r>
        <w:rPr>
          <w:b/>
          <w:bCs/>
        </w:rPr>
        <w:t>координатора</w:t>
      </w:r>
      <w:r>
        <w:t xml:space="preserve"> да представя и подписва от негово име и за негова сметка всякакви изменения на споразумението, в съответствие с член 39.</w:t>
      </w:r>
      <w:r>
        <w:rPr>
          <w:b/>
          <w:i/>
          <w:color w:val="4AA55B"/>
        </w:rPr>
        <w:t>]</w:t>
      </w:r>
      <w:r>
        <w:rPr>
          <w:i/>
          <w:color w:val="4AA55B"/>
        </w:rPr>
        <w:t xml:space="preserve"> </w:t>
      </w:r>
    </w:p>
    <w:p w14:paraId="4801A2A7" w14:textId="77777777" w:rsidR="00216718" w:rsidRPr="00C71316" w:rsidRDefault="00216718" w:rsidP="00216718">
      <w:pPr>
        <w:autoSpaceDE w:val="0"/>
        <w:autoSpaceDN w:val="0"/>
        <w:adjustRightInd w:val="0"/>
        <w:rPr>
          <w:rFonts w:cs="Calibri"/>
          <w:b/>
          <w:szCs w:val="24"/>
        </w:rPr>
      </w:pPr>
      <w:r>
        <w:t xml:space="preserve">С подписването на настоящия формуляр за присъединяване бенефициерът приема безвъзмездните средства и се съгласява </w:t>
      </w:r>
      <w:r>
        <w:rPr>
          <w:i/>
          <w:color w:val="4AA55B"/>
          <w:szCs w:val="24"/>
        </w:rPr>
        <w:t>[ВАРИАНТ: за координаторите:</w:t>
      </w:r>
      <w:r>
        <w:t xml:space="preserve"> да поеме задълженията и ролята на координатор и</w:t>
      </w:r>
      <w:r>
        <w:rPr>
          <w:i/>
          <w:color w:val="4AA55B"/>
          <w:szCs w:val="24"/>
        </w:rPr>
        <w:t>]</w:t>
      </w:r>
      <w:r>
        <w:t xml:space="preserve"> да ги прилага в съответствие със споразумението, заедно с всички предвидени в него условия и правила </w:t>
      </w:r>
      <w:r>
        <w:rPr>
          <w:b/>
          <w:i/>
          <w:color w:val="4AA55B"/>
          <w:szCs w:val="24"/>
        </w:rPr>
        <w:t>[</w:t>
      </w:r>
      <w:r>
        <w:rPr>
          <w:i/>
          <w:color w:val="4AA55B"/>
          <w:szCs w:val="24"/>
        </w:rPr>
        <w:t>ВАРИАНТ за нови бенефициери/координатори:</w:t>
      </w:r>
      <w:r>
        <w:t xml:space="preserve"> от </w:t>
      </w:r>
      <w:r>
        <w:rPr>
          <w:i/>
          <w:color w:val="4AA55B"/>
          <w:szCs w:val="24"/>
        </w:rPr>
        <w:t>[</w:t>
      </w:r>
      <w:r>
        <w:t>[</w:t>
      </w:r>
      <w:r>
        <w:rPr>
          <w:szCs w:val="24"/>
          <w:shd w:val="clear" w:color="auto" w:fill="D9D9D9"/>
        </w:rPr>
        <w:t>въведете дата</w:t>
      </w:r>
      <w:r>
        <w:t>]</w:t>
      </w:r>
      <w:r>
        <w:rPr>
          <w:i/>
          <w:color w:val="4AA55B"/>
          <w:szCs w:val="24"/>
        </w:rPr>
        <w:t>][</w:t>
      </w:r>
      <w:r>
        <w:t>датата на подписване на формуляра за присъединяване</w:t>
      </w:r>
      <w:r>
        <w:rPr>
          <w:i/>
          <w:color w:val="4AA55B"/>
          <w:szCs w:val="24"/>
        </w:rPr>
        <w:t>][</w:t>
      </w:r>
      <w:r>
        <w:t>датата на влизане в сила на изменението</w:t>
      </w:r>
      <w:r>
        <w:rPr>
          <w:i/>
          <w:color w:val="4AA55B"/>
          <w:szCs w:val="24"/>
        </w:rPr>
        <w:t>]</w:t>
      </w:r>
      <w:r>
        <w:t xml:space="preserve"> („</w:t>
      </w:r>
      <w:r>
        <w:rPr>
          <w:b/>
          <w:szCs w:val="24"/>
        </w:rPr>
        <w:t>дата на присъединяване</w:t>
      </w:r>
      <w:r>
        <w:t>“), ако предоставящият орган се съгласи с искането за изменение.</w:t>
      </w:r>
    </w:p>
    <w:p w14:paraId="01C9BC9C" w14:textId="77777777" w:rsidR="00216718" w:rsidRPr="00F82E53" w:rsidRDefault="00216718" w:rsidP="00216718">
      <w:pPr>
        <w:autoSpaceDE w:val="0"/>
        <w:autoSpaceDN w:val="0"/>
        <w:adjustRightInd w:val="0"/>
        <w:rPr>
          <w:szCs w:val="24"/>
        </w:rPr>
      </w:pPr>
      <w:r>
        <w:t xml:space="preserve">Бенефициерите, които се присъединяват при частично прехвърляне на права и задължения  („частично поглъщане“) признават и приемат, че могат да бъдат солидарно отговорни за суми, които не са били дължими, но са били изплатени на бенефициера, когото заместват (т.е. за събирания). </w:t>
      </w:r>
      <w:r>
        <w:rPr>
          <w:b/>
          <w:i/>
          <w:color w:val="4AA55B"/>
          <w:szCs w:val="24"/>
        </w:rPr>
        <w:t>]</w:t>
      </w:r>
      <w:r>
        <w:t>.</w:t>
      </w:r>
    </w:p>
    <w:p w14:paraId="33555B47" w14:textId="77777777" w:rsidR="00216718" w:rsidRPr="001D04CF" w:rsidRDefault="00216718" w:rsidP="00216718">
      <w:pPr>
        <w:widowControl w:val="0"/>
        <w:ind w:left="20"/>
        <w:rPr>
          <w:rFonts w:eastAsia="Times New Roman"/>
          <w:color w:val="000000"/>
          <w:szCs w:val="24"/>
        </w:rPr>
      </w:pPr>
    </w:p>
    <w:p w14:paraId="6C9B8BE2" w14:textId="77777777" w:rsidR="00216718" w:rsidRPr="00F82E53" w:rsidRDefault="00216718" w:rsidP="00216718">
      <w:pPr>
        <w:widowControl w:val="0"/>
        <w:spacing w:after="0"/>
        <w:ind w:left="20"/>
        <w:rPr>
          <w:rFonts w:eastAsia="Times New Roman"/>
          <w:szCs w:val="24"/>
        </w:rPr>
      </w:pPr>
      <w:r>
        <w:rPr>
          <w:color w:val="000000"/>
          <w:szCs w:val="24"/>
        </w:rPr>
        <w:t>ПОДПИС</w:t>
      </w:r>
    </w:p>
    <w:p w14:paraId="26524CD2" w14:textId="77777777" w:rsidR="00216718" w:rsidRPr="00F82E53" w:rsidRDefault="00216718" w:rsidP="00216718">
      <w:pPr>
        <w:widowControl w:val="0"/>
        <w:spacing w:after="0" w:line="274" w:lineRule="exact"/>
        <w:ind w:left="20" w:right="-14"/>
        <w:rPr>
          <w:rFonts w:eastAsia="Times New Roman"/>
          <w:color w:val="000000"/>
          <w:szCs w:val="24"/>
        </w:rPr>
      </w:pPr>
      <w:r>
        <w:rPr>
          <w:color w:val="000000"/>
          <w:szCs w:val="24"/>
        </w:rPr>
        <w:t>За бенефициера</w:t>
      </w:r>
      <w:r>
        <w:t>/новия бенефициер/новия координатор</w:t>
      </w:r>
    </w:p>
    <w:p w14:paraId="3E59E789" w14:textId="77777777" w:rsidR="00216718" w:rsidRPr="00F82E53" w:rsidRDefault="00216718" w:rsidP="00216718">
      <w:pPr>
        <w:widowControl w:val="0"/>
        <w:spacing w:after="0" w:line="274" w:lineRule="exact"/>
        <w:ind w:left="20" w:right="5"/>
        <w:rPr>
          <w:rFonts w:eastAsia="Times New Roman"/>
          <w:szCs w:val="24"/>
        </w:rPr>
      </w:pPr>
      <w:r>
        <w:rPr>
          <w:color w:val="000000"/>
          <w:szCs w:val="24"/>
        </w:rPr>
        <w:t>[</w:t>
      </w:r>
      <w:r>
        <w:rPr>
          <w:color w:val="000000"/>
          <w:szCs w:val="24"/>
          <w:highlight w:val="lightGray"/>
        </w:rPr>
        <w:t>длъжност/собствено име/фамилно име</w:t>
      </w:r>
      <w:r>
        <w:rPr>
          <w:color w:val="000000"/>
          <w:szCs w:val="24"/>
        </w:rPr>
        <w:t>]</w:t>
      </w:r>
    </w:p>
    <w:p w14:paraId="1A14450B" w14:textId="77777777" w:rsidR="00216718" w:rsidRPr="00F82E53" w:rsidRDefault="00216718" w:rsidP="00216718">
      <w:pPr>
        <w:widowControl w:val="0"/>
        <w:spacing w:after="0" w:line="274" w:lineRule="exact"/>
        <w:ind w:left="20"/>
        <w:rPr>
          <w:rFonts w:eastAsia="Times New Roman"/>
          <w:szCs w:val="24"/>
        </w:rPr>
      </w:pPr>
      <w:r>
        <w:rPr>
          <w:color w:val="000000"/>
          <w:szCs w:val="24"/>
        </w:rPr>
        <w:t>[</w:t>
      </w:r>
      <w:r>
        <w:rPr>
          <w:color w:val="000000"/>
          <w:szCs w:val="24"/>
          <w:highlight w:val="lightGray"/>
        </w:rPr>
        <w:t>подпис</w:t>
      </w:r>
      <w:r>
        <w:rPr>
          <w:color w:val="000000"/>
          <w:szCs w:val="24"/>
        </w:rPr>
        <w:t>]</w:t>
      </w:r>
    </w:p>
    <w:p w14:paraId="16A97B69" w14:textId="77777777" w:rsidR="00216718" w:rsidRPr="0069789B" w:rsidRDefault="00216718" w:rsidP="00216718">
      <w:r>
        <w:lastRenderedPageBreak/>
        <w:t>Съставено на [</w:t>
      </w:r>
      <w:r>
        <w:rPr>
          <w:highlight w:val="lightGray"/>
        </w:rPr>
        <w:t>английски език</w:t>
      </w:r>
      <w:r>
        <w:t>] на [</w:t>
      </w:r>
      <w:r>
        <w:rPr>
          <w:highlight w:val="lightGray"/>
        </w:rPr>
        <w:t>печат</w:t>
      </w:r>
      <w:r>
        <w:t>]</w:t>
      </w:r>
    </w:p>
    <w:p w14:paraId="1871EF19" w14:textId="146E92F3" w:rsidR="00216718" w:rsidRPr="005A1ACA" w:rsidRDefault="00216718" w:rsidP="00216718"/>
    <w:p w14:paraId="6DD74872" w14:textId="77777777" w:rsidR="008907F4" w:rsidRPr="005A1ACA" w:rsidRDefault="008907F4" w:rsidP="008907F4">
      <w:pPr>
        <w:widowControl w:val="0"/>
        <w:spacing w:line="230" w:lineRule="exact"/>
        <w:ind w:left="20"/>
        <w:rPr>
          <w:rFonts w:eastAsia="Times New Roman"/>
          <w:color w:val="000000"/>
          <w:sz w:val="23"/>
          <w:szCs w:val="23"/>
        </w:rPr>
        <w:sectPr w:rsidR="008907F4" w:rsidRPr="005A1ACA" w:rsidSect="00381C03">
          <w:pgSz w:w="11906" w:h="16838"/>
          <w:pgMar w:top="1670" w:right="1417" w:bottom="1417" w:left="1417" w:header="708" w:footer="708" w:gutter="0"/>
          <w:cols w:space="708"/>
          <w:docGrid w:linePitch="360"/>
        </w:sectPr>
      </w:pPr>
    </w:p>
    <w:p w14:paraId="4DB3DDF2" w14:textId="7468B9B1" w:rsidR="008907F4" w:rsidRPr="00946A9C" w:rsidRDefault="0076529D" w:rsidP="008907F4">
      <w:pPr>
        <w:pStyle w:val="Annex"/>
      </w:pPr>
      <w:r>
        <w:lastRenderedPageBreak/>
        <w:t xml:space="preserve">ПРИЛОЖЕНИЕ 4 </w:t>
      </w:r>
    </w:p>
    <w:p w14:paraId="74E1D518" w14:textId="77777777" w:rsidR="008907F4" w:rsidRDefault="2FA6B974" w:rsidP="2FA6B974">
      <w:pPr>
        <w:ind w:left="5040" w:hanging="5040"/>
        <w:jc w:val="center"/>
        <w:rPr>
          <w:rFonts w:eastAsia="Times New Roman" w:cs="Times New Roman"/>
          <w:b/>
          <w:bCs/>
        </w:rPr>
      </w:pPr>
      <w:r>
        <w:rPr>
          <w:b/>
          <w:bCs/>
        </w:rPr>
        <w:t>ОБРАЗЕЦ НА ФИНАНСОВ ОТЧЕТ</w:t>
      </w:r>
    </w:p>
    <w:p w14:paraId="16B8EF49" w14:textId="077F869C" w:rsidR="008907F4" w:rsidRDefault="008907F4" w:rsidP="000D30C6">
      <w:pPr>
        <w:ind w:left="-567"/>
      </w:pPr>
    </w:p>
    <w:p w14:paraId="4FC076D8" w14:textId="7BD4CD64" w:rsidR="008907F4" w:rsidRDefault="008907F4" w:rsidP="000D30C6"/>
    <w:p w14:paraId="259C2692" w14:textId="3B285454" w:rsidR="008907F4" w:rsidRDefault="008907F4" w:rsidP="008907F4">
      <w:pPr>
        <w:spacing w:line="276" w:lineRule="auto"/>
        <w:jc w:val="left"/>
        <w:rPr>
          <w:rFonts w:eastAsia="Times New Roman" w:cs="Times New Roman"/>
          <w:b/>
          <w:szCs w:val="20"/>
        </w:rPr>
        <w:sectPr w:rsidR="008907F4" w:rsidSect="00381C03">
          <w:headerReference w:type="even" r:id="rId27"/>
          <w:footerReference w:type="even" r:id="rId28"/>
          <w:footerReference w:type="default" r:id="rId29"/>
          <w:headerReference w:type="first" r:id="rId30"/>
          <w:footerReference w:type="first" r:id="rId31"/>
          <w:pgSz w:w="16838" w:h="11906" w:orient="landscape" w:code="9"/>
          <w:pgMar w:top="1418" w:right="1797" w:bottom="1418" w:left="1418" w:header="709" w:footer="709" w:gutter="0"/>
          <w:cols w:space="708"/>
          <w:docGrid w:linePitch="360"/>
        </w:sectPr>
      </w:pPr>
    </w:p>
    <w:p w14:paraId="25BB487B" w14:textId="77777777" w:rsidR="00CF7824" w:rsidRPr="00D714DE" w:rsidRDefault="2FA6B974" w:rsidP="00CF7824">
      <w:pPr>
        <w:pStyle w:val="Annex"/>
        <w:rPr>
          <w:szCs w:val="24"/>
        </w:rPr>
      </w:pPr>
      <w:r>
        <w:lastRenderedPageBreak/>
        <w:t>ПРИЛОЖЕНИЕ 5</w:t>
      </w:r>
    </w:p>
    <w:p w14:paraId="1CD85673" w14:textId="77777777" w:rsidR="00CF7824" w:rsidRDefault="00CF7824" w:rsidP="00CF7824">
      <w:pPr>
        <w:rPr>
          <w:highlight w:val="magenta"/>
        </w:rPr>
      </w:pPr>
    </w:p>
    <w:p w14:paraId="3279435C" w14:textId="77777777" w:rsidR="00CF7824" w:rsidRPr="000165D6" w:rsidRDefault="2FA6B974" w:rsidP="2FA6B974">
      <w:pPr>
        <w:jc w:val="center"/>
        <w:rPr>
          <w:b/>
          <w:bCs/>
        </w:rPr>
      </w:pPr>
      <w:r>
        <w:rPr>
          <w:b/>
          <w:bCs/>
        </w:rPr>
        <w:t>СПЕЦИАЛНИ ПРАВИЛА</w:t>
      </w:r>
    </w:p>
    <w:p w14:paraId="7119E222" w14:textId="77777777" w:rsidR="00CF7824" w:rsidRPr="005A1ACA" w:rsidRDefault="00CF7824" w:rsidP="00494E5D">
      <w:pPr>
        <w:rPr>
          <w:highlight w:val="cyan"/>
          <w:lang w:eastAsia="en-GB"/>
        </w:rPr>
      </w:pPr>
    </w:p>
    <w:p w14:paraId="090517A9" w14:textId="77777777" w:rsidR="00CF7824" w:rsidRPr="000768E0" w:rsidRDefault="2FA6B974" w:rsidP="2FA6B974">
      <w:pPr>
        <w:rPr>
          <w:b/>
          <w:bCs/>
          <w:u w:val="single"/>
        </w:rPr>
      </w:pPr>
      <w:r>
        <w:rPr>
          <w:b/>
          <w:bCs/>
          <w:u w:val="single"/>
        </w:rPr>
        <w:t>ПРАВА ВЪРХУ ИНТЕЛЕКТУАЛНА СОБСТВЕНОСТ (ПИС) </w:t>
      </w:r>
      <w:r>
        <w:rPr>
          <w:u w:val="single"/>
        </w:rPr>
        <w:t>—</w:t>
      </w:r>
      <w:r>
        <w:rPr>
          <w:b/>
          <w:bCs/>
          <w:u w:val="single"/>
        </w:rPr>
        <w:t xml:space="preserve"> ПРЕДХОДНИ ЗНАНИЯ И РЕЗУЛТАТИ </w:t>
      </w:r>
      <w:r>
        <w:rPr>
          <w:u w:val="single"/>
        </w:rPr>
        <w:t>—</w:t>
      </w:r>
      <w:r>
        <w:rPr>
          <w:b/>
          <w:bCs/>
          <w:u w:val="single"/>
        </w:rPr>
        <w:t xml:space="preserve"> ПРАВА НА ДОСТЪП И ПРАВА НА ПОЛЗВАНЕ</w:t>
      </w:r>
      <w:r>
        <w:rPr>
          <w:u w:val="single"/>
        </w:rPr>
        <w:t> </w:t>
      </w:r>
      <w:r>
        <w:rPr>
          <w:b/>
          <w:bCs/>
          <w:u w:val="single"/>
        </w:rPr>
        <w:t>(</w:t>
      </w:r>
      <w:r>
        <w:rPr>
          <w:u w:val="single"/>
        </w:rPr>
        <w:t xml:space="preserve">— </w:t>
      </w:r>
      <w:r>
        <w:rPr>
          <w:b/>
          <w:bCs/>
          <w:u w:val="single"/>
        </w:rPr>
        <w:t>ЧЛЕН 16)</w:t>
      </w:r>
    </w:p>
    <w:p w14:paraId="236951B0" w14:textId="77777777" w:rsidR="00CF7824" w:rsidRDefault="2FA6B974" w:rsidP="00CF7824">
      <w:pPr>
        <w:adjustRightInd w:val="0"/>
        <w:rPr>
          <w:szCs w:val="24"/>
        </w:rPr>
      </w:pPr>
      <w:r>
        <w:rPr>
          <w:b/>
          <w:bCs/>
        </w:rPr>
        <w:t>Списък на предходните знания</w:t>
      </w:r>
      <w:r>
        <w:t xml:space="preserve"> </w:t>
      </w:r>
    </w:p>
    <w:p w14:paraId="1A6F959F" w14:textId="77777777" w:rsidR="00CF7824" w:rsidRDefault="2FA6B974" w:rsidP="00CF7824">
      <w:pPr>
        <w:adjustRightInd w:val="0"/>
        <w:rPr>
          <w:szCs w:val="24"/>
        </w:rPr>
      </w:pPr>
      <w:r>
        <w:t>Когато преди сключването на споразумението съществуват права върху индустриална и интелектуална собственост (включително права на трети страни), бенефициерите трябва да съставят списък на тези вече съществуващи права, като посочат техните собственици.</w:t>
      </w:r>
    </w:p>
    <w:p w14:paraId="45CBAF95" w14:textId="408EFA59" w:rsidR="00CF7824" w:rsidRDefault="2FA6B974" w:rsidP="00CF7824">
      <w:pPr>
        <w:adjustRightInd w:val="0"/>
        <w:rPr>
          <w:szCs w:val="24"/>
        </w:rPr>
      </w:pPr>
      <w:r>
        <w:t>Преди да започне дейността, координаторът трябва да представи този списък на предоставящия орган.</w:t>
      </w:r>
    </w:p>
    <w:p w14:paraId="321BB129" w14:textId="25BB0A82" w:rsidR="00CF7824" w:rsidRDefault="00CF7824" w:rsidP="00CF7824">
      <w:pPr>
        <w:rPr>
          <w:szCs w:val="24"/>
        </w:rPr>
      </w:pPr>
      <w:r>
        <w:rPr>
          <w:b/>
          <w:bCs/>
        </w:rPr>
        <w:t>Права на ползване от страна на предоставящия орган и на Европейската комисия на резултатите с цел</w:t>
      </w:r>
      <w:r>
        <w:t xml:space="preserve"> </w:t>
      </w:r>
      <w:r>
        <w:rPr>
          <w:b/>
          <w:bCs/>
        </w:rPr>
        <w:t>информиране, комуникация, разпространение и популяризиране</w:t>
      </w:r>
    </w:p>
    <w:p w14:paraId="6B68370D" w14:textId="6A2EBB0B" w:rsidR="00CF7824" w:rsidRPr="00D922C3" w:rsidRDefault="00CF7824" w:rsidP="2FA6B974">
      <w:pPr>
        <w:rPr>
          <w:rFonts w:eastAsia="Times New Roman" w:cs="Times New Roman"/>
        </w:rPr>
      </w:pPr>
      <w:r>
        <w:t xml:space="preserve">Предоставящият орган </w:t>
      </w:r>
      <w:r>
        <w:rPr>
          <w:shd w:val="clear" w:color="auto" w:fill="CCFFFF"/>
        </w:rPr>
        <w:t>и Европейската комисия имат право също така</w:t>
      </w:r>
      <w:r>
        <w:t xml:space="preserve"> да ползват резултати от дейността, които не са с поверителен характер, с цел информиране, комуникация, разпространение и популяризиране по всеки от следните начини:</w:t>
      </w:r>
    </w:p>
    <w:p w14:paraId="1814E0AA" w14:textId="12132E44" w:rsidR="00CF7824" w:rsidRPr="002A6B17" w:rsidRDefault="00CF7824" w:rsidP="2FA6B974">
      <w:pPr>
        <w:numPr>
          <w:ilvl w:val="0"/>
          <w:numId w:val="94"/>
        </w:numPr>
        <w:rPr>
          <w:rFonts w:eastAsia="Times New Roman" w:cs="Times New Roman"/>
        </w:rPr>
      </w:pPr>
      <w:r>
        <w:rPr>
          <w:b/>
          <w:bCs/>
          <w:shd w:val="clear" w:color="auto" w:fill="CCFFFF"/>
        </w:rPr>
        <w:t>ползване за собствени цели</w:t>
      </w:r>
      <w:r>
        <w:rPr>
          <w:shd w:val="clear" w:color="auto" w:fill="CCFFFF"/>
        </w:rPr>
        <w:t xml:space="preserve"> (в частност предоставянето им на лица, работещи за тях или за всяка друга държава членка или служба на ЕС (включително институции, органи, служби, агенции и др.), институция или орган от друга държава членка;</w:t>
      </w:r>
      <w:r>
        <w:t xml:space="preserve"> копиране или възпроизвеждане, в цялост или частично, в неограничен брой; както и съобщаване чрез информационни служби);</w:t>
      </w:r>
      <w:r>
        <w:rPr>
          <w:i/>
          <w:iCs/>
          <w:color w:val="FF0000"/>
        </w:rPr>
        <w:t xml:space="preserve"> </w:t>
      </w:r>
    </w:p>
    <w:p w14:paraId="73FBA5CF" w14:textId="77777777" w:rsidR="00CF7824" w:rsidRPr="002A6B17" w:rsidRDefault="2FA6B974" w:rsidP="2FA6B974">
      <w:pPr>
        <w:numPr>
          <w:ilvl w:val="0"/>
          <w:numId w:val="94"/>
        </w:numPr>
        <w:rPr>
          <w:rFonts w:eastAsia="Times New Roman" w:cs="Times New Roman"/>
        </w:rPr>
      </w:pPr>
      <w:r>
        <w:rPr>
          <w:b/>
          <w:bCs/>
        </w:rPr>
        <w:t>разпространение за широката общественост</w:t>
      </w:r>
      <w:r>
        <w:t xml:space="preserve"> на копия на хартиен, електронен или цифров носител, в интернет, включително в социалните мрежи, като файл, който може или не може да се изтегля;</w:t>
      </w:r>
      <w:r>
        <w:rPr>
          <w:i/>
          <w:iCs/>
          <w:color w:val="FF0000"/>
        </w:rPr>
        <w:t xml:space="preserve"> </w:t>
      </w:r>
    </w:p>
    <w:p w14:paraId="1814DE0D" w14:textId="77777777" w:rsidR="00CF7824" w:rsidRPr="002A6B17" w:rsidRDefault="2FA6B974" w:rsidP="2FA6B974">
      <w:pPr>
        <w:numPr>
          <w:ilvl w:val="0"/>
          <w:numId w:val="94"/>
        </w:numPr>
        <w:rPr>
          <w:rFonts w:eastAsia="Times New Roman" w:cs="Times New Roman"/>
        </w:rPr>
      </w:pPr>
      <w:r>
        <w:rPr>
          <w:b/>
          <w:bCs/>
        </w:rPr>
        <w:t>редактиране</w:t>
      </w:r>
      <w:r>
        <w:t xml:space="preserve"> или </w:t>
      </w:r>
      <w:r>
        <w:rPr>
          <w:b/>
          <w:bCs/>
        </w:rPr>
        <w:t>преработване</w:t>
      </w:r>
      <w:r>
        <w:t xml:space="preserve"> (включително съкращаване, обобщаване, променяне, коригиране,</w:t>
      </w:r>
      <w:r>
        <w:rPr>
          <w:i/>
          <w:iCs/>
          <w:color w:val="FF0000"/>
        </w:rPr>
        <w:t xml:space="preserve"> </w:t>
      </w:r>
      <w:r>
        <w:t>изрязване, вмъкване на елементи (като метаданни, легенди, други графични, визуални, аудио- или текстови елементи,</w:t>
      </w:r>
      <w:r>
        <w:rPr>
          <w:i/>
          <w:iCs/>
          <w:color w:val="FF0000"/>
        </w:rPr>
        <w:t xml:space="preserve"> </w:t>
      </w:r>
      <w:r>
        <w:t>извличане на части (например аудио- или видеофайлове), разделяне на части или ползване в компилация;</w:t>
      </w:r>
    </w:p>
    <w:p w14:paraId="73976945" w14:textId="77777777" w:rsidR="00CF7824" w:rsidRPr="002A6B17" w:rsidRDefault="2FA6B974" w:rsidP="2FA6B974">
      <w:pPr>
        <w:numPr>
          <w:ilvl w:val="0"/>
          <w:numId w:val="94"/>
        </w:numPr>
        <w:rPr>
          <w:rFonts w:eastAsia="Times New Roman" w:cs="Times New Roman"/>
        </w:rPr>
      </w:pPr>
      <w:r>
        <w:t>превод, включително вмъкване на субтитри/дублиране на всички официални езици на ЕС;</w:t>
      </w:r>
    </w:p>
    <w:p w14:paraId="12AE6006" w14:textId="77777777" w:rsidR="00CF7824" w:rsidRPr="002A6B17" w:rsidRDefault="2FA6B974" w:rsidP="2FA6B974">
      <w:pPr>
        <w:numPr>
          <w:ilvl w:val="0"/>
          <w:numId w:val="94"/>
        </w:numPr>
        <w:rPr>
          <w:rFonts w:eastAsia="Times New Roman" w:cs="Times New Roman"/>
        </w:rPr>
      </w:pPr>
      <w:r>
        <w:rPr>
          <w:b/>
          <w:bCs/>
        </w:rPr>
        <w:t>съхранение</w:t>
      </w:r>
      <w:r>
        <w:t xml:space="preserve"> на хартиен носител, в електронен или друг формат;</w:t>
      </w:r>
      <w:r>
        <w:rPr>
          <w:i/>
          <w:iCs/>
          <w:color w:val="FF0000"/>
        </w:rPr>
        <w:t xml:space="preserve"> </w:t>
      </w:r>
    </w:p>
    <w:p w14:paraId="46A685A5" w14:textId="77777777" w:rsidR="00CF7824" w:rsidRPr="002A6B17" w:rsidRDefault="2FA6B974" w:rsidP="2FA6B974">
      <w:pPr>
        <w:numPr>
          <w:ilvl w:val="0"/>
          <w:numId w:val="94"/>
        </w:numPr>
        <w:rPr>
          <w:rFonts w:eastAsia="Times New Roman" w:cs="Times New Roman"/>
        </w:rPr>
      </w:pPr>
      <w:r>
        <w:rPr>
          <w:b/>
          <w:bCs/>
        </w:rPr>
        <w:lastRenderedPageBreak/>
        <w:t>архивиране</w:t>
      </w:r>
      <w:r>
        <w:t xml:space="preserve"> в съответствие с приложимите правила за управление на документация;</w:t>
      </w:r>
    </w:p>
    <w:p w14:paraId="7D61DF02" w14:textId="77777777" w:rsidR="00CF7824" w:rsidRPr="002A6B17" w:rsidRDefault="2FA6B974" w:rsidP="2FA6B974">
      <w:pPr>
        <w:numPr>
          <w:ilvl w:val="0"/>
          <w:numId w:val="94"/>
        </w:numPr>
        <w:rPr>
          <w:rFonts w:eastAsia="Times New Roman" w:cs="Times New Roman"/>
        </w:rPr>
      </w:pPr>
      <w:r>
        <w:t xml:space="preserve">правото да упълномощават </w:t>
      </w:r>
      <w:r>
        <w:rPr>
          <w:b/>
          <w:bCs/>
        </w:rPr>
        <w:t>трети страни</w:t>
      </w:r>
      <w:r>
        <w:t xml:space="preserve"> да действат от тяхно име или да преотстъпват лицензите на трети страни, включително, ако има лицензирани предходни знания, на всяко от правата или начините на ползване, посочени в настоящата разпоредба;</w:t>
      </w:r>
    </w:p>
    <w:p w14:paraId="2EB5484A" w14:textId="77777777" w:rsidR="00CF7824" w:rsidRPr="002A6B17" w:rsidRDefault="2FA6B974" w:rsidP="2FA6B974">
      <w:pPr>
        <w:numPr>
          <w:ilvl w:val="0"/>
          <w:numId w:val="94"/>
        </w:numPr>
        <w:rPr>
          <w:rFonts w:eastAsia="Times New Roman" w:cs="Times New Roman"/>
        </w:rPr>
      </w:pPr>
      <w:r>
        <w:rPr>
          <w:b/>
          <w:bCs/>
        </w:rPr>
        <w:t>обработване</w:t>
      </w:r>
      <w:r>
        <w:t xml:space="preserve">, анализиране и обобщаване на получените резултати и създаване на </w:t>
      </w:r>
      <w:r>
        <w:rPr>
          <w:b/>
          <w:bCs/>
        </w:rPr>
        <w:t>производни произведения</w:t>
      </w:r>
      <w:r>
        <w:t>;</w:t>
      </w:r>
    </w:p>
    <w:p w14:paraId="7BA2FC65" w14:textId="77777777" w:rsidR="00CF7824" w:rsidRPr="002A6B17" w:rsidRDefault="2FA6B974" w:rsidP="2FA6B974">
      <w:pPr>
        <w:numPr>
          <w:ilvl w:val="0"/>
          <w:numId w:val="94"/>
        </w:numPr>
        <w:rPr>
          <w:rFonts w:eastAsia="Times New Roman" w:cs="Times New Roman"/>
        </w:rPr>
      </w:pPr>
      <w:r>
        <w:rPr>
          <w:b/>
          <w:bCs/>
        </w:rPr>
        <w:t>разпространяване</w:t>
      </w:r>
      <w:r>
        <w:t xml:space="preserve"> на резултатите в широкодостъпни бази данни или индекси, като например чрез портали с „отворен достъп“ или с „отворени данни“, или подобни хранилища, които са свободно достъпни или достъпни срещу заплащане.</w:t>
      </w:r>
      <w:r>
        <w:rPr>
          <w:i/>
          <w:iCs/>
          <w:color w:val="FF0000"/>
        </w:rPr>
        <w:t xml:space="preserve"> </w:t>
      </w:r>
    </w:p>
    <w:p w14:paraId="36B9B3C4" w14:textId="77777777" w:rsidR="00CF7824" w:rsidRDefault="2FA6B974" w:rsidP="2FA6B974">
      <w:pPr>
        <w:rPr>
          <w:b/>
          <w:bCs/>
        </w:rPr>
      </w:pPr>
      <w:r>
        <w:t xml:space="preserve">Бенефициерите трябва да гарантират тези права на ползване за целия срок, в който те са защитени от права върху индустриална или интелектуална собственост. </w:t>
      </w:r>
      <w:r>
        <w:rPr>
          <w:b/>
          <w:bCs/>
        </w:rPr>
        <w:t xml:space="preserve"> </w:t>
      </w:r>
    </w:p>
    <w:p w14:paraId="0D323076" w14:textId="77777777" w:rsidR="00CF7824" w:rsidRPr="00661C10" w:rsidRDefault="2FA6B974" w:rsidP="2FA6B974">
      <w:pPr>
        <w:rPr>
          <w:i/>
          <w:iCs/>
        </w:rPr>
      </w:pPr>
      <w:r>
        <w:t xml:space="preserve">Ако резултатите зависят от морални права или от права на трети страни (включително права върху интелектуална собственост или права на физически лица върху тяхното изображение и глас), бенефициерите трябва да гарантират, че изпълняват задълженията си по настоящото споразумение (в частност, като получат необходимите лицензи и разрешения от съответните притежатели на правата). </w:t>
      </w:r>
    </w:p>
    <w:p w14:paraId="318FEB41" w14:textId="77777777" w:rsidR="00CF7824" w:rsidRPr="000768E0" w:rsidRDefault="2FA6B974" w:rsidP="2FA6B974">
      <w:pPr>
        <w:rPr>
          <w:b/>
          <w:bCs/>
          <w:u w:val="single"/>
        </w:rPr>
      </w:pPr>
      <w:r>
        <w:rPr>
          <w:b/>
          <w:bCs/>
          <w:u w:val="single"/>
        </w:rPr>
        <w:t>КОМУНИКАЦИЯ, РАЗПРОСТРАНЕНИЕ И ВИДИМОСТ (</w:t>
      </w:r>
      <w:r>
        <w:rPr>
          <w:u w:val="single"/>
        </w:rPr>
        <w:t xml:space="preserve">— </w:t>
      </w:r>
      <w:r>
        <w:rPr>
          <w:b/>
          <w:bCs/>
          <w:u w:val="single"/>
        </w:rPr>
        <w:t>ЧЛЕН 17)</w:t>
      </w:r>
    </w:p>
    <w:p w14:paraId="7940E9A3" w14:textId="77777777" w:rsidR="00CF7824" w:rsidRDefault="2FA6B974" w:rsidP="2FA6B974">
      <w:r>
        <w:rPr>
          <w:b/>
          <w:bCs/>
        </w:rPr>
        <w:t>Допълнителни дейности по комуникация и разпространение</w:t>
      </w:r>
      <w:r>
        <w:t xml:space="preserve"> </w:t>
      </w:r>
    </w:p>
    <w:p w14:paraId="4A5007ED" w14:textId="77777777" w:rsidR="00CF7824" w:rsidRPr="003838AE" w:rsidRDefault="2FA6B974" w:rsidP="2FA6B974">
      <w:r>
        <w:t>Бенефициерите трябва да участват в следните допълнителни дейности по комуникация и разпространение:</w:t>
      </w:r>
    </w:p>
    <w:p w14:paraId="7B4CF6B8" w14:textId="77777777" w:rsidR="00CF7824" w:rsidRPr="00661C10" w:rsidRDefault="2FA6B974" w:rsidP="2FA6B974">
      <w:pPr>
        <w:widowControl w:val="0"/>
        <w:numPr>
          <w:ilvl w:val="0"/>
          <w:numId w:val="95"/>
        </w:numPr>
        <w:ind w:left="567"/>
        <w:rPr>
          <w:rFonts w:cs="Times New Roman"/>
        </w:rPr>
      </w:pPr>
      <w:r>
        <w:rPr>
          <w:b/>
          <w:bCs/>
        </w:rPr>
        <w:t>представяне на проекта</w:t>
      </w:r>
      <w:r>
        <w:t xml:space="preserve"> (включително чрез резюме на проекта, данни за контакт с координатора, списък на участниците, европейското знаме и текст за финансирането, както и чрез специално лого и резултати от проекта) на </w:t>
      </w:r>
      <w:r>
        <w:rPr>
          <w:b/>
          <w:bCs/>
        </w:rPr>
        <w:t>уебсайтовете</w:t>
      </w:r>
      <w:r>
        <w:t xml:space="preserve"> на бенефициерите или в </w:t>
      </w:r>
      <w:r>
        <w:rPr>
          <w:b/>
          <w:bCs/>
        </w:rPr>
        <w:t>техните профили в социалните мрежи</w:t>
      </w:r>
      <w:r>
        <w:t>.</w:t>
      </w:r>
    </w:p>
    <w:p w14:paraId="52A1F910" w14:textId="77777777" w:rsidR="00CF7824" w:rsidRPr="00D6539A" w:rsidRDefault="2FA6B974" w:rsidP="2FA6B974">
      <w:pPr>
        <w:adjustRightInd w:val="0"/>
        <w:rPr>
          <w:b/>
          <w:bCs/>
        </w:rPr>
      </w:pPr>
      <w:r>
        <w:rPr>
          <w:b/>
          <w:bCs/>
        </w:rPr>
        <w:t>Специални логотипи</w:t>
      </w:r>
    </w:p>
    <w:p w14:paraId="2ADCBD58" w14:textId="77777777" w:rsidR="00CF7824" w:rsidRPr="005F71A6" w:rsidRDefault="2FA6B974" w:rsidP="2FA6B974">
      <w:pPr>
        <w:adjustRightInd w:val="0"/>
        <w:rPr>
          <w:rFonts w:eastAsia="Times New Roman"/>
        </w:rPr>
      </w:pPr>
      <w:r>
        <w:t xml:space="preserve">На всички използвани визуални информационни и промоционални материали трябва да е поставено </w:t>
      </w:r>
      <w:r>
        <w:rPr>
          <w:i/>
          <w:iCs/>
        </w:rPr>
        <w:t>„Enjoy, it’s from Europe!“</w:t>
      </w:r>
      <w:r>
        <w:t xml:space="preserve"> като лого:</w:t>
      </w:r>
    </w:p>
    <w:p w14:paraId="7158AD56" w14:textId="77777777" w:rsidR="00CF7824" w:rsidRPr="005F71A6" w:rsidRDefault="00CF7824" w:rsidP="00CF7824">
      <w:pPr>
        <w:autoSpaceDE w:val="0"/>
        <w:autoSpaceDN w:val="0"/>
        <w:adjustRightInd w:val="0"/>
        <w:jc w:val="center"/>
        <w:rPr>
          <w:szCs w:val="24"/>
        </w:rPr>
      </w:pPr>
      <w:r>
        <w:rPr>
          <w:noProof/>
          <w:lang w:val="en-US"/>
        </w:rPr>
        <w:drawing>
          <wp:inline distT="0" distB="0" distL="0" distR="0" wp14:anchorId="5002588F" wp14:editId="050C4051">
            <wp:extent cx="638810" cy="1106805"/>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638810" cy="1106805"/>
                    </a:xfrm>
                    <a:prstGeom prst="rect">
                      <a:avLst/>
                    </a:prstGeom>
                    <a:noFill/>
                    <a:ln>
                      <a:noFill/>
                    </a:ln>
                  </pic:spPr>
                </pic:pic>
              </a:graphicData>
            </a:graphic>
          </wp:inline>
        </w:drawing>
      </w:r>
    </w:p>
    <w:p w14:paraId="71FEAA4F" w14:textId="77777777" w:rsidR="00CF7824" w:rsidRPr="005F71A6" w:rsidRDefault="2FA6B974" w:rsidP="2FA6B974">
      <w:pPr>
        <w:ind w:left="360"/>
      </w:pPr>
      <w:r>
        <w:t>което трябва да бъде:</w:t>
      </w:r>
    </w:p>
    <w:p w14:paraId="51D89275" w14:textId="77777777" w:rsidR="00CF7824" w:rsidRPr="005F71A6" w:rsidRDefault="2FA6B974" w:rsidP="2FA6B974">
      <w:pPr>
        <w:numPr>
          <w:ilvl w:val="0"/>
          <w:numId w:val="101"/>
        </w:numPr>
        <w:ind w:left="1071" w:hanging="357"/>
      </w:pPr>
      <w:r>
        <w:lastRenderedPageBreak/>
        <w:t>на английски език, но е възможно текстът да бъде преведен в бележка под линия,</w:t>
      </w:r>
    </w:p>
    <w:p w14:paraId="7C7772C9" w14:textId="77777777" w:rsidR="00CF7824" w:rsidRDefault="2FA6B974" w:rsidP="2FA6B974">
      <w:pPr>
        <w:numPr>
          <w:ilvl w:val="0"/>
          <w:numId w:val="101"/>
        </w:numPr>
        <w:ind w:left="1071" w:hanging="357"/>
      </w:pPr>
      <w:r>
        <w:t>вертикално</w:t>
      </w:r>
    </w:p>
    <w:p w14:paraId="0D7B7286" w14:textId="77777777" w:rsidR="00CF7824" w:rsidRPr="005F71A6" w:rsidRDefault="2FA6B974" w:rsidP="2FA6B974">
      <w:pPr>
        <w:numPr>
          <w:ilvl w:val="0"/>
          <w:numId w:val="101"/>
        </w:numPr>
        <w:ind w:left="1071" w:hanging="357"/>
      </w:pPr>
      <w:r>
        <w:t>цветно (в оранжево = 8-M74-Y90-K0) или черно-бяло (оранжевият цвят се заменя с черен K100, а синият със сив K60),</w:t>
      </w:r>
    </w:p>
    <w:p w14:paraId="53E52890" w14:textId="77777777" w:rsidR="00CF7824" w:rsidRPr="005F71A6" w:rsidRDefault="2FA6B974" w:rsidP="2FA6B974">
      <w:pPr>
        <w:numPr>
          <w:ilvl w:val="0"/>
          <w:numId w:val="101"/>
        </w:numPr>
        <w:ind w:left="1071" w:hanging="357"/>
      </w:pPr>
      <w:r>
        <w:t>с размер, който е пропорционален на размера на материала, на който то е поставено.</w:t>
      </w:r>
    </w:p>
    <w:p w14:paraId="19520AC2" w14:textId="77777777" w:rsidR="00CF7824" w:rsidRPr="005F71A6" w:rsidRDefault="2FA6B974" w:rsidP="2FA6B974">
      <w:r>
        <w:t>В зависимост от темата на кампанията логото може да бъде придружено от един от следните текстове:</w:t>
      </w:r>
    </w:p>
    <w:tbl>
      <w:tblPr>
        <w:tblW w:w="0" w:type="auto"/>
        <w:tblInd w:w="588"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ook w:val="04A0" w:firstRow="1" w:lastRow="0" w:firstColumn="1" w:lastColumn="0" w:noHBand="0" w:noVBand="1"/>
      </w:tblPr>
      <w:tblGrid>
        <w:gridCol w:w="2520"/>
        <w:gridCol w:w="6180"/>
      </w:tblGrid>
      <w:tr w:rsidR="00CF7824" w:rsidRPr="00564423" w14:paraId="1E34AA20" w14:textId="77777777" w:rsidTr="2FA6B974">
        <w:tc>
          <w:tcPr>
            <w:tcW w:w="2520" w:type="dxa"/>
            <w:shd w:val="clear" w:color="auto" w:fill="F2F2F2" w:themeFill="background1" w:themeFillShade="F2"/>
          </w:tcPr>
          <w:p w14:paraId="7B738446" w14:textId="77777777" w:rsidR="00CF7824" w:rsidRPr="000C248E" w:rsidRDefault="2FA6B974" w:rsidP="2FA6B974">
            <w:pPr>
              <w:spacing w:before="120" w:after="120"/>
              <w:jc w:val="center"/>
              <w:rPr>
                <w:rFonts w:cs="Iskoola Pota"/>
                <w:b/>
                <w:bCs/>
                <w:color w:val="404040" w:themeColor="text1" w:themeTint="BF"/>
                <w:sz w:val="20"/>
                <w:szCs w:val="20"/>
              </w:rPr>
            </w:pPr>
            <w:r>
              <w:rPr>
                <w:b/>
                <w:bCs/>
                <w:color w:val="404040" w:themeColor="text1" w:themeTint="BF"/>
                <w:sz w:val="20"/>
                <w:szCs w:val="20"/>
              </w:rPr>
              <w:t>Тема</w:t>
            </w:r>
          </w:p>
        </w:tc>
        <w:tc>
          <w:tcPr>
            <w:tcW w:w="6180" w:type="dxa"/>
            <w:shd w:val="clear" w:color="auto" w:fill="F2F2F2" w:themeFill="background1" w:themeFillShade="F2"/>
          </w:tcPr>
          <w:p w14:paraId="19A65C6E" w14:textId="77777777" w:rsidR="00CF7824" w:rsidRPr="000C248E" w:rsidRDefault="2FA6B974" w:rsidP="2FA6B974">
            <w:pPr>
              <w:spacing w:before="120" w:after="120"/>
              <w:jc w:val="center"/>
              <w:rPr>
                <w:rFonts w:cs="Iskoola Pota"/>
                <w:b/>
                <w:bCs/>
                <w:color w:val="404040" w:themeColor="text1" w:themeTint="BF"/>
                <w:sz w:val="20"/>
                <w:szCs w:val="20"/>
              </w:rPr>
            </w:pPr>
            <w:r>
              <w:rPr>
                <w:b/>
                <w:bCs/>
                <w:color w:val="404040" w:themeColor="text1" w:themeTint="BF"/>
                <w:sz w:val="20"/>
                <w:szCs w:val="20"/>
              </w:rPr>
              <w:t>Текст</w:t>
            </w:r>
          </w:p>
        </w:tc>
      </w:tr>
      <w:tr w:rsidR="00CF7824" w:rsidRPr="00564423" w14:paraId="6A612C87" w14:textId="77777777" w:rsidTr="2FA6B974">
        <w:tc>
          <w:tcPr>
            <w:tcW w:w="2520" w:type="dxa"/>
            <w:shd w:val="clear" w:color="auto" w:fill="F2F2F2" w:themeFill="background1" w:themeFillShade="F2"/>
          </w:tcPr>
          <w:p w14:paraId="656F5002" w14:textId="77777777" w:rsidR="00CF7824" w:rsidRPr="000C248E" w:rsidRDefault="2FA6B974" w:rsidP="2FA6B974">
            <w:pPr>
              <w:spacing w:before="120" w:after="120"/>
              <w:rPr>
                <w:rFonts w:cs="Iskoola Pota"/>
                <w:color w:val="404040" w:themeColor="text1" w:themeTint="BF"/>
                <w:sz w:val="20"/>
                <w:szCs w:val="20"/>
              </w:rPr>
            </w:pPr>
            <w:r>
              <w:rPr>
                <w:color w:val="404040" w:themeColor="text1" w:themeTint="BF"/>
                <w:sz w:val="20"/>
                <w:szCs w:val="20"/>
              </w:rPr>
              <w:t>Околна среда</w:t>
            </w:r>
          </w:p>
        </w:tc>
        <w:tc>
          <w:tcPr>
            <w:tcW w:w="6180" w:type="dxa"/>
            <w:shd w:val="clear" w:color="auto" w:fill="auto"/>
          </w:tcPr>
          <w:p w14:paraId="7A5D5A61" w14:textId="77777777" w:rsidR="00CF7824" w:rsidRPr="000C248E" w:rsidRDefault="2FA6B974" w:rsidP="2FA6B974">
            <w:pPr>
              <w:spacing w:before="120" w:after="120"/>
              <w:rPr>
                <w:rFonts w:cs="Iskoola Pota"/>
                <w:color w:val="404040" w:themeColor="text1" w:themeTint="BF"/>
                <w:sz w:val="20"/>
                <w:szCs w:val="20"/>
              </w:rPr>
            </w:pPr>
            <w:r>
              <w:rPr>
                <w:color w:val="404040" w:themeColor="text1" w:themeTint="BF"/>
                <w:sz w:val="20"/>
                <w:szCs w:val="20"/>
              </w:rPr>
              <w:t>Европейският съюз подкрепя кампаниите, насърчаващи опазването на околната среда.</w:t>
            </w:r>
          </w:p>
        </w:tc>
      </w:tr>
      <w:tr w:rsidR="00CF7824" w:rsidRPr="00564423" w14:paraId="1A545476" w14:textId="77777777" w:rsidTr="2FA6B974">
        <w:tc>
          <w:tcPr>
            <w:tcW w:w="2520" w:type="dxa"/>
            <w:shd w:val="clear" w:color="auto" w:fill="F2F2F2" w:themeFill="background1" w:themeFillShade="F2"/>
          </w:tcPr>
          <w:p w14:paraId="2CF62976" w14:textId="77777777" w:rsidR="00CF7824" w:rsidRPr="000C248E" w:rsidRDefault="2FA6B974" w:rsidP="2FA6B974">
            <w:pPr>
              <w:spacing w:before="120" w:after="120"/>
              <w:rPr>
                <w:rFonts w:cs="Iskoola Pota"/>
                <w:color w:val="404040" w:themeColor="text1" w:themeTint="BF"/>
                <w:sz w:val="20"/>
                <w:szCs w:val="20"/>
              </w:rPr>
            </w:pPr>
            <w:r>
              <w:rPr>
                <w:color w:val="404040" w:themeColor="text1" w:themeTint="BF"/>
                <w:sz w:val="20"/>
                <w:szCs w:val="20"/>
              </w:rPr>
              <w:t>Качество и безопасност на храните</w:t>
            </w:r>
          </w:p>
        </w:tc>
        <w:tc>
          <w:tcPr>
            <w:tcW w:w="6180" w:type="dxa"/>
            <w:shd w:val="clear" w:color="auto" w:fill="auto"/>
          </w:tcPr>
          <w:p w14:paraId="7AA1555A" w14:textId="77777777" w:rsidR="00CF7824" w:rsidRPr="000C248E" w:rsidRDefault="2FA6B974" w:rsidP="2FA6B974">
            <w:pPr>
              <w:spacing w:before="120" w:after="120"/>
              <w:rPr>
                <w:rFonts w:cs="Iskoola Pota"/>
                <w:color w:val="404040" w:themeColor="text1" w:themeTint="BF"/>
                <w:sz w:val="20"/>
                <w:szCs w:val="20"/>
              </w:rPr>
            </w:pPr>
            <w:r>
              <w:rPr>
                <w:color w:val="404040" w:themeColor="text1" w:themeTint="BF"/>
                <w:sz w:val="20"/>
                <w:szCs w:val="20"/>
              </w:rPr>
              <w:t>Европейският съюз подкрепя кампаниите, насърчаващи висококачествени селскостопански продукти.</w:t>
            </w:r>
          </w:p>
        </w:tc>
      </w:tr>
      <w:tr w:rsidR="00CF7824" w:rsidRPr="00564423" w14:paraId="3E77B16F" w14:textId="77777777" w:rsidTr="2FA6B974">
        <w:tc>
          <w:tcPr>
            <w:tcW w:w="2520" w:type="dxa"/>
            <w:shd w:val="clear" w:color="auto" w:fill="F2F2F2" w:themeFill="background1" w:themeFillShade="F2"/>
          </w:tcPr>
          <w:p w14:paraId="3038E299" w14:textId="77777777" w:rsidR="00CF7824" w:rsidRPr="000C248E" w:rsidRDefault="2FA6B974" w:rsidP="2FA6B974">
            <w:pPr>
              <w:spacing w:before="120" w:after="120"/>
              <w:rPr>
                <w:rFonts w:cs="Iskoola Pota"/>
                <w:color w:val="404040" w:themeColor="text1" w:themeTint="BF"/>
                <w:sz w:val="20"/>
                <w:szCs w:val="20"/>
              </w:rPr>
            </w:pPr>
            <w:r>
              <w:rPr>
                <w:color w:val="404040" w:themeColor="text1" w:themeTint="BF"/>
                <w:sz w:val="20"/>
                <w:szCs w:val="20"/>
              </w:rPr>
              <w:t>Здраве</w:t>
            </w:r>
          </w:p>
        </w:tc>
        <w:tc>
          <w:tcPr>
            <w:tcW w:w="6180" w:type="dxa"/>
            <w:shd w:val="clear" w:color="auto" w:fill="auto"/>
          </w:tcPr>
          <w:p w14:paraId="1159D61C" w14:textId="77777777" w:rsidR="00CF7824" w:rsidRPr="000C248E" w:rsidRDefault="2FA6B974" w:rsidP="2FA6B974">
            <w:pPr>
              <w:spacing w:before="120" w:after="120"/>
              <w:rPr>
                <w:rFonts w:cs="Iskoola Pota"/>
                <w:color w:val="404040" w:themeColor="text1" w:themeTint="BF"/>
                <w:sz w:val="20"/>
                <w:szCs w:val="20"/>
              </w:rPr>
            </w:pPr>
            <w:r>
              <w:rPr>
                <w:color w:val="404040" w:themeColor="text1" w:themeTint="BF"/>
                <w:sz w:val="20"/>
                <w:szCs w:val="20"/>
              </w:rPr>
              <w:t xml:space="preserve">Европейският съюз подкрепя кампаниите, насърчаващи здравословен начин на живот. </w:t>
            </w:r>
          </w:p>
        </w:tc>
      </w:tr>
      <w:tr w:rsidR="00CF7824" w:rsidRPr="00564423" w14:paraId="0F08C328" w14:textId="77777777" w:rsidTr="2FA6B974">
        <w:tc>
          <w:tcPr>
            <w:tcW w:w="2520" w:type="dxa"/>
            <w:shd w:val="clear" w:color="auto" w:fill="F2F2F2" w:themeFill="background1" w:themeFillShade="F2"/>
          </w:tcPr>
          <w:p w14:paraId="10DED12F" w14:textId="77777777" w:rsidR="00CF7824" w:rsidRPr="000C248E" w:rsidRDefault="2FA6B974" w:rsidP="2FA6B974">
            <w:pPr>
              <w:spacing w:before="120" w:after="120"/>
              <w:rPr>
                <w:rFonts w:cs="Iskoola Pota"/>
                <w:color w:val="404040" w:themeColor="text1" w:themeTint="BF"/>
                <w:sz w:val="20"/>
                <w:szCs w:val="20"/>
              </w:rPr>
            </w:pPr>
            <w:r>
              <w:rPr>
                <w:color w:val="404040" w:themeColor="text1" w:themeTint="BF"/>
                <w:sz w:val="20"/>
                <w:szCs w:val="20"/>
              </w:rPr>
              <w:t>Разнообразие</w:t>
            </w:r>
          </w:p>
        </w:tc>
        <w:tc>
          <w:tcPr>
            <w:tcW w:w="6180" w:type="dxa"/>
            <w:shd w:val="clear" w:color="auto" w:fill="auto"/>
          </w:tcPr>
          <w:p w14:paraId="4F0BB417" w14:textId="77777777" w:rsidR="00CF7824" w:rsidRPr="000C248E" w:rsidRDefault="2FA6B974" w:rsidP="2FA6B974">
            <w:pPr>
              <w:spacing w:before="120" w:after="120"/>
              <w:rPr>
                <w:rFonts w:cs="Iskoola Pota"/>
                <w:color w:val="404040" w:themeColor="text1" w:themeTint="BF"/>
                <w:sz w:val="20"/>
                <w:szCs w:val="20"/>
              </w:rPr>
            </w:pPr>
            <w:r>
              <w:rPr>
                <w:color w:val="404040" w:themeColor="text1" w:themeTint="BF"/>
                <w:sz w:val="20"/>
                <w:szCs w:val="20"/>
              </w:rPr>
              <w:t>Европейският съюз подкрепя кампаниите, насърчаващи широк спектър от селскостопански продукти.</w:t>
            </w:r>
          </w:p>
        </w:tc>
      </w:tr>
      <w:tr w:rsidR="00CF7824" w:rsidRPr="00564423" w14:paraId="3EA0FFE1" w14:textId="77777777" w:rsidTr="2FA6B974">
        <w:tc>
          <w:tcPr>
            <w:tcW w:w="2520" w:type="dxa"/>
            <w:shd w:val="clear" w:color="auto" w:fill="F2F2F2" w:themeFill="background1" w:themeFillShade="F2"/>
          </w:tcPr>
          <w:p w14:paraId="5E337F1D" w14:textId="77777777" w:rsidR="00CF7824" w:rsidRPr="000C248E" w:rsidRDefault="2FA6B974" w:rsidP="2FA6B974">
            <w:pPr>
              <w:spacing w:before="120" w:after="120"/>
              <w:rPr>
                <w:rFonts w:cs="Iskoola Pota"/>
                <w:color w:val="404040" w:themeColor="text1" w:themeTint="BF"/>
                <w:sz w:val="20"/>
                <w:szCs w:val="20"/>
              </w:rPr>
            </w:pPr>
            <w:r>
              <w:rPr>
                <w:color w:val="404040" w:themeColor="text1" w:themeTint="BF"/>
                <w:sz w:val="20"/>
                <w:szCs w:val="20"/>
              </w:rPr>
              <w:t>Традиция</w:t>
            </w:r>
          </w:p>
        </w:tc>
        <w:tc>
          <w:tcPr>
            <w:tcW w:w="6180" w:type="dxa"/>
            <w:shd w:val="clear" w:color="auto" w:fill="auto"/>
          </w:tcPr>
          <w:p w14:paraId="78A07477" w14:textId="77777777" w:rsidR="00CF7824" w:rsidRPr="000C248E" w:rsidRDefault="2FA6B974" w:rsidP="2FA6B974">
            <w:pPr>
              <w:spacing w:before="120" w:after="120"/>
              <w:rPr>
                <w:rFonts w:cs="Iskoola Pota"/>
                <w:color w:val="404040" w:themeColor="text1" w:themeTint="BF"/>
                <w:sz w:val="20"/>
                <w:szCs w:val="20"/>
              </w:rPr>
            </w:pPr>
            <w:r>
              <w:rPr>
                <w:color w:val="404040" w:themeColor="text1" w:themeTint="BF"/>
                <w:sz w:val="20"/>
                <w:szCs w:val="20"/>
              </w:rPr>
              <w:t>Европейският съюз подкрепя кампаниите, насърчаващи селскостопанските традиции.</w:t>
            </w:r>
          </w:p>
        </w:tc>
      </w:tr>
    </w:tbl>
    <w:p w14:paraId="41851DF3" w14:textId="77777777" w:rsidR="00CF7824" w:rsidRPr="005F71A6" w:rsidRDefault="00CF7824" w:rsidP="00CF7824">
      <w:pPr>
        <w:rPr>
          <w:lang w:eastAsia="en-GB"/>
        </w:rPr>
      </w:pPr>
    </w:p>
    <w:p w14:paraId="2ADACA7F" w14:textId="77777777" w:rsidR="00CF7824" w:rsidRPr="000768E0" w:rsidRDefault="2FA6B974" w:rsidP="2FA6B974">
      <w:pPr>
        <w:rPr>
          <w:b/>
          <w:bCs/>
          <w:u w:val="single"/>
        </w:rPr>
      </w:pPr>
      <w:r>
        <w:rPr>
          <w:b/>
          <w:bCs/>
          <w:u w:val="single"/>
        </w:rPr>
        <w:t>СПЕЦИАЛНИ ПРАВИЛА ЗА ИЗВЪРШВАНЕ НА ДЕЙНОСТТА (</w:t>
      </w:r>
      <w:r>
        <w:rPr>
          <w:u w:val="single"/>
        </w:rPr>
        <w:t xml:space="preserve">— </w:t>
      </w:r>
      <w:r>
        <w:rPr>
          <w:b/>
          <w:bCs/>
          <w:u w:val="single"/>
        </w:rPr>
        <w:t>ЧЛЕН 18)</w:t>
      </w:r>
    </w:p>
    <w:p w14:paraId="26972E19" w14:textId="77777777" w:rsidR="00CF7824" w:rsidRPr="001948D7" w:rsidRDefault="2FA6B974" w:rsidP="2FA6B974">
      <w:pPr>
        <w:rPr>
          <w:rStyle w:val="ArticleChar"/>
          <w:rFonts w:eastAsiaTheme="majorEastAsia"/>
          <w:b w:val="0"/>
          <w:bCs w:val="0"/>
        </w:rPr>
      </w:pPr>
      <w:r>
        <w:rPr>
          <w:b/>
          <w:bCs/>
        </w:rPr>
        <w:t>Специални правила</w:t>
      </w:r>
      <w:r>
        <w:rPr>
          <w:i/>
          <w:iCs/>
        </w:rPr>
        <w:t xml:space="preserve"> </w:t>
      </w:r>
      <w:r>
        <w:rPr>
          <w:rStyle w:val="ArticleChar"/>
          <w:rFonts w:eastAsiaTheme="minorHAnsi"/>
          <w:b w:val="0"/>
          <w:bCs w:val="0"/>
          <w:caps w:val="0"/>
        </w:rPr>
        <w:t xml:space="preserve">за кампании за информиране и насърчаване за селскостопански продукти </w:t>
      </w:r>
      <w:r>
        <w:rPr>
          <w:rStyle w:val="ArticleChar"/>
          <w:rFonts w:eastAsiaTheme="minorHAnsi"/>
          <w:b w:val="0"/>
          <w:bCs w:val="0"/>
          <w:caps w:val="0"/>
          <w:color w:val="FF0000"/>
        </w:rPr>
        <w:t xml:space="preserve"> </w:t>
      </w:r>
    </w:p>
    <w:p w14:paraId="10D04542" w14:textId="77777777" w:rsidR="00CF7824" w:rsidRPr="00711CDF" w:rsidRDefault="2FA6B974" w:rsidP="00CF7824">
      <w:pPr>
        <w:adjustRightInd w:val="0"/>
      </w:pPr>
      <w:r>
        <w:t>При провеждане на кампании за информиране и насърчаване бенефициерите трябва да спазват следните условия:</w:t>
      </w:r>
    </w:p>
    <w:p w14:paraId="20FDB617" w14:textId="77777777" w:rsidR="00CF7824" w:rsidRPr="00711CDF" w:rsidRDefault="2FA6B974" w:rsidP="00CF7824">
      <w:pPr>
        <w:numPr>
          <w:ilvl w:val="0"/>
          <w:numId w:val="98"/>
        </w:numPr>
        <w:adjustRightInd w:val="0"/>
      </w:pPr>
      <w:r>
        <w:t>да гарантират, че мерките за информиране и насърчаване са обективни, безпристрастни и недискриминационни;</w:t>
      </w:r>
    </w:p>
    <w:p w14:paraId="403F6447" w14:textId="77777777" w:rsidR="00CF7824" w:rsidRDefault="2FA6B974" w:rsidP="00CF7824">
      <w:pPr>
        <w:numPr>
          <w:ilvl w:val="0"/>
          <w:numId w:val="98"/>
        </w:numPr>
        <w:adjustRightInd w:val="0"/>
      </w:pPr>
      <w:r>
        <w:t xml:space="preserve">да гарантират, че с мерките за информиране и насърчаване се популяризира също така дейността на ЕС, като се използват както знамето и текстът за финансирането на ЕС, така и специалното лого; </w:t>
      </w:r>
    </w:p>
    <w:p w14:paraId="5AF6BC0D" w14:textId="77777777" w:rsidR="00CF7824" w:rsidRPr="0074578F" w:rsidRDefault="2FA6B974" w:rsidP="2FA6B974">
      <w:pPr>
        <w:numPr>
          <w:ilvl w:val="0"/>
          <w:numId w:val="98"/>
        </w:numPr>
        <w:adjustRightInd w:val="0"/>
      </w:pPr>
      <w:r>
        <w:t>когато за мерките за информиране и насърчаване се използва уебсайт на проекта: да използват домейн .eu, да включват ясна информация за собственика на уебсайта и да се уверят, че той е закрит след края на дейността или, ако продължи да функционира, е правилно поддържан и защитен срещу кибернастаняване;</w:t>
      </w:r>
    </w:p>
    <w:p w14:paraId="46992AC5" w14:textId="77777777" w:rsidR="00CF7824" w:rsidRPr="00711CDF" w:rsidRDefault="2FA6B974" w:rsidP="00CF7824">
      <w:pPr>
        <w:numPr>
          <w:ilvl w:val="0"/>
          <w:numId w:val="98"/>
        </w:numPr>
        <w:adjustRightInd w:val="0"/>
      </w:pPr>
      <w:r>
        <w:lastRenderedPageBreak/>
        <w:t xml:space="preserve">по отношение на </w:t>
      </w:r>
      <w:r>
        <w:rPr>
          <w:b/>
          <w:bCs/>
        </w:rPr>
        <w:t>обозначенията на произхода</w:t>
      </w:r>
      <w:r>
        <w:t xml:space="preserve"> на насърчаваните продукти:</w:t>
      </w:r>
    </w:p>
    <w:p w14:paraId="7D0A9E8E" w14:textId="77777777" w:rsidR="00CF7824" w:rsidRPr="00711CDF" w:rsidRDefault="2FA6B974" w:rsidP="00CF7824">
      <w:pPr>
        <w:numPr>
          <w:ilvl w:val="1"/>
          <w:numId w:val="98"/>
        </w:numPr>
        <w:adjustRightInd w:val="0"/>
      </w:pPr>
      <w:r>
        <w:t xml:space="preserve">да гарантират, че мерките за информиране и насърчаване не са насочени към произхода: </w:t>
      </w:r>
    </w:p>
    <w:p w14:paraId="1B71A95F" w14:textId="77777777" w:rsidR="00CF7824" w:rsidRPr="00711CDF" w:rsidRDefault="2FA6B974" w:rsidP="00CF7824">
      <w:pPr>
        <w:numPr>
          <w:ilvl w:val="1"/>
          <w:numId w:val="98"/>
        </w:numPr>
        <w:adjustRightInd w:val="0"/>
      </w:pPr>
      <w:r>
        <w:t>да гарантират, че основното послание е ориентирано към ЕС (а не е фокусирано върху конкретен произход), и по-специално че:</w:t>
      </w:r>
    </w:p>
    <w:p w14:paraId="727B57AF" w14:textId="77777777" w:rsidR="00CF7824" w:rsidRPr="00711CDF" w:rsidRDefault="2FA6B974" w:rsidP="00CF7824">
      <w:pPr>
        <w:numPr>
          <w:ilvl w:val="2"/>
          <w:numId w:val="98"/>
        </w:numPr>
        <w:adjustRightInd w:val="0"/>
        <w:ind w:left="1800" w:hanging="360"/>
      </w:pPr>
      <w:r>
        <w:t>обозначението на произхода допълва основното послание, свързано с ЕС,</w:t>
      </w:r>
    </w:p>
    <w:p w14:paraId="00DFBAEE" w14:textId="77777777" w:rsidR="00CF7824" w:rsidRPr="00711CDF" w:rsidRDefault="2FA6B974" w:rsidP="2FA6B974">
      <w:pPr>
        <w:numPr>
          <w:ilvl w:val="2"/>
          <w:numId w:val="98"/>
        </w:numPr>
        <w:ind w:left="1800" w:hanging="360"/>
      </w:pPr>
      <w:r>
        <w:t>обозначението на произхода не насърчава потребителите да купуват местни стоки единствено заради произхода им, както и че е предоставена информация за специфичните свойства на продукта,</w:t>
      </w:r>
    </w:p>
    <w:p w14:paraId="2212F4BC" w14:textId="77777777" w:rsidR="00CF7824" w:rsidRPr="00711CDF" w:rsidRDefault="2FA6B974" w:rsidP="2FA6B974">
      <w:pPr>
        <w:numPr>
          <w:ilvl w:val="0"/>
          <w:numId w:val="99"/>
        </w:numPr>
        <w:ind w:left="1800"/>
      </w:pPr>
      <w:r>
        <w:t>обозначението на произхода остава от второстепенно значение; това означава, че за дейности в държави — членки на ЕС</w:t>
      </w:r>
      <w:r>
        <w:rPr>
          <w:i/>
          <w:iCs/>
        </w:rPr>
        <w:t xml:space="preserve"> </w:t>
      </w:r>
      <w:r>
        <w:t xml:space="preserve">текстът или символът(ите), отнасящ(и) се за произхода, трябва да е(са) </w:t>
      </w:r>
      <w:r>
        <w:rPr>
          <w:i/>
          <w:iCs/>
        </w:rPr>
        <w:t>по-малко</w:t>
      </w:r>
      <w:r>
        <w:t xml:space="preserve"> виден(видни) от текста или символа(ите), отнасящ(и) се за основното послание, свързано с ЕС; за дейности в държави извън ЕС</w:t>
      </w:r>
      <w:r>
        <w:rPr>
          <w:i/>
          <w:iCs/>
          <w:color w:val="4AA55B"/>
        </w:rPr>
        <w:t xml:space="preserve"> </w:t>
      </w:r>
      <w:r>
        <w:t>те трябва</w:t>
      </w:r>
      <w:r>
        <w:rPr>
          <w:i/>
          <w:iCs/>
          <w:color w:val="4AA55B"/>
        </w:rPr>
        <w:t xml:space="preserve"> </w:t>
      </w:r>
      <w:r>
        <w:rPr>
          <w:i/>
          <w:iCs/>
        </w:rPr>
        <w:t>да не са по-видни</w:t>
      </w:r>
      <w:r>
        <w:t xml:space="preserve"> от текста или символа(ите), отнасящ(и) се за основното послание, свързано с ЕС;</w:t>
      </w:r>
    </w:p>
    <w:p w14:paraId="4C439395" w14:textId="77777777" w:rsidR="00CF7824" w:rsidRPr="00711CDF" w:rsidRDefault="2FA6B974" w:rsidP="2FA6B974">
      <w:pPr>
        <w:numPr>
          <w:ilvl w:val="0"/>
          <w:numId w:val="99"/>
        </w:numPr>
        <w:ind w:left="1800"/>
      </w:pPr>
      <w:r>
        <w:t>основното послание, свързано с ЕС, не се измества на заден план от материали, свързани с обозначението на произхода (като например снимки, цветове, символи и т.н.) и тези материали са разположени на отделно място,</w:t>
      </w:r>
    </w:p>
    <w:p w14:paraId="5781A4D0" w14:textId="77777777" w:rsidR="00CF7824" w:rsidRPr="00711CDF" w:rsidRDefault="2FA6B974" w:rsidP="00CF7824">
      <w:pPr>
        <w:numPr>
          <w:ilvl w:val="1"/>
          <w:numId w:val="98"/>
        </w:numPr>
        <w:adjustRightInd w:val="0"/>
      </w:pPr>
      <w:r>
        <w:t>да гарантират, че обозначението на произхода се отнася за национално или по-високо равнище (т.е. наднационален район или държава членка, но не и по-ниско равнище),</w:t>
      </w:r>
      <w:r>
        <w:rPr>
          <w:rStyle w:val="ArticleChar"/>
          <w:rFonts w:eastAsiaTheme="minorHAnsi"/>
          <w:b w:val="0"/>
          <w:bCs w:val="0"/>
        </w:rPr>
        <w:t xml:space="preserve"> </w:t>
      </w:r>
      <w:r>
        <w:t>освен ако обозначението на произхода е част от:</w:t>
      </w:r>
    </w:p>
    <w:p w14:paraId="239CB474" w14:textId="77777777" w:rsidR="00CF7824" w:rsidRPr="00711CDF" w:rsidRDefault="00CF7824" w:rsidP="00CF7824">
      <w:pPr>
        <w:numPr>
          <w:ilvl w:val="2"/>
          <w:numId w:val="98"/>
        </w:numPr>
        <w:adjustRightInd w:val="0"/>
        <w:ind w:left="1800" w:hanging="360"/>
      </w:pPr>
      <w:r>
        <w:t>графичен символ за най-отдалечените региони („графичен символ за НОР“)</w:t>
      </w:r>
      <w:r>
        <w:rPr>
          <w:rStyle w:val="FootnoteReference"/>
        </w:rPr>
        <w:footnoteReference w:id="29"/>
      </w:r>
      <w:r>
        <w:t xml:space="preserve"> или свързани с него визуални материали;</w:t>
      </w:r>
    </w:p>
    <w:p w14:paraId="4DC38767" w14:textId="77777777" w:rsidR="00CF7824" w:rsidRPr="00711CDF" w:rsidRDefault="2FA6B974" w:rsidP="00CF7824">
      <w:pPr>
        <w:numPr>
          <w:ilvl w:val="2"/>
          <w:numId w:val="98"/>
        </w:numPr>
        <w:adjustRightInd w:val="0"/>
        <w:ind w:left="1800" w:hanging="360"/>
      </w:pPr>
      <w:r>
        <w:t>национална схема за качество с включен в наименованието ѝ произход,</w:t>
      </w:r>
    </w:p>
    <w:p w14:paraId="612E5C46" w14:textId="77777777" w:rsidR="00CF7824" w:rsidRPr="00711CDF" w:rsidRDefault="2FA6B974" w:rsidP="00CF7824">
      <w:pPr>
        <w:numPr>
          <w:ilvl w:val="2"/>
          <w:numId w:val="98"/>
        </w:numPr>
        <w:adjustRightInd w:val="0"/>
        <w:ind w:left="1800" w:hanging="360"/>
      </w:pPr>
      <w:r>
        <w:t>обозначение на произхода в наименованието на продукт, признат по една от следните схеми на ЕС за качество:</w:t>
      </w:r>
    </w:p>
    <w:p w14:paraId="4A96CBCF" w14:textId="77777777" w:rsidR="00CF7824" w:rsidRPr="00711CDF" w:rsidRDefault="2FA6B974" w:rsidP="00CF7824">
      <w:pPr>
        <w:numPr>
          <w:ilvl w:val="3"/>
          <w:numId w:val="98"/>
        </w:numPr>
        <w:adjustRightInd w:val="0"/>
        <w:ind w:left="2160"/>
      </w:pPr>
      <w:r>
        <w:lastRenderedPageBreak/>
        <w:t>защитено наименование за произход (ЗНП),</w:t>
      </w:r>
    </w:p>
    <w:p w14:paraId="1615B0FF" w14:textId="77777777" w:rsidR="00CF7824" w:rsidRPr="00711CDF" w:rsidRDefault="2FA6B974" w:rsidP="00CF7824">
      <w:pPr>
        <w:numPr>
          <w:ilvl w:val="3"/>
          <w:numId w:val="98"/>
        </w:numPr>
        <w:adjustRightInd w:val="0"/>
        <w:ind w:left="2160"/>
      </w:pPr>
      <w:r>
        <w:t>защитено географско указание (ЗГУ), или</w:t>
      </w:r>
    </w:p>
    <w:p w14:paraId="5933F696" w14:textId="77777777" w:rsidR="00CF7824" w:rsidRPr="00D02673" w:rsidRDefault="00CF7824" w:rsidP="00CF7824">
      <w:pPr>
        <w:numPr>
          <w:ilvl w:val="3"/>
          <w:numId w:val="98"/>
        </w:numPr>
        <w:adjustRightInd w:val="0"/>
        <w:ind w:left="2160"/>
      </w:pPr>
      <w:r>
        <w:t>храни с традиционно специфичен характер (ХТСХ)</w:t>
      </w:r>
      <w:r>
        <w:rPr>
          <w:rStyle w:val="FootnoteReference"/>
        </w:rPr>
        <w:footnoteReference w:id="30"/>
      </w:r>
      <w:r>
        <w:t>;</w:t>
      </w:r>
    </w:p>
    <w:p w14:paraId="3987AB10" w14:textId="77777777" w:rsidR="00CF7824" w:rsidRPr="00711CDF" w:rsidRDefault="2FA6B974" w:rsidP="00CF7824">
      <w:pPr>
        <w:numPr>
          <w:ilvl w:val="1"/>
          <w:numId w:val="98"/>
        </w:numPr>
        <w:adjustRightInd w:val="0"/>
      </w:pPr>
      <w:r>
        <w:t>обозначението на произхода трябва да е ограничено до визуални материали (т.е. без аудиоматериали);</w:t>
      </w:r>
    </w:p>
    <w:p w14:paraId="24BA6519" w14:textId="77777777" w:rsidR="00CF7824" w:rsidRPr="00711CDF" w:rsidRDefault="2FA6B974" w:rsidP="00CF7824">
      <w:pPr>
        <w:numPr>
          <w:ilvl w:val="0"/>
          <w:numId w:val="98"/>
        </w:numPr>
        <w:adjustRightInd w:val="0"/>
      </w:pPr>
      <w:r>
        <w:t xml:space="preserve">по отношение на използването на </w:t>
      </w:r>
      <w:r>
        <w:rPr>
          <w:b/>
          <w:bCs/>
        </w:rPr>
        <w:t>марки</w:t>
      </w:r>
      <w:r>
        <w:t xml:space="preserve">: </w:t>
      </w:r>
    </w:p>
    <w:p w14:paraId="1DC53338" w14:textId="77777777" w:rsidR="00CF7824" w:rsidRPr="00711CDF" w:rsidRDefault="2FA6B974" w:rsidP="00CF7824">
      <w:pPr>
        <w:numPr>
          <w:ilvl w:val="1"/>
          <w:numId w:val="98"/>
        </w:numPr>
        <w:adjustRightInd w:val="0"/>
      </w:pPr>
      <w:r>
        <w:t>да гарантират, че мерките за информиране и насърчаване не са насочени към марката,</w:t>
      </w:r>
    </w:p>
    <w:p w14:paraId="314ABB98" w14:textId="77777777" w:rsidR="00CF7824" w:rsidRPr="00711CDF" w:rsidRDefault="2FA6B974" w:rsidP="00CF7824">
      <w:pPr>
        <w:numPr>
          <w:ilvl w:val="1"/>
          <w:numId w:val="98"/>
        </w:numPr>
        <w:adjustRightInd w:val="0"/>
      </w:pPr>
      <w:r>
        <w:t>с изключение на мерките за информиране и насърчаване, свързани с национални схеми за качество, регистрирани като марка, да гарантират, че използването на марки:</w:t>
      </w:r>
    </w:p>
    <w:p w14:paraId="1B0B7E4D" w14:textId="77777777" w:rsidR="00CF7824" w:rsidRPr="00711CDF" w:rsidRDefault="2FA6B974" w:rsidP="00CF7824">
      <w:pPr>
        <w:numPr>
          <w:ilvl w:val="0"/>
          <w:numId w:val="97"/>
        </w:numPr>
        <w:adjustRightInd w:val="0"/>
      </w:pPr>
      <w:r>
        <w:t>е ограничено до:</w:t>
      </w:r>
    </w:p>
    <w:p w14:paraId="22F91FC6" w14:textId="77777777" w:rsidR="00CF7824" w:rsidRPr="00711CDF" w:rsidRDefault="2FA6B974" w:rsidP="00CF7824">
      <w:pPr>
        <w:numPr>
          <w:ilvl w:val="1"/>
          <w:numId w:val="97"/>
        </w:numPr>
        <w:adjustRightInd w:val="0"/>
      </w:pPr>
      <w:r>
        <w:t xml:space="preserve">демонстрации или дегустации (по време на панаири, търговски събития, на уебсайтове или в пункт за продажби), и </w:t>
      </w:r>
    </w:p>
    <w:p w14:paraId="4A44B390" w14:textId="77777777" w:rsidR="00CF7824" w:rsidRPr="00711CDF" w:rsidRDefault="2FA6B974" w:rsidP="00CF7824">
      <w:pPr>
        <w:numPr>
          <w:ilvl w:val="1"/>
          <w:numId w:val="97"/>
        </w:numPr>
        <w:adjustRightInd w:val="0"/>
      </w:pPr>
      <w:r>
        <w:t>печатни информационни и промоционални материали, които се разпространяват по време на такива демонстрации и дегустации,</w:t>
      </w:r>
    </w:p>
    <w:p w14:paraId="48A983D6" w14:textId="77777777" w:rsidR="00CF7824" w:rsidRPr="00711CDF" w:rsidRDefault="2FA6B974" w:rsidP="00CF7824">
      <w:pPr>
        <w:adjustRightInd w:val="0"/>
        <w:ind w:left="1860"/>
      </w:pPr>
      <w:r>
        <w:t>и,</w:t>
      </w:r>
    </w:p>
    <w:p w14:paraId="2A33917E" w14:textId="77777777" w:rsidR="00CF7824" w:rsidRPr="00711CDF" w:rsidRDefault="2FA6B974" w:rsidP="00CF7824">
      <w:pPr>
        <w:numPr>
          <w:ilvl w:val="0"/>
          <w:numId w:val="97"/>
        </w:numPr>
        <w:adjustRightInd w:val="0"/>
      </w:pPr>
      <w:r>
        <w:t>е в съответствие със следните изисквания:</w:t>
      </w:r>
    </w:p>
    <w:p w14:paraId="17616611" w14:textId="0AEB9AC0" w:rsidR="00CF7824" w:rsidRPr="00711CDF" w:rsidRDefault="00CF7824" w:rsidP="00CF7824">
      <w:pPr>
        <w:numPr>
          <w:ilvl w:val="2"/>
          <w:numId w:val="100"/>
        </w:numPr>
        <w:adjustRightInd w:val="0"/>
        <w:ind w:left="2520" w:hanging="360"/>
      </w:pPr>
      <w:r>
        <w:t>използват се само марки, които попадат в обхвата на определението за марки по членове 4 и 74 от Регламент № 2017/1001</w:t>
      </w:r>
      <w:r>
        <w:rPr>
          <w:vertAlign w:val="superscript"/>
        </w:rPr>
        <w:footnoteReference w:id="31"/>
      </w:r>
      <w:r>
        <w:t xml:space="preserve"> или член 3 от Директива 2015/2436/ЕО</w:t>
      </w:r>
      <w:r>
        <w:rPr>
          <w:vertAlign w:val="superscript"/>
        </w:rPr>
        <w:footnoteReference w:id="32"/>
      </w:r>
      <w:r>
        <w:t>,</w:t>
      </w:r>
    </w:p>
    <w:p w14:paraId="0E95651B" w14:textId="77777777" w:rsidR="00CF7824" w:rsidRPr="00711CDF" w:rsidRDefault="2FA6B974" w:rsidP="00CF7824">
      <w:pPr>
        <w:numPr>
          <w:ilvl w:val="2"/>
          <w:numId w:val="100"/>
        </w:numPr>
        <w:adjustRightInd w:val="0"/>
        <w:ind w:left="2520" w:hanging="360"/>
      </w:pPr>
      <w:r>
        <w:lastRenderedPageBreak/>
        <w:t>изобразяването на марките не отслабва основното послание, свързано с ЕС, и по-специално:</w:t>
      </w:r>
    </w:p>
    <w:p w14:paraId="145488DD" w14:textId="77777777" w:rsidR="00CF7824" w:rsidRPr="00711CDF" w:rsidRDefault="2FA6B974" w:rsidP="00CF7824">
      <w:pPr>
        <w:numPr>
          <w:ilvl w:val="3"/>
          <w:numId w:val="100"/>
        </w:numPr>
        <w:adjustRightInd w:val="0"/>
      </w:pPr>
      <w:r>
        <w:t>изобразяването на марките е от второстепенно значение (т.е. в по-малък формат от този на основното послание, свързано с ЕС),</w:t>
      </w:r>
    </w:p>
    <w:p w14:paraId="0A1347C7" w14:textId="77777777" w:rsidR="00CF7824" w:rsidRPr="00711CDF" w:rsidRDefault="2FA6B974" w:rsidP="00CF7824">
      <w:pPr>
        <w:numPr>
          <w:ilvl w:val="3"/>
          <w:numId w:val="100"/>
        </w:numPr>
        <w:adjustRightInd w:val="0"/>
      </w:pPr>
      <w:r>
        <w:t>основното послание, свързано с ЕС, не се измества на заден план от изобразяването на свързани с марката материали (като например снимки, цветове, символи и т.н.),</w:t>
      </w:r>
    </w:p>
    <w:p w14:paraId="20B54754" w14:textId="77777777" w:rsidR="00CF7824" w:rsidRPr="00711CDF" w:rsidRDefault="2FA6B974" w:rsidP="00CF7824">
      <w:pPr>
        <w:numPr>
          <w:ilvl w:val="2"/>
          <w:numId w:val="100"/>
        </w:numPr>
        <w:adjustRightInd w:val="0"/>
        <w:ind w:left="2520" w:hanging="360"/>
      </w:pPr>
      <w:r>
        <w:t xml:space="preserve">марките са ограничени до визуално изобразяване (т.е. без аудиоматериали), </w:t>
      </w:r>
    </w:p>
    <w:p w14:paraId="657E3788" w14:textId="77777777" w:rsidR="00CF7824" w:rsidRPr="00711CDF" w:rsidRDefault="2FA6B974" w:rsidP="00CF7824">
      <w:pPr>
        <w:numPr>
          <w:ilvl w:val="2"/>
          <w:numId w:val="100"/>
        </w:numPr>
        <w:adjustRightInd w:val="0"/>
        <w:ind w:left="2520" w:hanging="360"/>
      </w:pPr>
      <w:r>
        <w:t>на всички членове на организацията бенефициер е дадена еднаква възможност да изобразят своите марки, като марките са изобразени заедно и са видими в еднаква степен на място, различно от мястото, предназначено за основното послание, свързано с ЕС,</w:t>
      </w:r>
    </w:p>
    <w:p w14:paraId="36254A54" w14:textId="77777777" w:rsidR="00CF7824" w:rsidRPr="00711CDF" w:rsidRDefault="2FA6B974" w:rsidP="00CF7824">
      <w:pPr>
        <w:numPr>
          <w:ilvl w:val="2"/>
          <w:numId w:val="100"/>
        </w:numPr>
        <w:adjustRightInd w:val="0"/>
        <w:ind w:left="2520" w:hanging="360"/>
      </w:pPr>
      <w:r>
        <w:t>марките са изобразени по следния начин:</w:t>
      </w:r>
    </w:p>
    <w:p w14:paraId="4FA13DE6" w14:textId="77777777" w:rsidR="00CF7824" w:rsidRPr="00711CDF" w:rsidRDefault="2FA6B974" w:rsidP="00CF7824">
      <w:pPr>
        <w:numPr>
          <w:ilvl w:val="0"/>
          <w:numId w:val="96"/>
        </w:numPr>
        <w:adjustRightInd w:val="0"/>
        <w:ind w:left="2880"/>
      </w:pPr>
      <w:r>
        <w:t>за панаири, търговски събития или пункт за продажби — или:</w:t>
      </w:r>
    </w:p>
    <w:p w14:paraId="77D08209" w14:textId="77777777" w:rsidR="00CF7824" w:rsidRPr="00711CDF" w:rsidRDefault="2FA6B974" w:rsidP="00CF7824">
      <w:pPr>
        <w:numPr>
          <w:ilvl w:val="0"/>
          <w:numId w:val="96"/>
        </w:numPr>
        <w:adjustRightInd w:val="0"/>
        <w:ind w:left="3240"/>
      </w:pPr>
      <w:r>
        <w:t xml:space="preserve">всички марки са изобразени заедно на банер, разположен на предната страна на пулта на щанда, като размерът на банера не превишава 5 % от общата площ на предната страна на пулта (или по-малко в пропорционална степен, ако са обозначени по-малко от 5 марки), </w:t>
      </w:r>
    </w:p>
    <w:p w14:paraId="1519792D" w14:textId="77777777" w:rsidR="00CF7824" w:rsidRPr="00711CDF" w:rsidRDefault="2FA6B974" w:rsidP="00CF7824">
      <w:pPr>
        <w:adjustRightInd w:val="0"/>
        <w:ind w:left="2880"/>
      </w:pPr>
      <w:r>
        <w:t>или</w:t>
      </w:r>
    </w:p>
    <w:p w14:paraId="0D4A6807" w14:textId="77777777" w:rsidR="00CF7824" w:rsidRPr="00711CDF" w:rsidRDefault="2FA6B974" w:rsidP="00CF7824">
      <w:pPr>
        <w:numPr>
          <w:ilvl w:val="0"/>
          <w:numId w:val="96"/>
        </w:numPr>
        <w:adjustRightInd w:val="0"/>
        <w:ind w:left="3240"/>
      </w:pPr>
      <w:r>
        <w:t>всички марки са изобразени индивидуално, на отделни и еднакви щандове и по неутрален и идентичен начин, на предната страна на пулта на щанда, като размерът на изображението на наименованието на марката не превишава 5 % от общата площ на предната страна на пулта (или по-малко в пропорционална степен, ако са обозначени по-малко от 5 марки),</w:t>
      </w:r>
    </w:p>
    <w:p w14:paraId="7A857C40" w14:textId="77777777" w:rsidR="00CF7824" w:rsidRPr="00711CDF" w:rsidRDefault="2FA6B974" w:rsidP="00CF7824">
      <w:pPr>
        <w:numPr>
          <w:ilvl w:val="0"/>
          <w:numId w:val="96"/>
        </w:numPr>
        <w:adjustRightInd w:val="0"/>
        <w:ind w:left="2880"/>
      </w:pPr>
      <w:r>
        <w:t xml:space="preserve">за уебсайтове: всички марки са изобразени заедно или: </w:t>
      </w:r>
    </w:p>
    <w:p w14:paraId="6DFCADCA" w14:textId="77777777" w:rsidR="00CF7824" w:rsidRPr="00711CDF" w:rsidRDefault="2FA6B974" w:rsidP="00CF7824">
      <w:pPr>
        <w:numPr>
          <w:ilvl w:val="0"/>
          <w:numId w:val="96"/>
        </w:numPr>
        <w:adjustRightInd w:val="0"/>
        <w:ind w:left="3240"/>
      </w:pPr>
      <w:r>
        <w:t>на банер в долната част на уебстраницата, като:</w:t>
      </w:r>
    </w:p>
    <w:p w14:paraId="11A4190B" w14:textId="77777777" w:rsidR="00CF7824" w:rsidRPr="00711CDF" w:rsidRDefault="2FA6B974" w:rsidP="00CF7824">
      <w:pPr>
        <w:numPr>
          <w:ilvl w:val="0"/>
          <w:numId w:val="96"/>
        </w:numPr>
        <w:adjustRightInd w:val="0"/>
        <w:ind w:left="3600"/>
      </w:pPr>
      <w:r>
        <w:t>банерът не превишава 5 % от общата площ на уебстраницата (или по-малко в пропорционална степен, ако са обозначени по-малко от 5 марки), и</w:t>
      </w:r>
    </w:p>
    <w:p w14:paraId="5F617BCF" w14:textId="77777777" w:rsidR="00CF7824" w:rsidRPr="00711CDF" w:rsidRDefault="2FA6B974" w:rsidP="00CF7824">
      <w:pPr>
        <w:numPr>
          <w:ilvl w:val="0"/>
          <w:numId w:val="96"/>
        </w:numPr>
        <w:adjustRightInd w:val="0"/>
        <w:ind w:left="3600"/>
      </w:pPr>
      <w:r>
        <w:t>всяка от марките е по-малка от европейското знаме (емблема) (вж. член 17),</w:t>
      </w:r>
    </w:p>
    <w:p w14:paraId="39D7929C" w14:textId="77777777" w:rsidR="00CF7824" w:rsidRPr="00711CDF" w:rsidRDefault="2FA6B974" w:rsidP="00CF7824">
      <w:pPr>
        <w:adjustRightInd w:val="0"/>
        <w:ind w:left="2880"/>
      </w:pPr>
      <w:r>
        <w:lastRenderedPageBreak/>
        <w:t>или</w:t>
      </w:r>
    </w:p>
    <w:p w14:paraId="1E203F6B" w14:textId="77777777" w:rsidR="00CF7824" w:rsidRPr="00711CDF" w:rsidRDefault="2FA6B974" w:rsidP="00CF7824">
      <w:pPr>
        <w:numPr>
          <w:ilvl w:val="0"/>
          <w:numId w:val="96"/>
        </w:numPr>
        <w:adjustRightInd w:val="0"/>
        <w:ind w:left="3240"/>
      </w:pPr>
      <w:r>
        <w:t>на специална уебстраница, различна от началната страница, като всяка от марките се изобразява по неутрален и идентичен начин;</w:t>
      </w:r>
    </w:p>
    <w:p w14:paraId="562DB00E" w14:textId="77777777" w:rsidR="00CF7824" w:rsidRPr="00711CDF" w:rsidRDefault="2FA6B974" w:rsidP="00CF7824">
      <w:pPr>
        <w:numPr>
          <w:ilvl w:val="0"/>
          <w:numId w:val="96"/>
        </w:numPr>
        <w:adjustRightInd w:val="0"/>
        <w:ind w:left="2880"/>
      </w:pPr>
      <w:r>
        <w:t>за печатни информационни и промоционални материали, които се разпространяват по време на демонстрации и дегустации: всички марки са изобразени заедно на банер, разположен в долната част на страницата, като размерът на банера не превишава 5 % от общата площ на страницата (или по-малко в пропорционална степен, ако са обозначени по-малко от 5 марки),</w:t>
      </w:r>
    </w:p>
    <w:p w14:paraId="31C7EE2A" w14:textId="77777777" w:rsidR="00CF7824" w:rsidRPr="00711CDF" w:rsidRDefault="2FA6B974" w:rsidP="00CF7824">
      <w:pPr>
        <w:numPr>
          <w:ilvl w:val="0"/>
          <w:numId w:val="98"/>
        </w:numPr>
        <w:adjustRightInd w:val="0"/>
      </w:pPr>
      <w:r>
        <w:t xml:space="preserve">по отношение на </w:t>
      </w:r>
      <w:r>
        <w:rPr>
          <w:b/>
          <w:bCs/>
        </w:rPr>
        <w:t>ползите за здравето</w:t>
      </w:r>
      <w:r>
        <w:t xml:space="preserve"> (т.е. информацията за въздействието на даден продукт върху здравето):</w:t>
      </w:r>
      <w:r>
        <w:rPr>
          <w:b/>
          <w:bCs/>
        </w:rPr>
        <w:t xml:space="preserve"> </w:t>
      </w:r>
    </w:p>
    <w:p w14:paraId="5E089C5E" w14:textId="7DFD957B" w:rsidR="00CF7824" w:rsidRPr="00711CDF" w:rsidRDefault="00CF7824" w:rsidP="00CF7824">
      <w:pPr>
        <w:numPr>
          <w:ilvl w:val="1"/>
          <w:numId w:val="98"/>
        </w:numPr>
        <w:adjustRightInd w:val="0"/>
      </w:pPr>
      <w:r>
        <w:t>да гарантират, че информацията за ползите за здравето за дейности в държави — членки на ЕС,</w:t>
      </w:r>
      <w:r>
        <w:rPr>
          <w:b/>
          <w:bCs/>
          <w:color w:val="4AA55B"/>
        </w:rPr>
        <w:t xml:space="preserve"> </w:t>
      </w:r>
      <w:r>
        <w:t>отговаря на изискванията в приложението към Регламент (ЕО) № 1924/2006</w:t>
      </w:r>
      <w:r>
        <w:rPr>
          <w:rStyle w:val="FootnoteReference"/>
        </w:rPr>
        <w:footnoteReference w:id="33"/>
      </w:r>
      <w:r>
        <w:t xml:space="preserve"> или е одобрена от националния орган в областта на общественото здравеопазване в държавата членка, в която се осъществяват операциите;  за дейности в държави извън ЕС тя трябва да е одобрена от националния орган в областта на общественото здравеопазване в държавата, в която се осъществяват операциите]</w:t>
      </w:r>
    </w:p>
    <w:p w14:paraId="40680559" w14:textId="1A52C610" w:rsidR="0092218B" w:rsidRPr="0092218B" w:rsidRDefault="0092218B" w:rsidP="0092218B">
      <w:pPr>
        <w:numPr>
          <w:ilvl w:val="0"/>
          <w:numId w:val="98"/>
        </w:numPr>
        <w:adjustRightInd w:val="0"/>
        <w:rPr>
          <w:i/>
          <w:szCs w:val="24"/>
        </w:rPr>
      </w:pPr>
      <w:r>
        <w:t xml:space="preserve">за дейности в държави — членки на ЕС: </w:t>
      </w:r>
    </w:p>
    <w:p w14:paraId="71A20A62" w14:textId="77777777" w:rsidR="0092218B" w:rsidRPr="0092218B" w:rsidRDefault="0092218B" w:rsidP="0092218B">
      <w:pPr>
        <w:numPr>
          <w:ilvl w:val="1"/>
          <w:numId w:val="98"/>
        </w:numPr>
        <w:adjustRightInd w:val="0"/>
        <w:rPr>
          <w:i/>
          <w:szCs w:val="24"/>
        </w:rPr>
      </w:pPr>
      <w:r>
        <w:t xml:space="preserve">да гарантират, че мерките за информиране и насърчаване, свързани с </w:t>
      </w:r>
      <w:r>
        <w:rPr>
          <w:b/>
        </w:rPr>
        <w:t>национални схеми за качество</w:t>
      </w:r>
      <w:r>
        <w:t>, са ориентирани към схемата, а не към отделни продукти (т.е. отделните продукти се използват единствено за обясняване на схемата и имат характер на вторично послание, което не отслабва основното послание, свързано с ЕС).</w:t>
      </w:r>
    </w:p>
    <w:p w14:paraId="707556BF" w14:textId="4E04E9C9" w:rsidR="0092218B" w:rsidRPr="0092218B" w:rsidRDefault="0092218B" w:rsidP="0092218B">
      <w:pPr>
        <w:numPr>
          <w:ilvl w:val="1"/>
          <w:numId w:val="98"/>
        </w:numPr>
        <w:adjustRightInd w:val="0"/>
        <w:rPr>
          <w:i/>
          <w:szCs w:val="24"/>
        </w:rPr>
      </w:pPr>
      <w:r>
        <w:t xml:space="preserve">— да гарантират, че в използваните визуални информационни и промоционални материали се съдържа препратка към </w:t>
      </w:r>
      <w:hyperlink r:id="rId33" w:history="1">
        <w:r>
          <w:rPr>
            <w:color w:val="0088CC"/>
            <w:szCs w:val="24"/>
            <w:u w:val="single"/>
          </w:rPr>
          <w:t>основаните на храни насоки за хранителния режим (ОХНХР)</w:t>
        </w:r>
      </w:hyperlink>
      <w:r>
        <w:rPr>
          <w:rStyle w:val="FootnoteReference"/>
          <w:rFonts w:eastAsia="Times New Roman"/>
          <w:color w:val="0088CC"/>
          <w:szCs w:val="24"/>
          <w:u w:val="single"/>
        </w:rPr>
        <w:footnoteReference w:id="34"/>
      </w:r>
      <w:r>
        <w:t xml:space="preserve"> на целевите държави членки за насърчаваните продукти.</w:t>
      </w:r>
    </w:p>
    <w:p w14:paraId="0C6BD0A6" w14:textId="77777777" w:rsidR="00CF7824" w:rsidRPr="00196549" w:rsidRDefault="2FA6B974" w:rsidP="2FA6B974">
      <w:pPr>
        <w:rPr>
          <w:rFonts w:eastAsia="Calibri" w:cs="Times New Roman"/>
          <w:b/>
          <w:bCs/>
        </w:rPr>
      </w:pPr>
      <w:r>
        <w:rPr>
          <w:b/>
          <w:bCs/>
        </w:rPr>
        <w:t>Специални правила за финансова подкрепа за трети страни</w:t>
      </w:r>
    </w:p>
    <w:p w14:paraId="1F301E8A" w14:textId="77777777" w:rsidR="00CF7824" w:rsidRPr="00196549" w:rsidRDefault="00CF7824" w:rsidP="2FA6B974">
      <w:pPr>
        <w:rPr>
          <w:rFonts w:eastAsia="Calibri"/>
        </w:rPr>
      </w:pPr>
      <w:r>
        <w:lastRenderedPageBreak/>
        <w:t>Когато се предоставя финансова подкрепа за трети страни на субекти, които са свързани с бенефициера</w:t>
      </w:r>
      <w:r>
        <w:rPr>
          <w:position w:val="6"/>
          <w:vertAlign w:val="superscript"/>
        </w:rPr>
        <w:footnoteReference w:id="35"/>
      </w:r>
      <w:r>
        <w:t xml:space="preserve">, бенефициерите трябва да гарантират, че начислените по дейността разходи са ограничени до действително направените разходи и че субектите спазват принципа на доброто финансово управление и водят отчет за разходите си. </w:t>
      </w:r>
    </w:p>
    <w:p w14:paraId="14104A62" w14:textId="77777777" w:rsidR="00CF7824" w:rsidRDefault="00CF7824" w:rsidP="00CF7824">
      <w:pPr>
        <w:spacing w:line="276" w:lineRule="auto"/>
        <w:jc w:val="left"/>
        <w:rPr>
          <w:rFonts w:eastAsia="Times New Roman" w:cstheme="majorBidi"/>
          <w:b/>
          <w:iCs/>
          <w:color w:val="000000"/>
          <w:highlight w:val="cyan"/>
        </w:rPr>
      </w:pPr>
      <w:r>
        <w:br w:type="page"/>
      </w:r>
    </w:p>
    <w:p w14:paraId="432C2A9F" w14:textId="77777777" w:rsidR="008907F4" w:rsidRPr="002452C7" w:rsidRDefault="2FA6B974" w:rsidP="00661C10">
      <w:pPr>
        <w:pStyle w:val="Annex"/>
      </w:pPr>
      <w:r>
        <w:lastRenderedPageBreak/>
        <w:t>ПРИЛОЖЕНИЕ 6</w:t>
      </w:r>
    </w:p>
    <w:p w14:paraId="106BE7E3" w14:textId="77777777" w:rsidR="008907F4" w:rsidRPr="00E723EF" w:rsidRDefault="008907F4" w:rsidP="00216718">
      <w:pPr>
        <w:rPr>
          <w:highlight w:val="cyan"/>
          <w:lang w:eastAsia="en-GB"/>
        </w:rPr>
      </w:pPr>
    </w:p>
    <w:p w14:paraId="16ABA5F1" w14:textId="74C914E3" w:rsidR="008907F4" w:rsidRDefault="008907F4" w:rsidP="2FA6B974">
      <w:pPr>
        <w:spacing w:after="0"/>
        <w:jc w:val="center"/>
      </w:pPr>
      <w:r>
        <w:rPr>
          <w:b/>
          <w:bCs/>
          <w:shd w:val="clear" w:color="auto" w:fill="CCFFFF"/>
        </w:rPr>
        <w:t>ОБРАЗЕЦ НА СЕРТИФИКАТ ЗА ФИНАНСОВИЯ ОТЧЕТ (СФО)</w:t>
      </w:r>
      <w:r>
        <w:rPr>
          <w:rStyle w:val="FootnoteReference"/>
        </w:rPr>
        <w:t xml:space="preserve"> </w:t>
      </w:r>
      <w:r>
        <w:rPr>
          <w:rStyle w:val="FootnoteReference"/>
        </w:rPr>
        <w:footnoteReference w:id="36"/>
      </w:r>
    </w:p>
    <w:p w14:paraId="61334272" w14:textId="2733DC91" w:rsidR="00216718" w:rsidRDefault="00216718" w:rsidP="00216718">
      <w:pPr>
        <w:rPr>
          <w:lang w:eastAsia="en-GB"/>
        </w:rPr>
      </w:pPr>
    </w:p>
    <w:p w14:paraId="4BAE29B4" w14:textId="77777777" w:rsidR="00216718" w:rsidRPr="00216718" w:rsidRDefault="00216718" w:rsidP="00216718">
      <w:pPr>
        <w:snapToGrid w:val="0"/>
        <w:rPr>
          <w:rFonts w:eastAsia="Times New Roman" w:cs="Times New Roman"/>
          <w:i/>
          <w:spacing w:val="-3"/>
          <w:sz w:val="20"/>
          <w:szCs w:val="16"/>
        </w:rPr>
      </w:pPr>
      <w:r>
        <w:rPr>
          <w:i/>
          <w:color w:val="4AA55B"/>
          <w:sz w:val="20"/>
          <w:szCs w:val="16"/>
        </w:rPr>
        <w:t>(Попълва се от координатора за СФО, отпечатан на тяхна бланка и подписан (на хартия). Сканира се и се подава във формат PDF от бенефициера (за него самия и за свързаните с него субекти).)</w:t>
      </w:r>
    </w:p>
    <w:p w14:paraId="7382C50A" w14:textId="77777777" w:rsidR="00216718" w:rsidRPr="00216718" w:rsidRDefault="00216718" w:rsidP="00216718"/>
    <w:p w14:paraId="7ACE0AFD" w14:textId="77777777" w:rsidR="00216718" w:rsidRPr="00216718" w:rsidRDefault="00216718" w:rsidP="00216718">
      <w:pPr>
        <w:jc w:val="left"/>
        <w:rPr>
          <w:rFonts w:eastAsia="Times New Roman" w:cs="Times New Roman"/>
          <w:szCs w:val="20"/>
          <w:lang w:eastAsia="en-GB"/>
        </w:rPr>
      </w:pPr>
    </w:p>
    <w:p w14:paraId="4D887D93" w14:textId="77777777" w:rsidR="00216718" w:rsidRPr="00216718" w:rsidRDefault="00216718" w:rsidP="00216718">
      <w:pPr>
        <w:jc w:val="center"/>
        <w:rPr>
          <w:rFonts w:eastAsia="Times New Roman" w:cs="Times New Roman"/>
          <w:b/>
          <w:bCs/>
          <w:szCs w:val="20"/>
        </w:rPr>
      </w:pPr>
      <w:r>
        <w:rPr>
          <w:b/>
          <w:szCs w:val="20"/>
        </w:rPr>
        <w:t xml:space="preserve">Задание </w:t>
      </w:r>
    </w:p>
    <w:p w14:paraId="08465F60" w14:textId="77777777" w:rsidR="00216718" w:rsidRPr="00216718" w:rsidRDefault="00216718" w:rsidP="00216718">
      <w:pPr>
        <w:rPr>
          <w:rFonts w:cs="Times New Roman"/>
          <w:szCs w:val="20"/>
        </w:rPr>
      </w:pPr>
    </w:p>
    <w:p w14:paraId="0EC599BB" w14:textId="77777777" w:rsidR="00216718" w:rsidRPr="00216718" w:rsidRDefault="00216718" w:rsidP="00216718">
      <w:pPr>
        <w:ind w:left="426" w:hanging="426"/>
        <w:outlineLvl w:val="0"/>
        <w:rPr>
          <w:rFonts w:cs="Times New Roman"/>
          <w:b/>
          <w:szCs w:val="20"/>
        </w:rPr>
      </w:pPr>
      <w:bookmarkStart w:id="928" w:name="_Toc95925065"/>
      <w:r>
        <w:rPr>
          <w:b/>
          <w:szCs w:val="20"/>
        </w:rPr>
        <w:t>1. Контекст и предмет</w:t>
      </w:r>
      <w:bookmarkEnd w:id="928"/>
    </w:p>
    <w:p w14:paraId="4DA742B8" w14:textId="77777777" w:rsidR="00216718" w:rsidRPr="00216718" w:rsidRDefault="00216718" w:rsidP="00216718">
      <w:pPr>
        <w:autoSpaceDE w:val="0"/>
        <w:autoSpaceDN w:val="0"/>
        <w:adjustRightInd w:val="0"/>
        <w:rPr>
          <w:rFonts w:cs="Times New Roman"/>
          <w:szCs w:val="20"/>
        </w:rPr>
      </w:pPr>
      <w:r>
        <w:t xml:space="preserve">Сертификат за финансовия отчет (СФО) се представя за субектите, които участват като бенефициер или за свързаните с тях субекти („участници“) и получават безвъзмездни средства по AGRIP SIMPLE, при условие че това се изисква съгласно споразумението за отпускане на безвъзмездни средства и че са спазени определени прагове на декларираните разходи (вж. техническите спецификации на споразумението за отпускане на безвъзмездни средства и член 24.2). </w:t>
      </w:r>
    </w:p>
    <w:p w14:paraId="24B777FE" w14:textId="77777777" w:rsidR="00216718" w:rsidRPr="00216718" w:rsidRDefault="00216718" w:rsidP="00216718">
      <w:pPr>
        <w:autoSpaceDE w:val="0"/>
        <w:autoSpaceDN w:val="0"/>
        <w:adjustRightInd w:val="0"/>
        <w:rPr>
          <w:rFonts w:eastAsia="Times New Roman" w:cs="Times New Roman"/>
          <w:szCs w:val="20"/>
        </w:rPr>
      </w:pPr>
      <w:r>
        <w:t>Целта на СФО е да осигури на предоставящия орган достатъчно информация, за да може той да оцени разходите, декларирани въз основа на действителни разходи или на разходи в съответствие с обичайните практики за счетоводно отчитане на разходите (ако има такива), и, ако е приложимо, също така дали приходите отговарят на условията, определени в споразумението за отпускане на безвъзмездни средства.</w:t>
      </w:r>
    </w:p>
    <w:p w14:paraId="2D831B60" w14:textId="77777777" w:rsidR="00216718" w:rsidRPr="00216718" w:rsidRDefault="00216718" w:rsidP="00216718">
      <w:pPr>
        <w:ind w:left="426" w:hanging="426"/>
        <w:outlineLvl w:val="0"/>
        <w:rPr>
          <w:rFonts w:cs="Times New Roman"/>
          <w:b/>
          <w:szCs w:val="20"/>
        </w:rPr>
      </w:pPr>
      <w:bookmarkStart w:id="929" w:name="_Toc95925066"/>
      <w:r>
        <w:rPr>
          <w:b/>
          <w:szCs w:val="20"/>
        </w:rPr>
        <w:t>2. Обхват и приложими стандарти</w:t>
      </w:r>
      <w:bookmarkEnd w:id="929"/>
    </w:p>
    <w:p w14:paraId="19BDEC06" w14:textId="77777777" w:rsidR="00216718" w:rsidRPr="00216718" w:rsidRDefault="00216718" w:rsidP="00216718">
      <w:pPr>
        <w:rPr>
          <w:rFonts w:eastAsia="Times New Roman" w:cs="Times New Roman"/>
          <w:szCs w:val="20"/>
        </w:rPr>
      </w:pPr>
      <w:r>
        <w:t xml:space="preserve">Ангажиментът се състои в изпълнението на конкретни </w:t>
      </w:r>
      <w:r>
        <w:rPr>
          <w:b/>
          <w:bCs/>
        </w:rPr>
        <w:t>договорени процедури</w:t>
      </w:r>
      <w:r>
        <w:t xml:space="preserve"> за проверка на допустимостта на декларираните разходи по споразумението за отпускане на безвъзмездни средства.  Това не е ангажимент за изразяване на увереност; одиторът не предоставя одитно становище, нито изразява увереност.</w:t>
      </w:r>
    </w:p>
    <w:p w14:paraId="261453DC" w14:textId="77777777" w:rsidR="00216718" w:rsidRPr="00216718" w:rsidRDefault="00216718" w:rsidP="00216718">
      <w:pPr>
        <w:rPr>
          <w:rFonts w:eastAsia="Times New Roman" w:cs="Times New Roman"/>
          <w:szCs w:val="20"/>
        </w:rPr>
      </w:pPr>
      <w:r>
        <w:t xml:space="preserve">Прилагат се следните стандарти: </w:t>
      </w:r>
    </w:p>
    <w:p w14:paraId="74E1E2CE" w14:textId="77777777" w:rsidR="00216718" w:rsidRPr="00216718" w:rsidRDefault="00216718" w:rsidP="00216718">
      <w:pPr>
        <w:numPr>
          <w:ilvl w:val="0"/>
          <w:numId w:val="107"/>
        </w:numPr>
        <w:autoSpaceDE w:val="0"/>
        <w:autoSpaceDN w:val="0"/>
        <w:adjustRightInd w:val="0"/>
        <w:rPr>
          <w:rFonts w:eastAsia="Calibri" w:cs="Times New Roman"/>
          <w:szCs w:val="20"/>
        </w:rPr>
      </w:pPr>
      <w:r>
        <w:t xml:space="preserve">Международен стандарт за свързани по съдържание услуги (МСССУ) 4400 (преработен) </w:t>
      </w:r>
      <w:r>
        <w:rPr>
          <w:i/>
          <w:szCs w:val="20"/>
        </w:rPr>
        <w:t>Ангажименти за извършване на договорени процедури</w:t>
      </w:r>
      <w:r>
        <w:t xml:space="preserve">, издаден от Съвет по международни одиторски стандарти и стандарти за изразяване на сигурност (СМОССИС); </w:t>
      </w:r>
    </w:p>
    <w:p w14:paraId="18C6E868" w14:textId="77777777" w:rsidR="00216718" w:rsidRPr="00216718" w:rsidRDefault="00216718" w:rsidP="00216718">
      <w:pPr>
        <w:numPr>
          <w:ilvl w:val="0"/>
          <w:numId w:val="107"/>
        </w:numPr>
        <w:autoSpaceDE w:val="0"/>
        <w:autoSpaceDN w:val="0"/>
        <w:adjustRightInd w:val="0"/>
        <w:rPr>
          <w:rFonts w:eastAsia="Calibri" w:cs="Times New Roman"/>
          <w:szCs w:val="20"/>
        </w:rPr>
      </w:pPr>
      <w:r>
        <w:rPr>
          <w:i/>
          <w:iCs/>
        </w:rPr>
        <w:lastRenderedPageBreak/>
        <w:t>Етичен кодекс на професионалните счетоводители</w:t>
      </w:r>
      <w:r>
        <w:t xml:space="preserve">, издаден от Съвета за международни етични стандарти на счетоводителите (СМЕСС), включително изискванията за независимост </w:t>
      </w:r>
      <w:r>
        <w:rPr>
          <w:i/>
          <w:iCs/>
        </w:rPr>
        <w:t>(вж. обясненията по-долу)</w:t>
      </w:r>
      <w:r>
        <w:t xml:space="preserve">.  </w:t>
      </w:r>
    </w:p>
    <w:p w14:paraId="21CEA318" w14:textId="77777777" w:rsidR="00216718" w:rsidRPr="00216718" w:rsidRDefault="00216718" w:rsidP="00216718">
      <w:pPr>
        <w:rPr>
          <w:rFonts w:eastAsia="Times New Roman" w:cs="Times New Roman"/>
          <w:szCs w:val="20"/>
        </w:rPr>
      </w:pPr>
      <w:r>
        <w:t>Сертификатите се издават в съответствие с най-високите професионални стандарти.  Работата се планира така, че да позволява ефективна проверка.  Одиторът използва получените при извършените процедури доказателства като основа за сертификата. Фактите, на които се опират констатациите и доказателствата, че работата е била извършена в съответствие със заданието, се документират. Констатациите се описват достатъчно подробно, което позволява на участника и предоставящия орган да осигурят подходящи последващи действия.</w:t>
      </w:r>
    </w:p>
    <w:p w14:paraId="0F5383DF" w14:textId="77777777" w:rsidR="00216718" w:rsidRPr="00216718" w:rsidRDefault="00216718" w:rsidP="00216718">
      <w:pPr>
        <w:ind w:left="426" w:hanging="426"/>
        <w:rPr>
          <w:rFonts w:cs="Times New Roman"/>
          <w:b/>
          <w:szCs w:val="20"/>
        </w:rPr>
      </w:pPr>
      <w:r>
        <w:rPr>
          <w:b/>
          <w:szCs w:val="20"/>
        </w:rPr>
        <w:t>3. Одитори, които имат право да представят сертификат</w:t>
      </w:r>
    </w:p>
    <w:p w14:paraId="11F6C5AD" w14:textId="77777777" w:rsidR="00216718" w:rsidRPr="00216718" w:rsidRDefault="00216718" w:rsidP="00216718">
      <w:pPr>
        <w:rPr>
          <w:rFonts w:eastAsia="Times New Roman" w:cs="Times New Roman"/>
          <w:szCs w:val="20"/>
        </w:rPr>
      </w:pPr>
      <w:r>
        <w:t xml:space="preserve">Участникът може свободно да избере </w:t>
      </w:r>
      <w:r>
        <w:rPr>
          <w:b/>
          <w:bCs/>
        </w:rPr>
        <w:t>правоспособен външен одитор</w:t>
      </w:r>
      <w:r>
        <w:t>, включително обичайния си външен одитор, при условие че:</w:t>
      </w:r>
    </w:p>
    <w:p w14:paraId="430A3226" w14:textId="77777777" w:rsidR="00216718" w:rsidRPr="00216718" w:rsidRDefault="00216718" w:rsidP="00216718">
      <w:pPr>
        <w:numPr>
          <w:ilvl w:val="0"/>
          <w:numId w:val="106"/>
        </w:numPr>
        <w:ind w:left="714" w:hanging="357"/>
        <w:rPr>
          <w:rFonts w:eastAsia="Times New Roman" w:cs="Times New Roman"/>
          <w:szCs w:val="20"/>
        </w:rPr>
      </w:pPr>
      <w:r>
        <w:t xml:space="preserve">одиторът е </w:t>
      </w:r>
      <w:r>
        <w:rPr>
          <w:b/>
          <w:szCs w:val="20"/>
        </w:rPr>
        <w:t>независим</w:t>
      </w:r>
      <w:r>
        <w:t xml:space="preserve"> от участника и</w:t>
      </w:r>
    </w:p>
    <w:p w14:paraId="7932AD66" w14:textId="77777777" w:rsidR="00216718" w:rsidRPr="00216718" w:rsidRDefault="00216718" w:rsidP="00216718">
      <w:pPr>
        <w:numPr>
          <w:ilvl w:val="0"/>
          <w:numId w:val="106"/>
        </w:numPr>
        <w:rPr>
          <w:rFonts w:eastAsia="Times New Roman" w:cs="Times New Roman"/>
          <w:szCs w:val="20"/>
        </w:rPr>
      </w:pPr>
      <w:r>
        <w:t xml:space="preserve">са спазени разпоредбите на </w:t>
      </w:r>
      <w:r>
        <w:rPr>
          <w:b/>
          <w:szCs w:val="20"/>
        </w:rPr>
        <w:t>Директива 2006/43/EО</w:t>
      </w:r>
      <w:r>
        <w:rPr>
          <w:rFonts w:cs="Times New Roman"/>
          <w:szCs w:val="20"/>
          <w:vertAlign w:val="superscript"/>
        </w:rPr>
        <w:footnoteReference w:id="37"/>
      </w:r>
      <w:r>
        <w:t xml:space="preserve"> (или подобни стандарти).</w:t>
      </w:r>
    </w:p>
    <w:p w14:paraId="28331AD7" w14:textId="77777777" w:rsidR="00216718" w:rsidRPr="00216718" w:rsidRDefault="00216718" w:rsidP="00216718">
      <w:pPr>
        <w:autoSpaceDE w:val="0"/>
        <w:autoSpaceDN w:val="0"/>
        <w:adjustRightInd w:val="0"/>
        <w:rPr>
          <w:rFonts w:eastAsia="Calibri" w:cs="Times New Roman"/>
          <w:szCs w:val="20"/>
        </w:rPr>
      </w:pPr>
      <w:r>
        <w:t>Макар в ISRS 4400 да се посочва, че не се изисква независимост за ангажираните, които извършват договорени процедури, тя е едно от качествата, които гарантират безпристрастен подход и следователно се изисква от одиторите при издаване на СФО. Следователно е задължително съответствие с изискванията на кодекса на СМЕСС.</w:t>
      </w:r>
    </w:p>
    <w:p w14:paraId="4B997C74" w14:textId="77777777" w:rsidR="00216718" w:rsidRPr="00216718" w:rsidRDefault="00216718" w:rsidP="00216718">
      <w:pPr>
        <w:rPr>
          <w:rFonts w:eastAsia="Times New Roman" w:cs="Times New Roman"/>
          <w:szCs w:val="20"/>
        </w:rPr>
      </w:pPr>
      <w:r>
        <w:t xml:space="preserve">Публичните органи могат да изберат независим външен одитор или независим държавен служител. В този случай независимостта обикновено се определя като независимост „реално и привидно“ </w:t>
      </w:r>
      <w:r>
        <w:rPr>
          <w:i/>
          <w:iCs/>
        </w:rPr>
        <w:t>(например, че служителят не участва в изготвянето на финансовите отчети)</w:t>
      </w:r>
      <w:r>
        <w:t xml:space="preserve">. Всеки публичен орган трябва да назначи държавния служител и да гарантира неговата независимост. </w:t>
      </w:r>
      <w:r>
        <w:cr/>
      </w:r>
      <w:r>
        <w:br/>
        <w:t xml:space="preserve"> Сертификатът следва да съдържа позоваване на това назначаване.</w:t>
      </w:r>
    </w:p>
    <w:p w14:paraId="5A483984" w14:textId="77777777" w:rsidR="00216718" w:rsidRPr="00216718" w:rsidRDefault="00216718" w:rsidP="00216718">
      <w:pPr>
        <w:rPr>
          <w:rFonts w:eastAsia="Times New Roman" w:cs="Times New Roman"/>
          <w:szCs w:val="20"/>
        </w:rPr>
      </w:pPr>
      <w:r>
        <w:t xml:space="preserve">Самите </w:t>
      </w:r>
      <w:r>
        <w:rPr>
          <w:b/>
          <w:bCs/>
        </w:rPr>
        <w:t>разходи по СФО</w:t>
      </w:r>
      <w:r>
        <w:t xml:space="preserve"> могат да бъдат начислени на проекта и следователно изборът на одитор следва да отговаря на минималните критерии за най-добро съотношение между качество и цена и за отсъствие на конфликт на интереси, както е посочено в споразумението за отпускане на безвъзмездни средства.  </w:t>
      </w:r>
      <w:r>
        <w:cr/>
      </w:r>
      <w:r>
        <w:br/>
        <w:t xml:space="preserve"> Ако участникът използва своето обичайно одиторско дружество, се приема, че той вече има споразумение, което е в съответствие с тези разпоредби.</w:t>
      </w:r>
    </w:p>
    <w:p w14:paraId="1FD372D1" w14:textId="77777777" w:rsidR="00216718" w:rsidRPr="00216718" w:rsidRDefault="00216718" w:rsidP="00216718">
      <w:pPr>
        <w:ind w:left="426" w:hanging="426"/>
        <w:outlineLvl w:val="0"/>
        <w:rPr>
          <w:rFonts w:cs="Times New Roman"/>
          <w:b/>
          <w:szCs w:val="20"/>
        </w:rPr>
      </w:pPr>
      <w:bookmarkStart w:id="930" w:name="_Toc95925067"/>
      <w:r>
        <w:rPr>
          <w:b/>
          <w:szCs w:val="20"/>
        </w:rPr>
        <w:t>4. Процедури за спазване и очаквани резултати</w:t>
      </w:r>
      <w:bookmarkEnd w:id="930"/>
    </w:p>
    <w:p w14:paraId="0DE88B0E" w14:textId="77777777" w:rsidR="00216718" w:rsidRPr="00216718" w:rsidRDefault="00216718" w:rsidP="00216718">
      <w:pPr>
        <w:rPr>
          <w:rFonts w:eastAsia="Times New Roman" w:cs="Times New Roman"/>
          <w:szCs w:val="20"/>
        </w:rPr>
      </w:pPr>
      <w:r>
        <w:lastRenderedPageBreak/>
        <w:t xml:space="preserve">Проверките трябва да се извършат въз основа на проучване и анализ, (пре)изчисление, съпоставка, други проверки на точността, наблюдение, проверка на записи и документация, както и чрез интервюиране на участника (и работещите за него лица). </w:t>
      </w:r>
    </w:p>
    <w:p w14:paraId="2D2B445F" w14:textId="77777777" w:rsidR="00216718" w:rsidRPr="00216718" w:rsidRDefault="00216718" w:rsidP="00216718">
      <w:pPr>
        <w:rPr>
          <w:rFonts w:eastAsia="Times New Roman" w:cs="Times New Roman"/>
          <w:szCs w:val="20"/>
        </w:rPr>
      </w:pPr>
      <w:r>
        <w:t>Проверката на операциите въз основа на извадки следва да се основава на доверителния коефициент след проверки на основните системи.  Методът за формиране на извадки (и размерът на извадката) следва да бъдат аргументирани.</w:t>
      </w:r>
    </w:p>
    <w:p w14:paraId="6FEAB166" w14:textId="77777777" w:rsidR="00216718" w:rsidRPr="00216718" w:rsidRDefault="00216718" w:rsidP="00216718">
      <w:pPr>
        <w:rPr>
          <w:rFonts w:cs="Times New Roman"/>
          <w:szCs w:val="20"/>
        </w:rPr>
      </w:pPr>
      <w:r>
        <w:t xml:space="preserve">Може също да се направи общо позоваване на подобни процедури в рамките на </w:t>
      </w:r>
      <w:hyperlink r:id="rId34" w:history="1">
        <w:r>
          <w:rPr>
            <w:color w:val="0088CC"/>
            <w:szCs w:val="20"/>
            <w:u w:val="single"/>
          </w:rPr>
          <w:t>индикативната одитна програма за безвъзмездните средства от ЕС</w:t>
        </w:r>
      </w:hyperlink>
      <w:r>
        <w:t>.</w:t>
      </w:r>
    </w:p>
    <w:p w14:paraId="19A47B6F" w14:textId="77777777" w:rsidR="00216718" w:rsidRPr="00216718" w:rsidRDefault="00216718" w:rsidP="00216718">
      <w:pPr>
        <w:outlineLvl w:val="1"/>
        <w:rPr>
          <w:rFonts w:cs="Times New Roman"/>
          <w:b/>
          <w:szCs w:val="20"/>
        </w:rPr>
      </w:pPr>
      <w:bookmarkStart w:id="931" w:name="_Toc95925068"/>
      <w:r>
        <w:rPr>
          <w:b/>
          <w:szCs w:val="20"/>
        </w:rPr>
        <w:t>4.1 Проверки на основните системи</w:t>
      </w:r>
      <w:bookmarkEnd w:id="931"/>
    </w:p>
    <w:p w14:paraId="56202205" w14:textId="77777777" w:rsidR="00216718" w:rsidRPr="00216718" w:rsidRDefault="00216718" w:rsidP="00216718">
      <w:pPr>
        <w:tabs>
          <w:tab w:val="num" w:pos="709"/>
        </w:tabs>
        <w:rPr>
          <w:rFonts w:eastAsia="Times New Roman" w:cs="Times New Roman"/>
          <w:szCs w:val="20"/>
        </w:rPr>
      </w:pPr>
      <w:r>
        <w:t>Одиторът трябва да получи основни познания за счетоводната система на бенефициера, системата за отчитане на времето и обичайните практики.</w:t>
      </w:r>
    </w:p>
    <w:p w14:paraId="29C60BB6" w14:textId="77777777" w:rsidR="00216718" w:rsidRPr="00216718" w:rsidRDefault="00216718" w:rsidP="00216718">
      <w:pPr>
        <w:tabs>
          <w:tab w:val="num" w:pos="709"/>
        </w:tabs>
        <w:rPr>
          <w:rFonts w:eastAsia="Times New Roman" w:cs="Times New Roman"/>
          <w:szCs w:val="20"/>
        </w:rPr>
      </w:pPr>
      <w:r>
        <w:t>За тази цел трябва да се проучи следната документация:</w:t>
      </w:r>
    </w:p>
    <w:p w14:paraId="2DBBFC31" w14:textId="77777777" w:rsidR="00216718" w:rsidRPr="00216718" w:rsidRDefault="00216718" w:rsidP="00216718">
      <w:pPr>
        <w:numPr>
          <w:ilvl w:val="0"/>
          <w:numId w:val="108"/>
        </w:numPr>
        <w:ind w:left="714" w:hanging="357"/>
        <w:rPr>
          <w:rFonts w:eastAsia="Times New Roman" w:cs="Times New Roman"/>
          <w:szCs w:val="20"/>
        </w:rPr>
      </w:pPr>
      <w:r>
        <w:t>Споразумение за отпускане на безвъзмездни средства (с измененията)</w:t>
      </w:r>
    </w:p>
    <w:p w14:paraId="1FC6AAAF" w14:textId="77777777" w:rsidR="00216718" w:rsidRPr="00216718" w:rsidRDefault="00216718" w:rsidP="00216718">
      <w:pPr>
        <w:numPr>
          <w:ilvl w:val="0"/>
          <w:numId w:val="108"/>
        </w:numPr>
        <w:ind w:left="714" w:hanging="357"/>
        <w:rPr>
          <w:rFonts w:eastAsia="Times New Roman" w:cs="Times New Roman"/>
          <w:szCs w:val="20"/>
        </w:rPr>
      </w:pPr>
      <w:r>
        <w:t>периодични отчети и финансови отчети</w:t>
      </w:r>
    </w:p>
    <w:p w14:paraId="238ECEF9" w14:textId="77777777" w:rsidR="00216718" w:rsidRPr="00216718" w:rsidRDefault="00216718" w:rsidP="00216718">
      <w:pPr>
        <w:numPr>
          <w:ilvl w:val="0"/>
          <w:numId w:val="108"/>
        </w:numPr>
        <w:ind w:left="714" w:hanging="357"/>
        <w:rPr>
          <w:rFonts w:eastAsia="Times New Roman" w:cs="Times New Roman"/>
          <w:szCs w:val="20"/>
        </w:rPr>
      </w:pPr>
      <w:r>
        <w:t>вътрешни насоки и процедури относно обичайните счетоводни практики, практиките за закупуване, практиките за пътуване и правилата за предоставяне на финансова подкрепа на трети страни (ако има такива).</w:t>
      </w:r>
    </w:p>
    <w:p w14:paraId="38A6E04D" w14:textId="77777777" w:rsidR="00216718" w:rsidRPr="00216718" w:rsidRDefault="00216718" w:rsidP="00216718">
      <w:pPr>
        <w:rPr>
          <w:rFonts w:eastAsia="Times New Roman" w:cs="Times New Roman"/>
          <w:szCs w:val="20"/>
        </w:rPr>
      </w:pPr>
      <w:r>
        <w:t>Одиторът трябва да се увери, че:</w:t>
      </w:r>
    </w:p>
    <w:p w14:paraId="74F7CC80" w14:textId="77777777" w:rsidR="00216718" w:rsidRPr="00216718" w:rsidRDefault="00216718" w:rsidP="00216718">
      <w:pPr>
        <w:numPr>
          <w:ilvl w:val="0"/>
          <w:numId w:val="109"/>
        </w:numPr>
        <w:ind w:left="714" w:hanging="357"/>
        <w:rPr>
          <w:rFonts w:eastAsia="Times New Roman" w:cs="Times New Roman"/>
          <w:szCs w:val="20"/>
        </w:rPr>
      </w:pPr>
      <w:r>
        <w:t>счетоводната система е надеждна, точна, актуална и изчерпателна;</w:t>
      </w:r>
    </w:p>
    <w:p w14:paraId="616D453B" w14:textId="77777777" w:rsidR="00216718" w:rsidRPr="00216718" w:rsidRDefault="00216718" w:rsidP="00216718">
      <w:pPr>
        <w:numPr>
          <w:ilvl w:val="0"/>
          <w:numId w:val="109"/>
        </w:numPr>
        <w:ind w:left="714" w:hanging="357"/>
        <w:rPr>
          <w:rFonts w:eastAsia="Times New Roman" w:cs="Times New Roman"/>
          <w:szCs w:val="20"/>
        </w:rPr>
      </w:pPr>
      <w:r>
        <w:t>участникът разполага със система за двустранно счетоводство;</w:t>
      </w:r>
    </w:p>
    <w:p w14:paraId="3805D6A7" w14:textId="77777777" w:rsidR="00216718" w:rsidRPr="00216718" w:rsidRDefault="00216718" w:rsidP="00216718">
      <w:pPr>
        <w:numPr>
          <w:ilvl w:val="0"/>
          <w:numId w:val="109"/>
        </w:numPr>
        <w:ind w:left="714" w:hanging="357"/>
        <w:rPr>
          <w:rFonts w:eastAsia="Times New Roman" w:cs="Times New Roman"/>
          <w:szCs w:val="20"/>
        </w:rPr>
      </w:pPr>
      <w:r>
        <w:t xml:space="preserve">счетоводната система (аналитична или друга подходяща вътрешна система) позволява разпознаване на разходите и приходите, свързани с проекта; </w:t>
      </w:r>
    </w:p>
    <w:p w14:paraId="5308A5ED" w14:textId="77777777" w:rsidR="00216718" w:rsidRPr="00216718" w:rsidRDefault="00216718" w:rsidP="00216718">
      <w:pPr>
        <w:numPr>
          <w:ilvl w:val="0"/>
          <w:numId w:val="109"/>
        </w:numPr>
        <w:ind w:left="714" w:hanging="357"/>
        <w:rPr>
          <w:rFonts w:eastAsia="Times New Roman" w:cs="Times New Roman"/>
          <w:szCs w:val="20"/>
        </w:rPr>
      </w:pPr>
      <w:r>
        <w:t>разходите/приходите по споразумението за отпускане на безвъзмездни средства са систематично осчетоводявани с помощта на система за номериране, която ги отличава от разходите/приходите за други проекти;</w:t>
      </w:r>
    </w:p>
    <w:p w14:paraId="0DD24619" w14:textId="77777777" w:rsidR="00216718" w:rsidRPr="00216718" w:rsidRDefault="00216718" w:rsidP="00216718">
      <w:pPr>
        <w:numPr>
          <w:ilvl w:val="0"/>
          <w:numId w:val="109"/>
        </w:numPr>
        <w:ind w:left="714" w:hanging="357"/>
        <w:rPr>
          <w:rFonts w:eastAsia="Times New Roman" w:cs="Times New Roman"/>
          <w:szCs w:val="20"/>
        </w:rPr>
      </w:pPr>
      <w:r>
        <w:t>системата за отчитане на времето е надеждна (декларации за присъствие или друга система за отчитане на времето);</w:t>
      </w:r>
    </w:p>
    <w:p w14:paraId="56D7EE1E" w14:textId="77777777" w:rsidR="00216718" w:rsidRPr="00216718" w:rsidRDefault="00216718" w:rsidP="00216718">
      <w:pPr>
        <w:numPr>
          <w:ilvl w:val="0"/>
          <w:numId w:val="109"/>
        </w:numPr>
        <w:ind w:left="714" w:hanging="357"/>
        <w:rPr>
          <w:rFonts w:eastAsia="Times New Roman" w:cs="Times New Roman"/>
          <w:szCs w:val="20"/>
        </w:rPr>
      </w:pPr>
      <w:r>
        <w:t>обичайните практики са съвместими с изискванията на споразумението за отпускане на безвъзмездни средства и са в съответствие с националното законодателство.</w:t>
      </w:r>
    </w:p>
    <w:p w14:paraId="4BE2421D" w14:textId="77777777" w:rsidR="00216718" w:rsidRPr="00216718" w:rsidRDefault="00216718" w:rsidP="00216718">
      <w:pPr>
        <w:outlineLvl w:val="1"/>
        <w:rPr>
          <w:rFonts w:cs="Times New Roman"/>
          <w:b/>
          <w:szCs w:val="20"/>
        </w:rPr>
      </w:pPr>
      <w:bookmarkStart w:id="932" w:name="_Toc95925069"/>
      <w:r>
        <w:rPr>
          <w:b/>
          <w:szCs w:val="20"/>
        </w:rPr>
        <w:t>4.2 Проверка на допустимостта на декларираните разходи</w:t>
      </w:r>
      <w:bookmarkEnd w:id="932"/>
    </w:p>
    <w:p w14:paraId="420F2555" w14:textId="77777777" w:rsidR="00216718" w:rsidRPr="00216718" w:rsidRDefault="00216718" w:rsidP="00216718">
      <w:pPr>
        <w:outlineLvl w:val="2"/>
        <w:rPr>
          <w:rFonts w:eastAsia="Times New Roman" w:cs="Times New Roman"/>
          <w:b/>
          <w:i/>
          <w:szCs w:val="20"/>
        </w:rPr>
      </w:pPr>
      <w:bookmarkStart w:id="933" w:name="_Toc95925070"/>
      <w:r>
        <w:rPr>
          <w:b/>
          <w:i/>
          <w:szCs w:val="20"/>
        </w:rPr>
        <w:t>Тестване на операциите въз основа на извадки</w:t>
      </w:r>
      <w:bookmarkEnd w:id="933"/>
    </w:p>
    <w:p w14:paraId="5A17FCB4" w14:textId="77777777" w:rsidR="00216718" w:rsidRPr="00216718" w:rsidRDefault="00216718" w:rsidP="00216718">
      <w:pPr>
        <w:rPr>
          <w:rFonts w:eastAsia="Times New Roman" w:cs="Times New Roman"/>
          <w:szCs w:val="20"/>
        </w:rPr>
      </w:pPr>
      <w:r>
        <w:t>Одиторът трябва да оцени допустимостта на декларираните разходи чрез тестване на операциите въз основа на извадка.</w:t>
      </w:r>
    </w:p>
    <w:p w14:paraId="65466286" w14:textId="77777777" w:rsidR="00216718" w:rsidRPr="00216718" w:rsidRDefault="00216718" w:rsidP="00216718">
      <w:pPr>
        <w:rPr>
          <w:rFonts w:eastAsia="Times New Roman" w:cs="Times New Roman"/>
          <w:szCs w:val="20"/>
        </w:rPr>
      </w:pPr>
      <w:r>
        <w:lastRenderedPageBreak/>
        <w:t xml:space="preserve">За тази цел трябва да се проучи следната </w:t>
      </w:r>
      <w:r>
        <w:rPr>
          <w:b/>
          <w:bCs/>
        </w:rPr>
        <w:t>документация</w:t>
      </w:r>
      <w:r>
        <w:t>:</w:t>
      </w:r>
    </w:p>
    <w:p w14:paraId="583EA66A" w14:textId="77777777" w:rsidR="00216718" w:rsidRPr="00216718" w:rsidRDefault="00216718" w:rsidP="00216718">
      <w:pPr>
        <w:numPr>
          <w:ilvl w:val="0"/>
          <w:numId w:val="108"/>
        </w:numPr>
        <w:tabs>
          <w:tab w:val="num" w:pos="360"/>
        </w:tabs>
        <w:ind w:left="714" w:hanging="357"/>
        <w:rPr>
          <w:rFonts w:eastAsia="Times New Roman" w:cs="Times New Roman"/>
          <w:szCs w:val="20"/>
        </w:rPr>
      </w:pPr>
      <w:r>
        <w:t>за разходите за персонал:</w:t>
      </w:r>
    </w:p>
    <w:p w14:paraId="76831462" w14:textId="77777777" w:rsidR="00216718" w:rsidRPr="00216718" w:rsidRDefault="00216718" w:rsidP="00216718">
      <w:pPr>
        <w:numPr>
          <w:ilvl w:val="1"/>
          <w:numId w:val="110"/>
        </w:numPr>
        <w:tabs>
          <w:tab w:val="num" w:pos="1440"/>
        </w:tabs>
        <w:ind w:left="1418"/>
        <w:rPr>
          <w:rFonts w:eastAsia="Times New Roman" w:cs="Times New Roman"/>
          <w:i/>
          <w:szCs w:val="20"/>
        </w:rPr>
      </w:pPr>
      <w:r>
        <w:t>фишове за заплати;</w:t>
      </w:r>
    </w:p>
    <w:p w14:paraId="1DB1F8AD" w14:textId="77777777" w:rsidR="00216718" w:rsidRPr="00216718" w:rsidRDefault="00216718" w:rsidP="00216718">
      <w:pPr>
        <w:numPr>
          <w:ilvl w:val="1"/>
          <w:numId w:val="110"/>
        </w:numPr>
        <w:tabs>
          <w:tab w:val="num" w:pos="1440"/>
        </w:tabs>
        <w:ind w:left="1418"/>
        <w:rPr>
          <w:rFonts w:eastAsia="Times New Roman" w:cs="Times New Roman"/>
          <w:i/>
          <w:szCs w:val="20"/>
        </w:rPr>
      </w:pPr>
      <w:r>
        <w:t>присъствени записи/присъствени листове;</w:t>
      </w:r>
    </w:p>
    <w:p w14:paraId="4F9DCF1A" w14:textId="77777777" w:rsidR="00216718" w:rsidRPr="00216718" w:rsidRDefault="00216718" w:rsidP="00216718">
      <w:pPr>
        <w:numPr>
          <w:ilvl w:val="1"/>
          <w:numId w:val="110"/>
        </w:numPr>
        <w:tabs>
          <w:tab w:val="num" w:pos="1440"/>
        </w:tabs>
        <w:ind w:left="1418"/>
        <w:rPr>
          <w:rFonts w:eastAsia="Times New Roman" w:cs="Times New Roman"/>
          <w:i/>
          <w:szCs w:val="20"/>
        </w:rPr>
      </w:pPr>
      <w:r>
        <w:t>трудови договори;</w:t>
      </w:r>
    </w:p>
    <w:p w14:paraId="741EF282" w14:textId="77777777" w:rsidR="00216718" w:rsidRPr="00216718" w:rsidRDefault="00216718" w:rsidP="00216718">
      <w:pPr>
        <w:numPr>
          <w:ilvl w:val="1"/>
          <w:numId w:val="110"/>
        </w:numPr>
        <w:ind w:left="1418"/>
        <w:rPr>
          <w:rFonts w:eastAsia="Times New Roman" w:cs="Times New Roman"/>
          <w:szCs w:val="20"/>
        </w:rPr>
      </w:pPr>
      <w:r>
        <w:t>доказателства за плащания и съответни счетоводни документи</w:t>
      </w:r>
      <w:r>
        <w:rPr>
          <w:i/>
          <w:iCs/>
        </w:rPr>
        <w:t xml:space="preserve"> (сметки на персонала, банкови извлечения, фактури, разписки и др.)</w:t>
      </w:r>
    </w:p>
    <w:p w14:paraId="624A4BCD" w14:textId="77777777" w:rsidR="00216718" w:rsidRPr="00216718" w:rsidRDefault="00216718" w:rsidP="00216718">
      <w:pPr>
        <w:numPr>
          <w:ilvl w:val="1"/>
          <w:numId w:val="110"/>
        </w:numPr>
        <w:ind w:left="1417" w:hanging="357"/>
        <w:rPr>
          <w:rFonts w:eastAsia="Times New Roman" w:cs="Times New Roman"/>
          <w:i/>
          <w:szCs w:val="20"/>
        </w:rPr>
      </w:pPr>
      <w:r>
        <w:t xml:space="preserve">други документи </w:t>
      </w:r>
      <w:r>
        <w:rPr>
          <w:i/>
          <w:iCs/>
        </w:rPr>
        <w:t>(законодателство в областта на социалната сигурност и др.)</w:t>
      </w:r>
    </w:p>
    <w:p w14:paraId="574AEAF0" w14:textId="77777777" w:rsidR="00216718" w:rsidRPr="00216718" w:rsidRDefault="00216718" w:rsidP="00216718">
      <w:pPr>
        <w:numPr>
          <w:ilvl w:val="0"/>
          <w:numId w:val="108"/>
        </w:numPr>
        <w:ind w:left="714" w:hanging="357"/>
        <w:rPr>
          <w:rFonts w:eastAsia="Times New Roman" w:cs="Times New Roman"/>
          <w:szCs w:val="20"/>
        </w:rPr>
      </w:pPr>
      <w:r>
        <w:t>по отношение на възлагането на подизпълнители:</w:t>
      </w:r>
    </w:p>
    <w:p w14:paraId="7023CF81" w14:textId="77777777" w:rsidR="00216718" w:rsidRPr="00216718" w:rsidRDefault="00216718" w:rsidP="00216718">
      <w:pPr>
        <w:numPr>
          <w:ilvl w:val="1"/>
          <w:numId w:val="110"/>
        </w:numPr>
        <w:tabs>
          <w:tab w:val="num" w:pos="1440"/>
        </w:tabs>
        <w:ind w:left="1418"/>
        <w:rPr>
          <w:rFonts w:eastAsia="Times New Roman" w:cs="Times New Roman"/>
          <w:szCs w:val="20"/>
        </w:rPr>
      </w:pPr>
      <w:r>
        <w:t>покани за участие в търг (ако има такива);</w:t>
      </w:r>
    </w:p>
    <w:p w14:paraId="28DC6B4B" w14:textId="77777777" w:rsidR="00216718" w:rsidRPr="00216718" w:rsidRDefault="00216718" w:rsidP="00216718">
      <w:pPr>
        <w:numPr>
          <w:ilvl w:val="1"/>
          <w:numId w:val="110"/>
        </w:numPr>
        <w:tabs>
          <w:tab w:val="num" w:pos="1440"/>
        </w:tabs>
        <w:ind w:left="1418"/>
        <w:rPr>
          <w:rFonts w:eastAsia="Times New Roman" w:cs="Times New Roman"/>
          <w:szCs w:val="20"/>
        </w:rPr>
      </w:pPr>
      <w:r>
        <w:t>получени оферти (ако има такива);</w:t>
      </w:r>
    </w:p>
    <w:p w14:paraId="2B0CF796" w14:textId="77777777" w:rsidR="00216718" w:rsidRPr="00216718" w:rsidRDefault="00216718" w:rsidP="00216718">
      <w:pPr>
        <w:numPr>
          <w:ilvl w:val="1"/>
          <w:numId w:val="110"/>
        </w:numPr>
        <w:tabs>
          <w:tab w:val="num" w:pos="1440"/>
        </w:tabs>
        <w:ind w:left="1418"/>
        <w:rPr>
          <w:rFonts w:eastAsia="Times New Roman" w:cs="Times New Roman"/>
          <w:szCs w:val="20"/>
        </w:rPr>
      </w:pPr>
      <w:r>
        <w:t>обосновка за избора на подизпълнител;</w:t>
      </w:r>
    </w:p>
    <w:p w14:paraId="2B82F914" w14:textId="77777777" w:rsidR="00216718" w:rsidRPr="00216718" w:rsidRDefault="00216718" w:rsidP="00216718">
      <w:pPr>
        <w:numPr>
          <w:ilvl w:val="1"/>
          <w:numId w:val="110"/>
        </w:numPr>
        <w:tabs>
          <w:tab w:val="num" w:pos="1440"/>
        </w:tabs>
        <w:ind w:left="1418"/>
        <w:rPr>
          <w:rFonts w:eastAsia="Times New Roman" w:cs="Times New Roman"/>
          <w:szCs w:val="20"/>
        </w:rPr>
      </w:pPr>
      <w:r>
        <w:t>договорите с подизпълнителите;</w:t>
      </w:r>
    </w:p>
    <w:p w14:paraId="5A9A47F6" w14:textId="77777777" w:rsidR="00216718" w:rsidRPr="00216718" w:rsidRDefault="00216718" w:rsidP="00216718">
      <w:pPr>
        <w:numPr>
          <w:ilvl w:val="1"/>
          <w:numId w:val="110"/>
        </w:numPr>
        <w:tabs>
          <w:tab w:val="num" w:pos="1440"/>
        </w:tabs>
        <w:ind w:left="1418"/>
        <w:rPr>
          <w:rFonts w:eastAsia="Times New Roman" w:cs="Times New Roman"/>
          <w:szCs w:val="20"/>
        </w:rPr>
      </w:pPr>
      <w:r>
        <w:t>фактури;</w:t>
      </w:r>
    </w:p>
    <w:p w14:paraId="6BC77E15" w14:textId="77777777" w:rsidR="00216718" w:rsidRPr="00216718" w:rsidRDefault="00216718" w:rsidP="00216718">
      <w:pPr>
        <w:numPr>
          <w:ilvl w:val="1"/>
          <w:numId w:val="110"/>
        </w:numPr>
        <w:tabs>
          <w:tab w:val="num" w:pos="1440"/>
        </w:tabs>
        <w:ind w:left="1418"/>
        <w:rPr>
          <w:rFonts w:eastAsia="Times New Roman" w:cs="Times New Roman"/>
          <w:szCs w:val="20"/>
        </w:rPr>
      </w:pPr>
      <w:r>
        <w:t>доказателства за плащания и съответни счетоводни документи;</w:t>
      </w:r>
    </w:p>
    <w:p w14:paraId="5F3CE409" w14:textId="77777777" w:rsidR="00216718" w:rsidRPr="00216718" w:rsidRDefault="00216718" w:rsidP="00216718">
      <w:pPr>
        <w:numPr>
          <w:ilvl w:val="1"/>
          <w:numId w:val="110"/>
        </w:numPr>
        <w:tabs>
          <w:tab w:val="num" w:pos="1440"/>
        </w:tabs>
        <w:ind w:left="1417" w:hanging="357"/>
        <w:rPr>
          <w:rFonts w:eastAsia="Times New Roman" w:cs="Times New Roman"/>
          <w:szCs w:val="20"/>
        </w:rPr>
      </w:pPr>
      <w:r>
        <w:t xml:space="preserve">други документи </w:t>
      </w:r>
      <w:r>
        <w:rPr>
          <w:i/>
          <w:iCs/>
        </w:rPr>
        <w:t>(национални правила за обществените поръчки, ако е приложимо, директиви на ЕС и др.)</w:t>
      </w:r>
      <w:r>
        <w:t>;</w:t>
      </w:r>
    </w:p>
    <w:p w14:paraId="3E052993" w14:textId="77777777" w:rsidR="00216718" w:rsidRPr="00216718" w:rsidRDefault="00216718" w:rsidP="00216718">
      <w:pPr>
        <w:numPr>
          <w:ilvl w:val="0"/>
          <w:numId w:val="108"/>
        </w:numPr>
        <w:tabs>
          <w:tab w:val="num" w:pos="360"/>
        </w:tabs>
        <w:ind w:left="714" w:hanging="357"/>
        <w:rPr>
          <w:rFonts w:eastAsia="Times New Roman" w:cs="Times New Roman"/>
          <w:szCs w:val="20"/>
        </w:rPr>
      </w:pPr>
      <w:r>
        <w:t>по отношение на пътните и дневните разходи:</w:t>
      </w:r>
    </w:p>
    <w:p w14:paraId="6718D35A" w14:textId="77777777" w:rsidR="00216718" w:rsidRPr="00216718" w:rsidRDefault="00216718" w:rsidP="00216718">
      <w:pPr>
        <w:numPr>
          <w:ilvl w:val="1"/>
          <w:numId w:val="110"/>
        </w:numPr>
        <w:tabs>
          <w:tab w:val="num" w:pos="1440"/>
        </w:tabs>
        <w:ind w:left="1418"/>
        <w:rPr>
          <w:rFonts w:eastAsia="Times New Roman" w:cs="Times New Roman"/>
          <w:i/>
          <w:szCs w:val="20"/>
        </w:rPr>
      </w:pPr>
      <w:r>
        <w:t>фактури за превоз и билети (— само за действителните разходи);</w:t>
      </w:r>
    </w:p>
    <w:p w14:paraId="3E711390" w14:textId="77777777" w:rsidR="00216718" w:rsidRPr="00216718" w:rsidRDefault="00216718" w:rsidP="00216718">
      <w:pPr>
        <w:numPr>
          <w:ilvl w:val="1"/>
          <w:numId w:val="110"/>
        </w:numPr>
        <w:tabs>
          <w:tab w:val="num" w:pos="1440"/>
        </w:tabs>
        <w:ind w:left="1418"/>
        <w:rPr>
          <w:rFonts w:eastAsia="Times New Roman" w:cs="Times New Roman"/>
          <w:szCs w:val="20"/>
        </w:rPr>
      </w:pPr>
      <w:r>
        <w:t xml:space="preserve">доказателства за плащания и съответни счетоводни документи (— само за действителните разходи); </w:t>
      </w:r>
    </w:p>
    <w:p w14:paraId="13085C6C" w14:textId="77777777" w:rsidR="00216718" w:rsidRPr="00216718" w:rsidRDefault="00216718" w:rsidP="00216718">
      <w:pPr>
        <w:numPr>
          <w:ilvl w:val="1"/>
          <w:numId w:val="110"/>
        </w:numPr>
        <w:tabs>
          <w:tab w:val="num" w:pos="1440"/>
        </w:tabs>
        <w:ind w:left="1417" w:hanging="357"/>
        <w:rPr>
          <w:rFonts w:eastAsia="Times New Roman" w:cs="Times New Roman"/>
          <w:szCs w:val="20"/>
        </w:rPr>
      </w:pPr>
      <w:r>
        <w:t xml:space="preserve">други документи </w:t>
      </w:r>
      <w:r>
        <w:rPr>
          <w:i/>
          <w:iCs/>
        </w:rPr>
        <w:t>(доказателства за присъствие, като например протоколи от заседания, доклади и др.)</w:t>
      </w:r>
      <w:r>
        <w:t>;</w:t>
      </w:r>
    </w:p>
    <w:p w14:paraId="42CE5E4C" w14:textId="77777777" w:rsidR="00216718" w:rsidRPr="00216718" w:rsidRDefault="00216718" w:rsidP="00216718">
      <w:pPr>
        <w:numPr>
          <w:ilvl w:val="0"/>
          <w:numId w:val="108"/>
        </w:numPr>
        <w:tabs>
          <w:tab w:val="num" w:pos="360"/>
        </w:tabs>
        <w:ind w:left="714" w:hanging="357"/>
        <w:rPr>
          <w:rFonts w:eastAsia="Times New Roman" w:cs="Times New Roman"/>
          <w:szCs w:val="20"/>
        </w:rPr>
      </w:pPr>
      <w:r>
        <w:t>по отношение на разходите за оборудване:</w:t>
      </w:r>
    </w:p>
    <w:p w14:paraId="020452E5" w14:textId="77777777" w:rsidR="00216718" w:rsidRPr="00216718" w:rsidRDefault="00216718" w:rsidP="00216718">
      <w:pPr>
        <w:numPr>
          <w:ilvl w:val="1"/>
          <w:numId w:val="110"/>
        </w:numPr>
        <w:tabs>
          <w:tab w:val="num" w:pos="1440"/>
        </w:tabs>
        <w:ind w:left="1418"/>
        <w:rPr>
          <w:rFonts w:eastAsia="Times New Roman" w:cs="Times New Roman"/>
          <w:szCs w:val="20"/>
        </w:rPr>
      </w:pPr>
      <w:r>
        <w:t>фактури;</w:t>
      </w:r>
    </w:p>
    <w:p w14:paraId="7AECC107" w14:textId="77777777" w:rsidR="00216718" w:rsidRPr="00216718" w:rsidRDefault="00216718" w:rsidP="00216718">
      <w:pPr>
        <w:numPr>
          <w:ilvl w:val="1"/>
          <w:numId w:val="110"/>
        </w:numPr>
        <w:tabs>
          <w:tab w:val="num" w:pos="1440"/>
        </w:tabs>
        <w:ind w:left="1418"/>
        <w:rPr>
          <w:rFonts w:eastAsia="Times New Roman" w:cs="Times New Roman"/>
          <w:szCs w:val="20"/>
        </w:rPr>
      </w:pPr>
      <w:r>
        <w:t>разписки за доставка/сертификати за първо използване;</w:t>
      </w:r>
    </w:p>
    <w:p w14:paraId="67B61F55" w14:textId="77777777" w:rsidR="00216718" w:rsidRPr="00216718" w:rsidRDefault="00216718" w:rsidP="00216718">
      <w:pPr>
        <w:numPr>
          <w:ilvl w:val="1"/>
          <w:numId w:val="110"/>
        </w:numPr>
        <w:tabs>
          <w:tab w:val="num" w:pos="1440"/>
        </w:tabs>
        <w:ind w:left="1418"/>
        <w:rPr>
          <w:rFonts w:eastAsia="Times New Roman" w:cs="Times New Roman"/>
          <w:szCs w:val="20"/>
        </w:rPr>
      </w:pPr>
      <w:r>
        <w:t>доказателства за плащания и съответни счетоводни документи;</w:t>
      </w:r>
    </w:p>
    <w:p w14:paraId="50DCDF1D" w14:textId="77777777" w:rsidR="00216718" w:rsidRPr="00216718" w:rsidRDefault="00216718" w:rsidP="00216718">
      <w:pPr>
        <w:numPr>
          <w:ilvl w:val="1"/>
          <w:numId w:val="110"/>
        </w:numPr>
        <w:tabs>
          <w:tab w:val="num" w:pos="1440"/>
        </w:tabs>
        <w:ind w:left="1417" w:hanging="357"/>
        <w:rPr>
          <w:rFonts w:eastAsia="Times New Roman" w:cs="Times New Roman"/>
          <w:szCs w:val="20"/>
        </w:rPr>
      </w:pPr>
      <w:r>
        <w:t>метод на изчисляване на амортизациите;</w:t>
      </w:r>
    </w:p>
    <w:p w14:paraId="44683034" w14:textId="77777777" w:rsidR="00216718" w:rsidRPr="00216718" w:rsidRDefault="00216718" w:rsidP="00216718">
      <w:pPr>
        <w:numPr>
          <w:ilvl w:val="0"/>
          <w:numId w:val="108"/>
        </w:numPr>
        <w:tabs>
          <w:tab w:val="num" w:pos="360"/>
        </w:tabs>
        <w:ind w:left="714" w:hanging="357"/>
        <w:rPr>
          <w:rFonts w:eastAsia="Times New Roman" w:cs="Times New Roman"/>
          <w:szCs w:val="20"/>
        </w:rPr>
      </w:pPr>
      <w:r>
        <w:t>по отношение на разходите за други стоки и услуги:</w:t>
      </w:r>
    </w:p>
    <w:p w14:paraId="6C0E1E78" w14:textId="77777777" w:rsidR="00216718" w:rsidRPr="00216718" w:rsidRDefault="00216718" w:rsidP="00216718">
      <w:pPr>
        <w:numPr>
          <w:ilvl w:val="1"/>
          <w:numId w:val="110"/>
        </w:numPr>
        <w:tabs>
          <w:tab w:val="num" w:pos="1440"/>
        </w:tabs>
        <w:ind w:left="1418"/>
        <w:rPr>
          <w:rFonts w:eastAsia="Times New Roman" w:cs="Times New Roman"/>
          <w:szCs w:val="20"/>
        </w:rPr>
      </w:pPr>
      <w:r>
        <w:lastRenderedPageBreak/>
        <w:t>фактури;</w:t>
      </w:r>
    </w:p>
    <w:p w14:paraId="74B3CACA" w14:textId="77777777" w:rsidR="00216718" w:rsidRPr="00216718" w:rsidRDefault="00216718" w:rsidP="00216718">
      <w:pPr>
        <w:numPr>
          <w:ilvl w:val="1"/>
          <w:numId w:val="110"/>
        </w:numPr>
        <w:tabs>
          <w:tab w:val="num" w:pos="1440"/>
        </w:tabs>
        <w:ind w:left="1417" w:hanging="357"/>
        <w:rPr>
          <w:rFonts w:eastAsia="Times New Roman" w:cs="Times New Roman"/>
          <w:szCs w:val="20"/>
        </w:rPr>
      </w:pPr>
      <w:r>
        <w:t>доказателства за плащания и съответни счетоводни документи;</w:t>
      </w:r>
    </w:p>
    <w:p w14:paraId="3077A87C" w14:textId="77777777" w:rsidR="00216718" w:rsidRPr="00216718" w:rsidRDefault="00216718" w:rsidP="00216718">
      <w:pPr>
        <w:numPr>
          <w:ilvl w:val="0"/>
          <w:numId w:val="108"/>
        </w:numPr>
        <w:tabs>
          <w:tab w:val="num" w:pos="360"/>
        </w:tabs>
        <w:ind w:left="714" w:hanging="357"/>
        <w:rPr>
          <w:rFonts w:eastAsia="Times New Roman" w:cs="Times New Roman"/>
          <w:szCs w:val="20"/>
        </w:rPr>
      </w:pPr>
      <w:r>
        <w:t>по отношение на финансовата подкрепа за трети страни:</w:t>
      </w:r>
    </w:p>
    <w:p w14:paraId="798775AF" w14:textId="77777777" w:rsidR="00216718" w:rsidRPr="00216718" w:rsidRDefault="00216718" w:rsidP="00216718">
      <w:pPr>
        <w:numPr>
          <w:ilvl w:val="1"/>
          <w:numId w:val="110"/>
        </w:numPr>
        <w:tabs>
          <w:tab w:val="num" w:pos="1440"/>
        </w:tabs>
        <w:ind w:left="1418"/>
        <w:rPr>
          <w:rFonts w:eastAsia="Times New Roman" w:cs="Times New Roman"/>
          <w:szCs w:val="20"/>
        </w:rPr>
      </w:pPr>
      <w:r>
        <w:t>предложения и проектни досиета за подпомаганите проекти;</w:t>
      </w:r>
    </w:p>
    <w:p w14:paraId="5CBAB634" w14:textId="77777777" w:rsidR="00216718" w:rsidRPr="00216718" w:rsidRDefault="00216718" w:rsidP="00216718">
      <w:pPr>
        <w:numPr>
          <w:ilvl w:val="1"/>
          <w:numId w:val="110"/>
        </w:numPr>
        <w:tabs>
          <w:tab w:val="num" w:pos="1440"/>
        </w:tabs>
        <w:ind w:left="1418"/>
        <w:rPr>
          <w:rFonts w:eastAsia="Times New Roman" w:cs="Times New Roman"/>
          <w:szCs w:val="20"/>
        </w:rPr>
      </w:pPr>
      <w:r>
        <w:t>по отношение на безвъзмездните средства: споразумения/решения за отпускане на безвъзмездни средства с получателите на подкрепата и формуляри за приемане (ако е приложимо);</w:t>
      </w:r>
    </w:p>
    <w:p w14:paraId="01ECDE02" w14:textId="77777777" w:rsidR="00216718" w:rsidRPr="00216718" w:rsidRDefault="00216718" w:rsidP="00216718">
      <w:pPr>
        <w:numPr>
          <w:ilvl w:val="1"/>
          <w:numId w:val="110"/>
        </w:numPr>
        <w:tabs>
          <w:tab w:val="num" w:pos="1440"/>
        </w:tabs>
        <w:ind w:left="1418"/>
        <w:rPr>
          <w:rFonts w:eastAsia="Times New Roman" w:cs="Times New Roman"/>
          <w:szCs w:val="20"/>
        </w:rPr>
      </w:pPr>
      <w:r>
        <w:t>по отношение на наградите: правила на конкурса;</w:t>
      </w:r>
    </w:p>
    <w:p w14:paraId="770DA287" w14:textId="77777777" w:rsidR="00216718" w:rsidRPr="00216718" w:rsidRDefault="00216718" w:rsidP="00216718">
      <w:pPr>
        <w:numPr>
          <w:ilvl w:val="1"/>
          <w:numId w:val="110"/>
        </w:numPr>
        <w:tabs>
          <w:tab w:val="num" w:pos="1440"/>
        </w:tabs>
        <w:ind w:left="1418"/>
        <w:rPr>
          <w:rFonts w:eastAsia="Times New Roman" w:cs="Times New Roman"/>
          <w:szCs w:val="20"/>
        </w:rPr>
      </w:pPr>
      <w:r>
        <w:t>декларации за направени разходи;</w:t>
      </w:r>
    </w:p>
    <w:p w14:paraId="612110E6" w14:textId="77777777" w:rsidR="00216718" w:rsidRPr="00216718" w:rsidRDefault="00216718" w:rsidP="00216718">
      <w:pPr>
        <w:numPr>
          <w:ilvl w:val="1"/>
          <w:numId w:val="110"/>
        </w:numPr>
        <w:tabs>
          <w:tab w:val="num" w:pos="1440"/>
        </w:tabs>
        <w:ind w:left="1417" w:hanging="357"/>
        <w:rPr>
          <w:rFonts w:eastAsia="Times New Roman" w:cs="Times New Roman"/>
          <w:szCs w:val="20"/>
        </w:rPr>
      </w:pPr>
      <w:r>
        <w:t>доказателства за плащания и съответни счетоводни документи;</w:t>
      </w:r>
    </w:p>
    <w:p w14:paraId="4C924210" w14:textId="77777777" w:rsidR="00216718" w:rsidRPr="00216718" w:rsidRDefault="00216718" w:rsidP="00216718">
      <w:pPr>
        <w:numPr>
          <w:ilvl w:val="0"/>
          <w:numId w:val="108"/>
        </w:numPr>
        <w:tabs>
          <w:tab w:val="num" w:pos="360"/>
        </w:tabs>
        <w:ind w:left="714" w:hanging="357"/>
        <w:rPr>
          <w:rFonts w:eastAsia="Times New Roman" w:cs="Times New Roman"/>
          <w:szCs w:val="20"/>
        </w:rPr>
      </w:pPr>
      <w:r>
        <w:t>по отношение на специфични разходни категории: документите, които трябва да бъдат поискани, зависят от категорията разходи.</w:t>
      </w:r>
    </w:p>
    <w:p w14:paraId="21FD38FB" w14:textId="77777777" w:rsidR="00216718" w:rsidRPr="00216718" w:rsidRDefault="00216718" w:rsidP="00216718">
      <w:pPr>
        <w:rPr>
          <w:rFonts w:eastAsia="Times New Roman" w:cs="Times New Roman"/>
          <w:szCs w:val="20"/>
        </w:rPr>
      </w:pPr>
      <w:r>
        <w:t xml:space="preserve">Одиторът трябва да се увери, че декларираните разходи са в съответствие с </w:t>
      </w:r>
      <w:r>
        <w:rPr>
          <w:b/>
          <w:bCs/>
        </w:rPr>
        <w:t>общите правила за допустимост</w:t>
      </w:r>
      <w:r>
        <w:t>, предвидени в споразумението за отпускане на безвъзмездни средства.</w:t>
      </w:r>
    </w:p>
    <w:p w14:paraId="0A7FAE82" w14:textId="77777777" w:rsidR="00216718" w:rsidRPr="00216718" w:rsidRDefault="00216718" w:rsidP="00216718">
      <w:pPr>
        <w:rPr>
          <w:rFonts w:eastAsia="Times New Roman" w:cs="Times New Roman"/>
          <w:szCs w:val="20"/>
        </w:rPr>
      </w:pPr>
      <w:r>
        <w:t>По-специално разходите трябва:</w:t>
      </w:r>
    </w:p>
    <w:p w14:paraId="5F5662FA" w14:textId="77777777" w:rsidR="00216718" w:rsidRPr="00216718" w:rsidRDefault="00216718" w:rsidP="00216718">
      <w:pPr>
        <w:numPr>
          <w:ilvl w:val="0"/>
          <w:numId w:val="108"/>
        </w:numPr>
        <w:tabs>
          <w:tab w:val="clear" w:pos="720"/>
          <w:tab w:val="num" w:pos="360"/>
          <w:tab w:val="num" w:pos="709"/>
        </w:tabs>
        <w:ind w:left="714" w:hanging="357"/>
        <w:rPr>
          <w:rFonts w:eastAsia="Times New Roman" w:cs="Times New Roman"/>
          <w:szCs w:val="20"/>
        </w:rPr>
      </w:pPr>
      <w:r>
        <w:t>да са действително направени;</w:t>
      </w:r>
    </w:p>
    <w:p w14:paraId="1020020A" w14:textId="77777777" w:rsidR="00216718" w:rsidRPr="00216718" w:rsidRDefault="00216718" w:rsidP="00216718">
      <w:pPr>
        <w:numPr>
          <w:ilvl w:val="0"/>
          <w:numId w:val="108"/>
        </w:numPr>
        <w:tabs>
          <w:tab w:val="clear" w:pos="720"/>
          <w:tab w:val="num" w:pos="360"/>
          <w:tab w:val="num" w:pos="709"/>
        </w:tabs>
        <w:ind w:left="714" w:hanging="357"/>
        <w:rPr>
          <w:rFonts w:eastAsia="Times New Roman" w:cs="Times New Roman"/>
          <w:szCs w:val="20"/>
        </w:rPr>
      </w:pPr>
      <w:r>
        <w:t>да са свързани с предмета на споразумението за отпускане на безвъзмездни средства и да са посочени в прогнозния бюджет за бенефициера (т.е. последната версия от приложение 2);</w:t>
      </w:r>
    </w:p>
    <w:p w14:paraId="36FAFEB8" w14:textId="77777777" w:rsidR="00216718" w:rsidRPr="00216718" w:rsidRDefault="00216718" w:rsidP="00216718">
      <w:pPr>
        <w:numPr>
          <w:ilvl w:val="0"/>
          <w:numId w:val="108"/>
        </w:numPr>
        <w:tabs>
          <w:tab w:val="clear" w:pos="720"/>
          <w:tab w:val="num" w:pos="360"/>
          <w:tab w:val="num" w:pos="709"/>
        </w:tabs>
        <w:ind w:left="714" w:hanging="357"/>
        <w:rPr>
          <w:rFonts w:eastAsia="Times New Roman" w:cs="Times New Roman"/>
          <w:szCs w:val="20"/>
        </w:rPr>
      </w:pPr>
      <w:r>
        <w:t>да са необходими за осъществяване на дейността, която е предмет на споразумението за отпускане на безвъзмездни средства;</w:t>
      </w:r>
    </w:p>
    <w:p w14:paraId="560A9E73" w14:textId="77777777" w:rsidR="00216718" w:rsidRPr="00216718" w:rsidRDefault="00216718" w:rsidP="00216718">
      <w:pPr>
        <w:numPr>
          <w:ilvl w:val="0"/>
          <w:numId w:val="108"/>
        </w:numPr>
        <w:tabs>
          <w:tab w:val="clear" w:pos="720"/>
          <w:tab w:val="num" w:pos="360"/>
          <w:tab w:val="num" w:pos="709"/>
        </w:tabs>
        <w:ind w:left="714" w:hanging="357"/>
        <w:rPr>
          <w:rFonts w:eastAsia="Times New Roman" w:cs="Times New Roman"/>
          <w:szCs w:val="20"/>
        </w:rPr>
      </w:pPr>
      <w:r>
        <w:t>да са разумни и обосновани и да отговарят на изискванията за добро финансово управление, по-специално от гледна точка на икономичността и ефикасността</w:t>
      </w:r>
      <w:r>
        <w:rPr>
          <w:rFonts w:cs="Times New Roman"/>
          <w:szCs w:val="20"/>
          <w:vertAlign w:val="superscript"/>
        </w:rPr>
        <w:footnoteReference w:id="38"/>
      </w:r>
      <w:r>
        <w:t>;</w:t>
      </w:r>
    </w:p>
    <w:p w14:paraId="706D9829" w14:textId="77777777" w:rsidR="00216718" w:rsidRPr="00216718" w:rsidRDefault="00216718" w:rsidP="00216718">
      <w:pPr>
        <w:numPr>
          <w:ilvl w:val="0"/>
          <w:numId w:val="108"/>
        </w:numPr>
        <w:tabs>
          <w:tab w:val="clear" w:pos="720"/>
          <w:tab w:val="num" w:pos="360"/>
          <w:tab w:val="num" w:pos="709"/>
        </w:tabs>
        <w:ind w:left="714" w:hanging="357"/>
        <w:rPr>
          <w:rFonts w:eastAsia="Times New Roman" w:cs="Times New Roman"/>
          <w:szCs w:val="20"/>
        </w:rPr>
      </w:pPr>
      <w:r>
        <w:t>да са извършени по време на изпълнението на дейността (времетраенето е определено в споразумението за отпускане на безвъзмездни средства), с изключение на фактурата за одитния сертификат и разходите, свързани с представянето на последния доклад;</w:t>
      </w:r>
    </w:p>
    <w:p w14:paraId="37735CCC" w14:textId="77777777" w:rsidR="00216718" w:rsidRPr="00216718" w:rsidRDefault="00216718" w:rsidP="00216718">
      <w:pPr>
        <w:numPr>
          <w:ilvl w:val="0"/>
          <w:numId w:val="108"/>
        </w:numPr>
        <w:tabs>
          <w:tab w:val="clear" w:pos="720"/>
          <w:tab w:val="num" w:pos="360"/>
          <w:tab w:val="num" w:pos="709"/>
        </w:tabs>
        <w:ind w:left="714" w:hanging="357"/>
        <w:rPr>
          <w:rFonts w:eastAsia="Times New Roman" w:cs="Times New Roman"/>
          <w:szCs w:val="20"/>
        </w:rPr>
      </w:pPr>
      <w:r>
        <w:t xml:space="preserve">да не се покриват от други безвъзмездни средства от ЕС </w:t>
      </w:r>
      <w:r>
        <w:rPr>
          <w:i/>
          <w:iCs/>
        </w:rPr>
        <w:t>(вж. недопустимите разходи по-долу)</w:t>
      </w:r>
      <w:r>
        <w:t>;</w:t>
      </w:r>
    </w:p>
    <w:p w14:paraId="5FBBDA58" w14:textId="77777777" w:rsidR="00216718" w:rsidRPr="00216718" w:rsidRDefault="00216718" w:rsidP="00216718">
      <w:pPr>
        <w:numPr>
          <w:ilvl w:val="0"/>
          <w:numId w:val="108"/>
        </w:numPr>
        <w:tabs>
          <w:tab w:val="clear" w:pos="720"/>
          <w:tab w:val="num" w:pos="360"/>
          <w:tab w:val="num" w:pos="709"/>
        </w:tabs>
        <w:ind w:left="714" w:hanging="357"/>
        <w:rPr>
          <w:rFonts w:eastAsia="Times New Roman" w:cs="Times New Roman"/>
          <w:szCs w:val="20"/>
        </w:rPr>
      </w:pPr>
      <w:r>
        <w:lastRenderedPageBreak/>
        <w:t>да могат да бъдат установени и проверени, и по-специално — вписани в счетоводните книги на участника, и да са определени съгласно приложимите счетоводни стандарти на държавата, в която е седалището му, и неговите обичайни практики за осчетоводяване на разходите;</w:t>
      </w:r>
    </w:p>
    <w:p w14:paraId="44B452D0" w14:textId="77777777" w:rsidR="00216718" w:rsidRPr="00216718" w:rsidRDefault="00216718" w:rsidP="00216718">
      <w:pPr>
        <w:numPr>
          <w:ilvl w:val="0"/>
          <w:numId w:val="108"/>
        </w:numPr>
        <w:tabs>
          <w:tab w:val="clear" w:pos="720"/>
          <w:tab w:val="num" w:pos="360"/>
          <w:tab w:val="num" w:pos="709"/>
        </w:tabs>
        <w:ind w:left="714" w:hanging="357"/>
        <w:rPr>
          <w:rFonts w:eastAsia="Times New Roman" w:cs="Times New Roman"/>
          <w:szCs w:val="20"/>
        </w:rPr>
      </w:pPr>
      <w:r>
        <w:t>да са направени при съблюдаване на националното законодателство в областта на данъчното облагане, трудовото право и социалната сигурност;</w:t>
      </w:r>
    </w:p>
    <w:p w14:paraId="54D9BE2B" w14:textId="77777777" w:rsidR="00216718" w:rsidRPr="00216718" w:rsidRDefault="00216718" w:rsidP="00216718">
      <w:pPr>
        <w:numPr>
          <w:ilvl w:val="0"/>
          <w:numId w:val="108"/>
        </w:numPr>
        <w:tabs>
          <w:tab w:val="clear" w:pos="720"/>
          <w:tab w:val="num" w:pos="360"/>
          <w:tab w:val="num" w:pos="709"/>
        </w:tabs>
        <w:ind w:left="714" w:hanging="357"/>
        <w:rPr>
          <w:rFonts w:eastAsia="Times New Roman" w:cs="Times New Roman"/>
          <w:szCs w:val="20"/>
        </w:rPr>
      </w:pPr>
      <w:r>
        <w:t>да са в съобразени с разпоредбите на споразумението за отпускане на безвъзмездни средства и</w:t>
      </w:r>
    </w:p>
    <w:p w14:paraId="406151D6" w14:textId="77777777" w:rsidR="00216718" w:rsidRPr="00216718" w:rsidRDefault="00216718" w:rsidP="00216718">
      <w:pPr>
        <w:numPr>
          <w:ilvl w:val="0"/>
          <w:numId w:val="108"/>
        </w:numPr>
        <w:tabs>
          <w:tab w:val="clear" w:pos="720"/>
          <w:tab w:val="num" w:pos="360"/>
          <w:tab w:val="num" w:pos="709"/>
        </w:tabs>
        <w:ind w:left="714" w:hanging="357"/>
        <w:rPr>
          <w:rFonts w:eastAsia="Times New Roman" w:cs="Times New Roman"/>
          <w:szCs w:val="20"/>
        </w:rPr>
      </w:pPr>
      <w:r>
        <w:t>да са конвертирани в евро по курса, определен в споразумението за отпускане на безвъзмездни средства:</w:t>
      </w:r>
    </w:p>
    <w:p w14:paraId="708D4CE4" w14:textId="77777777" w:rsidR="00216718" w:rsidRPr="00216718" w:rsidRDefault="00216718" w:rsidP="00216718">
      <w:pPr>
        <w:numPr>
          <w:ilvl w:val="1"/>
          <w:numId w:val="105"/>
        </w:numPr>
        <w:ind w:left="1276" w:hanging="425"/>
        <w:rPr>
          <w:rFonts w:eastAsia="Times New Roman" w:cs="Times New Roman"/>
          <w:szCs w:val="20"/>
        </w:rPr>
      </w:pPr>
      <w:r>
        <w:t>за участници със сметки във валута, различна от евро:</w:t>
      </w:r>
    </w:p>
    <w:p w14:paraId="77CBB1F9" w14:textId="77777777" w:rsidR="00216718" w:rsidRPr="00216718" w:rsidRDefault="00216718" w:rsidP="00216718">
      <w:pPr>
        <w:ind w:left="1276"/>
        <w:rPr>
          <w:rFonts w:eastAsia="Times New Roman" w:cs="Times New Roman"/>
          <w:szCs w:val="20"/>
          <w:u w:val="single"/>
        </w:rPr>
      </w:pPr>
      <w:r>
        <w:t xml:space="preserve">Разходите, направени в друга валута, трябва да бъдат конвертирани в евро по средната стойност на дневните обменни курсове на еврото, публикувани в серия С на </w:t>
      </w:r>
      <w:hyperlink r:id="rId35" w:history="1">
        <w:r>
          <w:rPr>
            <w:color w:val="0088CC"/>
            <w:szCs w:val="20"/>
            <w:u w:val="single"/>
          </w:rPr>
          <w:t>Официален вестник на ЕС</w:t>
        </w:r>
      </w:hyperlink>
      <w:r>
        <w:t>, определени за съответния отчетен период.</w:t>
      </w:r>
    </w:p>
    <w:p w14:paraId="5C779411" w14:textId="77777777" w:rsidR="00216718" w:rsidRPr="00216718" w:rsidRDefault="00216718" w:rsidP="00216718">
      <w:pPr>
        <w:ind w:left="1276"/>
        <w:rPr>
          <w:rFonts w:eastAsia="Times New Roman" w:cs="Times New Roman"/>
          <w:szCs w:val="20"/>
          <w:u w:val="single"/>
        </w:rPr>
      </w:pPr>
      <w:r>
        <w:t xml:space="preserve">Ако за съответната валута в </w:t>
      </w:r>
      <w:r>
        <w:rPr>
          <w:i/>
          <w:iCs/>
        </w:rPr>
        <w:t>Официален вестник на ЕС</w:t>
      </w:r>
      <w:r>
        <w:t xml:space="preserve"> няма публикуван дневен обменен курс, използваният курс трябва да бъде средната стойност на месечните счетоводни обменни курсове, определяни от Европейската комисия и публикувани на нейния </w:t>
      </w:r>
      <w:hyperlink r:id="rId36" w:history="1">
        <w:r>
          <w:rPr>
            <w:color w:val="0088CC"/>
            <w:szCs w:val="20"/>
            <w:u w:val="single"/>
          </w:rPr>
          <w:t>уебсайт</w:t>
        </w:r>
      </w:hyperlink>
      <w:r>
        <w:t>.</w:t>
      </w:r>
    </w:p>
    <w:p w14:paraId="72783EB1" w14:textId="77777777" w:rsidR="00216718" w:rsidRPr="00216718" w:rsidRDefault="00216718" w:rsidP="00216718">
      <w:pPr>
        <w:numPr>
          <w:ilvl w:val="1"/>
          <w:numId w:val="105"/>
        </w:numPr>
        <w:ind w:left="1276" w:hanging="425"/>
        <w:rPr>
          <w:rFonts w:eastAsia="Times New Roman" w:cs="Times New Roman"/>
          <w:szCs w:val="20"/>
        </w:rPr>
      </w:pPr>
      <w:r>
        <w:t>за участници със сметки в евро:</w:t>
      </w:r>
    </w:p>
    <w:p w14:paraId="0A0A096F" w14:textId="77777777" w:rsidR="00216718" w:rsidRPr="00216718" w:rsidRDefault="00216718" w:rsidP="00216718">
      <w:pPr>
        <w:ind w:left="1276"/>
        <w:rPr>
          <w:rFonts w:eastAsia="Times New Roman" w:cs="Times New Roman"/>
          <w:szCs w:val="20"/>
        </w:rPr>
      </w:pPr>
      <w:r>
        <w:t>разходите, направени в друга валута, следва да се конвертират в евро, като се прилага обичайната счетоводна практика на участника.</w:t>
      </w:r>
    </w:p>
    <w:p w14:paraId="3E18A7FD" w14:textId="77777777" w:rsidR="00216718" w:rsidRPr="00216718" w:rsidRDefault="00216718" w:rsidP="00216718">
      <w:pPr>
        <w:rPr>
          <w:rFonts w:eastAsia="Times New Roman" w:cs="Times New Roman"/>
          <w:szCs w:val="20"/>
        </w:rPr>
      </w:pPr>
      <w:r>
        <w:t xml:space="preserve">Одиторът трябва да провери дали разходите включват </w:t>
      </w:r>
      <w:r>
        <w:rPr>
          <w:b/>
          <w:bCs/>
        </w:rPr>
        <w:t>ДДС</w:t>
      </w:r>
      <w:r>
        <w:t xml:space="preserve"> и ако това е така — да се увери, че участникът:</w:t>
      </w:r>
    </w:p>
    <w:p w14:paraId="52F16562" w14:textId="77777777" w:rsidR="00216718" w:rsidRPr="00216718" w:rsidRDefault="00216718" w:rsidP="00216718">
      <w:pPr>
        <w:numPr>
          <w:ilvl w:val="0"/>
          <w:numId w:val="108"/>
        </w:numPr>
        <w:tabs>
          <w:tab w:val="clear" w:pos="720"/>
          <w:tab w:val="num" w:pos="360"/>
          <w:tab w:val="num" w:pos="709"/>
        </w:tabs>
        <w:ind w:left="714" w:hanging="357"/>
        <w:rPr>
          <w:rFonts w:eastAsia="Times New Roman" w:cs="Times New Roman"/>
          <w:szCs w:val="20"/>
        </w:rPr>
      </w:pPr>
      <w:r>
        <w:t>не може да си възстанови ДДС (това трябва да бъде подкрепено от декларация от компетентния орган), и</w:t>
      </w:r>
    </w:p>
    <w:p w14:paraId="11CB3D97" w14:textId="77777777" w:rsidR="00216718" w:rsidRPr="00216718" w:rsidRDefault="00216718" w:rsidP="00216718">
      <w:pPr>
        <w:numPr>
          <w:ilvl w:val="0"/>
          <w:numId w:val="108"/>
        </w:numPr>
        <w:tabs>
          <w:tab w:val="clear" w:pos="720"/>
          <w:tab w:val="num" w:pos="360"/>
          <w:tab w:val="num" w:pos="709"/>
        </w:tabs>
        <w:ind w:left="714" w:hanging="357"/>
        <w:rPr>
          <w:rFonts w:eastAsia="Times New Roman" w:cs="Times New Roman"/>
          <w:szCs w:val="20"/>
        </w:rPr>
      </w:pPr>
      <w:r>
        <w:t>не е публичен орган, действащ като орган на държавната власт.</w:t>
      </w:r>
    </w:p>
    <w:p w14:paraId="3D068D4B" w14:textId="77777777" w:rsidR="00216718" w:rsidRPr="00216718" w:rsidRDefault="00216718" w:rsidP="00216718">
      <w:pPr>
        <w:rPr>
          <w:rFonts w:eastAsia="Times New Roman" w:cs="Times New Roman"/>
          <w:szCs w:val="20"/>
        </w:rPr>
      </w:pPr>
      <w:r>
        <w:t xml:space="preserve">Освен това, одиторът трябва да се увери, че декларираните разходи са в съответствие със </w:t>
      </w:r>
      <w:r>
        <w:rPr>
          <w:b/>
          <w:bCs/>
        </w:rPr>
        <w:t>специфичните правила за допустимост</w:t>
      </w:r>
      <w:r>
        <w:t>, предвидени в споразумението за отпускане на безвъзмездни средства.</w:t>
      </w:r>
    </w:p>
    <w:p w14:paraId="3F673C01" w14:textId="77777777" w:rsidR="00216718" w:rsidRPr="00216718" w:rsidRDefault="00216718" w:rsidP="00216718">
      <w:pPr>
        <w:rPr>
          <w:rFonts w:eastAsia="Times New Roman" w:cs="Times New Roman"/>
          <w:i/>
          <w:szCs w:val="20"/>
        </w:rPr>
      </w:pPr>
      <w:r>
        <w:rPr>
          <w:i/>
          <w:szCs w:val="20"/>
        </w:rPr>
        <w:t>Разходи за персонал</w:t>
      </w:r>
    </w:p>
    <w:p w14:paraId="7675D052" w14:textId="77777777" w:rsidR="00216718" w:rsidRPr="00216718" w:rsidRDefault="00216718" w:rsidP="00216718">
      <w:pPr>
        <w:rPr>
          <w:rFonts w:eastAsia="Times New Roman" w:cs="Times New Roman"/>
          <w:szCs w:val="20"/>
        </w:rPr>
      </w:pPr>
      <w:r>
        <w:t xml:space="preserve">Одиторът трябва да се увери, че: </w:t>
      </w:r>
    </w:p>
    <w:p w14:paraId="20C5D174" w14:textId="77777777" w:rsidR="00216718" w:rsidRPr="00216718" w:rsidRDefault="00216718" w:rsidP="00216718">
      <w:pPr>
        <w:numPr>
          <w:ilvl w:val="0"/>
          <w:numId w:val="108"/>
        </w:numPr>
        <w:tabs>
          <w:tab w:val="clear" w:pos="720"/>
          <w:tab w:val="num" w:pos="360"/>
          <w:tab w:val="num" w:pos="709"/>
        </w:tabs>
        <w:ind w:left="714" w:hanging="357"/>
        <w:rPr>
          <w:rFonts w:eastAsia="Times New Roman" w:cs="Times New Roman"/>
          <w:szCs w:val="20"/>
        </w:rPr>
      </w:pPr>
      <w:r>
        <w:t xml:space="preserve">разходите за персонал са начислени и платени за действително отработеното от персонала на участника време по дейността (при правилно преобразуване в еквиваленти на пълен работен ден), като доказателство за това са присъствени листове или друга подходяща система за отчитане на присъствието (като </w:t>
      </w:r>
      <w:r>
        <w:lastRenderedPageBreak/>
        <w:t>месечна декларация в съответствие със споразумението за отпускане на безвъзмездни средства);</w:t>
      </w:r>
    </w:p>
    <w:p w14:paraId="600105C3" w14:textId="77777777" w:rsidR="00216718" w:rsidRPr="00216718" w:rsidRDefault="00216718" w:rsidP="00216718">
      <w:pPr>
        <w:numPr>
          <w:ilvl w:val="0"/>
          <w:numId w:val="108"/>
        </w:numPr>
        <w:tabs>
          <w:tab w:val="clear" w:pos="720"/>
          <w:tab w:val="num" w:pos="360"/>
          <w:tab w:val="num" w:pos="709"/>
        </w:tabs>
        <w:ind w:left="714" w:hanging="357"/>
        <w:rPr>
          <w:rFonts w:eastAsia="Times New Roman" w:cs="Times New Roman"/>
          <w:szCs w:val="20"/>
        </w:rPr>
      </w:pPr>
      <w:r>
        <w:t>разходите за персонал (и дневната ставка, ако е приложимо) са изчислени въз основа на брутната заплата, надници или хонорари (плюс задължителните социални осигуровки и други допълнителни плащания, но с изключение на всякакви други недопустими разходи), посочени в трудов договор или друг вид договор, и не надвишават средните ставки, съответстващи на обичайната политика на участника по отношение на възнагражденията;</w:t>
      </w:r>
    </w:p>
    <w:p w14:paraId="2246F3A4" w14:textId="77777777" w:rsidR="00216718" w:rsidRPr="00216718" w:rsidRDefault="00216718" w:rsidP="00216718">
      <w:pPr>
        <w:numPr>
          <w:ilvl w:val="0"/>
          <w:numId w:val="108"/>
        </w:numPr>
        <w:tabs>
          <w:tab w:val="clear" w:pos="720"/>
          <w:tab w:val="num" w:pos="360"/>
          <w:tab w:val="num" w:pos="709"/>
        </w:tabs>
        <w:ind w:left="714" w:hanging="357"/>
        <w:rPr>
          <w:rFonts w:eastAsia="Times New Roman" w:cs="Times New Roman"/>
          <w:szCs w:val="20"/>
        </w:rPr>
      </w:pPr>
      <w:r>
        <w:t>работата е извършена през периода на изпълнение на дейността (времетраенето е определено в споразумението за отпускане на безвъзмездни средства);</w:t>
      </w:r>
    </w:p>
    <w:p w14:paraId="16FDA057" w14:textId="77777777" w:rsidR="00216718" w:rsidRPr="00216718" w:rsidRDefault="00216718" w:rsidP="00216718">
      <w:pPr>
        <w:numPr>
          <w:ilvl w:val="0"/>
          <w:numId w:val="108"/>
        </w:numPr>
        <w:tabs>
          <w:tab w:val="clear" w:pos="720"/>
          <w:tab w:val="num" w:pos="360"/>
          <w:tab w:val="num" w:pos="709"/>
        </w:tabs>
        <w:ind w:left="714" w:hanging="357"/>
        <w:rPr>
          <w:rFonts w:eastAsia="Times New Roman" w:cs="Times New Roman"/>
          <w:szCs w:val="20"/>
        </w:rPr>
      </w:pPr>
      <w:r>
        <w:t xml:space="preserve">разходите за персонал не се покриват от други безвъзмездни средства от ЕС </w:t>
      </w:r>
      <w:r>
        <w:rPr>
          <w:i/>
          <w:iCs/>
        </w:rPr>
        <w:t>(вж. недопустимите разходи по-долу)</w:t>
      </w:r>
      <w:r>
        <w:t>;</w:t>
      </w:r>
    </w:p>
    <w:p w14:paraId="1AFCE134" w14:textId="77777777" w:rsidR="00216718" w:rsidRPr="00216718" w:rsidRDefault="00216718" w:rsidP="00216718">
      <w:pPr>
        <w:numPr>
          <w:ilvl w:val="0"/>
          <w:numId w:val="108"/>
        </w:numPr>
        <w:tabs>
          <w:tab w:val="clear" w:pos="720"/>
          <w:tab w:val="num" w:pos="360"/>
          <w:tab w:val="num" w:pos="709"/>
        </w:tabs>
        <w:ind w:left="714" w:hanging="357"/>
        <w:rPr>
          <w:rFonts w:eastAsia="Times New Roman" w:cs="Times New Roman"/>
          <w:szCs w:val="20"/>
        </w:rPr>
      </w:pPr>
      <w:r>
        <w:t>по отношение на допълнителните плащания: условията, посочени в споразумението за отпускане на безвъзмездни средства, са изпълнени (т.е., че тези плащания са част от обичайните практики на участника по отношение на възнагражденията и се изплащат системно, когато се изисква един и същ вид работа или експертен опит, както и че критериите, използвани за изчисляване на допълнителните плащания, са обективни и се прилагат в общия случай от участника, независимо от използвания източник на финансиране);</w:t>
      </w:r>
    </w:p>
    <w:p w14:paraId="7258592F" w14:textId="77777777" w:rsidR="00216718" w:rsidRPr="00216718" w:rsidRDefault="00216718" w:rsidP="00216718">
      <w:pPr>
        <w:numPr>
          <w:ilvl w:val="0"/>
          <w:numId w:val="108"/>
        </w:numPr>
        <w:tabs>
          <w:tab w:val="clear" w:pos="720"/>
          <w:tab w:val="num" w:pos="360"/>
          <w:tab w:val="num" w:pos="709"/>
        </w:tabs>
        <w:ind w:left="714" w:hanging="357"/>
        <w:rPr>
          <w:rFonts w:eastAsia="Times New Roman" w:cs="Times New Roman"/>
          <w:szCs w:val="20"/>
        </w:rPr>
      </w:pPr>
      <w:r>
        <w:t>по отношение на вътрешните консултанти и командировани служители: условията, посочени в споразумението за отпускане на безвъзмездни средства, са изпълнени (т.е. лицето работи при условия, сходни с тези на служител, резултатът от извършената работа  принадлежи на участника (освен ако не е договорено друго) и разходите не се различават съществено от тези за персонала, изпълняващ подобни задачи по трудов договор).</w:t>
      </w:r>
    </w:p>
    <w:p w14:paraId="42626359" w14:textId="77777777" w:rsidR="00216718" w:rsidRPr="00216718" w:rsidRDefault="00216718" w:rsidP="00216718">
      <w:pPr>
        <w:rPr>
          <w:rFonts w:eastAsia="Times New Roman" w:cs="Times New Roman"/>
          <w:szCs w:val="20"/>
        </w:rPr>
      </w:pPr>
      <w:r>
        <w:t>Одиторът следва да провери, че управленската и счетоводна система гарантира правилното разпределяне на разходите за персонал за различните дейности, извършвани от участника и финансирани от различни източници.</w:t>
      </w:r>
    </w:p>
    <w:p w14:paraId="538A3029" w14:textId="77777777" w:rsidR="00216718" w:rsidRPr="00216718" w:rsidRDefault="00216718" w:rsidP="00216718">
      <w:pPr>
        <w:rPr>
          <w:rFonts w:eastAsia="Times New Roman" w:cs="Times New Roman"/>
          <w:i/>
          <w:szCs w:val="20"/>
        </w:rPr>
      </w:pPr>
      <w:r>
        <w:rPr>
          <w:i/>
          <w:szCs w:val="20"/>
        </w:rPr>
        <w:t>Разходи за подизпълнители</w:t>
      </w:r>
    </w:p>
    <w:p w14:paraId="77668522" w14:textId="77777777" w:rsidR="00216718" w:rsidRPr="00216718" w:rsidRDefault="00216718" w:rsidP="00216718">
      <w:pPr>
        <w:rPr>
          <w:rFonts w:eastAsia="Times New Roman" w:cs="Times New Roman"/>
          <w:szCs w:val="20"/>
        </w:rPr>
      </w:pPr>
      <w:r>
        <w:t>Одиторът трябва да се увери, че:</w:t>
      </w:r>
    </w:p>
    <w:p w14:paraId="330E6D4D" w14:textId="77777777" w:rsidR="00216718" w:rsidRPr="00216718" w:rsidRDefault="00216718" w:rsidP="00216718">
      <w:pPr>
        <w:numPr>
          <w:ilvl w:val="0"/>
          <w:numId w:val="108"/>
        </w:numPr>
        <w:tabs>
          <w:tab w:val="clear" w:pos="720"/>
          <w:tab w:val="num" w:pos="360"/>
          <w:tab w:val="num" w:pos="709"/>
        </w:tabs>
        <w:ind w:left="714" w:hanging="357"/>
        <w:rPr>
          <w:rFonts w:eastAsia="Times New Roman" w:cs="Times New Roman"/>
          <w:szCs w:val="20"/>
        </w:rPr>
      </w:pPr>
      <w:r>
        <w:t>възлагането на подизпълнители е извършено в съответствие с правилата за икономически най-изгодните условия (или най-ниската цена) и за липсата на конфликт на интереси;</w:t>
      </w:r>
    </w:p>
    <w:p w14:paraId="4B83F7DE" w14:textId="77777777" w:rsidR="00216718" w:rsidRPr="00216718" w:rsidRDefault="00216718" w:rsidP="00216718">
      <w:pPr>
        <w:numPr>
          <w:ilvl w:val="0"/>
          <w:numId w:val="108"/>
        </w:numPr>
        <w:tabs>
          <w:tab w:val="clear" w:pos="720"/>
          <w:tab w:val="num" w:pos="360"/>
          <w:tab w:val="num" w:pos="709"/>
        </w:tabs>
        <w:ind w:left="714" w:hanging="357"/>
        <w:rPr>
          <w:rFonts w:eastAsia="Times New Roman" w:cs="Times New Roman"/>
          <w:szCs w:val="20"/>
        </w:rPr>
      </w:pPr>
      <w:r>
        <w:t xml:space="preserve">възлагането на подизпълнители е било необходимо за изпълнение на дейността; </w:t>
      </w:r>
    </w:p>
    <w:p w14:paraId="20C8D1C6" w14:textId="77777777" w:rsidR="00216718" w:rsidRPr="00216718" w:rsidRDefault="00216718" w:rsidP="00216718">
      <w:pPr>
        <w:numPr>
          <w:ilvl w:val="0"/>
          <w:numId w:val="108"/>
        </w:numPr>
        <w:tabs>
          <w:tab w:val="clear" w:pos="720"/>
          <w:tab w:val="num" w:pos="360"/>
          <w:tab w:val="num" w:pos="709"/>
        </w:tabs>
        <w:ind w:left="714" w:hanging="357"/>
        <w:rPr>
          <w:rFonts w:eastAsia="Times New Roman" w:cs="Times New Roman"/>
          <w:szCs w:val="20"/>
        </w:rPr>
      </w:pPr>
      <w:r>
        <w:t>възлагането на подизпълнители е предвидено в приложения 1 и 2 или е одобрено от предоставящия орган на по-късен етап;</w:t>
      </w:r>
    </w:p>
    <w:p w14:paraId="53244F67" w14:textId="77777777" w:rsidR="00216718" w:rsidRPr="00216718" w:rsidRDefault="00216718" w:rsidP="00216718">
      <w:pPr>
        <w:numPr>
          <w:ilvl w:val="0"/>
          <w:numId w:val="108"/>
        </w:numPr>
        <w:tabs>
          <w:tab w:val="clear" w:pos="720"/>
          <w:tab w:val="num" w:pos="360"/>
          <w:tab w:val="num" w:pos="709"/>
        </w:tabs>
        <w:ind w:left="714" w:hanging="357"/>
        <w:rPr>
          <w:rFonts w:eastAsia="Times New Roman" w:cs="Times New Roman"/>
          <w:szCs w:val="20"/>
        </w:rPr>
      </w:pPr>
      <w:r>
        <w:t>възлагането на подизпълнители е подкрепено със счетоводни документи в съответствие с националното законодателство в областта на счетоводството;</w:t>
      </w:r>
    </w:p>
    <w:p w14:paraId="3306FE48" w14:textId="77777777" w:rsidR="00216718" w:rsidRPr="00216718" w:rsidRDefault="00216718" w:rsidP="00216718">
      <w:pPr>
        <w:numPr>
          <w:ilvl w:val="0"/>
          <w:numId w:val="108"/>
        </w:numPr>
        <w:tabs>
          <w:tab w:val="clear" w:pos="720"/>
          <w:tab w:val="num" w:pos="360"/>
          <w:tab w:val="num" w:pos="709"/>
        </w:tabs>
        <w:ind w:left="714" w:hanging="357"/>
        <w:rPr>
          <w:rFonts w:eastAsia="Times New Roman" w:cs="Times New Roman"/>
          <w:szCs w:val="20"/>
        </w:rPr>
      </w:pPr>
      <w:r>
        <w:lastRenderedPageBreak/>
        <w:t>публичните органи са спазили националните правила за обществените поръчки.</w:t>
      </w:r>
    </w:p>
    <w:p w14:paraId="2E55DE28" w14:textId="77777777" w:rsidR="00216718" w:rsidRPr="00216718" w:rsidRDefault="00216718" w:rsidP="00216718">
      <w:pPr>
        <w:rPr>
          <w:rFonts w:eastAsia="Times New Roman" w:cs="Times New Roman"/>
          <w:i/>
          <w:szCs w:val="20"/>
        </w:rPr>
      </w:pPr>
      <w:r>
        <w:rPr>
          <w:i/>
          <w:szCs w:val="20"/>
        </w:rPr>
        <w:t>Пътни и дневни разходи</w:t>
      </w:r>
    </w:p>
    <w:p w14:paraId="2F3881BE" w14:textId="77777777" w:rsidR="00216718" w:rsidRPr="00216718" w:rsidRDefault="00216718" w:rsidP="00216718">
      <w:pPr>
        <w:rPr>
          <w:rFonts w:eastAsia="Times New Roman" w:cs="Times New Roman"/>
          <w:szCs w:val="20"/>
        </w:rPr>
      </w:pPr>
      <w:r>
        <w:t>Одиторът трябва да се увери, че пътните и дневните разходи:</w:t>
      </w:r>
    </w:p>
    <w:p w14:paraId="25D62E5E" w14:textId="77777777" w:rsidR="00216718" w:rsidRPr="00216718" w:rsidRDefault="00216718" w:rsidP="00216718">
      <w:pPr>
        <w:numPr>
          <w:ilvl w:val="0"/>
          <w:numId w:val="104"/>
        </w:numPr>
        <w:tabs>
          <w:tab w:val="num" w:pos="709"/>
        </w:tabs>
        <w:ind w:left="714" w:hanging="357"/>
        <w:rPr>
          <w:rFonts w:eastAsia="Times New Roman" w:cs="Times New Roman"/>
          <w:szCs w:val="20"/>
        </w:rPr>
      </w:pPr>
      <w:r>
        <w:t>са начислени и платени в съответствие с вътрешните правила/обичайните практики на участника (или, при липса на такива правила/практики, че те не надвишават обичайно приетата от предоставящия орган таблица) (— само за действителните разходи);</w:t>
      </w:r>
    </w:p>
    <w:p w14:paraId="24BD858C" w14:textId="77777777" w:rsidR="00216718" w:rsidRPr="00216718" w:rsidRDefault="00216718" w:rsidP="00216718">
      <w:pPr>
        <w:numPr>
          <w:ilvl w:val="0"/>
          <w:numId w:val="105"/>
        </w:numPr>
        <w:tabs>
          <w:tab w:val="num" w:pos="720"/>
        </w:tabs>
        <w:ind w:left="714" w:hanging="357"/>
        <w:rPr>
          <w:rFonts w:eastAsia="Times New Roman" w:cs="Times New Roman"/>
          <w:szCs w:val="20"/>
        </w:rPr>
      </w:pPr>
      <w:r>
        <w:t xml:space="preserve">не се покриват от други безвъзмездни средства от ЕС </w:t>
      </w:r>
      <w:r>
        <w:rPr>
          <w:i/>
          <w:iCs/>
        </w:rPr>
        <w:t>(вж. недопустимите разходи по-долу)</w:t>
      </w:r>
      <w:r>
        <w:t>;</w:t>
      </w:r>
    </w:p>
    <w:p w14:paraId="15B90495" w14:textId="77777777" w:rsidR="00216718" w:rsidRPr="00216718" w:rsidRDefault="00216718" w:rsidP="00216718">
      <w:pPr>
        <w:numPr>
          <w:ilvl w:val="0"/>
          <w:numId w:val="105"/>
        </w:numPr>
        <w:tabs>
          <w:tab w:val="num" w:pos="720"/>
        </w:tabs>
        <w:ind w:left="714" w:hanging="357"/>
        <w:rPr>
          <w:rFonts w:eastAsia="Times New Roman" w:cs="Times New Roman"/>
          <w:szCs w:val="20"/>
        </w:rPr>
      </w:pPr>
      <w:r>
        <w:t>са направени за пътувания, свързани със задачи по дейността, посочени в приложение 1 към споразумението за отпускане на безвъзмездни средства.</w:t>
      </w:r>
    </w:p>
    <w:p w14:paraId="75F18EDC" w14:textId="77777777" w:rsidR="00216718" w:rsidRPr="00216718" w:rsidRDefault="00216718" w:rsidP="00216718">
      <w:pPr>
        <w:rPr>
          <w:rFonts w:eastAsia="Times New Roman" w:cs="Times New Roman"/>
          <w:i/>
          <w:szCs w:val="20"/>
        </w:rPr>
      </w:pPr>
      <w:r>
        <w:rPr>
          <w:i/>
          <w:szCs w:val="20"/>
        </w:rPr>
        <w:t>Разходи за оборудване</w:t>
      </w:r>
    </w:p>
    <w:p w14:paraId="4F0279BE" w14:textId="77777777" w:rsidR="00216718" w:rsidRPr="00216718" w:rsidRDefault="00216718" w:rsidP="00216718">
      <w:pPr>
        <w:rPr>
          <w:rFonts w:eastAsia="Times New Roman" w:cs="Times New Roman"/>
          <w:szCs w:val="20"/>
        </w:rPr>
      </w:pPr>
      <w:r>
        <w:t>Одиторът трябва да се увери, че:</w:t>
      </w:r>
    </w:p>
    <w:p w14:paraId="2D05568D" w14:textId="77777777" w:rsidR="00216718" w:rsidRPr="00216718" w:rsidRDefault="00216718" w:rsidP="00216718">
      <w:pPr>
        <w:numPr>
          <w:ilvl w:val="0"/>
          <w:numId w:val="108"/>
        </w:numPr>
        <w:tabs>
          <w:tab w:val="clear" w:pos="720"/>
          <w:tab w:val="num" w:pos="360"/>
          <w:tab w:val="num" w:pos="709"/>
        </w:tabs>
        <w:ind w:left="714" w:hanging="357"/>
        <w:rPr>
          <w:rFonts w:eastAsia="Times New Roman" w:cs="Times New Roman"/>
          <w:szCs w:val="20"/>
        </w:rPr>
      </w:pPr>
      <w:r>
        <w:t>оборудването е закупено, наето или взето на лизинг при нормални пазарни цени;</w:t>
      </w:r>
    </w:p>
    <w:p w14:paraId="40D6219C" w14:textId="77777777" w:rsidR="00216718" w:rsidRPr="00216718" w:rsidRDefault="00216718" w:rsidP="00216718">
      <w:pPr>
        <w:numPr>
          <w:ilvl w:val="0"/>
          <w:numId w:val="108"/>
        </w:numPr>
        <w:tabs>
          <w:tab w:val="clear" w:pos="720"/>
          <w:tab w:val="num" w:pos="360"/>
          <w:tab w:val="num" w:pos="709"/>
        </w:tabs>
        <w:ind w:left="714" w:hanging="357"/>
        <w:rPr>
          <w:rFonts w:eastAsia="Times New Roman" w:cs="Times New Roman"/>
          <w:szCs w:val="20"/>
        </w:rPr>
      </w:pPr>
      <w:r>
        <w:t>публичните органи са спазили националните правила за обществените поръчки;</w:t>
      </w:r>
    </w:p>
    <w:p w14:paraId="71D434F6" w14:textId="77777777" w:rsidR="00216718" w:rsidRPr="00216718" w:rsidRDefault="00216718" w:rsidP="00216718">
      <w:pPr>
        <w:numPr>
          <w:ilvl w:val="0"/>
          <w:numId w:val="108"/>
        </w:numPr>
        <w:tabs>
          <w:tab w:val="num" w:pos="360"/>
        </w:tabs>
        <w:ind w:left="714" w:hanging="357"/>
        <w:rPr>
          <w:rFonts w:eastAsia="Times New Roman" w:cs="Times New Roman"/>
          <w:szCs w:val="20"/>
        </w:rPr>
      </w:pPr>
      <w:r>
        <w:t>оборудването е отписано, а амортизацията е изчислена в съответствие с приложимите данъчни и счетоводни правила и е декларирана само частта от амортизацията, съответстваща на продължителността на дейността (освен ако по споразумението за отпускане на безвъзмездни средства е допустим пълният размер на разходите за закупуване);</w:t>
      </w:r>
    </w:p>
    <w:p w14:paraId="7500B2A8" w14:textId="77777777" w:rsidR="00216718" w:rsidRPr="00216718" w:rsidRDefault="00216718" w:rsidP="00216718">
      <w:pPr>
        <w:numPr>
          <w:ilvl w:val="0"/>
          <w:numId w:val="108"/>
        </w:numPr>
        <w:tabs>
          <w:tab w:val="num" w:pos="360"/>
        </w:tabs>
        <w:ind w:left="714" w:hanging="357"/>
        <w:rPr>
          <w:rFonts w:eastAsia="Times New Roman" w:cs="Times New Roman"/>
          <w:szCs w:val="20"/>
        </w:rPr>
      </w:pPr>
      <w:r>
        <w:t xml:space="preserve">разходите не се покриват от други безвъзмездни средства от ЕС </w:t>
      </w:r>
      <w:r>
        <w:rPr>
          <w:i/>
          <w:iCs/>
        </w:rPr>
        <w:t>(вж. недопустимите разходи по-долу)</w:t>
      </w:r>
      <w:r>
        <w:t>.</w:t>
      </w:r>
    </w:p>
    <w:p w14:paraId="36D2C973" w14:textId="77777777" w:rsidR="00216718" w:rsidRPr="00216718" w:rsidRDefault="00216718" w:rsidP="00216718">
      <w:pPr>
        <w:rPr>
          <w:rFonts w:eastAsia="Times New Roman" w:cs="Times New Roman"/>
          <w:i/>
          <w:szCs w:val="20"/>
        </w:rPr>
      </w:pPr>
      <w:r>
        <w:rPr>
          <w:i/>
          <w:szCs w:val="20"/>
        </w:rPr>
        <w:t>Разходи за други стоки и услуги</w:t>
      </w:r>
    </w:p>
    <w:p w14:paraId="4F870257" w14:textId="77777777" w:rsidR="00216718" w:rsidRPr="00216718" w:rsidRDefault="00216718" w:rsidP="00216718">
      <w:pPr>
        <w:rPr>
          <w:rFonts w:eastAsia="Times New Roman" w:cs="Times New Roman"/>
          <w:szCs w:val="20"/>
        </w:rPr>
      </w:pPr>
      <w:r>
        <w:t>Одиторът трябва да се увери, че:</w:t>
      </w:r>
    </w:p>
    <w:p w14:paraId="09719AFA" w14:textId="77777777" w:rsidR="00216718" w:rsidRPr="00216718" w:rsidRDefault="00216718" w:rsidP="00216718">
      <w:pPr>
        <w:numPr>
          <w:ilvl w:val="0"/>
          <w:numId w:val="108"/>
        </w:numPr>
        <w:tabs>
          <w:tab w:val="clear" w:pos="720"/>
          <w:tab w:val="num" w:pos="360"/>
          <w:tab w:val="num" w:pos="709"/>
        </w:tabs>
        <w:ind w:left="714" w:hanging="357"/>
        <w:rPr>
          <w:rFonts w:eastAsia="Times New Roman" w:cs="Times New Roman"/>
          <w:szCs w:val="20"/>
        </w:rPr>
      </w:pPr>
      <w:r>
        <w:t>закупуването е извършено в съответствие с правилата за икономически най-изгодните условия (или най-ниската цена) и за липсата на конфликт на интереси;</w:t>
      </w:r>
    </w:p>
    <w:p w14:paraId="6653145A" w14:textId="77777777" w:rsidR="00216718" w:rsidRPr="00216718" w:rsidRDefault="00216718" w:rsidP="00216718">
      <w:pPr>
        <w:numPr>
          <w:ilvl w:val="0"/>
          <w:numId w:val="108"/>
        </w:numPr>
        <w:tabs>
          <w:tab w:val="clear" w:pos="720"/>
          <w:tab w:val="num" w:pos="360"/>
          <w:tab w:val="num" w:pos="709"/>
        </w:tabs>
        <w:ind w:left="714" w:hanging="357"/>
        <w:rPr>
          <w:rFonts w:eastAsia="Times New Roman" w:cs="Times New Roman"/>
          <w:szCs w:val="20"/>
        </w:rPr>
      </w:pPr>
      <w:r>
        <w:t>публичните органи са спазили националните правила за обществените поръчки;</w:t>
      </w:r>
    </w:p>
    <w:p w14:paraId="1C40AEFE" w14:textId="77777777" w:rsidR="00216718" w:rsidRPr="00216718" w:rsidRDefault="00216718" w:rsidP="00216718">
      <w:pPr>
        <w:numPr>
          <w:ilvl w:val="0"/>
          <w:numId w:val="108"/>
        </w:numPr>
        <w:tabs>
          <w:tab w:val="clear" w:pos="720"/>
          <w:tab w:val="num" w:pos="360"/>
          <w:tab w:val="num" w:pos="709"/>
        </w:tabs>
        <w:ind w:left="714" w:hanging="357"/>
        <w:rPr>
          <w:rFonts w:eastAsia="Calibri" w:cs="Times New Roman"/>
          <w:szCs w:val="20"/>
        </w:rPr>
      </w:pPr>
      <w:r>
        <w:t xml:space="preserve">разходите не се покриват от други безвъзмездни средства от ЕС </w:t>
      </w:r>
      <w:r>
        <w:rPr>
          <w:i/>
          <w:iCs/>
        </w:rPr>
        <w:t>(вж. недопустимите разходи по-долу)</w:t>
      </w:r>
      <w:r>
        <w:t>.</w:t>
      </w:r>
    </w:p>
    <w:p w14:paraId="78860822" w14:textId="77777777" w:rsidR="00216718" w:rsidRPr="00216718" w:rsidRDefault="00216718" w:rsidP="00216718">
      <w:pPr>
        <w:rPr>
          <w:rFonts w:cs="Times New Roman"/>
          <w:bCs/>
          <w:i/>
          <w:szCs w:val="20"/>
        </w:rPr>
      </w:pPr>
      <w:r>
        <w:rPr>
          <w:i/>
          <w:szCs w:val="20"/>
        </w:rPr>
        <w:t>Разходи за предоставяне на финансова подкрепа за трети страни (ако е приложимо)</w:t>
      </w:r>
    </w:p>
    <w:p w14:paraId="48F2F397" w14:textId="77777777" w:rsidR="00216718" w:rsidRPr="00216718" w:rsidRDefault="00216718" w:rsidP="00216718">
      <w:pPr>
        <w:rPr>
          <w:rFonts w:cs="Times New Roman"/>
          <w:szCs w:val="20"/>
        </w:rPr>
      </w:pPr>
      <w:r>
        <w:t xml:space="preserve">Одиторът трябва да получи подробна разбивка на разходите за предоставяне на финансова подкрепа на трети страни и да провери случайна извадка от разходни единици (пълна извадка се изисква, ако разходните единици са по-малко от 10, в </w:t>
      </w:r>
      <w:r>
        <w:lastRenderedPageBreak/>
        <w:t>останалите случаи извадката трябва да включва поне 10 единици или 10 % от общия брой — която от двете стойности е по-голяма).</w:t>
      </w:r>
    </w:p>
    <w:p w14:paraId="2B77CFC8" w14:textId="77777777" w:rsidR="00216718" w:rsidRPr="00216718" w:rsidRDefault="00216718" w:rsidP="00216718">
      <w:pPr>
        <w:rPr>
          <w:rFonts w:eastAsia="Times New Roman" w:cs="Times New Roman"/>
          <w:szCs w:val="20"/>
        </w:rPr>
      </w:pPr>
      <w:r>
        <w:t xml:space="preserve">Одиторът трябва да се увери, че: </w:t>
      </w:r>
    </w:p>
    <w:p w14:paraId="2E6B0306" w14:textId="77777777" w:rsidR="00216718" w:rsidRPr="00216718" w:rsidRDefault="00216718" w:rsidP="00216718">
      <w:pPr>
        <w:numPr>
          <w:ilvl w:val="0"/>
          <w:numId w:val="108"/>
        </w:numPr>
        <w:tabs>
          <w:tab w:val="clear" w:pos="720"/>
          <w:tab w:val="num" w:pos="360"/>
          <w:tab w:val="num" w:pos="709"/>
        </w:tabs>
        <w:ind w:left="714" w:hanging="357"/>
        <w:rPr>
          <w:rFonts w:eastAsia="Times New Roman" w:cs="Times New Roman"/>
          <w:szCs w:val="20"/>
        </w:rPr>
      </w:pPr>
      <w:r>
        <w:t>максималният размер на финансовата подкрепа за всяка трета страна не надвишава максималната сума, определена в споразумението за отпускане на безвъзмездни средства (или договорена по друг начин с предоставящия орган);</w:t>
      </w:r>
    </w:p>
    <w:p w14:paraId="5A5FCF13" w14:textId="77777777" w:rsidR="00216718" w:rsidRPr="00216718" w:rsidRDefault="00216718" w:rsidP="00216718">
      <w:pPr>
        <w:numPr>
          <w:ilvl w:val="0"/>
          <w:numId w:val="108"/>
        </w:numPr>
        <w:tabs>
          <w:tab w:val="clear" w:pos="720"/>
          <w:tab w:val="num" w:pos="360"/>
          <w:tab w:val="num" w:pos="709"/>
        </w:tabs>
        <w:ind w:left="714" w:hanging="357"/>
        <w:rPr>
          <w:rFonts w:eastAsia="Times New Roman" w:cs="Times New Roman"/>
          <w:szCs w:val="20"/>
        </w:rPr>
      </w:pPr>
      <w:r>
        <w:t>са спазени</w:t>
      </w:r>
      <w:r>
        <w:rPr>
          <w:color w:val="000000"/>
          <w:szCs w:val="20"/>
        </w:rPr>
        <w:t xml:space="preserve"> </w:t>
      </w:r>
      <w:r>
        <w:t xml:space="preserve">другите </w:t>
      </w:r>
      <w:r>
        <w:rPr>
          <w:color w:val="000000"/>
          <w:szCs w:val="20"/>
        </w:rPr>
        <w:t>условия, посочени в споразумението за отпускане на безвъзмездни средства</w:t>
      </w:r>
      <w:r>
        <w:t>.</w:t>
      </w:r>
    </w:p>
    <w:p w14:paraId="2897FA33" w14:textId="77777777" w:rsidR="00216718" w:rsidRPr="00216718" w:rsidRDefault="00216718" w:rsidP="00216718">
      <w:pPr>
        <w:rPr>
          <w:rFonts w:eastAsia="Times New Roman" w:cs="Times New Roman"/>
          <w:i/>
          <w:szCs w:val="20"/>
        </w:rPr>
      </w:pPr>
      <w:r>
        <w:rPr>
          <w:i/>
          <w:szCs w:val="20"/>
        </w:rPr>
        <w:t>Категории специфични разходи (ако е приложимо)</w:t>
      </w:r>
    </w:p>
    <w:p w14:paraId="69663863" w14:textId="77777777" w:rsidR="00216718" w:rsidRPr="00216718" w:rsidRDefault="00216718" w:rsidP="00216718">
      <w:r>
        <w:t xml:space="preserve">Проверките за категориите специфични разходи зависят от специалните условия за допустимост, посочени в споразумението за отпускане на безвъзмездни средства. </w:t>
      </w:r>
    </w:p>
    <w:p w14:paraId="118E2135" w14:textId="77777777" w:rsidR="00216718" w:rsidRPr="00216718" w:rsidRDefault="00216718" w:rsidP="00216718">
      <w:r>
        <w:rPr>
          <w:rFonts w:asciiTheme="minorHAnsi" w:hAnsiTheme="minorHAnsi"/>
          <w:noProof/>
          <w:color w:val="4AA55B"/>
          <w:szCs w:val="20"/>
          <w:lang w:val="en-US"/>
        </w:rPr>
        <w:drawing>
          <wp:inline distT="0" distB="0" distL="0" distR="0" wp14:anchorId="3CC43FA6" wp14:editId="4FCA8A1C">
            <wp:extent cx="135255" cy="13525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r>
        <w:tab/>
        <w:t xml:space="preserve">Не е необходимо да се проверяват категории специфични разходи въз основа на единични разходи, единни ставки или еднократни суми. СФО обхваща само категории разходи въз основа на действителните разходи или на разходи в съответствие с обичайните практики за осчетоводяване на разходите. </w:t>
      </w:r>
    </w:p>
    <w:p w14:paraId="149CAFAB" w14:textId="77777777" w:rsidR="00216718" w:rsidRPr="00216718" w:rsidRDefault="00216718" w:rsidP="00216718">
      <w:pPr>
        <w:rPr>
          <w:rFonts w:eastAsia="Times New Roman" w:cs="Times New Roman"/>
          <w:szCs w:val="20"/>
        </w:rPr>
      </w:pPr>
      <w:r>
        <w:t xml:space="preserve">Накрая, одиторът трябва да провери дали бенефициерът не е декларирал разходи, които изрично са обявени за </w:t>
      </w:r>
      <w:r>
        <w:rPr>
          <w:b/>
          <w:bCs/>
        </w:rPr>
        <w:t>недопустими</w:t>
      </w:r>
      <w:r>
        <w:t xml:space="preserve"> съгласно споразумението за отпускане на безвъзмездни средства:</w:t>
      </w:r>
    </w:p>
    <w:p w14:paraId="5A0BFC8D" w14:textId="77777777" w:rsidR="00216718" w:rsidRPr="00216718" w:rsidRDefault="00216718" w:rsidP="00216718">
      <w:pPr>
        <w:numPr>
          <w:ilvl w:val="0"/>
          <w:numId w:val="108"/>
        </w:numPr>
        <w:tabs>
          <w:tab w:val="clear" w:pos="720"/>
          <w:tab w:val="num" w:pos="360"/>
          <w:tab w:val="num" w:pos="709"/>
        </w:tabs>
        <w:ind w:left="714" w:hanging="357"/>
        <w:rPr>
          <w:rFonts w:cs="Times New Roman"/>
          <w:szCs w:val="20"/>
        </w:rPr>
      </w:pPr>
      <w:r>
        <w:t>разходи, свързани с възвръщаемост на капитал;</w:t>
      </w:r>
    </w:p>
    <w:p w14:paraId="18E4875D" w14:textId="77777777" w:rsidR="00216718" w:rsidRPr="00216718" w:rsidRDefault="00216718" w:rsidP="00216718">
      <w:pPr>
        <w:numPr>
          <w:ilvl w:val="0"/>
          <w:numId w:val="108"/>
        </w:numPr>
        <w:tabs>
          <w:tab w:val="clear" w:pos="720"/>
          <w:tab w:val="num" w:pos="360"/>
          <w:tab w:val="num" w:pos="709"/>
        </w:tabs>
        <w:ind w:left="714" w:hanging="357"/>
        <w:rPr>
          <w:rFonts w:cs="Times New Roman"/>
          <w:szCs w:val="20"/>
        </w:rPr>
      </w:pPr>
      <w:r>
        <w:t>задължение и такси за обслужване на задължение;</w:t>
      </w:r>
    </w:p>
    <w:p w14:paraId="1229C1F8" w14:textId="77777777" w:rsidR="00216718" w:rsidRPr="00216718" w:rsidRDefault="00216718" w:rsidP="00216718">
      <w:pPr>
        <w:numPr>
          <w:ilvl w:val="0"/>
          <w:numId w:val="108"/>
        </w:numPr>
        <w:tabs>
          <w:tab w:val="clear" w:pos="720"/>
          <w:tab w:val="num" w:pos="360"/>
          <w:tab w:val="num" w:pos="709"/>
        </w:tabs>
        <w:ind w:left="714" w:hanging="357"/>
        <w:rPr>
          <w:rFonts w:cs="Times New Roman"/>
          <w:szCs w:val="20"/>
        </w:rPr>
      </w:pPr>
      <w:r>
        <w:t>провизии за бъдещи загуби или задължения;</w:t>
      </w:r>
    </w:p>
    <w:p w14:paraId="67030FFF" w14:textId="77777777" w:rsidR="00216718" w:rsidRPr="00216718" w:rsidRDefault="00216718" w:rsidP="00216718">
      <w:pPr>
        <w:numPr>
          <w:ilvl w:val="0"/>
          <w:numId w:val="108"/>
        </w:numPr>
        <w:tabs>
          <w:tab w:val="clear" w:pos="720"/>
          <w:tab w:val="num" w:pos="360"/>
          <w:tab w:val="num" w:pos="709"/>
        </w:tabs>
        <w:ind w:left="714" w:hanging="357"/>
        <w:rPr>
          <w:rFonts w:cs="Times New Roman"/>
          <w:szCs w:val="20"/>
        </w:rPr>
      </w:pPr>
      <w:r>
        <w:t>дължими лихви;</w:t>
      </w:r>
    </w:p>
    <w:p w14:paraId="7B899FB8" w14:textId="77777777" w:rsidR="00216718" w:rsidRPr="00216718" w:rsidRDefault="00216718" w:rsidP="00216718">
      <w:pPr>
        <w:numPr>
          <w:ilvl w:val="0"/>
          <w:numId w:val="108"/>
        </w:numPr>
        <w:tabs>
          <w:tab w:val="clear" w:pos="720"/>
          <w:tab w:val="num" w:pos="360"/>
          <w:tab w:val="num" w:pos="709"/>
        </w:tabs>
        <w:ind w:left="714" w:hanging="357"/>
        <w:rPr>
          <w:rFonts w:cs="Times New Roman"/>
          <w:szCs w:val="20"/>
        </w:rPr>
      </w:pPr>
      <w:r>
        <w:t>загуби при обмяна на валута;</w:t>
      </w:r>
    </w:p>
    <w:p w14:paraId="69C1603C" w14:textId="77777777" w:rsidR="00216718" w:rsidRPr="00216718" w:rsidRDefault="00216718" w:rsidP="00216718">
      <w:pPr>
        <w:numPr>
          <w:ilvl w:val="0"/>
          <w:numId w:val="108"/>
        </w:numPr>
        <w:tabs>
          <w:tab w:val="clear" w:pos="720"/>
          <w:tab w:val="num" w:pos="360"/>
          <w:tab w:val="num" w:pos="709"/>
        </w:tabs>
        <w:ind w:left="714" w:hanging="357"/>
        <w:rPr>
          <w:rFonts w:cs="Times New Roman"/>
          <w:szCs w:val="20"/>
        </w:rPr>
      </w:pPr>
      <w:r>
        <w:t>банкови такси, начислени на участника от банката върху плащания по споразумението за отпускане на безвъзмездни средства;</w:t>
      </w:r>
    </w:p>
    <w:p w14:paraId="3A95CA85" w14:textId="77777777" w:rsidR="00216718" w:rsidRPr="00216718" w:rsidRDefault="00216718" w:rsidP="00216718">
      <w:pPr>
        <w:numPr>
          <w:ilvl w:val="0"/>
          <w:numId w:val="108"/>
        </w:numPr>
        <w:tabs>
          <w:tab w:val="clear" w:pos="720"/>
          <w:tab w:val="num" w:pos="360"/>
          <w:tab w:val="num" w:pos="709"/>
        </w:tabs>
        <w:ind w:left="714" w:hanging="357"/>
        <w:rPr>
          <w:rFonts w:cs="Times New Roman"/>
          <w:szCs w:val="20"/>
        </w:rPr>
      </w:pPr>
      <w:r>
        <w:t>прекомерни или неоправдани разходи;</w:t>
      </w:r>
    </w:p>
    <w:p w14:paraId="1F87194D" w14:textId="77777777" w:rsidR="00216718" w:rsidRPr="00216718" w:rsidRDefault="00216718" w:rsidP="00216718">
      <w:pPr>
        <w:numPr>
          <w:ilvl w:val="0"/>
          <w:numId w:val="108"/>
        </w:numPr>
        <w:tabs>
          <w:tab w:val="clear" w:pos="720"/>
          <w:tab w:val="num" w:pos="360"/>
          <w:tab w:val="num" w:pos="709"/>
        </w:tabs>
        <w:ind w:left="714" w:hanging="357"/>
        <w:rPr>
          <w:rFonts w:cs="Times New Roman"/>
          <w:szCs w:val="20"/>
        </w:rPr>
      </w:pPr>
      <w:r>
        <w:t>подлежащ на приспадане ДДС;</w:t>
      </w:r>
    </w:p>
    <w:p w14:paraId="1CE24F4E" w14:textId="77777777" w:rsidR="00216718" w:rsidRPr="00216718" w:rsidRDefault="00216718" w:rsidP="00216718">
      <w:pPr>
        <w:numPr>
          <w:ilvl w:val="0"/>
          <w:numId w:val="108"/>
        </w:numPr>
        <w:tabs>
          <w:tab w:val="clear" w:pos="720"/>
          <w:tab w:val="num" w:pos="360"/>
          <w:tab w:val="num" w:pos="709"/>
        </w:tabs>
        <w:ind w:left="714" w:hanging="357"/>
        <w:rPr>
          <w:rFonts w:cs="Times New Roman"/>
          <w:szCs w:val="20"/>
        </w:rPr>
      </w:pPr>
      <w:r>
        <w:t>ДДС, заплатен от публичен орган, действащ като орган на държавната власт;</w:t>
      </w:r>
    </w:p>
    <w:p w14:paraId="31091CE2" w14:textId="77777777" w:rsidR="00216718" w:rsidRPr="00216718" w:rsidRDefault="00216718" w:rsidP="00216718">
      <w:pPr>
        <w:numPr>
          <w:ilvl w:val="0"/>
          <w:numId w:val="108"/>
        </w:numPr>
        <w:tabs>
          <w:tab w:val="clear" w:pos="720"/>
          <w:tab w:val="num" w:pos="360"/>
          <w:tab w:val="num" w:pos="709"/>
        </w:tabs>
        <w:ind w:left="714" w:hanging="357"/>
        <w:rPr>
          <w:rFonts w:cs="Times New Roman"/>
          <w:szCs w:val="20"/>
        </w:rPr>
      </w:pPr>
      <w:r>
        <w:t xml:space="preserve">разходи при временно прекратяване на споразумението за отпускане на безвъзмездни средства; </w:t>
      </w:r>
    </w:p>
    <w:p w14:paraId="45A5D0C2" w14:textId="77777777" w:rsidR="00216718" w:rsidRPr="00216718" w:rsidRDefault="00216718" w:rsidP="00216718">
      <w:pPr>
        <w:numPr>
          <w:ilvl w:val="0"/>
          <w:numId w:val="108"/>
        </w:numPr>
        <w:tabs>
          <w:tab w:val="clear" w:pos="720"/>
          <w:tab w:val="num" w:pos="360"/>
          <w:tab w:val="num" w:pos="709"/>
        </w:tabs>
        <w:ind w:left="714" w:hanging="357"/>
        <w:rPr>
          <w:rFonts w:cs="Times New Roman"/>
          <w:szCs w:val="20"/>
        </w:rPr>
      </w:pPr>
      <w:r>
        <w:t>безвъзмездни вноски в натура от трети страни;</w:t>
      </w:r>
    </w:p>
    <w:p w14:paraId="05468755" w14:textId="77777777" w:rsidR="00216718" w:rsidRPr="00216718" w:rsidRDefault="00216718" w:rsidP="00216718">
      <w:pPr>
        <w:numPr>
          <w:ilvl w:val="0"/>
          <w:numId w:val="108"/>
        </w:numPr>
        <w:tabs>
          <w:tab w:val="clear" w:pos="720"/>
          <w:tab w:val="num" w:pos="360"/>
          <w:tab w:val="num" w:pos="709"/>
        </w:tabs>
        <w:ind w:left="714" w:hanging="357"/>
        <w:rPr>
          <w:rFonts w:cs="Times New Roman"/>
          <w:szCs w:val="20"/>
        </w:rPr>
      </w:pPr>
      <w:r>
        <w:t xml:space="preserve">разходи или вноски, декларирани по други безвъзмездни средства от ЕС (или безвъзмездни средства, предоставени от държава — членка на ЕС, трета страна </w:t>
      </w:r>
      <w:r>
        <w:lastRenderedPageBreak/>
        <w:t>или друг орган за изпълнение на бюджета на ЕС), с изключение на следните случаи:</w:t>
      </w:r>
    </w:p>
    <w:p w14:paraId="7DC28E15" w14:textId="77777777" w:rsidR="00216718" w:rsidRPr="00216718" w:rsidRDefault="00216718" w:rsidP="00216718">
      <w:pPr>
        <w:numPr>
          <w:ilvl w:val="1"/>
          <w:numId w:val="105"/>
        </w:numPr>
        <w:ind w:left="1276" w:hanging="425"/>
        <w:rPr>
          <w:rFonts w:cs="Times New Roman"/>
          <w:szCs w:val="20"/>
        </w:rPr>
      </w:pPr>
      <w:r>
        <w:t>Синергични</w:t>
      </w:r>
      <w:r>
        <w:rPr>
          <w:b/>
          <w:iCs/>
          <w:szCs w:val="20"/>
        </w:rPr>
        <w:t xml:space="preserve"> </w:t>
      </w:r>
      <w:r>
        <w:t>дейности:</w:t>
      </w:r>
      <w:r>
        <w:rPr>
          <w:i/>
          <w:iCs/>
          <w:color w:val="4AA55B"/>
          <w:szCs w:val="20"/>
        </w:rPr>
        <w:t xml:space="preserve"> </w:t>
      </w:r>
      <w:r>
        <w:t>не е приложимо</w:t>
      </w:r>
    </w:p>
    <w:p w14:paraId="2BD1C367" w14:textId="77777777" w:rsidR="00216718" w:rsidRPr="00216718" w:rsidRDefault="00216718" w:rsidP="00216718">
      <w:pPr>
        <w:numPr>
          <w:ilvl w:val="1"/>
          <w:numId w:val="105"/>
        </w:numPr>
        <w:ind w:left="1276" w:hanging="425"/>
        <w:rPr>
          <w:rFonts w:cs="Times New Roman"/>
          <w:szCs w:val="20"/>
        </w:rPr>
      </w:pPr>
      <w:r>
        <w:t>ако безвъзмездните средства за дейност са комбинирани с безвъзмездни средства за оперативни разходи</w:t>
      </w:r>
      <w:r>
        <w:rPr>
          <w:rFonts w:cs="Times New Roman"/>
          <w:position w:val="4"/>
          <w:szCs w:val="20"/>
          <w:vertAlign w:val="superscript"/>
        </w:rPr>
        <w:footnoteReference w:id="39"/>
      </w:r>
      <w:r>
        <w:t>, отпуснати за същия период, и участникът може да докаже, че безвъзмездните средства за оперативни разходи не покриват никакви (преки или непреки) разходи, свързани с безвъзмездните средства за дейност;</w:t>
      </w:r>
    </w:p>
    <w:p w14:paraId="2941FEFE" w14:textId="77777777" w:rsidR="00216718" w:rsidRPr="00216718" w:rsidRDefault="00216718" w:rsidP="00216718">
      <w:pPr>
        <w:numPr>
          <w:ilvl w:val="0"/>
          <w:numId w:val="108"/>
        </w:numPr>
        <w:tabs>
          <w:tab w:val="clear" w:pos="720"/>
          <w:tab w:val="num" w:pos="709"/>
        </w:tabs>
        <w:ind w:left="714" w:hanging="357"/>
        <w:rPr>
          <w:rFonts w:cs="Times New Roman"/>
          <w:szCs w:val="20"/>
        </w:rPr>
      </w:pPr>
      <w:r>
        <w:t>разходи за постоянния персонал</w:t>
      </w:r>
      <w:r>
        <w:rPr>
          <w:b/>
          <w:szCs w:val="20"/>
        </w:rPr>
        <w:t xml:space="preserve"> </w:t>
      </w:r>
      <w:r>
        <w:t>на национална администрация за дейности, които са част от обичайните ѝ дейности (т.е. които не са предприети само заради безвъзмездните средства); не е приложимо</w:t>
      </w:r>
    </w:p>
    <w:p w14:paraId="63E00F11" w14:textId="77777777" w:rsidR="00216718" w:rsidRPr="00216718" w:rsidRDefault="00216718" w:rsidP="00216718">
      <w:pPr>
        <w:numPr>
          <w:ilvl w:val="0"/>
          <w:numId w:val="108"/>
        </w:numPr>
        <w:tabs>
          <w:tab w:val="clear" w:pos="720"/>
          <w:tab w:val="num" w:pos="360"/>
          <w:tab w:val="num" w:pos="709"/>
        </w:tabs>
        <w:ind w:left="714" w:hanging="357"/>
        <w:rPr>
          <w:rFonts w:cs="Times New Roman"/>
          <w:szCs w:val="20"/>
        </w:rPr>
      </w:pPr>
      <w:r>
        <w:t>разходи за служители или представители на институции, органи или агенции на ЕС: не е приложимо</w:t>
      </w:r>
    </w:p>
    <w:p w14:paraId="25AEF33E" w14:textId="77777777" w:rsidR="00216718" w:rsidRPr="00216718" w:rsidRDefault="00216718" w:rsidP="00216718">
      <w:pPr>
        <w:numPr>
          <w:ilvl w:val="0"/>
          <w:numId w:val="108"/>
        </w:numPr>
        <w:tabs>
          <w:tab w:val="clear" w:pos="720"/>
          <w:tab w:val="num" w:pos="360"/>
          <w:tab w:val="num" w:pos="709"/>
        </w:tabs>
        <w:ind w:left="714" w:hanging="357"/>
        <w:rPr>
          <w:rFonts w:cs="Times New Roman"/>
          <w:szCs w:val="20"/>
        </w:rPr>
      </w:pPr>
      <w:r>
        <w:t>задължение за място на изпълнение: не е приложимо</w:t>
      </w:r>
      <w:r>
        <w:rPr>
          <w:i/>
          <w:szCs w:val="20"/>
          <w:highlight w:val="yellow"/>
        </w:rPr>
        <w:t xml:space="preserve"> </w:t>
      </w:r>
    </w:p>
    <w:p w14:paraId="43B652DC" w14:textId="77777777" w:rsidR="00216718" w:rsidRPr="00216718" w:rsidRDefault="00216718" w:rsidP="00216718">
      <w:pPr>
        <w:numPr>
          <w:ilvl w:val="0"/>
          <w:numId w:val="108"/>
        </w:numPr>
        <w:tabs>
          <w:tab w:val="clear" w:pos="720"/>
          <w:tab w:val="num" w:pos="360"/>
          <w:tab w:val="num" w:pos="709"/>
        </w:tabs>
        <w:ind w:left="714" w:hanging="357"/>
        <w:rPr>
          <w:rFonts w:eastAsia="Times New Roman" w:cs="Times New Roman"/>
          <w:szCs w:val="20"/>
        </w:rPr>
      </w:pPr>
      <w:r>
        <w:t>други недопустими разходи (ако е приложимо): [</w:t>
      </w:r>
      <w:r>
        <w:rPr>
          <w:szCs w:val="20"/>
          <w:highlight w:val="lightGray"/>
        </w:rPr>
        <w:t>въведете наименованието на изключената разходна категория</w:t>
      </w:r>
      <w:r>
        <w:t>].</w:t>
      </w:r>
    </w:p>
    <w:p w14:paraId="4495AABF" w14:textId="77777777" w:rsidR="00216718" w:rsidRPr="00216718" w:rsidRDefault="00216718" w:rsidP="00216718">
      <w:pPr>
        <w:rPr>
          <w:rFonts w:eastAsia="Times New Roman" w:cs="Times New Roman"/>
          <w:szCs w:val="20"/>
        </w:rPr>
      </w:pPr>
      <w:r>
        <w:t xml:space="preserve">За подробни насоки относно процедурите за изчисляване на допустимите разходи </w:t>
      </w:r>
      <w:r>
        <w:rPr>
          <w:i/>
          <w:iCs/>
        </w:rPr>
        <w:t>вж.</w:t>
      </w:r>
      <w:r>
        <w:t xml:space="preserve"> </w:t>
      </w:r>
      <w:hyperlink r:id="rId38" w:history="1">
        <w:r>
          <w:rPr>
            <w:i/>
            <w:color w:val="0088CC"/>
            <w:szCs w:val="20"/>
            <w:u w:val="single"/>
          </w:rPr>
          <w:t>Анотираното споразумение за отпускане на безвъзмездни средства (АСОБС)</w:t>
        </w:r>
      </w:hyperlink>
      <w:r>
        <w:t>.</w:t>
      </w:r>
    </w:p>
    <w:p w14:paraId="65E23E8D" w14:textId="77777777" w:rsidR="00216718" w:rsidRPr="00216718" w:rsidRDefault="00216718" w:rsidP="00216718">
      <w:pPr>
        <w:outlineLvl w:val="1"/>
        <w:rPr>
          <w:rFonts w:cs="Times New Roman"/>
          <w:b/>
          <w:szCs w:val="20"/>
        </w:rPr>
      </w:pPr>
      <w:bookmarkStart w:id="934" w:name="_Toc95925071"/>
      <w:r>
        <w:rPr>
          <w:b/>
          <w:szCs w:val="20"/>
        </w:rPr>
        <w:t>4.3 Проверка на приходите</w:t>
      </w:r>
      <w:bookmarkEnd w:id="934"/>
    </w:p>
    <w:p w14:paraId="33869CA3" w14:textId="77777777" w:rsidR="00216718" w:rsidRPr="00216718" w:rsidRDefault="00216718" w:rsidP="00216718">
      <w:pPr>
        <w:rPr>
          <w:rFonts w:cs="Times New Roman"/>
          <w:bCs/>
          <w:szCs w:val="20"/>
        </w:rPr>
      </w:pPr>
      <w:r>
        <w:t xml:space="preserve">Одиторът трябва да провери дали участникът е декларирал приходи по смисъла на споразумението за отпускане на безвъзмездни средства, т.е. приходи, генерирани от дейността </w:t>
      </w:r>
      <w:r>
        <w:rPr>
          <w:i/>
          <w:iCs/>
        </w:rPr>
        <w:t>(например от продажба на продукти, услуги и публикации, такси за конференции)</w:t>
      </w:r>
      <w:r>
        <w:t>.</w:t>
      </w:r>
    </w:p>
    <w:p w14:paraId="4E33E4E4" w14:textId="77777777" w:rsidR="00216718" w:rsidRPr="00216718" w:rsidRDefault="00216718" w:rsidP="00216718">
      <w:pPr>
        <w:ind w:left="426" w:hanging="426"/>
        <w:outlineLvl w:val="0"/>
        <w:rPr>
          <w:rFonts w:cs="Times New Roman"/>
          <w:b/>
          <w:szCs w:val="20"/>
        </w:rPr>
      </w:pPr>
      <w:bookmarkStart w:id="935" w:name="_Toc95925072"/>
      <w:r>
        <w:rPr>
          <w:b/>
          <w:szCs w:val="20"/>
        </w:rPr>
        <w:t>5.  Разглеждане и последващи действия във връзка с констатациите от СФО</w:t>
      </w:r>
      <w:bookmarkEnd w:id="935"/>
    </w:p>
    <w:p w14:paraId="37E0EA34" w14:textId="77777777" w:rsidR="00216718" w:rsidRPr="00216718" w:rsidRDefault="00216718" w:rsidP="00216718">
      <w:pPr>
        <w:autoSpaceDE w:val="0"/>
        <w:autoSpaceDN w:val="0"/>
        <w:adjustRightInd w:val="0"/>
        <w:rPr>
          <w:rFonts w:eastAsia="Times New Roman" w:cs="Times New Roman"/>
          <w:szCs w:val="20"/>
        </w:rPr>
      </w:pPr>
      <w:r>
        <w:t xml:space="preserve">Ако одиторът установи несъответствия/изключения, в общия случай разходната позиция не следва да се включва в представения финансов отчет (и не е необходимо да се посочва в този СФО). </w:t>
      </w:r>
    </w:p>
    <w:p w14:paraId="4A858B88" w14:textId="77777777" w:rsidR="00216718" w:rsidRPr="00216718" w:rsidRDefault="00216718" w:rsidP="00216718">
      <w:pPr>
        <w:autoSpaceDE w:val="0"/>
        <w:autoSpaceDN w:val="0"/>
        <w:adjustRightInd w:val="0"/>
        <w:rPr>
          <w:rFonts w:eastAsia="Times New Roman" w:cs="Times New Roman"/>
          <w:szCs w:val="20"/>
        </w:rPr>
      </w:pPr>
      <w:r>
        <w:t>Ако проблемът не може да бъде отстранен чрез изключване на разходите от финансовия отчет или е от по-сериозен системен характер, той следва да бъде докладван в СФО.</w:t>
      </w:r>
    </w:p>
    <w:p w14:paraId="0046B48E" w14:textId="77777777" w:rsidR="00216718" w:rsidRPr="00216718" w:rsidRDefault="00216718" w:rsidP="00216718">
      <w:pPr>
        <w:autoSpaceDE w:val="0"/>
        <w:autoSpaceDN w:val="0"/>
        <w:adjustRightInd w:val="0"/>
        <w:rPr>
          <w:rFonts w:eastAsia="Times New Roman" w:cs="Times New Roman"/>
          <w:szCs w:val="20"/>
        </w:rPr>
      </w:pPr>
      <w:r>
        <w:lastRenderedPageBreak/>
        <w:t xml:space="preserve">Случаите, в които одиторът има съмнения, също следва да се докладват. Освен това от одитора се изисква да посочи всички общи коментари и други забележки, които биха били от значение за оценката (или за последващите действия въз основа на нея). </w:t>
      </w:r>
    </w:p>
    <w:p w14:paraId="16C99737" w14:textId="77777777" w:rsidR="00216718" w:rsidRDefault="00216718" w:rsidP="00216718">
      <w:pPr>
        <w:autoSpaceDE w:val="0"/>
        <w:autoSpaceDN w:val="0"/>
        <w:adjustRightInd w:val="0"/>
        <w:rPr>
          <w:rFonts w:eastAsia="Times New Roman" w:cs="Times New Roman"/>
          <w:szCs w:val="20"/>
        </w:rPr>
      </w:pPr>
      <w:r>
        <w:t>СФО не засяга правото на предоставящия орган да извършва собствена оценка или одити. Възстановяването на разходи, обхванати от сертификат, също не възпрепятства предоставящия орган</w:t>
      </w:r>
      <w:r>
        <w:rPr>
          <w:i/>
          <w:szCs w:val="20"/>
        </w:rPr>
        <w:t>,</w:t>
      </w:r>
      <w:r>
        <w:t xml:space="preserve"> Европейската комисия, Европейската служба за борба с измамите (OLAF), Европейската прокуратура или Европейската сметна палата да извършват проверки, прегледи, одити и разследвания в съответствие със споразумението за отпускане на безвъзмездни средства. Одитът на СФО не е пълен одит и не дава увереност относно законосъобразността и редовността на декларираните разходи.</w:t>
      </w:r>
    </w:p>
    <w:p w14:paraId="6E23031B" w14:textId="77777777" w:rsidR="00216718" w:rsidRDefault="00216718">
      <w:pPr>
        <w:spacing w:line="276" w:lineRule="auto"/>
        <w:jc w:val="left"/>
        <w:rPr>
          <w:rFonts w:eastAsia="Times New Roman" w:cs="Times New Roman"/>
          <w:szCs w:val="20"/>
        </w:rPr>
      </w:pPr>
      <w:r>
        <w:br w:type="page"/>
      </w:r>
    </w:p>
    <w:p w14:paraId="6B97B1AB" w14:textId="77777777" w:rsidR="00216718" w:rsidRPr="00216718" w:rsidRDefault="00216718" w:rsidP="00216718">
      <w:pPr>
        <w:jc w:val="center"/>
        <w:rPr>
          <w:rFonts w:eastAsia="Times New Roman" w:cs="Times New Roman"/>
          <w:b/>
          <w:bCs/>
          <w:szCs w:val="20"/>
        </w:rPr>
      </w:pPr>
      <w:r>
        <w:rPr>
          <w:b/>
          <w:szCs w:val="20"/>
        </w:rPr>
        <w:lastRenderedPageBreak/>
        <w:t>Сертификат</w:t>
      </w:r>
    </w:p>
    <w:p w14:paraId="3587DD97" w14:textId="77777777" w:rsidR="00216718" w:rsidRPr="00216718" w:rsidRDefault="00216718" w:rsidP="00216718">
      <w:pPr>
        <w:autoSpaceDE w:val="0"/>
        <w:autoSpaceDN w:val="0"/>
        <w:adjustRightInd w:val="0"/>
        <w:rPr>
          <w:rFonts w:eastAsia="Times New Roman" w:cs="Times New Roman"/>
          <w:bCs/>
          <w:szCs w:val="20"/>
        </w:rPr>
      </w:pPr>
      <w:r>
        <w:t>На</w:t>
      </w:r>
    </w:p>
    <w:p w14:paraId="384CB60F" w14:textId="77777777" w:rsidR="00216718" w:rsidRPr="00216718" w:rsidRDefault="00216718" w:rsidP="00216718">
      <w:pPr>
        <w:autoSpaceDE w:val="0"/>
        <w:autoSpaceDN w:val="0"/>
        <w:adjustRightInd w:val="0"/>
        <w:spacing w:after="0"/>
        <w:rPr>
          <w:rFonts w:eastAsia="Times New Roman" w:cs="Times New Roman"/>
          <w:iCs/>
          <w:szCs w:val="20"/>
          <w:highlight w:val="lightGray"/>
        </w:rPr>
      </w:pPr>
      <w:r>
        <w:t>[</w:t>
      </w:r>
      <w:r>
        <w:rPr>
          <w:iCs/>
          <w:szCs w:val="20"/>
          <w:highlight w:val="lightGray"/>
        </w:rPr>
        <w:t xml:space="preserve">Пълно наименование на организацията </w:t>
      </w:r>
    </w:p>
    <w:p w14:paraId="71F12CDF" w14:textId="77777777" w:rsidR="00216718" w:rsidRPr="00216718" w:rsidRDefault="00216718" w:rsidP="00216718">
      <w:pPr>
        <w:autoSpaceDE w:val="0"/>
        <w:autoSpaceDN w:val="0"/>
        <w:adjustRightInd w:val="0"/>
        <w:rPr>
          <w:rFonts w:eastAsia="Times New Roman" w:cs="Times New Roman"/>
          <w:iCs/>
          <w:szCs w:val="20"/>
        </w:rPr>
      </w:pPr>
      <w:r>
        <w:rPr>
          <w:iCs/>
          <w:szCs w:val="20"/>
          <w:highlight w:val="lightGray"/>
        </w:rPr>
        <w:t>адрес</w:t>
      </w:r>
      <w:r>
        <w:t>]</w:t>
      </w:r>
    </w:p>
    <w:p w14:paraId="4C535588" w14:textId="77777777" w:rsidR="00216718" w:rsidRPr="00216718" w:rsidRDefault="00216718" w:rsidP="00216718">
      <w:pPr>
        <w:autoSpaceDE w:val="0"/>
        <w:autoSpaceDN w:val="0"/>
        <w:adjustRightInd w:val="0"/>
        <w:rPr>
          <w:rFonts w:eastAsia="Times New Roman" w:cs="Times New Roman"/>
          <w:iCs/>
          <w:szCs w:val="20"/>
          <w:lang w:eastAsia="en-GB"/>
        </w:rPr>
      </w:pPr>
    </w:p>
    <w:p w14:paraId="34051940" w14:textId="77777777" w:rsidR="00216718" w:rsidRPr="00216718" w:rsidRDefault="00216718" w:rsidP="00216718">
      <w:pPr>
        <w:autoSpaceDE w:val="0"/>
        <w:autoSpaceDN w:val="0"/>
        <w:adjustRightInd w:val="0"/>
        <w:rPr>
          <w:rFonts w:eastAsia="Times New Roman" w:cs="Times New Roman"/>
          <w:szCs w:val="20"/>
        </w:rPr>
      </w:pPr>
      <w:r>
        <w:t>Ние, [</w:t>
      </w:r>
      <w:r>
        <w:rPr>
          <w:b/>
          <w:iCs/>
          <w:szCs w:val="20"/>
          <w:highlight w:val="lightGray"/>
        </w:rPr>
        <w:t>пълно наименование на одиторското предприятие</w:t>
      </w:r>
      <w:r>
        <w:t>], със седалище във [</w:t>
      </w:r>
      <w:r>
        <w:rPr>
          <w:iCs/>
          <w:szCs w:val="20"/>
          <w:highlight w:val="lightGray"/>
        </w:rPr>
        <w:t>пълен адрес/град/държава</w:t>
      </w:r>
      <w:r>
        <w:t>], представлявани за подписването на настоящия сертификат от [</w:t>
      </w:r>
      <w:r>
        <w:rPr>
          <w:iCs/>
          <w:szCs w:val="20"/>
          <w:highlight w:val="lightGray"/>
        </w:rPr>
        <w:t>име и длъжност на упълномощения представител</w:t>
      </w:r>
      <w:r>
        <w:t>],</w:t>
      </w:r>
    </w:p>
    <w:p w14:paraId="42A673BB" w14:textId="77777777" w:rsidR="00216718" w:rsidRPr="00216718" w:rsidRDefault="00216718" w:rsidP="00216718">
      <w:pPr>
        <w:autoSpaceDE w:val="0"/>
        <w:autoSpaceDN w:val="0"/>
        <w:adjustRightInd w:val="0"/>
        <w:rPr>
          <w:rFonts w:eastAsia="Times New Roman" w:cs="Times New Roman"/>
          <w:szCs w:val="20"/>
          <w:lang w:eastAsia="en-GB"/>
        </w:rPr>
      </w:pPr>
    </w:p>
    <w:p w14:paraId="06B2B1B7" w14:textId="77777777" w:rsidR="00216718" w:rsidRPr="00216718" w:rsidRDefault="00216718" w:rsidP="00216718">
      <w:pPr>
        <w:autoSpaceDE w:val="0"/>
        <w:autoSpaceDN w:val="0"/>
        <w:adjustRightInd w:val="0"/>
        <w:jc w:val="center"/>
        <w:rPr>
          <w:rFonts w:eastAsia="Times New Roman" w:cs="Times New Roman"/>
          <w:color w:val="000000"/>
          <w:szCs w:val="20"/>
        </w:rPr>
      </w:pPr>
      <w:r>
        <w:rPr>
          <w:b/>
          <w:color w:val="000000"/>
          <w:szCs w:val="20"/>
        </w:rPr>
        <w:t>удостоверяваме,</w:t>
      </w:r>
    </w:p>
    <w:p w14:paraId="105878B9" w14:textId="77777777" w:rsidR="00216718" w:rsidRPr="00216718" w:rsidRDefault="00216718" w:rsidP="00216718">
      <w:pPr>
        <w:autoSpaceDE w:val="0"/>
        <w:autoSpaceDN w:val="0"/>
        <w:adjustRightInd w:val="0"/>
        <w:rPr>
          <w:rFonts w:eastAsia="Times New Roman" w:cs="Times New Roman"/>
          <w:color w:val="000000"/>
          <w:szCs w:val="20"/>
        </w:rPr>
      </w:pPr>
      <w:r>
        <w:rPr>
          <w:color w:val="000000"/>
          <w:szCs w:val="20"/>
        </w:rPr>
        <w:t>че констатациите са фактическите резултати от изпълнените договорени процедури, и по-специално, че:</w:t>
      </w:r>
    </w:p>
    <w:p w14:paraId="2D1C1060" w14:textId="77777777" w:rsidR="00216718" w:rsidRPr="00216718" w:rsidRDefault="00216718" w:rsidP="00216718">
      <w:pPr>
        <w:autoSpaceDE w:val="0"/>
        <w:autoSpaceDN w:val="0"/>
        <w:adjustRightInd w:val="0"/>
        <w:ind w:left="567" w:hanging="567"/>
        <w:rPr>
          <w:rFonts w:cs="Times New Roman"/>
          <w:iCs/>
          <w:color w:val="000000"/>
          <w:szCs w:val="20"/>
        </w:rPr>
      </w:pPr>
      <w:r>
        <w:t xml:space="preserve">1 — </w:t>
      </w:r>
      <w:r>
        <w:tab/>
      </w:r>
      <w:r>
        <w:rPr>
          <w:color w:val="000000"/>
          <w:szCs w:val="20"/>
        </w:rPr>
        <w:t xml:space="preserve">Проверихме разходите и приходите, декларирани във финансовия отчет на </w:t>
      </w:r>
      <w:r>
        <w:t>[</w:t>
      </w:r>
      <w:r>
        <w:rPr>
          <w:b/>
          <w:szCs w:val="24"/>
          <w:highlight w:val="lightGray"/>
        </w:rPr>
        <w:t>официално наименование (съкратено наименование) на организацията</w:t>
      </w:r>
      <w:r>
        <w:t>], PIC [</w:t>
      </w:r>
      <w:r>
        <w:rPr>
          <w:szCs w:val="24"/>
          <w:highlight w:val="lightGray"/>
        </w:rPr>
        <w:t>номер</w:t>
      </w:r>
      <w:r>
        <w:t>]</w:t>
      </w:r>
      <w:r>
        <w:rPr>
          <w:color w:val="000000"/>
          <w:szCs w:val="20"/>
        </w:rPr>
        <w:t xml:space="preserve"> </w:t>
      </w:r>
      <w:r>
        <w:t xml:space="preserve">по </w:t>
      </w:r>
      <w:r>
        <w:rPr>
          <w:color w:val="000000"/>
          <w:szCs w:val="20"/>
        </w:rPr>
        <w:t>споразумение за отпускане на безвъзмездни средства № [</w:t>
      </w:r>
      <w:r>
        <w:rPr>
          <w:b/>
          <w:szCs w:val="20"/>
          <w:highlight w:val="lightGray"/>
        </w:rPr>
        <w:t>въведете номер</w:t>
      </w:r>
      <w:r>
        <w:t>] — [</w:t>
      </w:r>
      <w:r>
        <w:rPr>
          <w:b/>
          <w:szCs w:val="20"/>
          <w:highlight w:val="lightGray"/>
        </w:rPr>
        <w:t>въведете съкращение</w:t>
      </w:r>
      <w:r>
        <w:t>], покриващ разходите</w:t>
      </w:r>
      <w:r>
        <w:rPr>
          <w:iCs/>
          <w:color w:val="000000"/>
          <w:szCs w:val="20"/>
        </w:rPr>
        <w:t xml:space="preserve"> </w:t>
      </w:r>
      <w:r>
        <w:rPr>
          <w:color w:val="000000"/>
          <w:szCs w:val="20"/>
        </w:rPr>
        <w:t xml:space="preserve">за следния (те) отчетен (и) период (и): </w:t>
      </w:r>
      <w:r>
        <w:rPr>
          <w:iCs/>
          <w:color w:val="000000"/>
          <w:szCs w:val="20"/>
        </w:rPr>
        <w:t>[</w:t>
      </w:r>
      <w:r>
        <w:rPr>
          <w:b/>
          <w:iCs/>
          <w:color w:val="000000"/>
          <w:szCs w:val="20"/>
          <w:highlight w:val="lightGray"/>
        </w:rPr>
        <w:t>въведете отчетния(те) период(и)</w:t>
      </w:r>
      <w:r>
        <w:rPr>
          <w:iCs/>
          <w:color w:val="000000"/>
          <w:szCs w:val="20"/>
        </w:rPr>
        <w:t>].</w:t>
      </w:r>
    </w:p>
    <w:p w14:paraId="28ACEB13" w14:textId="77777777" w:rsidR="00216718" w:rsidRPr="00216718" w:rsidRDefault="00216718" w:rsidP="00216718">
      <w:pPr>
        <w:autoSpaceDE w:val="0"/>
        <w:autoSpaceDN w:val="0"/>
        <w:adjustRightInd w:val="0"/>
        <w:ind w:left="567"/>
        <w:rPr>
          <w:rFonts w:eastAsia="Times New Roman" w:cs="Times New Roman"/>
          <w:iCs/>
          <w:color w:val="000000"/>
          <w:szCs w:val="20"/>
        </w:rPr>
      </w:pPr>
      <w:r>
        <w:t xml:space="preserve">Общо разходи, подлежащи на проверка на разходите: </w:t>
      </w:r>
      <w:r>
        <w:rPr>
          <w:color w:val="000000"/>
          <w:szCs w:val="20"/>
        </w:rPr>
        <w:t>[</w:t>
      </w:r>
      <w:r>
        <w:rPr>
          <w:szCs w:val="20"/>
          <w:highlight w:val="lightGray"/>
        </w:rPr>
        <w:t>въведете сума</w:t>
      </w:r>
      <w:r>
        <w:t>] EUR.</w:t>
      </w:r>
    </w:p>
    <w:p w14:paraId="0CC2F439" w14:textId="77777777" w:rsidR="00216718" w:rsidRPr="00216718" w:rsidRDefault="00216718" w:rsidP="00216718">
      <w:pPr>
        <w:autoSpaceDE w:val="0"/>
        <w:autoSpaceDN w:val="0"/>
        <w:adjustRightInd w:val="0"/>
        <w:ind w:left="567" w:hanging="567"/>
        <w:rPr>
          <w:rFonts w:cs="Times New Roman"/>
          <w:color w:val="000000"/>
          <w:szCs w:val="20"/>
        </w:rPr>
      </w:pPr>
      <w:r>
        <w:t xml:space="preserve">2 — </w:t>
      </w:r>
      <w:r>
        <w:tab/>
      </w:r>
      <w:r>
        <w:rPr>
          <w:color w:val="000000"/>
          <w:szCs w:val="20"/>
        </w:rPr>
        <w:t>Проверката е извършена в съответствие със стандартите и договорените процедури, определени в</w:t>
      </w:r>
      <w:r>
        <w:t xml:space="preserve"> </w:t>
      </w:r>
      <w:r>
        <w:rPr>
          <w:color w:val="000000"/>
          <w:szCs w:val="20"/>
        </w:rPr>
        <w:t>заданието</w:t>
      </w:r>
      <w:r>
        <w:t>.</w:t>
      </w:r>
    </w:p>
    <w:p w14:paraId="2E1FEAA7" w14:textId="77777777" w:rsidR="00216718" w:rsidRPr="00216718" w:rsidRDefault="00216718" w:rsidP="00216718">
      <w:pPr>
        <w:autoSpaceDE w:val="0"/>
        <w:autoSpaceDN w:val="0"/>
        <w:adjustRightInd w:val="0"/>
        <w:ind w:left="567" w:hanging="567"/>
        <w:rPr>
          <w:rFonts w:cs="Times New Roman"/>
          <w:szCs w:val="20"/>
        </w:rPr>
      </w:pPr>
      <w:r>
        <w:t xml:space="preserve">3 — </w:t>
      </w:r>
      <w:r>
        <w:tab/>
        <w:t xml:space="preserve">Проверката установи, че </w:t>
      </w:r>
      <w:r>
        <w:rPr>
          <w:color w:val="000000"/>
          <w:szCs w:val="20"/>
        </w:rPr>
        <w:t>разходите и приходите, декларирани във финансовите отчети</w:t>
      </w:r>
      <w:r>
        <w:t>, са в съответствие с правните и финансовите разпоредби на споразумението за отпускане на безвъзмездни средства.</w:t>
      </w:r>
    </w:p>
    <w:p w14:paraId="1979C823" w14:textId="77777777" w:rsidR="00216718" w:rsidRPr="00216718" w:rsidRDefault="00216718" w:rsidP="00216718">
      <w:pPr>
        <w:autoSpaceDE w:val="0"/>
        <w:autoSpaceDN w:val="0"/>
        <w:adjustRightInd w:val="0"/>
        <w:ind w:left="426"/>
        <w:rPr>
          <w:rFonts w:eastAsia="Times New Roman" w:cs="Times New Roman"/>
          <w:b/>
          <w:szCs w:val="20"/>
        </w:rPr>
      </w:pPr>
      <w:r>
        <w:rPr>
          <w:b/>
          <w:noProof/>
          <w:color w:val="B2A1C7"/>
          <w:szCs w:val="20"/>
          <w:lang w:val="en-US"/>
        </w:rPr>
        <mc:AlternateContent>
          <mc:Choice Requires="wps">
            <w:drawing>
              <wp:anchor distT="0" distB="0" distL="114300" distR="114300" simplePos="0" relativeHeight="251657216" behindDoc="0" locked="0" layoutInCell="1" allowOverlap="1" wp14:anchorId="1CF1D7D6" wp14:editId="04F1F281">
                <wp:simplePos x="0" y="0"/>
                <wp:positionH relativeFrom="column">
                  <wp:posOffset>338455</wp:posOffset>
                </wp:positionH>
                <wp:positionV relativeFrom="paragraph">
                  <wp:posOffset>81280</wp:posOffset>
                </wp:positionV>
                <wp:extent cx="5429250" cy="1176655"/>
                <wp:effectExtent l="0" t="0" r="19050" b="23495"/>
                <wp:wrapNone/>
                <wp:docPr id="20" name="Text Box 79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0" cy="1176655"/>
                        </a:xfrm>
                        <a:prstGeom prst="rect">
                          <a:avLst/>
                        </a:prstGeom>
                        <a:solidFill>
                          <a:srgbClr val="FFFFFF"/>
                        </a:solidFill>
                        <a:ln w="19050">
                          <a:solidFill>
                            <a:srgbClr val="BFBFBF"/>
                          </a:solidFill>
                          <a:miter lim="800000"/>
                          <a:headEnd/>
                          <a:tailEnd/>
                        </a:ln>
                      </wps:spPr>
                      <wps:txbx>
                        <w:txbxContent>
                          <w:p w14:paraId="43951132" w14:textId="77777777" w:rsidR="00034F22" w:rsidRDefault="00034F22" w:rsidP="00216718">
                            <w:pPr>
                              <w:autoSpaceDE w:val="0"/>
                              <w:autoSpaceDN w:val="0"/>
                              <w:adjustRightInd w:val="0"/>
                              <w:rPr>
                                <w:rFonts w:eastAsia="Times New Roman"/>
                                <w:szCs w:val="24"/>
                              </w:rPr>
                            </w:pPr>
                            <w:r>
                              <w:t>Със следните изключения:</w:t>
                            </w:r>
                          </w:p>
                          <w:p w14:paraId="48C180F5" w14:textId="77777777" w:rsidR="00034F22" w:rsidRPr="00D64197" w:rsidRDefault="00034F22" w:rsidP="00216718">
                            <w:pPr>
                              <w:spacing w:after="60"/>
                              <w:rPr>
                                <w:rFonts w:eastAsia="Times New Roman"/>
                                <w:szCs w:val="24"/>
                              </w:rPr>
                            </w:pPr>
                            <w:r>
                              <w:t xml:space="preserve"> [</w:t>
                            </w:r>
                            <w:r>
                              <w:rPr>
                                <w:szCs w:val="24"/>
                                <w:highlight w:val="lightGray"/>
                              </w:rPr>
                              <w:t>въведете констатациите и съответните суми (ако изключението може да се представи количествено)</w:t>
                            </w:r>
                            <w: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CF1D7D6" id="_x0000_t202" coordsize="21600,21600" o:spt="202" path="m,l,21600r21600,l21600,xe">
                <v:stroke joinstyle="miter"/>
                <v:path gradientshapeok="t" o:connecttype="rect"/>
              </v:shapetype>
              <v:shape id="Text Box 7906" o:spid="_x0000_s1026" type="#_x0000_t202" style="position:absolute;left:0;text-align:left;margin-left:26.65pt;margin-top:6.4pt;width:427.5pt;height:92.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" strokecolor="#bfbfbf" strokeweight="1.5pt">
                <v:textbox>
                  <w:txbxContent>
                    <w:p w14:paraId="43951132" w14:textId="77777777" w:rsidR="00034F22" w:rsidRDefault="00034F22" w:rsidP="00216718">
                      <w:pPr>
                        <w:autoSpaceDE w:val="0"/>
                        <w:autoSpaceDN w:val="0"/>
                        <w:adjustRightInd w:val="0"/>
                        <w:rPr>
                          <w:rFonts w:eastAsia="Times New Roman"/>
                          <w:szCs w:val="24"/>
                        </w:rPr>
                      </w:pPr>
                      <w:r>
                        <w:t>Със следните изключения:</w:t>
                      </w:r>
                    </w:p>
                    <w:p w14:paraId="48C180F5" w14:textId="77777777" w:rsidR="00034F22" w:rsidRPr="00D64197" w:rsidRDefault="00034F22" w:rsidP="00216718">
                      <w:pPr>
                        <w:spacing w:after="60"/>
                        <w:rPr>
                          <w:rFonts w:eastAsia="Times New Roman"/>
                          <w:szCs w:val="24"/>
                        </w:rPr>
                      </w:pPr>
                      <w:r>
                        <w:t xml:space="preserve"> [</w:t>
                      </w:r>
                      <w:r>
                        <w:rPr>
                          <w:szCs w:val="24"/>
                          <w:highlight w:val="lightGray"/>
                        </w:rPr>
                        <w:t>въведете констатациите и съответните суми (ако изключението може да се представи количествено)</w:t>
                      </w:r>
                      <w:r>
                        <w:t>]</w:t>
                      </w:r>
                    </w:p>
                  </w:txbxContent>
                </v:textbox>
              </v:shape>
            </w:pict>
          </mc:Fallback>
        </mc:AlternateContent>
      </w:r>
    </w:p>
    <w:p w14:paraId="6FFF946B" w14:textId="77777777" w:rsidR="00216718" w:rsidRPr="00216718" w:rsidRDefault="00216718" w:rsidP="00216718">
      <w:pPr>
        <w:autoSpaceDE w:val="0"/>
        <w:autoSpaceDN w:val="0"/>
        <w:adjustRightInd w:val="0"/>
        <w:ind w:left="426"/>
        <w:rPr>
          <w:rFonts w:eastAsia="Times New Roman" w:cs="Times New Roman"/>
          <w:b/>
          <w:szCs w:val="20"/>
          <w:lang w:eastAsia="en-GB"/>
        </w:rPr>
      </w:pPr>
    </w:p>
    <w:p w14:paraId="3AEDC56E" w14:textId="77777777" w:rsidR="00216718" w:rsidRPr="00216718" w:rsidRDefault="00216718" w:rsidP="00216718">
      <w:pPr>
        <w:autoSpaceDE w:val="0"/>
        <w:autoSpaceDN w:val="0"/>
        <w:adjustRightInd w:val="0"/>
        <w:ind w:left="426"/>
        <w:rPr>
          <w:rFonts w:eastAsia="Times New Roman" w:cs="Times New Roman"/>
          <w:szCs w:val="20"/>
          <w:lang w:eastAsia="en-GB"/>
        </w:rPr>
      </w:pPr>
    </w:p>
    <w:p w14:paraId="4EBBF0D7" w14:textId="77777777" w:rsidR="00216718" w:rsidRPr="00216718" w:rsidRDefault="00216718" w:rsidP="00216718">
      <w:pPr>
        <w:autoSpaceDE w:val="0"/>
        <w:autoSpaceDN w:val="0"/>
        <w:adjustRightInd w:val="0"/>
        <w:ind w:left="426"/>
        <w:jc w:val="right"/>
        <w:rPr>
          <w:rFonts w:eastAsia="Times New Roman" w:cs="Times New Roman"/>
          <w:i/>
          <w:color w:val="4AA55B"/>
          <w:szCs w:val="20"/>
          <w:lang w:eastAsia="en-GB"/>
        </w:rPr>
      </w:pPr>
    </w:p>
    <w:p w14:paraId="1B1346D1" w14:textId="77777777" w:rsidR="00216718" w:rsidRPr="00216718" w:rsidRDefault="00216718" w:rsidP="00216718">
      <w:pPr>
        <w:autoSpaceDE w:val="0"/>
        <w:autoSpaceDN w:val="0"/>
        <w:adjustRightInd w:val="0"/>
        <w:ind w:left="426"/>
        <w:jc w:val="right"/>
        <w:rPr>
          <w:rFonts w:eastAsia="Times New Roman" w:cs="Times New Roman"/>
          <w:i/>
          <w:color w:val="4AA55B"/>
          <w:szCs w:val="20"/>
          <w:lang w:eastAsia="en-GB"/>
        </w:rPr>
      </w:pPr>
    </w:p>
    <w:p w14:paraId="4D908A2E" w14:textId="77777777" w:rsidR="00216718" w:rsidRPr="00216718" w:rsidRDefault="00216718" w:rsidP="00216718">
      <w:pPr>
        <w:autoSpaceDE w:val="0"/>
        <w:autoSpaceDN w:val="0"/>
        <w:adjustRightInd w:val="0"/>
        <w:ind w:left="426"/>
        <w:jc w:val="left"/>
        <w:rPr>
          <w:rFonts w:eastAsia="Times New Roman" w:cs="Times New Roman"/>
          <w:szCs w:val="20"/>
        </w:rPr>
      </w:pPr>
      <w:r>
        <w:rPr>
          <w:b/>
          <w:noProof/>
          <w:color w:val="B2A1C7"/>
          <w:szCs w:val="20"/>
          <w:lang w:val="en-US"/>
        </w:rPr>
        <mc:AlternateContent>
          <mc:Choice Requires="wps">
            <w:drawing>
              <wp:anchor distT="0" distB="0" distL="114300" distR="114300" simplePos="0" relativeHeight="251660288" behindDoc="0" locked="0" layoutInCell="1" allowOverlap="1" wp14:anchorId="50F0F676" wp14:editId="472BDE2A">
                <wp:simplePos x="0" y="0"/>
                <wp:positionH relativeFrom="column">
                  <wp:posOffset>338455</wp:posOffset>
                </wp:positionH>
                <wp:positionV relativeFrom="paragraph">
                  <wp:posOffset>-635</wp:posOffset>
                </wp:positionV>
                <wp:extent cx="5429250" cy="1176655"/>
                <wp:effectExtent l="0" t="0" r="19050" b="23495"/>
                <wp:wrapNone/>
                <wp:docPr id="18" name="Text Box 79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0" cy="1176655"/>
                        </a:xfrm>
                        <a:prstGeom prst="rect">
                          <a:avLst/>
                        </a:prstGeom>
                        <a:solidFill>
                          <a:srgbClr val="FFFFFF"/>
                        </a:solidFill>
                        <a:ln w="19050">
                          <a:solidFill>
                            <a:srgbClr val="BFBFBF"/>
                          </a:solidFill>
                          <a:miter lim="800000"/>
                          <a:headEnd/>
                          <a:tailEnd/>
                        </a:ln>
                      </wps:spPr>
                      <wps:txbx>
                        <w:txbxContent>
                          <w:p w14:paraId="427D1005" w14:textId="77777777" w:rsidR="00034F22" w:rsidRDefault="00034F22" w:rsidP="00216718">
                            <w:pPr>
                              <w:autoSpaceDE w:val="0"/>
                              <w:autoSpaceDN w:val="0"/>
                              <w:adjustRightInd w:val="0"/>
                              <w:rPr>
                                <w:rFonts w:eastAsia="Times New Roman"/>
                                <w:szCs w:val="24"/>
                              </w:rPr>
                            </w:pPr>
                            <w:r>
                              <w:t>Допълнителни забележки и коментари:</w:t>
                            </w:r>
                          </w:p>
                          <w:p w14:paraId="52DC6190" w14:textId="77777777" w:rsidR="00034F22" w:rsidRPr="00D64197" w:rsidRDefault="00034F22" w:rsidP="00216718">
                            <w:pPr>
                              <w:spacing w:after="60"/>
                              <w:rPr>
                                <w:rFonts w:eastAsia="Times New Roman"/>
                                <w:szCs w:val="24"/>
                              </w:rPr>
                            </w:pPr>
                            <w:r>
                              <w:t xml:space="preserve"> [</w:t>
                            </w:r>
                            <w:r>
                              <w:rPr>
                                <w:szCs w:val="24"/>
                                <w:highlight w:val="lightGray"/>
                              </w:rPr>
                              <w:t>въведете допълнителна информация</w:t>
                            </w:r>
                            <w: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0F0F676" id="_x0000_s1027" type="#_x0000_t202" style="position:absolute;left:0;text-align:left;margin-left:26.65pt;margin-top:-.05pt;width:427.5pt;height:92.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" strokecolor="#bfbfbf" strokeweight="1.5pt">
                <v:textbox>
                  <w:txbxContent>
                    <w:p w14:paraId="427D1005" w14:textId="77777777" w:rsidR="00034F22" w:rsidRDefault="00034F22" w:rsidP="00216718">
                      <w:pPr>
                        <w:autoSpaceDE w:val="0"/>
                        <w:autoSpaceDN w:val="0"/>
                        <w:adjustRightInd w:val="0"/>
                        <w:rPr>
                          <w:rFonts w:eastAsia="Times New Roman"/>
                          <w:szCs w:val="24"/>
                        </w:rPr>
                      </w:pPr>
                      <w:r>
                        <w:t>Допълнителни забележки и коментари:</w:t>
                      </w:r>
                    </w:p>
                    <w:p w14:paraId="52DC6190" w14:textId="77777777" w:rsidR="00034F22" w:rsidRPr="00D64197" w:rsidRDefault="00034F22" w:rsidP="00216718">
                      <w:pPr>
                        <w:spacing w:after="60"/>
                        <w:rPr>
                          <w:rFonts w:eastAsia="Times New Roman"/>
                          <w:szCs w:val="24"/>
                        </w:rPr>
                      </w:pPr>
                      <w:r>
                        <w:t xml:space="preserve"> [</w:t>
                      </w:r>
                      <w:r>
                        <w:rPr>
                          <w:szCs w:val="24"/>
                          <w:highlight w:val="lightGray"/>
                        </w:rPr>
                        <w:t>въведете допълнителна информация</w:t>
                      </w:r>
                      <w:r>
                        <w:t>]</w:t>
                      </w:r>
                    </w:p>
                  </w:txbxContent>
                </v:textbox>
              </v:shape>
            </w:pict>
          </mc:Fallback>
        </mc:AlternateContent>
      </w:r>
    </w:p>
    <w:p w14:paraId="3D11E0C6" w14:textId="77777777" w:rsidR="00216718" w:rsidRPr="00216718" w:rsidRDefault="00216718" w:rsidP="00216718">
      <w:pPr>
        <w:autoSpaceDE w:val="0"/>
        <w:autoSpaceDN w:val="0"/>
        <w:adjustRightInd w:val="0"/>
        <w:ind w:left="426"/>
        <w:jc w:val="left"/>
        <w:rPr>
          <w:rFonts w:eastAsia="Times New Roman" w:cs="Times New Roman"/>
          <w:szCs w:val="20"/>
          <w:lang w:eastAsia="en-GB"/>
        </w:rPr>
      </w:pPr>
    </w:p>
    <w:p w14:paraId="71E8F281" w14:textId="77777777" w:rsidR="00216718" w:rsidRPr="00216718" w:rsidRDefault="00216718" w:rsidP="00216718">
      <w:pPr>
        <w:autoSpaceDE w:val="0"/>
        <w:autoSpaceDN w:val="0"/>
        <w:adjustRightInd w:val="0"/>
        <w:ind w:left="426"/>
        <w:jc w:val="left"/>
        <w:rPr>
          <w:rFonts w:eastAsia="Times New Roman" w:cs="Times New Roman"/>
          <w:szCs w:val="20"/>
          <w:lang w:eastAsia="en-GB"/>
        </w:rPr>
      </w:pPr>
    </w:p>
    <w:p w14:paraId="10AC3242" w14:textId="77777777" w:rsidR="00216718" w:rsidRPr="00216718" w:rsidRDefault="00216718" w:rsidP="00216718">
      <w:pPr>
        <w:autoSpaceDE w:val="0"/>
        <w:autoSpaceDN w:val="0"/>
        <w:adjustRightInd w:val="0"/>
        <w:ind w:left="426"/>
        <w:jc w:val="left"/>
        <w:rPr>
          <w:rFonts w:eastAsia="Times New Roman" w:cs="Times New Roman"/>
          <w:szCs w:val="20"/>
          <w:lang w:eastAsia="en-GB"/>
        </w:rPr>
      </w:pPr>
    </w:p>
    <w:p w14:paraId="3910B6F7" w14:textId="77777777" w:rsidR="00216718" w:rsidRPr="00216718" w:rsidRDefault="00216718" w:rsidP="00216718">
      <w:pPr>
        <w:autoSpaceDE w:val="0"/>
        <w:autoSpaceDN w:val="0"/>
        <w:adjustRightInd w:val="0"/>
        <w:ind w:left="426"/>
        <w:jc w:val="left"/>
        <w:rPr>
          <w:rFonts w:eastAsia="Times New Roman" w:cs="Times New Roman"/>
          <w:szCs w:val="20"/>
          <w:lang w:eastAsia="en-GB"/>
        </w:rPr>
      </w:pPr>
    </w:p>
    <w:p w14:paraId="5147E2EB" w14:textId="77777777" w:rsidR="00216718" w:rsidRPr="00216718" w:rsidRDefault="00216718" w:rsidP="00216718">
      <w:pPr>
        <w:autoSpaceDE w:val="0"/>
        <w:autoSpaceDN w:val="0"/>
        <w:adjustRightInd w:val="0"/>
        <w:ind w:left="567" w:hanging="567"/>
        <w:rPr>
          <w:rFonts w:eastAsia="Times New Roman" w:cs="Times New Roman"/>
          <w:szCs w:val="20"/>
        </w:rPr>
      </w:pPr>
      <w:r>
        <w:lastRenderedPageBreak/>
        <w:t xml:space="preserve">4 — Ние </w:t>
      </w:r>
      <w:r>
        <w:rPr>
          <w:color w:val="000000"/>
          <w:szCs w:val="20"/>
        </w:rPr>
        <w:t>имаме правоспособност</w:t>
      </w:r>
      <w:r>
        <w:t xml:space="preserve">/сме упълномощени да издадем настоящия сертификат </w:t>
      </w:r>
      <w:r>
        <w:rPr>
          <w:i/>
          <w:color w:val="4AA55B"/>
          <w:szCs w:val="20"/>
        </w:rPr>
        <w:t>[</w:t>
      </w:r>
      <w:r>
        <w:rPr>
          <w:i/>
          <w:szCs w:val="20"/>
        </w:rPr>
        <w:t>(за допълнителна информация вж. допълнението към настоящия сертификат)</w:t>
      </w:r>
      <w:r>
        <w:rPr>
          <w:i/>
          <w:color w:val="4AA55B"/>
          <w:szCs w:val="20"/>
        </w:rPr>
        <w:t>]</w:t>
      </w:r>
      <w:r>
        <w:t xml:space="preserve"> и не сме в състояние на какъвто и да било конфликт на интереси.</w:t>
      </w:r>
    </w:p>
    <w:p w14:paraId="4DD92C42" w14:textId="77777777" w:rsidR="00216718" w:rsidRPr="00216718" w:rsidRDefault="00216718" w:rsidP="00216718">
      <w:pPr>
        <w:autoSpaceDE w:val="0"/>
        <w:autoSpaceDN w:val="0"/>
        <w:adjustRightInd w:val="0"/>
        <w:ind w:left="567" w:hanging="567"/>
        <w:rPr>
          <w:rFonts w:eastAsia="Times New Roman" w:cs="Times New Roman"/>
          <w:szCs w:val="20"/>
        </w:rPr>
      </w:pPr>
      <w:r>
        <w:t xml:space="preserve">5 — За настоящия одитен сертификат бенефициерът заплати </w:t>
      </w:r>
      <w:r>
        <w:rPr>
          <w:b/>
          <w:szCs w:val="20"/>
        </w:rPr>
        <w:t>цена</w:t>
      </w:r>
      <w:r>
        <w:t xml:space="preserve"> от [</w:t>
      </w:r>
      <w:r>
        <w:rPr>
          <w:iCs/>
          <w:szCs w:val="20"/>
          <w:highlight w:val="lightGray"/>
        </w:rPr>
        <w:t>въведете сума</w:t>
      </w:r>
      <w:r>
        <w:t>]) EUR (включително ДДС в размер на [</w:t>
      </w:r>
      <w:r>
        <w:rPr>
          <w:iCs/>
          <w:szCs w:val="20"/>
          <w:highlight w:val="lightGray"/>
        </w:rPr>
        <w:t>въведете сума</w:t>
      </w:r>
      <w:r>
        <w:t xml:space="preserve">] EUR). </w:t>
      </w:r>
      <w:r>
        <w:rPr>
          <w:i/>
          <w:iCs/>
          <w:color w:val="4AA55B"/>
          <w:szCs w:val="20"/>
        </w:rPr>
        <w:t>[ВАРИАНТ 1:</w:t>
      </w:r>
      <w:r>
        <w:rPr>
          <w:i/>
          <w:iCs/>
          <w:color w:val="0088CC"/>
          <w:szCs w:val="20"/>
        </w:rPr>
        <w:t xml:space="preserve"> </w:t>
      </w:r>
      <w:r>
        <w:t>Тези разходи са допустими за сметка на безвъзмездните средства и са включени във финансовия отчет.</w:t>
      </w:r>
      <w:r>
        <w:rPr>
          <w:i/>
          <w:color w:val="4AA55B"/>
          <w:szCs w:val="20"/>
        </w:rPr>
        <w:t xml:space="preserve">][ВАРИАНТ 2: </w:t>
      </w:r>
      <w:r>
        <w:t>Тези разходи не са били начислени за сметка на безвъзмездните средства.</w:t>
      </w:r>
      <w:r>
        <w:rPr>
          <w:i/>
          <w:color w:val="4AA55B"/>
          <w:szCs w:val="20"/>
        </w:rPr>
        <w:t>]</w:t>
      </w:r>
    </w:p>
    <w:p w14:paraId="1F83C67B" w14:textId="77777777" w:rsidR="00216718" w:rsidRPr="00216718" w:rsidRDefault="00216718" w:rsidP="00216718">
      <w:pPr>
        <w:rPr>
          <w:rFonts w:eastAsia="Times New Roman" w:cs="Times New Roman"/>
          <w:szCs w:val="20"/>
          <w:lang w:eastAsia="en-GB"/>
        </w:rPr>
      </w:pPr>
    </w:p>
    <w:p w14:paraId="1D6222BE" w14:textId="77777777" w:rsidR="00216718" w:rsidRPr="00216718" w:rsidRDefault="00216718" w:rsidP="00216718">
      <w:pPr>
        <w:rPr>
          <w:rFonts w:eastAsia="Times New Roman" w:cs="Times New Roman"/>
          <w:szCs w:val="20"/>
          <w:lang w:eastAsia="en-GB"/>
        </w:rPr>
      </w:pPr>
    </w:p>
    <w:p w14:paraId="58DBA67E" w14:textId="77777777" w:rsidR="00216718" w:rsidRPr="00216718" w:rsidRDefault="00216718" w:rsidP="00216718">
      <w:pPr>
        <w:jc w:val="left"/>
        <w:rPr>
          <w:rFonts w:eastAsia="Times New Roman" w:cs="Times New Roman"/>
          <w:szCs w:val="20"/>
        </w:rPr>
      </w:pPr>
      <w:r>
        <w:t>ПОДПИС</w:t>
      </w:r>
    </w:p>
    <w:p w14:paraId="7D8F16F2" w14:textId="77777777" w:rsidR="00216718" w:rsidRPr="00216718" w:rsidRDefault="00216718" w:rsidP="00216718">
      <w:pPr>
        <w:jc w:val="left"/>
        <w:rPr>
          <w:rFonts w:eastAsia="Times New Roman" w:cs="Times New Roman"/>
          <w:szCs w:val="20"/>
        </w:rPr>
      </w:pPr>
      <w:r>
        <w:t>За одитора</w:t>
      </w:r>
    </w:p>
    <w:p w14:paraId="757046AF" w14:textId="77777777" w:rsidR="00216718" w:rsidRPr="00216718" w:rsidRDefault="00216718" w:rsidP="00216718">
      <w:pPr>
        <w:snapToGrid w:val="0"/>
        <w:jc w:val="left"/>
        <w:rPr>
          <w:rFonts w:eastAsia="Times New Roman" w:cs="Times New Roman"/>
          <w:szCs w:val="20"/>
        </w:rPr>
      </w:pPr>
      <w:r>
        <w:t>[</w:t>
      </w:r>
      <w:r>
        <w:rPr>
          <w:szCs w:val="20"/>
          <w:highlight w:val="lightGray"/>
        </w:rPr>
        <w:t>собствено име/фамилно име/длъжност</w:t>
      </w:r>
      <w:r>
        <w:t>]</w:t>
      </w:r>
    </w:p>
    <w:p w14:paraId="6F54A2AE" w14:textId="77777777" w:rsidR="00216718" w:rsidRPr="00216718" w:rsidRDefault="00216718" w:rsidP="00216718">
      <w:pPr>
        <w:snapToGrid w:val="0"/>
        <w:jc w:val="left"/>
        <w:rPr>
          <w:rFonts w:eastAsia="Times New Roman" w:cs="Times New Roman"/>
          <w:szCs w:val="20"/>
        </w:rPr>
      </w:pPr>
      <w:r>
        <w:t>[</w:t>
      </w:r>
      <w:r>
        <w:rPr>
          <w:szCs w:val="20"/>
          <w:highlight w:val="lightGray"/>
        </w:rPr>
        <w:t>подпис</w:t>
      </w:r>
      <w:r>
        <w:t xml:space="preserve">] </w:t>
      </w:r>
      <w:r>
        <w:br/>
        <w:t>[</w:t>
      </w:r>
      <w:r>
        <w:rPr>
          <w:szCs w:val="20"/>
          <w:highlight w:val="lightGray"/>
        </w:rPr>
        <w:t>дата</w:t>
      </w:r>
      <w:r>
        <w:t>]     [</w:t>
      </w:r>
      <w:r>
        <w:rPr>
          <w:szCs w:val="20"/>
          <w:highlight w:val="lightGray"/>
        </w:rPr>
        <w:t>печат</w:t>
      </w:r>
      <w:r>
        <w:t>]</w:t>
      </w:r>
    </w:p>
    <w:p w14:paraId="33895E63" w14:textId="4EBAC4F6" w:rsidR="00216718" w:rsidRPr="00216718" w:rsidRDefault="00216718" w:rsidP="00216718">
      <w:pPr>
        <w:autoSpaceDE w:val="0"/>
        <w:autoSpaceDN w:val="0"/>
        <w:adjustRightInd w:val="0"/>
        <w:rPr>
          <w:rFonts w:eastAsia="Times New Roman" w:cs="Times New Roman"/>
          <w:szCs w:val="20"/>
          <w:lang w:eastAsia="zh-CN"/>
        </w:rPr>
      </w:pPr>
    </w:p>
    <w:p w14:paraId="5209C40C" w14:textId="77777777" w:rsidR="008907F4" w:rsidRDefault="008907F4" w:rsidP="008907F4">
      <w:pPr>
        <w:spacing w:after="0"/>
        <w:jc w:val="left"/>
        <w:rPr>
          <w:rFonts w:eastAsia="Times New Roman"/>
          <w:szCs w:val="24"/>
        </w:rPr>
      </w:pPr>
      <w:r>
        <w:br w:type="page"/>
      </w:r>
    </w:p>
    <w:p w14:paraId="7B633A6A" w14:textId="77777777" w:rsidR="008907F4" w:rsidRPr="00C70383" w:rsidRDefault="2FA6B974" w:rsidP="00D97B0A">
      <w:pPr>
        <w:pStyle w:val="Annex"/>
      </w:pPr>
      <w:r>
        <w:lastRenderedPageBreak/>
        <w:t xml:space="preserve">ПРИЛОЖЕНИЕ 7 </w:t>
      </w:r>
    </w:p>
    <w:p w14:paraId="28C4F337" w14:textId="77777777" w:rsidR="008907F4" w:rsidRPr="00C70383" w:rsidRDefault="008907F4" w:rsidP="008907F4">
      <w:pPr>
        <w:spacing w:after="0"/>
        <w:rPr>
          <w:szCs w:val="24"/>
        </w:rPr>
      </w:pPr>
    </w:p>
    <w:p w14:paraId="26B33E74" w14:textId="7E6EEF45" w:rsidR="008907F4" w:rsidRPr="00D97B0A" w:rsidRDefault="2FA6B974" w:rsidP="2FA6B974">
      <w:pPr>
        <w:jc w:val="center"/>
        <w:rPr>
          <w:b/>
          <w:bCs/>
          <w:caps/>
        </w:rPr>
      </w:pPr>
      <w:bookmarkStart w:id="936" w:name="_Toc61601079"/>
      <w:r>
        <w:rPr>
          <w:b/>
          <w:bCs/>
          <w:shd w:val="clear" w:color="auto" w:fill="CCFFFF"/>
        </w:rPr>
        <w:t>ОБРАЗЕЦ НА ПЕРИОДИЧЕН ТЕХНИЧЕСКИ ОТЧЕТ</w:t>
      </w:r>
      <w:bookmarkEnd w:id="936"/>
    </w:p>
    <w:p w14:paraId="456FA7D4" w14:textId="77777777" w:rsidR="008907F4" w:rsidRDefault="008907F4" w:rsidP="00216718">
      <w:pPr>
        <w:rPr>
          <w:lang w:eastAsia="en-GB"/>
        </w:rPr>
      </w:pPr>
    </w:p>
    <w:p w14:paraId="678658FD" w14:textId="77777777" w:rsidR="008907F4" w:rsidRPr="00E73465" w:rsidRDefault="008907F4" w:rsidP="008907F4">
      <w:pPr>
        <w:spacing w:after="0"/>
        <w:rPr>
          <w:kern w:val="32"/>
          <w:szCs w:val="24"/>
          <w:highlight w:val="yellow"/>
        </w:rPr>
      </w:pPr>
    </w:p>
    <w:p w14:paraId="2810CE1C" w14:textId="7E23DFB0" w:rsidR="008907F4" w:rsidRPr="00E73465" w:rsidRDefault="2FA6B974" w:rsidP="2FA6B974">
      <w:pPr>
        <w:spacing w:after="0"/>
        <w:jc w:val="center"/>
        <w:rPr>
          <w:b/>
          <w:bCs/>
        </w:rPr>
      </w:pPr>
      <w:r>
        <w:rPr>
          <w:i/>
          <w:iCs/>
          <w:color w:val="4AA55B"/>
        </w:rPr>
        <w:t>[</w:t>
      </w:r>
      <w:r>
        <w:rPr>
          <w:b/>
          <w:bCs/>
        </w:rPr>
        <w:t>1-ви</w:t>
      </w:r>
      <w:r>
        <w:rPr>
          <w:i/>
          <w:iCs/>
          <w:color w:val="4AA55B"/>
        </w:rPr>
        <w:t>]</w:t>
      </w:r>
      <w:r>
        <w:rPr>
          <w:b/>
          <w:bCs/>
          <w:i/>
          <w:iCs/>
        </w:rPr>
        <w:t xml:space="preserve"> </w:t>
      </w:r>
      <w:r>
        <w:rPr>
          <w:i/>
          <w:iCs/>
          <w:color w:val="4AA55B"/>
        </w:rPr>
        <w:t>[</w:t>
      </w:r>
      <w:r>
        <w:rPr>
          <w:b/>
          <w:bCs/>
        </w:rPr>
        <w:t>2-ри</w:t>
      </w:r>
      <w:r>
        <w:rPr>
          <w:i/>
          <w:iCs/>
          <w:color w:val="4AA55B"/>
        </w:rPr>
        <w:t>]</w:t>
      </w:r>
      <w:r>
        <w:rPr>
          <w:b/>
          <w:bCs/>
          <w:i/>
          <w:iCs/>
        </w:rPr>
        <w:t xml:space="preserve"> </w:t>
      </w:r>
      <w:r>
        <w:rPr>
          <w:i/>
          <w:iCs/>
          <w:color w:val="4AA55B"/>
        </w:rPr>
        <w:t>[</w:t>
      </w:r>
      <w:r>
        <w:rPr>
          <w:b/>
          <w:bCs/>
        </w:rPr>
        <w:t>3-ти</w:t>
      </w:r>
      <w:r>
        <w:rPr>
          <w:i/>
          <w:iCs/>
          <w:color w:val="4AA55B"/>
        </w:rPr>
        <w:t>]</w:t>
      </w:r>
      <w:r>
        <w:t xml:space="preserve"> </w:t>
      </w:r>
      <w:r>
        <w:rPr>
          <w:b/>
          <w:bCs/>
        </w:rPr>
        <w:t xml:space="preserve">периодичен технически отчет за дейността </w:t>
      </w:r>
      <w:r>
        <w:t>[</w:t>
      </w:r>
      <w:r>
        <w:rPr>
          <w:highlight w:val="lightGray"/>
        </w:rPr>
        <w:t>въведете съкращението на проекта</w:t>
      </w:r>
      <w:r>
        <w:t>]</w:t>
      </w:r>
    </w:p>
    <w:p w14:paraId="27BFC6BD" w14:textId="77777777" w:rsidR="008907F4" w:rsidRPr="00E73465" w:rsidRDefault="008907F4" w:rsidP="008907F4">
      <w:pPr>
        <w:spacing w:after="0"/>
        <w:rPr>
          <w:i/>
          <w:szCs w:val="24"/>
        </w:rPr>
      </w:pPr>
    </w:p>
    <w:p w14:paraId="03380DD7" w14:textId="77777777" w:rsidR="008907F4" w:rsidRPr="00E73465" w:rsidRDefault="008907F4" w:rsidP="008907F4">
      <w:pPr>
        <w:spacing w:after="0"/>
        <w:rPr>
          <w:i/>
          <w:szCs w:val="24"/>
        </w:rPr>
      </w:pPr>
    </w:p>
    <w:p w14:paraId="1877A808" w14:textId="77777777" w:rsidR="008907F4" w:rsidRPr="006954E2" w:rsidRDefault="008907F4" w:rsidP="008907F4">
      <w:pPr>
        <w:spacing w:after="0"/>
        <w:rPr>
          <w:szCs w:val="24"/>
        </w:rPr>
      </w:pPr>
      <w:r>
        <w:t xml:space="preserve">Номер на споразумението за отпускане на безвъзмездни средства: </w:t>
      </w:r>
      <w:r>
        <w:tab/>
      </w:r>
      <w:r>
        <w:tab/>
        <w:t>[</w:t>
      </w:r>
      <w:r>
        <w:rPr>
          <w:highlight w:val="lightGray"/>
        </w:rPr>
        <w:t>въведете номера на споразумение за отпускане на безвъзмездни средства</w:t>
      </w:r>
      <w:r>
        <w:t xml:space="preserve">] </w:t>
      </w:r>
    </w:p>
    <w:p w14:paraId="4175F3DB" w14:textId="5296C49D" w:rsidR="008907F4" w:rsidRPr="006954E2" w:rsidRDefault="008907F4" w:rsidP="008907F4">
      <w:pPr>
        <w:spacing w:after="0"/>
        <w:rPr>
          <w:szCs w:val="24"/>
        </w:rPr>
      </w:pPr>
      <w:r>
        <w:t xml:space="preserve">Наименование на дейността: </w:t>
      </w:r>
      <w:r>
        <w:tab/>
      </w:r>
      <w:r>
        <w:tab/>
      </w:r>
      <w:r>
        <w:tab/>
        <w:t>[</w:t>
      </w:r>
      <w:r>
        <w:rPr>
          <w:highlight w:val="lightGray"/>
        </w:rPr>
        <w:t>въведете наименованието на проекта</w:t>
      </w:r>
      <w:r>
        <w:t xml:space="preserve">] </w:t>
      </w:r>
    </w:p>
    <w:p w14:paraId="6518E4D5" w14:textId="77777777" w:rsidR="008907F4" w:rsidRPr="006954E2" w:rsidRDefault="008907F4" w:rsidP="008907F4">
      <w:pPr>
        <w:spacing w:after="0"/>
        <w:rPr>
          <w:szCs w:val="24"/>
        </w:rPr>
      </w:pPr>
      <w:r>
        <w:t xml:space="preserve">Начална дата на дейността: </w:t>
      </w:r>
      <w:r>
        <w:tab/>
      </w:r>
      <w:r>
        <w:tab/>
        <w:t>[</w:t>
      </w:r>
      <w:r>
        <w:rPr>
          <w:highlight w:val="lightGray"/>
        </w:rPr>
        <w:t>въведете датата във формат дд/мм/гггг</w:t>
      </w:r>
      <w:r>
        <w:t xml:space="preserve">] </w:t>
      </w:r>
    </w:p>
    <w:p w14:paraId="070FBC23" w14:textId="77777777" w:rsidR="008907F4" w:rsidRPr="006954E2" w:rsidRDefault="008907F4" w:rsidP="008907F4">
      <w:pPr>
        <w:spacing w:after="0"/>
        <w:rPr>
          <w:szCs w:val="24"/>
        </w:rPr>
      </w:pPr>
      <w:r>
        <w:t xml:space="preserve">Продължителност на дейността: </w:t>
      </w:r>
      <w:r>
        <w:tab/>
      </w:r>
      <w:r>
        <w:tab/>
        <w:t>[</w:t>
      </w:r>
      <w:r>
        <w:rPr>
          <w:highlight w:val="lightGray"/>
        </w:rPr>
        <w:t>въведете продължителността в месеци</w:t>
      </w:r>
      <w:r>
        <w:t xml:space="preserve">] </w:t>
      </w:r>
    </w:p>
    <w:p w14:paraId="01B14EC1" w14:textId="77777777" w:rsidR="008907F4" w:rsidRPr="006954E2" w:rsidRDefault="008907F4" w:rsidP="008907F4">
      <w:pPr>
        <w:spacing w:after="0"/>
        <w:rPr>
          <w:szCs w:val="24"/>
        </w:rPr>
      </w:pPr>
      <w:r>
        <w:t>Обхванат от отчета период:</w:t>
      </w:r>
      <w:r>
        <w:tab/>
      </w:r>
      <w:r>
        <w:tab/>
        <w:t>от [</w:t>
      </w:r>
      <w:r>
        <w:rPr>
          <w:highlight w:val="lightGray"/>
        </w:rPr>
        <w:t>въведете дата във формат дд/мм/гггг</w:t>
      </w:r>
      <w:r>
        <w:t>] до [</w:t>
      </w:r>
      <w:r>
        <w:rPr>
          <w:highlight w:val="lightGray"/>
        </w:rPr>
        <w:t>въведете дата във формат дд/мм/гггг</w:t>
      </w:r>
      <w:r>
        <w:t>]</w:t>
      </w:r>
    </w:p>
    <w:p w14:paraId="0A26F2E5" w14:textId="77777777" w:rsidR="008907F4" w:rsidRDefault="008907F4" w:rsidP="008907F4">
      <w:pPr>
        <w:spacing w:after="0"/>
        <w:rPr>
          <w:szCs w:val="24"/>
          <w:highlight w:val="lightGray"/>
        </w:rPr>
      </w:pPr>
    </w:p>
    <w:p w14:paraId="1340F830" w14:textId="77777777" w:rsidR="008907F4" w:rsidRPr="00E73465" w:rsidRDefault="008907F4" w:rsidP="008907F4">
      <w:pPr>
        <w:spacing w:after="0"/>
        <w:rPr>
          <w:kern w:val="32"/>
          <w:szCs w:val="24"/>
        </w:rPr>
      </w:pPr>
    </w:p>
    <w:p w14:paraId="3E7E0E5D" w14:textId="77777777" w:rsidR="008907F4" w:rsidRPr="00C0667D" w:rsidRDefault="2FA6B974" w:rsidP="2FA6B974">
      <w:pPr>
        <w:spacing w:after="0"/>
        <w:rPr>
          <w:rFonts w:eastAsia="Times New Roman"/>
        </w:rPr>
      </w:pPr>
      <w:r>
        <w:t>1) </w:t>
      </w:r>
      <w:r>
        <w:rPr>
          <w:b/>
          <w:bCs/>
        </w:rPr>
        <w:t>Описание на извършените дейности с обосновка за всякакви отклонения от предвидените дейности</w:t>
      </w:r>
      <w:r>
        <w:t xml:space="preserve"> </w:t>
      </w:r>
      <w:r>
        <w:rPr>
          <w:i/>
          <w:iCs/>
        </w:rPr>
        <w:t>(най-много 1500 знака за всяка дейност)</w:t>
      </w:r>
    </w:p>
    <w:p w14:paraId="04F9D494" w14:textId="77777777" w:rsidR="008907F4" w:rsidRPr="00C0667D" w:rsidRDefault="008907F4" w:rsidP="008907F4">
      <w:pPr>
        <w:spacing w:after="0"/>
        <w:rPr>
          <w:rFonts w:eastAsia="Times New Roman"/>
          <w:szCs w:val="24"/>
          <w:lang w:eastAsia="en-GB"/>
        </w:rPr>
      </w:pPr>
    </w:p>
    <w:tbl>
      <w:tblPr>
        <w:tblW w:w="0" w:type="auto"/>
        <w:tblInd w:w="426"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ook w:val="04A0" w:firstRow="1" w:lastRow="0" w:firstColumn="1" w:lastColumn="0" w:noHBand="0" w:noVBand="1"/>
      </w:tblPr>
      <w:tblGrid>
        <w:gridCol w:w="1999"/>
        <w:gridCol w:w="2052"/>
        <w:gridCol w:w="1871"/>
        <w:gridCol w:w="2880"/>
      </w:tblGrid>
      <w:tr w:rsidR="008907F4" w:rsidRPr="00C0667D" w14:paraId="50B056D6" w14:textId="77777777" w:rsidTr="2FA6B974">
        <w:tc>
          <w:tcPr>
            <w:tcW w:w="1999" w:type="dxa"/>
            <w:shd w:val="clear" w:color="auto" w:fill="F2F2F2" w:themeFill="background1" w:themeFillShade="F2"/>
          </w:tcPr>
          <w:p w14:paraId="7F5CD1D5" w14:textId="77777777" w:rsidR="008907F4" w:rsidRPr="00C0667D" w:rsidRDefault="008907F4" w:rsidP="00B217B2">
            <w:pPr>
              <w:spacing w:after="0"/>
              <w:rPr>
                <w:sz w:val="20"/>
              </w:rPr>
            </w:pPr>
          </w:p>
        </w:tc>
        <w:tc>
          <w:tcPr>
            <w:tcW w:w="2052" w:type="dxa"/>
            <w:shd w:val="clear" w:color="auto" w:fill="F2F2F2" w:themeFill="background1" w:themeFillShade="F2"/>
          </w:tcPr>
          <w:p w14:paraId="26EACEB1" w14:textId="77777777" w:rsidR="008907F4" w:rsidRPr="00C0667D" w:rsidRDefault="2FA6B974" w:rsidP="00B217B2">
            <w:pPr>
              <w:spacing w:after="0"/>
            </w:pPr>
            <w:r>
              <w:rPr>
                <w:sz w:val="20"/>
                <w:szCs w:val="20"/>
              </w:rPr>
              <w:t>Описание на предвидените в проекта дейности</w:t>
            </w:r>
            <w:r>
              <w:rPr>
                <w:sz w:val="20"/>
                <w:szCs w:val="20"/>
                <w:vertAlign w:val="superscript"/>
              </w:rPr>
              <w:t>1)</w:t>
            </w:r>
            <w:r>
              <w:rPr>
                <w:sz w:val="20"/>
                <w:szCs w:val="20"/>
              </w:rPr>
              <w:t>, включително посочване на показателите за очакваното изпълнение и очакваните резултати</w:t>
            </w:r>
            <w:r>
              <w:rPr>
                <w:sz w:val="20"/>
                <w:szCs w:val="20"/>
                <w:vertAlign w:val="superscript"/>
              </w:rPr>
              <w:t>2)</w:t>
            </w:r>
          </w:p>
        </w:tc>
        <w:tc>
          <w:tcPr>
            <w:tcW w:w="1871" w:type="dxa"/>
            <w:shd w:val="clear" w:color="auto" w:fill="F2F2F2" w:themeFill="background1" w:themeFillShade="F2"/>
          </w:tcPr>
          <w:p w14:paraId="19082EF3" w14:textId="77777777" w:rsidR="008907F4" w:rsidRPr="00C0667D" w:rsidRDefault="2FA6B974" w:rsidP="2FA6B974">
            <w:pPr>
              <w:spacing w:after="0"/>
              <w:rPr>
                <w:sz w:val="20"/>
                <w:szCs w:val="20"/>
              </w:rPr>
            </w:pPr>
            <w:r>
              <w:rPr>
                <w:sz w:val="20"/>
                <w:szCs w:val="20"/>
              </w:rPr>
              <w:t xml:space="preserve">Описание на извършените дейности с посочване на показателите за изпълнението и резултатите </w:t>
            </w:r>
          </w:p>
          <w:p w14:paraId="69FDE12A" w14:textId="77777777" w:rsidR="008907F4" w:rsidRPr="00C0667D" w:rsidRDefault="008907F4" w:rsidP="00B217B2">
            <w:pPr>
              <w:spacing w:after="0"/>
              <w:rPr>
                <w:sz w:val="20"/>
              </w:rPr>
            </w:pPr>
          </w:p>
        </w:tc>
        <w:tc>
          <w:tcPr>
            <w:tcW w:w="2880" w:type="dxa"/>
            <w:shd w:val="clear" w:color="auto" w:fill="F2F2F2" w:themeFill="background1" w:themeFillShade="F2"/>
          </w:tcPr>
          <w:p w14:paraId="4BB3EDA3" w14:textId="77777777" w:rsidR="008907F4" w:rsidRPr="00C0667D" w:rsidRDefault="2FA6B974" w:rsidP="2FA6B974">
            <w:pPr>
              <w:spacing w:after="0"/>
              <w:rPr>
                <w:sz w:val="20"/>
                <w:szCs w:val="20"/>
              </w:rPr>
            </w:pPr>
            <w:r>
              <w:rPr>
                <w:sz w:val="20"/>
                <w:szCs w:val="20"/>
              </w:rPr>
              <w:t>Обяснителни бележки, с които се обосновават различията между предвидените за извършване дейности и действително извършените дейности</w:t>
            </w:r>
          </w:p>
        </w:tc>
      </w:tr>
      <w:tr w:rsidR="008907F4" w:rsidRPr="003F3A53" w14:paraId="5BC44D09" w14:textId="77777777" w:rsidTr="2FA6B974">
        <w:tc>
          <w:tcPr>
            <w:tcW w:w="1999" w:type="dxa"/>
            <w:shd w:val="clear" w:color="auto" w:fill="auto"/>
          </w:tcPr>
          <w:p w14:paraId="18003AAB" w14:textId="77777777" w:rsidR="008907F4" w:rsidRPr="00C0667D" w:rsidRDefault="2FA6B974" w:rsidP="2FA6B974">
            <w:pPr>
              <w:spacing w:after="0"/>
              <w:rPr>
                <w:sz w:val="20"/>
                <w:szCs w:val="20"/>
              </w:rPr>
            </w:pPr>
            <w:r>
              <w:rPr>
                <w:sz w:val="20"/>
                <w:szCs w:val="20"/>
              </w:rPr>
              <w:t xml:space="preserve">Дейност 1 </w:t>
            </w:r>
          </w:p>
          <w:p w14:paraId="5BD76D50" w14:textId="77777777" w:rsidR="008907F4" w:rsidRPr="003F3A53" w:rsidRDefault="2FA6B974" w:rsidP="2FA6B974">
            <w:pPr>
              <w:spacing w:after="0"/>
              <w:rPr>
                <w:sz w:val="20"/>
                <w:szCs w:val="20"/>
              </w:rPr>
            </w:pPr>
            <w:r>
              <w:rPr>
                <w:sz w:val="20"/>
                <w:szCs w:val="20"/>
              </w:rPr>
              <w:t>[наименование]</w:t>
            </w:r>
          </w:p>
          <w:p w14:paraId="728982EE" w14:textId="77777777" w:rsidR="008907F4" w:rsidRPr="003F3A53" w:rsidRDefault="008907F4" w:rsidP="00B217B2">
            <w:pPr>
              <w:spacing w:after="0"/>
              <w:rPr>
                <w:sz w:val="20"/>
              </w:rPr>
            </w:pPr>
          </w:p>
        </w:tc>
        <w:tc>
          <w:tcPr>
            <w:tcW w:w="2052" w:type="dxa"/>
            <w:shd w:val="clear" w:color="auto" w:fill="auto"/>
          </w:tcPr>
          <w:p w14:paraId="2070E1BE" w14:textId="77777777" w:rsidR="008907F4" w:rsidRPr="003F3A53" w:rsidRDefault="008907F4" w:rsidP="00B217B2">
            <w:pPr>
              <w:spacing w:after="0"/>
              <w:rPr>
                <w:sz w:val="20"/>
              </w:rPr>
            </w:pPr>
          </w:p>
          <w:p w14:paraId="2591047A" w14:textId="77777777" w:rsidR="008907F4" w:rsidRPr="003F3A53" w:rsidRDefault="008907F4" w:rsidP="00B217B2">
            <w:pPr>
              <w:spacing w:after="0"/>
              <w:rPr>
                <w:sz w:val="20"/>
              </w:rPr>
            </w:pPr>
          </w:p>
          <w:p w14:paraId="4765769D" w14:textId="77777777" w:rsidR="008907F4" w:rsidRPr="003F3A53" w:rsidRDefault="008907F4" w:rsidP="00B217B2">
            <w:pPr>
              <w:spacing w:after="0"/>
              <w:rPr>
                <w:sz w:val="20"/>
              </w:rPr>
            </w:pPr>
          </w:p>
        </w:tc>
        <w:tc>
          <w:tcPr>
            <w:tcW w:w="1871" w:type="dxa"/>
            <w:shd w:val="clear" w:color="auto" w:fill="auto"/>
          </w:tcPr>
          <w:p w14:paraId="1A844B04" w14:textId="77777777" w:rsidR="008907F4" w:rsidRPr="003F3A53" w:rsidRDefault="008907F4" w:rsidP="00B217B2">
            <w:pPr>
              <w:spacing w:after="0"/>
              <w:rPr>
                <w:sz w:val="20"/>
              </w:rPr>
            </w:pPr>
          </w:p>
        </w:tc>
        <w:tc>
          <w:tcPr>
            <w:tcW w:w="2880" w:type="dxa"/>
            <w:shd w:val="clear" w:color="auto" w:fill="auto"/>
          </w:tcPr>
          <w:p w14:paraId="603E9418" w14:textId="77777777" w:rsidR="008907F4" w:rsidRPr="003F3A53" w:rsidRDefault="008907F4" w:rsidP="00B217B2">
            <w:pPr>
              <w:spacing w:after="0"/>
              <w:rPr>
                <w:sz w:val="20"/>
              </w:rPr>
            </w:pPr>
          </w:p>
        </w:tc>
      </w:tr>
      <w:tr w:rsidR="008907F4" w:rsidRPr="003F3A53" w14:paraId="0103D6F6" w14:textId="77777777" w:rsidTr="2FA6B974">
        <w:tc>
          <w:tcPr>
            <w:tcW w:w="1999" w:type="dxa"/>
            <w:shd w:val="clear" w:color="auto" w:fill="auto"/>
          </w:tcPr>
          <w:p w14:paraId="14CC36D4" w14:textId="77777777" w:rsidR="008907F4" w:rsidRPr="003F3A53" w:rsidRDefault="2FA6B974" w:rsidP="2FA6B974">
            <w:pPr>
              <w:spacing w:after="0"/>
              <w:rPr>
                <w:sz w:val="20"/>
                <w:szCs w:val="20"/>
              </w:rPr>
            </w:pPr>
            <w:r>
              <w:rPr>
                <w:sz w:val="20"/>
                <w:szCs w:val="20"/>
              </w:rPr>
              <w:t>Дейност 2</w:t>
            </w:r>
          </w:p>
          <w:p w14:paraId="79600D59" w14:textId="77777777" w:rsidR="008907F4" w:rsidRPr="003F3A53" w:rsidRDefault="2FA6B974" w:rsidP="2FA6B974">
            <w:pPr>
              <w:spacing w:after="0"/>
              <w:rPr>
                <w:sz w:val="20"/>
                <w:szCs w:val="20"/>
              </w:rPr>
            </w:pPr>
            <w:r>
              <w:rPr>
                <w:sz w:val="20"/>
                <w:szCs w:val="20"/>
              </w:rPr>
              <w:t>[наименование]</w:t>
            </w:r>
          </w:p>
          <w:p w14:paraId="74ED0138" w14:textId="77777777" w:rsidR="008907F4" w:rsidRPr="003F3A53" w:rsidRDefault="008907F4" w:rsidP="00B217B2">
            <w:pPr>
              <w:spacing w:after="0"/>
              <w:rPr>
                <w:sz w:val="20"/>
              </w:rPr>
            </w:pPr>
          </w:p>
        </w:tc>
        <w:tc>
          <w:tcPr>
            <w:tcW w:w="2052" w:type="dxa"/>
            <w:shd w:val="clear" w:color="auto" w:fill="auto"/>
          </w:tcPr>
          <w:p w14:paraId="4354C525" w14:textId="77777777" w:rsidR="008907F4" w:rsidRPr="003F3A53" w:rsidRDefault="008907F4" w:rsidP="00B217B2">
            <w:pPr>
              <w:spacing w:after="0"/>
              <w:rPr>
                <w:sz w:val="20"/>
              </w:rPr>
            </w:pPr>
          </w:p>
        </w:tc>
        <w:tc>
          <w:tcPr>
            <w:tcW w:w="1871" w:type="dxa"/>
            <w:shd w:val="clear" w:color="auto" w:fill="auto"/>
          </w:tcPr>
          <w:p w14:paraId="261BE367" w14:textId="77777777" w:rsidR="008907F4" w:rsidRPr="003F3A53" w:rsidRDefault="008907F4" w:rsidP="00B217B2">
            <w:pPr>
              <w:spacing w:after="0"/>
              <w:rPr>
                <w:sz w:val="20"/>
              </w:rPr>
            </w:pPr>
          </w:p>
        </w:tc>
        <w:tc>
          <w:tcPr>
            <w:tcW w:w="2880" w:type="dxa"/>
            <w:shd w:val="clear" w:color="auto" w:fill="auto"/>
          </w:tcPr>
          <w:p w14:paraId="16EF9A6C" w14:textId="77777777" w:rsidR="008907F4" w:rsidRPr="003F3A53" w:rsidRDefault="008907F4" w:rsidP="00B217B2">
            <w:pPr>
              <w:spacing w:after="0"/>
              <w:rPr>
                <w:sz w:val="20"/>
              </w:rPr>
            </w:pPr>
          </w:p>
        </w:tc>
      </w:tr>
      <w:tr w:rsidR="008907F4" w:rsidRPr="003F3A53" w14:paraId="57440904" w14:textId="77777777" w:rsidTr="2FA6B974">
        <w:tc>
          <w:tcPr>
            <w:tcW w:w="1999" w:type="dxa"/>
            <w:shd w:val="clear" w:color="auto" w:fill="auto"/>
          </w:tcPr>
          <w:p w14:paraId="0B5A57EA" w14:textId="77777777" w:rsidR="008907F4" w:rsidRPr="003F3A53" w:rsidRDefault="2FA6B974" w:rsidP="2FA6B974">
            <w:pPr>
              <w:spacing w:after="0"/>
              <w:rPr>
                <w:sz w:val="20"/>
                <w:szCs w:val="20"/>
              </w:rPr>
            </w:pPr>
            <w:r>
              <w:rPr>
                <w:sz w:val="20"/>
                <w:szCs w:val="20"/>
              </w:rPr>
              <w:t>Дейност 3</w:t>
            </w:r>
          </w:p>
          <w:p w14:paraId="23EB567F" w14:textId="77777777" w:rsidR="008907F4" w:rsidRPr="003F3A53" w:rsidRDefault="2FA6B974" w:rsidP="2FA6B974">
            <w:pPr>
              <w:spacing w:after="0"/>
              <w:rPr>
                <w:sz w:val="20"/>
                <w:szCs w:val="20"/>
              </w:rPr>
            </w:pPr>
            <w:r>
              <w:rPr>
                <w:sz w:val="20"/>
                <w:szCs w:val="20"/>
              </w:rPr>
              <w:t>[наименование]</w:t>
            </w:r>
          </w:p>
          <w:p w14:paraId="166204BE" w14:textId="77777777" w:rsidR="008907F4" w:rsidRPr="003F3A53" w:rsidRDefault="008907F4" w:rsidP="00B217B2">
            <w:pPr>
              <w:spacing w:after="0"/>
              <w:rPr>
                <w:sz w:val="20"/>
              </w:rPr>
            </w:pPr>
          </w:p>
        </w:tc>
        <w:tc>
          <w:tcPr>
            <w:tcW w:w="2052" w:type="dxa"/>
            <w:shd w:val="clear" w:color="auto" w:fill="auto"/>
          </w:tcPr>
          <w:p w14:paraId="495CAA80" w14:textId="77777777" w:rsidR="008907F4" w:rsidRPr="003F3A53" w:rsidRDefault="008907F4" w:rsidP="00B217B2">
            <w:pPr>
              <w:spacing w:after="0"/>
              <w:rPr>
                <w:sz w:val="20"/>
              </w:rPr>
            </w:pPr>
          </w:p>
          <w:p w14:paraId="0305DEE9" w14:textId="77777777" w:rsidR="008907F4" w:rsidRPr="003F3A53" w:rsidRDefault="008907F4" w:rsidP="00B217B2">
            <w:pPr>
              <w:spacing w:after="0"/>
              <w:rPr>
                <w:sz w:val="20"/>
              </w:rPr>
            </w:pPr>
          </w:p>
        </w:tc>
        <w:tc>
          <w:tcPr>
            <w:tcW w:w="1871" w:type="dxa"/>
            <w:shd w:val="clear" w:color="auto" w:fill="auto"/>
          </w:tcPr>
          <w:p w14:paraId="134549BE" w14:textId="77777777" w:rsidR="008907F4" w:rsidRPr="003F3A53" w:rsidRDefault="008907F4" w:rsidP="00B217B2">
            <w:pPr>
              <w:spacing w:after="0"/>
              <w:rPr>
                <w:sz w:val="20"/>
              </w:rPr>
            </w:pPr>
          </w:p>
        </w:tc>
        <w:tc>
          <w:tcPr>
            <w:tcW w:w="2880" w:type="dxa"/>
            <w:shd w:val="clear" w:color="auto" w:fill="auto"/>
          </w:tcPr>
          <w:p w14:paraId="642AC13C" w14:textId="77777777" w:rsidR="008907F4" w:rsidRPr="003F3A53" w:rsidRDefault="008907F4" w:rsidP="00B217B2">
            <w:pPr>
              <w:spacing w:after="0"/>
              <w:rPr>
                <w:sz w:val="20"/>
              </w:rPr>
            </w:pPr>
          </w:p>
        </w:tc>
      </w:tr>
      <w:tr w:rsidR="008907F4" w:rsidRPr="003F3A53" w14:paraId="282F069B" w14:textId="77777777" w:rsidTr="2FA6B974">
        <w:tc>
          <w:tcPr>
            <w:tcW w:w="1999" w:type="dxa"/>
            <w:shd w:val="clear" w:color="auto" w:fill="auto"/>
          </w:tcPr>
          <w:p w14:paraId="681ABFB5" w14:textId="77777777" w:rsidR="008907F4" w:rsidRPr="003F3A53" w:rsidRDefault="2FA6B974" w:rsidP="2FA6B974">
            <w:pPr>
              <w:spacing w:after="0"/>
              <w:rPr>
                <w:sz w:val="20"/>
                <w:szCs w:val="20"/>
              </w:rPr>
            </w:pPr>
            <w:r>
              <w:rPr>
                <w:sz w:val="20"/>
                <w:szCs w:val="20"/>
              </w:rPr>
              <w:t>Дейност n</w:t>
            </w:r>
          </w:p>
          <w:p w14:paraId="65397A1D" w14:textId="77777777" w:rsidR="008907F4" w:rsidRPr="003F3A53" w:rsidRDefault="2FA6B974" w:rsidP="2FA6B974">
            <w:pPr>
              <w:spacing w:after="0"/>
              <w:rPr>
                <w:sz w:val="20"/>
                <w:szCs w:val="20"/>
              </w:rPr>
            </w:pPr>
            <w:r>
              <w:rPr>
                <w:sz w:val="20"/>
                <w:szCs w:val="20"/>
              </w:rPr>
              <w:t>[наименование]</w:t>
            </w:r>
          </w:p>
          <w:p w14:paraId="690E91EF" w14:textId="77777777" w:rsidR="008907F4" w:rsidRPr="003F3A53" w:rsidRDefault="008907F4" w:rsidP="00B217B2">
            <w:pPr>
              <w:spacing w:after="0"/>
              <w:rPr>
                <w:sz w:val="20"/>
              </w:rPr>
            </w:pPr>
          </w:p>
        </w:tc>
        <w:tc>
          <w:tcPr>
            <w:tcW w:w="2052" w:type="dxa"/>
            <w:shd w:val="clear" w:color="auto" w:fill="auto"/>
          </w:tcPr>
          <w:p w14:paraId="6F017123" w14:textId="77777777" w:rsidR="008907F4" w:rsidRPr="003F3A53" w:rsidRDefault="008907F4" w:rsidP="00B217B2">
            <w:pPr>
              <w:spacing w:after="0"/>
              <w:rPr>
                <w:sz w:val="20"/>
              </w:rPr>
            </w:pPr>
          </w:p>
        </w:tc>
        <w:tc>
          <w:tcPr>
            <w:tcW w:w="1871" w:type="dxa"/>
            <w:shd w:val="clear" w:color="auto" w:fill="auto"/>
          </w:tcPr>
          <w:p w14:paraId="255E3A76" w14:textId="77777777" w:rsidR="008907F4" w:rsidRPr="003F3A53" w:rsidRDefault="008907F4" w:rsidP="00B217B2">
            <w:pPr>
              <w:spacing w:after="0"/>
              <w:rPr>
                <w:sz w:val="20"/>
              </w:rPr>
            </w:pPr>
          </w:p>
        </w:tc>
        <w:tc>
          <w:tcPr>
            <w:tcW w:w="2880" w:type="dxa"/>
            <w:shd w:val="clear" w:color="auto" w:fill="auto"/>
          </w:tcPr>
          <w:p w14:paraId="2AF58654" w14:textId="77777777" w:rsidR="008907F4" w:rsidRPr="003F3A53" w:rsidRDefault="008907F4" w:rsidP="00B217B2">
            <w:pPr>
              <w:spacing w:after="0"/>
              <w:rPr>
                <w:sz w:val="20"/>
              </w:rPr>
            </w:pPr>
          </w:p>
        </w:tc>
      </w:tr>
    </w:tbl>
    <w:p w14:paraId="2F1D23BA" w14:textId="77777777" w:rsidR="008907F4" w:rsidRPr="00E91A8D" w:rsidRDefault="2FA6B974" w:rsidP="2FA6B974">
      <w:pPr>
        <w:spacing w:after="0"/>
        <w:rPr>
          <w:sz w:val="20"/>
          <w:szCs w:val="20"/>
        </w:rPr>
      </w:pPr>
      <w:r>
        <w:rPr>
          <w:sz w:val="20"/>
          <w:szCs w:val="20"/>
          <w:vertAlign w:val="superscript"/>
        </w:rPr>
        <w:t>1)</w:t>
      </w:r>
      <w:r>
        <w:rPr>
          <w:sz w:val="20"/>
          <w:szCs w:val="20"/>
        </w:rPr>
        <w:t xml:space="preserve"> Приложение 1 към споразумението за отпускане на безвъзмездни средства</w:t>
      </w:r>
    </w:p>
    <w:p w14:paraId="0BF071FD" w14:textId="77777777" w:rsidR="008907F4" w:rsidRPr="00526D64" w:rsidRDefault="2FA6B974" w:rsidP="2FA6B974">
      <w:pPr>
        <w:spacing w:after="0"/>
        <w:rPr>
          <w:sz w:val="20"/>
          <w:szCs w:val="20"/>
        </w:rPr>
      </w:pPr>
      <w:r>
        <w:rPr>
          <w:sz w:val="20"/>
          <w:szCs w:val="20"/>
          <w:vertAlign w:val="superscript"/>
        </w:rPr>
        <w:t>2)</w:t>
      </w:r>
      <w:r>
        <w:rPr>
          <w:sz w:val="20"/>
          <w:szCs w:val="20"/>
        </w:rPr>
        <w:t xml:space="preserve"> Вж. член 22 от Регламент за изпълнение (ЕС) 2015/1831 на Комисията.</w:t>
      </w:r>
    </w:p>
    <w:p w14:paraId="22519B1A" w14:textId="77777777" w:rsidR="008907F4" w:rsidRDefault="008907F4" w:rsidP="008907F4">
      <w:pPr>
        <w:spacing w:after="0"/>
        <w:rPr>
          <w:szCs w:val="24"/>
        </w:rPr>
      </w:pPr>
    </w:p>
    <w:p w14:paraId="2FB80405" w14:textId="77777777" w:rsidR="008907F4" w:rsidRDefault="008907F4" w:rsidP="008907F4">
      <w:pPr>
        <w:spacing w:after="0"/>
        <w:rPr>
          <w:szCs w:val="24"/>
        </w:rPr>
      </w:pPr>
    </w:p>
    <w:p w14:paraId="417F09E9" w14:textId="77777777" w:rsidR="008907F4" w:rsidRDefault="2FA6B974" w:rsidP="008907F4">
      <w:pPr>
        <w:spacing w:after="0"/>
        <w:rPr>
          <w:szCs w:val="24"/>
        </w:rPr>
      </w:pPr>
      <w:r>
        <w:t>2) </w:t>
      </w:r>
      <w:r>
        <w:rPr>
          <w:b/>
          <w:bCs/>
        </w:rPr>
        <w:t xml:space="preserve">Прилагане на копията на всички все още непредставени документи и визуални материали </w:t>
      </w:r>
    </w:p>
    <w:p w14:paraId="41ABFE2B" w14:textId="77777777" w:rsidR="008907F4" w:rsidRDefault="008907F4" w:rsidP="008907F4">
      <w:pPr>
        <w:spacing w:after="0"/>
        <w:rPr>
          <w:b/>
          <w:szCs w:val="24"/>
        </w:rPr>
      </w:pPr>
    </w:p>
    <w:p w14:paraId="7E429F3E" w14:textId="77777777" w:rsidR="008907F4" w:rsidRDefault="008907F4" w:rsidP="008907F4">
      <w:pPr>
        <w:spacing w:after="0"/>
        <w:rPr>
          <w:szCs w:val="24"/>
        </w:rPr>
      </w:pPr>
    </w:p>
    <w:p w14:paraId="5CE415BE" w14:textId="77777777" w:rsidR="008907F4" w:rsidRPr="00E26C7A" w:rsidRDefault="008907F4" w:rsidP="00D97B0A">
      <w:pPr>
        <w:pStyle w:val="Annex"/>
      </w:pPr>
      <w:r>
        <w:br w:type="page"/>
      </w:r>
      <w:r>
        <w:lastRenderedPageBreak/>
        <w:t>ПРИЛОЖЕНИЕ 8</w:t>
      </w:r>
    </w:p>
    <w:p w14:paraId="3522FC8E" w14:textId="77777777" w:rsidR="008907F4" w:rsidRPr="00E26C7A" w:rsidRDefault="008907F4" w:rsidP="008907F4">
      <w:pPr>
        <w:spacing w:after="0"/>
        <w:rPr>
          <w:szCs w:val="24"/>
        </w:rPr>
      </w:pPr>
    </w:p>
    <w:p w14:paraId="1A3FA7F5" w14:textId="32A1F002" w:rsidR="008907F4" w:rsidRPr="00D97B0A" w:rsidRDefault="2FA6B974" w:rsidP="2FA6B974">
      <w:pPr>
        <w:jc w:val="center"/>
        <w:rPr>
          <w:b/>
          <w:bCs/>
          <w:caps/>
        </w:rPr>
      </w:pPr>
      <w:bookmarkStart w:id="937" w:name="_Toc61601080"/>
      <w:r>
        <w:rPr>
          <w:b/>
          <w:bCs/>
          <w:shd w:val="clear" w:color="auto" w:fill="CCFFFF"/>
        </w:rPr>
        <w:t>ОБРАЗЕЦ НА ОКОНЧАТЕЛЕН ТЕХНИЧЕСКИ ОТЧЕТ</w:t>
      </w:r>
      <w:bookmarkEnd w:id="937"/>
    </w:p>
    <w:p w14:paraId="171B29B7" w14:textId="77777777" w:rsidR="008907F4" w:rsidRPr="00E26C7A" w:rsidRDefault="008907F4" w:rsidP="008907F4">
      <w:pPr>
        <w:spacing w:after="0"/>
        <w:jc w:val="center"/>
        <w:rPr>
          <w:kern w:val="32"/>
          <w:szCs w:val="24"/>
          <w:highlight w:val="yellow"/>
        </w:rPr>
      </w:pPr>
    </w:p>
    <w:p w14:paraId="081BFE71" w14:textId="77777777" w:rsidR="008907F4" w:rsidRDefault="2FA6B974" w:rsidP="008907F4">
      <w:pPr>
        <w:spacing w:after="0"/>
        <w:jc w:val="center"/>
        <w:rPr>
          <w:szCs w:val="24"/>
        </w:rPr>
      </w:pPr>
      <w:r>
        <w:rPr>
          <w:b/>
          <w:bCs/>
        </w:rPr>
        <w:t>Окончателен технически отчет за дейността</w:t>
      </w:r>
      <w:r>
        <w:t xml:space="preserve"> [</w:t>
      </w:r>
      <w:r>
        <w:rPr>
          <w:highlight w:val="lightGray"/>
        </w:rPr>
        <w:t>въведете съкращението</w:t>
      </w:r>
      <w:r>
        <w:t>]</w:t>
      </w:r>
    </w:p>
    <w:p w14:paraId="34FCE7EE" w14:textId="77777777" w:rsidR="008907F4" w:rsidRDefault="008907F4" w:rsidP="008907F4">
      <w:pPr>
        <w:spacing w:after="0"/>
        <w:rPr>
          <w:szCs w:val="24"/>
        </w:rPr>
      </w:pPr>
    </w:p>
    <w:p w14:paraId="655A55BF" w14:textId="77777777" w:rsidR="008907F4" w:rsidRPr="00C0667D" w:rsidRDefault="008907F4" w:rsidP="008907F4">
      <w:pPr>
        <w:spacing w:after="0"/>
        <w:rPr>
          <w:szCs w:val="24"/>
        </w:rPr>
      </w:pPr>
      <w:r>
        <w:t xml:space="preserve">Номер на споразумението за отпускане на безвъзмездни средства: </w:t>
      </w:r>
      <w:r>
        <w:tab/>
      </w:r>
      <w:r>
        <w:tab/>
        <w:t>[</w:t>
      </w:r>
      <w:r>
        <w:rPr>
          <w:highlight w:val="lightGray"/>
        </w:rPr>
        <w:t>въведете номера на споразумение за отпускане на безвъзмездни средства</w:t>
      </w:r>
      <w:r>
        <w:t xml:space="preserve">] </w:t>
      </w:r>
    </w:p>
    <w:p w14:paraId="55987ABE" w14:textId="77777777" w:rsidR="008907F4" w:rsidRPr="00C0667D" w:rsidRDefault="008907F4" w:rsidP="008907F4">
      <w:pPr>
        <w:spacing w:after="0"/>
        <w:rPr>
          <w:szCs w:val="24"/>
        </w:rPr>
      </w:pPr>
      <w:r>
        <w:t xml:space="preserve">Наименование на дейността: </w:t>
      </w:r>
      <w:r>
        <w:tab/>
      </w:r>
      <w:r>
        <w:tab/>
      </w:r>
      <w:r>
        <w:tab/>
        <w:t>[</w:t>
      </w:r>
      <w:r>
        <w:rPr>
          <w:highlight w:val="lightGray"/>
        </w:rPr>
        <w:t>въведете наименованието на дейността</w:t>
      </w:r>
      <w:r>
        <w:t xml:space="preserve">] </w:t>
      </w:r>
    </w:p>
    <w:p w14:paraId="55A9BC9D" w14:textId="77777777" w:rsidR="008907F4" w:rsidRPr="00C0667D" w:rsidRDefault="008907F4" w:rsidP="008907F4">
      <w:pPr>
        <w:spacing w:after="0"/>
        <w:rPr>
          <w:szCs w:val="24"/>
        </w:rPr>
      </w:pPr>
      <w:r>
        <w:t xml:space="preserve">Начална дата на дейността: </w:t>
      </w:r>
      <w:r>
        <w:tab/>
      </w:r>
      <w:r>
        <w:tab/>
        <w:t>[</w:t>
      </w:r>
      <w:r>
        <w:rPr>
          <w:highlight w:val="lightGray"/>
        </w:rPr>
        <w:t>въведете датата във формат дд/мм/гггг</w:t>
      </w:r>
      <w:r>
        <w:t xml:space="preserve">] </w:t>
      </w:r>
    </w:p>
    <w:p w14:paraId="6BB5BAF5" w14:textId="77777777" w:rsidR="008907F4" w:rsidRPr="00C0667D" w:rsidRDefault="008907F4" w:rsidP="008907F4">
      <w:pPr>
        <w:spacing w:after="0"/>
        <w:rPr>
          <w:szCs w:val="24"/>
        </w:rPr>
      </w:pPr>
      <w:r>
        <w:t xml:space="preserve">Продължителност на дейността: </w:t>
      </w:r>
      <w:r>
        <w:tab/>
      </w:r>
      <w:r>
        <w:tab/>
        <w:t>[</w:t>
      </w:r>
      <w:r>
        <w:rPr>
          <w:highlight w:val="lightGray"/>
        </w:rPr>
        <w:t>въведете продължителността в месеци</w:t>
      </w:r>
      <w:r>
        <w:t xml:space="preserve">] </w:t>
      </w:r>
    </w:p>
    <w:p w14:paraId="35D246BC" w14:textId="77777777" w:rsidR="008907F4" w:rsidRPr="00C0667D" w:rsidRDefault="008907F4" w:rsidP="008907F4">
      <w:pPr>
        <w:spacing w:after="0"/>
        <w:rPr>
          <w:b/>
          <w:szCs w:val="24"/>
        </w:rPr>
      </w:pPr>
    </w:p>
    <w:p w14:paraId="5EF06C57" w14:textId="77777777" w:rsidR="008907F4" w:rsidRPr="00C0667D" w:rsidRDefault="008907F4" w:rsidP="008907F4">
      <w:pPr>
        <w:spacing w:after="0"/>
        <w:rPr>
          <w:i/>
          <w:szCs w:val="24"/>
        </w:rPr>
      </w:pPr>
    </w:p>
    <w:p w14:paraId="487941D6" w14:textId="77777777" w:rsidR="008907F4" w:rsidRPr="00C0667D" w:rsidRDefault="2FA6B974" w:rsidP="2FA6B974">
      <w:pPr>
        <w:spacing w:after="0"/>
        <w:rPr>
          <w:b/>
          <w:bCs/>
        </w:rPr>
      </w:pPr>
      <w:r>
        <w:t>1) </w:t>
      </w:r>
      <w:r>
        <w:rPr>
          <w:b/>
          <w:bCs/>
        </w:rPr>
        <w:t>Общ преглед на извършените дейности</w:t>
      </w:r>
      <w:r>
        <w:t xml:space="preserve"> и постигнатите резултати от дейността, по-специално като се използват показателите за въздействието, посочени в член 22 от Регламент за изпълнение (ЕС) 2015/1831 на Комисията (</w:t>
      </w:r>
      <w:r>
        <w:rPr>
          <w:i/>
          <w:iCs/>
        </w:rPr>
        <w:t>най-много 6000 знака</w:t>
      </w:r>
      <w:r>
        <w:t>)</w:t>
      </w:r>
    </w:p>
    <w:p w14:paraId="6EDF8EB9" w14:textId="77777777" w:rsidR="008907F4" w:rsidRPr="00C0667D" w:rsidRDefault="008907F4" w:rsidP="008907F4">
      <w:pPr>
        <w:spacing w:after="0"/>
        <w:rPr>
          <w:szCs w:val="24"/>
        </w:rPr>
      </w:pPr>
    </w:p>
    <w:tbl>
      <w:tblPr>
        <w:tblW w:w="0" w:type="auto"/>
        <w:tblInd w:w="426"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ook w:val="04A0" w:firstRow="1" w:lastRow="0" w:firstColumn="1" w:lastColumn="0" w:noHBand="0" w:noVBand="1"/>
      </w:tblPr>
      <w:tblGrid>
        <w:gridCol w:w="8802"/>
      </w:tblGrid>
      <w:tr w:rsidR="008907F4" w:rsidRPr="00C0667D" w14:paraId="05A24147" w14:textId="77777777" w:rsidTr="00146D42">
        <w:trPr>
          <w:trHeight w:val="1880"/>
        </w:trPr>
        <w:tc>
          <w:tcPr>
            <w:tcW w:w="8802" w:type="dxa"/>
            <w:shd w:val="clear" w:color="auto" w:fill="auto"/>
          </w:tcPr>
          <w:p w14:paraId="11734333" w14:textId="77777777" w:rsidR="008907F4" w:rsidRPr="00C0667D" w:rsidRDefault="008907F4" w:rsidP="00B217B2">
            <w:pPr>
              <w:spacing w:after="0"/>
              <w:rPr>
                <w:sz w:val="20"/>
              </w:rPr>
            </w:pPr>
          </w:p>
          <w:p w14:paraId="0DE5B5E6" w14:textId="77777777" w:rsidR="008907F4" w:rsidRPr="00C0667D" w:rsidRDefault="008907F4" w:rsidP="00B217B2">
            <w:pPr>
              <w:spacing w:after="0"/>
              <w:rPr>
                <w:sz w:val="20"/>
              </w:rPr>
            </w:pPr>
          </w:p>
          <w:p w14:paraId="407FFF23" w14:textId="77777777" w:rsidR="008907F4" w:rsidRPr="00C0667D" w:rsidRDefault="008907F4" w:rsidP="00B217B2">
            <w:pPr>
              <w:spacing w:after="0"/>
              <w:rPr>
                <w:sz w:val="20"/>
              </w:rPr>
            </w:pPr>
          </w:p>
          <w:p w14:paraId="096BBF9B" w14:textId="77777777" w:rsidR="008907F4" w:rsidRPr="00C0667D" w:rsidRDefault="008907F4" w:rsidP="00B217B2">
            <w:pPr>
              <w:spacing w:after="0"/>
              <w:rPr>
                <w:sz w:val="20"/>
              </w:rPr>
            </w:pPr>
          </w:p>
        </w:tc>
      </w:tr>
    </w:tbl>
    <w:p w14:paraId="3CAEFB76" w14:textId="77777777" w:rsidR="008907F4" w:rsidRPr="00C0667D" w:rsidRDefault="008907F4" w:rsidP="008907F4">
      <w:pPr>
        <w:spacing w:after="0"/>
        <w:rPr>
          <w:szCs w:val="24"/>
        </w:rPr>
      </w:pPr>
    </w:p>
    <w:p w14:paraId="1FF1C053" w14:textId="77777777" w:rsidR="008907F4" w:rsidRDefault="2FA6B974" w:rsidP="2FA6B974">
      <w:pPr>
        <w:spacing w:after="0"/>
        <w:rPr>
          <w:i/>
          <w:iCs/>
        </w:rPr>
      </w:pPr>
      <w:r>
        <w:t>2) </w:t>
      </w:r>
      <w:r>
        <w:rPr>
          <w:b/>
          <w:bCs/>
        </w:rPr>
        <w:t>Резюме</w:t>
      </w:r>
      <w:r>
        <w:t xml:space="preserve"> за публикуване (</w:t>
      </w:r>
      <w:r>
        <w:rPr>
          <w:i/>
          <w:iCs/>
        </w:rPr>
        <w:t>най-много 3000 знака</w:t>
      </w:r>
      <w:r>
        <w:t>)</w:t>
      </w:r>
    </w:p>
    <w:p w14:paraId="186BFD8E" w14:textId="77777777" w:rsidR="008907F4" w:rsidRPr="007100B9" w:rsidRDefault="008907F4" w:rsidP="008907F4">
      <w:pPr>
        <w:spacing w:after="0"/>
        <w:rPr>
          <w:sz w:val="20"/>
        </w:rPr>
      </w:pPr>
    </w:p>
    <w:tbl>
      <w:tblPr>
        <w:tblW w:w="0" w:type="auto"/>
        <w:tblInd w:w="426"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ook w:val="04A0" w:firstRow="1" w:lastRow="0" w:firstColumn="1" w:lastColumn="0" w:noHBand="0" w:noVBand="1"/>
      </w:tblPr>
      <w:tblGrid>
        <w:gridCol w:w="8802"/>
      </w:tblGrid>
      <w:tr w:rsidR="008907F4" w:rsidRPr="007100B9" w14:paraId="4B0218D0" w14:textId="77777777" w:rsidTr="00146D42">
        <w:trPr>
          <w:trHeight w:val="1880"/>
        </w:trPr>
        <w:tc>
          <w:tcPr>
            <w:tcW w:w="8802" w:type="dxa"/>
            <w:shd w:val="clear" w:color="auto" w:fill="auto"/>
          </w:tcPr>
          <w:p w14:paraId="01EAFC6B" w14:textId="77777777" w:rsidR="008907F4" w:rsidRPr="007100B9" w:rsidRDefault="008907F4" w:rsidP="00B217B2">
            <w:pPr>
              <w:spacing w:after="0"/>
              <w:rPr>
                <w:sz w:val="20"/>
              </w:rPr>
            </w:pPr>
          </w:p>
          <w:p w14:paraId="2EE24174" w14:textId="77777777" w:rsidR="008907F4" w:rsidRPr="007100B9" w:rsidRDefault="008907F4" w:rsidP="00B217B2">
            <w:pPr>
              <w:spacing w:after="0"/>
              <w:rPr>
                <w:sz w:val="20"/>
              </w:rPr>
            </w:pPr>
          </w:p>
          <w:p w14:paraId="38F5DBE8" w14:textId="77777777" w:rsidR="008907F4" w:rsidRPr="007100B9" w:rsidRDefault="008907F4" w:rsidP="00B217B2">
            <w:pPr>
              <w:spacing w:after="0"/>
              <w:rPr>
                <w:sz w:val="20"/>
              </w:rPr>
            </w:pPr>
          </w:p>
        </w:tc>
      </w:tr>
    </w:tbl>
    <w:p w14:paraId="2A7ED2FC" w14:textId="77777777" w:rsidR="008907F4" w:rsidRPr="007100B9" w:rsidRDefault="008907F4" w:rsidP="008907F4">
      <w:pPr>
        <w:spacing w:after="0"/>
        <w:rPr>
          <w:sz w:val="20"/>
        </w:rPr>
      </w:pPr>
    </w:p>
    <w:p w14:paraId="5E70C4D8" w14:textId="77777777" w:rsidR="008907F4" w:rsidRPr="007100B9" w:rsidRDefault="008907F4" w:rsidP="008907F4">
      <w:pPr>
        <w:spacing w:after="0"/>
        <w:rPr>
          <w:sz w:val="20"/>
        </w:rPr>
      </w:pPr>
    </w:p>
    <w:p w14:paraId="273C6E42" w14:textId="77777777" w:rsidR="008907F4" w:rsidRPr="007100B9" w:rsidRDefault="008907F4" w:rsidP="008907F4">
      <w:pPr>
        <w:spacing w:after="0"/>
        <w:rPr>
          <w:sz w:val="20"/>
        </w:rPr>
      </w:pPr>
    </w:p>
    <w:p w14:paraId="545EA102" w14:textId="77777777" w:rsidR="008907F4" w:rsidRPr="007100B9" w:rsidRDefault="008907F4" w:rsidP="008907F4">
      <w:pPr>
        <w:spacing w:after="0"/>
        <w:rPr>
          <w:sz w:val="20"/>
        </w:rPr>
      </w:pPr>
    </w:p>
    <w:p w14:paraId="4D53AB0F" w14:textId="77777777" w:rsidR="008907F4" w:rsidRPr="007100B9" w:rsidRDefault="008907F4" w:rsidP="008907F4">
      <w:pPr>
        <w:spacing w:after="0"/>
        <w:rPr>
          <w:sz w:val="20"/>
        </w:rPr>
      </w:pPr>
    </w:p>
    <w:p w14:paraId="1DD6366B" w14:textId="77777777" w:rsidR="008907F4" w:rsidRPr="006D072B" w:rsidRDefault="008907F4" w:rsidP="008907F4">
      <w:pPr>
        <w:spacing w:after="0"/>
        <w:rPr>
          <w:b/>
          <w:i/>
        </w:rPr>
      </w:pPr>
    </w:p>
    <w:p w14:paraId="3DF263CA" w14:textId="77777777" w:rsidR="008907F4" w:rsidRPr="005A1ACA" w:rsidRDefault="008907F4" w:rsidP="008907F4">
      <w:pPr>
        <w:spacing w:after="0"/>
        <w:rPr>
          <w:rFonts w:eastAsia="Times New Roman" w:cstheme="majorBidi"/>
          <w:b/>
          <w:iCs/>
          <w:color w:val="000000"/>
          <w:highlight w:val="cyan"/>
          <w:lang w:eastAsia="en-GB"/>
        </w:rPr>
      </w:pPr>
    </w:p>
    <w:p w14:paraId="76954655" w14:textId="77777777" w:rsidR="00E91EA3" w:rsidRPr="005A1ACA" w:rsidRDefault="00E91EA3" w:rsidP="008907F4"/>
    <w:sectPr w:rsidR="00E91EA3" w:rsidRPr="005A1ACA" w:rsidSect="00381C03">
      <w:headerReference w:type="even" r:id="rId39"/>
      <w:footerReference w:type="even" r:id="rId40"/>
      <w:footerReference w:type="default" r:id="rId41"/>
      <w:headerReference w:type="first" r:id="rId42"/>
      <w:footerReference w:type="first" r:id="rId43"/>
      <w:pgSz w:w="11906" w:h="16838"/>
      <w:pgMar w:top="180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6FBFE3" w14:textId="77777777" w:rsidR="00034F22" w:rsidRDefault="00034F22" w:rsidP="00821732">
      <w:r>
        <w:separator/>
      </w:r>
    </w:p>
  </w:endnote>
  <w:endnote w:type="continuationSeparator" w:id="0">
    <w:p w14:paraId="29547931" w14:textId="77777777" w:rsidR="00034F22" w:rsidRDefault="00034F22" w:rsidP="00821732">
      <w:r>
        <w:continuationSeparator/>
      </w:r>
    </w:p>
  </w:endnote>
  <w:endnote w:type="continuationNotice" w:id="1">
    <w:p w14:paraId="038C8B41" w14:textId="77777777" w:rsidR="00034F22" w:rsidRDefault="00034F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 w:name="EC Square Sans Pro Medium">
    <w:altName w:val="Corbel"/>
    <w:charset w:val="00"/>
    <w:family w:val="swiss"/>
    <w:pitch w:val="variable"/>
    <w:sig w:usb0="00000001" w:usb1="5000E0FB" w:usb2="00000000" w:usb3="00000000" w:csb0="0000019F" w:csb1="00000000"/>
  </w:font>
  <w:font w:name="EC Square Sans Pro Light">
    <w:altName w:val="Corbel"/>
    <w:charset w:val="00"/>
    <w:family w:val="swiss"/>
    <w:pitch w:val="variable"/>
    <w:sig w:usb0="00000001" w:usb1="5000E0FB" w:usb2="00000000" w:usb3="00000000" w:csb0="0000019F" w:csb1="00000000"/>
  </w:font>
  <w:font w:name="TimesNewRomanPS">
    <w:altName w:val="Cambria"/>
    <w:panose1 w:val="00000000000000000000"/>
    <w:charset w:val="00"/>
    <w:family w:val="roman"/>
    <w:notTrueType/>
    <w:pitch w:val="default"/>
    <w:sig w:usb0="00000003" w:usb1="00000000" w:usb2="00000000" w:usb3="00000000" w:csb0="00000001" w:csb1="00000000"/>
  </w:font>
  <w:font w:name="Roboto">
    <w:altName w:val="Times New Roman"/>
    <w:charset w:val="00"/>
    <w:family w:val="auto"/>
    <w:pitch w:val="default"/>
  </w:font>
  <w:font w:name="Iskoola Pota">
    <w:altName w:val="Nirmala UI"/>
    <w:charset w:val="00"/>
    <w:family w:val="swiss"/>
    <w:pitch w:val="variable"/>
    <w:sig w:usb0="00000003" w:usb1="00000000"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7FA5D" w14:textId="77777777" w:rsidR="00034F22" w:rsidRDefault="00034F22">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1BC7C" w14:textId="77777777" w:rsidR="00034F22" w:rsidRDefault="00034F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A30DD" w14:textId="77777777" w:rsidR="00034F22" w:rsidRPr="00BC7FBC" w:rsidRDefault="00034F22" w:rsidP="2FA6B974">
    <w:pPr>
      <w:spacing w:after="0"/>
      <w:rPr>
        <w:rFonts w:ascii="EC Square Sans Pro Light" w:eastAsia="Calibri" w:hAnsi="EC Square Sans Pro Light" w:cs="Times New Roman"/>
        <w:sz w:val="20"/>
        <w:szCs w:val="20"/>
      </w:rPr>
    </w:pPr>
    <w:r>
      <w:rPr>
        <w:rFonts w:ascii="EC Square Sans Pro Light" w:hAnsi="EC Square Sans Pro Light"/>
        <w:sz w:val="20"/>
        <w:szCs w:val="20"/>
      </w:rPr>
      <w:t xml:space="preserve">Отказ от отговорност </w:t>
    </w:r>
  </w:p>
  <w:p w14:paraId="74017A8E" w14:textId="04E2922A" w:rsidR="00034F22" w:rsidRPr="006031E8" w:rsidRDefault="00034F22" w:rsidP="2FA6B974">
    <w:pPr>
      <w:rPr>
        <w:rFonts w:eastAsia="Calibri" w:cs="Times New Roman"/>
      </w:rPr>
    </w:pPr>
    <w:r>
      <w:rPr>
        <w:noProof/>
        <w:lang w:val="en-US"/>
      </w:rPr>
      <mc:AlternateContent>
        <mc:Choice Requires="wps">
          <w:drawing>
            <wp:anchor distT="0" distB="0" distL="114300" distR="114300" simplePos="0" relativeHeight="251655680" behindDoc="1" locked="0" layoutInCell="1" allowOverlap="1" wp14:anchorId="123FAE9A" wp14:editId="57196405">
              <wp:simplePos x="0" y="0"/>
              <wp:positionH relativeFrom="column">
                <wp:posOffset>2127250</wp:posOffset>
              </wp:positionH>
              <wp:positionV relativeFrom="page">
                <wp:posOffset>10562590</wp:posOffset>
              </wp:positionV>
              <wp:extent cx="842645" cy="288290"/>
              <wp:effectExtent l="0" t="0" r="0" b="0"/>
              <wp:wrapThrough wrapText="bothSides">
                <wp:wrapPolygon edited="0">
                  <wp:start x="0" y="0"/>
                  <wp:lineTo x="0" y="19982"/>
                  <wp:lineTo x="20998" y="19982"/>
                  <wp:lineTo x="20998" y="0"/>
                  <wp:lineTo x="0" y="0"/>
                </wp:wrapPolygon>
              </wp:wrapThrough>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2645" cy="288290"/>
                      </a:xfrm>
                      <a:prstGeom prst="rect">
                        <a:avLst/>
                      </a:prstGeom>
                      <a:solidFill>
                        <a:srgbClr val="004494"/>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E59EC0" id="Rectangle 5" o:spid="_x0000_s1026" style="position:absolute;margin-left:167.5pt;margin-top:831.7pt;width:66.35pt;height:22.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" fillcolor="#004494" stroked="f">
              <w10:wrap type="through" anchory="page"/>
            </v:rect>
          </w:pict>
        </mc:Fallback>
      </mc:AlternateContent>
    </w:r>
    <w:r>
      <w:rPr>
        <w:rFonts w:ascii="EC Square Sans Pro Light" w:hAnsi="EC Square Sans Pro Light"/>
        <w:sz w:val="20"/>
        <w:szCs w:val="20"/>
      </w:rPr>
      <w:t xml:space="preserve">Настоящият документ е предназначен да подпомага кандидатите. Той съдържа пълния набор от разпоредби, които могат да се прилагат към този вид споразумение, и се предоставя само за информация. Правно обвързващо ще бъде споразумението, подписано от </w:t>
    </w:r>
    <w:r>
      <w:rPr>
        <w:rFonts w:ascii="EC Square Sans Pro Light" w:hAnsi="EC Square Sans Pro Light"/>
        <w:sz w:val="20"/>
        <w:szCs w:val="20"/>
        <w:shd w:val="clear" w:color="auto" w:fill="CCFFFF"/>
      </w:rPr>
      <w:t>страните</w:t>
    </w:r>
    <w:r>
      <w:rPr>
        <w:rFonts w:ascii="EC Square Sans Pro Light" w:hAnsi="EC Square Sans Pro Light"/>
        <w:sz w:val="20"/>
        <w:szCs w:val="20"/>
      </w:rPr>
      <w:t>.</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8B714" w14:textId="7CB1299C" w:rsidR="00034F22" w:rsidRPr="00856BBB" w:rsidRDefault="00034F22">
    <w:pPr>
      <w:pStyle w:val="Footer"/>
      <w:jc w:val="right"/>
      <w:rPr>
        <w:szCs w:val="16"/>
      </w:rPr>
    </w:pPr>
    <w:r>
      <w:rPr>
        <w:szCs w:val="16"/>
      </w:rPr>
      <w:fldChar w:fldCharType="begin"/>
    </w:r>
    <w:r>
      <w:rPr>
        <w:szCs w:val="16"/>
      </w:rPr>
      <w:instrText xml:space="preserve">PAGE   \* MERGEFORMAT </w:instrText>
    </w:r>
    <w:r>
      <w:rPr>
        <w:szCs w:val="16"/>
      </w:rPr>
      <w:fldChar w:fldCharType="separate"/>
    </w:r>
    <w:r>
      <w:rPr>
        <w:szCs w:val="16"/>
      </w:rPr>
      <w:t>2</w:t>
    </w:r>
    <w:r>
      <w:rPr>
        <w:szCs w:val="16"/>
      </w:rPr>
      <w:fldChar w:fldCharType="end"/>
    </w:r>
  </w:p>
  <w:p w14:paraId="557443D8" w14:textId="77777777" w:rsidR="00034F22" w:rsidRDefault="00034F22">
    <w:pPr>
      <w:pStyle w:val="Footer"/>
    </w:pPr>
  </w:p>
  <w:p w14:paraId="685B9D8B" w14:textId="77777777" w:rsidR="00034F22" w:rsidRDefault="00034F22"/>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1179321"/>
      <w:docPartObj>
        <w:docPartGallery w:val="Page Numbers (Bottom of Page)"/>
        <w:docPartUnique/>
      </w:docPartObj>
    </w:sdtPr>
    <w:sdtEndPr>
      <w:rPr>
        <w:noProof/>
      </w:rPr>
    </w:sdtEndPr>
    <w:sdtContent>
      <w:p w14:paraId="156D5A7B" w14:textId="5D6A1243" w:rsidR="00034F22" w:rsidRDefault="00034F22">
        <w:pPr>
          <w:pStyle w:val="Footer"/>
          <w:jc w:val="right"/>
        </w:pPr>
        <w:r>
          <w:fldChar w:fldCharType="begin"/>
        </w:r>
        <w:r>
          <w:instrText xml:space="preserve"> PAGE   \* MERGEFORMAT </w:instrText>
        </w:r>
        <w:r>
          <w:fldChar w:fldCharType="separate"/>
        </w:r>
        <w:r w:rsidR="00613C5F">
          <w:rPr>
            <w:noProof/>
          </w:rPr>
          <w:t>2</w:t>
        </w:r>
        <w:r>
          <w:fldChar w:fldCharType="end"/>
        </w:r>
      </w:p>
    </w:sdtContent>
  </w:sdt>
  <w:p w14:paraId="1F5C3FEE" w14:textId="083286E3" w:rsidR="00034F22" w:rsidRPr="00D97B0A" w:rsidRDefault="00034F22" w:rsidP="00D97B0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10F94" w14:textId="77777777" w:rsidR="00034F22" w:rsidRDefault="00034F2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0410565"/>
      <w:docPartObj>
        <w:docPartGallery w:val="Page Numbers (Bottom of Page)"/>
        <w:docPartUnique/>
      </w:docPartObj>
    </w:sdtPr>
    <w:sdtEndPr>
      <w:rPr>
        <w:noProof/>
      </w:rPr>
    </w:sdtEndPr>
    <w:sdtContent>
      <w:p w14:paraId="71354D7B" w14:textId="5B3DFED1" w:rsidR="00034F22" w:rsidRDefault="00034F22">
        <w:pPr>
          <w:pStyle w:val="Footer"/>
          <w:jc w:val="right"/>
        </w:pPr>
        <w:r>
          <w:fldChar w:fldCharType="begin"/>
        </w:r>
        <w:r>
          <w:instrText xml:space="preserve"> PAGE   \* MERGEFORMAT </w:instrText>
        </w:r>
        <w:r>
          <w:fldChar w:fldCharType="separate"/>
        </w:r>
        <w:r w:rsidR="00613C5F">
          <w:rPr>
            <w:noProof/>
          </w:rPr>
          <w:t>85</w:t>
        </w:r>
        <w:r>
          <w:fldChar w:fldCharType="end"/>
        </w:r>
      </w:p>
    </w:sdtContent>
  </w:sdt>
  <w:p w14:paraId="24EA5C93" w14:textId="77777777" w:rsidR="00034F22" w:rsidRDefault="00034F22">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06B4D" w14:textId="77777777" w:rsidR="00034F22" w:rsidRDefault="00034F2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3E63C" w14:textId="77777777" w:rsidR="00034F22" w:rsidRDefault="00034F22">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1716282"/>
      <w:docPartObj>
        <w:docPartGallery w:val="Page Numbers (Bottom of Page)"/>
        <w:docPartUnique/>
      </w:docPartObj>
    </w:sdtPr>
    <w:sdtEndPr>
      <w:rPr>
        <w:noProof/>
      </w:rPr>
    </w:sdtEndPr>
    <w:sdtContent>
      <w:p w14:paraId="4EEDFC5C" w14:textId="3E3A02EF" w:rsidR="00034F22" w:rsidRDefault="00034F22">
        <w:pPr>
          <w:pStyle w:val="Footer"/>
          <w:jc w:val="right"/>
        </w:pPr>
        <w:r>
          <w:fldChar w:fldCharType="begin"/>
        </w:r>
        <w:r>
          <w:instrText xml:space="preserve"> PAGE   \* MERGEFORMAT </w:instrText>
        </w:r>
        <w:r>
          <w:fldChar w:fldCharType="separate"/>
        </w:r>
        <w:r w:rsidR="00613C5F">
          <w:rPr>
            <w:noProof/>
          </w:rPr>
          <w:t>109</w:t>
        </w:r>
        <w:r>
          <w:fldChar w:fldCharType="end"/>
        </w:r>
      </w:p>
    </w:sdtContent>
  </w:sdt>
  <w:p w14:paraId="1AF72659" w14:textId="77777777" w:rsidR="00034F22" w:rsidRDefault="00034F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33E105" w14:textId="77777777" w:rsidR="00034F22" w:rsidRDefault="00034F22" w:rsidP="00821732">
      <w:r>
        <w:separator/>
      </w:r>
    </w:p>
  </w:footnote>
  <w:footnote w:type="continuationSeparator" w:id="0">
    <w:p w14:paraId="731557A8" w14:textId="77777777" w:rsidR="00034F22" w:rsidRDefault="00034F22" w:rsidP="00821732">
      <w:r>
        <w:continuationSeparator/>
      </w:r>
    </w:p>
  </w:footnote>
  <w:footnote w:type="continuationNotice" w:id="1">
    <w:p w14:paraId="277664CB" w14:textId="77777777" w:rsidR="00034F22" w:rsidRDefault="00034F22"/>
  </w:footnote>
  <w:footnote w:id="2">
    <w:p w14:paraId="717F02C7" w14:textId="77777777" w:rsidR="00034F22" w:rsidRPr="00123035" w:rsidRDefault="00034F22" w:rsidP="2FA6B974">
      <w:pPr>
        <w:pStyle w:val="FootnoteText"/>
      </w:pPr>
      <w:r>
        <w:rPr>
          <w:rStyle w:val="FootnoteReference"/>
        </w:rPr>
        <w:footnoteRef/>
      </w:r>
      <w:r>
        <w:tab/>
        <w:t>ОВ L 317, 4.11.2014 г., стр. 56.</w:t>
      </w:r>
    </w:p>
  </w:footnote>
  <w:footnote w:id="3">
    <w:p w14:paraId="309A8288" w14:textId="77777777" w:rsidR="00034F22" w:rsidRPr="00123035" w:rsidRDefault="00034F22" w:rsidP="2FA6B974">
      <w:pPr>
        <w:pStyle w:val="FootnoteText"/>
      </w:pPr>
      <w:r>
        <w:rPr>
          <w:rStyle w:val="FootnoteReference"/>
        </w:rPr>
        <w:footnoteRef/>
      </w:r>
      <w:r>
        <w:tab/>
        <w:t>ОВ L 266, 13.10.2015 г., стр. 3.</w:t>
      </w:r>
    </w:p>
  </w:footnote>
  <w:footnote w:id="4">
    <w:p w14:paraId="328E6729" w14:textId="77777777" w:rsidR="00034F22" w:rsidRPr="00123035" w:rsidRDefault="00034F22" w:rsidP="2FA6B974">
      <w:pPr>
        <w:pStyle w:val="FootnoteText"/>
      </w:pPr>
      <w:r>
        <w:rPr>
          <w:rStyle w:val="FootnoteReference"/>
        </w:rPr>
        <w:footnoteRef/>
      </w:r>
      <w:r>
        <w:tab/>
        <w:t>ОВ L 266, 13.10.2015 г., стр. 14.</w:t>
      </w:r>
    </w:p>
    <w:p w14:paraId="1C185BE0" w14:textId="77777777" w:rsidR="00034F22" w:rsidRPr="00123035" w:rsidRDefault="00034F22" w:rsidP="008907F4">
      <w:pPr>
        <w:pStyle w:val="FootnoteText"/>
        <w:rPr>
          <w:lang w:val="es-ES"/>
        </w:rPr>
      </w:pPr>
    </w:p>
  </w:footnote>
  <w:footnote w:id="5">
    <w:p w14:paraId="12608DCE" w14:textId="77777777" w:rsidR="00034F22" w:rsidRDefault="00034F22" w:rsidP="2FA6B974">
      <w:pPr>
        <w:pStyle w:val="FootnoteText"/>
        <w:ind w:left="360" w:hanging="360"/>
      </w:pPr>
      <w:r>
        <w:rPr>
          <w:rStyle w:val="FootnoteReference"/>
        </w:rPr>
        <w:footnoteRef/>
      </w:r>
      <w:r>
        <w:tab/>
        <w:t xml:space="preserve">Образец, публикуван в </w:t>
      </w:r>
      <w:hyperlink r:id="rId1" w:history="1">
        <w:r>
          <w:rPr>
            <w:rStyle w:val="Hyperlink"/>
          </w:rPr>
          <w:t>„Документи за справка“ на портала</w:t>
        </w:r>
      </w:hyperlink>
      <w:r>
        <w:t>.</w:t>
      </w:r>
    </w:p>
  </w:footnote>
  <w:footnote w:id="6">
    <w:p w14:paraId="7482E6ED" w14:textId="77777777" w:rsidR="00034F22" w:rsidRDefault="00034F22" w:rsidP="2FA6B974">
      <w:pPr>
        <w:pStyle w:val="FootnoteText"/>
        <w:ind w:left="360" w:hanging="360"/>
      </w:pPr>
      <w:r>
        <w:rPr>
          <w:rStyle w:val="FootnoteReference"/>
        </w:rPr>
        <w:footnoteRef/>
      </w:r>
      <w:r>
        <w:tab/>
        <w:t xml:space="preserve">Образец, публикуван в </w:t>
      </w:r>
      <w:hyperlink r:id="rId2" w:history="1">
        <w:r>
          <w:rPr>
            <w:rStyle w:val="Hyperlink"/>
          </w:rPr>
          <w:t>„Документи за справка“ на портала</w:t>
        </w:r>
      </w:hyperlink>
      <w:r>
        <w:t>.</w:t>
      </w:r>
    </w:p>
  </w:footnote>
  <w:footnote w:id="7">
    <w:p w14:paraId="6D895AE4" w14:textId="77777777" w:rsidR="00034F22" w:rsidRPr="001D305B" w:rsidRDefault="00034F22" w:rsidP="2FA6B974">
      <w:pPr>
        <w:pStyle w:val="FootnoteText"/>
        <w:ind w:left="360" w:hanging="360"/>
        <w:rPr>
          <w:color w:val="0088CC"/>
          <w:sz w:val="16"/>
          <w:szCs w:val="16"/>
        </w:rPr>
      </w:pPr>
      <w:r>
        <w:rPr>
          <w:sz w:val="16"/>
          <w:szCs w:val="16"/>
          <w:vertAlign w:val="superscript"/>
          <w:lang w:val="en-GB"/>
        </w:rPr>
        <w:footnoteRef/>
      </w:r>
      <w:r>
        <w:tab/>
      </w:r>
      <w:r>
        <w:rPr>
          <w:sz w:val="16"/>
          <w:szCs w:val="16"/>
        </w:rPr>
        <w:t>Началната дата на изпълнение на дейността е първият ден на месеца след датата на влизане в сила на споразумението</w:t>
      </w:r>
      <w:r>
        <w:t>.</w:t>
      </w:r>
      <w:r>
        <w:rPr>
          <w:sz w:val="16"/>
          <w:szCs w:val="16"/>
        </w:rPr>
        <w:t xml:space="preserve"> Началната дата на изпълнение на дейността не може да бъде по-късно от 6 месеца след датата на влизане в сила на споразумението, ако това е предвидено и обосновано в описанието на дейността в приложение 1, например за да се вземе предвид сезонният характер на продукта, за който се отнася програмата, или участието в конкретно мероприятие или конкретен панаир (член 10, параграф 4 от Регламент за изпълнение (ЕС) 2015/1831 на Комисията).</w:t>
      </w:r>
    </w:p>
  </w:footnote>
  <w:footnote w:id="8">
    <w:p w14:paraId="4970D7B6" w14:textId="77777777" w:rsidR="00034F22" w:rsidRPr="000E5062" w:rsidRDefault="00034F22" w:rsidP="2FA6B974">
      <w:pPr>
        <w:pStyle w:val="FootnoteText"/>
        <w:ind w:left="360" w:hanging="360"/>
      </w:pPr>
      <w:r>
        <w:rPr>
          <w:sz w:val="16"/>
          <w:szCs w:val="16"/>
          <w:vertAlign w:val="superscript"/>
          <w:lang w:val="en-GB"/>
        </w:rPr>
        <w:footnoteRef/>
      </w:r>
      <w:r>
        <w:rPr>
          <w:sz w:val="16"/>
          <w:szCs w:val="16"/>
          <w:vertAlign w:val="superscript"/>
        </w:rPr>
        <w:t xml:space="preserve"> </w:t>
      </w:r>
      <w:r>
        <w:tab/>
      </w:r>
      <w:r>
        <w:rPr>
          <w:sz w:val="16"/>
          <w:szCs w:val="16"/>
        </w:rPr>
        <w:t>Сумата, приложима за поканата, трябва да бъде посочена в условията на поканата. Тя не може да надвишава 60 000 EUR, освен ако в противен случай постигането на целта на дейностите, финансирани по поканата, би било невъзможно или прекомерно трудно (член 204 от Финансовия регламент на ЕС — Регламент (ЕС) 2018/1046). По изключение с предоставящия орган може да се договори по-висока сума, ако възможността за това е обявена в поканата и ако това е необходимо, тъй като в противен случай постигането на целта на дейността би било невъзможно или прекомерно трудно.</w:t>
      </w:r>
    </w:p>
  </w:footnote>
  <w:footnote w:id="9">
    <w:p w14:paraId="091036C4" w14:textId="77777777" w:rsidR="00034F22" w:rsidRDefault="00034F22" w:rsidP="2FA6B974">
      <w:pPr>
        <w:pStyle w:val="FootnoteText"/>
        <w:ind w:left="360" w:hanging="360"/>
        <w:rPr>
          <w:b/>
          <w:bCs/>
        </w:rPr>
      </w:pPr>
      <w:r>
        <w:rPr>
          <w:vertAlign w:val="superscript"/>
        </w:rPr>
        <w:footnoteRef/>
      </w:r>
      <w:r>
        <w:rPr>
          <w:vertAlign w:val="superscript"/>
        </w:rPr>
        <w:t xml:space="preserve"> </w:t>
      </w:r>
      <w:r>
        <w:tab/>
        <w:t>За определението вж. член 187 от Регламент (ЕС, Евратом) 2018/1046 на Европейския парламент и на Съвета от 18 юли 2018 г.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(„Финансов регламент на ЕС“) (ОВ L 193, 30.7.2018 г., стр. 1): „</w:t>
      </w:r>
      <w:r>
        <w:rPr>
          <w:b/>
          <w:bCs/>
        </w:rPr>
        <w:t>свързани субекти</w:t>
      </w:r>
      <w:r>
        <w:t xml:space="preserve"> [са]:</w:t>
      </w:r>
    </w:p>
    <w:p w14:paraId="4E11A1EB" w14:textId="77777777" w:rsidR="00034F22" w:rsidRDefault="00034F22" w:rsidP="2FA6B974">
      <w:pPr>
        <w:numPr>
          <w:ilvl w:val="0"/>
          <w:numId w:val="85"/>
        </w:numPr>
        <w:spacing w:after="0"/>
        <w:ind w:left="709" w:hanging="283"/>
        <w:rPr>
          <w:rFonts w:eastAsia="Times New Roman" w:cs="Times New Roman"/>
          <w:sz w:val="20"/>
          <w:szCs w:val="20"/>
        </w:rPr>
      </w:pPr>
      <w:r>
        <w:rPr>
          <w:sz w:val="20"/>
          <w:szCs w:val="20"/>
        </w:rPr>
        <w:t>субекти, формиращи единствен бенефициер [(т.е. когато субектът е формиран от няколко субекта, които отговарят на критериите за получаване на безвъзмездни средства, включително когато субектът е създаден специално за целите на изпълнение на дейността, която подлежи на финансиране с безвъзмездни средства)];</w:t>
      </w:r>
    </w:p>
    <w:p w14:paraId="157D8E5D" w14:textId="77777777" w:rsidR="00034F22" w:rsidRDefault="00034F22" w:rsidP="2FA6B974">
      <w:pPr>
        <w:numPr>
          <w:ilvl w:val="0"/>
          <w:numId w:val="85"/>
        </w:numPr>
        <w:spacing w:after="0"/>
        <w:ind w:left="709" w:hanging="283"/>
        <w:rPr>
          <w:sz w:val="20"/>
          <w:szCs w:val="20"/>
        </w:rPr>
      </w:pPr>
      <w:r>
        <w:rPr>
          <w:sz w:val="20"/>
          <w:szCs w:val="20"/>
        </w:rPr>
        <w:t>субекти, които отговарят на критериите за допустимост и които не са в никое от положенията, посочени в член 136, параграф 1 и в член 141, параграф 1, и които имат връзка с бенефициера, по-специално правна връзка или връзка посредством капитал, която не е ограничена до дейността, нито е създадена с единствена цел неговото изпълнение“.</w:t>
      </w:r>
    </w:p>
  </w:footnote>
  <w:footnote w:id="10">
    <w:p w14:paraId="0CCB3F09" w14:textId="77777777" w:rsidR="00034F22" w:rsidRPr="007B4ABD" w:rsidRDefault="00034F22" w:rsidP="008907F4">
      <w:pPr>
        <w:pStyle w:val="FootnoteText"/>
        <w:ind w:left="360" w:hanging="360"/>
      </w:pPr>
      <w:r>
        <w:rPr>
          <w:rStyle w:val="FootnoteReference"/>
        </w:rPr>
        <w:footnoteRef/>
      </w:r>
      <w:r>
        <w:tab/>
      </w:r>
      <w:r>
        <w:rPr>
          <w:color w:val="000000"/>
        </w:rPr>
        <w:t xml:space="preserve">Директива (ЕС) 2017/1371 на Европейския парламент и на Съвета от 5 юли 2017 г. относно борбата с измамите, засягащи финансовите интереси на Съюза, по наказателноправен ред (ОВ L 198, 28.7.2017 г., стр. 29). </w:t>
      </w:r>
    </w:p>
  </w:footnote>
  <w:footnote w:id="11">
    <w:p w14:paraId="6C3DE70D" w14:textId="77777777" w:rsidR="00034F22" w:rsidRPr="007B4ABD" w:rsidRDefault="00034F22" w:rsidP="008907F4">
      <w:pPr>
        <w:pStyle w:val="FootnoteText"/>
        <w:ind w:left="360" w:hanging="360"/>
      </w:pPr>
      <w:r>
        <w:rPr>
          <w:rStyle w:val="FootnoteReference"/>
        </w:rPr>
        <w:footnoteRef/>
      </w:r>
      <w:r>
        <w:tab/>
      </w:r>
      <w:r>
        <w:rPr>
          <w:color w:val="000000"/>
        </w:rPr>
        <w:t>ОВ C 316, 27.11.1995 г., стр. 48.</w:t>
      </w:r>
    </w:p>
  </w:footnote>
  <w:footnote w:id="12">
    <w:p w14:paraId="1DD5D310" w14:textId="77777777" w:rsidR="00034F22" w:rsidRPr="007B4ABD" w:rsidRDefault="00034F22" w:rsidP="008907F4">
      <w:pPr>
        <w:pStyle w:val="FootnoteText"/>
        <w:ind w:left="360" w:hanging="360"/>
      </w:pPr>
      <w:r>
        <w:rPr>
          <w:rStyle w:val="FootnoteReference"/>
        </w:rPr>
        <w:footnoteRef/>
      </w:r>
      <w:r>
        <w:tab/>
      </w:r>
      <w:r>
        <w:rPr>
          <w:color w:val="000000"/>
        </w:rPr>
        <w:t>Регламент (ЕО, Евратом) № 2988/95 на Съвета от 18 декември 1995 година относно защитата на финансовите интереси на Европейските общности (ОВ L 312, 23.12.1995 г., стр. 1).</w:t>
      </w:r>
    </w:p>
  </w:footnote>
  <w:footnote w:id="13">
    <w:p w14:paraId="2F0ED1AC" w14:textId="77777777" w:rsidR="00034F22" w:rsidRPr="00956F37" w:rsidRDefault="00034F22" w:rsidP="008907F4">
      <w:pPr>
        <w:pStyle w:val="FootnoteText"/>
        <w:ind w:left="360" w:hanging="360"/>
      </w:pPr>
      <w:r>
        <w:rPr>
          <w:rStyle w:val="FootnoteReference"/>
        </w:rPr>
        <w:footnoteRef/>
      </w:r>
      <w:r>
        <w:tab/>
        <w:t>За определението вж. член 180, параграф 2, буква а) от Финансовия регламент на ЕС — Регламент (ЕС) 2018/1046: „</w:t>
      </w:r>
      <w:r>
        <w:rPr>
          <w:b/>
        </w:rPr>
        <w:t>безвъзмездни средства за дейност</w:t>
      </w:r>
      <w:r>
        <w:t>“ означава безвъзмездни средства от ЕС за финансиране на „действие, предназначено да подпомогне постигането на цел на политиката на Съюза“.</w:t>
      </w:r>
    </w:p>
  </w:footnote>
  <w:footnote w:id="14">
    <w:p w14:paraId="668E8A8D" w14:textId="77777777" w:rsidR="00034F22" w:rsidRPr="005A1ACA" w:rsidRDefault="00034F22" w:rsidP="008907F4">
      <w:pPr>
        <w:pStyle w:val="FootnoteText"/>
        <w:ind w:left="360" w:hanging="360"/>
      </w:pPr>
    </w:p>
  </w:footnote>
  <w:footnote w:id="15">
    <w:p w14:paraId="05661F9D" w14:textId="77777777" w:rsidR="00034F22" w:rsidRPr="00E215D1" w:rsidRDefault="00034F22" w:rsidP="008907F4">
      <w:pPr>
        <w:pStyle w:val="FootnoteText"/>
        <w:ind w:left="360" w:hanging="357"/>
      </w:pPr>
      <w:r>
        <w:rPr>
          <w:rStyle w:val="FootnoteReference"/>
        </w:rPr>
        <w:footnoteRef/>
      </w:r>
      <w:r>
        <w:tab/>
        <w:t>За определението вж. Препоръка 2003/361/ЕО на Комисията: микро-, малките или средните предприятия (МСП) са предприятия,</w:t>
      </w:r>
    </w:p>
    <w:p w14:paraId="39D77C17" w14:textId="77777777" w:rsidR="00034F22" w:rsidRPr="00E215D1" w:rsidRDefault="00034F22" w:rsidP="00A61F21">
      <w:pPr>
        <w:pStyle w:val="CM4"/>
        <w:numPr>
          <w:ilvl w:val="0"/>
          <w:numId w:val="79"/>
        </w:numPr>
        <w:ind w:left="993"/>
        <w:jc w:val="both"/>
        <w:rPr>
          <w:rFonts w:ascii="Times New Roman" w:hAnsi="Times New Roman"/>
          <w:color w:val="000000"/>
          <w:sz w:val="20"/>
          <w:szCs w:val="20"/>
        </w:rPr>
      </w:pPr>
      <w:r>
        <w:rPr>
          <w:rFonts w:ascii="Times New Roman" w:hAnsi="Times New Roman"/>
          <w:color w:val="000000"/>
          <w:sz w:val="20"/>
          <w:szCs w:val="20"/>
        </w:rPr>
        <w:t xml:space="preserve">упражняващи икономическа дейност, независимо от правната им организационна форма (включително, по-специално, самостоятелно заети лица и семейни предприятия, занимаващи се със занаятчийска или други дейности, както и партньорства или асоциации, редовно занимаващи се с икономическа дейност), и </w:t>
      </w:r>
    </w:p>
    <w:p w14:paraId="1AC03EB9" w14:textId="77777777" w:rsidR="00034F22" w:rsidRPr="00E215D1" w:rsidRDefault="00034F22" w:rsidP="00A61F21">
      <w:pPr>
        <w:pStyle w:val="CM4"/>
        <w:numPr>
          <w:ilvl w:val="0"/>
          <w:numId w:val="79"/>
        </w:numPr>
        <w:ind w:left="993"/>
        <w:jc w:val="both"/>
        <w:rPr>
          <w:rFonts w:ascii="Times New Roman" w:hAnsi="Times New Roman"/>
          <w:sz w:val="20"/>
          <w:szCs w:val="20"/>
        </w:rPr>
      </w:pPr>
      <w:r>
        <w:rPr>
          <w:rFonts w:ascii="Times New Roman" w:hAnsi="Times New Roman"/>
          <w:color w:val="000000"/>
          <w:sz w:val="20"/>
          <w:szCs w:val="20"/>
        </w:rPr>
        <w:t xml:space="preserve">които наемат под 250 души персонал (изразено в „годишни работни единици“, както е определено в член 5 от Препоръката) и имат годишен оборот, не надвишаващ 50 милиона евро, и/или с общ годишен балансов отчет, ненадвишаващ 43 милиона евро. </w:t>
      </w:r>
    </w:p>
  </w:footnote>
  <w:footnote w:id="16">
    <w:p w14:paraId="5C32F3CE" w14:textId="77777777" w:rsidR="00034F22" w:rsidRPr="00A65A2A" w:rsidRDefault="00034F22" w:rsidP="008907F4">
      <w:pPr>
        <w:pStyle w:val="FootnoteText"/>
        <w:ind w:left="360" w:hanging="360"/>
        <w:rPr>
          <w:color w:val="4AA55B"/>
        </w:rPr>
      </w:pPr>
      <w:r>
        <w:rPr>
          <w:rStyle w:val="FootnoteReference"/>
        </w:rPr>
        <w:footnoteRef/>
      </w:r>
      <w:r>
        <w:tab/>
        <w:t>Сумата трябва да бъде уточнена в поканата. Тя не може да надвишава 60 000 EUR, освен ако в противен случай постигането на целта на дейността би било невъзможно или прекомерно трудно (член 204 от Финансовия регламент на ЕС — Регламент (ЕС) 2018/1046).</w:t>
      </w:r>
    </w:p>
  </w:footnote>
  <w:footnote w:id="17">
    <w:p w14:paraId="4E2A50D3" w14:textId="77777777" w:rsidR="00034F22" w:rsidRPr="00B66934" w:rsidRDefault="00034F22" w:rsidP="2FA6B974">
      <w:pPr>
        <w:pStyle w:val="FootnoteText"/>
        <w:ind w:left="360" w:hanging="360"/>
      </w:pPr>
      <w:r>
        <w:rPr>
          <w:rStyle w:val="FootnoteReference"/>
        </w:rPr>
        <w:footnoteRef/>
      </w:r>
      <w:r>
        <w:tab/>
        <w:t>За определението вж. член 180, параграф 2, буква б) от Финансовия регламент на ЕС — Регламент (ЕС) 2018/1046: „</w:t>
      </w:r>
      <w:r>
        <w:rPr>
          <w:b/>
          <w:bCs/>
        </w:rPr>
        <w:t>безвъзмездни средства за оперативни разходи</w:t>
      </w:r>
      <w:r>
        <w:t>“ представляват безвъзмездни средства от ЕС за финансиране на „функционирането на орган, който има цел, съставляваща част от политика на Съюза и подкрепяща такава политика“.</w:t>
      </w:r>
    </w:p>
  </w:footnote>
  <w:footnote w:id="18">
    <w:p w14:paraId="29C0134F" w14:textId="77777777" w:rsidR="00034F22" w:rsidRPr="00EB2635" w:rsidRDefault="00034F22" w:rsidP="008907F4">
      <w:pPr>
        <w:pStyle w:val="FootnoteText"/>
        <w:ind w:left="360" w:hanging="360"/>
      </w:pPr>
      <w:r>
        <w:rPr>
          <w:rStyle w:val="FootnoteReference"/>
        </w:rPr>
        <w:footnoteRef/>
      </w:r>
      <w:r>
        <w:tab/>
        <w:t xml:space="preserve">За определението вж. член 187, параграф 2 от Финансовия регламент на ЕС — Регламент (ЕС) 2018/1046: „Когато няколко субекта отговарят на критериите за получаване на безвъзмездни средства и заедно формират един субект, този субект може да бъде третиран като </w:t>
      </w:r>
      <w:r>
        <w:rPr>
          <w:b/>
        </w:rPr>
        <w:t>единствен бенефициер</w:t>
      </w:r>
      <w:r>
        <w:t>, включително когато субектът е създаден специално за целите на изпълнение на действието, което подлежи на финансиране с безвъзмездните средства.“</w:t>
      </w:r>
    </w:p>
  </w:footnote>
  <w:footnote w:id="19">
    <w:p w14:paraId="48B17FA3" w14:textId="77777777" w:rsidR="00034F22" w:rsidRDefault="00034F22" w:rsidP="008907F4">
      <w:pPr>
        <w:pStyle w:val="FootnoteText"/>
        <w:ind w:left="360" w:hanging="360"/>
      </w:pPr>
      <w:r>
        <w:rPr>
          <w:rStyle w:val="FootnoteReference"/>
        </w:rPr>
        <w:footnoteRef/>
      </w:r>
      <w:r>
        <w:tab/>
        <w:t>Решение (ЕС, Евратом) 2015/444 на Комисията от 13 март 2015 г. относно правилата за сигурност за защита на класифицираната информация на EC (OВ L 72, 17.3.2015 г., стр. 53).</w:t>
      </w:r>
    </w:p>
  </w:footnote>
  <w:footnote w:id="20">
    <w:p w14:paraId="496C9CD4" w14:textId="77777777" w:rsidR="00034F22" w:rsidRPr="00013C6E" w:rsidRDefault="00034F22" w:rsidP="00146D42">
      <w:pPr>
        <w:pStyle w:val="FootnoteText"/>
        <w:ind w:left="360" w:hanging="360"/>
      </w:pPr>
      <w:r>
        <w:rPr>
          <w:rStyle w:val="FootnoteReference"/>
        </w:rPr>
        <w:footnoteRef/>
      </w:r>
      <w:r>
        <w:tab/>
        <w:t>Регламент (ЕС) 2016/679 на Европейския парламент и на Съвета от 27 април 2016 г.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95/46/ЕО (ОВ L 119, 4.5.2016 г., стр. 1).</w:t>
      </w:r>
    </w:p>
  </w:footnote>
  <w:footnote w:id="21">
    <w:p w14:paraId="42AF109D" w14:textId="77777777" w:rsidR="00034F22" w:rsidRPr="001F7F46" w:rsidRDefault="00034F22" w:rsidP="008907F4">
      <w:pPr>
        <w:pStyle w:val="FootnoteText"/>
        <w:ind w:left="360" w:hanging="360"/>
        <w:rPr>
          <w:sz w:val="18"/>
        </w:rPr>
      </w:pPr>
      <w:r>
        <w:rPr>
          <w:rStyle w:val="FootnoteReference"/>
        </w:rPr>
        <w:footnoteRef/>
      </w:r>
      <w:r>
        <w:tab/>
        <w:t>Директива (ЕС) 2015/2366 на Европейския парламент и на Съвета от 25 ноември 2015 година за платежните услуги във вътрешния пазар, за изменение на директиви 2002/65/ЕО, 2009/110/ЕО и 2013/36/ЕС и Регламент (ЕС) № 1093/2010 и за отмяна на Директива 2007/64/ЕО (</w:t>
      </w:r>
      <w:r>
        <w:rPr>
          <w:rStyle w:val="Emphasis"/>
          <w:i w:val="0"/>
          <w:szCs w:val="21"/>
        </w:rPr>
        <w:t>ОВ L 337, 23.12.2015 г., стр. 35</w:t>
      </w:r>
      <w:r>
        <w:t>)</w:t>
      </w:r>
    </w:p>
  </w:footnote>
  <w:footnote w:id="22">
    <w:p w14:paraId="64218373" w14:textId="77777777" w:rsidR="00034F22" w:rsidRPr="00AA64C6" w:rsidRDefault="00034F22" w:rsidP="008907F4">
      <w:pPr>
        <w:pStyle w:val="FootnoteText"/>
        <w:ind w:left="360" w:hanging="360"/>
      </w:pPr>
      <w:r>
        <w:rPr>
          <w:vertAlign w:val="superscript"/>
        </w:rPr>
        <w:footnoteRef/>
      </w:r>
      <w:r>
        <w:tab/>
        <w:t>Регламент (ЕС, Евратом) № 883/2013 на Европейския парламент и на Съвета от 11 септември 2013 година относно разследванията, провеждани от Европейската служба за борба с измамите (OLAF), и за отмяна на Регламент (ЕО) № 1073/1999 на Европейския парламент и на Съвета и Регламент (Евратом) № 1074/1999 на Съвета (ОВ L 248, 18.9.2013 г., стр. 1).</w:t>
      </w:r>
    </w:p>
  </w:footnote>
  <w:footnote w:id="23">
    <w:p w14:paraId="74BCB741" w14:textId="77777777" w:rsidR="00034F22" w:rsidRPr="00AA64C6" w:rsidRDefault="00034F22" w:rsidP="008907F4">
      <w:pPr>
        <w:pStyle w:val="FootnoteText"/>
        <w:ind w:left="360" w:hanging="360"/>
      </w:pPr>
      <w:r>
        <w:rPr>
          <w:vertAlign w:val="superscript"/>
        </w:rPr>
        <w:footnoteRef/>
      </w:r>
      <w:r>
        <w:rPr>
          <w:vertAlign w:val="superscript"/>
        </w:rPr>
        <w:t xml:space="preserve"> </w:t>
      </w:r>
      <w:r>
        <w:tab/>
        <w:t>Регламент (Евратом, ЕО) № 2185/96 на Съвета от 11 ноември 1996 г. относно контрола и проверките на място, извършвани от Комисията за защита на финансовите интереси на Европейските общности срещу измами и други нередности (ОВ L 292, 15.11.1996 г., стр. 2).</w:t>
      </w:r>
    </w:p>
  </w:footnote>
  <w:footnote w:id="24">
    <w:p w14:paraId="06CF28B6" w14:textId="77777777" w:rsidR="00034F22" w:rsidRPr="00445449" w:rsidRDefault="00034F22" w:rsidP="008907F4">
      <w:pPr>
        <w:pStyle w:val="FootnoteText"/>
        <w:ind w:left="426" w:hanging="426"/>
      </w:pPr>
      <w:r>
        <w:rPr>
          <w:rStyle w:val="FootnoteReference"/>
        </w:rPr>
        <w:footnoteRef/>
      </w:r>
      <w:r>
        <w:tab/>
        <w:t>Регламент (ЕС) № 1306/2013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347, 20.12.2013 г., стр. 549).</w:t>
      </w:r>
    </w:p>
  </w:footnote>
  <w:footnote w:id="25">
    <w:p w14:paraId="54597767" w14:textId="77777777" w:rsidR="00034F22" w:rsidRPr="00956F37" w:rsidRDefault="00034F22" w:rsidP="008907F4">
      <w:pPr>
        <w:pStyle w:val="FootnoteText"/>
        <w:ind w:left="360" w:hanging="360"/>
      </w:pPr>
      <w:r>
        <w:rPr>
          <w:rStyle w:val="FootnoteReference"/>
        </w:rPr>
        <w:footnoteRef/>
      </w:r>
      <w:r>
        <w:tab/>
        <w:t>Регламент (ЕО, Евратом) № 2988/95 на Съвета от 18 декември 1995 година относно защитата на финансовите интереси на Европейските общности</w:t>
      </w:r>
      <w:r>
        <w:rPr>
          <w:rStyle w:val="Heading1Char"/>
          <w:rFonts w:ascii="Roboto" w:hAnsi="Roboto"/>
          <w:sz w:val="21"/>
          <w:szCs w:val="21"/>
          <w:u w:val="none"/>
        </w:rPr>
        <w:t xml:space="preserve"> </w:t>
      </w:r>
      <w:r>
        <w:rPr>
          <w:rStyle w:val="Heading1Char"/>
          <w:rFonts w:ascii="Times New Roman" w:hAnsi="Times New Roman"/>
          <w:b w:val="0"/>
          <w:sz w:val="20"/>
          <w:szCs w:val="20"/>
          <w:u w:val="none"/>
        </w:rPr>
        <w:t>(</w:t>
      </w:r>
      <w:r>
        <w:rPr>
          <w:rStyle w:val="Emphasis"/>
          <w:i w:val="0"/>
        </w:rPr>
        <w:t>ОВ L 312, 23.12.1995 г., стр. 1).</w:t>
      </w:r>
    </w:p>
  </w:footnote>
  <w:footnote w:id="26">
    <w:p w14:paraId="0746877C" w14:textId="77777777" w:rsidR="00034F22" w:rsidRPr="00AA64C6" w:rsidRDefault="00034F22" w:rsidP="008907F4">
      <w:pPr>
        <w:pStyle w:val="FootnoteText"/>
        <w:ind w:left="360" w:hanging="360"/>
      </w:pPr>
      <w:r>
        <w:rPr>
          <w:vertAlign w:val="superscript"/>
        </w:rPr>
        <w:footnoteRef/>
      </w:r>
      <w:r>
        <w:tab/>
        <w:t>Регламент (ЕИО, Евратом) № 1182/71 на Съвета от 3 юни 1971 г. за определяне на правилата, приложими за срокове, дати и крайни срокове (ОВ L 124, 8.6.1971 г., стр. 1).</w:t>
      </w:r>
    </w:p>
  </w:footnote>
  <w:footnote w:id="27">
    <w:p w14:paraId="3EF25B62" w14:textId="5DB622B4" w:rsidR="00034F22" w:rsidRPr="005F4A73" w:rsidRDefault="00034F22" w:rsidP="000D30C6">
      <w:pPr>
        <w:pStyle w:val="FootnoteText"/>
        <w:ind w:left="360" w:hanging="360"/>
        <w:rPr>
          <w:sz w:val="16"/>
          <w:szCs w:val="16"/>
        </w:rPr>
      </w:pPr>
      <w:r>
        <w:rPr>
          <w:rStyle w:val="FootnoteReference"/>
          <w:rFonts w:eastAsiaTheme="majorEastAsia"/>
          <w:sz w:val="16"/>
          <w:szCs w:val="16"/>
        </w:rPr>
        <w:footnoteRef/>
      </w:r>
      <w:r>
        <w:rPr>
          <w:sz w:val="16"/>
          <w:szCs w:val="16"/>
        </w:rPr>
        <w:t xml:space="preserve"> </w:t>
      </w:r>
      <w:r>
        <w:tab/>
      </w:r>
      <w:hyperlink r:id="rId3" w:history="1">
        <w:r>
          <w:rPr>
            <w:rStyle w:val="Hyperlink"/>
            <w:sz w:val="16"/>
            <w:szCs w:val="16"/>
          </w:rPr>
          <w:t>Решение на Комисията</w:t>
        </w:r>
      </w:hyperlink>
      <w:r>
        <w:rPr>
          <w:sz w:val="16"/>
          <w:szCs w:val="16"/>
        </w:rPr>
        <w:t xml:space="preserve"> от 20 октомври 2020 г. за разрешаване на използването на единични разходи като разходи за персонал на собственици на малки и средни предприятия и на бенефициери физически лица, които не получават заплата за извършената от тях работа по дейност или работна програма (С(2020)7115).</w:t>
      </w:r>
    </w:p>
  </w:footnote>
  <w:footnote w:id="28">
    <w:p w14:paraId="2A7379E4" w14:textId="77777777" w:rsidR="00034F22" w:rsidRDefault="00034F22" w:rsidP="00CF7824">
      <w:pPr>
        <w:pStyle w:val="FootnoteText"/>
        <w:ind w:left="360" w:hanging="360"/>
      </w:pPr>
      <w:r>
        <w:rPr>
          <w:rStyle w:val="FootnoteReference"/>
        </w:rPr>
        <w:footnoteRef/>
      </w:r>
      <w:r>
        <w:tab/>
        <w:t xml:space="preserve">Образец, публикуван в </w:t>
      </w:r>
      <w:hyperlink r:id="rId4" w:history="1">
        <w:r>
          <w:rPr>
            <w:rStyle w:val="Hyperlink"/>
          </w:rPr>
          <w:t>„Документи за справка“ на портала</w:t>
        </w:r>
      </w:hyperlink>
      <w:r>
        <w:t>.</w:t>
      </w:r>
    </w:p>
  </w:footnote>
  <w:footnote w:id="29">
    <w:p w14:paraId="420C1926" w14:textId="77777777" w:rsidR="00034F22" w:rsidRPr="00D02673" w:rsidRDefault="00034F22" w:rsidP="00CF7824">
      <w:pPr>
        <w:pStyle w:val="FootnoteText"/>
        <w:ind w:left="360" w:hanging="360"/>
        <w:rPr>
          <w:b/>
        </w:rPr>
      </w:pPr>
      <w:r>
        <w:rPr>
          <w:rStyle w:val="FootnoteReference"/>
          <w:rFonts w:eastAsiaTheme="majorEastAsia"/>
        </w:rPr>
        <w:footnoteRef/>
      </w:r>
      <w:r>
        <w:tab/>
        <w:t xml:space="preserve">Вж. приложение I към </w:t>
      </w:r>
      <w:r>
        <w:rPr>
          <w:rStyle w:val="Strong"/>
          <w:b w:val="0"/>
        </w:rPr>
        <w:t xml:space="preserve">Делегиран регламент (ЕС) № 179/2014 на Комисията от 6 ноември 2013 година за допълване на Регламент (ЕС) № 228/2013 на Европейския парламент и на Съвета по отношение на регистъра на операторите, размера на помощта, предоставена за предлагането на продуктите на пазара извън региона, графичния символ, освобождаването от вносни мита за някои животни от рода на едрия рогат добитък и финансирането на определени специфични мерки за селското стопанство в най-отдалечените региони на Съюза </w:t>
      </w:r>
      <w:r>
        <w:rPr>
          <w:rStyle w:val="Strong"/>
          <w:b w:val="0"/>
          <w:bCs w:val="0"/>
        </w:rPr>
        <w:t>(</w:t>
      </w:r>
      <w:r>
        <w:rPr>
          <w:rStyle w:val="Strong"/>
          <w:b w:val="0"/>
        </w:rPr>
        <w:t>ОВ L 63, 4.3.2014 г., стр. 3).</w:t>
      </w:r>
    </w:p>
  </w:footnote>
  <w:footnote w:id="30">
    <w:p w14:paraId="652DA9B5" w14:textId="77777777" w:rsidR="00034F22" w:rsidRPr="00D02673" w:rsidRDefault="00034F22" w:rsidP="00CF7824">
      <w:pPr>
        <w:pStyle w:val="FootnoteText"/>
        <w:ind w:left="360" w:hanging="360"/>
        <w:rPr>
          <w:rStyle w:val="Strong"/>
          <w:b w:val="0"/>
        </w:rPr>
      </w:pPr>
      <w:r>
        <w:rPr>
          <w:rStyle w:val="FootnoteReference"/>
          <w:rFonts w:eastAsiaTheme="majorEastAsia"/>
        </w:rPr>
        <w:footnoteRef/>
      </w:r>
      <w:r>
        <w:tab/>
      </w:r>
      <w:hyperlink r:id="rId5" w:history="1">
        <w:r>
          <w:rPr>
            <w:rStyle w:val="Strong"/>
            <w:b w:val="0"/>
          </w:rPr>
          <w:t>Делегиран регламент (ЕС) № 664/2014 на Комисията от 18 декември 2013 г. за допълване на Регламент (ЕС) № 1151/2012 на Европейския парламент и на Съвета по отношение на определянето на символите на Съюза за защитени наименования за произход, защитени географски указания и храни с традиционно специфичен характер, както и по отношение на определени правила за снабдяване, някои процедурни правила и някои допълнителни преходни разпоредби</w:t>
        </w:r>
      </w:hyperlink>
      <w:r>
        <w:rPr>
          <w:rStyle w:val="Strong"/>
          <w:b w:val="0"/>
          <w:bCs w:val="0"/>
        </w:rPr>
        <w:t xml:space="preserve"> </w:t>
      </w:r>
      <w:r>
        <w:rPr>
          <w:rStyle w:val="Strong"/>
          <w:b w:val="0"/>
        </w:rPr>
        <w:t>(ОВ L 179, 19.6.2014 г., стр. 17).</w:t>
      </w:r>
    </w:p>
  </w:footnote>
  <w:footnote w:id="31">
    <w:p w14:paraId="0B9C5F51" w14:textId="77777777" w:rsidR="00034F22" w:rsidRPr="009254DB" w:rsidRDefault="00034F22" w:rsidP="007757E1">
      <w:pPr>
        <w:pStyle w:val="FootnoteText"/>
        <w:rPr>
          <w:rStyle w:val="Strong"/>
          <w:b w:val="0"/>
        </w:rPr>
      </w:pPr>
      <w:r>
        <w:rPr>
          <w:rStyle w:val="FootnoteReference"/>
          <w:rFonts w:eastAsiaTheme="majorEastAsia"/>
        </w:rPr>
        <w:footnoteRef/>
      </w:r>
      <w:r>
        <w:tab/>
        <w:t>Регламент (ЕС) 2017/1001 на Европейския парламент и на Съвета от 14 юни 2017 г. относно марката на Европейския съюз (ОВ L 154, 16.6.2017 г., стр. 1</w:t>
      </w:r>
      <w:r>
        <w:rPr>
          <w:rStyle w:val="Strong"/>
          <w:b w:val="0"/>
        </w:rPr>
        <w:t>).</w:t>
      </w:r>
    </w:p>
  </w:footnote>
  <w:footnote w:id="32">
    <w:p w14:paraId="0901564F" w14:textId="77777777" w:rsidR="00034F22" w:rsidRPr="00D02673" w:rsidRDefault="00034F22" w:rsidP="007757E1">
      <w:pPr>
        <w:pStyle w:val="FootnoteText"/>
        <w:rPr>
          <w:rStyle w:val="Strong"/>
          <w:b w:val="0"/>
        </w:rPr>
      </w:pPr>
      <w:r>
        <w:rPr>
          <w:rStyle w:val="FootnoteReference"/>
          <w:rFonts w:eastAsiaTheme="majorEastAsia"/>
        </w:rPr>
        <w:footnoteRef/>
      </w:r>
      <w:r>
        <w:t xml:space="preserve"> </w:t>
      </w:r>
      <w:r>
        <w:tab/>
      </w:r>
      <w:r>
        <w:rPr>
          <w:rStyle w:val="Strong"/>
          <w:b w:val="0"/>
        </w:rPr>
        <w:t>Директива (ЕС) 2015/2436 на Европейския парламент и на Съвета от 16 декември 2015 г. за сближаване на законодателствата на държавите членки относно марките (ОВ L 336, 23.12.2015 г., стр. 1).</w:t>
      </w:r>
    </w:p>
  </w:footnote>
  <w:footnote w:id="33">
    <w:p w14:paraId="28A32F5C" w14:textId="77777777" w:rsidR="00034F22" w:rsidRPr="00D02673" w:rsidRDefault="00034F22" w:rsidP="00CF7824">
      <w:pPr>
        <w:pStyle w:val="FootnoteText"/>
      </w:pPr>
      <w:r>
        <w:rPr>
          <w:rStyle w:val="FootnoteReference"/>
          <w:rFonts w:eastAsiaTheme="majorEastAsia"/>
        </w:rPr>
        <w:footnoteRef/>
      </w:r>
      <w:r>
        <w:tab/>
      </w:r>
      <w:hyperlink r:id="rId6" w:history="1">
        <w:r>
          <w:t>Регламент (ЕО) № 1924/2006 на Европейския парламент и на Съвета от 20 декември 2006 г. относно хранителни и здравни претенции за храните</w:t>
        </w:r>
      </w:hyperlink>
      <w:r>
        <w:t xml:space="preserve"> (ОВ L 404, 30.12.2006 г., стр. 9).</w:t>
      </w:r>
    </w:p>
  </w:footnote>
  <w:footnote w:id="34">
    <w:p w14:paraId="3B718D9E" w14:textId="62F8D7A7" w:rsidR="00034F22" w:rsidRPr="00731521" w:rsidRDefault="00034F22" w:rsidP="00034F22">
      <w:pPr>
        <w:pStyle w:val="FootnoteText"/>
      </w:pPr>
      <w:r>
        <w:rPr>
          <w:rStyle w:val="FootnoteReference"/>
        </w:rPr>
        <w:footnoteRef/>
      </w:r>
      <w:r>
        <w:t xml:space="preserve"> </w:t>
      </w:r>
      <w:r>
        <w:tab/>
      </w:r>
      <w:hyperlink r:id="rId7" w:history="1">
        <w:r>
          <w:rPr>
            <w:rStyle w:val="Hyperlink"/>
          </w:rPr>
          <w:t>https://knowledge4policy.ec.europa.eu/health-promotion-knowledge-gateway/food-based-dietary-guidelines-europe-source-documents-food_en</w:t>
        </w:r>
      </w:hyperlink>
    </w:p>
  </w:footnote>
  <w:footnote w:id="35">
    <w:p w14:paraId="175CA40E" w14:textId="77777777" w:rsidR="00034F22" w:rsidRPr="00B755EB" w:rsidRDefault="00034F22" w:rsidP="00CF7824">
      <w:pPr>
        <w:pStyle w:val="FootnoteText"/>
        <w:rPr>
          <w:b/>
        </w:rPr>
      </w:pPr>
      <w:r>
        <w:rPr>
          <w:rStyle w:val="FootnoteReference"/>
          <w:rFonts w:eastAsiaTheme="majorEastAsia"/>
        </w:rPr>
        <w:footnoteRef/>
      </w:r>
      <w:r>
        <w:tab/>
        <w:t>„</w:t>
      </w:r>
      <w:r>
        <w:rPr>
          <w:b/>
        </w:rPr>
        <w:t>Свързани субекти</w:t>
      </w:r>
      <w:r>
        <w:t>“ са субекти, които имат връзка с бенефициера, в частност правна или капиталова връзка, която не е ограничена до дейността, нито е установена единствено с цел нейното изпълнение.</w:t>
      </w:r>
    </w:p>
  </w:footnote>
  <w:footnote w:id="36">
    <w:p w14:paraId="1BBA7798" w14:textId="77777777" w:rsidR="00034F22" w:rsidRDefault="00034F22" w:rsidP="003249E5">
      <w:pPr>
        <w:pStyle w:val="FootnoteText"/>
        <w:ind w:left="360" w:hanging="360"/>
      </w:pPr>
      <w:r>
        <w:rPr>
          <w:rStyle w:val="FootnoteReference"/>
        </w:rPr>
        <w:footnoteRef/>
      </w:r>
      <w:r>
        <w:tab/>
        <w:t xml:space="preserve">Образец, публикуван в </w:t>
      </w:r>
      <w:hyperlink r:id="rId8" w:history="1">
        <w:r>
          <w:rPr>
            <w:rStyle w:val="Hyperlink"/>
          </w:rPr>
          <w:t>„Документи за справка“ на портала</w:t>
        </w:r>
      </w:hyperlink>
      <w:r>
        <w:t>.</w:t>
      </w:r>
    </w:p>
  </w:footnote>
  <w:footnote w:id="37">
    <w:p w14:paraId="4EA60B18" w14:textId="77777777" w:rsidR="00034F22" w:rsidRPr="00C90E2D" w:rsidRDefault="00034F22" w:rsidP="00216718">
      <w:pPr>
        <w:pStyle w:val="FootnoteText"/>
        <w:ind w:left="360" w:hanging="360"/>
      </w:pPr>
      <w:r>
        <w:rPr>
          <w:vertAlign w:val="superscript"/>
        </w:rPr>
        <w:footnoteRef/>
      </w:r>
      <w:r>
        <w:rPr>
          <w:vertAlign w:val="superscript"/>
        </w:rPr>
        <w:t xml:space="preserve"> </w:t>
      </w:r>
      <w:r>
        <w:tab/>
        <w:t xml:space="preserve">Директива </w:t>
      </w:r>
      <w:hyperlink r:id="rId9" w:history="1">
        <w:r>
          <w:rPr>
            <w:rStyle w:val="Hyperlink"/>
          </w:rPr>
          <w:t>2006/43/ЕО</w:t>
        </w:r>
      </w:hyperlink>
      <w:r>
        <w:t xml:space="preserve"> на Европейския парламент и на Съвета от 17 май 2006 г. относно задължителния одит на годишните счетоводни отчети и консолидираните счетоводни отчети (ОВ L 157, 9.6.2006 г., стр. 87) или сходни национални нормативни актове.</w:t>
      </w:r>
    </w:p>
  </w:footnote>
  <w:footnote w:id="38">
    <w:p w14:paraId="282146F7" w14:textId="77777777" w:rsidR="00034F22" w:rsidRPr="00EF42D9" w:rsidRDefault="00034F22" w:rsidP="00216718">
      <w:pPr>
        <w:pStyle w:val="FootnoteText"/>
        <w:ind w:left="360" w:hanging="360"/>
      </w:pPr>
      <w:r>
        <w:rPr>
          <w:vertAlign w:val="superscript"/>
        </w:rPr>
        <w:footnoteRef/>
      </w:r>
      <w:r>
        <w:rPr>
          <w:vertAlign w:val="superscript"/>
        </w:rPr>
        <w:t xml:space="preserve"> </w:t>
      </w:r>
      <w:r>
        <w:tab/>
        <w:t>Да се оцени по-специално въз основа на възлагането на обществени поръчки и процедурите за подбор по отношение на доставчиците на услуги.</w:t>
      </w:r>
    </w:p>
  </w:footnote>
  <w:footnote w:id="39">
    <w:p w14:paraId="1FAC2FB3" w14:textId="77777777" w:rsidR="00034F22" w:rsidRPr="00EF42D9" w:rsidRDefault="00034F22" w:rsidP="00216718">
      <w:pPr>
        <w:pStyle w:val="FootnoteText"/>
        <w:ind w:left="360" w:hanging="360"/>
      </w:pPr>
      <w:r>
        <w:rPr>
          <w:rStyle w:val="FootnoteReference"/>
        </w:rPr>
        <w:footnoteRef/>
      </w:r>
      <w:r>
        <w:tab/>
        <w:t>За определението вж. член 180, параграф 2, буква б) от Финансовия регламент на ЕС — Регламент (ЕС) 2018/1046: „</w:t>
      </w:r>
      <w:r>
        <w:rPr>
          <w:b/>
        </w:rPr>
        <w:t>безвъзмездни средства за оперативни разходи</w:t>
      </w:r>
      <w:r>
        <w:t>“ представляват безвъзмездни средства от ЕС за финансиране на „функционирането на орган, който има цел, съставляваща част от политика на Съюза и подкрепяща такава политика“.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0D5BF" w14:textId="77777777" w:rsidR="00034F22" w:rsidRDefault="00034F22">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EE67D" w14:textId="77777777" w:rsidR="00034F22" w:rsidRDefault="00034F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8FC9A" w14:textId="1B57F697" w:rsidR="00034F22" w:rsidRPr="00A04DCC" w:rsidRDefault="00034F22" w:rsidP="2FA6B974">
    <w:pPr>
      <w:pStyle w:val="Header"/>
    </w:pPr>
    <w:r>
      <w:t>[</w:t>
    </w:r>
    <w:r>
      <w:rPr>
        <w:highlight w:val="lightGray"/>
      </w:rPr>
      <w:t>Въведете заглавната част на предоставящия орган</w:t>
    </w:r>
    <w: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B8F0C" w14:textId="77777777" w:rsidR="00034F22" w:rsidRPr="006B49A3" w:rsidRDefault="00034F22" w:rsidP="2FA6B974">
    <w:pPr>
      <w:pStyle w:val="Header"/>
      <w:rPr>
        <w:sz w:val="20"/>
        <w:szCs w:val="20"/>
      </w:rPr>
    </w:pPr>
    <w:r>
      <w:rPr>
        <w:sz w:val="20"/>
        <w:szCs w:val="20"/>
      </w:rPr>
      <w:t>Номер на споразумението за отпускане на безвъзмездни средства: [</w:t>
    </w:r>
    <w:r>
      <w:rPr>
        <w:sz w:val="20"/>
        <w:szCs w:val="20"/>
        <w:highlight w:val="lightGray"/>
      </w:rPr>
      <w:t>въведете номер</w:t>
    </w:r>
    <w:r>
      <w:rPr>
        <w:sz w:val="20"/>
        <w:szCs w:val="20"/>
      </w:rPr>
      <w:t>] [</w:t>
    </w:r>
    <w:r>
      <w:rPr>
        <w:sz w:val="20"/>
        <w:szCs w:val="20"/>
        <w:highlight w:val="lightGray"/>
      </w:rPr>
      <w:t>въведете съкращение</w:t>
    </w:r>
    <w:r>
      <w:rPr>
        <w:sz w:val="20"/>
        <w:szCs w:val="20"/>
      </w:rPr>
      <w:t>] [</w:t>
    </w:r>
    <w:r>
      <w:rPr>
        <w:sz w:val="20"/>
        <w:szCs w:val="20"/>
        <w:highlight w:val="lightGray"/>
      </w:rPr>
      <w:t>въведете идентификационен номер на поканата</w:t>
    </w:r>
    <w:r>
      <w:rPr>
        <w:sz w:val="20"/>
        <w:szCs w:val="20"/>
      </w:rPr>
      <w:t>]</w:t>
    </w:r>
  </w:p>
  <w:p w14:paraId="1F8B9FF2" w14:textId="77777777" w:rsidR="00034F22" w:rsidRPr="00364B8E" w:rsidRDefault="00034F22" w:rsidP="2FA6B974">
    <w:pPr>
      <w:pStyle w:val="Header"/>
      <w:jc w:val="right"/>
      <w:rPr>
        <w:color w:val="808080" w:themeColor="text1" w:themeTint="7F"/>
        <w:sz w:val="20"/>
        <w:szCs w:val="20"/>
      </w:rPr>
    </w:pPr>
    <w:r>
      <w:tab/>
    </w:r>
    <w:r>
      <w:rPr>
        <w:color w:val="808080" w:themeColor="background1" w:themeShade="80"/>
        <w:sz w:val="20"/>
        <w:szCs w:val="20"/>
      </w:rPr>
      <w:t>Безвъзмездни средства от ЕС: [</w:t>
    </w:r>
    <w:r>
      <w:rPr>
        <w:color w:val="808080" w:themeColor="background1" w:themeShade="80"/>
        <w:sz w:val="20"/>
        <w:szCs w:val="20"/>
        <w:highlight w:val="lightGray"/>
      </w:rPr>
      <w:t>въведете съкратено наименование, например JUST/REC MGA — за един и повече бенефициери</w:t>
    </w:r>
    <w:r>
      <w:rPr>
        <w:color w:val="808080" w:themeColor="background1" w:themeShade="80"/>
        <w:sz w:val="20"/>
        <w:szCs w:val="20"/>
      </w:rPr>
      <w:t>]: Версия 1.0 — дд.мм.2020 г.</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8FC21" w14:textId="77777777" w:rsidR="00034F22" w:rsidRDefault="00034F2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48B58" w14:textId="77777777" w:rsidR="00034F22" w:rsidRDefault="00034F22" w:rsidP="2FA6B974">
    <w:pPr>
      <w:pStyle w:val="Header"/>
      <w:jc w:val="left"/>
      <w:rPr>
        <w:sz w:val="20"/>
        <w:szCs w:val="20"/>
      </w:rPr>
    </w:pPr>
    <w:r>
      <w:rPr>
        <w:sz w:val="20"/>
        <w:szCs w:val="20"/>
      </w:rPr>
      <w:t>Проект: [</w:t>
    </w:r>
    <w:r>
      <w:rPr>
        <w:sz w:val="20"/>
        <w:szCs w:val="20"/>
        <w:highlight w:val="lightGray"/>
      </w:rPr>
      <w:t>въведете номер</w:t>
    </w:r>
    <w:r>
      <w:rPr>
        <w:sz w:val="20"/>
        <w:szCs w:val="20"/>
      </w:rPr>
      <w:t>] — [</w:t>
    </w:r>
    <w:r>
      <w:rPr>
        <w:sz w:val="20"/>
        <w:szCs w:val="20"/>
        <w:highlight w:val="lightGray"/>
      </w:rPr>
      <w:t>въведете съкращение</w:t>
    </w:r>
    <w:r>
      <w:rPr>
        <w:sz w:val="20"/>
        <w:szCs w:val="20"/>
      </w:rPr>
      <w:t>] — [</w:t>
    </w:r>
    <w:r>
      <w:rPr>
        <w:sz w:val="20"/>
        <w:szCs w:val="20"/>
        <w:highlight w:val="lightGray"/>
      </w:rPr>
      <w:t>въведете идентификационен номер на поканата</w:t>
    </w:r>
    <w:r>
      <w:rPr>
        <w:sz w:val="20"/>
        <w:szCs w:val="20"/>
      </w:rPr>
      <w:t>]</w:t>
    </w:r>
  </w:p>
  <w:p w14:paraId="59727E77" w14:textId="039D75B2" w:rsidR="00034F22" w:rsidRPr="003171C9" w:rsidRDefault="00034F22" w:rsidP="2FA6B974">
    <w:pPr>
      <w:pStyle w:val="Header"/>
      <w:jc w:val="right"/>
      <w:rPr>
        <w:color w:val="808080" w:themeColor="text1" w:themeTint="7F"/>
        <w:sz w:val="20"/>
        <w:szCs w:val="20"/>
      </w:rPr>
    </w:pPr>
    <w:r>
      <w:rPr>
        <w:color w:val="7F7F7F" w:themeColor="text1" w:themeTint="80"/>
        <w:sz w:val="20"/>
        <w:szCs w:val="20"/>
      </w:rPr>
      <w:t>Безвъзмездни средства от ЕС: AGRIP SIMPLE MGA — за един и повече бенефициери: V1.1– 1.1.2022 г.</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C28A7" w14:textId="77777777" w:rsidR="00034F22" w:rsidRDefault="00034F22" w:rsidP="2FA6B974">
    <w:pPr>
      <w:pStyle w:val="Header"/>
      <w:jc w:val="left"/>
      <w:rPr>
        <w:sz w:val="20"/>
        <w:szCs w:val="20"/>
      </w:rPr>
    </w:pPr>
    <w:r>
      <w:rPr>
        <w:sz w:val="20"/>
        <w:szCs w:val="20"/>
      </w:rPr>
      <w:t>Проект: [</w:t>
    </w:r>
    <w:r>
      <w:rPr>
        <w:sz w:val="20"/>
        <w:szCs w:val="20"/>
        <w:highlight w:val="lightGray"/>
      </w:rPr>
      <w:t>въведете номер</w:t>
    </w:r>
    <w:r>
      <w:rPr>
        <w:sz w:val="20"/>
        <w:szCs w:val="20"/>
      </w:rPr>
      <w:t>] — [</w:t>
    </w:r>
    <w:r>
      <w:rPr>
        <w:sz w:val="20"/>
        <w:szCs w:val="20"/>
        <w:highlight w:val="lightGray"/>
      </w:rPr>
      <w:t>въведете съкращение</w:t>
    </w:r>
    <w:r>
      <w:rPr>
        <w:sz w:val="20"/>
        <w:szCs w:val="20"/>
      </w:rPr>
      <w:t>] — [</w:t>
    </w:r>
    <w:r>
      <w:rPr>
        <w:sz w:val="20"/>
        <w:szCs w:val="20"/>
        <w:highlight w:val="lightGray"/>
      </w:rPr>
      <w:t>въведете идентификационен номер на поканата</w:t>
    </w:r>
    <w:r>
      <w:rPr>
        <w:sz w:val="20"/>
        <w:szCs w:val="20"/>
      </w:rPr>
      <w:t>]</w:t>
    </w:r>
  </w:p>
  <w:p w14:paraId="69F54D5D" w14:textId="407B4FA5" w:rsidR="00034F22" w:rsidRPr="003171C9" w:rsidRDefault="00034F22" w:rsidP="2FA6B974">
    <w:pPr>
      <w:pStyle w:val="Header"/>
      <w:jc w:val="right"/>
      <w:rPr>
        <w:color w:val="808080" w:themeColor="text1" w:themeTint="7F"/>
        <w:sz w:val="20"/>
        <w:szCs w:val="20"/>
      </w:rPr>
    </w:pPr>
    <w:r>
      <w:tab/>
    </w:r>
    <w:r>
      <w:rPr>
        <w:color w:val="7F7F7F" w:themeColor="text1" w:themeTint="80"/>
        <w:sz w:val="20"/>
        <w:szCs w:val="20"/>
      </w:rPr>
      <w:t>Безвъзмездни средства от ЕС: AGRIP</w:t>
    </w:r>
    <w:r>
      <w:rPr>
        <w:color w:val="7030A0"/>
        <w:sz w:val="20"/>
        <w:szCs w:val="20"/>
      </w:rPr>
      <w:t> </w:t>
    </w:r>
    <w:r>
      <w:rPr>
        <w:color w:val="7F7F7F" w:themeColor="text1" w:themeTint="80"/>
        <w:sz w:val="20"/>
        <w:szCs w:val="20"/>
      </w:rPr>
      <w:t>MGA— за един и повече бенефициери: Версия 1.0 ПРОЕКТ — 28.1.2021 г.</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EA747" w14:textId="77777777" w:rsidR="00034F22" w:rsidRDefault="00034F22">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73F9D" w14:textId="77777777" w:rsidR="00034F22" w:rsidRDefault="00034F22">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541F1" w14:textId="77777777" w:rsidR="00034F22" w:rsidRDefault="00034F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B1236"/>
    <w:multiLevelType w:val="hybridMultilevel"/>
    <w:tmpl w:val="E6B2EBA0"/>
    <w:lvl w:ilvl="0" w:tplc="DA7443E8">
      <w:start w:val="1"/>
      <w:numFmt w:val="lowerRoman"/>
      <w:lvlText w:val="%1)"/>
      <w:lvlJc w:val="left"/>
      <w:pPr>
        <w:ind w:left="1800" w:hanging="360"/>
      </w:pPr>
      <w:rPr>
        <w:rFonts w:hint="default"/>
        <w:sz w:val="24"/>
        <w:szCs w:val="24"/>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 w15:restartNumberingAfterBreak="0">
    <w:nsid w:val="00BC58FD"/>
    <w:multiLevelType w:val="hybridMultilevel"/>
    <w:tmpl w:val="500688CE"/>
    <w:lvl w:ilvl="0" w:tplc="9BC68706">
      <w:start w:val="3"/>
      <w:numFmt w:val="bullet"/>
      <w:lvlText w:val="-"/>
      <w:lvlJc w:val="left"/>
      <w:pPr>
        <w:ind w:left="720" w:hanging="360"/>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394CB2"/>
    <w:multiLevelType w:val="hybridMultilevel"/>
    <w:tmpl w:val="EF1CC2CE"/>
    <w:lvl w:ilvl="0" w:tplc="4FFE34E6">
      <w:start w:val="1"/>
      <w:numFmt w:val="bullet"/>
      <w:lvlText w:val="-"/>
      <w:lvlJc w:val="left"/>
      <w:pPr>
        <w:ind w:left="788" w:hanging="360"/>
      </w:pPr>
      <w:rPr>
        <w:rFonts w:ascii="Times New Roman" w:hAnsi="Times New Roman" w:cs="Times New Roman" w:hint="default"/>
      </w:rPr>
    </w:lvl>
    <w:lvl w:ilvl="1" w:tplc="08090003" w:tentative="1">
      <w:start w:val="1"/>
      <w:numFmt w:val="bullet"/>
      <w:lvlText w:val="o"/>
      <w:lvlJc w:val="left"/>
      <w:pPr>
        <w:ind w:left="1508" w:hanging="360"/>
      </w:pPr>
      <w:rPr>
        <w:rFonts w:ascii="Courier New" w:hAnsi="Courier New" w:cs="Courier New" w:hint="default"/>
      </w:rPr>
    </w:lvl>
    <w:lvl w:ilvl="2" w:tplc="08090005" w:tentative="1">
      <w:start w:val="1"/>
      <w:numFmt w:val="bullet"/>
      <w:lvlText w:val=""/>
      <w:lvlJc w:val="left"/>
      <w:pPr>
        <w:ind w:left="2228" w:hanging="360"/>
      </w:pPr>
      <w:rPr>
        <w:rFonts w:ascii="Wingdings" w:hAnsi="Wingdings" w:hint="default"/>
      </w:rPr>
    </w:lvl>
    <w:lvl w:ilvl="3" w:tplc="08090001" w:tentative="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abstractNum w:abstractNumId="3" w15:restartNumberingAfterBreak="0">
    <w:nsid w:val="034175C8"/>
    <w:multiLevelType w:val="hybridMultilevel"/>
    <w:tmpl w:val="BC9ADA8E"/>
    <w:lvl w:ilvl="0" w:tplc="4FFE34E6">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3627C93"/>
    <w:multiLevelType w:val="hybridMultilevel"/>
    <w:tmpl w:val="5E647904"/>
    <w:lvl w:ilvl="0" w:tplc="DA7443E8">
      <w:start w:val="1"/>
      <w:numFmt w:val="lowerRoman"/>
      <w:lvlText w:val="%1)"/>
      <w:lvlJc w:val="left"/>
      <w:pPr>
        <w:ind w:left="1800" w:hanging="360"/>
      </w:pPr>
      <w:rPr>
        <w:rFonts w:hint="default"/>
        <w:sz w:val="24"/>
        <w:szCs w:val="24"/>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5" w15:restartNumberingAfterBreak="0">
    <w:nsid w:val="042A7462"/>
    <w:multiLevelType w:val="hybridMultilevel"/>
    <w:tmpl w:val="58926150"/>
    <w:lvl w:ilvl="0" w:tplc="4FFE34E6">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4DF06A8"/>
    <w:multiLevelType w:val="multilevel"/>
    <w:tmpl w:val="18167E70"/>
    <w:lvl w:ilvl="0">
      <w:start w:val="1"/>
      <w:numFmt w:val="bullet"/>
      <w:lvlText w:val=""/>
      <w:lvlJc w:val="left"/>
      <w:pPr>
        <w:tabs>
          <w:tab w:val="num" w:pos="720"/>
        </w:tabs>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4E325B4"/>
    <w:multiLevelType w:val="hybridMultilevel"/>
    <w:tmpl w:val="5058C7DA"/>
    <w:lvl w:ilvl="0" w:tplc="9BC68706">
      <w:start w:val="3"/>
      <w:numFmt w:val="bullet"/>
      <w:lvlText w:val="-"/>
      <w:lvlJc w:val="left"/>
      <w:pPr>
        <w:ind w:left="720" w:hanging="360"/>
      </w:pPr>
      <w:rPr>
        <w:rFonts w:ascii="Times New Roman" w:eastAsia="Calibri" w:hAnsi="Times New Roman" w:cs="Times New Roman" w:hint="default"/>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6412870"/>
    <w:multiLevelType w:val="hybridMultilevel"/>
    <w:tmpl w:val="30942C50"/>
    <w:lvl w:ilvl="0" w:tplc="9BC68706">
      <w:start w:val="3"/>
      <w:numFmt w:val="bullet"/>
      <w:lvlText w:val="-"/>
      <w:lvlJc w:val="left"/>
      <w:pPr>
        <w:ind w:left="778" w:hanging="360"/>
      </w:pPr>
      <w:rPr>
        <w:rFonts w:ascii="Times New Roman" w:eastAsia="Calibri" w:hAnsi="Times New Roman" w:cs="Times New Roman" w:hint="default"/>
      </w:rPr>
    </w:lvl>
    <w:lvl w:ilvl="1" w:tplc="08090019" w:tentative="1">
      <w:start w:val="1"/>
      <w:numFmt w:val="lowerLetter"/>
      <w:lvlText w:val="%2."/>
      <w:lvlJc w:val="left"/>
      <w:pPr>
        <w:ind w:left="1498" w:hanging="360"/>
      </w:pPr>
    </w:lvl>
    <w:lvl w:ilvl="2" w:tplc="0809001B" w:tentative="1">
      <w:start w:val="1"/>
      <w:numFmt w:val="lowerRoman"/>
      <w:lvlText w:val="%3."/>
      <w:lvlJc w:val="right"/>
      <w:pPr>
        <w:ind w:left="2218" w:hanging="180"/>
      </w:pPr>
    </w:lvl>
    <w:lvl w:ilvl="3" w:tplc="0809000F" w:tentative="1">
      <w:start w:val="1"/>
      <w:numFmt w:val="decimal"/>
      <w:lvlText w:val="%4."/>
      <w:lvlJc w:val="left"/>
      <w:pPr>
        <w:ind w:left="2938" w:hanging="360"/>
      </w:pPr>
    </w:lvl>
    <w:lvl w:ilvl="4" w:tplc="08090019" w:tentative="1">
      <w:start w:val="1"/>
      <w:numFmt w:val="lowerLetter"/>
      <w:lvlText w:val="%5."/>
      <w:lvlJc w:val="left"/>
      <w:pPr>
        <w:ind w:left="3658" w:hanging="360"/>
      </w:pPr>
    </w:lvl>
    <w:lvl w:ilvl="5" w:tplc="0809001B" w:tentative="1">
      <w:start w:val="1"/>
      <w:numFmt w:val="lowerRoman"/>
      <w:lvlText w:val="%6."/>
      <w:lvlJc w:val="right"/>
      <w:pPr>
        <w:ind w:left="4378" w:hanging="180"/>
      </w:pPr>
    </w:lvl>
    <w:lvl w:ilvl="6" w:tplc="0809000F" w:tentative="1">
      <w:start w:val="1"/>
      <w:numFmt w:val="decimal"/>
      <w:lvlText w:val="%7."/>
      <w:lvlJc w:val="left"/>
      <w:pPr>
        <w:ind w:left="5098" w:hanging="360"/>
      </w:pPr>
    </w:lvl>
    <w:lvl w:ilvl="7" w:tplc="08090019" w:tentative="1">
      <w:start w:val="1"/>
      <w:numFmt w:val="lowerLetter"/>
      <w:lvlText w:val="%8."/>
      <w:lvlJc w:val="left"/>
      <w:pPr>
        <w:ind w:left="5818" w:hanging="360"/>
      </w:pPr>
    </w:lvl>
    <w:lvl w:ilvl="8" w:tplc="0809001B" w:tentative="1">
      <w:start w:val="1"/>
      <w:numFmt w:val="lowerRoman"/>
      <w:lvlText w:val="%9."/>
      <w:lvlJc w:val="right"/>
      <w:pPr>
        <w:ind w:left="6538" w:hanging="180"/>
      </w:pPr>
    </w:lvl>
  </w:abstractNum>
  <w:abstractNum w:abstractNumId="10" w15:restartNumberingAfterBreak="0">
    <w:nsid w:val="06452860"/>
    <w:multiLevelType w:val="hybridMultilevel"/>
    <w:tmpl w:val="BBB48F7C"/>
    <w:lvl w:ilvl="0" w:tplc="DA7443E8">
      <w:start w:val="1"/>
      <w:numFmt w:val="lowerRoman"/>
      <w:lvlText w:val="%1)"/>
      <w:lvlJc w:val="left"/>
      <w:pPr>
        <w:ind w:left="144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2724CE"/>
    <w:multiLevelType w:val="multilevel"/>
    <w:tmpl w:val="14A0B7C8"/>
    <w:lvl w:ilvl="0">
      <w:start w:val="1"/>
      <w:numFmt w:val="bullet"/>
      <w:lvlText w:val=""/>
      <w:lvlJc w:val="left"/>
      <w:pPr>
        <w:tabs>
          <w:tab w:val="num" w:pos="360"/>
        </w:tabs>
        <w:ind w:left="360" w:hanging="360"/>
      </w:pPr>
      <w:rPr>
        <w:rFonts w:ascii="Symbol" w:hAnsi="Symbol" w:hint="default"/>
        <w:sz w:val="21"/>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AEC41CA"/>
    <w:multiLevelType w:val="hybridMultilevel"/>
    <w:tmpl w:val="1EBE9FA8"/>
    <w:lvl w:ilvl="0" w:tplc="30605936">
      <w:start w:val="1"/>
      <mc:AlternateContent>
        <mc:Choice Requires="w14">
          <w:numFmt w:val="custom" w:format="а, й, к, ..."/>
        </mc:Choice>
        <mc:Fallback>
          <w:numFmt w:val="decimal"/>
        </mc:Fallback>
      </mc:AlternateContent>
      <w:lvlText w:val="%1)"/>
      <w:lvlJc w:val="center"/>
      <w:pPr>
        <w:ind w:left="720" w:hanging="360"/>
      </w:pPr>
      <w:rPr>
        <w:rFonts w:hint="default"/>
        <w:b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C497BB0"/>
    <w:multiLevelType w:val="hybridMultilevel"/>
    <w:tmpl w:val="BBB8F3A4"/>
    <w:lvl w:ilvl="0" w:tplc="9BC68706">
      <w:start w:val="3"/>
      <w:numFmt w:val="bullet"/>
      <w:lvlText w:val="-"/>
      <w:lvlJc w:val="left"/>
      <w:pPr>
        <w:ind w:left="780" w:hanging="360"/>
      </w:pPr>
      <w:rPr>
        <w:rFonts w:ascii="Times New Roman" w:eastAsia="Calibri" w:hAnsi="Times New Roman" w:cs="Times New Roman" w:hint="default"/>
      </w:rPr>
    </w:lvl>
    <w:lvl w:ilvl="1" w:tplc="08090003">
      <w:start w:val="1"/>
      <w:numFmt w:val="bullet"/>
      <w:lvlText w:val="o"/>
      <w:lvlJc w:val="left"/>
      <w:pPr>
        <w:ind w:left="1500" w:hanging="360"/>
      </w:pPr>
      <w:rPr>
        <w:rFonts w:ascii="Courier New" w:hAnsi="Courier New" w:cs="Courier New" w:hint="default"/>
      </w:rPr>
    </w:lvl>
    <w:lvl w:ilvl="2" w:tplc="08090005">
      <w:start w:val="1"/>
      <w:numFmt w:val="bullet"/>
      <w:lvlText w:val=""/>
      <w:lvlJc w:val="left"/>
      <w:pPr>
        <w:ind w:left="2220" w:hanging="360"/>
      </w:pPr>
      <w:rPr>
        <w:rFonts w:ascii="Wingdings" w:hAnsi="Wingdings" w:hint="default"/>
      </w:rPr>
    </w:lvl>
    <w:lvl w:ilvl="3" w:tplc="08090001">
      <w:start w:val="1"/>
      <w:numFmt w:val="bullet"/>
      <w:lvlText w:val=""/>
      <w:lvlJc w:val="left"/>
      <w:pPr>
        <w:ind w:left="2940" w:hanging="360"/>
      </w:pPr>
      <w:rPr>
        <w:rFonts w:ascii="Symbol" w:hAnsi="Symbol" w:hint="default"/>
      </w:rPr>
    </w:lvl>
    <w:lvl w:ilvl="4" w:tplc="08090003">
      <w:start w:val="1"/>
      <w:numFmt w:val="bullet"/>
      <w:lvlText w:val="o"/>
      <w:lvlJc w:val="left"/>
      <w:pPr>
        <w:ind w:left="3660" w:hanging="360"/>
      </w:pPr>
      <w:rPr>
        <w:rFonts w:ascii="Courier New" w:hAnsi="Courier New" w:cs="Courier New" w:hint="default"/>
      </w:rPr>
    </w:lvl>
    <w:lvl w:ilvl="5" w:tplc="08090005">
      <w:start w:val="1"/>
      <w:numFmt w:val="bullet"/>
      <w:lvlText w:val=""/>
      <w:lvlJc w:val="left"/>
      <w:pPr>
        <w:ind w:left="4380" w:hanging="360"/>
      </w:pPr>
      <w:rPr>
        <w:rFonts w:ascii="Wingdings" w:hAnsi="Wingdings" w:hint="default"/>
      </w:rPr>
    </w:lvl>
    <w:lvl w:ilvl="6" w:tplc="08090001">
      <w:start w:val="1"/>
      <w:numFmt w:val="bullet"/>
      <w:lvlText w:val=""/>
      <w:lvlJc w:val="left"/>
      <w:pPr>
        <w:ind w:left="5100" w:hanging="360"/>
      </w:pPr>
      <w:rPr>
        <w:rFonts w:ascii="Symbol" w:hAnsi="Symbol" w:hint="default"/>
      </w:rPr>
    </w:lvl>
    <w:lvl w:ilvl="7" w:tplc="08090003">
      <w:start w:val="1"/>
      <w:numFmt w:val="bullet"/>
      <w:lvlText w:val="o"/>
      <w:lvlJc w:val="left"/>
      <w:pPr>
        <w:ind w:left="5820" w:hanging="360"/>
      </w:pPr>
      <w:rPr>
        <w:rFonts w:ascii="Courier New" w:hAnsi="Courier New" w:cs="Courier New" w:hint="default"/>
      </w:rPr>
    </w:lvl>
    <w:lvl w:ilvl="8" w:tplc="08090005">
      <w:start w:val="1"/>
      <w:numFmt w:val="bullet"/>
      <w:lvlText w:val=""/>
      <w:lvlJc w:val="left"/>
      <w:pPr>
        <w:ind w:left="6540" w:hanging="360"/>
      </w:pPr>
      <w:rPr>
        <w:rFonts w:ascii="Wingdings" w:hAnsi="Wingdings" w:hint="default"/>
      </w:rPr>
    </w:lvl>
  </w:abstractNum>
  <w:abstractNum w:abstractNumId="14" w15:restartNumberingAfterBreak="0">
    <w:nsid w:val="0D6F0950"/>
    <w:multiLevelType w:val="hybridMultilevel"/>
    <w:tmpl w:val="AF784394"/>
    <w:lvl w:ilvl="0" w:tplc="DA7443E8">
      <w:start w:val="1"/>
      <w:numFmt w:val="lowerRoman"/>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0873E68"/>
    <w:multiLevelType w:val="hybridMultilevel"/>
    <w:tmpl w:val="DEFAB64A"/>
    <w:lvl w:ilvl="0" w:tplc="9BC68706">
      <w:start w:val="3"/>
      <w:numFmt w:val="bullet"/>
      <w:lvlText w:val="-"/>
      <w:lvlJc w:val="left"/>
      <w:pPr>
        <w:ind w:left="2160" w:hanging="360"/>
      </w:pPr>
      <w:rPr>
        <w:rFonts w:ascii="Times New Roman" w:eastAsia="Calibri" w:hAnsi="Times New Roman" w:cs="Times New Roman" w:hint="default"/>
      </w:rPr>
    </w:lvl>
    <w:lvl w:ilvl="1" w:tplc="DF1A7242">
      <w:start w:val="1"/>
      <w:numFmt w:val="lowerRoman"/>
      <w:lvlText w:val="(%2)"/>
      <w:lvlJc w:val="right"/>
      <w:pPr>
        <w:ind w:left="2880" w:hanging="360"/>
      </w:pPr>
      <w:rPr>
        <w:rFonts w:hint="default"/>
      </w:rPr>
    </w:lvl>
    <w:lvl w:ilvl="2" w:tplc="0809001B">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6"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7" w15:restartNumberingAfterBreak="0">
    <w:nsid w:val="13B71A55"/>
    <w:multiLevelType w:val="hybridMultilevel"/>
    <w:tmpl w:val="AED23E36"/>
    <w:lvl w:ilvl="0" w:tplc="BE50AD9E">
      <w:start w:val="1"/>
      <w:numFmt w:val="bullet"/>
      <w:lvlText w:val=""/>
      <w:lvlJc w:val="left"/>
      <w:pPr>
        <w:tabs>
          <w:tab w:val="num" w:pos="720"/>
        </w:tabs>
        <w:ind w:left="720" w:hanging="360"/>
      </w:pPr>
      <w:rPr>
        <w:rFonts w:ascii="Symbol" w:hAnsi="Symbol" w:hint="default"/>
        <w:sz w:val="21"/>
        <w:szCs w:val="24"/>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Times New Roman" w:hAnsi="Times New Roman" w:cs="Times New Roman"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Times New Roman" w:hAnsi="Times New Roman" w:cs="Times New Roman"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Times New Roman" w:hAnsi="Times New Roman" w:cs="Times New Roman" w:hint="default"/>
      </w:rPr>
    </w:lvl>
  </w:abstractNum>
  <w:abstractNum w:abstractNumId="18"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9" w15:restartNumberingAfterBreak="0">
    <w:nsid w:val="159A72C0"/>
    <w:multiLevelType w:val="hybridMultilevel"/>
    <w:tmpl w:val="05B099C0"/>
    <w:lvl w:ilvl="0" w:tplc="9BC68706">
      <w:start w:val="3"/>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7C74FAE"/>
    <w:multiLevelType w:val="hybridMultilevel"/>
    <w:tmpl w:val="9A261F92"/>
    <w:lvl w:ilvl="0" w:tplc="DA7443E8">
      <w:start w:val="1"/>
      <w:numFmt w:val="lowerRoman"/>
      <w:lvlText w:val="%1)"/>
      <w:lvlJc w:val="left"/>
      <w:pPr>
        <w:ind w:left="1800" w:hanging="360"/>
      </w:pPr>
      <w:rPr>
        <w:rFonts w:hint="default"/>
        <w:sz w:val="24"/>
        <w:szCs w:val="24"/>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1" w15:restartNumberingAfterBreak="0">
    <w:nsid w:val="17EB42D0"/>
    <w:multiLevelType w:val="hybridMultilevel"/>
    <w:tmpl w:val="C9A20506"/>
    <w:lvl w:ilvl="0" w:tplc="DA7443E8">
      <w:start w:val="1"/>
      <w:numFmt w:val="lowerRoman"/>
      <w:lvlText w:val="%1)"/>
      <w:lvlJc w:val="left"/>
      <w:pPr>
        <w:ind w:left="720" w:hanging="360"/>
      </w:pPr>
      <w:rPr>
        <w:rFonts w:hint="default"/>
      </w:rPr>
    </w:lvl>
    <w:lvl w:ilvl="1" w:tplc="DFC41F18">
      <w:start w:val="1"/>
      <w:numFmt w:val="lowerLetter"/>
      <w:lvlText w:val="(%2)"/>
      <w:lvlJc w:val="left"/>
      <w:pPr>
        <w:ind w:left="1440" w:hanging="360"/>
      </w:pPr>
    </w:lvl>
    <w:lvl w:ilvl="2" w:tplc="9BC68706">
      <w:start w:val="3"/>
      <w:numFmt w:val="bullet"/>
      <w:lvlText w:val="-"/>
      <w:lvlJc w:val="left"/>
      <w:pPr>
        <w:ind w:left="2160" w:hanging="360"/>
      </w:pPr>
      <w:rPr>
        <w:rFonts w:ascii="Times New Roman" w:eastAsia="Calibri" w:hAnsi="Times New Roman" w:cs="Times New Roman"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18407F69"/>
    <w:multiLevelType w:val="hybridMultilevel"/>
    <w:tmpl w:val="63D69836"/>
    <w:lvl w:ilvl="0" w:tplc="DA7443E8">
      <w:start w:val="1"/>
      <w:numFmt w:val="lowerRoman"/>
      <w:lvlText w:val="%1)"/>
      <w:lvlJc w:val="left"/>
      <w:pPr>
        <w:ind w:left="1800" w:hanging="360"/>
      </w:pPr>
      <w:rPr>
        <w:rFonts w:hint="default"/>
        <w:sz w:val="24"/>
        <w:szCs w:val="24"/>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3" w15:restartNumberingAfterBreak="0">
    <w:nsid w:val="1861694D"/>
    <w:multiLevelType w:val="hybridMultilevel"/>
    <w:tmpl w:val="FEAA4550"/>
    <w:lvl w:ilvl="0" w:tplc="30605936">
      <w:start w:val="1"/>
      <mc:AlternateContent>
        <mc:Choice Requires="w14">
          <w:numFmt w:val="custom" w:format="а, й, к, ..."/>
        </mc:Choice>
        <mc:Fallback>
          <w:numFmt w:val="decimal"/>
        </mc:Fallback>
      </mc:AlternateContent>
      <w:lvlText w:val="%1)"/>
      <w:lvlJc w:val="center"/>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8D84D6C"/>
    <w:multiLevelType w:val="hybridMultilevel"/>
    <w:tmpl w:val="49B61B6C"/>
    <w:lvl w:ilvl="0" w:tplc="9BC68706">
      <w:start w:val="3"/>
      <w:numFmt w:val="bullet"/>
      <w:lvlText w:val="-"/>
      <w:lvlJc w:val="left"/>
      <w:pPr>
        <w:ind w:left="3606" w:hanging="360"/>
      </w:pPr>
      <w:rPr>
        <w:rFonts w:ascii="Times New Roman" w:eastAsia="Calibri" w:hAnsi="Times New Roman" w:cs="Times New Roman" w:hint="default"/>
      </w:rPr>
    </w:lvl>
    <w:lvl w:ilvl="1" w:tplc="08090003">
      <w:start w:val="1"/>
      <w:numFmt w:val="bullet"/>
      <w:lvlText w:val="o"/>
      <w:lvlJc w:val="left"/>
      <w:pPr>
        <w:ind w:left="4326" w:hanging="360"/>
      </w:pPr>
      <w:rPr>
        <w:rFonts w:ascii="Courier New" w:hAnsi="Courier New" w:cs="Courier New" w:hint="default"/>
      </w:rPr>
    </w:lvl>
    <w:lvl w:ilvl="2" w:tplc="08090005" w:tentative="1">
      <w:start w:val="1"/>
      <w:numFmt w:val="bullet"/>
      <w:lvlText w:val=""/>
      <w:lvlJc w:val="left"/>
      <w:pPr>
        <w:ind w:left="5046" w:hanging="360"/>
      </w:pPr>
      <w:rPr>
        <w:rFonts w:ascii="Wingdings" w:hAnsi="Wingdings" w:hint="default"/>
      </w:rPr>
    </w:lvl>
    <w:lvl w:ilvl="3" w:tplc="08090001" w:tentative="1">
      <w:start w:val="1"/>
      <w:numFmt w:val="bullet"/>
      <w:lvlText w:val=""/>
      <w:lvlJc w:val="left"/>
      <w:pPr>
        <w:ind w:left="5766" w:hanging="360"/>
      </w:pPr>
      <w:rPr>
        <w:rFonts w:ascii="Symbol" w:hAnsi="Symbol" w:hint="default"/>
      </w:rPr>
    </w:lvl>
    <w:lvl w:ilvl="4" w:tplc="08090003" w:tentative="1">
      <w:start w:val="1"/>
      <w:numFmt w:val="bullet"/>
      <w:lvlText w:val="o"/>
      <w:lvlJc w:val="left"/>
      <w:pPr>
        <w:ind w:left="6486" w:hanging="360"/>
      </w:pPr>
      <w:rPr>
        <w:rFonts w:ascii="Courier New" w:hAnsi="Courier New" w:cs="Courier New" w:hint="default"/>
      </w:rPr>
    </w:lvl>
    <w:lvl w:ilvl="5" w:tplc="08090005" w:tentative="1">
      <w:start w:val="1"/>
      <w:numFmt w:val="bullet"/>
      <w:lvlText w:val=""/>
      <w:lvlJc w:val="left"/>
      <w:pPr>
        <w:ind w:left="7206" w:hanging="360"/>
      </w:pPr>
      <w:rPr>
        <w:rFonts w:ascii="Wingdings" w:hAnsi="Wingdings" w:hint="default"/>
      </w:rPr>
    </w:lvl>
    <w:lvl w:ilvl="6" w:tplc="08090001" w:tentative="1">
      <w:start w:val="1"/>
      <w:numFmt w:val="bullet"/>
      <w:lvlText w:val=""/>
      <w:lvlJc w:val="left"/>
      <w:pPr>
        <w:ind w:left="7926" w:hanging="360"/>
      </w:pPr>
      <w:rPr>
        <w:rFonts w:ascii="Symbol" w:hAnsi="Symbol" w:hint="default"/>
      </w:rPr>
    </w:lvl>
    <w:lvl w:ilvl="7" w:tplc="08090003" w:tentative="1">
      <w:start w:val="1"/>
      <w:numFmt w:val="bullet"/>
      <w:lvlText w:val="o"/>
      <w:lvlJc w:val="left"/>
      <w:pPr>
        <w:ind w:left="8646" w:hanging="360"/>
      </w:pPr>
      <w:rPr>
        <w:rFonts w:ascii="Courier New" w:hAnsi="Courier New" w:cs="Courier New" w:hint="default"/>
      </w:rPr>
    </w:lvl>
    <w:lvl w:ilvl="8" w:tplc="08090005" w:tentative="1">
      <w:start w:val="1"/>
      <w:numFmt w:val="bullet"/>
      <w:lvlText w:val=""/>
      <w:lvlJc w:val="left"/>
      <w:pPr>
        <w:ind w:left="9366" w:hanging="360"/>
      </w:pPr>
      <w:rPr>
        <w:rFonts w:ascii="Wingdings" w:hAnsi="Wingdings" w:hint="default"/>
      </w:rPr>
    </w:lvl>
  </w:abstractNum>
  <w:abstractNum w:abstractNumId="25" w15:restartNumberingAfterBreak="0">
    <w:nsid w:val="194405A3"/>
    <w:multiLevelType w:val="hybridMultilevel"/>
    <w:tmpl w:val="B754C6BC"/>
    <w:lvl w:ilvl="0" w:tplc="9BC68706">
      <w:start w:val="3"/>
      <w:numFmt w:val="bullet"/>
      <w:lvlText w:val="-"/>
      <w:lvlJc w:val="left"/>
      <w:pPr>
        <w:ind w:left="720" w:hanging="360"/>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9BC68706">
      <w:start w:val="3"/>
      <w:numFmt w:val="bullet"/>
      <w:lvlText w:val="-"/>
      <w:lvlJc w:val="left"/>
      <w:pPr>
        <w:ind w:left="2160" w:hanging="360"/>
      </w:pPr>
      <w:rPr>
        <w:rFonts w:ascii="Times New Roman" w:eastAsia="Calibri" w:hAnsi="Times New Roman" w:cs="Times New Roman"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1AD64983"/>
    <w:multiLevelType w:val="multilevel"/>
    <w:tmpl w:val="F2485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C412ED2"/>
    <w:multiLevelType w:val="hybridMultilevel"/>
    <w:tmpl w:val="C1BCD4C4"/>
    <w:lvl w:ilvl="0" w:tplc="27D68DDE">
      <w:start w:val="3"/>
      <w:numFmt w:val="bullet"/>
      <w:lvlText w:val="-"/>
      <w:lvlJc w:val="left"/>
      <w:pPr>
        <w:ind w:left="787" w:hanging="360"/>
      </w:pPr>
      <w:rPr>
        <w:rFonts w:ascii="Times New Roman" w:eastAsia="Calibri" w:hAnsi="Times New Roman" w:cs="Times New Roman" w:hint="default"/>
        <w:color w:val="595959"/>
      </w:rPr>
    </w:lvl>
    <w:lvl w:ilvl="1" w:tplc="08090003" w:tentative="1">
      <w:start w:val="1"/>
      <w:numFmt w:val="bullet"/>
      <w:lvlText w:val="o"/>
      <w:lvlJc w:val="left"/>
      <w:pPr>
        <w:ind w:left="1507" w:hanging="360"/>
      </w:pPr>
      <w:rPr>
        <w:rFonts w:ascii="Courier New" w:hAnsi="Courier New" w:cs="Courier New" w:hint="default"/>
      </w:rPr>
    </w:lvl>
    <w:lvl w:ilvl="2" w:tplc="08090005" w:tentative="1">
      <w:start w:val="1"/>
      <w:numFmt w:val="bullet"/>
      <w:lvlText w:val=""/>
      <w:lvlJc w:val="left"/>
      <w:pPr>
        <w:ind w:left="2227" w:hanging="360"/>
      </w:pPr>
      <w:rPr>
        <w:rFonts w:ascii="Wingdings" w:hAnsi="Wingdings" w:hint="default"/>
      </w:rPr>
    </w:lvl>
    <w:lvl w:ilvl="3" w:tplc="08090001" w:tentative="1">
      <w:start w:val="1"/>
      <w:numFmt w:val="bullet"/>
      <w:lvlText w:val=""/>
      <w:lvlJc w:val="left"/>
      <w:pPr>
        <w:ind w:left="2947" w:hanging="360"/>
      </w:pPr>
      <w:rPr>
        <w:rFonts w:ascii="Symbol" w:hAnsi="Symbol" w:hint="default"/>
      </w:rPr>
    </w:lvl>
    <w:lvl w:ilvl="4" w:tplc="08090003" w:tentative="1">
      <w:start w:val="1"/>
      <w:numFmt w:val="bullet"/>
      <w:lvlText w:val="o"/>
      <w:lvlJc w:val="left"/>
      <w:pPr>
        <w:ind w:left="3667" w:hanging="360"/>
      </w:pPr>
      <w:rPr>
        <w:rFonts w:ascii="Courier New" w:hAnsi="Courier New" w:cs="Courier New" w:hint="default"/>
      </w:rPr>
    </w:lvl>
    <w:lvl w:ilvl="5" w:tplc="08090005" w:tentative="1">
      <w:start w:val="1"/>
      <w:numFmt w:val="bullet"/>
      <w:lvlText w:val=""/>
      <w:lvlJc w:val="left"/>
      <w:pPr>
        <w:ind w:left="4387" w:hanging="360"/>
      </w:pPr>
      <w:rPr>
        <w:rFonts w:ascii="Wingdings" w:hAnsi="Wingdings" w:hint="default"/>
      </w:rPr>
    </w:lvl>
    <w:lvl w:ilvl="6" w:tplc="08090001" w:tentative="1">
      <w:start w:val="1"/>
      <w:numFmt w:val="bullet"/>
      <w:lvlText w:val=""/>
      <w:lvlJc w:val="left"/>
      <w:pPr>
        <w:ind w:left="5107" w:hanging="360"/>
      </w:pPr>
      <w:rPr>
        <w:rFonts w:ascii="Symbol" w:hAnsi="Symbol" w:hint="default"/>
      </w:rPr>
    </w:lvl>
    <w:lvl w:ilvl="7" w:tplc="08090003" w:tentative="1">
      <w:start w:val="1"/>
      <w:numFmt w:val="bullet"/>
      <w:lvlText w:val="o"/>
      <w:lvlJc w:val="left"/>
      <w:pPr>
        <w:ind w:left="5827" w:hanging="360"/>
      </w:pPr>
      <w:rPr>
        <w:rFonts w:ascii="Courier New" w:hAnsi="Courier New" w:cs="Courier New" w:hint="default"/>
      </w:rPr>
    </w:lvl>
    <w:lvl w:ilvl="8" w:tplc="08090005" w:tentative="1">
      <w:start w:val="1"/>
      <w:numFmt w:val="bullet"/>
      <w:lvlText w:val=""/>
      <w:lvlJc w:val="left"/>
      <w:pPr>
        <w:ind w:left="6547" w:hanging="360"/>
      </w:pPr>
      <w:rPr>
        <w:rFonts w:ascii="Wingdings" w:hAnsi="Wingdings" w:hint="default"/>
      </w:rPr>
    </w:lvl>
  </w:abstractNum>
  <w:abstractNum w:abstractNumId="28" w15:restartNumberingAfterBreak="0">
    <w:nsid w:val="1FFA75F2"/>
    <w:multiLevelType w:val="hybridMultilevel"/>
    <w:tmpl w:val="14ECE15C"/>
    <w:lvl w:ilvl="0" w:tplc="30605936">
      <w:start w:val="1"/>
      <mc:AlternateContent>
        <mc:Choice Requires="w14">
          <w:numFmt w:val="custom" w:format="а, й, к, ..."/>
        </mc:Choice>
        <mc:Fallback>
          <w:numFmt w:val="decimal"/>
        </mc:Fallback>
      </mc:AlternateContent>
      <w:lvlText w:val="%1)"/>
      <w:lvlJc w:val="center"/>
      <w:pPr>
        <w:ind w:left="720" w:hanging="360"/>
      </w:pPr>
      <w:rPr>
        <w:rFonts w:hint="default"/>
      </w:rPr>
    </w:lvl>
    <w:lvl w:ilvl="1" w:tplc="54EA2AA0">
      <w:start w:val="1"/>
      <w:numFmt w:val="lowerLetter"/>
      <w:lvlText w:val="(%2)"/>
      <w:lvlJc w:val="left"/>
      <w:pPr>
        <w:ind w:left="1440" w:hanging="360"/>
      </w:p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22E90714"/>
    <w:multiLevelType w:val="hybridMultilevel"/>
    <w:tmpl w:val="498CF364"/>
    <w:lvl w:ilvl="0" w:tplc="DA7443E8">
      <w:start w:val="1"/>
      <w:numFmt w:val="lowerRoman"/>
      <w:lvlText w:val="%1)"/>
      <w:lvlJc w:val="left"/>
      <w:pPr>
        <w:ind w:left="1800" w:hanging="360"/>
      </w:pPr>
      <w:rPr>
        <w:rFonts w:hint="default"/>
        <w:b w:val="0"/>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0"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31" w15:restartNumberingAfterBreak="0">
    <w:nsid w:val="27605236"/>
    <w:multiLevelType w:val="hybridMultilevel"/>
    <w:tmpl w:val="7CCAB2A2"/>
    <w:lvl w:ilvl="0" w:tplc="9BC68706">
      <w:start w:val="3"/>
      <w:numFmt w:val="bullet"/>
      <w:lvlText w:val="-"/>
      <w:lvlJc w:val="left"/>
      <w:pPr>
        <w:ind w:left="2487" w:hanging="360"/>
      </w:pPr>
      <w:rPr>
        <w:rFonts w:ascii="Times New Roman" w:eastAsia="Calibri" w:hAnsi="Times New Roman" w:cs="Times New Roman" w:hint="default"/>
      </w:rPr>
    </w:lvl>
    <w:lvl w:ilvl="1" w:tplc="9BC68706">
      <w:start w:val="3"/>
      <w:numFmt w:val="bullet"/>
      <w:lvlText w:val="-"/>
      <w:lvlJc w:val="left"/>
      <w:pPr>
        <w:ind w:left="1440" w:hanging="360"/>
      </w:pPr>
      <w:rPr>
        <w:rFonts w:ascii="Times New Roman" w:eastAsia="Calibri" w:hAnsi="Times New Roman" w:cs="Times New Roman"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8545C14"/>
    <w:multiLevelType w:val="hybridMultilevel"/>
    <w:tmpl w:val="B246D530"/>
    <w:lvl w:ilvl="0" w:tplc="4FFE34E6">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88079CC"/>
    <w:multiLevelType w:val="hybridMultilevel"/>
    <w:tmpl w:val="F6220052"/>
    <w:lvl w:ilvl="0" w:tplc="DA7443E8">
      <w:start w:val="1"/>
      <w:numFmt w:val="lowerRoman"/>
      <w:lvlText w:val="%1)"/>
      <w:lvlJc w:val="left"/>
      <w:pPr>
        <w:ind w:left="1800" w:hanging="360"/>
      </w:pPr>
      <w:rPr>
        <w:rFonts w:hint="default"/>
        <w:sz w:val="24"/>
        <w:szCs w:val="24"/>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4" w15:restartNumberingAfterBreak="0">
    <w:nsid w:val="299A2785"/>
    <w:multiLevelType w:val="hybridMultilevel"/>
    <w:tmpl w:val="9E00CD32"/>
    <w:lvl w:ilvl="0" w:tplc="9BC68706">
      <w:start w:val="3"/>
      <w:numFmt w:val="bullet"/>
      <w:lvlText w:val="-"/>
      <w:lvlJc w:val="left"/>
      <w:pPr>
        <w:ind w:left="784" w:hanging="360"/>
      </w:pPr>
      <w:rPr>
        <w:rFonts w:ascii="Times New Roman" w:eastAsia="Calibri" w:hAnsi="Times New Roman" w:cs="Times New Roman" w:hint="default"/>
      </w:rPr>
    </w:lvl>
    <w:lvl w:ilvl="1" w:tplc="08090003">
      <w:start w:val="1"/>
      <w:numFmt w:val="bullet"/>
      <w:lvlText w:val="o"/>
      <w:lvlJc w:val="left"/>
      <w:pPr>
        <w:ind w:left="1504" w:hanging="360"/>
      </w:pPr>
      <w:rPr>
        <w:rFonts w:ascii="Courier New" w:hAnsi="Courier New" w:cs="Courier New" w:hint="default"/>
      </w:rPr>
    </w:lvl>
    <w:lvl w:ilvl="2" w:tplc="08090005">
      <w:start w:val="1"/>
      <w:numFmt w:val="bullet"/>
      <w:lvlText w:val=""/>
      <w:lvlJc w:val="left"/>
      <w:pPr>
        <w:ind w:left="2224" w:hanging="360"/>
      </w:pPr>
      <w:rPr>
        <w:rFonts w:ascii="Wingdings" w:hAnsi="Wingdings" w:hint="default"/>
      </w:rPr>
    </w:lvl>
    <w:lvl w:ilvl="3" w:tplc="08090001">
      <w:start w:val="1"/>
      <w:numFmt w:val="bullet"/>
      <w:lvlText w:val=""/>
      <w:lvlJc w:val="left"/>
      <w:pPr>
        <w:ind w:left="2944" w:hanging="360"/>
      </w:pPr>
      <w:rPr>
        <w:rFonts w:ascii="Symbol" w:hAnsi="Symbol" w:hint="default"/>
      </w:rPr>
    </w:lvl>
    <w:lvl w:ilvl="4" w:tplc="08090003">
      <w:start w:val="1"/>
      <w:numFmt w:val="bullet"/>
      <w:lvlText w:val="o"/>
      <w:lvlJc w:val="left"/>
      <w:pPr>
        <w:ind w:left="3664" w:hanging="360"/>
      </w:pPr>
      <w:rPr>
        <w:rFonts w:ascii="Courier New" w:hAnsi="Courier New" w:cs="Courier New" w:hint="default"/>
      </w:rPr>
    </w:lvl>
    <w:lvl w:ilvl="5" w:tplc="08090005">
      <w:start w:val="1"/>
      <w:numFmt w:val="bullet"/>
      <w:lvlText w:val=""/>
      <w:lvlJc w:val="left"/>
      <w:pPr>
        <w:ind w:left="4384" w:hanging="360"/>
      </w:pPr>
      <w:rPr>
        <w:rFonts w:ascii="Wingdings" w:hAnsi="Wingdings" w:hint="default"/>
      </w:rPr>
    </w:lvl>
    <w:lvl w:ilvl="6" w:tplc="08090001">
      <w:start w:val="1"/>
      <w:numFmt w:val="bullet"/>
      <w:lvlText w:val=""/>
      <w:lvlJc w:val="left"/>
      <w:pPr>
        <w:ind w:left="5104" w:hanging="360"/>
      </w:pPr>
      <w:rPr>
        <w:rFonts w:ascii="Symbol" w:hAnsi="Symbol" w:hint="default"/>
      </w:rPr>
    </w:lvl>
    <w:lvl w:ilvl="7" w:tplc="08090003">
      <w:start w:val="1"/>
      <w:numFmt w:val="bullet"/>
      <w:lvlText w:val="o"/>
      <w:lvlJc w:val="left"/>
      <w:pPr>
        <w:ind w:left="5824" w:hanging="360"/>
      </w:pPr>
      <w:rPr>
        <w:rFonts w:ascii="Courier New" w:hAnsi="Courier New" w:cs="Courier New" w:hint="default"/>
      </w:rPr>
    </w:lvl>
    <w:lvl w:ilvl="8" w:tplc="08090005">
      <w:start w:val="1"/>
      <w:numFmt w:val="bullet"/>
      <w:lvlText w:val=""/>
      <w:lvlJc w:val="left"/>
      <w:pPr>
        <w:ind w:left="6544" w:hanging="360"/>
      </w:pPr>
      <w:rPr>
        <w:rFonts w:ascii="Wingdings" w:hAnsi="Wingdings" w:hint="default"/>
      </w:rPr>
    </w:lvl>
  </w:abstractNum>
  <w:abstractNum w:abstractNumId="35" w15:restartNumberingAfterBreak="0">
    <w:nsid w:val="29D922B6"/>
    <w:multiLevelType w:val="hybridMultilevel"/>
    <w:tmpl w:val="FAFC45C4"/>
    <w:lvl w:ilvl="0" w:tplc="DA7443E8">
      <w:start w:val="1"/>
      <w:numFmt w:val="lowerRoman"/>
      <w:lvlText w:val="%1)"/>
      <w:lvlJc w:val="left"/>
      <w:pPr>
        <w:ind w:left="-720" w:hanging="360"/>
      </w:pPr>
      <w:rPr>
        <w:rFonts w:hint="default"/>
        <w:b w:val="0"/>
      </w:rPr>
    </w:lvl>
    <w:lvl w:ilvl="1" w:tplc="08090003" w:tentative="1">
      <w:start w:val="1"/>
      <w:numFmt w:val="bullet"/>
      <w:lvlText w:val="o"/>
      <w:lvlJc w:val="left"/>
      <w:pPr>
        <w:ind w:left="0" w:hanging="360"/>
      </w:pPr>
      <w:rPr>
        <w:rFonts w:ascii="Courier New" w:hAnsi="Courier New" w:cs="Courier New" w:hint="default"/>
      </w:rPr>
    </w:lvl>
    <w:lvl w:ilvl="2" w:tplc="08090005" w:tentative="1">
      <w:start w:val="1"/>
      <w:numFmt w:val="bullet"/>
      <w:lvlText w:val=""/>
      <w:lvlJc w:val="left"/>
      <w:pPr>
        <w:ind w:left="720" w:hanging="360"/>
      </w:pPr>
      <w:rPr>
        <w:rFonts w:ascii="Wingdings" w:hAnsi="Wingdings" w:hint="default"/>
      </w:rPr>
    </w:lvl>
    <w:lvl w:ilvl="3" w:tplc="08090001" w:tentative="1">
      <w:start w:val="1"/>
      <w:numFmt w:val="bullet"/>
      <w:lvlText w:val=""/>
      <w:lvlJc w:val="left"/>
      <w:pPr>
        <w:ind w:left="1440" w:hanging="360"/>
      </w:pPr>
      <w:rPr>
        <w:rFonts w:ascii="Symbol" w:hAnsi="Symbol" w:hint="default"/>
      </w:rPr>
    </w:lvl>
    <w:lvl w:ilvl="4" w:tplc="08090003" w:tentative="1">
      <w:start w:val="1"/>
      <w:numFmt w:val="bullet"/>
      <w:lvlText w:val="o"/>
      <w:lvlJc w:val="left"/>
      <w:pPr>
        <w:ind w:left="2160" w:hanging="360"/>
      </w:pPr>
      <w:rPr>
        <w:rFonts w:ascii="Courier New" w:hAnsi="Courier New" w:cs="Courier New" w:hint="default"/>
      </w:rPr>
    </w:lvl>
    <w:lvl w:ilvl="5" w:tplc="08090005" w:tentative="1">
      <w:start w:val="1"/>
      <w:numFmt w:val="bullet"/>
      <w:lvlText w:val=""/>
      <w:lvlJc w:val="left"/>
      <w:pPr>
        <w:ind w:left="2880" w:hanging="360"/>
      </w:pPr>
      <w:rPr>
        <w:rFonts w:ascii="Wingdings" w:hAnsi="Wingdings" w:hint="default"/>
      </w:rPr>
    </w:lvl>
    <w:lvl w:ilvl="6" w:tplc="08090001" w:tentative="1">
      <w:start w:val="1"/>
      <w:numFmt w:val="bullet"/>
      <w:lvlText w:val=""/>
      <w:lvlJc w:val="left"/>
      <w:pPr>
        <w:ind w:left="3600" w:hanging="360"/>
      </w:pPr>
      <w:rPr>
        <w:rFonts w:ascii="Symbol" w:hAnsi="Symbol" w:hint="default"/>
      </w:rPr>
    </w:lvl>
    <w:lvl w:ilvl="7" w:tplc="08090003" w:tentative="1">
      <w:start w:val="1"/>
      <w:numFmt w:val="bullet"/>
      <w:lvlText w:val="o"/>
      <w:lvlJc w:val="left"/>
      <w:pPr>
        <w:ind w:left="4320" w:hanging="360"/>
      </w:pPr>
      <w:rPr>
        <w:rFonts w:ascii="Courier New" w:hAnsi="Courier New" w:cs="Courier New" w:hint="default"/>
      </w:rPr>
    </w:lvl>
    <w:lvl w:ilvl="8" w:tplc="08090005" w:tentative="1">
      <w:start w:val="1"/>
      <w:numFmt w:val="bullet"/>
      <w:lvlText w:val=""/>
      <w:lvlJc w:val="left"/>
      <w:pPr>
        <w:ind w:left="5040" w:hanging="360"/>
      </w:pPr>
      <w:rPr>
        <w:rFonts w:ascii="Wingdings" w:hAnsi="Wingdings" w:hint="default"/>
      </w:rPr>
    </w:lvl>
  </w:abstractNum>
  <w:abstractNum w:abstractNumId="36" w15:restartNumberingAfterBreak="0">
    <w:nsid w:val="2B1C082D"/>
    <w:multiLevelType w:val="hybridMultilevel"/>
    <w:tmpl w:val="D9E605EA"/>
    <w:lvl w:ilvl="0" w:tplc="9BC68706">
      <w:start w:val="3"/>
      <w:numFmt w:val="bullet"/>
      <w:lvlText w:val="-"/>
      <w:lvlJc w:val="left"/>
      <w:pPr>
        <w:ind w:left="720" w:hanging="360"/>
      </w:pPr>
      <w:rPr>
        <w:rFonts w:ascii="Times New Roman" w:eastAsia="Calibri" w:hAnsi="Times New Roman" w:cs="Times New Roman" w:hint="default"/>
        <w:i w:val="0"/>
        <w:color w:val="auto"/>
      </w:rPr>
    </w:lvl>
    <w:lvl w:ilvl="1" w:tplc="9BC68706">
      <w:start w:val="3"/>
      <w:numFmt w:val="bullet"/>
      <w:lvlText w:val="-"/>
      <w:lvlJc w:val="left"/>
      <w:pPr>
        <w:ind w:left="1440" w:hanging="360"/>
      </w:pPr>
      <w:rPr>
        <w:rFonts w:ascii="Times New Roman" w:eastAsia="Calibri" w:hAnsi="Times New Roman" w:cs="Times New Roman" w:hint="default"/>
        <w:i w:val="0"/>
      </w:rPr>
    </w:lvl>
    <w:lvl w:ilvl="2" w:tplc="9BC68706">
      <w:start w:val="3"/>
      <w:numFmt w:val="bullet"/>
      <w:lvlText w:val="-"/>
      <w:lvlJc w:val="left"/>
      <w:pPr>
        <w:ind w:left="2160" w:hanging="180"/>
      </w:pPr>
      <w:rPr>
        <w:rFonts w:ascii="Times New Roman" w:eastAsia="Calibri" w:hAnsi="Times New Roman" w:cs="Times New Roman" w:hint="default"/>
      </w:rPr>
    </w:lvl>
    <w:lvl w:ilvl="3" w:tplc="9BC68706">
      <w:start w:val="3"/>
      <w:numFmt w:val="bullet"/>
      <w:lvlText w:val="-"/>
      <w:lvlJc w:val="left"/>
      <w:pPr>
        <w:ind w:left="2880" w:hanging="360"/>
      </w:pPr>
      <w:rPr>
        <w:rFonts w:ascii="Times New Roman" w:eastAsia="Calibri" w:hAnsi="Times New Roman" w:cs="Times New Roman"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2BD37476"/>
    <w:multiLevelType w:val="hybridMultilevel"/>
    <w:tmpl w:val="C97E6CEA"/>
    <w:lvl w:ilvl="0" w:tplc="9BC68706">
      <w:start w:val="3"/>
      <w:numFmt w:val="bullet"/>
      <w:lvlText w:val="-"/>
      <w:lvlJc w:val="left"/>
      <w:pPr>
        <w:ind w:left="2160" w:hanging="360"/>
      </w:pPr>
      <w:rPr>
        <w:rFonts w:ascii="Times New Roman" w:eastAsia="Calibri" w:hAnsi="Times New Roman" w:cs="Times New Roman"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8" w15:restartNumberingAfterBreak="0">
    <w:nsid w:val="2BFD51CE"/>
    <w:multiLevelType w:val="hybridMultilevel"/>
    <w:tmpl w:val="E9BEBB74"/>
    <w:lvl w:ilvl="0" w:tplc="BE50AD9E">
      <w:start w:val="1"/>
      <w:numFmt w:val="bullet"/>
      <w:lvlText w:val=""/>
      <w:lvlJc w:val="left"/>
      <w:pPr>
        <w:ind w:left="720" w:hanging="360"/>
      </w:pPr>
      <w:rPr>
        <w:rFonts w:ascii="Symbol" w:hAnsi="Symbol" w:hint="default"/>
        <w:sz w:val="21"/>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40" w15:restartNumberingAfterBreak="0">
    <w:nsid w:val="2DF976A3"/>
    <w:multiLevelType w:val="hybridMultilevel"/>
    <w:tmpl w:val="B73AD940"/>
    <w:lvl w:ilvl="0" w:tplc="DA7443E8">
      <w:start w:val="1"/>
      <w:numFmt w:val="lowerRoman"/>
      <w:lvlText w:val="%1)"/>
      <w:lvlJc w:val="left"/>
      <w:pPr>
        <w:ind w:left="144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E385047"/>
    <w:multiLevelType w:val="hybridMultilevel"/>
    <w:tmpl w:val="990008C2"/>
    <w:lvl w:ilvl="0" w:tplc="30605936">
      <w:start w:val="1"/>
      <mc:AlternateContent>
        <mc:Choice Requires="w14">
          <w:numFmt w:val="custom" w:format="а, й, к, ..."/>
        </mc:Choice>
        <mc:Fallback>
          <w:numFmt w:val="decimal"/>
        </mc:Fallback>
      </mc:AlternateContent>
      <w:lvlText w:val="%1)"/>
      <w:lvlJc w:val="center"/>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32D314AA"/>
    <w:multiLevelType w:val="hybridMultilevel"/>
    <w:tmpl w:val="0E3C7EBA"/>
    <w:lvl w:ilvl="0" w:tplc="30605936">
      <w:start w:val="1"/>
      <mc:AlternateContent>
        <mc:Choice Requires="w14">
          <w:numFmt w:val="custom" w:format="а, й, к, ..."/>
        </mc:Choice>
        <mc:Fallback>
          <w:numFmt w:val="decimal"/>
        </mc:Fallback>
      </mc:AlternateContent>
      <w:lvlText w:val="%1)"/>
      <w:lvlJc w:val="center"/>
      <w:pPr>
        <w:ind w:left="720" w:hanging="360"/>
      </w:pPr>
      <w:rPr>
        <w:rFonts w:hint="default"/>
        <w:b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335F013A"/>
    <w:multiLevelType w:val="hybridMultilevel"/>
    <w:tmpl w:val="1FF69FF6"/>
    <w:lvl w:ilvl="0" w:tplc="9BC68706">
      <w:start w:val="3"/>
      <w:numFmt w:val="bullet"/>
      <w:lvlText w:val="-"/>
      <w:lvlJc w:val="left"/>
      <w:pPr>
        <w:ind w:left="778" w:hanging="360"/>
      </w:pPr>
      <w:rPr>
        <w:rFonts w:ascii="Times New Roman" w:eastAsia="Calibri" w:hAnsi="Times New Roman" w:cs="Times New Roman" w:hint="default"/>
      </w:rPr>
    </w:lvl>
    <w:lvl w:ilvl="1" w:tplc="08090003" w:tentative="1">
      <w:start w:val="1"/>
      <w:numFmt w:val="bullet"/>
      <w:lvlText w:val="o"/>
      <w:lvlJc w:val="left"/>
      <w:pPr>
        <w:ind w:left="1498" w:hanging="360"/>
      </w:pPr>
      <w:rPr>
        <w:rFonts w:ascii="Courier New" w:hAnsi="Courier New" w:cs="Courier New" w:hint="default"/>
      </w:rPr>
    </w:lvl>
    <w:lvl w:ilvl="2" w:tplc="08090005" w:tentative="1">
      <w:start w:val="1"/>
      <w:numFmt w:val="bullet"/>
      <w:lvlText w:val=""/>
      <w:lvlJc w:val="left"/>
      <w:pPr>
        <w:ind w:left="2218" w:hanging="360"/>
      </w:pPr>
      <w:rPr>
        <w:rFonts w:ascii="Wingdings" w:hAnsi="Wingdings" w:hint="default"/>
      </w:rPr>
    </w:lvl>
    <w:lvl w:ilvl="3" w:tplc="08090001" w:tentative="1">
      <w:start w:val="1"/>
      <w:numFmt w:val="bullet"/>
      <w:lvlText w:val=""/>
      <w:lvlJc w:val="left"/>
      <w:pPr>
        <w:ind w:left="2938" w:hanging="360"/>
      </w:pPr>
      <w:rPr>
        <w:rFonts w:ascii="Symbol" w:hAnsi="Symbol" w:hint="default"/>
      </w:rPr>
    </w:lvl>
    <w:lvl w:ilvl="4" w:tplc="08090003" w:tentative="1">
      <w:start w:val="1"/>
      <w:numFmt w:val="bullet"/>
      <w:lvlText w:val="o"/>
      <w:lvlJc w:val="left"/>
      <w:pPr>
        <w:ind w:left="3658" w:hanging="360"/>
      </w:pPr>
      <w:rPr>
        <w:rFonts w:ascii="Courier New" w:hAnsi="Courier New" w:cs="Courier New" w:hint="default"/>
      </w:rPr>
    </w:lvl>
    <w:lvl w:ilvl="5" w:tplc="08090005" w:tentative="1">
      <w:start w:val="1"/>
      <w:numFmt w:val="bullet"/>
      <w:lvlText w:val=""/>
      <w:lvlJc w:val="left"/>
      <w:pPr>
        <w:ind w:left="4378" w:hanging="360"/>
      </w:pPr>
      <w:rPr>
        <w:rFonts w:ascii="Wingdings" w:hAnsi="Wingdings" w:hint="default"/>
      </w:rPr>
    </w:lvl>
    <w:lvl w:ilvl="6" w:tplc="08090001" w:tentative="1">
      <w:start w:val="1"/>
      <w:numFmt w:val="bullet"/>
      <w:lvlText w:val=""/>
      <w:lvlJc w:val="left"/>
      <w:pPr>
        <w:ind w:left="5098" w:hanging="360"/>
      </w:pPr>
      <w:rPr>
        <w:rFonts w:ascii="Symbol" w:hAnsi="Symbol" w:hint="default"/>
      </w:rPr>
    </w:lvl>
    <w:lvl w:ilvl="7" w:tplc="08090003" w:tentative="1">
      <w:start w:val="1"/>
      <w:numFmt w:val="bullet"/>
      <w:lvlText w:val="o"/>
      <w:lvlJc w:val="left"/>
      <w:pPr>
        <w:ind w:left="5818" w:hanging="360"/>
      </w:pPr>
      <w:rPr>
        <w:rFonts w:ascii="Courier New" w:hAnsi="Courier New" w:cs="Courier New" w:hint="default"/>
      </w:rPr>
    </w:lvl>
    <w:lvl w:ilvl="8" w:tplc="08090005" w:tentative="1">
      <w:start w:val="1"/>
      <w:numFmt w:val="bullet"/>
      <w:lvlText w:val=""/>
      <w:lvlJc w:val="left"/>
      <w:pPr>
        <w:ind w:left="6538" w:hanging="360"/>
      </w:pPr>
      <w:rPr>
        <w:rFonts w:ascii="Wingdings" w:hAnsi="Wingdings" w:hint="default"/>
      </w:rPr>
    </w:lvl>
  </w:abstractNum>
  <w:abstractNum w:abstractNumId="44" w15:restartNumberingAfterBreak="0">
    <w:nsid w:val="33626DFF"/>
    <w:multiLevelType w:val="hybridMultilevel"/>
    <w:tmpl w:val="EAD46FC0"/>
    <w:lvl w:ilvl="0" w:tplc="BE50AD9E">
      <w:start w:val="1"/>
      <w:numFmt w:val="bullet"/>
      <w:lvlText w:val=""/>
      <w:lvlJc w:val="left"/>
      <w:pPr>
        <w:ind w:left="720" w:hanging="360"/>
      </w:pPr>
      <w:rPr>
        <w:rFonts w:ascii="Symbol" w:hAnsi="Symbol" w:hint="default"/>
        <w:i w:val="0"/>
        <w:sz w:val="21"/>
        <w:szCs w:val="24"/>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45" w15:restartNumberingAfterBreak="0">
    <w:nsid w:val="36435C39"/>
    <w:multiLevelType w:val="hybridMultilevel"/>
    <w:tmpl w:val="0F34AFD0"/>
    <w:lvl w:ilvl="0" w:tplc="DA7443E8">
      <w:start w:val="1"/>
      <w:numFmt w:val="lowerRoman"/>
      <w:lvlText w:val="%1)"/>
      <w:lvlJc w:val="left"/>
      <w:pPr>
        <w:ind w:left="1800" w:hanging="360"/>
      </w:pPr>
      <w:rPr>
        <w:rFonts w:hint="default"/>
        <w:sz w:val="24"/>
        <w:szCs w:val="24"/>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6" w15:restartNumberingAfterBreak="0">
    <w:nsid w:val="36FE5EA2"/>
    <w:multiLevelType w:val="hybridMultilevel"/>
    <w:tmpl w:val="48DA6AFA"/>
    <w:lvl w:ilvl="0" w:tplc="DA7443E8">
      <w:start w:val="1"/>
      <w:numFmt w:val="lowerRoman"/>
      <w:lvlText w:val="%1)"/>
      <w:lvlJc w:val="left"/>
      <w:pPr>
        <w:ind w:left="144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396C2EF6"/>
    <w:multiLevelType w:val="hybridMultilevel"/>
    <w:tmpl w:val="E9F628CC"/>
    <w:lvl w:ilvl="0" w:tplc="DA7443E8">
      <w:start w:val="1"/>
      <w:numFmt w:val="lowerRoman"/>
      <w:lvlText w:val="%1)"/>
      <w:lvlJc w:val="left"/>
      <w:pPr>
        <w:ind w:left="2400" w:hanging="360"/>
      </w:pPr>
      <w:rPr>
        <w:rFonts w:hint="default"/>
        <w:sz w:val="24"/>
        <w:szCs w:val="24"/>
      </w:rPr>
    </w:lvl>
    <w:lvl w:ilvl="1" w:tplc="08090019">
      <w:start w:val="1"/>
      <w:numFmt w:val="lowerLetter"/>
      <w:lvlText w:val="%2."/>
      <w:lvlJc w:val="left"/>
      <w:pPr>
        <w:ind w:left="3120" w:hanging="360"/>
      </w:pPr>
    </w:lvl>
    <w:lvl w:ilvl="2" w:tplc="0809001B" w:tentative="1">
      <w:start w:val="1"/>
      <w:numFmt w:val="lowerRoman"/>
      <w:lvlText w:val="%3."/>
      <w:lvlJc w:val="right"/>
      <w:pPr>
        <w:ind w:left="3840" w:hanging="180"/>
      </w:pPr>
    </w:lvl>
    <w:lvl w:ilvl="3" w:tplc="0809000F" w:tentative="1">
      <w:start w:val="1"/>
      <w:numFmt w:val="decimal"/>
      <w:lvlText w:val="%4."/>
      <w:lvlJc w:val="left"/>
      <w:pPr>
        <w:ind w:left="4560" w:hanging="360"/>
      </w:pPr>
    </w:lvl>
    <w:lvl w:ilvl="4" w:tplc="08090019" w:tentative="1">
      <w:start w:val="1"/>
      <w:numFmt w:val="lowerLetter"/>
      <w:lvlText w:val="%5."/>
      <w:lvlJc w:val="left"/>
      <w:pPr>
        <w:ind w:left="5280" w:hanging="360"/>
      </w:pPr>
    </w:lvl>
    <w:lvl w:ilvl="5" w:tplc="0809001B" w:tentative="1">
      <w:start w:val="1"/>
      <w:numFmt w:val="lowerRoman"/>
      <w:lvlText w:val="%6."/>
      <w:lvlJc w:val="right"/>
      <w:pPr>
        <w:ind w:left="6000" w:hanging="180"/>
      </w:pPr>
    </w:lvl>
    <w:lvl w:ilvl="6" w:tplc="0809000F" w:tentative="1">
      <w:start w:val="1"/>
      <w:numFmt w:val="decimal"/>
      <w:lvlText w:val="%7."/>
      <w:lvlJc w:val="left"/>
      <w:pPr>
        <w:ind w:left="6720" w:hanging="360"/>
      </w:pPr>
    </w:lvl>
    <w:lvl w:ilvl="7" w:tplc="08090019" w:tentative="1">
      <w:start w:val="1"/>
      <w:numFmt w:val="lowerLetter"/>
      <w:lvlText w:val="%8."/>
      <w:lvlJc w:val="left"/>
      <w:pPr>
        <w:ind w:left="7440" w:hanging="360"/>
      </w:pPr>
    </w:lvl>
    <w:lvl w:ilvl="8" w:tplc="0809001B" w:tentative="1">
      <w:start w:val="1"/>
      <w:numFmt w:val="lowerRoman"/>
      <w:lvlText w:val="%9."/>
      <w:lvlJc w:val="right"/>
      <w:pPr>
        <w:ind w:left="8160" w:hanging="180"/>
      </w:pPr>
    </w:lvl>
  </w:abstractNum>
  <w:abstractNum w:abstractNumId="48" w15:restartNumberingAfterBreak="0">
    <w:nsid w:val="39D852EA"/>
    <w:multiLevelType w:val="hybridMultilevel"/>
    <w:tmpl w:val="E1227578"/>
    <w:lvl w:ilvl="0" w:tplc="004235D6">
      <w:start w:val="3"/>
      <w:numFmt w:val="bullet"/>
      <w:lvlText w:val="-"/>
      <w:lvlJc w:val="left"/>
      <w:pPr>
        <w:ind w:left="720" w:hanging="360"/>
      </w:pPr>
      <w:rPr>
        <w:rFonts w:ascii="Times New Roman" w:eastAsia="Calibri" w:hAnsi="Times New Roman" w:cs="Times New Roman" w:hint="default"/>
        <w:color w:val="auto"/>
      </w:rPr>
    </w:lvl>
    <w:lvl w:ilvl="1" w:tplc="9BC68706">
      <w:start w:val="3"/>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50" w15:restartNumberingAfterBreak="0">
    <w:nsid w:val="3D214B2C"/>
    <w:multiLevelType w:val="hybridMultilevel"/>
    <w:tmpl w:val="26A60E08"/>
    <w:lvl w:ilvl="0" w:tplc="BECC21AE">
      <w:start w:val="1"/>
      <w:numFmt w:val="lowerLetter"/>
      <w:lvlText w:val="(%1)"/>
      <w:lvlJc w:val="left"/>
      <w:pPr>
        <w:ind w:left="720" w:hanging="360"/>
      </w:pPr>
      <w:rPr>
        <w:rFonts w:hint="default"/>
      </w:rPr>
    </w:lvl>
    <w:lvl w:ilvl="1" w:tplc="BB4E3E38">
      <w:start w:val="1"/>
      <w:numFmt w:val="lowerRoman"/>
      <w:lvlText w:val="(%2)"/>
      <w:lvlJc w:val="right"/>
      <w:pPr>
        <w:ind w:left="1440" w:hanging="360"/>
      </w:pPr>
      <w:rPr>
        <w:rFonts w:hint="default"/>
        <w:i w:val="0"/>
      </w:rPr>
    </w:lvl>
    <w:lvl w:ilvl="2" w:tplc="4FFE34E6">
      <w:start w:val="1"/>
      <w:numFmt w:val="bullet"/>
      <w:lvlText w:val="-"/>
      <w:lvlJc w:val="left"/>
      <w:pPr>
        <w:ind w:left="2160" w:hanging="180"/>
      </w:pPr>
      <w:rPr>
        <w:rFonts w:ascii="Times New Roman" w:hAnsi="Times New Roman" w:cs="Times New Roman" w:hint="default"/>
      </w:rPr>
    </w:lvl>
    <w:lvl w:ilvl="3" w:tplc="9BC68706">
      <w:start w:val="3"/>
      <w:numFmt w:val="bullet"/>
      <w:lvlText w:val="-"/>
      <w:lvlJc w:val="left"/>
      <w:pPr>
        <w:ind w:left="2880" w:hanging="360"/>
      </w:pPr>
      <w:rPr>
        <w:rFonts w:ascii="Times New Roman" w:eastAsia="Calibri" w:hAnsi="Times New Roman" w:cs="Times New Roman" w:hint="default"/>
      </w:r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3D860966"/>
    <w:multiLevelType w:val="hybridMultilevel"/>
    <w:tmpl w:val="D0FE54EE"/>
    <w:lvl w:ilvl="0" w:tplc="DA7443E8">
      <w:start w:val="1"/>
      <w:numFmt w:val="lowerRoman"/>
      <w:lvlText w:val="%1)"/>
      <w:lvlJc w:val="left"/>
      <w:pPr>
        <w:ind w:left="144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40D57D24"/>
    <w:multiLevelType w:val="hybridMultilevel"/>
    <w:tmpl w:val="424A7310"/>
    <w:lvl w:ilvl="0" w:tplc="30605936">
      <w:start w:val="1"/>
      <mc:AlternateContent>
        <mc:Choice Requires="w14">
          <w:numFmt w:val="custom" w:format="а, й, к, ..."/>
        </mc:Choice>
        <mc:Fallback>
          <w:numFmt w:val="decimal"/>
        </mc:Fallback>
      </mc:AlternateContent>
      <w:lvlText w:val="%1)"/>
      <w:lvlJc w:val="center"/>
      <w:pPr>
        <w:ind w:left="720" w:hanging="360"/>
      </w:pPr>
      <w:rPr>
        <w:rFonts w:hint="default"/>
        <w:b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40FB2D83"/>
    <w:multiLevelType w:val="hybridMultilevel"/>
    <w:tmpl w:val="77BCD568"/>
    <w:lvl w:ilvl="0" w:tplc="4FFE34E6">
      <w:start w:val="1"/>
      <w:numFmt w:val="bullet"/>
      <w:lvlText w:val="-"/>
      <w:lvlJc w:val="left"/>
      <w:pPr>
        <w:ind w:left="2220" w:hanging="360"/>
      </w:pPr>
      <w:rPr>
        <w:rFonts w:ascii="Times New Roman" w:hAnsi="Times New Roman" w:cs="Times New Roman" w:hint="default"/>
      </w:rPr>
    </w:lvl>
    <w:lvl w:ilvl="1" w:tplc="4FFE34E6">
      <w:start w:val="1"/>
      <w:numFmt w:val="bullet"/>
      <w:lvlText w:val="-"/>
      <w:lvlJc w:val="left"/>
      <w:pPr>
        <w:ind w:left="2940" w:hanging="360"/>
      </w:pPr>
      <w:rPr>
        <w:rFonts w:ascii="Times New Roman" w:hAnsi="Times New Roman" w:cs="Times New Roman" w:hint="default"/>
      </w:rPr>
    </w:lvl>
    <w:lvl w:ilvl="2" w:tplc="08090005" w:tentative="1">
      <w:start w:val="1"/>
      <w:numFmt w:val="bullet"/>
      <w:lvlText w:val=""/>
      <w:lvlJc w:val="left"/>
      <w:pPr>
        <w:ind w:left="3660" w:hanging="360"/>
      </w:pPr>
      <w:rPr>
        <w:rFonts w:ascii="Wingdings" w:hAnsi="Wingdings" w:hint="default"/>
      </w:rPr>
    </w:lvl>
    <w:lvl w:ilvl="3" w:tplc="08090001" w:tentative="1">
      <w:start w:val="1"/>
      <w:numFmt w:val="bullet"/>
      <w:lvlText w:val=""/>
      <w:lvlJc w:val="left"/>
      <w:pPr>
        <w:ind w:left="4380" w:hanging="360"/>
      </w:pPr>
      <w:rPr>
        <w:rFonts w:ascii="Symbol" w:hAnsi="Symbol" w:hint="default"/>
      </w:rPr>
    </w:lvl>
    <w:lvl w:ilvl="4" w:tplc="08090003" w:tentative="1">
      <w:start w:val="1"/>
      <w:numFmt w:val="bullet"/>
      <w:lvlText w:val="o"/>
      <w:lvlJc w:val="left"/>
      <w:pPr>
        <w:ind w:left="5100" w:hanging="360"/>
      </w:pPr>
      <w:rPr>
        <w:rFonts w:ascii="Courier New" w:hAnsi="Courier New" w:cs="Courier New" w:hint="default"/>
      </w:rPr>
    </w:lvl>
    <w:lvl w:ilvl="5" w:tplc="08090005" w:tentative="1">
      <w:start w:val="1"/>
      <w:numFmt w:val="bullet"/>
      <w:lvlText w:val=""/>
      <w:lvlJc w:val="left"/>
      <w:pPr>
        <w:ind w:left="5820" w:hanging="360"/>
      </w:pPr>
      <w:rPr>
        <w:rFonts w:ascii="Wingdings" w:hAnsi="Wingdings" w:hint="default"/>
      </w:rPr>
    </w:lvl>
    <w:lvl w:ilvl="6" w:tplc="08090001" w:tentative="1">
      <w:start w:val="1"/>
      <w:numFmt w:val="bullet"/>
      <w:lvlText w:val=""/>
      <w:lvlJc w:val="left"/>
      <w:pPr>
        <w:ind w:left="6540" w:hanging="360"/>
      </w:pPr>
      <w:rPr>
        <w:rFonts w:ascii="Symbol" w:hAnsi="Symbol" w:hint="default"/>
      </w:rPr>
    </w:lvl>
    <w:lvl w:ilvl="7" w:tplc="08090003" w:tentative="1">
      <w:start w:val="1"/>
      <w:numFmt w:val="bullet"/>
      <w:lvlText w:val="o"/>
      <w:lvlJc w:val="left"/>
      <w:pPr>
        <w:ind w:left="7260" w:hanging="360"/>
      </w:pPr>
      <w:rPr>
        <w:rFonts w:ascii="Courier New" w:hAnsi="Courier New" w:cs="Courier New" w:hint="default"/>
      </w:rPr>
    </w:lvl>
    <w:lvl w:ilvl="8" w:tplc="08090005" w:tentative="1">
      <w:start w:val="1"/>
      <w:numFmt w:val="bullet"/>
      <w:lvlText w:val=""/>
      <w:lvlJc w:val="left"/>
      <w:pPr>
        <w:ind w:left="7980" w:hanging="360"/>
      </w:pPr>
      <w:rPr>
        <w:rFonts w:ascii="Wingdings" w:hAnsi="Wingdings" w:hint="default"/>
      </w:rPr>
    </w:lvl>
  </w:abstractNum>
  <w:abstractNum w:abstractNumId="54" w15:restartNumberingAfterBreak="0">
    <w:nsid w:val="418D0764"/>
    <w:multiLevelType w:val="hybridMultilevel"/>
    <w:tmpl w:val="5EE4E230"/>
    <w:lvl w:ilvl="0" w:tplc="30605936">
      <w:start w:val="1"/>
      <mc:AlternateContent>
        <mc:Choice Requires="w14">
          <w:numFmt w:val="custom" w:format="а, й, к, ..."/>
        </mc:Choice>
        <mc:Fallback>
          <w:numFmt w:val="decimal"/>
        </mc:Fallback>
      </mc:AlternateContent>
      <w:lvlText w:val="%1)"/>
      <w:lvlJc w:val="center"/>
      <w:pPr>
        <w:ind w:left="720" w:hanging="360"/>
      </w:pPr>
      <w:rPr>
        <w:rFonts w:hint="default"/>
      </w:rPr>
    </w:lvl>
    <w:lvl w:ilvl="1" w:tplc="54EA2AA0">
      <w:start w:val="1"/>
      <w:numFmt w:val="lowerLetter"/>
      <w:lvlText w:val="(%2)"/>
      <w:lvlJc w:val="left"/>
      <w:pPr>
        <w:ind w:left="1440" w:hanging="360"/>
      </w:p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5"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6" w15:restartNumberingAfterBreak="0">
    <w:nsid w:val="44540B11"/>
    <w:multiLevelType w:val="hybridMultilevel"/>
    <w:tmpl w:val="8CEEEE8E"/>
    <w:lvl w:ilvl="0" w:tplc="30605936">
      <w:start w:val="1"/>
      <mc:AlternateContent>
        <mc:Choice Requires="w14">
          <w:numFmt w:val="custom" w:format="а, й, к, ..."/>
        </mc:Choice>
        <mc:Fallback>
          <w:numFmt w:val="decimal"/>
        </mc:Fallback>
      </mc:AlternateContent>
      <w:lvlText w:val="%1)"/>
      <w:lvlJc w:val="center"/>
      <w:pPr>
        <w:ind w:left="720" w:hanging="360"/>
      </w:pPr>
      <w:rPr>
        <w:rFonts w:hint="default"/>
        <w:b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45115202"/>
    <w:multiLevelType w:val="hybridMultilevel"/>
    <w:tmpl w:val="67D0F79E"/>
    <w:lvl w:ilvl="0" w:tplc="DA7443E8">
      <w:start w:val="1"/>
      <w:numFmt w:val="lowerRoman"/>
      <w:lvlText w:val="%1)"/>
      <w:lvlJc w:val="left"/>
      <w:pPr>
        <w:ind w:left="1800" w:hanging="360"/>
      </w:pPr>
      <w:rPr>
        <w:rFonts w:hint="default"/>
        <w:b w:val="0"/>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0" w15:restartNumberingAfterBreak="0">
    <w:nsid w:val="47C179CE"/>
    <w:multiLevelType w:val="hybridMultilevel"/>
    <w:tmpl w:val="0324CF30"/>
    <w:lvl w:ilvl="0" w:tplc="DA7443E8">
      <w:start w:val="1"/>
      <w:numFmt w:val="lowerRoman"/>
      <w:lvlText w:val="%1)"/>
      <w:lvlJc w:val="left"/>
      <w:pPr>
        <w:ind w:left="1800" w:hanging="360"/>
      </w:pPr>
      <w:rPr>
        <w:rFonts w:hint="default"/>
        <w:sz w:val="24"/>
        <w:szCs w:val="24"/>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1" w15:restartNumberingAfterBreak="0">
    <w:nsid w:val="47D919D9"/>
    <w:multiLevelType w:val="hybridMultilevel"/>
    <w:tmpl w:val="E366481A"/>
    <w:lvl w:ilvl="0" w:tplc="4FFE34E6">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3" w15:restartNumberingAfterBreak="0">
    <w:nsid w:val="493661EF"/>
    <w:multiLevelType w:val="hybridMultilevel"/>
    <w:tmpl w:val="00CE17FE"/>
    <w:lvl w:ilvl="0" w:tplc="30605936">
      <w:start w:val="1"/>
      <mc:AlternateContent>
        <mc:Choice Requires="w14">
          <w:numFmt w:val="custom" w:format="а, й, к, ..."/>
        </mc:Choice>
        <mc:Fallback>
          <w:numFmt w:val="decimal"/>
        </mc:Fallback>
      </mc:AlternateContent>
      <w:lvlText w:val="%1)"/>
      <w:lvlJc w:val="center"/>
      <w:pPr>
        <w:ind w:left="720" w:hanging="360"/>
      </w:pPr>
      <w:rPr>
        <w:rFonts w:hint="default"/>
        <w:sz w:val="24"/>
        <w:szCs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4A376E07"/>
    <w:multiLevelType w:val="hybridMultilevel"/>
    <w:tmpl w:val="6324C646"/>
    <w:lvl w:ilvl="0" w:tplc="30605936">
      <w:start w:val="1"/>
      <mc:AlternateContent>
        <mc:Choice Requires="w14">
          <w:numFmt w:val="custom" w:format="а, й, к, ..."/>
        </mc:Choice>
        <mc:Fallback>
          <w:numFmt w:val="decimal"/>
        </mc:Fallback>
      </mc:AlternateContent>
      <w:lvlText w:val="%1)"/>
      <w:lvlJc w:val="center"/>
      <w:pPr>
        <w:ind w:left="720" w:hanging="360"/>
      </w:pPr>
      <w:rPr>
        <w:rFonts w:hint="default"/>
        <w:b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4A427DC0"/>
    <w:multiLevelType w:val="hybridMultilevel"/>
    <w:tmpl w:val="ED8E1BC0"/>
    <w:lvl w:ilvl="0" w:tplc="30605936">
      <w:start w:val="1"/>
      <mc:AlternateContent>
        <mc:Choice Requires="w14">
          <w:numFmt w:val="custom" w:format="а, й, к, ..."/>
        </mc:Choice>
        <mc:Fallback>
          <w:numFmt w:val="decimal"/>
        </mc:Fallback>
      </mc:AlternateContent>
      <w:lvlText w:val="%1)"/>
      <w:lvlJc w:val="center"/>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4A98686F"/>
    <w:multiLevelType w:val="hybridMultilevel"/>
    <w:tmpl w:val="A7D4D998"/>
    <w:lvl w:ilvl="0" w:tplc="9BC68706">
      <w:start w:val="3"/>
      <w:numFmt w:val="bullet"/>
      <w:lvlText w:val="-"/>
      <w:lvlJc w:val="left"/>
      <w:pPr>
        <w:ind w:left="720" w:hanging="360"/>
      </w:pPr>
      <w:rPr>
        <w:rFonts w:ascii="Times New Roman" w:eastAsia="Calibri"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4AB95C93"/>
    <w:multiLevelType w:val="hybridMultilevel"/>
    <w:tmpl w:val="9FDE6DFC"/>
    <w:lvl w:ilvl="0" w:tplc="9BC68706">
      <w:start w:val="3"/>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4D2D7C20"/>
    <w:multiLevelType w:val="hybridMultilevel"/>
    <w:tmpl w:val="634A9A72"/>
    <w:lvl w:ilvl="0" w:tplc="85E66008">
      <w:start w:val="1"/>
      <w:numFmt w:val="bullet"/>
      <w:lvlText w:val=""/>
      <w:lvlJc w:val="left"/>
      <w:pPr>
        <w:tabs>
          <w:tab w:val="num" w:pos="360"/>
        </w:tabs>
        <w:ind w:left="360" w:hanging="360"/>
      </w:pPr>
      <w:rPr>
        <w:rFonts w:ascii="Wingdings" w:hAnsi="Wingdings" w:hint="default"/>
        <w:color w:val="4AA55B"/>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4DD22A24"/>
    <w:multiLevelType w:val="hybridMultilevel"/>
    <w:tmpl w:val="1FB613BE"/>
    <w:lvl w:ilvl="0" w:tplc="CD9EC1D8">
      <w:start w:val="3"/>
      <w:numFmt w:val="bullet"/>
      <w:lvlText w:val="-"/>
      <w:lvlJc w:val="left"/>
      <w:pPr>
        <w:ind w:left="960" w:hanging="360"/>
      </w:pPr>
      <w:rPr>
        <w:rFonts w:ascii="Times New Roman" w:eastAsia="Calibri" w:hAnsi="Times New Roman" w:cs="Times New Roman" w:hint="default"/>
        <w:b/>
        <w:color w:val="auto"/>
      </w:rPr>
    </w:lvl>
    <w:lvl w:ilvl="1" w:tplc="44FE2B32">
      <w:start w:val="3"/>
      <w:numFmt w:val="bullet"/>
      <w:lvlText w:val="-"/>
      <w:lvlJc w:val="left"/>
      <w:pPr>
        <w:ind w:left="1680" w:hanging="360"/>
      </w:pPr>
      <w:rPr>
        <w:rFonts w:ascii="Times New Roman" w:eastAsia="Calibri" w:hAnsi="Times New Roman" w:cs="Times New Roman" w:hint="default"/>
        <w:color w:val="auto"/>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70" w15:restartNumberingAfterBreak="0">
    <w:nsid w:val="4DFE52A8"/>
    <w:multiLevelType w:val="hybridMultilevel"/>
    <w:tmpl w:val="978A11D8"/>
    <w:lvl w:ilvl="0" w:tplc="9BC68706">
      <w:start w:val="3"/>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4EB7781D"/>
    <w:multiLevelType w:val="hybridMultilevel"/>
    <w:tmpl w:val="78EEA01C"/>
    <w:lvl w:ilvl="0" w:tplc="A008DC7C">
      <w:start w:val="1"/>
      <w:numFmt w:val="bullet"/>
      <w:lvlText w:val=""/>
      <w:lvlJc w:val="left"/>
      <w:pPr>
        <w:tabs>
          <w:tab w:val="num" w:pos="360"/>
        </w:tabs>
        <w:ind w:left="360" w:hanging="360"/>
      </w:pPr>
      <w:rPr>
        <w:rFonts w:ascii="Symbol" w:hAnsi="Symbol" w:hint="default"/>
      </w:rPr>
    </w:lvl>
    <w:lvl w:ilvl="1" w:tplc="BE50AD9E">
      <w:start w:val="1"/>
      <w:numFmt w:val="bullet"/>
      <w:lvlText w:val=""/>
      <w:lvlJc w:val="left"/>
      <w:pPr>
        <w:tabs>
          <w:tab w:val="num" w:pos="1080"/>
        </w:tabs>
        <w:ind w:left="1080" w:hanging="360"/>
      </w:pPr>
      <w:rPr>
        <w:rFonts w:ascii="Symbol" w:hAnsi="Symbol" w:hint="default"/>
        <w:sz w:val="21"/>
        <w:szCs w:val="24"/>
      </w:rPr>
    </w:lvl>
    <w:lvl w:ilvl="2" w:tplc="FFFFFFFF">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4F5A68AF"/>
    <w:multiLevelType w:val="hybridMultilevel"/>
    <w:tmpl w:val="9BA234B6"/>
    <w:lvl w:ilvl="0" w:tplc="30605936">
      <w:start w:val="1"/>
      <mc:AlternateContent>
        <mc:Choice Requires="w14">
          <w:numFmt w:val="custom" w:format="а, й, к, ..."/>
        </mc:Choice>
        <mc:Fallback>
          <w:numFmt w:val="decimal"/>
        </mc:Fallback>
      </mc:AlternateContent>
      <w:lvlText w:val="%1)"/>
      <w:lvlJc w:val="center"/>
      <w:pPr>
        <w:ind w:left="1080" w:hanging="360"/>
      </w:pPr>
      <w:rPr>
        <w:rFonts w:hint="default"/>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73" w15:restartNumberingAfterBreak="0">
    <w:nsid w:val="51B5442C"/>
    <w:multiLevelType w:val="hybridMultilevel"/>
    <w:tmpl w:val="EDF8F7E0"/>
    <w:lvl w:ilvl="0" w:tplc="30605936">
      <w:start w:val="1"/>
      <mc:AlternateContent>
        <mc:Choice Requires="w14">
          <w:numFmt w:val="custom" w:format="а, й, к, ..."/>
        </mc:Choice>
        <mc:Fallback>
          <w:numFmt w:val="decimal"/>
        </mc:Fallback>
      </mc:AlternateContent>
      <w:lvlText w:val="%1)"/>
      <w:lvlJc w:val="center"/>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51FF7A62"/>
    <w:multiLevelType w:val="hybridMultilevel"/>
    <w:tmpl w:val="791456F6"/>
    <w:lvl w:ilvl="0" w:tplc="30605936">
      <w:start w:val="1"/>
      <mc:AlternateContent>
        <mc:Choice Requires="w14">
          <w:numFmt w:val="custom" w:format="а, й, к, ..."/>
        </mc:Choice>
        <mc:Fallback>
          <w:numFmt w:val="decimal"/>
        </mc:Fallback>
      </mc:AlternateContent>
      <w:lvlText w:val="%1)"/>
      <w:lvlJc w:val="center"/>
      <w:pPr>
        <w:ind w:left="720" w:hanging="360"/>
      </w:pPr>
      <w:rPr>
        <w:rFonts w:hint="default"/>
        <w:b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542D0148"/>
    <w:multiLevelType w:val="hybridMultilevel"/>
    <w:tmpl w:val="FD787BB4"/>
    <w:lvl w:ilvl="0" w:tplc="30605936">
      <w:start w:val="1"/>
      <mc:AlternateContent>
        <mc:Choice Requires="w14">
          <w:numFmt w:val="custom" w:format="а, й, к, ..."/>
        </mc:Choice>
        <mc:Fallback>
          <w:numFmt w:val="decimal"/>
        </mc:Fallback>
      </mc:AlternateContent>
      <w:lvlText w:val="%1)"/>
      <w:lvlJc w:val="center"/>
      <w:pPr>
        <w:ind w:left="720" w:hanging="360"/>
      </w:pPr>
      <w:rPr>
        <w:rFonts w:hint="default"/>
        <w:i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77" w15:restartNumberingAfterBreak="0">
    <w:nsid w:val="57867D90"/>
    <w:multiLevelType w:val="hybridMultilevel"/>
    <w:tmpl w:val="2050FE06"/>
    <w:lvl w:ilvl="0" w:tplc="30605936">
      <w:start w:val="1"/>
      <mc:AlternateContent>
        <mc:Choice Requires="w14">
          <w:numFmt w:val="custom" w:format="а, й, к, ..."/>
        </mc:Choice>
        <mc:Fallback>
          <w:numFmt w:val="decimal"/>
        </mc:Fallback>
      </mc:AlternateContent>
      <w:lvlText w:val="%1)"/>
      <w:lvlJc w:val="center"/>
      <w:pPr>
        <w:ind w:left="720" w:hanging="360"/>
      </w:pPr>
      <w:rPr>
        <w:rFonts w:hint="default"/>
        <w:b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59F5488C"/>
    <w:multiLevelType w:val="hybridMultilevel"/>
    <w:tmpl w:val="8FC02EA8"/>
    <w:lvl w:ilvl="0" w:tplc="DA7443E8">
      <w:start w:val="1"/>
      <w:numFmt w:val="lowerRoman"/>
      <w:lvlText w:val="%1)"/>
      <w:lvlJc w:val="left"/>
      <w:pPr>
        <w:ind w:left="144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5B6F011C"/>
    <w:multiLevelType w:val="hybridMultilevel"/>
    <w:tmpl w:val="3578B270"/>
    <w:lvl w:ilvl="0" w:tplc="BE50AD9E">
      <w:start w:val="1"/>
      <w:numFmt w:val="bullet"/>
      <w:lvlText w:val=""/>
      <w:lvlJc w:val="left"/>
      <w:pPr>
        <w:ind w:left="720" w:hanging="360"/>
      </w:pPr>
      <w:rPr>
        <w:rFonts w:ascii="Symbol" w:hAnsi="Symbol" w:hint="default"/>
      </w:rPr>
    </w:lvl>
    <w:lvl w:ilvl="1" w:tplc="DA7443E8">
      <w:start w:val="1"/>
      <w:numFmt w:val="lowerRoman"/>
      <w:lvlText w:val="%2)"/>
      <w:lvlJc w:val="left"/>
      <w:pPr>
        <w:ind w:left="1440" w:hanging="360"/>
      </w:pPr>
      <w:rPr>
        <w:rFonts w:hint="default"/>
        <w:sz w:val="24"/>
        <w:szCs w:val="24"/>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5D88674B"/>
    <w:multiLevelType w:val="hybridMultilevel"/>
    <w:tmpl w:val="F5766642"/>
    <w:lvl w:ilvl="0" w:tplc="4FFE34E6">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9BC68706">
      <w:start w:val="3"/>
      <w:numFmt w:val="bullet"/>
      <w:lvlText w:val="-"/>
      <w:lvlJc w:val="left"/>
      <w:pPr>
        <w:ind w:left="2160" w:hanging="360"/>
      </w:pPr>
      <w:rPr>
        <w:rFonts w:ascii="Times New Roman" w:eastAsia="Calibri" w:hAnsi="Times New Roman" w:cs="Times New Roman"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5DA66760"/>
    <w:multiLevelType w:val="hybridMultilevel"/>
    <w:tmpl w:val="C518A98A"/>
    <w:lvl w:ilvl="0" w:tplc="30605936">
      <w:start w:val="1"/>
      <mc:AlternateContent>
        <mc:Choice Requires="w14">
          <w:numFmt w:val="custom" w:format="а, й, к, ..."/>
        </mc:Choice>
        <mc:Fallback>
          <w:numFmt w:val="decimal"/>
        </mc:Fallback>
      </mc:AlternateContent>
      <w:lvlText w:val="%1)"/>
      <w:lvlJc w:val="center"/>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5EFA7466"/>
    <w:multiLevelType w:val="hybridMultilevel"/>
    <w:tmpl w:val="386272D0"/>
    <w:lvl w:ilvl="0" w:tplc="DA7443E8">
      <w:start w:val="1"/>
      <w:numFmt w:val="lowerRoman"/>
      <w:lvlText w:val="%1)"/>
      <w:lvlJc w:val="left"/>
      <w:pPr>
        <w:ind w:left="1800" w:hanging="360"/>
      </w:pPr>
      <w:rPr>
        <w:rFonts w:hint="default"/>
        <w:color w:val="7F7F7F" w:themeColor="text1" w:themeTint="80"/>
        <w:sz w:val="24"/>
        <w:szCs w:val="24"/>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3" w15:restartNumberingAfterBreak="0">
    <w:nsid w:val="61652FC2"/>
    <w:multiLevelType w:val="hybridMultilevel"/>
    <w:tmpl w:val="013C9F38"/>
    <w:lvl w:ilvl="0" w:tplc="A008DC7C">
      <w:start w:val="1"/>
      <w:numFmt w:val="bullet"/>
      <w:lvlText w:val=""/>
      <w:lvlJc w:val="left"/>
      <w:pPr>
        <w:tabs>
          <w:tab w:val="num" w:pos="360"/>
        </w:tabs>
        <w:ind w:left="360" w:hanging="360"/>
      </w:pPr>
      <w:rPr>
        <w:rFonts w:ascii="Symbol" w:hAnsi="Symbol" w:hint="default"/>
      </w:rPr>
    </w:lvl>
    <w:lvl w:ilvl="1" w:tplc="A008DC7C">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84" w15:restartNumberingAfterBreak="0">
    <w:nsid w:val="63BB4CA5"/>
    <w:multiLevelType w:val="hybridMultilevel"/>
    <w:tmpl w:val="CA14DCB8"/>
    <w:lvl w:ilvl="0" w:tplc="DA7443E8">
      <w:start w:val="1"/>
      <w:numFmt w:val="lowerRoman"/>
      <w:lvlText w:val="%1)"/>
      <w:lvlJc w:val="left"/>
      <w:pPr>
        <w:ind w:left="2400" w:hanging="360"/>
      </w:pPr>
      <w:rPr>
        <w:rFonts w:hint="default"/>
        <w:sz w:val="24"/>
        <w:szCs w:val="24"/>
      </w:rPr>
    </w:lvl>
    <w:lvl w:ilvl="1" w:tplc="08090019">
      <w:start w:val="1"/>
      <w:numFmt w:val="lowerLetter"/>
      <w:lvlText w:val="%2."/>
      <w:lvlJc w:val="left"/>
      <w:pPr>
        <w:ind w:left="3120" w:hanging="360"/>
      </w:pPr>
    </w:lvl>
    <w:lvl w:ilvl="2" w:tplc="0809001B" w:tentative="1">
      <w:start w:val="1"/>
      <w:numFmt w:val="lowerRoman"/>
      <w:lvlText w:val="%3."/>
      <w:lvlJc w:val="right"/>
      <w:pPr>
        <w:ind w:left="3840" w:hanging="180"/>
      </w:pPr>
    </w:lvl>
    <w:lvl w:ilvl="3" w:tplc="0809000F" w:tentative="1">
      <w:start w:val="1"/>
      <w:numFmt w:val="decimal"/>
      <w:lvlText w:val="%4."/>
      <w:lvlJc w:val="left"/>
      <w:pPr>
        <w:ind w:left="4560" w:hanging="360"/>
      </w:pPr>
    </w:lvl>
    <w:lvl w:ilvl="4" w:tplc="08090019" w:tentative="1">
      <w:start w:val="1"/>
      <w:numFmt w:val="lowerLetter"/>
      <w:lvlText w:val="%5."/>
      <w:lvlJc w:val="left"/>
      <w:pPr>
        <w:ind w:left="5280" w:hanging="360"/>
      </w:pPr>
    </w:lvl>
    <w:lvl w:ilvl="5" w:tplc="0809001B" w:tentative="1">
      <w:start w:val="1"/>
      <w:numFmt w:val="lowerRoman"/>
      <w:lvlText w:val="%6."/>
      <w:lvlJc w:val="right"/>
      <w:pPr>
        <w:ind w:left="6000" w:hanging="180"/>
      </w:pPr>
    </w:lvl>
    <w:lvl w:ilvl="6" w:tplc="0809000F" w:tentative="1">
      <w:start w:val="1"/>
      <w:numFmt w:val="decimal"/>
      <w:lvlText w:val="%7."/>
      <w:lvlJc w:val="left"/>
      <w:pPr>
        <w:ind w:left="6720" w:hanging="360"/>
      </w:pPr>
    </w:lvl>
    <w:lvl w:ilvl="7" w:tplc="08090019" w:tentative="1">
      <w:start w:val="1"/>
      <w:numFmt w:val="lowerLetter"/>
      <w:lvlText w:val="%8."/>
      <w:lvlJc w:val="left"/>
      <w:pPr>
        <w:ind w:left="7440" w:hanging="360"/>
      </w:pPr>
    </w:lvl>
    <w:lvl w:ilvl="8" w:tplc="0809001B" w:tentative="1">
      <w:start w:val="1"/>
      <w:numFmt w:val="lowerRoman"/>
      <w:lvlText w:val="%9."/>
      <w:lvlJc w:val="right"/>
      <w:pPr>
        <w:ind w:left="8160" w:hanging="180"/>
      </w:pPr>
    </w:lvl>
  </w:abstractNum>
  <w:abstractNum w:abstractNumId="85" w15:restartNumberingAfterBreak="0">
    <w:nsid w:val="63CD6EDC"/>
    <w:multiLevelType w:val="hybridMultilevel"/>
    <w:tmpl w:val="BDD63CCC"/>
    <w:lvl w:ilvl="0" w:tplc="30605936">
      <w:start w:val="1"/>
      <mc:AlternateContent>
        <mc:Choice Requires="w14">
          <w:numFmt w:val="custom" w:format="а, й, к, ..."/>
        </mc:Choice>
        <mc:Fallback>
          <w:numFmt w:val="decimal"/>
        </mc:Fallback>
      </mc:AlternateContent>
      <w:lvlText w:val="%1)"/>
      <w:lvlJc w:val="center"/>
      <w:pPr>
        <w:ind w:left="720" w:hanging="360"/>
      </w:pPr>
      <w:rPr>
        <w:rFonts w:hint="default"/>
      </w:rPr>
    </w:lvl>
    <w:lvl w:ilvl="1" w:tplc="DA7443E8">
      <w:start w:val="1"/>
      <w:numFmt w:val="lowerRoman"/>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63FC0112"/>
    <w:multiLevelType w:val="hybridMultilevel"/>
    <w:tmpl w:val="865E615E"/>
    <w:lvl w:ilvl="0" w:tplc="30605936">
      <w:start w:val="1"/>
      <mc:AlternateContent>
        <mc:Choice Requires="w14">
          <w:numFmt w:val="custom" w:format="а, й, к, ..."/>
        </mc:Choice>
        <mc:Fallback>
          <w:numFmt w:val="decimal"/>
        </mc:Fallback>
      </mc:AlternateContent>
      <w:lvlText w:val="%1)"/>
      <w:lvlJc w:val="center"/>
      <w:pPr>
        <w:ind w:left="720" w:hanging="360"/>
      </w:pPr>
      <w:rPr>
        <w:rFonts w:hint="default"/>
      </w:rPr>
    </w:lvl>
    <w:lvl w:ilvl="1" w:tplc="54EA2AA0">
      <w:start w:val="1"/>
      <w:numFmt w:val="lowerLetter"/>
      <w:lvlText w:val="(%2)"/>
      <w:lvlJc w:val="left"/>
      <w:pPr>
        <w:ind w:left="1440" w:hanging="360"/>
      </w:p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7" w15:restartNumberingAfterBreak="0">
    <w:nsid w:val="64C51979"/>
    <w:multiLevelType w:val="hybridMultilevel"/>
    <w:tmpl w:val="66D43C1C"/>
    <w:lvl w:ilvl="0" w:tplc="30605936">
      <w:start w:val="1"/>
      <mc:AlternateContent>
        <mc:Choice Requires="w14">
          <w:numFmt w:val="custom" w:format="а, й, к, ..."/>
        </mc:Choice>
        <mc:Fallback>
          <w:numFmt w:val="decimal"/>
        </mc:Fallback>
      </mc:AlternateContent>
      <w:lvlText w:val="%1)"/>
      <w:lvlJc w:val="center"/>
      <w:pPr>
        <w:ind w:left="2487" w:hanging="360"/>
      </w:pPr>
      <w:rPr>
        <w:rFonts w:hint="default"/>
      </w:rPr>
    </w:lvl>
    <w:lvl w:ilvl="1" w:tplc="9BC68706">
      <w:start w:val="3"/>
      <w:numFmt w:val="bullet"/>
      <w:lvlText w:val="-"/>
      <w:lvlJc w:val="left"/>
      <w:pPr>
        <w:ind w:left="1440" w:hanging="360"/>
      </w:pPr>
      <w:rPr>
        <w:rFonts w:ascii="Times New Roman" w:eastAsia="Calibri" w:hAnsi="Times New Roman" w:cs="Times New Roman"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64D87887"/>
    <w:multiLevelType w:val="hybridMultilevel"/>
    <w:tmpl w:val="25CA42B0"/>
    <w:lvl w:ilvl="0" w:tplc="4FFE34E6">
      <w:start w:val="1"/>
      <w:numFmt w:val="bullet"/>
      <w:lvlText w:val="-"/>
      <w:lvlJc w:val="left"/>
      <w:pPr>
        <w:ind w:left="1287" w:hanging="360"/>
      </w:pPr>
      <w:rPr>
        <w:rFonts w:ascii="Times New Roman" w:hAnsi="Times New Roman" w:cs="Times New Roman" w:hint="default"/>
        <w:sz w:val="24"/>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8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9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91"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92" w15:restartNumberingAfterBreak="0">
    <w:nsid w:val="679A3BE1"/>
    <w:multiLevelType w:val="hybridMultilevel"/>
    <w:tmpl w:val="9EFC9DD4"/>
    <w:lvl w:ilvl="0" w:tplc="30605936">
      <w:start w:val="1"/>
      <mc:AlternateContent>
        <mc:Choice Requires="w14">
          <w:numFmt w:val="custom" w:format="а, й, к, ..."/>
        </mc:Choice>
        <mc:Fallback>
          <w:numFmt w:val="decimal"/>
        </mc:Fallback>
      </mc:AlternateContent>
      <w:lvlText w:val="%1)"/>
      <w:lvlJc w:val="center"/>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6965286E"/>
    <w:multiLevelType w:val="hybridMultilevel"/>
    <w:tmpl w:val="1398023A"/>
    <w:lvl w:ilvl="0" w:tplc="9BC68706">
      <w:start w:val="3"/>
      <w:numFmt w:val="bullet"/>
      <w:lvlText w:val="-"/>
      <w:lvlJc w:val="left"/>
      <w:pPr>
        <w:tabs>
          <w:tab w:val="num" w:pos="360"/>
        </w:tabs>
        <w:ind w:left="360" w:hanging="360"/>
      </w:pPr>
      <w:rPr>
        <w:rFonts w:ascii="Times New Roman" w:eastAsia="Calibri"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4" w15:restartNumberingAfterBreak="0">
    <w:nsid w:val="69AB070C"/>
    <w:multiLevelType w:val="hybridMultilevel"/>
    <w:tmpl w:val="B60A303E"/>
    <w:lvl w:ilvl="0" w:tplc="DA7443E8">
      <w:start w:val="1"/>
      <w:numFmt w:val="lowerRoman"/>
      <w:lvlText w:val="%1)"/>
      <w:lvlJc w:val="left"/>
      <w:pPr>
        <w:ind w:left="1800" w:hanging="360"/>
      </w:pPr>
      <w:rPr>
        <w:rFonts w:hint="default"/>
        <w:sz w:val="24"/>
        <w:szCs w:val="24"/>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5" w15:restartNumberingAfterBreak="0">
    <w:nsid w:val="6B305179"/>
    <w:multiLevelType w:val="hybridMultilevel"/>
    <w:tmpl w:val="BD422FC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6" w15:restartNumberingAfterBreak="0">
    <w:nsid w:val="6C456C83"/>
    <w:multiLevelType w:val="hybridMultilevel"/>
    <w:tmpl w:val="EDAA209A"/>
    <w:lvl w:ilvl="0" w:tplc="DA7443E8">
      <w:start w:val="1"/>
      <w:numFmt w:val="lowerRoman"/>
      <w:lvlText w:val="%1)"/>
      <w:lvlJc w:val="left"/>
      <w:pPr>
        <w:ind w:left="1800" w:hanging="360"/>
      </w:pPr>
      <w:rPr>
        <w:rFonts w:hint="default"/>
        <w:sz w:val="24"/>
        <w:szCs w:val="24"/>
      </w:r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7" w15:restartNumberingAfterBreak="0">
    <w:nsid w:val="6CFD79AE"/>
    <w:multiLevelType w:val="hybridMultilevel"/>
    <w:tmpl w:val="D2A0EEDA"/>
    <w:lvl w:ilvl="0" w:tplc="9BC68706">
      <w:start w:val="3"/>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15:restartNumberingAfterBreak="0">
    <w:nsid w:val="6D2E3A27"/>
    <w:multiLevelType w:val="hybridMultilevel"/>
    <w:tmpl w:val="D41002F8"/>
    <w:lvl w:ilvl="0" w:tplc="DA7443E8">
      <w:start w:val="1"/>
      <w:numFmt w:val="lowerRoman"/>
      <w:lvlText w:val="%1)"/>
      <w:lvlJc w:val="left"/>
      <w:pPr>
        <w:ind w:left="144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6DFF1428"/>
    <w:multiLevelType w:val="hybridMultilevel"/>
    <w:tmpl w:val="B4188FB8"/>
    <w:lvl w:ilvl="0" w:tplc="30605936">
      <w:start w:val="1"/>
      <mc:AlternateContent>
        <mc:Choice Requires="w14">
          <w:numFmt w:val="custom" w:format="а, й, к, ..."/>
        </mc:Choice>
        <mc:Fallback>
          <w:numFmt w:val="decimal"/>
        </mc:Fallback>
      </mc:AlternateContent>
      <w:lvlText w:val="%1)"/>
      <w:lvlJc w:val="center"/>
      <w:pPr>
        <w:ind w:left="720" w:hanging="360"/>
      </w:pPr>
      <w:rPr>
        <w:rFonts w:hint="default"/>
        <w:b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101" w15:restartNumberingAfterBreak="0">
    <w:nsid w:val="6EE338BA"/>
    <w:multiLevelType w:val="hybridMultilevel"/>
    <w:tmpl w:val="CEC282E0"/>
    <w:lvl w:ilvl="0" w:tplc="4FFE34E6">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9BC68706">
      <w:start w:val="3"/>
      <w:numFmt w:val="bullet"/>
      <w:lvlText w:val="-"/>
      <w:lvlJc w:val="left"/>
      <w:pPr>
        <w:ind w:left="2160" w:hanging="360"/>
      </w:pPr>
      <w:rPr>
        <w:rFonts w:ascii="Times New Roman" w:eastAsia="Calibri" w:hAnsi="Times New Roman" w:cs="Times New Roman"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2" w15:restartNumberingAfterBreak="0">
    <w:nsid w:val="71144E1B"/>
    <w:multiLevelType w:val="hybridMultilevel"/>
    <w:tmpl w:val="D054BBB8"/>
    <w:lvl w:ilvl="0" w:tplc="DA7443E8">
      <w:start w:val="1"/>
      <w:numFmt w:val="lowerRoman"/>
      <w:lvlText w:val="%1)"/>
      <w:lvlJc w:val="left"/>
      <w:pPr>
        <w:ind w:left="1800" w:hanging="360"/>
      </w:pPr>
      <w:rPr>
        <w:rFonts w:hint="default"/>
        <w:b w:val="0"/>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3" w15:restartNumberingAfterBreak="0">
    <w:nsid w:val="74801870"/>
    <w:multiLevelType w:val="hybridMultilevel"/>
    <w:tmpl w:val="0BECBCA2"/>
    <w:lvl w:ilvl="0" w:tplc="30605936">
      <w:start w:val="1"/>
      <mc:AlternateContent>
        <mc:Choice Requires="w14">
          <w:numFmt w:val="custom" w:format="а, й, к, ..."/>
        </mc:Choice>
        <mc:Fallback>
          <w:numFmt w:val="decimal"/>
        </mc:Fallback>
      </mc:AlternateContent>
      <w:lvlText w:val="%1)"/>
      <w:lvlJc w:val="center"/>
      <w:pPr>
        <w:ind w:left="720" w:hanging="360"/>
      </w:pPr>
      <w:rPr>
        <w:rFonts w:hint="default"/>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4" w15:restartNumberingAfterBreak="0">
    <w:nsid w:val="74DF5A02"/>
    <w:multiLevelType w:val="hybridMultilevel"/>
    <w:tmpl w:val="EA5A2518"/>
    <w:lvl w:ilvl="0" w:tplc="DA7443E8">
      <w:start w:val="1"/>
      <w:numFmt w:val="lowerRoman"/>
      <w:lvlText w:val="%1)"/>
      <w:lvlJc w:val="left"/>
      <w:pPr>
        <w:ind w:left="1800" w:hanging="360"/>
      </w:pPr>
      <w:rPr>
        <w:rFonts w:hint="default"/>
        <w:sz w:val="24"/>
        <w:szCs w:val="24"/>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5" w15:restartNumberingAfterBreak="0">
    <w:nsid w:val="75340EBD"/>
    <w:multiLevelType w:val="hybridMultilevel"/>
    <w:tmpl w:val="34564358"/>
    <w:lvl w:ilvl="0" w:tplc="9BC68706">
      <w:start w:val="3"/>
      <w:numFmt w:val="bullet"/>
      <w:lvlText w:val="-"/>
      <w:lvlJc w:val="left"/>
      <w:pPr>
        <w:ind w:left="720" w:hanging="360"/>
      </w:pPr>
      <w:rPr>
        <w:rFonts w:ascii="Times New Roman" w:eastAsia="Calibri"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15:restartNumberingAfterBreak="0">
    <w:nsid w:val="787D26BA"/>
    <w:multiLevelType w:val="hybridMultilevel"/>
    <w:tmpl w:val="E4E6F286"/>
    <w:lvl w:ilvl="0" w:tplc="DA7443E8">
      <w:start w:val="1"/>
      <w:numFmt w:val="lowerRoman"/>
      <w:lvlText w:val="%1)"/>
      <w:lvlJc w:val="left"/>
      <w:pPr>
        <w:ind w:left="1800" w:hanging="360"/>
      </w:pPr>
      <w:rPr>
        <w:rFonts w:hint="default"/>
        <w:b w:val="0"/>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7" w15:restartNumberingAfterBreak="0">
    <w:nsid w:val="78D85902"/>
    <w:multiLevelType w:val="hybridMultilevel"/>
    <w:tmpl w:val="F3ACD298"/>
    <w:lvl w:ilvl="0" w:tplc="30605936">
      <w:start w:val="1"/>
      <mc:AlternateContent>
        <mc:Choice Requires="w14">
          <w:numFmt w:val="custom" w:format="а, й, к, ..."/>
        </mc:Choice>
        <mc:Fallback>
          <w:numFmt w:val="decimal"/>
        </mc:Fallback>
      </mc:AlternateContent>
      <w:lvlText w:val="%1)"/>
      <w:lvlJc w:val="center"/>
      <w:pPr>
        <w:ind w:left="720" w:hanging="360"/>
      </w:pPr>
      <w:rPr>
        <w:rFonts w:hint="default"/>
        <w:b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15:restartNumberingAfterBreak="0">
    <w:nsid w:val="7A294C01"/>
    <w:multiLevelType w:val="hybridMultilevel"/>
    <w:tmpl w:val="058E7242"/>
    <w:lvl w:ilvl="0" w:tplc="9BC68706">
      <w:start w:val="3"/>
      <w:numFmt w:val="bullet"/>
      <w:lvlText w:val="-"/>
      <w:lvlJc w:val="left"/>
      <w:pPr>
        <w:ind w:left="2215" w:hanging="360"/>
      </w:pPr>
      <w:rPr>
        <w:rFonts w:ascii="Times New Roman" w:eastAsia="Calibri" w:hAnsi="Times New Roman" w:cs="Times New Roman" w:hint="default"/>
      </w:rPr>
    </w:lvl>
    <w:lvl w:ilvl="1" w:tplc="08090003" w:tentative="1">
      <w:start w:val="1"/>
      <w:numFmt w:val="bullet"/>
      <w:lvlText w:val="o"/>
      <w:lvlJc w:val="left"/>
      <w:pPr>
        <w:ind w:left="2935" w:hanging="360"/>
      </w:pPr>
      <w:rPr>
        <w:rFonts w:ascii="Courier New" w:hAnsi="Courier New" w:cs="Courier New" w:hint="default"/>
      </w:rPr>
    </w:lvl>
    <w:lvl w:ilvl="2" w:tplc="08090005" w:tentative="1">
      <w:start w:val="1"/>
      <w:numFmt w:val="bullet"/>
      <w:lvlText w:val=""/>
      <w:lvlJc w:val="left"/>
      <w:pPr>
        <w:ind w:left="3655" w:hanging="360"/>
      </w:pPr>
      <w:rPr>
        <w:rFonts w:ascii="Wingdings" w:hAnsi="Wingdings" w:hint="default"/>
      </w:rPr>
    </w:lvl>
    <w:lvl w:ilvl="3" w:tplc="08090001" w:tentative="1">
      <w:start w:val="1"/>
      <w:numFmt w:val="bullet"/>
      <w:lvlText w:val=""/>
      <w:lvlJc w:val="left"/>
      <w:pPr>
        <w:ind w:left="4375" w:hanging="360"/>
      </w:pPr>
      <w:rPr>
        <w:rFonts w:ascii="Symbol" w:hAnsi="Symbol" w:hint="default"/>
      </w:rPr>
    </w:lvl>
    <w:lvl w:ilvl="4" w:tplc="08090003" w:tentative="1">
      <w:start w:val="1"/>
      <w:numFmt w:val="bullet"/>
      <w:lvlText w:val="o"/>
      <w:lvlJc w:val="left"/>
      <w:pPr>
        <w:ind w:left="5095" w:hanging="360"/>
      </w:pPr>
      <w:rPr>
        <w:rFonts w:ascii="Courier New" w:hAnsi="Courier New" w:cs="Courier New" w:hint="default"/>
      </w:rPr>
    </w:lvl>
    <w:lvl w:ilvl="5" w:tplc="08090005" w:tentative="1">
      <w:start w:val="1"/>
      <w:numFmt w:val="bullet"/>
      <w:lvlText w:val=""/>
      <w:lvlJc w:val="left"/>
      <w:pPr>
        <w:ind w:left="5815" w:hanging="360"/>
      </w:pPr>
      <w:rPr>
        <w:rFonts w:ascii="Wingdings" w:hAnsi="Wingdings" w:hint="default"/>
      </w:rPr>
    </w:lvl>
    <w:lvl w:ilvl="6" w:tplc="08090001" w:tentative="1">
      <w:start w:val="1"/>
      <w:numFmt w:val="bullet"/>
      <w:lvlText w:val=""/>
      <w:lvlJc w:val="left"/>
      <w:pPr>
        <w:ind w:left="6535" w:hanging="360"/>
      </w:pPr>
      <w:rPr>
        <w:rFonts w:ascii="Symbol" w:hAnsi="Symbol" w:hint="default"/>
      </w:rPr>
    </w:lvl>
    <w:lvl w:ilvl="7" w:tplc="08090003" w:tentative="1">
      <w:start w:val="1"/>
      <w:numFmt w:val="bullet"/>
      <w:lvlText w:val="o"/>
      <w:lvlJc w:val="left"/>
      <w:pPr>
        <w:ind w:left="7255" w:hanging="360"/>
      </w:pPr>
      <w:rPr>
        <w:rFonts w:ascii="Courier New" w:hAnsi="Courier New" w:cs="Courier New" w:hint="default"/>
      </w:rPr>
    </w:lvl>
    <w:lvl w:ilvl="8" w:tplc="08090005" w:tentative="1">
      <w:start w:val="1"/>
      <w:numFmt w:val="bullet"/>
      <w:lvlText w:val=""/>
      <w:lvlJc w:val="left"/>
      <w:pPr>
        <w:ind w:left="7975" w:hanging="360"/>
      </w:pPr>
      <w:rPr>
        <w:rFonts w:ascii="Wingdings" w:hAnsi="Wingdings" w:hint="default"/>
      </w:rPr>
    </w:lvl>
  </w:abstractNum>
  <w:abstractNum w:abstractNumId="109" w15:restartNumberingAfterBreak="0">
    <w:nsid w:val="7D5E4B79"/>
    <w:multiLevelType w:val="hybridMultilevel"/>
    <w:tmpl w:val="D1F409AE"/>
    <w:lvl w:ilvl="0" w:tplc="4FFE34E6">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0" w15:restartNumberingAfterBreak="0">
    <w:nsid w:val="7F0256A3"/>
    <w:multiLevelType w:val="hybridMultilevel"/>
    <w:tmpl w:val="DA185734"/>
    <w:lvl w:ilvl="0" w:tplc="30605936">
      <w:start w:val="1"/>
      <mc:AlternateContent>
        <mc:Choice Requires="w14">
          <w:numFmt w:val="custom" w:format="а, й, к, ..."/>
        </mc:Choice>
        <mc:Fallback>
          <w:numFmt w:val="decimal"/>
        </mc:Fallback>
      </mc:AlternateContent>
      <w:lvlText w:val="%1)"/>
      <w:lvlJc w:val="center"/>
      <w:pPr>
        <w:ind w:left="720" w:hanging="360"/>
      </w:pPr>
      <w:rPr>
        <w:rFonts w:hint="default"/>
        <w:b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4"/>
  </w:num>
  <w:num w:numId="2">
    <w:abstractNumId w:val="87"/>
  </w:num>
  <w:num w:numId="3">
    <w:abstractNumId w:val="97"/>
  </w:num>
  <w:num w:numId="4">
    <w:abstractNumId w:val="32"/>
  </w:num>
  <w:num w:numId="5">
    <w:abstractNumId w:val="93"/>
  </w:num>
  <w:num w:numId="6">
    <w:abstractNumId w:val="1"/>
  </w:num>
  <w:num w:numId="7">
    <w:abstractNumId w:val="43"/>
  </w:num>
  <w:num w:numId="8">
    <w:abstractNumId w:val="65"/>
  </w:num>
  <w:num w:numId="9">
    <w:abstractNumId w:val="45"/>
  </w:num>
  <w:num w:numId="10">
    <w:abstractNumId w:val="101"/>
  </w:num>
  <w:num w:numId="11">
    <w:abstractNumId w:val="80"/>
  </w:num>
  <w:num w:numId="12">
    <w:abstractNumId w:val="25"/>
  </w:num>
  <w:num w:numId="13">
    <w:abstractNumId w:val="9"/>
  </w:num>
  <w:num w:numId="14">
    <w:abstractNumId w:val="105"/>
  </w:num>
  <w:num w:numId="15">
    <w:abstractNumId w:val="67"/>
  </w:num>
  <w:num w:numId="16">
    <w:abstractNumId w:val="14"/>
  </w:num>
  <w:num w:numId="17">
    <w:abstractNumId w:val="23"/>
  </w:num>
  <w:num w:numId="18">
    <w:abstractNumId w:val="76"/>
  </w:num>
  <w:num w:numId="19">
    <w:abstractNumId w:val="49"/>
  </w:num>
  <w:num w:numId="20">
    <w:abstractNumId w:val="39"/>
  </w:num>
  <w:num w:numId="21">
    <w:abstractNumId w:val="18"/>
  </w:num>
  <w:num w:numId="22">
    <w:abstractNumId w:val="16"/>
  </w:num>
  <w:num w:numId="23">
    <w:abstractNumId w:val="89"/>
  </w:num>
  <w:num w:numId="24">
    <w:abstractNumId w:val="91"/>
  </w:num>
  <w:num w:numId="25">
    <w:abstractNumId w:val="90"/>
  </w:num>
  <w:num w:numId="26">
    <w:abstractNumId w:val="100"/>
  </w:num>
  <w:num w:numId="27">
    <w:abstractNumId w:val="30"/>
  </w:num>
  <w:num w:numId="28">
    <w:abstractNumId w:val="55"/>
  </w:num>
  <w:num w:numId="29">
    <w:abstractNumId w:val="59"/>
  </w:num>
  <w:num w:numId="30">
    <w:abstractNumId w:val="58"/>
  </w:num>
  <w:num w:numId="31">
    <w:abstractNumId w:val="8"/>
  </w:num>
  <w:num w:numId="32">
    <w:abstractNumId w:val="62"/>
  </w:num>
  <w:num w:numId="33">
    <w:abstractNumId w:val="35"/>
  </w:num>
  <w:num w:numId="34">
    <w:abstractNumId w:val="40"/>
  </w:num>
  <w:num w:numId="35">
    <w:abstractNumId w:val="48"/>
  </w:num>
  <w:num w:numId="36">
    <w:abstractNumId w:val="108"/>
  </w:num>
  <w:num w:numId="37">
    <w:abstractNumId w:val="73"/>
  </w:num>
  <w:num w:numId="38">
    <w:abstractNumId w:val="52"/>
  </w:num>
  <w:num w:numId="39">
    <w:abstractNumId w:val="2"/>
  </w:num>
  <w:num w:numId="40">
    <w:abstractNumId w:val="69"/>
  </w:num>
  <w:num w:numId="41">
    <w:abstractNumId w:val="34"/>
  </w:num>
  <w:num w:numId="42">
    <w:abstractNumId w:val="21"/>
  </w:num>
  <w:num w:numId="43">
    <w:abstractNumId w:val="54"/>
  </w:num>
  <w:num w:numId="44">
    <w:abstractNumId w:val="88"/>
  </w:num>
  <w:num w:numId="45">
    <w:abstractNumId w:val="92"/>
  </w:num>
  <w:num w:numId="46">
    <w:abstractNumId w:val="61"/>
  </w:num>
  <w:num w:numId="47">
    <w:abstractNumId w:val="95"/>
  </w:num>
  <w:num w:numId="48">
    <w:abstractNumId w:val="75"/>
  </w:num>
  <w:num w:numId="49">
    <w:abstractNumId w:val="109"/>
  </w:num>
  <w:num w:numId="50">
    <w:abstractNumId w:val="79"/>
  </w:num>
  <w:num w:numId="51">
    <w:abstractNumId w:val="84"/>
  </w:num>
  <w:num w:numId="52">
    <w:abstractNumId w:val="19"/>
  </w:num>
  <w:num w:numId="53">
    <w:abstractNumId w:val="63"/>
  </w:num>
  <w:num w:numId="54">
    <w:abstractNumId w:val="68"/>
  </w:num>
  <w:num w:numId="55">
    <w:abstractNumId w:val="7"/>
  </w:num>
  <w:num w:numId="56">
    <w:abstractNumId w:val="27"/>
  </w:num>
  <w:num w:numId="57">
    <w:abstractNumId w:val="42"/>
  </w:num>
  <w:num w:numId="58">
    <w:abstractNumId w:val="110"/>
  </w:num>
  <w:num w:numId="59">
    <w:abstractNumId w:val="77"/>
  </w:num>
  <w:num w:numId="60">
    <w:abstractNumId w:val="57"/>
  </w:num>
  <w:num w:numId="61">
    <w:abstractNumId w:val="12"/>
  </w:num>
  <w:num w:numId="62">
    <w:abstractNumId w:val="106"/>
  </w:num>
  <w:num w:numId="63">
    <w:abstractNumId w:val="74"/>
  </w:num>
  <w:num w:numId="64">
    <w:abstractNumId w:val="102"/>
  </w:num>
  <w:num w:numId="65">
    <w:abstractNumId w:val="29"/>
  </w:num>
  <w:num w:numId="66">
    <w:abstractNumId w:val="47"/>
  </w:num>
  <w:num w:numId="67">
    <w:abstractNumId w:val="85"/>
  </w:num>
  <w:num w:numId="68">
    <w:abstractNumId w:val="4"/>
  </w:num>
  <w:num w:numId="69">
    <w:abstractNumId w:val="33"/>
  </w:num>
  <w:num w:numId="70">
    <w:abstractNumId w:val="41"/>
  </w:num>
  <w:num w:numId="71">
    <w:abstractNumId w:val="94"/>
  </w:num>
  <w:num w:numId="72">
    <w:abstractNumId w:val="81"/>
  </w:num>
  <w:num w:numId="73">
    <w:abstractNumId w:val="60"/>
  </w:num>
  <w:num w:numId="74">
    <w:abstractNumId w:val="0"/>
  </w:num>
  <w:num w:numId="75">
    <w:abstractNumId w:val="56"/>
  </w:num>
  <w:num w:numId="76">
    <w:abstractNumId w:val="96"/>
  </w:num>
  <w:num w:numId="77">
    <w:abstractNumId w:val="20"/>
  </w:num>
  <w:num w:numId="78">
    <w:abstractNumId w:val="22"/>
  </w:num>
  <w:num w:numId="79">
    <w:abstractNumId w:val="3"/>
  </w:num>
  <w:num w:numId="80">
    <w:abstractNumId w:val="104"/>
  </w:num>
  <w:num w:numId="81">
    <w:abstractNumId w:val="86"/>
  </w:num>
  <w:num w:numId="82">
    <w:abstractNumId w:val="28"/>
  </w:num>
  <w:num w:numId="83">
    <w:abstractNumId w:val="103"/>
  </w:num>
  <w:num w:numId="84">
    <w:abstractNumId w:val="70"/>
  </w:num>
  <w:num w:numId="85">
    <w:abstractNumId w:val="72"/>
  </w:num>
  <w:num w:numId="86">
    <w:abstractNumId w:val="107"/>
  </w:num>
  <w:num w:numId="87">
    <w:abstractNumId w:val="10"/>
  </w:num>
  <w:num w:numId="88">
    <w:abstractNumId w:val="46"/>
  </w:num>
  <w:num w:numId="89">
    <w:abstractNumId w:val="78"/>
  </w:num>
  <w:num w:numId="90">
    <w:abstractNumId w:val="99"/>
  </w:num>
  <w:num w:numId="91">
    <w:abstractNumId w:val="64"/>
  </w:num>
  <w:num w:numId="92">
    <w:abstractNumId w:val="51"/>
  </w:num>
  <w:num w:numId="93">
    <w:abstractNumId w:val="98"/>
  </w:num>
  <w:num w:numId="94">
    <w:abstractNumId w:val="66"/>
  </w:num>
  <w:num w:numId="95">
    <w:abstractNumId w:val="31"/>
  </w:num>
  <w:num w:numId="96">
    <w:abstractNumId w:val="37"/>
  </w:num>
  <w:num w:numId="97">
    <w:abstractNumId w:val="53"/>
  </w:num>
  <w:num w:numId="98">
    <w:abstractNumId w:val="36"/>
  </w:num>
  <w:num w:numId="99">
    <w:abstractNumId w:val="15"/>
  </w:num>
  <w:num w:numId="100">
    <w:abstractNumId w:val="50"/>
  </w:num>
  <w:num w:numId="101">
    <w:abstractNumId w:val="5"/>
  </w:num>
  <w:num w:numId="102">
    <w:abstractNumId w:val="13"/>
  </w:num>
  <w:num w:numId="103">
    <w:abstractNumId w:val="82"/>
  </w:num>
  <w:num w:numId="104">
    <w:abstractNumId w:val="11"/>
  </w:num>
  <w:num w:numId="105">
    <w:abstractNumId w:val="83"/>
  </w:num>
  <w:num w:numId="106">
    <w:abstractNumId w:val="38"/>
  </w:num>
  <w:num w:numId="107">
    <w:abstractNumId w:val="44"/>
  </w:num>
  <w:num w:numId="108">
    <w:abstractNumId w:val="6"/>
  </w:num>
  <w:num w:numId="109">
    <w:abstractNumId w:val="17"/>
  </w:num>
  <w:num w:numId="110">
    <w:abstractNumId w:val="71"/>
  </w:num>
  <w:num w:numId="111">
    <w:abstractNumId w:val="26"/>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activeWritingStyle w:appName="MSWord" w:lang="it-IT"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nl-NL" w:vendorID="64" w:dllVersion="131078" w:nlCheck="1" w:checkStyle="0"/>
  <w:activeWritingStyle w:appName="MSWord" w:lang="es-ES" w:vendorID="64" w:dllVersion="131078" w:nlCheck="1" w:checkStyle="0"/>
  <w:activeWritingStyle w:appName="MSWord" w:lang="fr-BE" w:vendorID="64" w:dllVersion="131078" w:nlCheck="1" w:checkStyle="0"/>
  <w:activeWritingStyle w:appName="MSWord" w:lang="da-DK" w:vendorID="64" w:dllVersion="131078" w:nlCheck="1" w:checkStyle="0"/>
  <w:activeWritingStyle w:appName="MSWord" w:lang="pt-PT" w:vendorID="64" w:dllVersion="131078" w:nlCheck="1" w:checkStyle="0"/>
  <w:activeWritingStyle w:appName="MSWord" w:lang="en-IE" w:vendorID="64" w:dllVersion="131078" w:nlCheck="1" w:checkStyle="1"/>
  <w:activeWritingStyle w:appName="MSWord" w:lang="fr-FR" w:vendorID="64" w:dllVersion="131078" w:nlCheck="1" w:checkStyle="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20"/>
  <w:hyphenationZone w:val="425"/>
  <w:characterSpacingControl w:val="doNotCompress"/>
  <w:hdrShapeDefaults>
    <o:shapedefaults v:ext="edit" spidmax="901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566A3"/>
    <w:rsid w:val="00000B73"/>
    <w:rsid w:val="00000CF1"/>
    <w:rsid w:val="0000117F"/>
    <w:rsid w:val="00002AA0"/>
    <w:rsid w:val="00002CDC"/>
    <w:rsid w:val="0000333D"/>
    <w:rsid w:val="00003A75"/>
    <w:rsid w:val="00003DCE"/>
    <w:rsid w:val="00005A5B"/>
    <w:rsid w:val="00006CA3"/>
    <w:rsid w:val="00010E59"/>
    <w:rsid w:val="000114C9"/>
    <w:rsid w:val="00011545"/>
    <w:rsid w:val="00012A58"/>
    <w:rsid w:val="000130F7"/>
    <w:rsid w:val="00013C6E"/>
    <w:rsid w:val="00014246"/>
    <w:rsid w:val="00014457"/>
    <w:rsid w:val="0001454F"/>
    <w:rsid w:val="00014731"/>
    <w:rsid w:val="0001486D"/>
    <w:rsid w:val="00014877"/>
    <w:rsid w:val="00015EB5"/>
    <w:rsid w:val="0001657D"/>
    <w:rsid w:val="000165D6"/>
    <w:rsid w:val="000176A7"/>
    <w:rsid w:val="0002100F"/>
    <w:rsid w:val="000218D1"/>
    <w:rsid w:val="00022826"/>
    <w:rsid w:val="00022857"/>
    <w:rsid w:val="00023EC0"/>
    <w:rsid w:val="00024E21"/>
    <w:rsid w:val="0002542B"/>
    <w:rsid w:val="0002564E"/>
    <w:rsid w:val="00025A00"/>
    <w:rsid w:val="000262F2"/>
    <w:rsid w:val="00026515"/>
    <w:rsid w:val="00026652"/>
    <w:rsid w:val="00030126"/>
    <w:rsid w:val="00030C99"/>
    <w:rsid w:val="00030F1C"/>
    <w:rsid w:val="00031947"/>
    <w:rsid w:val="00031A11"/>
    <w:rsid w:val="000324E5"/>
    <w:rsid w:val="00033FB6"/>
    <w:rsid w:val="000349DE"/>
    <w:rsid w:val="00034F22"/>
    <w:rsid w:val="000355A4"/>
    <w:rsid w:val="00035C98"/>
    <w:rsid w:val="00036175"/>
    <w:rsid w:val="0003678C"/>
    <w:rsid w:val="00036C1E"/>
    <w:rsid w:val="000373EF"/>
    <w:rsid w:val="00040401"/>
    <w:rsid w:val="0004044E"/>
    <w:rsid w:val="00041E9C"/>
    <w:rsid w:val="00041EC2"/>
    <w:rsid w:val="00042ACF"/>
    <w:rsid w:val="000440B4"/>
    <w:rsid w:val="00044A57"/>
    <w:rsid w:val="000458EA"/>
    <w:rsid w:val="00045A08"/>
    <w:rsid w:val="00045C7C"/>
    <w:rsid w:val="00047286"/>
    <w:rsid w:val="00047863"/>
    <w:rsid w:val="00047AAC"/>
    <w:rsid w:val="00050BB7"/>
    <w:rsid w:val="00050DC1"/>
    <w:rsid w:val="00051391"/>
    <w:rsid w:val="00052193"/>
    <w:rsid w:val="000525B5"/>
    <w:rsid w:val="000535AB"/>
    <w:rsid w:val="0005413F"/>
    <w:rsid w:val="00054F72"/>
    <w:rsid w:val="000552AE"/>
    <w:rsid w:val="00055E93"/>
    <w:rsid w:val="00055F70"/>
    <w:rsid w:val="0005659F"/>
    <w:rsid w:val="00056682"/>
    <w:rsid w:val="00056A39"/>
    <w:rsid w:val="000571AA"/>
    <w:rsid w:val="0005724E"/>
    <w:rsid w:val="00057669"/>
    <w:rsid w:val="00060078"/>
    <w:rsid w:val="00061A11"/>
    <w:rsid w:val="00061C9A"/>
    <w:rsid w:val="00061FCF"/>
    <w:rsid w:val="000621A2"/>
    <w:rsid w:val="000629FF"/>
    <w:rsid w:val="00063CD9"/>
    <w:rsid w:val="000648F8"/>
    <w:rsid w:val="00064C41"/>
    <w:rsid w:val="00065456"/>
    <w:rsid w:val="0006569D"/>
    <w:rsid w:val="00065933"/>
    <w:rsid w:val="00066101"/>
    <w:rsid w:val="000661D7"/>
    <w:rsid w:val="0006658A"/>
    <w:rsid w:val="00066EF1"/>
    <w:rsid w:val="00067755"/>
    <w:rsid w:val="00067B34"/>
    <w:rsid w:val="00070CFB"/>
    <w:rsid w:val="000713EB"/>
    <w:rsid w:val="000715CC"/>
    <w:rsid w:val="00071752"/>
    <w:rsid w:val="00071793"/>
    <w:rsid w:val="00071D88"/>
    <w:rsid w:val="00072132"/>
    <w:rsid w:val="000722F7"/>
    <w:rsid w:val="000733DA"/>
    <w:rsid w:val="00074409"/>
    <w:rsid w:val="00074688"/>
    <w:rsid w:val="000751B2"/>
    <w:rsid w:val="00075E55"/>
    <w:rsid w:val="000761EA"/>
    <w:rsid w:val="000768E0"/>
    <w:rsid w:val="0007697B"/>
    <w:rsid w:val="00077061"/>
    <w:rsid w:val="000772D2"/>
    <w:rsid w:val="00077798"/>
    <w:rsid w:val="00077FC8"/>
    <w:rsid w:val="000800D3"/>
    <w:rsid w:val="00080140"/>
    <w:rsid w:val="00080C64"/>
    <w:rsid w:val="00081826"/>
    <w:rsid w:val="00081F19"/>
    <w:rsid w:val="00083B50"/>
    <w:rsid w:val="000843B4"/>
    <w:rsid w:val="00084540"/>
    <w:rsid w:val="00084E85"/>
    <w:rsid w:val="00085388"/>
    <w:rsid w:val="00085B7C"/>
    <w:rsid w:val="00085C80"/>
    <w:rsid w:val="00085D19"/>
    <w:rsid w:val="00085FD6"/>
    <w:rsid w:val="00086054"/>
    <w:rsid w:val="0008636D"/>
    <w:rsid w:val="0008639A"/>
    <w:rsid w:val="00087093"/>
    <w:rsid w:val="000873CB"/>
    <w:rsid w:val="00087D00"/>
    <w:rsid w:val="0009000B"/>
    <w:rsid w:val="000903B0"/>
    <w:rsid w:val="00090A20"/>
    <w:rsid w:val="00090F62"/>
    <w:rsid w:val="000929CA"/>
    <w:rsid w:val="00092A69"/>
    <w:rsid w:val="000946A1"/>
    <w:rsid w:val="00094889"/>
    <w:rsid w:val="00094D20"/>
    <w:rsid w:val="00094EF7"/>
    <w:rsid w:val="000965E7"/>
    <w:rsid w:val="00096F51"/>
    <w:rsid w:val="00097569"/>
    <w:rsid w:val="00097657"/>
    <w:rsid w:val="0009771A"/>
    <w:rsid w:val="00097EA3"/>
    <w:rsid w:val="000A0F4B"/>
    <w:rsid w:val="000A12A6"/>
    <w:rsid w:val="000A19BE"/>
    <w:rsid w:val="000A36C2"/>
    <w:rsid w:val="000A5858"/>
    <w:rsid w:val="000A5EB1"/>
    <w:rsid w:val="000A63BD"/>
    <w:rsid w:val="000A7CCD"/>
    <w:rsid w:val="000B05C4"/>
    <w:rsid w:val="000B17B1"/>
    <w:rsid w:val="000B1BC8"/>
    <w:rsid w:val="000B1F84"/>
    <w:rsid w:val="000B2109"/>
    <w:rsid w:val="000B225D"/>
    <w:rsid w:val="000B2A8D"/>
    <w:rsid w:val="000B3BCF"/>
    <w:rsid w:val="000B41D8"/>
    <w:rsid w:val="000B41F3"/>
    <w:rsid w:val="000B4522"/>
    <w:rsid w:val="000B4AFA"/>
    <w:rsid w:val="000B562B"/>
    <w:rsid w:val="000B5AFF"/>
    <w:rsid w:val="000B5E23"/>
    <w:rsid w:val="000B6076"/>
    <w:rsid w:val="000B65B6"/>
    <w:rsid w:val="000B6D4E"/>
    <w:rsid w:val="000B7A4B"/>
    <w:rsid w:val="000C0166"/>
    <w:rsid w:val="000C0764"/>
    <w:rsid w:val="000C0F9C"/>
    <w:rsid w:val="000C1267"/>
    <w:rsid w:val="000C17EB"/>
    <w:rsid w:val="000C1F6C"/>
    <w:rsid w:val="000C248E"/>
    <w:rsid w:val="000C2EFD"/>
    <w:rsid w:val="000C30A5"/>
    <w:rsid w:val="000C31F6"/>
    <w:rsid w:val="000C3D9D"/>
    <w:rsid w:val="000C4A73"/>
    <w:rsid w:val="000C4FEB"/>
    <w:rsid w:val="000C6DD6"/>
    <w:rsid w:val="000C6E8C"/>
    <w:rsid w:val="000C78E9"/>
    <w:rsid w:val="000D0517"/>
    <w:rsid w:val="000D06CC"/>
    <w:rsid w:val="000D0A4E"/>
    <w:rsid w:val="000D1045"/>
    <w:rsid w:val="000D1F1F"/>
    <w:rsid w:val="000D262B"/>
    <w:rsid w:val="000D2CAD"/>
    <w:rsid w:val="000D2EAB"/>
    <w:rsid w:val="000D30C6"/>
    <w:rsid w:val="000D3653"/>
    <w:rsid w:val="000D3E2E"/>
    <w:rsid w:val="000D3F1E"/>
    <w:rsid w:val="000D44A7"/>
    <w:rsid w:val="000D4A1E"/>
    <w:rsid w:val="000D597F"/>
    <w:rsid w:val="000D6E20"/>
    <w:rsid w:val="000D754C"/>
    <w:rsid w:val="000D774C"/>
    <w:rsid w:val="000D7C00"/>
    <w:rsid w:val="000D7C79"/>
    <w:rsid w:val="000E004D"/>
    <w:rsid w:val="000E02C0"/>
    <w:rsid w:val="000E0975"/>
    <w:rsid w:val="000E1369"/>
    <w:rsid w:val="000E31C8"/>
    <w:rsid w:val="000E37DA"/>
    <w:rsid w:val="000E45E3"/>
    <w:rsid w:val="000E495A"/>
    <w:rsid w:val="000E4EE4"/>
    <w:rsid w:val="000E5603"/>
    <w:rsid w:val="000E5C8A"/>
    <w:rsid w:val="000E5C8E"/>
    <w:rsid w:val="000E6728"/>
    <w:rsid w:val="000E6FA5"/>
    <w:rsid w:val="000F02DB"/>
    <w:rsid w:val="000F190E"/>
    <w:rsid w:val="000F1A90"/>
    <w:rsid w:val="000F1AD3"/>
    <w:rsid w:val="000F2EE5"/>
    <w:rsid w:val="000F31FC"/>
    <w:rsid w:val="000F3585"/>
    <w:rsid w:val="000F4241"/>
    <w:rsid w:val="000F43EA"/>
    <w:rsid w:val="000F4C9B"/>
    <w:rsid w:val="000F52F0"/>
    <w:rsid w:val="000F5BF2"/>
    <w:rsid w:val="000F642D"/>
    <w:rsid w:val="00101323"/>
    <w:rsid w:val="0010144E"/>
    <w:rsid w:val="0010190B"/>
    <w:rsid w:val="0010303A"/>
    <w:rsid w:val="0010342A"/>
    <w:rsid w:val="001036EF"/>
    <w:rsid w:val="00103F66"/>
    <w:rsid w:val="0010484C"/>
    <w:rsid w:val="00104EF3"/>
    <w:rsid w:val="0010502B"/>
    <w:rsid w:val="001053A6"/>
    <w:rsid w:val="00105A6C"/>
    <w:rsid w:val="00105C7B"/>
    <w:rsid w:val="00106FFB"/>
    <w:rsid w:val="001101F8"/>
    <w:rsid w:val="00110209"/>
    <w:rsid w:val="00111037"/>
    <w:rsid w:val="001113B0"/>
    <w:rsid w:val="00111A2C"/>
    <w:rsid w:val="00112410"/>
    <w:rsid w:val="00112D15"/>
    <w:rsid w:val="001139EC"/>
    <w:rsid w:val="001145FD"/>
    <w:rsid w:val="00115039"/>
    <w:rsid w:val="00115752"/>
    <w:rsid w:val="001157BF"/>
    <w:rsid w:val="00115815"/>
    <w:rsid w:val="001158D9"/>
    <w:rsid w:val="00115EAB"/>
    <w:rsid w:val="00116116"/>
    <w:rsid w:val="0011631A"/>
    <w:rsid w:val="00116837"/>
    <w:rsid w:val="001174C2"/>
    <w:rsid w:val="00117D8A"/>
    <w:rsid w:val="00120288"/>
    <w:rsid w:val="001206F0"/>
    <w:rsid w:val="00120AA4"/>
    <w:rsid w:val="001217B1"/>
    <w:rsid w:val="00122764"/>
    <w:rsid w:val="00123035"/>
    <w:rsid w:val="00123089"/>
    <w:rsid w:val="0012352E"/>
    <w:rsid w:val="001243CF"/>
    <w:rsid w:val="00124432"/>
    <w:rsid w:val="00124C73"/>
    <w:rsid w:val="00125146"/>
    <w:rsid w:val="00125998"/>
    <w:rsid w:val="0012700C"/>
    <w:rsid w:val="00127184"/>
    <w:rsid w:val="00127657"/>
    <w:rsid w:val="00130381"/>
    <w:rsid w:val="001305A6"/>
    <w:rsid w:val="0013078C"/>
    <w:rsid w:val="001309C2"/>
    <w:rsid w:val="00130D0E"/>
    <w:rsid w:val="001313F5"/>
    <w:rsid w:val="00131931"/>
    <w:rsid w:val="00131B30"/>
    <w:rsid w:val="00131E95"/>
    <w:rsid w:val="00132095"/>
    <w:rsid w:val="001328AD"/>
    <w:rsid w:val="001329CD"/>
    <w:rsid w:val="001335D9"/>
    <w:rsid w:val="00134886"/>
    <w:rsid w:val="00134C41"/>
    <w:rsid w:val="00134DD5"/>
    <w:rsid w:val="00134F23"/>
    <w:rsid w:val="00135003"/>
    <w:rsid w:val="00135171"/>
    <w:rsid w:val="001356DB"/>
    <w:rsid w:val="00135FE2"/>
    <w:rsid w:val="001362E1"/>
    <w:rsid w:val="001363A4"/>
    <w:rsid w:val="001364F8"/>
    <w:rsid w:val="00136E4E"/>
    <w:rsid w:val="00136E8B"/>
    <w:rsid w:val="001371EA"/>
    <w:rsid w:val="0013759A"/>
    <w:rsid w:val="001376FB"/>
    <w:rsid w:val="00137A3E"/>
    <w:rsid w:val="0014125E"/>
    <w:rsid w:val="0014126F"/>
    <w:rsid w:val="0014156D"/>
    <w:rsid w:val="00141BFF"/>
    <w:rsid w:val="0014227A"/>
    <w:rsid w:val="00142390"/>
    <w:rsid w:val="00142A69"/>
    <w:rsid w:val="00143119"/>
    <w:rsid w:val="0014346B"/>
    <w:rsid w:val="00143F2B"/>
    <w:rsid w:val="001443FF"/>
    <w:rsid w:val="00144430"/>
    <w:rsid w:val="001451EE"/>
    <w:rsid w:val="001454BD"/>
    <w:rsid w:val="00146977"/>
    <w:rsid w:val="00146D42"/>
    <w:rsid w:val="00150A1F"/>
    <w:rsid w:val="00151747"/>
    <w:rsid w:val="001537DF"/>
    <w:rsid w:val="00153E9B"/>
    <w:rsid w:val="001546E6"/>
    <w:rsid w:val="0015558E"/>
    <w:rsid w:val="0015598C"/>
    <w:rsid w:val="00155D36"/>
    <w:rsid w:val="0015611E"/>
    <w:rsid w:val="00156270"/>
    <w:rsid w:val="00156781"/>
    <w:rsid w:val="001574FA"/>
    <w:rsid w:val="0015762D"/>
    <w:rsid w:val="001577FF"/>
    <w:rsid w:val="00157DEB"/>
    <w:rsid w:val="00160D18"/>
    <w:rsid w:val="00161D52"/>
    <w:rsid w:val="0016302C"/>
    <w:rsid w:val="00163434"/>
    <w:rsid w:val="0016370A"/>
    <w:rsid w:val="001637ED"/>
    <w:rsid w:val="0016407A"/>
    <w:rsid w:val="00164368"/>
    <w:rsid w:val="00164766"/>
    <w:rsid w:val="00164C3E"/>
    <w:rsid w:val="00165036"/>
    <w:rsid w:val="001650BB"/>
    <w:rsid w:val="00165317"/>
    <w:rsid w:val="001653B3"/>
    <w:rsid w:val="001654E9"/>
    <w:rsid w:val="001658CB"/>
    <w:rsid w:val="00166B34"/>
    <w:rsid w:val="00166BF3"/>
    <w:rsid w:val="001670DA"/>
    <w:rsid w:val="00167185"/>
    <w:rsid w:val="001671CB"/>
    <w:rsid w:val="00167D96"/>
    <w:rsid w:val="0017083D"/>
    <w:rsid w:val="00170B79"/>
    <w:rsid w:val="00170E4B"/>
    <w:rsid w:val="00171764"/>
    <w:rsid w:val="00171E52"/>
    <w:rsid w:val="00172870"/>
    <w:rsid w:val="0017365D"/>
    <w:rsid w:val="00173C9F"/>
    <w:rsid w:val="00173E3A"/>
    <w:rsid w:val="00173F00"/>
    <w:rsid w:val="00175F6B"/>
    <w:rsid w:val="001761CB"/>
    <w:rsid w:val="0017627F"/>
    <w:rsid w:val="0017658B"/>
    <w:rsid w:val="00176F0D"/>
    <w:rsid w:val="001777C7"/>
    <w:rsid w:val="0017787C"/>
    <w:rsid w:val="00177933"/>
    <w:rsid w:val="00177983"/>
    <w:rsid w:val="001779E2"/>
    <w:rsid w:val="00177CD9"/>
    <w:rsid w:val="00180D30"/>
    <w:rsid w:val="00180E8E"/>
    <w:rsid w:val="00181589"/>
    <w:rsid w:val="001815EC"/>
    <w:rsid w:val="001817A2"/>
    <w:rsid w:val="00182448"/>
    <w:rsid w:val="00182470"/>
    <w:rsid w:val="00182A1F"/>
    <w:rsid w:val="00182B59"/>
    <w:rsid w:val="001843BC"/>
    <w:rsid w:val="00184A45"/>
    <w:rsid w:val="00184CA1"/>
    <w:rsid w:val="00184EBA"/>
    <w:rsid w:val="0018692E"/>
    <w:rsid w:val="00186AC9"/>
    <w:rsid w:val="00186DDC"/>
    <w:rsid w:val="00187420"/>
    <w:rsid w:val="00187B03"/>
    <w:rsid w:val="00187E76"/>
    <w:rsid w:val="00190782"/>
    <w:rsid w:val="00190E75"/>
    <w:rsid w:val="00191298"/>
    <w:rsid w:val="001913F1"/>
    <w:rsid w:val="001918DB"/>
    <w:rsid w:val="001919ED"/>
    <w:rsid w:val="00191A40"/>
    <w:rsid w:val="00191AD7"/>
    <w:rsid w:val="00191B1C"/>
    <w:rsid w:val="00191B97"/>
    <w:rsid w:val="001923C9"/>
    <w:rsid w:val="001928AB"/>
    <w:rsid w:val="00192D8B"/>
    <w:rsid w:val="00194677"/>
    <w:rsid w:val="00194774"/>
    <w:rsid w:val="001948D7"/>
    <w:rsid w:val="00194BAD"/>
    <w:rsid w:val="00195AB6"/>
    <w:rsid w:val="00195F48"/>
    <w:rsid w:val="001962D7"/>
    <w:rsid w:val="00196549"/>
    <w:rsid w:val="0019692A"/>
    <w:rsid w:val="0019775D"/>
    <w:rsid w:val="00197EAE"/>
    <w:rsid w:val="001A0E8F"/>
    <w:rsid w:val="001A1251"/>
    <w:rsid w:val="001A26A1"/>
    <w:rsid w:val="001A28A4"/>
    <w:rsid w:val="001A29C8"/>
    <w:rsid w:val="001A2FA2"/>
    <w:rsid w:val="001A4616"/>
    <w:rsid w:val="001A50C9"/>
    <w:rsid w:val="001A524C"/>
    <w:rsid w:val="001A5A52"/>
    <w:rsid w:val="001B02CC"/>
    <w:rsid w:val="001B04AD"/>
    <w:rsid w:val="001B0771"/>
    <w:rsid w:val="001B0DE6"/>
    <w:rsid w:val="001B115C"/>
    <w:rsid w:val="001B1932"/>
    <w:rsid w:val="001B21FF"/>
    <w:rsid w:val="001B2313"/>
    <w:rsid w:val="001B2D21"/>
    <w:rsid w:val="001B4086"/>
    <w:rsid w:val="001B420A"/>
    <w:rsid w:val="001B4B56"/>
    <w:rsid w:val="001B4D98"/>
    <w:rsid w:val="001B52BE"/>
    <w:rsid w:val="001B6580"/>
    <w:rsid w:val="001B744A"/>
    <w:rsid w:val="001C04F4"/>
    <w:rsid w:val="001C0F9E"/>
    <w:rsid w:val="001C151C"/>
    <w:rsid w:val="001C21AF"/>
    <w:rsid w:val="001C25BB"/>
    <w:rsid w:val="001C2E2D"/>
    <w:rsid w:val="001C3BB5"/>
    <w:rsid w:val="001C3D37"/>
    <w:rsid w:val="001C4185"/>
    <w:rsid w:val="001C4D24"/>
    <w:rsid w:val="001C5DCF"/>
    <w:rsid w:val="001C6272"/>
    <w:rsid w:val="001C6406"/>
    <w:rsid w:val="001C6B3F"/>
    <w:rsid w:val="001C6E00"/>
    <w:rsid w:val="001C7092"/>
    <w:rsid w:val="001C70AE"/>
    <w:rsid w:val="001C7B4F"/>
    <w:rsid w:val="001D03CE"/>
    <w:rsid w:val="001D04CF"/>
    <w:rsid w:val="001D1640"/>
    <w:rsid w:val="001D1983"/>
    <w:rsid w:val="001D1CCA"/>
    <w:rsid w:val="001D1F4D"/>
    <w:rsid w:val="001D2E87"/>
    <w:rsid w:val="001D305B"/>
    <w:rsid w:val="001D32F1"/>
    <w:rsid w:val="001D4CB5"/>
    <w:rsid w:val="001D5181"/>
    <w:rsid w:val="001D5577"/>
    <w:rsid w:val="001D7F72"/>
    <w:rsid w:val="001E09E1"/>
    <w:rsid w:val="001E0BF2"/>
    <w:rsid w:val="001E203E"/>
    <w:rsid w:val="001E241A"/>
    <w:rsid w:val="001E2BB3"/>
    <w:rsid w:val="001E32A2"/>
    <w:rsid w:val="001E342D"/>
    <w:rsid w:val="001E36EF"/>
    <w:rsid w:val="001E392B"/>
    <w:rsid w:val="001E4513"/>
    <w:rsid w:val="001E493C"/>
    <w:rsid w:val="001E4B60"/>
    <w:rsid w:val="001E4EF1"/>
    <w:rsid w:val="001E4F8E"/>
    <w:rsid w:val="001E5597"/>
    <w:rsid w:val="001E5868"/>
    <w:rsid w:val="001E6118"/>
    <w:rsid w:val="001E73F1"/>
    <w:rsid w:val="001F08D1"/>
    <w:rsid w:val="001F0A28"/>
    <w:rsid w:val="001F1209"/>
    <w:rsid w:val="001F153A"/>
    <w:rsid w:val="001F230B"/>
    <w:rsid w:val="001F2C42"/>
    <w:rsid w:val="001F398B"/>
    <w:rsid w:val="001F4102"/>
    <w:rsid w:val="001F483F"/>
    <w:rsid w:val="001F5125"/>
    <w:rsid w:val="001F5B90"/>
    <w:rsid w:val="001F5CB7"/>
    <w:rsid w:val="001F6625"/>
    <w:rsid w:val="001F6823"/>
    <w:rsid w:val="001F6AF8"/>
    <w:rsid w:val="001F7751"/>
    <w:rsid w:val="001F7C09"/>
    <w:rsid w:val="001F7F46"/>
    <w:rsid w:val="00200649"/>
    <w:rsid w:val="002006A3"/>
    <w:rsid w:val="00200A23"/>
    <w:rsid w:val="00200F65"/>
    <w:rsid w:val="002017D3"/>
    <w:rsid w:val="00201946"/>
    <w:rsid w:val="00201DFA"/>
    <w:rsid w:val="002022DD"/>
    <w:rsid w:val="00202C91"/>
    <w:rsid w:val="002032C9"/>
    <w:rsid w:val="0020330A"/>
    <w:rsid w:val="00203CA0"/>
    <w:rsid w:val="00203D5C"/>
    <w:rsid w:val="0020474B"/>
    <w:rsid w:val="00204EDD"/>
    <w:rsid w:val="002059BA"/>
    <w:rsid w:val="00206740"/>
    <w:rsid w:val="00206C33"/>
    <w:rsid w:val="00206E1C"/>
    <w:rsid w:val="00207DE8"/>
    <w:rsid w:val="00207E93"/>
    <w:rsid w:val="00207EDC"/>
    <w:rsid w:val="00211D62"/>
    <w:rsid w:val="0021399E"/>
    <w:rsid w:val="00213D3D"/>
    <w:rsid w:val="00213F96"/>
    <w:rsid w:val="00214F0F"/>
    <w:rsid w:val="002150F1"/>
    <w:rsid w:val="002164F0"/>
    <w:rsid w:val="00216718"/>
    <w:rsid w:val="00216C11"/>
    <w:rsid w:val="00216CF5"/>
    <w:rsid w:val="00216E02"/>
    <w:rsid w:val="00216E4F"/>
    <w:rsid w:val="00217693"/>
    <w:rsid w:val="002201C5"/>
    <w:rsid w:val="002205AB"/>
    <w:rsid w:val="002209B2"/>
    <w:rsid w:val="00221085"/>
    <w:rsid w:val="00221186"/>
    <w:rsid w:val="002223B8"/>
    <w:rsid w:val="00222646"/>
    <w:rsid w:val="00223848"/>
    <w:rsid w:val="00223C36"/>
    <w:rsid w:val="00223D4C"/>
    <w:rsid w:val="00224DED"/>
    <w:rsid w:val="00224E09"/>
    <w:rsid w:val="002256D0"/>
    <w:rsid w:val="00225C74"/>
    <w:rsid w:val="002265F6"/>
    <w:rsid w:val="0022687F"/>
    <w:rsid w:val="00226D0D"/>
    <w:rsid w:val="00226E5D"/>
    <w:rsid w:val="002276EF"/>
    <w:rsid w:val="002277B6"/>
    <w:rsid w:val="00227883"/>
    <w:rsid w:val="00227A61"/>
    <w:rsid w:val="00230539"/>
    <w:rsid w:val="00230B16"/>
    <w:rsid w:val="00231AD6"/>
    <w:rsid w:val="00231CFE"/>
    <w:rsid w:val="0023224A"/>
    <w:rsid w:val="002324EA"/>
    <w:rsid w:val="002326F8"/>
    <w:rsid w:val="00232CD3"/>
    <w:rsid w:val="00233635"/>
    <w:rsid w:val="00233D1A"/>
    <w:rsid w:val="002350CF"/>
    <w:rsid w:val="0023524C"/>
    <w:rsid w:val="00235A2F"/>
    <w:rsid w:val="00236F9C"/>
    <w:rsid w:val="002371FA"/>
    <w:rsid w:val="0023731C"/>
    <w:rsid w:val="00237737"/>
    <w:rsid w:val="0024000C"/>
    <w:rsid w:val="00240093"/>
    <w:rsid w:val="002404F7"/>
    <w:rsid w:val="00240CE8"/>
    <w:rsid w:val="00240F48"/>
    <w:rsid w:val="0024164A"/>
    <w:rsid w:val="0024188A"/>
    <w:rsid w:val="00242357"/>
    <w:rsid w:val="0024254F"/>
    <w:rsid w:val="002426BF"/>
    <w:rsid w:val="002426D1"/>
    <w:rsid w:val="00242995"/>
    <w:rsid w:val="00242C28"/>
    <w:rsid w:val="00242D63"/>
    <w:rsid w:val="00242E3A"/>
    <w:rsid w:val="002435EC"/>
    <w:rsid w:val="002439C4"/>
    <w:rsid w:val="00243E81"/>
    <w:rsid w:val="0024414D"/>
    <w:rsid w:val="002449F5"/>
    <w:rsid w:val="00244A6B"/>
    <w:rsid w:val="002452F2"/>
    <w:rsid w:val="00245505"/>
    <w:rsid w:val="00246B46"/>
    <w:rsid w:val="00246EB8"/>
    <w:rsid w:val="00246FD9"/>
    <w:rsid w:val="002506F7"/>
    <w:rsid w:val="002509C8"/>
    <w:rsid w:val="00250C12"/>
    <w:rsid w:val="002520E3"/>
    <w:rsid w:val="00252227"/>
    <w:rsid w:val="00252668"/>
    <w:rsid w:val="00252F98"/>
    <w:rsid w:val="002535BC"/>
    <w:rsid w:val="00253F17"/>
    <w:rsid w:val="00254248"/>
    <w:rsid w:val="00254283"/>
    <w:rsid w:val="00254409"/>
    <w:rsid w:val="00254B30"/>
    <w:rsid w:val="00254D60"/>
    <w:rsid w:val="002551A9"/>
    <w:rsid w:val="0025520D"/>
    <w:rsid w:val="002553E2"/>
    <w:rsid w:val="002556D7"/>
    <w:rsid w:val="00255D99"/>
    <w:rsid w:val="00255E6E"/>
    <w:rsid w:val="002560D3"/>
    <w:rsid w:val="00256424"/>
    <w:rsid w:val="00257AC4"/>
    <w:rsid w:val="0026041C"/>
    <w:rsid w:val="00260A0A"/>
    <w:rsid w:val="00260DA1"/>
    <w:rsid w:val="002617C5"/>
    <w:rsid w:val="0026194B"/>
    <w:rsid w:val="002621E7"/>
    <w:rsid w:val="00262AE1"/>
    <w:rsid w:val="00262AF7"/>
    <w:rsid w:val="00263A5D"/>
    <w:rsid w:val="00263ED2"/>
    <w:rsid w:val="00264455"/>
    <w:rsid w:val="0026445D"/>
    <w:rsid w:val="0026529A"/>
    <w:rsid w:val="00265D12"/>
    <w:rsid w:val="0026657A"/>
    <w:rsid w:val="00266FBF"/>
    <w:rsid w:val="00267225"/>
    <w:rsid w:val="00271223"/>
    <w:rsid w:val="00271F25"/>
    <w:rsid w:val="00271F51"/>
    <w:rsid w:val="00272616"/>
    <w:rsid w:val="002729A2"/>
    <w:rsid w:val="00272A58"/>
    <w:rsid w:val="00272EA6"/>
    <w:rsid w:val="00274359"/>
    <w:rsid w:val="00275055"/>
    <w:rsid w:val="00275702"/>
    <w:rsid w:val="002779E5"/>
    <w:rsid w:val="00277B01"/>
    <w:rsid w:val="00277D52"/>
    <w:rsid w:val="00280A6D"/>
    <w:rsid w:val="00281B60"/>
    <w:rsid w:val="00281E64"/>
    <w:rsid w:val="0028240F"/>
    <w:rsid w:val="0028297C"/>
    <w:rsid w:val="0028298E"/>
    <w:rsid w:val="00283130"/>
    <w:rsid w:val="0028356D"/>
    <w:rsid w:val="002846CE"/>
    <w:rsid w:val="00284A15"/>
    <w:rsid w:val="00284E07"/>
    <w:rsid w:val="00284F94"/>
    <w:rsid w:val="002854D4"/>
    <w:rsid w:val="00285F5E"/>
    <w:rsid w:val="00286E03"/>
    <w:rsid w:val="00287C34"/>
    <w:rsid w:val="00290573"/>
    <w:rsid w:val="00291137"/>
    <w:rsid w:val="00291206"/>
    <w:rsid w:val="00291BA7"/>
    <w:rsid w:val="00292250"/>
    <w:rsid w:val="0029232D"/>
    <w:rsid w:val="00292799"/>
    <w:rsid w:val="00293043"/>
    <w:rsid w:val="002934F2"/>
    <w:rsid w:val="00293519"/>
    <w:rsid w:val="00293E5B"/>
    <w:rsid w:val="00294125"/>
    <w:rsid w:val="002946CC"/>
    <w:rsid w:val="00294F8D"/>
    <w:rsid w:val="0029505E"/>
    <w:rsid w:val="002950CE"/>
    <w:rsid w:val="00295271"/>
    <w:rsid w:val="00295722"/>
    <w:rsid w:val="00296F1E"/>
    <w:rsid w:val="002971FF"/>
    <w:rsid w:val="00297A54"/>
    <w:rsid w:val="002A0BE9"/>
    <w:rsid w:val="002A16DD"/>
    <w:rsid w:val="002A2168"/>
    <w:rsid w:val="002A408D"/>
    <w:rsid w:val="002A4262"/>
    <w:rsid w:val="002A46F6"/>
    <w:rsid w:val="002A4F58"/>
    <w:rsid w:val="002A53E4"/>
    <w:rsid w:val="002A5C64"/>
    <w:rsid w:val="002A6084"/>
    <w:rsid w:val="002A6AE1"/>
    <w:rsid w:val="002A6AEC"/>
    <w:rsid w:val="002A6B17"/>
    <w:rsid w:val="002A6D62"/>
    <w:rsid w:val="002A77C6"/>
    <w:rsid w:val="002A79EF"/>
    <w:rsid w:val="002A7D92"/>
    <w:rsid w:val="002A7E0F"/>
    <w:rsid w:val="002B01E2"/>
    <w:rsid w:val="002B044A"/>
    <w:rsid w:val="002B0544"/>
    <w:rsid w:val="002B1690"/>
    <w:rsid w:val="002B16AB"/>
    <w:rsid w:val="002B20CE"/>
    <w:rsid w:val="002B2B48"/>
    <w:rsid w:val="002B34AA"/>
    <w:rsid w:val="002B3770"/>
    <w:rsid w:val="002B4503"/>
    <w:rsid w:val="002B4A7A"/>
    <w:rsid w:val="002B50C0"/>
    <w:rsid w:val="002B515E"/>
    <w:rsid w:val="002B5649"/>
    <w:rsid w:val="002B568B"/>
    <w:rsid w:val="002B682C"/>
    <w:rsid w:val="002B6993"/>
    <w:rsid w:val="002B6E2A"/>
    <w:rsid w:val="002B7902"/>
    <w:rsid w:val="002B79F1"/>
    <w:rsid w:val="002B7A4E"/>
    <w:rsid w:val="002B7EAF"/>
    <w:rsid w:val="002C06B7"/>
    <w:rsid w:val="002C06E5"/>
    <w:rsid w:val="002C072D"/>
    <w:rsid w:val="002C07DE"/>
    <w:rsid w:val="002C0AF3"/>
    <w:rsid w:val="002C0DCC"/>
    <w:rsid w:val="002C12F9"/>
    <w:rsid w:val="002C1DE2"/>
    <w:rsid w:val="002C34A3"/>
    <w:rsid w:val="002C4346"/>
    <w:rsid w:val="002C4612"/>
    <w:rsid w:val="002C4A35"/>
    <w:rsid w:val="002C50EC"/>
    <w:rsid w:val="002C5312"/>
    <w:rsid w:val="002C57E2"/>
    <w:rsid w:val="002C5C1D"/>
    <w:rsid w:val="002C5C78"/>
    <w:rsid w:val="002C5CFB"/>
    <w:rsid w:val="002C5D3A"/>
    <w:rsid w:val="002C6373"/>
    <w:rsid w:val="002C68BB"/>
    <w:rsid w:val="002C7269"/>
    <w:rsid w:val="002C7355"/>
    <w:rsid w:val="002C7D55"/>
    <w:rsid w:val="002D0827"/>
    <w:rsid w:val="002D0C2E"/>
    <w:rsid w:val="002D2684"/>
    <w:rsid w:val="002D2947"/>
    <w:rsid w:val="002D29C8"/>
    <w:rsid w:val="002D3040"/>
    <w:rsid w:val="002D31AB"/>
    <w:rsid w:val="002D397B"/>
    <w:rsid w:val="002D4327"/>
    <w:rsid w:val="002D472F"/>
    <w:rsid w:val="002D4D77"/>
    <w:rsid w:val="002D4F9C"/>
    <w:rsid w:val="002D588A"/>
    <w:rsid w:val="002D74FC"/>
    <w:rsid w:val="002D77DC"/>
    <w:rsid w:val="002D7C3E"/>
    <w:rsid w:val="002E0906"/>
    <w:rsid w:val="002E0998"/>
    <w:rsid w:val="002E11B6"/>
    <w:rsid w:val="002E130E"/>
    <w:rsid w:val="002E1759"/>
    <w:rsid w:val="002E2834"/>
    <w:rsid w:val="002E29FE"/>
    <w:rsid w:val="002E3D68"/>
    <w:rsid w:val="002E3E9D"/>
    <w:rsid w:val="002E3F13"/>
    <w:rsid w:val="002E4054"/>
    <w:rsid w:val="002E45B6"/>
    <w:rsid w:val="002E4C61"/>
    <w:rsid w:val="002E5961"/>
    <w:rsid w:val="002E5A3B"/>
    <w:rsid w:val="002E5BAA"/>
    <w:rsid w:val="002E609B"/>
    <w:rsid w:val="002E60F0"/>
    <w:rsid w:val="002E6275"/>
    <w:rsid w:val="002E701C"/>
    <w:rsid w:val="002E7281"/>
    <w:rsid w:val="002E7AEA"/>
    <w:rsid w:val="002F0AA1"/>
    <w:rsid w:val="002F0B8E"/>
    <w:rsid w:val="002F1068"/>
    <w:rsid w:val="002F143B"/>
    <w:rsid w:val="002F28C0"/>
    <w:rsid w:val="002F3B07"/>
    <w:rsid w:val="002F46B7"/>
    <w:rsid w:val="002F4727"/>
    <w:rsid w:val="002F48AB"/>
    <w:rsid w:val="002F5367"/>
    <w:rsid w:val="002F55FC"/>
    <w:rsid w:val="002F5798"/>
    <w:rsid w:val="002F59B9"/>
    <w:rsid w:val="002F5C75"/>
    <w:rsid w:val="002F6843"/>
    <w:rsid w:val="002F6A4F"/>
    <w:rsid w:val="002F6B9E"/>
    <w:rsid w:val="002F6C2C"/>
    <w:rsid w:val="002F6E7B"/>
    <w:rsid w:val="002F7F81"/>
    <w:rsid w:val="0030003C"/>
    <w:rsid w:val="003001CE"/>
    <w:rsid w:val="00300687"/>
    <w:rsid w:val="00301D83"/>
    <w:rsid w:val="00302040"/>
    <w:rsid w:val="003021D6"/>
    <w:rsid w:val="0030264B"/>
    <w:rsid w:val="003029B6"/>
    <w:rsid w:val="00302A33"/>
    <w:rsid w:val="00303435"/>
    <w:rsid w:val="00303953"/>
    <w:rsid w:val="00303F6C"/>
    <w:rsid w:val="0030434E"/>
    <w:rsid w:val="00304891"/>
    <w:rsid w:val="00304DE3"/>
    <w:rsid w:val="00305102"/>
    <w:rsid w:val="00305962"/>
    <w:rsid w:val="0030686E"/>
    <w:rsid w:val="0030689B"/>
    <w:rsid w:val="00307ED1"/>
    <w:rsid w:val="00310C19"/>
    <w:rsid w:val="00310C74"/>
    <w:rsid w:val="00310F03"/>
    <w:rsid w:val="00312613"/>
    <w:rsid w:val="0031275A"/>
    <w:rsid w:val="00313151"/>
    <w:rsid w:val="003146F9"/>
    <w:rsid w:val="003149EA"/>
    <w:rsid w:val="00315BD6"/>
    <w:rsid w:val="00315C35"/>
    <w:rsid w:val="00316964"/>
    <w:rsid w:val="003171C9"/>
    <w:rsid w:val="0031736A"/>
    <w:rsid w:val="00320320"/>
    <w:rsid w:val="003204C3"/>
    <w:rsid w:val="00320C28"/>
    <w:rsid w:val="00321391"/>
    <w:rsid w:val="00321DB7"/>
    <w:rsid w:val="0032200C"/>
    <w:rsid w:val="003226B1"/>
    <w:rsid w:val="003233A7"/>
    <w:rsid w:val="003234B2"/>
    <w:rsid w:val="00323C95"/>
    <w:rsid w:val="00323CB0"/>
    <w:rsid w:val="00323D9C"/>
    <w:rsid w:val="00323DAA"/>
    <w:rsid w:val="003241B3"/>
    <w:rsid w:val="00324774"/>
    <w:rsid w:val="00324874"/>
    <w:rsid w:val="003249E5"/>
    <w:rsid w:val="003252AC"/>
    <w:rsid w:val="00325858"/>
    <w:rsid w:val="0032587D"/>
    <w:rsid w:val="00325CCD"/>
    <w:rsid w:val="003267EE"/>
    <w:rsid w:val="00326BC9"/>
    <w:rsid w:val="00326E7C"/>
    <w:rsid w:val="00326F60"/>
    <w:rsid w:val="00326FCF"/>
    <w:rsid w:val="00327A6B"/>
    <w:rsid w:val="003311C5"/>
    <w:rsid w:val="003313FF"/>
    <w:rsid w:val="003316CF"/>
    <w:rsid w:val="00331741"/>
    <w:rsid w:val="00331941"/>
    <w:rsid w:val="00331AFE"/>
    <w:rsid w:val="00331CE8"/>
    <w:rsid w:val="003326A6"/>
    <w:rsid w:val="00332C4F"/>
    <w:rsid w:val="00334013"/>
    <w:rsid w:val="003343A1"/>
    <w:rsid w:val="00334EE5"/>
    <w:rsid w:val="003350EB"/>
    <w:rsid w:val="00335C42"/>
    <w:rsid w:val="00335C7B"/>
    <w:rsid w:val="00335F4D"/>
    <w:rsid w:val="003365CE"/>
    <w:rsid w:val="00336B19"/>
    <w:rsid w:val="00336F58"/>
    <w:rsid w:val="003375DE"/>
    <w:rsid w:val="003378AA"/>
    <w:rsid w:val="00337A3F"/>
    <w:rsid w:val="0034034A"/>
    <w:rsid w:val="003403CF"/>
    <w:rsid w:val="00340B84"/>
    <w:rsid w:val="00341A1E"/>
    <w:rsid w:val="00341A5E"/>
    <w:rsid w:val="00342176"/>
    <w:rsid w:val="00342226"/>
    <w:rsid w:val="00342397"/>
    <w:rsid w:val="003427A6"/>
    <w:rsid w:val="00343FAB"/>
    <w:rsid w:val="00344453"/>
    <w:rsid w:val="003450B1"/>
    <w:rsid w:val="00345F5E"/>
    <w:rsid w:val="00346DCC"/>
    <w:rsid w:val="00346E1B"/>
    <w:rsid w:val="00346E55"/>
    <w:rsid w:val="003471C6"/>
    <w:rsid w:val="003477C6"/>
    <w:rsid w:val="00350492"/>
    <w:rsid w:val="003519C8"/>
    <w:rsid w:val="00351C44"/>
    <w:rsid w:val="00352103"/>
    <w:rsid w:val="00352F9D"/>
    <w:rsid w:val="00353E16"/>
    <w:rsid w:val="00354005"/>
    <w:rsid w:val="003543AC"/>
    <w:rsid w:val="00354DCE"/>
    <w:rsid w:val="00355103"/>
    <w:rsid w:val="0035585C"/>
    <w:rsid w:val="00355FE6"/>
    <w:rsid w:val="00357FB1"/>
    <w:rsid w:val="003605E8"/>
    <w:rsid w:val="0036112B"/>
    <w:rsid w:val="0036205F"/>
    <w:rsid w:val="003628C9"/>
    <w:rsid w:val="00362AD3"/>
    <w:rsid w:val="0036332D"/>
    <w:rsid w:val="00363B60"/>
    <w:rsid w:val="003648F0"/>
    <w:rsid w:val="00364B8E"/>
    <w:rsid w:val="003658D2"/>
    <w:rsid w:val="00365E5F"/>
    <w:rsid w:val="00366F77"/>
    <w:rsid w:val="003675D8"/>
    <w:rsid w:val="003676B2"/>
    <w:rsid w:val="0037007F"/>
    <w:rsid w:val="00370368"/>
    <w:rsid w:val="003704F6"/>
    <w:rsid w:val="003713B3"/>
    <w:rsid w:val="00371A3F"/>
    <w:rsid w:val="003722C7"/>
    <w:rsid w:val="0037268F"/>
    <w:rsid w:val="00372C98"/>
    <w:rsid w:val="00373371"/>
    <w:rsid w:val="00373B93"/>
    <w:rsid w:val="00373EF4"/>
    <w:rsid w:val="00374C7B"/>
    <w:rsid w:val="00375A5E"/>
    <w:rsid w:val="00375B11"/>
    <w:rsid w:val="00375F24"/>
    <w:rsid w:val="00376069"/>
    <w:rsid w:val="00376624"/>
    <w:rsid w:val="00377103"/>
    <w:rsid w:val="00377671"/>
    <w:rsid w:val="00380A56"/>
    <w:rsid w:val="003811BB"/>
    <w:rsid w:val="00381C03"/>
    <w:rsid w:val="00381D1B"/>
    <w:rsid w:val="00381E8F"/>
    <w:rsid w:val="00382D41"/>
    <w:rsid w:val="00383313"/>
    <w:rsid w:val="00383706"/>
    <w:rsid w:val="003838AE"/>
    <w:rsid w:val="00383E0C"/>
    <w:rsid w:val="003845C0"/>
    <w:rsid w:val="00385277"/>
    <w:rsid w:val="00386071"/>
    <w:rsid w:val="00386D35"/>
    <w:rsid w:val="00386F40"/>
    <w:rsid w:val="00387F8A"/>
    <w:rsid w:val="003906E6"/>
    <w:rsid w:val="00390DB3"/>
    <w:rsid w:val="00390F95"/>
    <w:rsid w:val="003915CB"/>
    <w:rsid w:val="00392F74"/>
    <w:rsid w:val="00393D01"/>
    <w:rsid w:val="00393E6A"/>
    <w:rsid w:val="00394374"/>
    <w:rsid w:val="00394441"/>
    <w:rsid w:val="003945FD"/>
    <w:rsid w:val="0039464A"/>
    <w:rsid w:val="003946A9"/>
    <w:rsid w:val="0039537C"/>
    <w:rsid w:val="003959AA"/>
    <w:rsid w:val="00395A4A"/>
    <w:rsid w:val="00395E8B"/>
    <w:rsid w:val="00396331"/>
    <w:rsid w:val="00396A79"/>
    <w:rsid w:val="00396B19"/>
    <w:rsid w:val="00396E88"/>
    <w:rsid w:val="00397725"/>
    <w:rsid w:val="00397A65"/>
    <w:rsid w:val="00397E1E"/>
    <w:rsid w:val="00397E38"/>
    <w:rsid w:val="003A03BF"/>
    <w:rsid w:val="003A0423"/>
    <w:rsid w:val="003A073F"/>
    <w:rsid w:val="003A0ECA"/>
    <w:rsid w:val="003A1758"/>
    <w:rsid w:val="003A1AD5"/>
    <w:rsid w:val="003A2565"/>
    <w:rsid w:val="003A2B88"/>
    <w:rsid w:val="003A2CE6"/>
    <w:rsid w:val="003A3B98"/>
    <w:rsid w:val="003A41D1"/>
    <w:rsid w:val="003A466F"/>
    <w:rsid w:val="003A4883"/>
    <w:rsid w:val="003A48FC"/>
    <w:rsid w:val="003A4BEA"/>
    <w:rsid w:val="003A537F"/>
    <w:rsid w:val="003A586D"/>
    <w:rsid w:val="003A58A7"/>
    <w:rsid w:val="003A5E60"/>
    <w:rsid w:val="003A69B6"/>
    <w:rsid w:val="003A6DD7"/>
    <w:rsid w:val="003A7888"/>
    <w:rsid w:val="003A799F"/>
    <w:rsid w:val="003A7E6B"/>
    <w:rsid w:val="003B11C9"/>
    <w:rsid w:val="003B1464"/>
    <w:rsid w:val="003B29DB"/>
    <w:rsid w:val="003B2C82"/>
    <w:rsid w:val="003B2E9F"/>
    <w:rsid w:val="003B338F"/>
    <w:rsid w:val="003B35FC"/>
    <w:rsid w:val="003B368C"/>
    <w:rsid w:val="003B4021"/>
    <w:rsid w:val="003B4371"/>
    <w:rsid w:val="003B43B1"/>
    <w:rsid w:val="003B4759"/>
    <w:rsid w:val="003B5172"/>
    <w:rsid w:val="003B531F"/>
    <w:rsid w:val="003B57BB"/>
    <w:rsid w:val="003B628C"/>
    <w:rsid w:val="003B6BF7"/>
    <w:rsid w:val="003B7AE4"/>
    <w:rsid w:val="003C043F"/>
    <w:rsid w:val="003C0E16"/>
    <w:rsid w:val="003C24C3"/>
    <w:rsid w:val="003C28C6"/>
    <w:rsid w:val="003C2DF1"/>
    <w:rsid w:val="003C34A0"/>
    <w:rsid w:val="003C3929"/>
    <w:rsid w:val="003C4814"/>
    <w:rsid w:val="003C4F55"/>
    <w:rsid w:val="003C53B5"/>
    <w:rsid w:val="003C5EAD"/>
    <w:rsid w:val="003C5F7F"/>
    <w:rsid w:val="003C6082"/>
    <w:rsid w:val="003C6507"/>
    <w:rsid w:val="003C66F1"/>
    <w:rsid w:val="003C6E9C"/>
    <w:rsid w:val="003C73EB"/>
    <w:rsid w:val="003C7B2E"/>
    <w:rsid w:val="003C7BEB"/>
    <w:rsid w:val="003C7D08"/>
    <w:rsid w:val="003D010E"/>
    <w:rsid w:val="003D0B67"/>
    <w:rsid w:val="003D1698"/>
    <w:rsid w:val="003D19A7"/>
    <w:rsid w:val="003D1DE5"/>
    <w:rsid w:val="003D1E6E"/>
    <w:rsid w:val="003D3B14"/>
    <w:rsid w:val="003D3BB4"/>
    <w:rsid w:val="003D3D33"/>
    <w:rsid w:val="003D3DB1"/>
    <w:rsid w:val="003D40D5"/>
    <w:rsid w:val="003D447F"/>
    <w:rsid w:val="003D468A"/>
    <w:rsid w:val="003D4707"/>
    <w:rsid w:val="003D4C61"/>
    <w:rsid w:val="003D4F7F"/>
    <w:rsid w:val="003D5648"/>
    <w:rsid w:val="003D567C"/>
    <w:rsid w:val="003D5A89"/>
    <w:rsid w:val="003D5C10"/>
    <w:rsid w:val="003D6096"/>
    <w:rsid w:val="003D6244"/>
    <w:rsid w:val="003D62CC"/>
    <w:rsid w:val="003D660C"/>
    <w:rsid w:val="003D69D5"/>
    <w:rsid w:val="003D73AD"/>
    <w:rsid w:val="003D79D1"/>
    <w:rsid w:val="003D7D66"/>
    <w:rsid w:val="003D7FE0"/>
    <w:rsid w:val="003E00CF"/>
    <w:rsid w:val="003E0120"/>
    <w:rsid w:val="003E10D8"/>
    <w:rsid w:val="003E1342"/>
    <w:rsid w:val="003E148E"/>
    <w:rsid w:val="003E1530"/>
    <w:rsid w:val="003E2BA0"/>
    <w:rsid w:val="003E3F03"/>
    <w:rsid w:val="003E3F77"/>
    <w:rsid w:val="003E3FFE"/>
    <w:rsid w:val="003E436A"/>
    <w:rsid w:val="003E462E"/>
    <w:rsid w:val="003E4AFB"/>
    <w:rsid w:val="003E51A2"/>
    <w:rsid w:val="003E5D3C"/>
    <w:rsid w:val="003E6247"/>
    <w:rsid w:val="003E6262"/>
    <w:rsid w:val="003E63A9"/>
    <w:rsid w:val="003E67BA"/>
    <w:rsid w:val="003E6CFB"/>
    <w:rsid w:val="003E6F2C"/>
    <w:rsid w:val="003E7773"/>
    <w:rsid w:val="003E7DA7"/>
    <w:rsid w:val="003F0DA7"/>
    <w:rsid w:val="003F0E52"/>
    <w:rsid w:val="003F153C"/>
    <w:rsid w:val="003F1BCE"/>
    <w:rsid w:val="003F3117"/>
    <w:rsid w:val="003F3FF5"/>
    <w:rsid w:val="003F4233"/>
    <w:rsid w:val="003F4449"/>
    <w:rsid w:val="003F49A2"/>
    <w:rsid w:val="003F66F7"/>
    <w:rsid w:val="003F67AF"/>
    <w:rsid w:val="003F7418"/>
    <w:rsid w:val="003F7F70"/>
    <w:rsid w:val="003F7FE2"/>
    <w:rsid w:val="004005E3"/>
    <w:rsid w:val="00401650"/>
    <w:rsid w:val="00401715"/>
    <w:rsid w:val="0040188F"/>
    <w:rsid w:val="00401C27"/>
    <w:rsid w:val="004021C9"/>
    <w:rsid w:val="00402734"/>
    <w:rsid w:val="004029C7"/>
    <w:rsid w:val="00402BD7"/>
    <w:rsid w:val="004033BA"/>
    <w:rsid w:val="00403903"/>
    <w:rsid w:val="00403E05"/>
    <w:rsid w:val="00403EC2"/>
    <w:rsid w:val="0040418F"/>
    <w:rsid w:val="00404421"/>
    <w:rsid w:val="00404C93"/>
    <w:rsid w:val="00404DA9"/>
    <w:rsid w:val="004051E3"/>
    <w:rsid w:val="00405458"/>
    <w:rsid w:val="00405EBE"/>
    <w:rsid w:val="00406340"/>
    <w:rsid w:val="004067C3"/>
    <w:rsid w:val="004100A6"/>
    <w:rsid w:val="00410221"/>
    <w:rsid w:val="00411523"/>
    <w:rsid w:val="00411D8A"/>
    <w:rsid w:val="0041222F"/>
    <w:rsid w:val="00412348"/>
    <w:rsid w:val="00412357"/>
    <w:rsid w:val="0041252C"/>
    <w:rsid w:val="00412A70"/>
    <w:rsid w:val="00413A19"/>
    <w:rsid w:val="004148B5"/>
    <w:rsid w:val="0041564E"/>
    <w:rsid w:val="004161E3"/>
    <w:rsid w:val="0041664F"/>
    <w:rsid w:val="00416A8A"/>
    <w:rsid w:val="00416E6F"/>
    <w:rsid w:val="004170A0"/>
    <w:rsid w:val="00417EAB"/>
    <w:rsid w:val="00420CB2"/>
    <w:rsid w:val="00420CF5"/>
    <w:rsid w:val="004210AE"/>
    <w:rsid w:val="004212C2"/>
    <w:rsid w:val="004212D0"/>
    <w:rsid w:val="004213DB"/>
    <w:rsid w:val="00421739"/>
    <w:rsid w:val="0042175F"/>
    <w:rsid w:val="00421AD9"/>
    <w:rsid w:val="00421CFA"/>
    <w:rsid w:val="00422042"/>
    <w:rsid w:val="004220FE"/>
    <w:rsid w:val="004221A5"/>
    <w:rsid w:val="00422293"/>
    <w:rsid w:val="00422AE4"/>
    <w:rsid w:val="0042408A"/>
    <w:rsid w:val="00424830"/>
    <w:rsid w:val="004248C2"/>
    <w:rsid w:val="00424A4F"/>
    <w:rsid w:val="00424D0C"/>
    <w:rsid w:val="004257AA"/>
    <w:rsid w:val="00425852"/>
    <w:rsid w:val="00425985"/>
    <w:rsid w:val="00425F78"/>
    <w:rsid w:val="00426B2C"/>
    <w:rsid w:val="0042718A"/>
    <w:rsid w:val="00427490"/>
    <w:rsid w:val="00427E55"/>
    <w:rsid w:val="00427FE5"/>
    <w:rsid w:val="00430A32"/>
    <w:rsid w:val="004314A0"/>
    <w:rsid w:val="004323E5"/>
    <w:rsid w:val="0043326C"/>
    <w:rsid w:val="004345D5"/>
    <w:rsid w:val="0043460A"/>
    <w:rsid w:val="004352A1"/>
    <w:rsid w:val="00435AF3"/>
    <w:rsid w:val="00435FEB"/>
    <w:rsid w:val="00436042"/>
    <w:rsid w:val="00436CF4"/>
    <w:rsid w:val="00436FAD"/>
    <w:rsid w:val="00437F2E"/>
    <w:rsid w:val="004418AD"/>
    <w:rsid w:val="00441B7E"/>
    <w:rsid w:val="00441F27"/>
    <w:rsid w:val="004420EC"/>
    <w:rsid w:val="00442A98"/>
    <w:rsid w:val="00442B31"/>
    <w:rsid w:val="00442D1A"/>
    <w:rsid w:val="00442FBA"/>
    <w:rsid w:val="004432C0"/>
    <w:rsid w:val="00443EEF"/>
    <w:rsid w:val="004450AE"/>
    <w:rsid w:val="00445449"/>
    <w:rsid w:val="00445E3F"/>
    <w:rsid w:val="0044621E"/>
    <w:rsid w:val="00446CA6"/>
    <w:rsid w:val="0044720D"/>
    <w:rsid w:val="00447297"/>
    <w:rsid w:val="0045027B"/>
    <w:rsid w:val="004509A9"/>
    <w:rsid w:val="00450F26"/>
    <w:rsid w:val="00451302"/>
    <w:rsid w:val="00451320"/>
    <w:rsid w:val="004513E4"/>
    <w:rsid w:val="004518EC"/>
    <w:rsid w:val="00451BE9"/>
    <w:rsid w:val="00453C34"/>
    <w:rsid w:val="00454085"/>
    <w:rsid w:val="0045414D"/>
    <w:rsid w:val="0045539C"/>
    <w:rsid w:val="00456B80"/>
    <w:rsid w:val="0045707A"/>
    <w:rsid w:val="00457296"/>
    <w:rsid w:val="00460721"/>
    <w:rsid w:val="00460797"/>
    <w:rsid w:val="004608D6"/>
    <w:rsid w:val="0046158B"/>
    <w:rsid w:val="00461E90"/>
    <w:rsid w:val="00462FA5"/>
    <w:rsid w:val="0046312B"/>
    <w:rsid w:val="004632AF"/>
    <w:rsid w:val="00463793"/>
    <w:rsid w:val="004642C2"/>
    <w:rsid w:val="004645D2"/>
    <w:rsid w:val="00464C59"/>
    <w:rsid w:val="004657C5"/>
    <w:rsid w:val="004659B0"/>
    <w:rsid w:val="00465AB7"/>
    <w:rsid w:val="00465B80"/>
    <w:rsid w:val="0046720E"/>
    <w:rsid w:val="004674A3"/>
    <w:rsid w:val="004677A4"/>
    <w:rsid w:val="00467B0A"/>
    <w:rsid w:val="00470230"/>
    <w:rsid w:val="00470281"/>
    <w:rsid w:val="00470A5C"/>
    <w:rsid w:val="00470F38"/>
    <w:rsid w:val="00471C0C"/>
    <w:rsid w:val="00471FA7"/>
    <w:rsid w:val="00472474"/>
    <w:rsid w:val="0047308A"/>
    <w:rsid w:val="0047371E"/>
    <w:rsid w:val="00474399"/>
    <w:rsid w:val="0047483C"/>
    <w:rsid w:val="00474ACA"/>
    <w:rsid w:val="00475242"/>
    <w:rsid w:val="00475487"/>
    <w:rsid w:val="00476D10"/>
    <w:rsid w:val="004771FA"/>
    <w:rsid w:val="00477699"/>
    <w:rsid w:val="004776DD"/>
    <w:rsid w:val="00477BDF"/>
    <w:rsid w:val="00480093"/>
    <w:rsid w:val="0048042F"/>
    <w:rsid w:val="00480C7E"/>
    <w:rsid w:val="00480F1C"/>
    <w:rsid w:val="00480F69"/>
    <w:rsid w:val="00481CB6"/>
    <w:rsid w:val="004826E0"/>
    <w:rsid w:val="00482F3E"/>
    <w:rsid w:val="0048356D"/>
    <w:rsid w:val="00483768"/>
    <w:rsid w:val="00483C99"/>
    <w:rsid w:val="00484145"/>
    <w:rsid w:val="00484263"/>
    <w:rsid w:val="00484BF8"/>
    <w:rsid w:val="00484E69"/>
    <w:rsid w:val="00484ECF"/>
    <w:rsid w:val="00485358"/>
    <w:rsid w:val="004856E5"/>
    <w:rsid w:val="004858A6"/>
    <w:rsid w:val="0048638F"/>
    <w:rsid w:val="00486C87"/>
    <w:rsid w:val="00486DB3"/>
    <w:rsid w:val="00486E43"/>
    <w:rsid w:val="00486F44"/>
    <w:rsid w:val="00487283"/>
    <w:rsid w:val="00487DC5"/>
    <w:rsid w:val="00487ED0"/>
    <w:rsid w:val="004900BD"/>
    <w:rsid w:val="00491026"/>
    <w:rsid w:val="004910D9"/>
    <w:rsid w:val="00491311"/>
    <w:rsid w:val="00491358"/>
    <w:rsid w:val="00491C39"/>
    <w:rsid w:val="004931E1"/>
    <w:rsid w:val="004932AB"/>
    <w:rsid w:val="0049339D"/>
    <w:rsid w:val="00493509"/>
    <w:rsid w:val="00493A47"/>
    <w:rsid w:val="00493A84"/>
    <w:rsid w:val="00493AC7"/>
    <w:rsid w:val="00493FCF"/>
    <w:rsid w:val="00494119"/>
    <w:rsid w:val="00494A03"/>
    <w:rsid w:val="00494E5D"/>
    <w:rsid w:val="00495100"/>
    <w:rsid w:val="0049656F"/>
    <w:rsid w:val="00496D25"/>
    <w:rsid w:val="00496F2C"/>
    <w:rsid w:val="004974AE"/>
    <w:rsid w:val="004A0EE4"/>
    <w:rsid w:val="004A132E"/>
    <w:rsid w:val="004A1E73"/>
    <w:rsid w:val="004A296C"/>
    <w:rsid w:val="004A2993"/>
    <w:rsid w:val="004A2DC0"/>
    <w:rsid w:val="004A3916"/>
    <w:rsid w:val="004A4E57"/>
    <w:rsid w:val="004A54D2"/>
    <w:rsid w:val="004A54E5"/>
    <w:rsid w:val="004A60A1"/>
    <w:rsid w:val="004A6257"/>
    <w:rsid w:val="004A6F0C"/>
    <w:rsid w:val="004A6F79"/>
    <w:rsid w:val="004B1326"/>
    <w:rsid w:val="004B15BF"/>
    <w:rsid w:val="004B1A49"/>
    <w:rsid w:val="004B2224"/>
    <w:rsid w:val="004B26C7"/>
    <w:rsid w:val="004B2AAF"/>
    <w:rsid w:val="004B2B4D"/>
    <w:rsid w:val="004B2E2F"/>
    <w:rsid w:val="004B30FE"/>
    <w:rsid w:val="004B312C"/>
    <w:rsid w:val="004B50E0"/>
    <w:rsid w:val="004B5FB6"/>
    <w:rsid w:val="004B6A50"/>
    <w:rsid w:val="004B6D3D"/>
    <w:rsid w:val="004B75CC"/>
    <w:rsid w:val="004B7637"/>
    <w:rsid w:val="004B7D37"/>
    <w:rsid w:val="004C0175"/>
    <w:rsid w:val="004C0A25"/>
    <w:rsid w:val="004C0B46"/>
    <w:rsid w:val="004C0FFA"/>
    <w:rsid w:val="004C10E5"/>
    <w:rsid w:val="004C176E"/>
    <w:rsid w:val="004C253B"/>
    <w:rsid w:val="004C425D"/>
    <w:rsid w:val="004C4BC7"/>
    <w:rsid w:val="004C5237"/>
    <w:rsid w:val="004C61CF"/>
    <w:rsid w:val="004C63B3"/>
    <w:rsid w:val="004C6402"/>
    <w:rsid w:val="004C689C"/>
    <w:rsid w:val="004C6926"/>
    <w:rsid w:val="004C697F"/>
    <w:rsid w:val="004C6AC1"/>
    <w:rsid w:val="004C796E"/>
    <w:rsid w:val="004D0D7F"/>
    <w:rsid w:val="004D18A1"/>
    <w:rsid w:val="004D20D8"/>
    <w:rsid w:val="004D21AA"/>
    <w:rsid w:val="004D23E2"/>
    <w:rsid w:val="004D250E"/>
    <w:rsid w:val="004D3E67"/>
    <w:rsid w:val="004D441A"/>
    <w:rsid w:val="004D5EF5"/>
    <w:rsid w:val="004D6F3A"/>
    <w:rsid w:val="004D76EF"/>
    <w:rsid w:val="004D777E"/>
    <w:rsid w:val="004E141D"/>
    <w:rsid w:val="004E1714"/>
    <w:rsid w:val="004E1A0F"/>
    <w:rsid w:val="004E2383"/>
    <w:rsid w:val="004E296F"/>
    <w:rsid w:val="004E2A1C"/>
    <w:rsid w:val="004E39E3"/>
    <w:rsid w:val="004E3C02"/>
    <w:rsid w:val="004E3EA5"/>
    <w:rsid w:val="004E4472"/>
    <w:rsid w:val="004E4902"/>
    <w:rsid w:val="004E56FC"/>
    <w:rsid w:val="004E6464"/>
    <w:rsid w:val="004E69CA"/>
    <w:rsid w:val="004E6F40"/>
    <w:rsid w:val="004E710E"/>
    <w:rsid w:val="004E7134"/>
    <w:rsid w:val="004E7944"/>
    <w:rsid w:val="004F06D4"/>
    <w:rsid w:val="004F06EF"/>
    <w:rsid w:val="004F138E"/>
    <w:rsid w:val="004F15E6"/>
    <w:rsid w:val="004F1E34"/>
    <w:rsid w:val="004F3018"/>
    <w:rsid w:val="004F39D4"/>
    <w:rsid w:val="004F40CC"/>
    <w:rsid w:val="004F4226"/>
    <w:rsid w:val="004F467F"/>
    <w:rsid w:val="004F48C0"/>
    <w:rsid w:val="004F4AE3"/>
    <w:rsid w:val="004F4D0C"/>
    <w:rsid w:val="004F50F5"/>
    <w:rsid w:val="004F51FA"/>
    <w:rsid w:val="004F55A8"/>
    <w:rsid w:val="004F579E"/>
    <w:rsid w:val="004F60E2"/>
    <w:rsid w:val="004F68E9"/>
    <w:rsid w:val="004F6C68"/>
    <w:rsid w:val="004F7647"/>
    <w:rsid w:val="004F7804"/>
    <w:rsid w:val="004F7973"/>
    <w:rsid w:val="004F7B43"/>
    <w:rsid w:val="005001DA"/>
    <w:rsid w:val="00500BE2"/>
    <w:rsid w:val="005019E0"/>
    <w:rsid w:val="00501EBE"/>
    <w:rsid w:val="0050300A"/>
    <w:rsid w:val="0050308D"/>
    <w:rsid w:val="00503145"/>
    <w:rsid w:val="0050376B"/>
    <w:rsid w:val="00503800"/>
    <w:rsid w:val="00503DEF"/>
    <w:rsid w:val="0050463D"/>
    <w:rsid w:val="00504955"/>
    <w:rsid w:val="005049CC"/>
    <w:rsid w:val="00505421"/>
    <w:rsid w:val="00506592"/>
    <w:rsid w:val="0050724C"/>
    <w:rsid w:val="0050743B"/>
    <w:rsid w:val="00510525"/>
    <w:rsid w:val="00510732"/>
    <w:rsid w:val="00510A61"/>
    <w:rsid w:val="00510F90"/>
    <w:rsid w:val="00511B84"/>
    <w:rsid w:val="00511C92"/>
    <w:rsid w:val="0051350C"/>
    <w:rsid w:val="005140E5"/>
    <w:rsid w:val="0051437C"/>
    <w:rsid w:val="005145FE"/>
    <w:rsid w:val="0051537A"/>
    <w:rsid w:val="0051575A"/>
    <w:rsid w:val="00515E21"/>
    <w:rsid w:val="00515F22"/>
    <w:rsid w:val="0051659E"/>
    <w:rsid w:val="005170C7"/>
    <w:rsid w:val="00517328"/>
    <w:rsid w:val="00520B74"/>
    <w:rsid w:val="00521818"/>
    <w:rsid w:val="00521884"/>
    <w:rsid w:val="00521972"/>
    <w:rsid w:val="00521CC1"/>
    <w:rsid w:val="0052208F"/>
    <w:rsid w:val="00522DCB"/>
    <w:rsid w:val="00523701"/>
    <w:rsid w:val="005248CC"/>
    <w:rsid w:val="005253B0"/>
    <w:rsid w:val="005256B6"/>
    <w:rsid w:val="00525DE7"/>
    <w:rsid w:val="00525DFC"/>
    <w:rsid w:val="005269AE"/>
    <w:rsid w:val="00527348"/>
    <w:rsid w:val="005273BE"/>
    <w:rsid w:val="00527CDE"/>
    <w:rsid w:val="005302D0"/>
    <w:rsid w:val="005306B0"/>
    <w:rsid w:val="00530D4A"/>
    <w:rsid w:val="005312EB"/>
    <w:rsid w:val="00531DE9"/>
    <w:rsid w:val="005323EE"/>
    <w:rsid w:val="005326B1"/>
    <w:rsid w:val="00533DE3"/>
    <w:rsid w:val="00535031"/>
    <w:rsid w:val="00535A46"/>
    <w:rsid w:val="00536E55"/>
    <w:rsid w:val="00536F3A"/>
    <w:rsid w:val="00537B72"/>
    <w:rsid w:val="00540014"/>
    <w:rsid w:val="00540808"/>
    <w:rsid w:val="005410DE"/>
    <w:rsid w:val="005416B0"/>
    <w:rsid w:val="00541BAD"/>
    <w:rsid w:val="0054208A"/>
    <w:rsid w:val="0054237C"/>
    <w:rsid w:val="00542622"/>
    <w:rsid w:val="0054268C"/>
    <w:rsid w:val="005427D6"/>
    <w:rsid w:val="00542B8A"/>
    <w:rsid w:val="005431CC"/>
    <w:rsid w:val="00545333"/>
    <w:rsid w:val="00545BD7"/>
    <w:rsid w:val="00546153"/>
    <w:rsid w:val="00546B54"/>
    <w:rsid w:val="0054725B"/>
    <w:rsid w:val="005500B1"/>
    <w:rsid w:val="00550785"/>
    <w:rsid w:val="00550AE2"/>
    <w:rsid w:val="005514E7"/>
    <w:rsid w:val="00551F51"/>
    <w:rsid w:val="0055240F"/>
    <w:rsid w:val="005525BF"/>
    <w:rsid w:val="00552C2D"/>
    <w:rsid w:val="005533FA"/>
    <w:rsid w:val="00554095"/>
    <w:rsid w:val="00554365"/>
    <w:rsid w:val="00554395"/>
    <w:rsid w:val="0055533F"/>
    <w:rsid w:val="005556AD"/>
    <w:rsid w:val="005557CB"/>
    <w:rsid w:val="00555C44"/>
    <w:rsid w:val="00556367"/>
    <w:rsid w:val="005573E9"/>
    <w:rsid w:val="00557921"/>
    <w:rsid w:val="00557A56"/>
    <w:rsid w:val="00557DBA"/>
    <w:rsid w:val="005604A2"/>
    <w:rsid w:val="00561A51"/>
    <w:rsid w:val="00561F71"/>
    <w:rsid w:val="0056200F"/>
    <w:rsid w:val="00562037"/>
    <w:rsid w:val="005621EC"/>
    <w:rsid w:val="0056264A"/>
    <w:rsid w:val="005629DB"/>
    <w:rsid w:val="00563018"/>
    <w:rsid w:val="00564423"/>
    <w:rsid w:val="00564DAE"/>
    <w:rsid w:val="00564E49"/>
    <w:rsid w:val="00564F30"/>
    <w:rsid w:val="005664B9"/>
    <w:rsid w:val="0056689A"/>
    <w:rsid w:val="005670A1"/>
    <w:rsid w:val="005671D4"/>
    <w:rsid w:val="00570301"/>
    <w:rsid w:val="00570ABB"/>
    <w:rsid w:val="0057171C"/>
    <w:rsid w:val="005723FB"/>
    <w:rsid w:val="00572B17"/>
    <w:rsid w:val="00572EEB"/>
    <w:rsid w:val="00573011"/>
    <w:rsid w:val="005736FA"/>
    <w:rsid w:val="005743F3"/>
    <w:rsid w:val="0057464E"/>
    <w:rsid w:val="005748D1"/>
    <w:rsid w:val="00574C75"/>
    <w:rsid w:val="00574EA6"/>
    <w:rsid w:val="00576629"/>
    <w:rsid w:val="0057752A"/>
    <w:rsid w:val="0057755A"/>
    <w:rsid w:val="0057792A"/>
    <w:rsid w:val="00577A44"/>
    <w:rsid w:val="005806B2"/>
    <w:rsid w:val="005806EA"/>
    <w:rsid w:val="00580A23"/>
    <w:rsid w:val="00581156"/>
    <w:rsid w:val="00581E4E"/>
    <w:rsid w:val="00582356"/>
    <w:rsid w:val="00582519"/>
    <w:rsid w:val="0058288C"/>
    <w:rsid w:val="005829C4"/>
    <w:rsid w:val="00582B46"/>
    <w:rsid w:val="005838CA"/>
    <w:rsid w:val="00585B5A"/>
    <w:rsid w:val="00585E41"/>
    <w:rsid w:val="00585FD0"/>
    <w:rsid w:val="00586A2C"/>
    <w:rsid w:val="00586B6F"/>
    <w:rsid w:val="00586CC4"/>
    <w:rsid w:val="005875A8"/>
    <w:rsid w:val="00587ACA"/>
    <w:rsid w:val="0059108F"/>
    <w:rsid w:val="00591584"/>
    <w:rsid w:val="005916BE"/>
    <w:rsid w:val="00591BE4"/>
    <w:rsid w:val="005924A7"/>
    <w:rsid w:val="00593E41"/>
    <w:rsid w:val="00594059"/>
    <w:rsid w:val="005943C6"/>
    <w:rsid w:val="0059509B"/>
    <w:rsid w:val="005950AB"/>
    <w:rsid w:val="005950B0"/>
    <w:rsid w:val="005951C9"/>
    <w:rsid w:val="0059535E"/>
    <w:rsid w:val="00595E71"/>
    <w:rsid w:val="00596040"/>
    <w:rsid w:val="005961A9"/>
    <w:rsid w:val="00596343"/>
    <w:rsid w:val="005970FA"/>
    <w:rsid w:val="00597238"/>
    <w:rsid w:val="00597DB8"/>
    <w:rsid w:val="005A0F06"/>
    <w:rsid w:val="005A165B"/>
    <w:rsid w:val="005A1ACA"/>
    <w:rsid w:val="005A1C28"/>
    <w:rsid w:val="005A1DB5"/>
    <w:rsid w:val="005A25DA"/>
    <w:rsid w:val="005A32D4"/>
    <w:rsid w:val="005A3A04"/>
    <w:rsid w:val="005A3CD3"/>
    <w:rsid w:val="005A3EF2"/>
    <w:rsid w:val="005A4EB9"/>
    <w:rsid w:val="005A55EA"/>
    <w:rsid w:val="005A6223"/>
    <w:rsid w:val="005A63DB"/>
    <w:rsid w:val="005A661C"/>
    <w:rsid w:val="005A757E"/>
    <w:rsid w:val="005B0BA2"/>
    <w:rsid w:val="005B0D00"/>
    <w:rsid w:val="005B29D2"/>
    <w:rsid w:val="005B3699"/>
    <w:rsid w:val="005B3C9D"/>
    <w:rsid w:val="005B421D"/>
    <w:rsid w:val="005B49E9"/>
    <w:rsid w:val="005B6413"/>
    <w:rsid w:val="005B6464"/>
    <w:rsid w:val="005B669E"/>
    <w:rsid w:val="005B6891"/>
    <w:rsid w:val="005B6BC5"/>
    <w:rsid w:val="005B73A4"/>
    <w:rsid w:val="005B73BC"/>
    <w:rsid w:val="005B7F32"/>
    <w:rsid w:val="005C0D53"/>
    <w:rsid w:val="005C131E"/>
    <w:rsid w:val="005C1797"/>
    <w:rsid w:val="005C19F4"/>
    <w:rsid w:val="005C1AC8"/>
    <w:rsid w:val="005C2A70"/>
    <w:rsid w:val="005C2DB5"/>
    <w:rsid w:val="005C3D03"/>
    <w:rsid w:val="005C3E04"/>
    <w:rsid w:val="005C4126"/>
    <w:rsid w:val="005C44F4"/>
    <w:rsid w:val="005C4CDB"/>
    <w:rsid w:val="005C7B2F"/>
    <w:rsid w:val="005D02A3"/>
    <w:rsid w:val="005D037E"/>
    <w:rsid w:val="005D03A1"/>
    <w:rsid w:val="005D149C"/>
    <w:rsid w:val="005D1C0B"/>
    <w:rsid w:val="005D1CB1"/>
    <w:rsid w:val="005D1D22"/>
    <w:rsid w:val="005D1DE7"/>
    <w:rsid w:val="005D24A3"/>
    <w:rsid w:val="005D3F7B"/>
    <w:rsid w:val="005D418B"/>
    <w:rsid w:val="005D46AB"/>
    <w:rsid w:val="005D489F"/>
    <w:rsid w:val="005D4D3A"/>
    <w:rsid w:val="005D5806"/>
    <w:rsid w:val="005D5B22"/>
    <w:rsid w:val="005D5FFF"/>
    <w:rsid w:val="005D6621"/>
    <w:rsid w:val="005D7E12"/>
    <w:rsid w:val="005E09BB"/>
    <w:rsid w:val="005E28D1"/>
    <w:rsid w:val="005E3017"/>
    <w:rsid w:val="005E36A8"/>
    <w:rsid w:val="005E3906"/>
    <w:rsid w:val="005E4C84"/>
    <w:rsid w:val="005E4D89"/>
    <w:rsid w:val="005E65F3"/>
    <w:rsid w:val="005E6836"/>
    <w:rsid w:val="005E6F75"/>
    <w:rsid w:val="005E70FF"/>
    <w:rsid w:val="005E7402"/>
    <w:rsid w:val="005E7E07"/>
    <w:rsid w:val="005F0005"/>
    <w:rsid w:val="005F0258"/>
    <w:rsid w:val="005F0BAC"/>
    <w:rsid w:val="005F1697"/>
    <w:rsid w:val="005F1A1C"/>
    <w:rsid w:val="005F1ACF"/>
    <w:rsid w:val="005F1EBE"/>
    <w:rsid w:val="005F20D2"/>
    <w:rsid w:val="005F2132"/>
    <w:rsid w:val="005F2665"/>
    <w:rsid w:val="005F2F49"/>
    <w:rsid w:val="005F2FB5"/>
    <w:rsid w:val="005F32A7"/>
    <w:rsid w:val="005F3860"/>
    <w:rsid w:val="005F38E8"/>
    <w:rsid w:val="005F4061"/>
    <w:rsid w:val="005F57E0"/>
    <w:rsid w:val="005F58CA"/>
    <w:rsid w:val="005F5E22"/>
    <w:rsid w:val="005F6357"/>
    <w:rsid w:val="005F73B7"/>
    <w:rsid w:val="005F7948"/>
    <w:rsid w:val="005F7A7E"/>
    <w:rsid w:val="005F7D9B"/>
    <w:rsid w:val="00600B20"/>
    <w:rsid w:val="00600D9E"/>
    <w:rsid w:val="0060146D"/>
    <w:rsid w:val="006018D3"/>
    <w:rsid w:val="00601E27"/>
    <w:rsid w:val="0060227C"/>
    <w:rsid w:val="00602586"/>
    <w:rsid w:val="006031E8"/>
    <w:rsid w:val="00603405"/>
    <w:rsid w:val="006034AA"/>
    <w:rsid w:val="006037C5"/>
    <w:rsid w:val="00603CD7"/>
    <w:rsid w:val="0060450B"/>
    <w:rsid w:val="00605512"/>
    <w:rsid w:val="00607A85"/>
    <w:rsid w:val="00610554"/>
    <w:rsid w:val="006116A2"/>
    <w:rsid w:val="00611E8D"/>
    <w:rsid w:val="00611F15"/>
    <w:rsid w:val="006121C8"/>
    <w:rsid w:val="0061240D"/>
    <w:rsid w:val="006125AB"/>
    <w:rsid w:val="00612C05"/>
    <w:rsid w:val="00613067"/>
    <w:rsid w:val="00613171"/>
    <w:rsid w:val="00613338"/>
    <w:rsid w:val="006134E2"/>
    <w:rsid w:val="00613809"/>
    <w:rsid w:val="00613C5F"/>
    <w:rsid w:val="0061524D"/>
    <w:rsid w:val="0061545C"/>
    <w:rsid w:val="006159D5"/>
    <w:rsid w:val="00615C2F"/>
    <w:rsid w:val="00615D75"/>
    <w:rsid w:val="0061640A"/>
    <w:rsid w:val="00616909"/>
    <w:rsid w:val="00616B01"/>
    <w:rsid w:val="0061762A"/>
    <w:rsid w:val="00617680"/>
    <w:rsid w:val="006178C8"/>
    <w:rsid w:val="00617AF9"/>
    <w:rsid w:val="00617C36"/>
    <w:rsid w:val="00617E34"/>
    <w:rsid w:val="00617F91"/>
    <w:rsid w:val="006201D7"/>
    <w:rsid w:val="00620FC7"/>
    <w:rsid w:val="0062261C"/>
    <w:rsid w:val="00622A5B"/>
    <w:rsid w:val="00622DA9"/>
    <w:rsid w:val="0062324F"/>
    <w:rsid w:val="006234D9"/>
    <w:rsid w:val="00623582"/>
    <w:rsid w:val="00624B57"/>
    <w:rsid w:val="00624EF1"/>
    <w:rsid w:val="00624F2A"/>
    <w:rsid w:val="00625A3A"/>
    <w:rsid w:val="00625BD6"/>
    <w:rsid w:val="00625E53"/>
    <w:rsid w:val="00626DE4"/>
    <w:rsid w:val="00626F73"/>
    <w:rsid w:val="0062774C"/>
    <w:rsid w:val="00627FC7"/>
    <w:rsid w:val="0063007B"/>
    <w:rsid w:val="006309EA"/>
    <w:rsid w:val="00630B9C"/>
    <w:rsid w:val="00630D64"/>
    <w:rsid w:val="006318AA"/>
    <w:rsid w:val="00631C69"/>
    <w:rsid w:val="006321C4"/>
    <w:rsid w:val="0063222C"/>
    <w:rsid w:val="00632290"/>
    <w:rsid w:val="0063229E"/>
    <w:rsid w:val="006326D6"/>
    <w:rsid w:val="00632741"/>
    <w:rsid w:val="00632E2D"/>
    <w:rsid w:val="006330BE"/>
    <w:rsid w:val="006343A5"/>
    <w:rsid w:val="00635125"/>
    <w:rsid w:val="006353F8"/>
    <w:rsid w:val="0063613F"/>
    <w:rsid w:val="0063629D"/>
    <w:rsid w:val="00636301"/>
    <w:rsid w:val="00636702"/>
    <w:rsid w:val="006371D2"/>
    <w:rsid w:val="00637730"/>
    <w:rsid w:val="00640A9B"/>
    <w:rsid w:val="00640BAC"/>
    <w:rsid w:val="00640F57"/>
    <w:rsid w:val="00640F7D"/>
    <w:rsid w:val="0064132A"/>
    <w:rsid w:val="00641497"/>
    <w:rsid w:val="006418B5"/>
    <w:rsid w:val="00641B3C"/>
    <w:rsid w:val="0064394A"/>
    <w:rsid w:val="0064460F"/>
    <w:rsid w:val="00644FBB"/>
    <w:rsid w:val="00645279"/>
    <w:rsid w:val="006459F7"/>
    <w:rsid w:val="006468A9"/>
    <w:rsid w:val="006472DF"/>
    <w:rsid w:val="00650C98"/>
    <w:rsid w:val="00651AA3"/>
    <w:rsid w:val="00651BF6"/>
    <w:rsid w:val="006526BD"/>
    <w:rsid w:val="00653588"/>
    <w:rsid w:val="006546EE"/>
    <w:rsid w:val="006564D2"/>
    <w:rsid w:val="006566A3"/>
    <w:rsid w:val="00657470"/>
    <w:rsid w:val="0065784F"/>
    <w:rsid w:val="00660079"/>
    <w:rsid w:val="0066071E"/>
    <w:rsid w:val="00660F4F"/>
    <w:rsid w:val="006612F4"/>
    <w:rsid w:val="00661409"/>
    <w:rsid w:val="006619F4"/>
    <w:rsid w:val="00661C10"/>
    <w:rsid w:val="00663E25"/>
    <w:rsid w:val="00663EB0"/>
    <w:rsid w:val="006641C8"/>
    <w:rsid w:val="006642C4"/>
    <w:rsid w:val="00665B27"/>
    <w:rsid w:val="00665F07"/>
    <w:rsid w:val="006661E4"/>
    <w:rsid w:val="006664EC"/>
    <w:rsid w:val="0066655D"/>
    <w:rsid w:val="006667A4"/>
    <w:rsid w:val="006667B9"/>
    <w:rsid w:val="00666A93"/>
    <w:rsid w:val="0066701A"/>
    <w:rsid w:val="006671FF"/>
    <w:rsid w:val="0066743C"/>
    <w:rsid w:val="00667666"/>
    <w:rsid w:val="00667FF8"/>
    <w:rsid w:val="00670D93"/>
    <w:rsid w:val="00670FCD"/>
    <w:rsid w:val="006710D7"/>
    <w:rsid w:val="006716D1"/>
    <w:rsid w:val="00672B13"/>
    <w:rsid w:val="00673609"/>
    <w:rsid w:val="00673EA1"/>
    <w:rsid w:val="0067428B"/>
    <w:rsid w:val="00674B9A"/>
    <w:rsid w:val="00675A8F"/>
    <w:rsid w:val="0067662F"/>
    <w:rsid w:val="006776FE"/>
    <w:rsid w:val="00680196"/>
    <w:rsid w:val="00680695"/>
    <w:rsid w:val="0068087A"/>
    <w:rsid w:val="00681C5B"/>
    <w:rsid w:val="00681EC1"/>
    <w:rsid w:val="00681F96"/>
    <w:rsid w:val="006821EF"/>
    <w:rsid w:val="00682D30"/>
    <w:rsid w:val="00683518"/>
    <w:rsid w:val="00683702"/>
    <w:rsid w:val="00683EB5"/>
    <w:rsid w:val="0068533F"/>
    <w:rsid w:val="006859A1"/>
    <w:rsid w:val="00685F32"/>
    <w:rsid w:val="006861DA"/>
    <w:rsid w:val="0068631B"/>
    <w:rsid w:val="0068677B"/>
    <w:rsid w:val="006868B8"/>
    <w:rsid w:val="00687259"/>
    <w:rsid w:val="00687885"/>
    <w:rsid w:val="006878B1"/>
    <w:rsid w:val="00687D40"/>
    <w:rsid w:val="00690173"/>
    <w:rsid w:val="00690273"/>
    <w:rsid w:val="006908E6"/>
    <w:rsid w:val="00690F3E"/>
    <w:rsid w:val="00691073"/>
    <w:rsid w:val="00691597"/>
    <w:rsid w:val="006915C0"/>
    <w:rsid w:val="006917ED"/>
    <w:rsid w:val="00691D70"/>
    <w:rsid w:val="006923DD"/>
    <w:rsid w:val="00693651"/>
    <w:rsid w:val="00693C06"/>
    <w:rsid w:val="00694ED9"/>
    <w:rsid w:val="00695679"/>
    <w:rsid w:val="0069568B"/>
    <w:rsid w:val="00695700"/>
    <w:rsid w:val="0069642E"/>
    <w:rsid w:val="00696916"/>
    <w:rsid w:val="00696A5C"/>
    <w:rsid w:val="00696B9E"/>
    <w:rsid w:val="00696E33"/>
    <w:rsid w:val="00697385"/>
    <w:rsid w:val="006973C6"/>
    <w:rsid w:val="00697973"/>
    <w:rsid w:val="006A1508"/>
    <w:rsid w:val="006A1956"/>
    <w:rsid w:val="006A1E96"/>
    <w:rsid w:val="006A312B"/>
    <w:rsid w:val="006A393F"/>
    <w:rsid w:val="006A4433"/>
    <w:rsid w:val="006A56B2"/>
    <w:rsid w:val="006A5C14"/>
    <w:rsid w:val="006A5F3C"/>
    <w:rsid w:val="006A647E"/>
    <w:rsid w:val="006A6489"/>
    <w:rsid w:val="006A6F9C"/>
    <w:rsid w:val="006A74C6"/>
    <w:rsid w:val="006A7B9E"/>
    <w:rsid w:val="006A7FEA"/>
    <w:rsid w:val="006B027F"/>
    <w:rsid w:val="006B0835"/>
    <w:rsid w:val="006B0C89"/>
    <w:rsid w:val="006B134F"/>
    <w:rsid w:val="006B194A"/>
    <w:rsid w:val="006B1B8D"/>
    <w:rsid w:val="006B20D8"/>
    <w:rsid w:val="006B37FF"/>
    <w:rsid w:val="006B39F0"/>
    <w:rsid w:val="006B41FA"/>
    <w:rsid w:val="006B49A3"/>
    <w:rsid w:val="006B6916"/>
    <w:rsid w:val="006B6DD9"/>
    <w:rsid w:val="006B6ED7"/>
    <w:rsid w:val="006B7539"/>
    <w:rsid w:val="006B7D71"/>
    <w:rsid w:val="006C0575"/>
    <w:rsid w:val="006C05C9"/>
    <w:rsid w:val="006C175C"/>
    <w:rsid w:val="006C2AF4"/>
    <w:rsid w:val="006C2BF6"/>
    <w:rsid w:val="006C3212"/>
    <w:rsid w:val="006C3749"/>
    <w:rsid w:val="006C3A02"/>
    <w:rsid w:val="006C3AFE"/>
    <w:rsid w:val="006C43A2"/>
    <w:rsid w:val="006C494C"/>
    <w:rsid w:val="006C4C84"/>
    <w:rsid w:val="006C4F87"/>
    <w:rsid w:val="006C6E0F"/>
    <w:rsid w:val="006C7538"/>
    <w:rsid w:val="006C75B6"/>
    <w:rsid w:val="006C774A"/>
    <w:rsid w:val="006C7C36"/>
    <w:rsid w:val="006D00CD"/>
    <w:rsid w:val="006D071D"/>
    <w:rsid w:val="006D0816"/>
    <w:rsid w:val="006D08E3"/>
    <w:rsid w:val="006D1985"/>
    <w:rsid w:val="006D210F"/>
    <w:rsid w:val="006D21C3"/>
    <w:rsid w:val="006D23AF"/>
    <w:rsid w:val="006D26CA"/>
    <w:rsid w:val="006D2967"/>
    <w:rsid w:val="006D2978"/>
    <w:rsid w:val="006D3A81"/>
    <w:rsid w:val="006D3BFA"/>
    <w:rsid w:val="006D4017"/>
    <w:rsid w:val="006D4BB0"/>
    <w:rsid w:val="006D4BF1"/>
    <w:rsid w:val="006D5DB8"/>
    <w:rsid w:val="006D69A9"/>
    <w:rsid w:val="006D6AFA"/>
    <w:rsid w:val="006D7A7D"/>
    <w:rsid w:val="006D7EC8"/>
    <w:rsid w:val="006E0373"/>
    <w:rsid w:val="006E102E"/>
    <w:rsid w:val="006E1242"/>
    <w:rsid w:val="006E1404"/>
    <w:rsid w:val="006E1567"/>
    <w:rsid w:val="006E17C9"/>
    <w:rsid w:val="006E2761"/>
    <w:rsid w:val="006E2C32"/>
    <w:rsid w:val="006E2CE1"/>
    <w:rsid w:val="006E3517"/>
    <w:rsid w:val="006E460E"/>
    <w:rsid w:val="006E54DA"/>
    <w:rsid w:val="006E59B4"/>
    <w:rsid w:val="006F0231"/>
    <w:rsid w:val="006F05F3"/>
    <w:rsid w:val="006F0661"/>
    <w:rsid w:val="006F0774"/>
    <w:rsid w:val="006F0844"/>
    <w:rsid w:val="006F2A18"/>
    <w:rsid w:val="006F2CE4"/>
    <w:rsid w:val="006F4AB6"/>
    <w:rsid w:val="006F4D06"/>
    <w:rsid w:val="006F58AC"/>
    <w:rsid w:val="006F5A90"/>
    <w:rsid w:val="006F60BE"/>
    <w:rsid w:val="006F6BEE"/>
    <w:rsid w:val="006F6F44"/>
    <w:rsid w:val="006F7744"/>
    <w:rsid w:val="007007FB"/>
    <w:rsid w:val="00702130"/>
    <w:rsid w:val="007021E7"/>
    <w:rsid w:val="007021F9"/>
    <w:rsid w:val="00702315"/>
    <w:rsid w:val="00702C4D"/>
    <w:rsid w:val="00702F2E"/>
    <w:rsid w:val="007032EB"/>
    <w:rsid w:val="00703E77"/>
    <w:rsid w:val="007040D0"/>
    <w:rsid w:val="007049D9"/>
    <w:rsid w:val="00704FAE"/>
    <w:rsid w:val="007062EF"/>
    <w:rsid w:val="0070656E"/>
    <w:rsid w:val="00706B10"/>
    <w:rsid w:val="007075E4"/>
    <w:rsid w:val="00707FBF"/>
    <w:rsid w:val="00710149"/>
    <w:rsid w:val="00710844"/>
    <w:rsid w:val="0071213E"/>
    <w:rsid w:val="0071282D"/>
    <w:rsid w:val="00712A02"/>
    <w:rsid w:val="00712CEA"/>
    <w:rsid w:val="007137F9"/>
    <w:rsid w:val="007138B9"/>
    <w:rsid w:val="0071677A"/>
    <w:rsid w:val="00717378"/>
    <w:rsid w:val="00720179"/>
    <w:rsid w:val="0072058A"/>
    <w:rsid w:val="00720A55"/>
    <w:rsid w:val="00720E04"/>
    <w:rsid w:val="00721858"/>
    <w:rsid w:val="007218F1"/>
    <w:rsid w:val="00721AA9"/>
    <w:rsid w:val="00721C87"/>
    <w:rsid w:val="00721D50"/>
    <w:rsid w:val="007229C0"/>
    <w:rsid w:val="00722B42"/>
    <w:rsid w:val="00722E1C"/>
    <w:rsid w:val="00723295"/>
    <w:rsid w:val="00726FB2"/>
    <w:rsid w:val="007270DA"/>
    <w:rsid w:val="007273F9"/>
    <w:rsid w:val="00727B18"/>
    <w:rsid w:val="00730D0E"/>
    <w:rsid w:val="0073103F"/>
    <w:rsid w:val="00732727"/>
    <w:rsid w:val="007329F0"/>
    <w:rsid w:val="00732CB3"/>
    <w:rsid w:val="00732ECF"/>
    <w:rsid w:val="00733466"/>
    <w:rsid w:val="00733DC8"/>
    <w:rsid w:val="00734C66"/>
    <w:rsid w:val="00735233"/>
    <w:rsid w:val="007362B2"/>
    <w:rsid w:val="0073692B"/>
    <w:rsid w:val="0073698E"/>
    <w:rsid w:val="00736CAD"/>
    <w:rsid w:val="00737128"/>
    <w:rsid w:val="007400A1"/>
    <w:rsid w:val="00740E04"/>
    <w:rsid w:val="00740E75"/>
    <w:rsid w:val="0074134E"/>
    <w:rsid w:val="0074160A"/>
    <w:rsid w:val="00741A4D"/>
    <w:rsid w:val="00742448"/>
    <w:rsid w:val="00743063"/>
    <w:rsid w:val="00743206"/>
    <w:rsid w:val="0074324B"/>
    <w:rsid w:val="007432DD"/>
    <w:rsid w:val="00743ACB"/>
    <w:rsid w:val="00744238"/>
    <w:rsid w:val="00744933"/>
    <w:rsid w:val="00744F48"/>
    <w:rsid w:val="007451C2"/>
    <w:rsid w:val="0074578F"/>
    <w:rsid w:val="00746BDD"/>
    <w:rsid w:val="00746F84"/>
    <w:rsid w:val="00747048"/>
    <w:rsid w:val="0074737D"/>
    <w:rsid w:val="007474E2"/>
    <w:rsid w:val="00747527"/>
    <w:rsid w:val="0074785F"/>
    <w:rsid w:val="00747935"/>
    <w:rsid w:val="00747FAC"/>
    <w:rsid w:val="00750458"/>
    <w:rsid w:val="00750CA4"/>
    <w:rsid w:val="0075114E"/>
    <w:rsid w:val="00751310"/>
    <w:rsid w:val="00751BAB"/>
    <w:rsid w:val="00751EE9"/>
    <w:rsid w:val="007523FF"/>
    <w:rsid w:val="00753027"/>
    <w:rsid w:val="00753828"/>
    <w:rsid w:val="007538A9"/>
    <w:rsid w:val="00753945"/>
    <w:rsid w:val="007543D6"/>
    <w:rsid w:val="00754978"/>
    <w:rsid w:val="00754B23"/>
    <w:rsid w:val="00755258"/>
    <w:rsid w:val="0075562E"/>
    <w:rsid w:val="00755898"/>
    <w:rsid w:val="00755BE3"/>
    <w:rsid w:val="0075639D"/>
    <w:rsid w:val="007564A5"/>
    <w:rsid w:val="00756AA7"/>
    <w:rsid w:val="00757182"/>
    <w:rsid w:val="007573A4"/>
    <w:rsid w:val="00757F5E"/>
    <w:rsid w:val="007602AF"/>
    <w:rsid w:val="007609A1"/>
    <w:rsid w:val="00760DF8"/>
    <w:rsid w:val="00761239"/>
    <w:rsid w:val="007614B2"/>
    <w:rsid w:val="00762202"/>
    <w:rsid w:val="00762263"/>
    <w:rsid w:val="0076345E"/>
    <w:rsid w:val="00764627"/>
    <w:rsid w:val="00764684"/>
    <w:rsid w:val="0076529D"/>
    <w:rsid w:val="0076535A"/>
    <w:rsid w:val="00765BE8"/>
    <w:rsid w:val="00765CC6"/>
    <w:rsid w:val="00766052"/>
    <w:rsid w:val="00766249"/>
    <w:rsid w:val="007664DD"/>
    <w:rsid w:val="007667E6"/>
    <w:rsid w:val="00766E55"/>
    <w:rsid w:val="00766E62"/>
    <w:rsid w:val="007674AF"/>
    <w:rsid w:val="007675DC"/>
    <w:rsid w:val="007678F1"/>
    <w:rsid w:val="00767BF0"/>
    <w:rsid w:val="00767FEE"/>
    <w:rsid w:val="00770724"/>
    <w:rsid w:val="007709BC"/>
    <w:rsid w:val="00770A51"/>
    <w:rsid w:val="007714BB"/>
    <w:rsid w:val="00771647"/>
    <w:rsid w:val="007727B4"/>
    <w:rsid w:val="00772CF7"/>
    <w:rsid w:val="007734A2"/>
    <w:rsid w:val="00773FF9"/>
    <w:rsid w:val="00774D4A"/>
    <w:rsid w:val="007751D5"/>
    <w:rsid w:val="007757E1"/>
    <w:rsid w:val="007759C5"/>
    <w:rsid w:val="007759C7"/>
    <w:rsid w:val="00775DF2"/>
    <w:rsid w:val="007771AF"/>
    <w:rsid w:val="00777284"/>
    <w:rsid w:val="00777A26"/>
    <w:rsid w:val="00780631"/>
    <w:rsid w:val="0078065D"/>
    <w:rsid w:val="007807B2"/>
    <w:rsid w:val="00781017"/>
    <w:rsid w:val="007811D7"/>
    <w:rsid w:val="00782CDC"/>
    <w:rsid w:val="007842B9"/>
    <w:rsid w:val="00784438"/>
    <w:rsid w:val="0078508B"/>
    <w:rsid w:val="007858DD"/>
    <w:rsid w:val="00785E9A"/>
    <w:rsid w:val="00786B63"/>
    <w:rsid w:val="00787459"/>
    <w:rsid w:val="00790DA8"/>
    <w:rsid w:val="0079167C"/>
    <w:rsid w:val="00791D58"/>
    <w:rsid w:val="007926C1"/>
    <w:rsid w:val="00793F7D"/>
    <w:rsid w:val="0079406B"/>
    <w:rsid w:val="00794334"/>
    <w:rsid w:val="00794617"/>
    <w:rsid w:val="0079491B"/>
    <w:rsid w:val="00794A74"/>
    <w:rsid w:val="00794FE2"/>
    <w:rsid w:val="007952FD"/>
    <w:rsid w:val="007953F2"/>
    <w:rsid w:val="0079567A"/>
    <w:rsid w:val="00795B17"/>
    <w:rsid w:val="00795C2B"/>
    <w:rsid w:val="00795F21"/>
    <w:rsid w:val="007A0038"/>
    <w:rsid w:val="007A0638"/>
    <w:rsid w:val="007A0811"/>
    <w:rsid w:val="007A08A7"/>
    <w:rsid w:val="007A091E"/>
    <w:rsid w:val="007A1005"/>
    <w:rsid w:val="007A19E0"/>
    <w:rsid w:val="007A1E72"/>
    <w:rsid w:val="007A2103"/>
    <w:rsid w:val="007A21CD"/>
    <w:rsid w:val="007A28ED"/>
    <w:rsid w:val="007A2B54"/>
    <w:rsid w:val="007A2B65"/>
    <w:rsid w:val="007A2B6C"/>
    <w:rsid w:val="007A397D"/>
    <w:rsid w:val="007A55B2"/>
    <w:rsid w:val="007A5AC0"/>
    <w:rsid w:val="007A5C6A"/>
    <w:rsid w:val="007A6199"/>
    <w:rsid w:val="007A686E"/>
    <w:rsid w:val="007A6AA2"/>
    <w:rsid w:val="007A6F2F"/>
    <w:rsid w:val="007A7324"/>
    <w:rsid w:val="007A7424"/>
    <w:rsid w:val="007A7A13"/>
    <w:rsid w:val="007B00AC"/>
    <w:rsid w:val="007B1350"/>
    <w:rsid w:val="007B17E3"/>
    <w:rsid w:val="007B1834"/>
    <w:rsid w:val="007B1F1C"/>
    <w:rsid w:val="007B1FBE"/>
    <w:rsid w:val="007B2D3C"/>
    <w:rsid w:val="007B421D"/>
    <w:rsid w:val="007B44B5"/>
    <w:rsid w:val="007B4647"/>
    <w:rsid w:val="007B4ABD"/>
    <w:rsid w:val="007B4EFA"/>
    <w:rsid w:val="007B5CAF"/>
    <w:rsid w:val="007B6369"/>
    <w:rsid w:val="007B6974"/>
    <w:rsid w:val="007B772C"/>
    <w:rsid w:val="007B7FC8"/>
    <w:rsid w:val="007C03CF"/>
    <w:rsid w:val="007C03E6"/>
    <w:rsid w:val="007C0956"/>
    <w:rsid w:val="007C1801"/>
    <w:rsid w:val="007C272A"/>
    <w:rsid w:val="007C2938"/>
    <w:rsid w:val="007C2ACA"/>
    <w:rsid w:val="007C2DA8"/>
    <w:rsid w:val="007C3027"/>
    <w:rsid w:val="007C319A"/>
    <w:rsid w:val="007C3562"/>
    <w:rsid w:val="007C4A57"/>
    <w:rsid w:val="007C6256"/>
    <w:rsid w:val="007C64E2"/>
    <w:rsid w:val="007C6AB5"/>
    <w:rsid w:val="007C7AF3"/>
    <w:rsid w:val="007C7DEE"/>
    <w:rsid w:val="007D0021"/>
    <w:rsid w:val="007D1820"/>
    <w:rsid w:val="007D19B3"/>
    <w:rsid w:val="007D2139"/>
    <w:rsid w:val="007D28D5"/>
    <w:rsid w:val="007D3476"/>
    <w:rsid w:val="007D3EEA"/>
    <w:rsid w:val="007D3FC3"/>
    <w:rsid w:val="007D440B"/>
    <w:rsid w:val="007D4C7D"/>
    <w:rsid w:val="007D4CDC"/>
    <w:rsid w:val="007D4D28"/>
    <w:rsid w:val="007D51E8"/>
    <w:rsid w:val="007D65B8"/>
    <w:rsid w:val="007D66FB"/>
    <w:rsid w:val="007D6A1D"/>
    <w:rsid w:val="007D6DF5"/>
    <w:rsid w:val="007D7015"/>
    <w:rsid w:val="007D70E8"/>
    <w:rsid w:val="007D7284"/>
    <w:rsid w:val="007D7D2A"/>
    <w:rsid w:val="007E0900"/>
    <w:rsid w:val="007E09EA"/>
    <w:rsid w:val="007E1308"/>
    <w:rsid w:val="007E14C6"/>
    <w:rsid w:val="007E15CA"/>
    <w:rsid w:val="007E15CB"/>
    <w:rsid w:val="007E1829"/>
    <w:rsid w:val="007E199C"/>
    <w:rsid w:val="007E1B27"/>
    <w:rsid w:val="007E310F"/>
    <w:rsid w:val="007E31D8"/>
    <w:rsid w:val="007E4D8D"/>
    <w:rsid w:val="007E654C"/>
    <w:rsid w:val="007E6D33"/>
    <w:rsid w:val="007F0004"/>
    <w:rsid w:val="007F02C4"/>
    <w:rsid w:val="007F0801"/>
    <w:rsid w:val="007F1322"/>
    <w:rsid w:val="007F2928"/>
    <w:rsid w:val="007F2E37"/>
    <w:rsid w:val="007F2F39"/>
    <w:rsid w:val="007F31D8"/>
    <w:rsid w:val="007F4260"/>
    <w:rsid w:val="007F56F7"/>
    <w:rsid w:val="007F59C2"/>
    <w:rsid w:val="007F622C"/>
    <w:rsid w:val="007F622F"/>
    <w:rsid w:val="007F6D7D"/>
    <w:rsid w:val="007F7A76"/>
    <w:rsid w:val="00800106"/>
    <w:rsid w:val="00800166"/>
    <w:rsid w:val="00800304"/>
    <w:rsid w:val="008003DA"/>
    <w:rsid w:val="00800700"/>
    <w:rsid w:val="0080078A"/>
    <w:rsid w:val="00800CC4"/>
    <w:rsid w:val="00800D71"/>
    <w:rsid w:val="00802216"/>
    <w:rsid w:val="00802347"/>
    <w:rsid w:val="00802B5D"/>
    <w:rsid w:val="0080379A"/>
    <w:rsid w:val="008069DF"/>
    <w:rsid w:val="00806DDE"/>
    <w:rsid w:val="00806F90"/>
    <w:rsid w:val="00807468"/>
    <w:rsid w:val="0081057D"/>
    <w:rsid w:val="00810725"/>
    <w:rsid w:val="0081079C"/>
    <w:rsid w:val="00810CC8"/>
    <w:rsid w:val="008111B8"/>
    <w:rsid w:val="00811DE5"/>
    <w:rsid w:val="00812B77"/>
    <w:rsid w:val="00814193"/>
    <w:rsid w:val="00814973"/>
    <w:rsid w:val="00815017"/>
    <w:rsid w:val="008150AF"/>
    <w:rsid w:val="008153FD"/>
    <w:rsid w:val="00815A40"/>
    <w:rsid w:val="0081623A"/>
    <w:rsid w:val="00817276"/>
    <w:rsid w:val="0082064E"/>
    <w:rsid w:val="00820903"/>
    <w:rsid w:val="00820C3F"/>
    <w:rsid w:val="00821015"/>
    <w:rsid w:val="0082114E"/>
    <w:rsid w:val="00821732"/>
    <w:rsid w:val="008219E1"/>
    <w:rsid w:val="00821D98"/>
    <w:rsid w:val="00822B4D"/>
    <w:rsid w:val="00824EF7"/>
    <w:rsid w:val="0082556B"/>
    <w:rsid w:val="0082570C"/>
    <w:rsid w:val="00825BD2"/>
    <w:rsid w:val="00825BFB"/>
    <w:rsid w:val="0082608C"/>
    <w:rsid w:val="00827628"/>
    <w:rsid w:val="00827AFB"/>
    <w:rsid w:val="00830556"/>
    <w:rsid w:val="00830941"/>
    <w:rsid w:val="0083187A"/>
    <w:rsid w:val="00831BF5"/>
    <w:rsid w:val="00831DF6"/>
    <w:rsid w:val="008326A7"/>
    <w:rsid w:val="00832C22"/>
    <w:rsid w:val="00833283"/>
    <w:rsid w:val="008336D7"/>
    <w:rsid w:val="00833CED"/>
    <w:rsid w:val="00834ADA"/>
    <w:rsid w:val="00834CDB"/>
    <w:rsid w:val="00835DE0"/>
    <w:rsid w:val="00837837"/>
    <w:rsid w:val="00837EC9"/>
    <w:rsid w:val="0084058E"/>
    <w:rsid w:val="0084089E"/>
    <w:rsid w:val="00840D86"/>
    <w:rsid w:val="00841339"/>
    <w:rsid w:val="00841DAE"/>
    <w:rsid w:val="00841E4A"/>
    <w:rsid w:val="00841F00"/>
    <w:rsid w:val="0084224F"/>
    <w:rsid w:val="00842719"/>
    <w:rsid w:val="00842CA0"/>
    <w:rsid w:val="00842F3C"/>
    <w:rsid w:val="0084351E"/>
    <w:rsid w:val="00843B15"/>
    <w:rsid w:val="00843E12"/>
    <w:rsid w:val="008455CC"/>
    <w:rsid w:val="00845608"/>
    <w:rsid w:val="0084586C"/>
    <w:rsid w:val="0084681E"/>
    <w:rsid w:val="00846CCE"/>
    <w:rsid w:val="0085026D"/>
    <w:rsid w:val="00850773"/>
    <w:rsid w:val="008508B7"/>
    <w:rsid w:val="00850A3C"/>
    <w:rsid w:val="00851240"/>
    <w:rsid w:val="00851248"/>
    <w:rsid w:val="00851478"/>
    <w:rsid w:val="0085177E"/>
    <w:rsid w:val="0085199B"/>
    <w:rsid w:val="0085254F"/>
    <w:rsid w:val="00852AD2"/>
    <w:rsid w:val="008533ED"/>
    <w:rsid w:val="008533F3"/>
    <w:rsid w:val="00853680"/>
    <w:rsid w:val="00853C19"/>
    <w:rsid w:val="0085446C"/>
    <w:rsid w:val="008545BB"/>
    <w:rsid w:val="008548FA"/>
    <w:rsid w:val="00854AEF"/>
    <w:rsid w:val="00854C34"/>
    <w:rsid w:val="00854DE4"/>
    <w:rsid w:val="008553B9"/>
    <w:rsid w:val="00855818"/>
    <w:rsid w:val="00855ACB"/>
    <w:rsid w:val="008566C6"/>
    <w:rsid w:val="00856872"/>
    <w:rsid w:val="00856927"/>
    <w:rsid w:val="00856C63"/>
    <w:rsid w:val="0085703B"/>
    <w:rsid w:val="00857125"/>
    <w:rsid w:val="008600B3"/>
    <w:rsid w:val="00860152"/>
    <w:rsid w:val="0086049A"/>
    <w:rsid w:val="008611E7"/>
    <w:rsid w:val="00861D3F"/>
    <w:rsid w:val="00861D5B"/>
    <w:rsid w:val="008621C4"/>
    <w:rsid w:val="00862D07"/>
    <w:rsid w:val="00862DCE"/>
    <w:rsid w:val="00862DEB"/>
    <w:rsid w:val="008642E4"/>
    <w:rsid w:val="00864D9F"/>
    <w:rsid w:val="00864DDF"/>
    <w:rsid w:val="00864E70"/>
    <w:rsid w:val="008661C5"/>
    <w:rsid w:val="008672C2"/>
    <w:rsid w:val="008674A9"/>
    <w:rsid w:val="008676D6"/>
    <w:rsid w:val="00867835"/>
    <w:rsid w:val="00867C0B"/>
    <w:rsid w:val="00870FF9"/>
    <w:rsid w:val="00871B3E"/>
    <w:rsid w:val="0087276C"/>
    <w:rsid w:val="00872CC5"/>
    <w:rsid w:val="008733AA"/>
    <w:rsid w:val="00873548"/>
    <w:rsid w:val="00874DAB"/>
    <w:rsid w:val="008755A5"/>
    <w:rsid w:val="00876AA4"/>
    <w:rsid w:val="0088013E"/>
    <w:rsid w:val="008805EC"/>
    <w:rsid w:val="00880734"/>
    <w:rsid w:val="00881120"/>
    <w:rsid w:val="008833D0"/>
    <w:rsid w:val="008835F4"/>
    <w:rsid w:val="00883D09"/>
    <w:rsid w:val="008849F7"/>
    <w:rsid w:val="008855B4"/>
    <w:rsid w:val="00885AE0"/>
    <w:rsid w:val="008877A1"/>
    <w:rsid w:val="008901F4"/>
    <w:rsid w:val="00890268"/>
    <w:rsid w:val="008907F4"/>
    <w:rsid w:val="00890F75"/>
    <w:rsid w:val="0089117F"/>
    <w:rsid w:val="00891183"/>
    <w:rsid w:val="00891371"/>
    <w:rsid w:val="00891504"/>
    <w:rsid w:val="00891B00"/>
    <w:rsid w:val="00891BE7"/>
    <w:rsid w:val="00891C25"/>
    <w:rsid w:val="00891F10"/>
    <w:rsid w:val="00892695"/>
    <w:rsid w:val="00892972"/>
    <w:rsid w:val="008933B0"/>
    <w:rsid w:val="00894272"/>
    <w:rsid w:val="008944EA"/>
    <w:rsid w:val="00894FAD"/>
    <w:rsid w:val="00895033"/>
    <w:rsid w:val="00895D74"/>
    <w:rsid w:val="00896049"/>
    <w:rsid w:val="008960D1"/>
    <w:rsid w:val="008969C5"/>
    <w:rsid w:val="00896FC6"/>
    <w:rsid w:val="00897383"/>
    <w:rsid w:val="00897E79"/>
    <w:rsid w:val="008A0D74"/>
    <w:rsid w:val="008A0ED1"/>
    <w:rsid w:val="008A1FF5"/>
    <w:rsid w:val="008A2184"/>
    <w:rsid w:val="008A2531"/>
    <w:rsid w:val="008A2950"/>
    <w:rsid w:val="008A2F52"/>
    <w:rsid w:val="008A308C"/>
    <w:rsid w:val="008A3BE8"/>
    <w:rsid w:val="008A3F90"/>
    <w:rsid w:val="008A5533"/>
    <w:rsid w:val="008A6BE1"/>
    <w:rsid w:val="008A6E84"/>
    <w:rsid w:val="008A7476"/>
    <w:rsid w:val="008B04C9"/>
    <w:rsid w:val="008B0C24"/>
    <w:rsid w:val="008B15B7"/>
    <w:rsid w:val="008B16F6"/>
    <w:rsid w:val="008B231E"/>
    <w:rsid w:val="008B28E9"/>
    <w:rsid w:val="008B2CB8"/>
    <w:rsid w:val="008B4BE4"/>
    <w:rsid w:val="008B509D"/>
    <w:rsid w:val="008B5403"/>
    <w:rsid w:val="008B5668"/>
    <w:rsid w:val="008B5791"/>
    <w:rsid w:val="008B6918"/>
    <w:rsid w:val="008B6D7A"/>
    <w:rsid w:val="008B7A2C"/>
    <w:rsid w:val="008C08F7"/>
    <w:rsid w:val="008C168A"/>
    <w:rsid w:val="008C1A7C"/>
    <w:rsid w:val="008C1D3E"/>
    <w:rsid w:val="008C2037"/>
    <w:rsid w:val="008C238F"/>
    <w:rsid w:val="008C3F06"/>
    <w:rsid w:val="008C3F32"/>
    <w:rsid w:val="008C52C3"/>
    <w:rsid w:val="008C570A"/>
    <w:rsid w:val="008C5C1B"/>
    <w:rsid w:val="008C5D27"/>
    <w:rsid w:val="008C7245"/>
    <w:rsid w:val="008C72EF"/>
    <w:rsid w:val="008D094F"/>
    <w:rsid w:val="008D0F61"/>
    <w:rsid w:val="008D18F5"/>
    <w:rsid w:val="008D1AF0"/>
    <w:rsid w:val="008D1C55"/>
    <w:rsid w:val="008D1CA3"/>
    <w:rsid w:val="008D206C"/>
    <w:rsid w:val="008D2204"/>
    <w:rsid w:val="008D258D"/>
    <w:rsid w:val="008D2A02"/>
    <w:rsid w:val="008D2A4C"/>
    <w:rsid w:val="008D2E91"/>
    <w:rsid w:val="008D3EA5"/>
    <w:rsid w:val="008D5A88"/>
    <w:rsid w:val="008D68B1"/>
    <w:rsid w:val="008E0976"/>
    <w:rsid w:val="008E11A3"/>
    <w:rsid w:val="008E1249"/>
    <w:rsid w:val="008E1986"/>
    <w:rsid w:val="008E205B"/>
    <w:rsid w:val="008E2494"/>
    <w:rsid w:val="008E27AE"/>
    <w:rsid w:val="008E394B"/>
    <w:rsid w:val="008E3AF4"/>
    <w:rsid w:val="008E3B99"/>
    <w:rsid w:val="008E4100"/>
    <w:rsid w:val="008E4956"/>
    <w:rsid w:val="008E5A26"/>
    <w:rsid w:val="008E5B67"/>
    <w:rsid w:val="008E5EEF"/>
    <w:rsid w:val="008E6AE3"/>
    <w:rsid w:val="008E7406"/>
    <w:rsid w:val="008E76BB"/>
    <w:rsid w:val="008E7806"/>
    <w:rsid w:val="008E7C1D"/>
    <w:rsid w:val="008E7C43"/>
    <w:rsid w:val="008F0280"/>
    <w:rsid w:val="008F06CB"/>
    <w:rsid w:val="008F0871"/>
    <w:rsid w:val="008F08DE"/>
    <w:rsid w:val="008F1AA1"/>
    <w:rsid w:val="008F2086"/>
    <w:rsid w:val="008F20BF"/>
    <w:rsid w:val="008F2204"/>
    <w:rsid w:val="008F2736"/>
    <w:rsid w:val="008F41E3"/>
    <w:rsid w:val="008F5763"/>
    <w:rsid w:val="008F5BDB"/>
    <w:rsid w:val="008F69D9"/>
    <w:rsid w:val="008F6DC7"/>
    <w:rsid w:val="008F7323"/>
    <w:rsid w:val="008F7355"/>
    <w:rsid w:val="008F736D"/>
    <w:rsid w:val="008F7C0E"/>
    <w:rsid w:val="00900486"/>
    <w:rsid w:val="009005A5"/>
    <w:rsid w:val="00900AB9"/>
    <w:rsid w:val="009013E1"/>
    <w:rsid w:val="00901427"/>
    <w:rsid w:val="0090148B"/>
    <w:rsid w:val="009017CB"/>
    <w:rsid w:val="00901A47"/>
    <w:rsid w:val="009020F7"/>
    <w:rsid w:val="009021B5"/>
    <w:rsid w:val="00903019"/>
    <w:rsid w:val="0090326E"/>
    <w:rsid w:val="00903625"/>
    <w:rsid w:val="009039AE"/>
    <w:rsid w:val="00903BCA"/>
    <w:rsid w:val="009042BB"/>
    <w:rsid w:val="009053F7"/>
    <w:rsid w:val="009054D6"/>
    <w:rsid w:val="009054DE"/>
    <w:rsid w:val="009055E9"/>
    <w:rsid w:val="00905FEB"/>
    <w:rsid w:val="0090668B"/>
    <w:rsid w:val="009068DB"/>
    <w:rsid w:val="0090765C"/>
    <w:rsid w:val="00907EBF"/>
    <w:rsid w:val="009108E6"/>
    <w:rsid w:val="0091160F"/>
    <w:rsid w:val="00911707"/>
    <w:rsid w:val="00912194"/>
    <w:rsid w:val="00912356"/>
    <w:rsid w:val="009126AF"/>
    <w:rsid w:val="009128D6"/>
    <w:rsid w:val="00912977"/>
    <w:rsid w:val="009129BD"/>
    <w:rsid w:val="00913D24"/>
    <w:rsid w:val="00914D7B"/>
    <w:rsid w:val="00915279"/>
    <w:rsid w:val="009169F4"/>
    <w:rsid w:val="00916C84"/>
    <w:rsid w:val="009171DC"/>
    <w:rsid w:val="0091721E"/>
    <w:rsid w:val="00917E2E"/>
    <w:rsid w:val="0092067B"/>
    <w:rsid w:val="00920868"/>
    <w:rsid w:val="009210F3"/>
    <w:rsid w:val="009216EA"/>
    <w:rsid w:val="00921FA4"/>
    <w:rsid w:val="0092218B"/>
    <w:rsid w:val="00922414"/>
    <w:rsid w:val="009224A0"/>
    <w:rsid w:val="0092334C"/>
    <w:rsid w:val="00923634"/>
    <w:rsid w:val="0092394F"/>
    <w:rsid w:val="00923A47"/>
    <w:rsid w:val="00924D11"/>
    <w:rsid w:val="00925ED2"/>
    <w:rsid w:val="00926352"/>
    <w:rsid w:val="00926E28"/>
    <w:rsid w:val="0092701B"/>
    <w:rsid w:val="00927668"/>
    <w:rsid w:val="00927A80"/>
    <w:rsid w:val="00927B84"/>
    <w:rsid w:val="009305BE"/>
    <w:rsid w:val="009307E7"/>
    <w:rsid w:val="00930977"/>
    <w:rsid w:val="00930D50"/>
    <w:rsid w:val="00931134"/>
    <w:rsid w:val="00932DDA"/>
    <w:rsid w:val="009335F5"/>
    <w:rsid w:val="00934187"/>
    <w:rsid w:val="00934264"/>
    <w:rsid w:val="0093496A"/>
    <w:rsid w:val="00934F7E"/>
    <w:rsid w:val="00935318"/>
    <w:rsid w:val="0093663A"/>
    <w:rsid w:val="009374A1"/>
    <w:rsid w:val="009378A7"/>
    <w:rsid w:val="009379BE"/>
    <w:rsid w:val="00937C91"/>
    <w:rsid w:val="00940EFD"/>
    <w:rsid w:val="00941745"/>
    <w:rsid w:val="00941805"/>
    <w:rsid w:val="0094246C"/>
    <w:rsid w:val="00942D47"/>
    <w:rsid w:val="00943755"/>
    <w:rsid w:val="00943B2C"/>
    <w:rsid w:val="00943D50"/>
    <w:rsid w:val="00944EF3"/>
    <w:rsid w:val="009469DC"/>
    <w:rsid w:val="009471B1"/>
    <w:rsid w:val="009473CB"/>
    <w:rsid w:val="009475CB"/>
    <w:rsid w:val="00947800"/>
    <w:rsid w:val="009478D2"/>
    <w:rsid w:val="009503FA"/>
    <w:rsid w:val="00950AFA"/>
    <w:rsid w:val="009518DA"/>
    <w:rsid w:val="00951A3B"/>
    <w:rsid w:val="009521A2"/>
    <w:rsid w:val="00952223"/>
    <w:rsid w:val="00952597"/>
    <w:rsid w:val="009526FE"/>
    <w:rsid w:val="0095273F"/>
    <w:rsid w:val="00952885"/>
    <w:rsid w:val="0095341E"/>
    <w:rsid w:val="009535C2"/>
    <w:rsid w:val="00953717"/>
    <w:rsid w:val="0095380A"/>
    <w:rsid w:val="00953E1B"/>
    <w:rsid w:val="0095490B"/>
    <w:rsid w:val="00955C5B"/>
    <w:rsid w:val="0095636D"/>
    <w:rsid w:val="009567A7"/>
    <w:rsid w:val="00956817"/>
    <w:rsid w:val="00956856"/>
    <w:rsid w:val="00956C2A"/>
    <w:rsid w:val="00956F37"/>
    <w:rsid w:val="0095754D"/>
    <w:rsid w:val="0095773C"/>
    <w:rsid w:val="00957B07"/>
    <w:rsid w:val="00960293"/>
    <w:rsid w:val="00960362"/>
    <w:rsid w:val="00960636"/>
    <w:rsid w:val="00960765"/>
    <w:rsid w:val="0096208B"/>
    <w:rsid w:val="00962C34"/>
    <w:rsid w:val="009630AE"/>
    <w:rsid w:val="00963890"/>
    <w:rsid w:val="009640E7"/>
    <w:rsid w:val="009644DB"/>
    <w:rsid w:val="009645F4"/>
    <w:rsid w:val="009654D7"/>
    <w:rsid w:val="00965763"/>
    <w:rsid w:val="0096577F"/>
    <w:rsid w:val="00966B86"/>
    <w:rsid w:val="00967320"/>
    <w:rsid w:val="00970373"/>
    <w:rsid w:val="0097104B"/>
    <w:rsid w:val="00971751"/>
    <w:rsid w:val="00971F8F"/>
    <w:rsid w:val="00972738"/>
    <w:rsid w:val="00972DF9"/>
    <w:rsid w:val="00973A43"/>
    <w:rsid w:val="00973AD7"/>
    <w:rsid w:val="00974291"/>
    <w:rsid w:val="00974DA9"/>
    <w:rsid w:val="009752CE"/>
    <w:rsid w:val="009755B5"/>
    <w:rsid w:val="0097581F"/>
    <w:rsid w:val="009762B7"/>
    <w:rsid w:val="00976614"/>
    <w:rsid w:val="00976BDC"/>
    <w:rsid w:val="009771A0"/>
    <w:rsid w:val="00977E49"/>
    <w:rsid w:val="00980B50"/>
    <w:rsid w:val="00981047"/>
    <w:rsid w:val="00981557"/>
    <w:rsid w:val="00981B57"/>
    <w:rsid w:val="0098211A"/>
    <w:rsid w:val="0098243E"/>
    <w:rsid w:val="00982B4E"/>
    <w:rsid w:val="00982DC3"/>
    <w:rsid w:val="00983218"/>
    <w:rsid w:val="00983499"/>
    <w:rsid w:val="00983791"/>
    <w:rsid w:val="0098488A"/>
    <w:rsid w:val="00984A0E"/>
    <w:rsid w:val="00984D65"/>
    <w:rsid w:val="009856F3"/>
    <w:rsid w:val="00985880"/>
    <w:rsid w:val="00985E50"/>
    <w:rsid w:val="009870DA"/>
    <w:rsid w:val="009872E3"/>
    <w:rsid w:val="009874DE"/>
    <w:rsid w:val="00987ED0"/>
    <w:rsid w:val="0099053C"/>
    <w:rsid w:val="0099057C"/>
    <w:rsid w:val="009905BB"/>
    <w:rsid w:val="0099072B"/>
    <w:rsid w:val="009917AF"/>
    <w:rsid w:val="009919BA"/>
    <w:rsid w:val="00991F77"/>
    <w:rsid w:val="00991FAF"/>
    <w:rsid w:val="00992AF1"/>
    <w:rsid w:val="00992BC7"/>
    <w:rsid w:val="0099356F"/>
    <w:rsid w:val="00993E03"/>
    <w:rsid w:val="00993F84"/>
    <w:rsid w:val="009946B9"/>
    <w:rsid w:val="00995601"/>
    <w:rsid w:val="0099575B"/>
    <w:rsid w:val="00996191"/>
    <w:rsid w:val="00996DB2"/>
    <w:rsid w:val="009971C8"/>
    <w:rsid w:val="009977EA"/>
    <w:rsid w:val="00997D58"/>
    <w:rsid w:val="009A14B5"/>
    <w:rsid w:val="009A16EB"/>
    <w:rsid w:val="009A17FC"/>
    <w:rsid w:val="009A293D"/>
    <w:rsid w:val="009A4A56"/>
    <w:rsid w:val="009A5479"/>
    <w:rsid w:val="009A5976"/>
    <w:rsid w:val="009A5A19"/>
    <w:rsid w:val="009A64EE"/>
    <w:rsid w:val="009A77D3"/>
    <w:rsid w:val="009A785F"/>
    <w:rsid w:val="009B1477"/>
    <w:rsid w:val="009B2A37"/>
    <w:rsid w:val="009B2EA0"/>
    <w:rsid w:val="009B3F70"/>
    <w:rsid w:val="009B4C5C"/>
    <w:rsid w:val="009B4D6A"/>
    <w:rsid w:val="009B612D"/>
    <w:rsid w:val="009B6357"/>
    <w:rsid w:val="009B74E2"/>
    <w:rsid w:val="009B755F"/>
    <w:rsid w:val="009B7A09"/>
    <w:rsid w:val="009B7DB7"/>
    <w:rsid w:val="009C1096"/>
    <w:rsid w:val="009C182C"/>
    <w:rsid w:val="009C18C4"/>
    <w:rsid w:val="009C1C43"/>
    <w:rsid w:val="009C2450"/>
    <w:rsid w:val="009C26E9"/>
    <w:rsid w:val="009C29DA"/>
    <w:rsid w:val="009C2D60"/>
    <w:rsid w:val="009C2E46"/>
    <w:rsid w:val="009C3C67"/>
    <w:rsid w:val="009C3F60"/>
    <w:rsid w:val="009C409B"/>
    <w:rsid w:val="009C41AE"/>
    <w:rsid w:val="009C430A"/>
    <w:rsid w:val="009C45E0"/>
    <w:rsid w:val="009C48DF"/>
    <w:rsid w:val="009C4BE1"/>
    <w:rsid w:val="009C4F9A"/>
    <w:rsid w:val="009C560F"/>
    <w:rsid w:val="009C56E1"/>
    <w:rsid w:val="009C5C2C"/>
    <w:rsid w:val="009C5EDB"/>
    <w:rsid w:val="009C64AD"/>
    <w:rsid w:val="009C6579"/>
    <w:rsid w:val="009C6736"/>
    <w:rsid w:val="009C6D57"/>
    <w:rsid w:val="009C76D3"/>
    <w:rsid w:val="009C7997"/>
    <w:rsid w:val="009C7B91"/>
    <w:rsid w:val="009C7CAC"/>
    <w:rsid w:val="009C7D72"/>
    <w:rsid w:val="009D0F92"/>
    <w:rsid w:val="009D18DC"/>
    <w:rsid w:val="009D1AD0"/>
    <w:rsid w:val="009D1D39"/>
    <w:rsid w:val="009D24B5"/>
    <w:rsid w:val="009D2A28"/>
    <w:rsid w:val="009D2C26"/>
    <w:rsid w:val="009D369D"/>
    <w:rsid w:val="009D37D5"/>
    <w:rsid w:val="009D3B07"/>
    <w:rsid w:val="009D3D3E"/>
    <w:rsid w:val="009D4C02"/>
    <w:rsid w:val="009D54C8"/>
    <w:rsid w:val="009D6067"/>
    <w:rsid w:val="009D6755"/>
    <w:rsid w:val="009D676E"/>
    <w:rsid w:val="009D6D10"/>
    <w:rsid w:val="009D72D5"/>
    <w:rsid w:val="009D7DB2"/>
    <w:rsid w:val="009E028D"/>
    <w:rsid w:val="009E0965"/>
    <w:rsid w:val="009E1346"/>
    <w:rsid w:val="009E199A"/>
    <w:rsid w:val="009E19F7"/>
    <w:rsid w:val="009E2419"/>
    <w:rsid w:val="009E2B32"/>
    <w:rsid w:val="009E3B8E"/>
    <w:rsid w:val="009E4339"/>
    <w:rsid w:val="009E4672"/>
    <w:rsid w:val="009E4BCF"/>
    <w:rsid w:val="009E4D00"/>
    <w:rsid w:val="009E4E80"/>
    <w:rsid w:val="009E5323"/>
    <w:rsid w:val="009E59FF"/>
    <w:rsid w:val="009E5BA7"/>
    <w:rsid w:val="009E6389"/>
    <w:rsid w:val="009E7622"/>
    <w:rsid w:val="009E792F"/>
    <w:rsid w:val="009F0AF8"/>
    <w:rsid w:val="009F0E5A"/>
    <w:rsid w:val="009F1012"/>
    <w:rsid w:val="009F1BE6"/>
    <w:rsid w:val="009F20C1"/>
    <w:rsid w:val="009F3328"/>
    <w:rsid w:val="009F33F4"/>
    <w:rsid w:val="009F3A12"/>
    <w:rsid w:val="009F46F9"/>
    <w:rsid w:val="009F4B67"/>
    <w:rsid w:val="009F5332"/>
    <w:rsid w:val="009F56CF"/>
    <w:rsid w:val="009F5B9E"/>
    <w:rsid w:val="009F6717"/>
    <w:rsid w:val="009F67E3"/>
    <w:rsid w:val="009F6A84"/>
    <w:rsid w:val="009F6C8B"/>
    <w:rsid w:val="009F7681"/>
    <w:rsid w:val="00A00F21"/>
    <w:rsid w:val="00A02706"/>
    <w:rsid w:val="00A03569"/>
    <w:rsid w:val="00A03A6E"/>
    <w:rsid w:val="00A043BC"/>
    <w:rsid w:val="00A0461D"/>
    <w:rsid w:val="00A04BBC"/>
    <w:rsid w:val="00A04DCC"/>
    <w:rsid w:val="00A053A1"/>
    <w:rsid w:val="00A057B8"/>
    <w:rsid w:val="00A05F21"/>
    <w:rsid w:val="00A066A7"/>
    <w:rsid w:val="00A0708F"/>
    <w:rsid w:val="00A10A47"/>
    <w:rsid w:val="00A10F80"/>
    <w:rsid w:val="00A11740"/>
    <w:rsid w:val="00A11AEE"/>
    <w:rsid w:val="00A11D9E"/>
    <w:rsid w:val="00A1203B"/>
    <w:rsid w:val="00A130E0"/>
    <w:rsid w:val="00A13C93"/>
    <w:rsid w:val="00A15817"/>
    <w:rsid w:val="00A1638B"/>
    <w:rsid w:val="00A163A1"/>
    <w:rsid w:val="00A16771"/>
    <w:rsid w:val="00A168EF"/>
    <w:rsid w:val="00A16ED1"/>
    <w:rsid w:val="00A17E9A"/>
    <w:rsid w:val="00A2034C"/>
    <w:rsid w:val="00A20506"/>
    <w:rsid w:val="00A2092D"/>
    <w:rsid w:val="00A212B1"/>
    <w:rsid w:val="00A21D12"/>
    <w:rsid w:val="00A21FA4"/>
    <w:rsid w:val="00A22301"/>
    <w:rsid w:val="00A229A1"/>
    <w:rsid w:val="00A2353F"/>
    <w:rsid w:val="00A23591"/>
    <w:rsid w:val="00A23598"/>
    <w:rsid w:val="00A242F9"/>
    <w:rsid w:val="00A24909"/>
    <w:rsid w:val="00A249E3"/>
    <w:rsid w:val="00A254DC"/>
    <w:rsid w:val="00A256EC"/>
    <w:rsid w:val="00A25E26"/>
    <w:rsid w:val="00A269BD"/>
    <w:rsid w:val="00A26A03"/>
    <w:rsid w:val="00A26C34"/>
    <w:rsid w:val="00A26CD1"/>
    <w:rsid w:val="00A26F81"/>
    <w:rsid w:val="00A27E31"/>
    <w:rsid w:val="00A312A2"/>
    <w:rsid w:val="00A317D0"/>
    <w:rsid w:val="00A31B3E"/>
    <w:rsid w:val="00A3430F"/>
    <w:rsid w:val="00A3541F"/>
    <w:rsid w:val="00A3554D"/>
    <w:rsid w:val="00A35E45"/>
    <w:rsid w:val="00A364CE"/>
    <w:rsid w:val="00A36ED0"/>
    <w:rsid w:val="00A371C0"/>
    <w:rsid w:val="00A40F49"/>
    <w:rsid w:val="00A40F8C"/>
    <w:rsid w:val="00A4196D"/>
    <w:rsid w:val="00A42440"/>
    <w:rsid w:val="00A424CE"/>
    <w:rsid w:val="00A42611"/>
    <w:rsid w:val="00A42AD0"/>
    <w:rsid w:val="00A42BE4"/>
    <w:rsid w:val="00A42C19"/>
    <w:rsid w:val="00A43497"/>
    <w:rsid w:val="00A43521"/>
    <w:rsid w:val="00A43DC0"/>
    <w:rsid w:val="00A4469C"/>
    <w:rsid w:val="00A455F4"/>
    <w:rsid w:val="00A456B4"/>
    <w:rsid w:val="00A476E5"/>
    <w:rsid w:val="00A47C80"/>
    <w:rsid w:val="00A51038"/>
    <w:rsid w:val="00A51976"/>
    <w:rsid w:val="00A51A01"/>
    <w:rsid w:val="00A52289"/>
    <w:rsid w:val="00A53101"/>
    <w:rsid w:val="00A5387C"/>
    <w:rsid w:val="00A54589"/>
    <w:rsid w:val="00A547E2"/>
    <w:rsid w:val="00A54BB5"/>
    <w:rsid w:val="00A54E66"/>
    <w:rsid w:val="00A55C67"/>
    <w:rsid w:val="00A56478"/>
    <w:rsid w:val="00A56582"/>
    <w:rsid w:val="00A56711"/>
    <w:rsid w:val="00A56BCC"/>
    <w:rsid w:val="00A56C39"/>
    <w:rsid w:val="00A56C6E"/>
    <w:rsid w:val="00A56DD8"/>
    <w:rsid w:val="00A57E24"/>
    <w:rsid w:val="00A60A38"/>
    <w:rsid w:val="00A60CC4"/>
    <w:rsid w:val="00A60CED"/>
    <w:rsid w:val="00A60EF4"/>
    <w:rsid w:val="00A61BBB"/>
    <w:rsid w:val="00A61EF8"/>
    <w:rsid w:val="00A61F21"/>
    <w:rsid w:val="00A626D6"/>
    <w:rsid w:val="00A628B5"/>
    <w:rsid w:val="00A6354B"/>
    <w:rsid w:val="00A639D8"/>
    <w:rsid w:val="00A63C39"/>
    <w:rsid w:val="00A6466B"/>
    <w:rsid w:val="00A64A95"/>
    <w:rsid w:val="00A64FE0"/>
    <w:rsid w:val="00A65A2A"/>
    <w:rsid w:val="00A65CE8"/>
    <w:rsid w:val="00A6766F"/>
    <w:rsid w:val="00A67673"/>
    <w:rsid w:val="00A67761"/>
    <w:rsid w:val="00A67F05"/>
    <w:rsid w:val="00A70563"/>
    <w:rsid w:val="00A70569"/>
    <w:rsid w:val="00A714A7"/>
    <w:rsid w:val="00A71A53"/>
    <w:rsid w:val="00A71BF2"/>
    <w:rsid w:val="00A71E38"/>
    <w:rsid w:val="00A71FA3"/>
    <w:rsid w:val="00A72921"/>
    <w:rsid w:val="00A7348C"/>
    <w:rsid w:val="00A7370C"/>
    <w:rsid w:val="00A73A2A"/>
    <w:rsid w:val="00A74055"/>
    <w:rsid w:val="00A7458F"/>
    <w:rsid w:val="00A7464A"/>
    <w:rsid w:val="00A7480D"/>
    <w:rsid w:val="00A758B8"/>
    <w:rsid w:val="00A76C5A"/>
    <w:rsid w:val="00A77A5B"/>
    <w:rsid w:val="00A80BDD"/>
    <w:rsid w:val="00A80D14"/>
    <w:rsid w:val="00A80DA5"/>
    <w:rsid w:val="00A8181F"/>
    <w:rsid w:val="00A81D78"/>
    <w:rsid w:val="00A82BDE"/>
    <w:rsid w:val="00A82C6B"/>
    <w:rsid w:val="00A82E90"/>
    <w:rsid w:val="00A83715"/>
    <w:rsid w:val="00A837CA"/>
    <w:rsid w:val="00A83C2D"/>
    <w:rsid w:val="00A8468E"/>
    <w:rsid w:val="00A8693C"/>
    <w:rsid w:val="00A86C24"/>
    <w:rsid w:val="00A86D32"/>
    <w:rsid w:val="00A87CF7"/>
    <w:rsid w:val="00A90132"/>
    <w:rsid w:val="00A90191"/>
    <w:rsid w:val="00A9035E"/>
    <w:rsid w:val="00A90988"/>
    <w:rsid w:val="00A9127A"/>
    <w:rsid w:val="00A916F0"/>
    <w:rsid w:val="00A9178E"/>
    <w:rsid w:val="00A92380"/>
    <w:rsid w:val="00A92A15"/>
    <w:rsid w:val="00A93019"/>
    <w:rsid w:val="00A9367B"/>
    <w:rsid w:val="00A93C38"/>
    <w:rsid w:val="00A93DAB"/>
    <w:rsid w:val="00A9460E"/>
    <w:rsid w:val="00A9496F"/>
    <w:rsid w:val="00A94FBD"/>
    <w:rsid w:val="00A959A4"/>
    <w:rsid w:val="00A96890"/>
    <w:rsid w:val="00A9698B"/>
    <w:rsid w:val="00A96CDD"/>
    <w:rsid w:val="00A96D6C"/>
    <w:rsid w:val="00A97849"/>
    <w:rsid w:val="00AA17E3"/>
    <w:rsid w:val="00AA2FB1"/>
    <w:rsid w:val="00AA41C9"/>
    <w:rsid w:val="00AA4858"/>
    <w:rsid w:val="00AA5043"/>
    <w:rsid w:val="00AA6B14"/>
    <w:rsid w:val="00AA6CC7"/>
    <w:rsid w:val="00AA6EDB"/>
    <w:rsid w:val="00AA70E8"/>
    <w:rsid w:val="00AA74A0"/>
    <w:rsid w:val="00AA7F22"/>
    <w:rsid w:val="00AB06F7"/>
    <w:rsid w:val="00AB0C0E"/>
    <w:rsid w:val="00AB0DCD"/>
    <w:rsid w:val="00AB10F3"/>
    <w:rsid w:val="00AB122F"/>
    <w:rsid w:val="00AB1527"/>
    <w:rsid w:val="00AB20AA"/>
    <w:rsid w:val="00AB2373"/>
    <w:rsid w:val="00AB279B"/>
    <w:rsid w:val="00AB331C"/>
    <w:rsid w:val="00AB3B65"/>
    <w:rsid w:val="00AB4168"/>
    <w:rsid w:val="00AB4595"/>
    <w:rsid w:val="00AB4EC4"/>
    <w:rsid w:val="00AB4FC2"/>
    <w:rsid w:val="00AB6174"/>
    <w:rsid w:val="00AB6594"/>
    <w:rsid w:val="00AB65CD"/>
    <w:rsid w:val="00AB67E8"/>
    <w:rsid w:val="00AB68A8"/>
    <w:rsid w:val="00AB68C8"/>
    <w:rsid w:val="00AB7B63"/>
    <w:rsid w:val="00AC0688"/>
    <w:rsid w:val="00AC14BE"/>
    <w:rsid w:val="00AC271F"/>
    <w:rsid w:val="00AC2725"/>
    <w:rsid w:val="00AC332F"/>
    <w:rsid w:val="00AC44C7"/>
    <w:rsid w:val="00AC4C63"/>
    <w:rsid w:val="00AC51E2"/>
    <w:rsid w:val="00AC554A"/>
    <w:rsid w:val="00AC6292"/>
    <w:rsid w:val="00AC62D4"/>
    <w:rsid w:val="00AC6715"/>
    <w:rsid w:val="00AC6BF1"/>
    <w:rsid w:val="00AC713A"/>
    <w:rsid w:val="00AC7534"/>
    <w:rsid w:val="00AC78F7"/>
    <w:rsid w:val="00AC7963"/>
    <w:rsid w:val="00AD114D"/>
    <w:rsid w:val="00AD1AD3"/>
    <w:rsid w:val="00AD289C"/>
    <w:rsid w:val="00AD43B3"/>
    <w:rsid w:val="00AD46DC"/>
    <w:rsid w:val="00AD49F1"/>
    <w:rsid w:val="00AD5C37"/>
    <w:rsid w:val="00AD6F8C"/>
    <w:rsid w:val="00AD7135"/>
    <w:rsid w:val="00AD7859"/>
    <w:rsid w:val="00AD7EB6"/>
    <w:rsid w:val="00AE078F"/>
    <w:rsid w:val="00AE0889"/>
    <w:rsid w:val="00AE12EA"/>
    <w:rsid w:val="00AE13FB"/>
    <w:rsid w:val="00AE150F"/>
    <w:rsid w:val="00AE153B"/>
    <w:rsid w:val="00AE3813"/>
    <w:rsid w:val="00AE3DF5"/>
    <w:rsid w:val="00AE47CF"/>
    <w:rsid w:val="00AE5584"/>
    <w:rsid w:val="00AE5C41"/>
    <w:rsid w:val="00AE5CF4"/>
    <w:rsid w:val="00AE5FA4"/>
    <w:rsid w:val="00AE668D"/>
    <w:rsid w:val="00AE6A7B"/>
    <w:rsid w:val="00AE6FFD"/>
    <w:rsid w:val="00AE7029"/>
    <w:rsid w:val="00AE70F5"/>
    <w:rsid w:val="00AE7CDC"/>
    <w:rsid w:val="00AF02BA"/>
    <w:rsid w:val="00AF0538"/>
    <w:rsid w:val="00AF1959"/>
    <w:rsid w:val="00AF19B5"/>
    <w:rsid w:val="00AF252B"/>
    <w:rsid w:val="00AF2DEF"/>
    <w:rsid w:val="00AF2F06"/>
    <w:rsid w:val="00AF3BF5"/>
    <w:rsid w:val="00AF3EAF"/>
    <w:rsid w:val="00AF3FA9"/>
    <w:rsid w:val="00AF4210"/>
    <w:rsid w:val="00AF4424"/>
    <w:rsid w:val="00AF4B38"/>
    <w:rsid w:val="00AF6E16"/>
    <w:rsid w:val="00AF706D"/>
    <w:rsid w:val="00AF7096"/>
    <w:rsid w:val="00B004C1"/>
    <w:rsid w:val="00B00ACF"/>
    <w:rsid w:val="00B019EB"/>
    <w:rsid w:val="00B01AC6"/>
    <w:rsid w:val="00B02640"/>
    <w:rsid w:val="00B02CDF"/>
    <w:rsid w:val="00B03F24"/>
    <w:rsid w:val="00B03F78"/>
    <w:rsid w:val="00B0415A"/>
    <w:rsid w:val="00B042D4"/>
    <w:rsid w:val="00B04602"/>
    <w:rsid w:val="00B05730"/>
    <w:rsid w:val="00B05ED0"/>
    <w:rsid w:val="00B05F6D"/>
    <w:rsid w:val="00B061E0"/>
    <w:rsid w:val="00B06587"/>
    <w:rsid w:val="00B06F9C"/>
    <w:rsid w:val="00B1033C"/>
    <w:rsid w:val="00B10DA1"/>
    <w:rsid w:val="00B113D6"/>
    <w:rsid w:val="00B1206B"/>
    <w:rsid w:val="00B122CF"/>
    <w:rsid w:val="00B12B03"/>
    <w:rsid w:val="00B12C83"/>
    <w:rsid w:val="00B131CE"/>
    <w:rsid w:val="00B1407A"/>
    <w:rsid w:val="00B1453B"/>
    <w:rsid w:val="00B14994"/>
    <w:rsid w:val="00B16191"/>
    <w:rsid w:val="00B163C1"/>
    <w:rsid w:val="00B16D24"/>
    <w:rsid w:val="00B16E5D"/>
    <w:rsid w:val="00B20593"/>
    <w:rsid w:val="00B211DA"/>
    <w:rsid w:val="00B217B2"/>
    <w:rsid w:val="00B21C0F"/>
    <w:rsid w:val="00B21DB1"/>
    <w:rsid w:val="00B22750"/>
    <w:rsid w:val="00B22B07"/>
    <w:rsid w:val="00B22D32"/>
    <w:rsid w:val="00B2332E"/>
    <w:rsid w:val="00B2359A"/>
    <w:rsid w:val="00B2499F"/>
    <w:rsid w:val="00B24D66"/>
    <w:rsid w:val="00B24E27"/>
    <w:rsid w:val="00B25FDE"/>
    <w:rsid w:val="00B2658C"/>
    <w:rsid w:val="00B268C5"/>
    <w:rsid w:val="00B26CBA"/>
    <w:rsid w:val="00B26D78"/>
    <w:rsid w:val="00B26F30"/>
    <w:rsid w:val="00B27946"/>
    <w:rsid w:val="00B27E2C"/>
    <w:rsid w:val="00B3025C"/>
    <w:rsid w:val="00B30B88"/>
    <w:rsid w:val="00B31192"/>
    <w:rsid w:val="00B31631"/>
    <w:rsid w:val="00B325C4"/>
    <w:rsid w:val="00B32638"/>
    <w:rsid w:val="00B32644"/>
    <w:rsid w:val="00B34098"/>
    <w:rsid w:val="00B34812"/>
    <w:rsid w:val="00B34FC6"/>
    <w:rsid w:val="00B3541D"/>
    <w:rsid w:val="00B35996"/>
    <w:rsid w:val="00B35AF5"/>
    <w:rsid w:val="00B3729B"/>
    <w:rsid w:val="00B37C0B"/>
    <w:rsid w:val="00B37F81"/>
    <w:rsid w:val="00B40F46"/>
    <w:rsid w:val="00B40F8B"/>
    <w:rsid w:val="00B4119B"/>
    <w:rsid w:val="00B412E9"/>
    <w:rsid w:val="00B4307F"/>
    <w:rsid w:val="00B43A46"/>
    <w:rsid w:val="00B43B50"/>
    <w:rsid w:val="00B43F09"/>
    <w:rsid w:val="00B4476F"/>
    <w:rsid w:val="00B449B7"/>
    <w:rsid w:val="00B451F7"/>
    <w:rsid w:val="00B46359"/>
    <w:rsid w:val="00B469C2"/>
    <w:rsid w:val="00B46AF1"/>
    <w:rsid w:val="00B503FF"/>
    <w:rsid w:val="00B508EE"/>
    <w:rsid w:val="00B50D1C"/>
    <w:rsid w:val="00B513B9"/>
    <w:rsid w:val="00B517E2"/>
    <w:rsid w:val="00B51BF8"/>
    <w:rsid w:val="00B52A3B"/>
    <w:rsid w:val="00B5309C"/>
    <w:rsid w:val="00B53120"/>
    <w:rsid w:val="00B53584"/>
    <w:rsid w:val="00B53C24"/>
    <w:rsid w:val="00B54542"/>
    <w:rsid w:val="00B54A46"/>
    <w:rsid w:val="00B54E26"/>
    <w:rsid w:val="00B553AE"/>
    <w:rsid w:val="00B556FA"/>
    <w:rsid w:val="00B5699D"/>
    <w:rsid w:val="00B57F21"/>
    <w:rsid w:val="00B6012C"/>
    <w:rsid w:val="00B6073F"/>
    <w:rsid w:val="00B60823"/>
    <w:rsid w:val="00B60A14"/>
    <w:rsid w:val="00B60B99"/>
    <w:rsid w:val="00B60C45"/>
    <w:rsid w:val="00B60CB4"/>
    <w:rsid w:val="00B60F97"/>
    <w:rsid w:val="00B611FB"/>
    <w:rsid w:val="00B61CDC"/>
    <w:rsid w:val="00B61D98"/>
    <w:rsid w:val="00B621EA"/>
    <w:rsid w:val="00B626FB"/>
    <w:rsid w:val="00B62CEA"/>
    <w:rsid w:val="00B62FEF"/>
    <w:rsid w:val="00B63026"/>
    <w:rsid w:val="00B639E8"/>
    <w:rsid w:val="00B63FC5"/>
    <w:rsid w:val="00B642B7"/>
    <w:rsid w:val="00B64A54"/>
    <w:rsid w:val="00B64C77"/>
    <w:rsid w:val="00B64DB4"/>
    <w:rsid w:val="00B65133"/>
    <w:rsid w:val="00B651A8"/>
    <w:rsid w:val="00B65921"/>
    <w:rsid w:val="00B65C30"/>
    <w:rsid w:val="00B66759"/>
    <w:rsid w:val="00B66934"/>
    <w:rsid w:val="00B66C7C"/>
    <w:rsid w:val="00B67088"/>
    <w:rsid w:val="00B702D3"/>
    <w:rsid w:val="00B71074"/>
    <w:rsid w:val="00B718D4"/>
    <w:rsid w:val="00B71A8B"/>
    <w:rsid w:val="00B721DC"/>
    <w:rsid w:val="00B72BA3"/>
    <w:rsid w:val="00B74380"/>
    <w:rsid w:val="00B74499"/>
    <w:rsid w:val="00B745D1"/>
    <w:rsid w:val="00B74934"/>
    <w:rsid w:val="00B74BFE"/>
    <w:rsid w:val="00B75718"/>
    <w:rsid w:val="00B75912"/>
    <w:rsid w:val="00B75E67"/>
    <w:rsid w:val="00B7606D"/>
    <w:rsid w:val="00B760B6"/>
    <w:rsid w:val="00B7676D"/>
    <w:rsid w:val="00B76819"/>
    <w:rsid w:val="00B768DC"/>
    <w:rsid w:val="00B76BE0"/>
    <w:rsid w:val="00B778D9"/>
    <w:rsid w:val="00B77C39"/>
    <w:rsid w:val="00B80BAB"/>
    <w:rsid w:val="00B8109C"/>
    <w:rsid w:val="00B818F9"/>
    <w:rsid w:val="00B81995"/>
    <w:rsid w:val="00B82003"/>
    <w:rsid w:val="00B826F4"/>
    <w:rsid w:val="00B82CBE"/>
    <w:rsid w:val="00B82DA8"/>
    <w:rsid w:val="00B836E0"/>
    <w:rsid w:val="00B84C14"/>
    <w:rsid w:val="00B85233"/>
    <w:rsid w:val="00B85B7A"/>
    <w:rsid w:val="00B85C55"/>
    <w:rsid w:val="00B87184"/>
    <w:rsid w:val="00B87498"/>
    <w:rsid w:val="00B876B8"/>
    <w:rsid w:val="00B87BA2"/>
    <w:rsid w:val="00B90037"/>
    <w:rsid w:val="00B90194"/>
    <w:rsid w:val="00B90994"/>
    <w:rsid w:val="00B91034"/>
    <w:rsid w:val="00B91E9E"/>
    <w:rsid w:val="00B91FE2"/>
    <w:rsid w:val="00B92372"/>
    <w:rsid w:val="00B9253F"/>
    <w:rsid w:val="00B92B73"/>
    <w:rsid w:val="00B92C04"/>
    <w:rsid w:val="00B92E92"/>
    <w:rsid w:val="00B92EF1"/>
    <w:rsid w:val="00B93352"/>
    <w:rsid w:val="00B93583"/>
    <w:rsid w:val="00B93986"/>
    <w:rsid w:val="00B94470"/>
    <w:rsid w:val="00B948D5"/>
    <w:rsid w:val="00B94BE8"/>
    <w:rsid w:val="00B94BF3"/>
    <w:rsid w:val="00B9515A"/>
    <w:rsid w:val="00B95435"/>
    <w:rsid w:val="00B9565D"/>
    <w:rsid w:val="00B95902"/>
    <w:rsid w:val="00B95CE3"/>
    <w:rsid w:val="00B95E5B"/>
    <w:rsid w:val="00B95EB7"/>
    <w:rsid w:val="00B960CC"/>
    <w:rsid w:val="00B9692C"/>
    <w:rsid w:val="00B97C96"/>
    <w:rsid w:val="00BA0E24"/>
    <w:rsid w:val="00BA1B64"/>
    <w:rsid w:val="00BA1B97"/>
    <w:rsid w:val="00BA23D4"/>
    <w:rsid w:val="00BA2F56"/>
    <w:rsid w:val="00BA3803"/>
    <w:rsid w:val="00BA3D2E"/>
    <w:rsid w:val="00BA3D6D"/>
    <w:rsid w:val="00BA3DBC"/>
    <w:rsid w:val="00BA42E3"/>
    <w:rsid w:val="00BA435D"/>
    <w:rsid w:val="00BA50D2"/>
    <w:rsid w:val="00BA554C"/>
    <w:rsid w:val="00BA55EB"/>
    <w:rsid w:val="00BA6584"/>
    <w:rsid w:val="00BA66DF"/>
    <w:rsid w:val="00BA68ED"/>
    <w:rsid w:val="00BA6A6A"/>
    <w:rsid w:val="00BA7FAD"/>
    <w:rsid w:val="00BB0713"/>
    <w:rsid w:val="00BB1454"/>
    <w:rsid w:val="00BB18EB"/>
    <w:rsid w:val="00BB2448"/>
    <w:rsid w:val="00BB2AA4"/>
    <w:rsid w:val="00BB33FA"/>
    <w:rsid w:val="00BB36D8"/>
    <w:rsid w:val="00BB374F"/>
    <w:rsid w:val="00BB3772"/>
    <w:rsid w:val="00BB37B1"/>
    <w:rsid w:val="00BB39A3"/>
    <w:rsid w:val="00BB3C50"/>
    <w:rsid w:val="00BB4E39"/>
    <w:rsid w:val="00BB5102"/>
    <w:rsid w:val="00BB5299"/>
    <w:rsid w:val="00BB585E"/>
    <w:rsid w:val="00BB5C7D"/>
    <w:rsid w:val="00BB5CF7"/>
    <w:rsid w:val="00BB5ECA"/>
    <w:rsid w:val="00BB6609"/>
    <w:rsid w:val="00BB692F"/>
    <w:rsid w:val="00BB7383"/>
    <w:rsid w:val="00BB751D"/>
    <w:rsid w:val="00BB752D"/>
    <w:rsid w:val="00BC0833"/>
    <w:rsid w:val="00BC0AC9"/>
    <w:rsid w:val="00BC0F73"/>
    <w:rsid w:val="00BC156D"/>
    <w:rsid w:val="00BC2C4B"/>
    <w:rsid w:val="00BC2CDC"/>
    <w:rsid w:val="00BC2E73"/>
    <w:rsid w:val="00BC42D6"/>
    <w:rsid w:val="00BC47E8"/>
    <w:rsid w:val="00BC4E13"/>
    <w:rsid w:val="00BC50BC"/>
    <w:rsid w:val="00BC55D6"/>
    <w:rsid w:val="00BC59AE"/>
    <w:rsid w:val="00BC6048"/>
    <w:rsid w:val="00BC79CE"/>
    <w:rsid w:val="00BD01AB"/>
    <w:rsid w:val="00BD0281"/>
    <w:rsid w:val="00BD09FE"/>
    <w:rsid w:val="00BD0C97"/>
    <w:rsid w:val="00BD0E7D"/>
    <w:rsid w:val="00BD1192"/>
    <w:rsid w:val="00BD1409"/>
    <w:rsid w:val="00BD22B5"/>
    <w:rsid w:val="00BD2AC1"/>
    <w:rsid w:val="00BD2AC9"/>
    <w:rsid w:val="00BD3075"/>
    <w:rsid w:val="00BD35D1"/>
    <w:rsid w:val="00BD6043"/>
    <w:rsid w:val="00BD6370"/>
    <w:rsid w:val="00BD6D43"/>
    <w:rsid w:val="00BD7242"/>
    <w:rsid w:val="00BD7342"/>
    <w:rsid w:val="00BE1E95"/>
    <w:rsid w:val="00BE268E"/>
    <w:rsid w:val="00BE32B4"/>
    <w:rsid w:val="00BE3C86"/>
    <w:rsid w:val="00BE3F72"/>
    <w:rsid w:val="00BE4493"/>
    <w:rsid w:val="00BE45D1"/>
    <w:rsid w:val="00BE49D5"/>
    <w:rsid w:val="00BE4B68"/>
    <w:rsid w:val="00BE502A"/>
    <w:rsid w:val="00BE5103"/>
    <w:rsid w:val="00BE5306"/>
    <w:rsid w:val="00BE5698"/>
    <w:rsid w:val="00BE681D"/>
    <w:rsid w:val="00BE6831"/>
    <w:rsid w:val="00BE71AD"/>
    <w:rsid w:val="00BE78BF"/>
    <w:rsid w:val="00BE7D02"/>
    <w:rsid w:val="00BF0539"/>
    <w:rsid w:val="00BF104E"/>
    <w:rsid w:val="00BF16F5"/>
    <w:rsid w:val="00BF3600"/>
    <w:rsid w:val="00BF3C95"/>
    <w:rsid w:val="00BF4261"/>
    <w:rsid w:val="00BF4B0D"/>
    <w:rsid w:val="00BF4B5B"/>
    <w:rsid w:val="00BF61C2"/>
    <w:rsid w:val="00BF6886"/>
    <w:rsid w:val="00BF6A61"/>
    <w:rsid w:val="00C0049A"/>
    <w:rsid w:val="00C006D1"/>
    <w:rsid w:val="00C00B2B"/>
    <w:rsid w:val="00C01211"/>
    <w:rsid w:val="00C0196F"/>
    <w:rsid w:val="00C01C0F"/>
    <w:rsid w:val="00C02891"/>
    <w:rsid w:val="00C02AE4"/>
    <w:rsid w:val="00C035F8"/>
    <w:rsid w:val="00C0384D"/>
    <w:rsid w:val="00C03AB0"/>
    <w:rsid w:val="00C04F2F"/>
    <w:rsid w:val="00C05F2D"/>
    <w:rsid w:val="00C06583"/>
    <w:rsid w:val="00C0669D"/>
    <w:rsid w:val="00C0672A"/>
    <w:rsid w:val="00C10231"/>
    <w:rsid w:val="00C10B07"/>
    <w:rsid w:val="00C10E40"/>
    <w:rsid w:val="00C1101C"/>
    <w:rsid w:val="00C1176F"/>
    <w:rsid w:val="00C12033"/>
    <w:rsid w:val="00C13090"/>
    <w:rsid w:val="00C1310C"/>
    <w:rsid w:val="00C13CA7"/>
    <w:rsid w:val="00C13F22"/>
    <w:rsid w:val="00C1425D"/>
    <w:rsid w:val="00C1489C"/>
    <w:rsid w:val="00C15AC7"/>
    <w:rsid w:val="00C15E18"/>
    <w:rsid w:val="00C1641D"/>
    <w:rsid w:val="00C1799E"/>
    <w:rsid w:val="00C17B75"/>
    <w:rsid w:val="00C17B85"/>
    <w:rsid w:val="00C2001C"/>
    <w:rsid w:val="00C205E8"/>
    <w:rsid w:val="00C20680"/>
    <w:rsid w:val="00C20A62"/>
    <w:rsid w:val="00C2117E"/>
    <w:rsid w:val="00C215BD"/>
    <w:rsid w:val="00C2186D"/>
    <w:rsid w:val="00C21F0A"/>
    <w:rsid w:val="00C22176"/>
    <w:rsid w:val="00C226C9"/>
    <w:rsid w:val="00C2278C"/>
    <w:rsid w:val="00C2291C"/>
    <w:rsid w:val="00C22D91"/>
    <w:rsid w:val="00C23564"/>
    <w:rsid w:val="00C23A80"/>
    <w:rsid w:val="00C23F4C"/>
    <w:rsid w:val="00C24698"/>
    <w:rsid w:val="00C2541B"/>
    <w:rsid w:val="00C254D7"/>
    <w:rsid w:val="00C25F47"/>
    <w:rsid w:val="00C2655F"/>
    <w:rsid w:val="00C26653"/>
    <w:rsid w:val="00C26E6C"/>
    <w:rsid w:val="00C27D10"/>
    <w:rsid w:val="00C30128"/>
    <w:rsid w:val="00C30EDA"/>
    <w:rsid w:val="00C30EFC"/>
    <w:rsid w:val="00C31539"/>
    <w:rsid w:val="00C31CDA"/>
    <w:rsid w:val="00C31D98"/>
    <w:rsid w:val="00C329FF"/>
    <w:rsid w:val="00C32AAE"/>
    <w:rsid w:val="00C32D79"/>
    <w:rsid w:val="00C32F84"/>
    <w:rsid w:val="00C34499"/>
    <w:rsid w:val="00C346A1"/>
    <w:rsid w:val="00C34879"/>
    <w:rsid w:val="00C3499D"/>
    <w:rsid w:val="00C34D2E"/>
    <w:rsid w:val="00C360E6"/>
    <w:rsid w:val="00C376A0"/>
    <w:rsid w:val="00C37743"/>
    <w:rsid w:val="00C37C93"/>
    <w:rsid w:val="00C401C5"/>
    <w:rsid w:val="00C402BA"/>
    <w:rsid w:val="00C4061F"/>
    <w:rsid w:val="00C40C25"/>
    <w:rsid w:val="00C4111B"/>
    <w:rsid w:val="00C4177D"/>
    <w:rsid w:val="00C41AF7"/>
    <w:rsid w:val="00C41F4C"/>
    <w:rsid w:val="00C4269A"/>
    <w:rsid w:val="00C42E55"/>
    <w:rsid w:val="00C42E96"/>
    <w:rsid w:val="00C432BC"/>
    <w:rsid w:val="00C45237"/>
    <w:rsid w:val="00C4576B"/>
    <w:rsid w:val="00C45894"/>
    <w:rsid w:val="00C4593D"/>
    <w:rsid w:val="00C45D06"/>
    <w:rsid w:val="00C46434"/>
    <w:rsid w:val="00C470AA"/>
    <w:rsid w:val="00C4718A"/>
    <w:rsid w:val="00C47C01"/>
    <w:rsid w:val="00C47C80"/>
    <w:rsid w:val="00C52457"/>
    <w:rsid w:val="00C525D8"/>
    <w:rsid w:val="00C53413"/>
    <w:rsid w:val="00C537C3"/>
    <w:rsid w:val="00C5382D"/>
    <w:rsid w:val="00C555C2"/>
    <w:rsid w:val="00C55B1F"/>
    <w:rsid w:val="00C56A55"/>
    <w:rsid w:val="00C57B80"/>
    <w:rsid w:val="00C57F35"/>
    <w:rsid w:val="00C610AD"/>
    <w:rsid w:val="00C611DF"/>
    <w:rsid w:val="00C61E41"/>
    <w:rsid w:val="00C6212F"/>
    <w:rsid w:val="00C6334C"/>
    <w:rsid w:val="00C63488"/>
    <w:rsid w:val="00C6385F"/>
    <w:rsid w:val="00C63AC4"/>
    <w:rsid w:val="00C63AEE"/>
    <w:rsid w:val="00C6456C"/>
    <w:rsid w:val="00C647B9"/>
    <w:rsid w:val="00C649A1"/>
    <w:rsid w:val="00C65A04"/>
    <w:rsid w:val="00C66456"/>
    <w:rsid w:val="00C667A3"/>
    <w:rsid w:val="00C66D42"/>
    <w:rsid w:val="00C66F7E"/>
    <w:rsid w:val="00C67056"/>
    <w:rsid w:val="00C6739A"/>
    <w:rsid w:val="00C6743F"/>
    <w:rsid w:val="00C6753A"/>
    <w:rsid w:val="00C67E46"/>
    <w:rsid w:val="00C71C9B"/>
    <w:rsid w:val="00C728B3"/>
    <w:rsid w:val="00C73BC1"/>
    <w:rsid w:val="00C73FB4"/>
    <w:rsid w:val="00C7436F"/>
    <w:rsid w:val="00C75056"/>
    <w:rsid w:val="00C75807"/>
    <w:rsid w:val="00C75968"/>
    <w:rsid w:val="00C7628C"/>
    <w:rsid w:val="00C76704"/>
    <w:rsid w:val="00C770E5"/>
    <w:rsid w:val="00C7722F"/>
    <w:rsid w:val="00C77585"/>
    <w:rsid w:val="00C77ECC"/>
    <w:rsid w:val="00C80396"/>
    <w:rsid w:val="00C8050C"/>
    <w:rsid w:val="00C80CC9"/>
    <w:rsid w:val="00C813BE"/>
    <w:rsid w:val="00C81415"/>
    <w:rsid w:val="00C81427"/>
    <w:rsid w:val="00C81550"/>
    <w:rsid w:val="00C8155F"/>
    <w:rsid w:val="00C82E43"/>
    <w:rsid w:val="00C83401"/>
    <w:rsid w:val="00C838FF"/>
    <w:rsid w:val="00C84AF7"/>
    <w:rsid w:val="00C84B83"/>
    <w:rsid w:val="00C868A1"/>
    <w:rsid w:val="00C87058"/>
    <w:rsid w:val="00C87FBB"/>
    <w:rsid w:val="00C90091"/>
    <w:rsid w:val="00C90292"/>
    <w:rsid w:val="00C906C1"/>
    <w:rsid w:val="00C909C4"/>
    <w:rsid w:val="00C90E2D"/>
    <w:rsid w:val="00C90FAD"/>
    <w:rsid w:val="00C91889"/>
    <w:rsid w:val="00C91914"/>
    <w:rsid w:val="00C92B8E"/>
    <w:rsid w:val="00C93211"/>
    <w:rsid w:val="00C932A7"/>
    <w:rsid w:val="00C933DB"/>
    <w:rsid w:val="00C9341B"/>
    <w:rsid w:val="00C938A5"/>
    <w:rsid w:val="00C93AB2"/>
    <w:rsid w:val="00C95057"/>
    <w:rsid w:val="00C9594B"/>
    <w:rsid w:val="00C95AB7"/>
    <w:rsid w:val="00C96568"/>
    <w:rsid w:val="00C9753B"/>
    <w:rsid w:val="00C979B4"/>
    <w:rsid w:val="00C97A3A"/>
    <w:rsid w:val="00C97CA1"/>
    <w:rsid w:val="00CA01D8"/>
    <w:rsid w:val="00CA0685"/>
    <w:rsid w:val="00CA0690"/>
    <w:rsid w:val="00CA103C"/>
    <w:rsid w:val="00CA18EC"/>
    <w:rsid w:val="00CA1C43"/>
    <w:rsid w:val="00CA1D4E"/>
    <w:rsid w:val="00CA2DDB"/>
    <w:rsid w:val="00CA3001"/>
    <w:rsid w:val="00CA4419"/>
    <w:rsid w:val="00CA4B13"/>
    <w:rsid w:val="00CA4B1A"/>
    <w:rsid w:val="00CA5DE2"/>
    <w:rsid w:val="00CA5E87"/>
    <w:rsid w:val="00CA64EE"/>
    <w:rsid w:val="00CA77EF"/>
    <w:rsid w:val="00CA7806"/>
    <w:rsid w:val="00CA7BE3"/>
    <w:rsid w:val="00CB0CCC"/>
    <w:rsid w:val="00CB10E4"/>
    <w:rsid w:val="00CB1156"/>
    <w:rsid w:val="00CB1594"/>
    <w:rsid w:val="00CB15F9"/>
    <w:rsid w:val="00CB1875"/>
    <w:rsid w:val="00CB1EB7"/>
    <w:rsid w:val="00CB20B9"/>
    <w:rsid w:val="00CB266D"/>
    <w:rsid w:val="00CB2AC1"/>
    <w:rsid w:val="00CB2D86"/>
    <w:rsid w:val="00CB2DBE"/>
    <w:rsid w:val="00CB39C1"/>
    <w:rsid w:val="00CB3B85"/>
    <w:rsid w:val="00CB62B8"/>
    <w:rsid w:val="00CB66C4"/>
    <w:rsid w:val="00CB6BD9"/>
    <w:rsid w:val="00CB717C"/>
    <w:rsid w:val="00CB7E70"/>
    <w:rsid w:val="00CB7F40"/>
    <w:rsid w:val="00CC14A2"/>
    <w:rsid w:val="00CC1AA4"/>
    <w:rsid w:val="00CC347C"/>
    <w:rsid w:val="00CC402E"/>
    <w:rsid w:val="00CC4053"/>
    <w:rsid w:val="00CC43CF"/>
    <w:rsid w:val="00CC498C"/>
    <w:rsid w:val="00CC5089"/>
    <w:rsid w:val="00CC5B3D"/>
    <w:rsid w:val="00CC63AC"/>
    <w:rsid w:val="00CC64A3"/>
    <w:rsid w:val="00CC6D0D"/>
    <w:rsid w:val="00CC728E"/>
    <w:rsid w:val="00CC742F"/>
    <w:rsid w:val="00CC7597"/>
    <w:rsid w:val="00CD0ACE"/>
    <w:rsid w:val="00CD0EF8"/>
    <w:rsid w:val="00CD0F3A"/>
    <w:rsid w:val="00CD13BC"/>
    <w:rsid w:val="00CD17D8"/>
    <w:rsid w:val="00CD2D78"/>
    <w:rsid w:val="00CD3430"/>
    <w:rsid w:val="00CD3F3F"/>
    <w:rsid w:val="00CD46F1"/>
    <w:rsid w:val="00CD46FC"/>
    <w:rsid w:val="00CD4785"/>
    <w:rsid w:val="00CD4CC3"/>
    <w:rsid w:val="00CD58EE"/>
    <w:rsid w:val="00CD5D54"/>
    <w:rsid w:val="00CD6EDF"/>
    <w:rsid w:val="00CD7E69"/>
    <w:rsid w:val="00CE006C"/>
    <w:rsid w:val="00CE1299"/>
    <w:rsid w:val="00CE1B9C"/>
    <w:rsid w:val="00CE2707"/>
    <w:rsid w:val="00CE2A1D"/>
    <w:rsid w:val="00CE3271"/>
    <w:rsid w:val="00CE36DC"/>
    <w:rsid w:val="00CE374D"/>
    <w:rsid w:val="00CE470C"/>
    <w:rsid w:val="00CE4914"/>
    <w:rsid w:val="00CE4CB5"/>
    <w:rsid w:val="00CE4F1E"/>
    <w:rsid w:val="00CE4F85"/>
    <w:rsid w:val="00CE51FD"/>
    <w:rsid w:val="00CE563D"/>
    <w:rsid w:val="00CE5DEB"/>
    <w:rsid w:val="00CE6180"/>
    <w:rsid w:val="00CE6ECB"/>
    <w:rsid w:val="00CE72A7"/>
    <w:rsid w:val="00CE7C92"/>
    <w:rsid w:val="00CF0D0C"/>
    <w:rsid w:val="00CF0FF8"/>
    <w:rsid w:val="00CF14EB"/>
    <w:rsid w:val="00CF1F9E"/>
    <w:rsid w:val="00CF2609"/>
    <w:rsid w:val="00CF2DF0"/>
    <w:rsid w:val="00CF3B01"/>
    <w:rsid w:val="00CF3E29"/>
    <w:rsid w:val="00CF4138"/>
    <w:rsid w:val="00CF4512"/>
    <w:rsid w:val="00CF4BE9"/>
    <w:rsid w:val="00CF4C06"/>
    <w:rsid w:val="00CF550D"/>
    <w:rsid w:val="00CF56DC"/>
    <w:rsid w:val="00CF5D36"/>
    <w:rsid w:val="00CF5FA8"/>
    <w:rsid w:val="00CF6F2A"/>
    <w:rsid w:val="00CF7247"/>
    <w:rsid w:val="00CF7676"/>
    <w:rsid w:val="00CF7824"/>
    <w:rsid w:val="00CF78F4"/>
    <w:rsid w:val="00CF7BDF"/>
    <w:rsid w:val="00D0005D"/>
    <w:rsid w:val="00D000F2"/>
    <w:rsid w:val="00D00111"/>
    <w:rsid w:val="00D00BF8"/>
    <w:rsid w:val="00D00E63"/>
    <w:rsid w:val="00D00EE0"/>
    <w:rsid w:val="00D01209"/>
    <w:rsid w:val="00D01BF9"/>
    <w:rsid w:val="00D02673"/>
    <w:rsid w:val="00D02D37"/>
    <w:rsid w:val="00D02D3D"/>
    <w:rsid w:val="00D03B9E"/>
    <w:rsid w:val="00D03EBC"/>
    <w:rsid w:val="00D03F52"/>
    <w:rsid w:val="00D047CB"/>
    <w:rsid w:val="00D05030"/>
    <w:rsid w:val="00D055D2"/>
    <w:rsid w:val="00D05D28"/>
    <w:rsid w:val="00D05EC4"/>
    <w:rsid w:val="00D06518"/>
    <w:rsid w:val="00D06546"/>
    <w:rsid w:val="00D06570"/>
    <w:rsid w:val="00D06B64"/>
    <w:rsid w:val="00D07063"/>
    <w:rsid w:val="00D07239"/>
    <w:rsid w:val="00D10678"/>
    <w:rsid w:val="00D10F0A"/>
    <w:rsid w:val="00D112E9"/>
    <w:rsid w:val="00D1230D"/>
    <w:rsid w:val="00D12683"/>
    <w:rsid w:val="00D129FC"/>
    <w:rsid w:val="00D12CEC"/>
    <w:rsid w:val="00D13604"/>
    <w:rsid w:val="00D136F6"/>
    <w:rsid w:val="00D13731"/>
    <w:rsid w:val="00D13A29"/>
    <w:rsid w:val="00D13C8E"/>
    <w:rsid w:val="00D14250"/>
    <w:rsid w:val="00D151B1"/>
    <w:rsid w:val="00D15803"/>
    <w:rsid w:val="00D1724A"/>
    <w:rsid w:val="00D20F92"/>
    <w:rsid w:val="00D2162D"/>
    <w:rsid w:val="00D21960"/>
    <w:rsid w:val="00D222E6"/>
    <w:rsid w:val="00D22856"/>
    <w:rsid w:val="00D22A4C"/>
    <w:rsid w:val="00D22B69"/>
    <w:rsid w:val="00D2373C"/>
    <w:rsid w:val="00D23A0B"/>
    <w:rsid w:val="00D23F8B"/>
    <w:rsid w:val="00D242A8"/>
    <w:rsid w:val="00D25FE7"/>
    <w:rsid w:val="00D26D92"/>
    <w:rsid w:val="00D271BB"/>
    <w:rsid w:val="00D2731E"/>
    <w:rsid w:val="00D27821"/>
    <w:rsid w:val="00D279B2"/>
    <w:rsid w:val="00D279E2"/>
    <w:rsid w:val="00D300C7"/>
    <w:rsid w:val="00D30392"/>
    <w:rsid w:val="00D30AF0"/>
    <w:rsid w:val="00D3128E"/>
    <w:rsid w:val="00D31378"/>
    <w:rsid w:val="00D3140C"/>
    <w:rsid w:val="00D31AFA"/>
    <w:rsid w:val="00D329C4"/>
    <w:rsid w:val="00D32AE3"/>
    <w:rsid w:val="00D32DD5"/>
    <w:rsid w:val="00D33622"/>
    <w:rsid w:val="00D3376D"/>
    <w:rsid w:val="00D34B9D"/>
    <w:rsid w:val="00D3543C"/>
    <w:rsid w:val="00D35756"/>
    <w:rsid w:val="00D373C9"/>
    <w:rsid w:val="00D374EF"/>
    <w:rsid w:val="00D37A46"/>
    <w:rsid w:val="00D37F95"/>
    <w:rsid w:val="00D40182"/>
    <w:rsid w:val="00D405C6"/>
    <w:rsid w:val="00D40D0C"/>
    <w:rsid w:val="00D4138B"/>
    <w:rsid w:val="00D41EB4"/>
    <w:rsid w:val="00D4260C"/>
    <w:rsid w:val="00D42ED6"/>
    <w:rsid w:val="00D43D02"/>
    <w:rsid w:val="00D43ED6"/>
    <w:rsid w:val="00D44669"/>
    <w:rsid w:val="00D4478D"/>
    <w:rsid w:val="00D44E69"/>
    <w:rsid w:val="00D45864"/>
    <w:rsid w:val="00D46B9A"/>
    <w:rsid w:val="00D46ED6"/>
    <w:rsid w:val="00D47660"/>
    <w:rsid w:val="00D47C24"/>
    <w:rsid w:val="00D47CAD"/>
    <w:rsid w:val="00D47EAA"/>
    <w:rsid w:val="00D5042F"/>
    <w:rsid w:val="00D513C9"/>
    <w:rsid w:val="00D51B10"/>
    <w:rsid w:val="00D52B41"/>
    <w:rsid w:val="00D52F67"/>
    <w:rsid w:val="00D52FA8"/>
    <w:rsid w:val="00D539F2"/>
    <w:rsid w:val="00D5443D"/>
    <w:rsid w:val="00D55018"/>
    <w:rsid w:val="00D55D9E"/>
    <w:rsid w:val="00D5652B"/>
    <w:rsid w:val="00D566AD"/>
    <w:rsid w:val="00D56A07"/>
    <w:rsid w:val="00D56F1C"/>
    <w:rsid w:val="00D57719"/>
    <w:rsid w:val="00D57BE3"/>
    <w:rsid w:val="00D6030B"/>
    <w:rsid w:val="00D610E5"/>
    <w:rsid w:val="00D6131E"/>
    <w:rsid w:val="00D615E1"/>
    <w:rsid w:val="00D61AB6"/>
    <w:rsid w:val="00D6212B"/>
    <w:rsid w:val="00D626BB"/>
    <w:rsid w:val="00D62DC3"/>
    <w:rsid w:val="00D6424F"/>
    <w:rsid w:val="00D64B7A"/>
    <w:rsid w:val="00D654DE"/>
    <w:rsid w:val="00D6568D"/>
    <w:rsid w:val="00D6665E"/>
    <w:rsid w:val="00D66732"/>
    <w:rsid w:val="00D66AE7"/>
    <w:rsid w:val="00D67DAE"/>
    <w:rsid w:val="00D70B47"/>
    <w:rsid w:val="00D70BD0"/>
    <w:rsid w:val="00D713D0"/>
    <w:rsid w:val="00D714DE"/>
    <w:rsid w:val="00D726C8"/>
    <w:rsid w:val="00D72CBD"/>
    <w:rsid w:val="00D72D6F"/>
    <w:rsid w:val="00D73088"/>
    <w:rsid w:val="00D732F3"/>
    <w:rsid w:val="00D735AE"/>
    <w:rsid w:val="00D736D6"/>
    <w:rsid w:val="00D73964"/>
    <w:rsid w:val="00D7536B"/>
    <w:rsid w:val="00D75647"/>
    <w:rsid w:val="00D76A54"/>
    <w:rsid w:val="00D777A3"/>
    <w:rsid w:val="00D802BD"/>
    <w:rsid w:val="00D81170"/>
    <w:rsid w:val="00D815BE"/>
    <w:rsid w:val="00D82705"/>
    <w:rsid w:val="00D82B0C"/>
    <w:rsid w:val="00D8462C"/>
    <w:rsid w:val="00D848DC"/>
    <w:rsid w:val="00D8547E"/>
    <w:rsid w:val="00D85575"/>
    <w:rsid w:val="00D85B65"/>
    <w:rsid w:val="00D85DC6"/>
    <w:rsid w:val="00D86394"/>
    <w:rsid w:val="00D86FD1"/>
    <w:rsid w:val="00D873FE"/>
    <w:rsid w:val="00D901C7"/>
    <w:rsid w:val="00D9178B"/>
    <w:rsid w:val="00D922C3"/>
    <w:rsid w:val="00D922D2"/>
    <w:rsid w:val="00D92F6C"/>
    <w:rsid w:val="00D93896"/>
    <w:rsid w:val="00D93A42"/>
    <w:rsid w:val="00D940A1"/>
    <w:rsid w:val="00D94357"/>
    <w:rsid w:val="00D9466E"/>
    <w:rsid w:val="00D94929"/>
    <w:rsid w:val="00D94A55"/>
    <w:rsid w:val="00D95676"/>
    <w:rsid w:val="00D95933"/>
    <w:rsid w:val="00D95E82"/>
    <w:rsid w:val="00D96009"/>
    <w:rsid w:val="00D96FC1"/>
    <w:rsid w:val="00D97B0A"/>
    <w:rsid w:val="00DA038C"/>
    <w:rsid w:val="00DA1240"/>
    <w:rsid w:val="00DA1A27"/>
    <w:rsid w:val="00DA2645"/>
    <w:rsid w:val="00DA2A3F"/>
    <w:rsid w:val="00DA324F"/>
    <w:rsid w:val="00DA4632"/>
    <w:rsid w:val="00DA4980"/>
    <w:rsid w:val="00DA4B2D"/>
    <w:rsid w:val="00DA4FD1"/>
    <w:rsid w:val="00DA5F39"/>
    <w:rsid w:val="00DA60AE"/>
    <w:rsid w:val="00DA629A"/>
    <w:rsid w:val="00DA6B0F"/>
    <w:rsid w:val="00DA6C75"/>
    <w:rsid w:val="00DA796F"/>
    <w:rsid w:val="00DA7AEC"/>
    <w:rsid w:val="00DB01EE"/>
    <w:rsid w:val="00DB0274"/>
    <w:rsid w:val="00DB02E9"/>
    <w:rsid w:val="00DB136F"/>
    <w:rsid w:val="00DB13BC"/>
    <w:rsid w:val="00DB14F7"/>
    <w:rsid w:val="00DB1C06"/>
    <w:rsid w:val="00DB2D23"/>
    <w:rsid w:val="00DB4796"/>
    <w:rsid w:val="00DB49E6"/>
    <w:rsid w:val="00DB6BCA"/>
    <w:rsid w:val="00DB70D8"/>
    <w:rsid w:val="00DC0627"/>
    <w:rsid w:val="00DC07CE"/>
    <w:rsid w:val="00DC1DCA"/>
    <w:rsid w:val="00DC20C1"/>
    <w:rsid w:val="00DC2B2C"/>
    <w:rsid w:val="00DC31FA"/>
    <w:rsid w:val="00DC3D27"/>
    <w:rsid w:val="00DC4F26"/>
    <w:rsid w:val="00DC51CA"/>
    <w:rsid w:val="00DC5AEC"/>
    <w:rsid w:val="00DC60BF"/>
    <w:rsid w:val="00DC612E"/>
    <w:rsid w:val="00DC637A"/>
    <w:rsid w:val="00DC6741"/>
    <w:rsid w:val="00DC6C00"/>
    <w:rsid w:val="00DC721D"/>
    <w:rsid w:val="00DC7917"/>
    <w:rsid w:val="00DC7A16"/>
    <w:rsid w:val="00DC7FF1"/>
    <w:rsid w:val="00DD012F"/>
    <w:rsid w:val="00DD0233"/>
    <w:rsid w:val="00DD046B"/>
    <w:rsid w:val="00DD1315"/>
    <w:rsid w:val="00DD1499"/>
    <w:rsid w:val="00DD16F2"/>
    <w:rsid w:val="00DD193E"/>
    <w:rsid w:val="00DD1C12"/>
    <w:rsid w:val="00DD1D8B"/>
    <w:rsid w:val="00DD29A6"/>
    <w:rsid w:val="00DD2A88"/>
    <w:rsid w:val="00DD2A9A"/>
    <w:rsid w:val="00DD2CB7"/>
    <w:rsid w:val="00DD2F2F"/>
    <w:rsid w:val="00DD370D"/>
    <w:rsid w:val="00DD3BB6"/>
    <w:rsid w:val="00DD407F"/>
    <w:rsid w:val="00DD411B"/>
    <w:rsid w:val="00DD4AC5"/>
    <w:rsid w:val="00DD4D93"/>
    <w:rsid w:val="00DD55C4"/>
    <w:rsid w:val="00DD5D7D"/>
    <w:rsid w:val="00DD646B"/>
    <w:rsid w:val="00DE0960"/>
    <w:rsid w:val="00DE1F27"/>
    <w:rsid w:val="00DE21EA"/>
    <w:rsid w:val="00DE24F5"/>
    <w:rsid w:val="00DE27DD"/>
    <w:rsid w:val="00DE2AE5"/>
    <w:rsid w:val="00DE2AE9"/>
    <w:rsid w:val="00DE3A2D"/>
    <w:rsid w:val="00DE3AD7"/>
    <w:rsid w:val="00DE4834"/>
    <w:rsid w:val="00DE48CC"/>
    <w:rsid w:val="00DE4D62"/>
    <w:rsid w:val="00DE5936"/>
    <w:rsid w:val="00DE64B5"/>
    <w:rsid w:val="00DE7474"/>
    <w:rsid w:val="00DE7D71"/>
    <w:rsid w:val="00DF0955"/>
    <w:rsid w:val="00DF0AA3"/>
    <w:rsid w:val="00DF10C0"/>
    <w:rsid w:val="00DF1231"/>
    <w:rsid w:val="00DF1467"/>
    <w:rsid w:val="00DF227A"/>
    <w:rsid w:val="00DF22F8"/>
    <w:rsid w:val="00DF3350"/>
    <w:rsid w:val="00DF39F3"/>
    <w:rsid w:val="00DF3C21"/>
    <w:rsid w:val="00DF3C55"/>
    <w:rsid w:val="00DF4F08"/>
    <w:rsid w:val="00DF5548"/>
    <w:rsid w:val="00DF5681"/>
    <w:rsid w:val="00DF5AB5"/>
    <w:rsid w:val="00DF5CC6"/>
    <w:rsid w:val="00DF6627"/>
    <w:rsid w:val="00DF691C"/>
    <w:rsid w:val="00DF6A53"/>
    <w:rsid w:val="00DF70F4"/>
    <w:rsid w:val="00DF7292"/>
    <w:rsid w:val="00DF7FD0"/>
    <w:rsid w:val="00E002B6"/>
    <w:rsid w:val="00E00692"/>
    <w:rsid w:val="00E020E6"/>
    <w:rsid w:val="00E031FA"/>
    <w:rsid w:val="00E035DB"/>
    <w:rsid w:val="00E03BE9"/>
    <w:rsid w:val="00E048FA"/>
    <w:rsid w:val="00E0490C"/>
    <w:rsid w:val="00E04DD8"/>
    <w:rsid w:val="00E0550D"/>
    <w:rsid w:val="00E05677"/>
    <w:rsid w:val="00E056A9"/>
    <w:rsid w:val="00E05868"/>
    <w:rsid w:val="00E05FC0"/>
    <w:rsid w:val="00E062E4"/>
    <w:rsid w:val="00E07587"/>
    <w:rsid w:val="00E076DD"/>
    <w:rsid w:val="00E11492"/>
    <w:rsid w:val="00E114DE"/>
    <w:rsid w:val="00E11953"/>
    <w:rsid w:val="00E13700"/>
    <w:rsid w:val="00E137ED"/>
    <w:rsid w:val="00E13983"/>
    <w:rsid w:val="00E13A3F"/>
    <w:rsid w:val="00E13CC8"/>
    <w:rsid w:val="00E13D8B"/>
    <w:rsid w:val="00E13E9B"/>
    <w:rsid w:val="00E13F65"/>
    <w:rsid w:val="00E144BF"/>
    <w:rsid w:val="00E1484F"/>
    <w:rsid w:val="00E15063"/>
    <w:rsid w:val="00E15622"/>
    <w:rsid w:val="00E15682"/>
    <w:rsid w:val="00E157D7"/>
    <w:rsid w:val="00E1590E"/>
    <w:rsid w:val="00E15A90"/>
    <w:rsid w:val="00E15FED"/>
    <w:rsid w:val="00E16451"/>
    <w:rsid w:val="00E17591"/>
    <w:rsid w:val="00E2019F"/>
    <w:rsid w:val="00E20B21"/>
    <w:rsid w:val="00E215D1"/>
    <w:rsid w:val="00E218CE"/>
    <w:rsid w:val="00E21E0F"/>
    <w:rsid w:val="00E21FF0"/>
    <w:rsid w:val="00E224B4"/>
    <w:rsid w:val="00E225D5"/>
    <w:rsid w:val="00E229BD"/>
    <w:rsid w:val="00E22D36"/>
    <w:rsid w:val="00E22ED6"/>
    <w:rsid w:val="00E240DA"/>
    <w:rsid w:val="00E2437E"/>
    <w:rsid w:val="00E24647"/>
    <w:rsid w:val="00E248C2"/>
    <w:rsid w:val="00E248F8"/>
    <w:rsid w:val="00E2570D"/>
    <w:rsid w:val="00E25727"/>
    <w:rsid w:val="00E26E31"/>
    <w:rsid w:val="00E26E59"/>
    <w:rsid w:val="00E27581"/>
    <w:rsid w:val="00E277B0"/>
    <w:rsid w:val="00E27835"/>
    <w:rsid w:val="00E309F3"/>
    <w:rsid w:val="00E312FB"/>
    <w:rsid w:val="00E3155E"/>
    <w:rsid w:val="00E3197E"/>
    <w:rsid w:val="00E31C88"/>
    <w:rsid w:val="00E321D8"/>
    <w:rsid w:val="00E323F5"/>
    <w:rsid w:val="00E32A9A"/>
    <w:rsid w:val="00E32EA5"/>
    <w:rsid w:val="00E332FB"/>
    <w:rsid w:val="00E34548"/>
    <w:rsid w:val="00E34C65"/>
    <w:rsid w:val="00E3513C"/>
    <w:rsid w:val="00E360C3"/>
    <w:rsid w:val="00E36354"/>
    <w:rsid w:val="00E36B3E"/>
    <w:rsid w:val="00E36B68"/>
    <w:rsid w:val="00E36CB7"/>
    <w:rsid w:val="00E36F49"/>
    <w:rsid w:val="00E36F90"/>
    <w:rsid w:val="00E40197"/>
    <w:rsid w:val="00E404E3"/>
    <w:rsid w:val="00E406AE"/>
    <w:rsid w:val="00E41102"/>
    <w:rsid w:val="00E42DB9"/>
    <w:rsid w:val="00E4331D"/>
    <w:rsid w:val="00E433D9"/>
    <w:rsid w:val="00E433E3"/>
    <w:rsid w:val="00E43919"/>
    <w:rsid w:val="00E43E8E"/>
    <w:rsid w:val="00E44802"/>
    <w:rsid w:val="00E44B72"/>
    <w:rsid w:val="00E45150"/>
    <w:rsid w:val="00E4555E"/>
    <w:rsid w:val="00E457D7"/>
    <w:rsid w:val="00E46057"/>
    <w:rsid w:val="00E4633E"/>
    <w:rsid w:val="00E464AA"/>
    <w:rsid w:val="00E46A58"/>
    <w:rsid w:val="00E46E2F"/>
    <w:rsid w:val="00E47251"/>
    <w:rsid w:val="00E50210"/>
    <w:rsid w:val="00E5094D"/>
    <w:rsid w:val="00E50E2C"/>
    <w:rsid w:val="00E51BA7"/>
    <w:rsid w:val="00E51F76"/>
    <w:rsid w:val="00E52EF7"/>
    <w:rsid w:val="00E54728"/>
    <w:rsid w:val="00E54984"/>
    <w:rsid w:val="00E55A49"/>
    <w:rsid w:val="00E56113"/>
    <w:rsid w:val="00E56179"/>
    <w:rsid w:val="00E56704"/>
    <w:rsid w:val="00E56E04"/>
    <w:rsid w:val="00E5750C"/>
    <w:rsid w:val="00E579F8"/>
    <w:rsid w:val="00E57C68"/>
    <w:rsid w:val="00E57EC7"/>
    <w:rsid w:val="00E6174B"/>
    <w:rsid w:val="00E623DD"/>
    <w:rsid w:val="00E6288D"/>
    <w:rsid w:val="00E62F80"/>
    <w:rsid w:val="00E6374B"/>
    <w:rsid w:val="00E64738"/>
    <w:rsid w:val="00E65B66"/>
    <w:rsid w:val="00E66436"/>
    <w:rsid w:val="00E669E9"/>
    <w:rsid w:val="00E66C78"/>
    <w:rsid w:val="00E6712A"/>
    <w:rsid w:val="00E7049F"/>
    <w:rsid w:val="00E70678"/>
    <w:rsid w:val="00E71F85"/>
    <w:rsid w:val="00E72A2A"/>
    <w:rsid w:val="00E72A76"/>
    <w:rsid w:val="00E72BD5"/>
    <w:rsid w:val="00E739F7"/>
    <w:rsid w:val="00E7482A"/>
    <w:rsid w:val="00E74CB7"/>
    <w:rsid w:val="00E75640"/>
    <w:rsid w:val="00E756F8"/>
    <w:rsid w:val="00E802BF"/>
    <w:rsid w:val="00E80416"/>
    <w:rsid w:val="00E804C9"/>
    <w:rsid w:val="00E807B2"/>
    <w:rsid w:val="00E80838"/>
    <w:rsid w:val="00E809C2"/>
    <w:rsid w:val="00E81EA0"/>
    <w:rsid w:val="00E82855"/>
    <w:rsid w:val="00E82E43"/>
    <w:rsid w:val="00E82ECD"/>
    <w:rsid w:val="00E82F8F"/>
    <w:rsid w:val="00E83292"/>
    <w:rsid w:val="00E838CE"/>
    <w:rsid w:val="00E83B47"/>
    <w:rsid w:val="00E840AD"/>
    <w:rsid w:val="00E8455A"/>
    <w:rsid w:val="00E84C82"/>
    <w:rsid w:val="00E85932"/>
    <w:rsid w:val="00E85ABD"/>
    <w:rsid w:val="00E85F47"/>
    <w:rsid w:val="00E86254"/>
    <w:rsid w:val="00E867A6"/>
    <w:rsid w:val="00E868A6"/>
    <w:rsid w:val="00E869C2"/>
    <w:rsid w:val="00E86A49"/>
    <w:rsid w:val="00E86F80"/>
    <w:rsid w:val="00E87894"/>
    <w:rsid w:val="00E87A2A"/>
    <w:rsid w:val="00E90118"/>
    <w:rsid w:val="00E90913"/>
    <w:rsid w:val="00E9112E"/>
    <w:rsid w:val="00E91225"/>
    <w:rsid w:val="00E916B4"/>
    <w:rsid w:val="00E91A1C"/>
    <w:rsid w:val="00E91DC1"/>
    <w:rsid w:val="00E91EA3"/>
    <w:rsid w:val="00E9204D"/>
    <w:rsid w:val="00E92B5C"/>
    <w:rsid w:val="00E92EEB"/>
    <w:rsid w:val="00E93434"/>
    <w:rsid w:val="00E94349"/>
    <w:rsid w:val="00E94A4A"/>
    <w:rsid w:val="00E95012"/>
    <w:rsid w:val="00E956A6"/>
    <w:rsid w:val="00E95975"/>
    <w:rsid w:val="00E95B0E"/>
    <w:rsid w:val="00E95D49"/>
    <w:rsid w:val="00E974CD"/>
    <w:rsid w:val="00E9799A"/>
    <w:rsid w:val="00E97F8E"/>
    <w:rsid w:val="00EA07DB"/>
    <w:rsid w:val="00EA0C8A"/>
    <w:rsid w:val="00EA0CFA"/>
    <w:rsid w:val="00EA1C2B"/>
    <w:rsid w:val="00EA219A"/>
    <w:rsid w:val="00EA3C17"/>
    <w:rsid w:val="00EA4407"/>
    <w:rsid w:val="00EA4459"/>
    <w:rsid w:val="00EA51EF"/>
    <w:rsid w:val="00EA57D3"/>
    <w:rsid w:val="00EA5BA1"/>
    <w:rsid w:val="00EA61EB"/>
    <w:rsid w:val="00EA6764"/>
    <w:rsid w:val="00EA6A26"/>
    <w:rsid w:val="00EA6C10"/>
    <w:rsid w:val="00EA6C95"/>
    <w:rsid w:val="00EA7002"/>
    <w:rsid w:val="00EA7B49"/>
    <w:rsid w:val="00EB08BB"/>
    <w:rsid w:val="00EB0E94"/>
    <w:rsid w:val="00EB112E"/>
    <w:rsid w:val="00EB15AA"/>
    <w:rsid w:val="00EB2162"/>
    <w:rsid w:val="00EB2635"/>
    <w:rsid w:val="00EB310E"/>
    <w:rsid w:val="00EB3556"/>
    <w:rsid w:val="00EB4B5E"/>
    <w:rsid w:val="00EB4D60"/>
    <w:rsid w:val="00EB5C3B"/>
    <w:rsid w:val="00EB5DED"/>
    <w:rsid w:val="00EB631B"/>
    <w:rsid w:val="00EB6DCF"/>
    <w:rsid w:val="00EB6F7D"/>
    <w:rsid w:val="00EB7901"/>
    <w:rsid w:val="00EB7963"/>
    <w:rsid w:val="00EC03B5"/>
    <w:rsid w:val="00EC05D6"/>
    <w:rsid w:val="00EC0951"/>
    <w:rsid w:val="00EC1F7D"/>
    <w:rsid w:val="00EC26FE"/>
    <w:rsid w:val="00EC2D66"/>
    <w:rsid w:val="00EC2F0F"/>
    <w:rsid w:val="00EC3B52"/>
    <w:rsid w:val="00EC456C"/>
    <w:rsid w:val="00EC4DA5"/>
    <w:rsid w:val="00EC6647"/>
    <w:rsid w:val="00EC69CD"/>
    <w:rsid w:val="00EC6D30"/>
    <w:rsid w:val="00EC7398"/>
    <w:rsid w:val="00EC7807"/>
    <w:rsid w:val="00EC7C34"/>
    <w:rsid w:val="00ED0BE7"/>
    <w:rsid w:val="00ED0DDA"/>
    <w:rsid w:val="00ED0FFC"/>
    <w:rsid w:val="00ED1325"/>
    <w:rsid w:val="00ED137A"/>
    <w:rsid w:val="00ED1773"/>
    <w:rsid w:val="00ED1818"/>
    <w:rsid w:val="00ED1860"/>
    <w:rsid w:val="00ED188F"/>
    <w:rsid w:val="00ED18E5"/>
    <w:rsid w:val="00ED1AB5"/>
    <w:rsid w:val="00ED1DDB"/>
    <w:rsid w:val="00ED283A"/>
    <w:rsid w:val="00ED28CB"/>
    <w:rsid w:val="00ED345A"/>
    <w:rsid w:val="00ED45F0"/>
    <w:rsid w:val="00ED6A00"/>
    <w:rsid w:val="00ED762A"/>
    <w:rsid w:val="00ED76AB"/>
    <w:rsid w:val="00ED7AAE"/>
    <w:rsid w:val="00ED7B4D"/>
    <w:rsid w:val="00ED7F6D"/>
    <w:rsid w:val="00EE0327"/>
    <w:rsid w:val="00EE13B1"/>
    <w:rsid w:val="00EE13D2"/>
    <w:rsid w:val="00EE1C1B"/>
    <w:rsid w:val="00EE212E"/>
    <w:rsid w:val="00EE322F"/>
    <w:rsid w:val="00EE3A61"/>
    <w:rsid w:val="00EE46CD"/>
    <w:rsid w:val="00EE4972"/>
    <w:rsid w:val="00EE4B2E"/>
    <w:rsid w:val="00EE5DBD"/>
    <w:rsid w:val="00EE6C6C"/>
    <w:rsid w:val="00EE723F"/>
    <w:rsid w:val="00EE7795"/>
    <w:rsid w:val="00EE7B5C"/>
    <w:rsid w:val="00EF0AEC"/>
    <w:rsid w:val="00EF0CF0"/>
    <w:rsid w:val="00EF0F35"/>
    <w:rsid w:val="00EF11F6"/>
    <w:rsid w:val="00EF1771"/>
    <w:rsid w:val="00EF1A5E"/>
    <w:rsid w:val="00EF1F6B"/>
    <w:rsid w:val="00EF1FAF"/>
    <w:rsid w:val="00EF1FED"/>
    <w:rsid w:val="00EF2837"/>
    <w:rsid w:val="00EF2E94"/>
    <w:rsid w:val="00EF336E"/>
    <w:rsid w:val="00EF3DB6"/>
    <w:rsid w:val="00EF47E2"/>
    <w:rsid w:val="00EF4905"/>
    <w:rsid w:val="00EF4B1E"/>
    <w:rsid w:val="00EF4E04"/>
    <w:rsid w:val="00EF6680"/>
    <w:rsid w:val="00EF7275"/>
    <w:rsid w:val="00EF740D"/>
    <w:rsid w:val="00EF7A41"/>
    <w:rsid w:val="00EF7E41"/>
    <w:rsid w:val="00EF7F05"/>
    <w:rsid w:val="00F01820"/>
    <w:rsid w:val="00F024DC"/>
    <w:rsid w:val="00F02A70"/>
    <w:rsid w:val="00F02AA6"/>
    <w:rsid w:val="00F02E85"/>
    <w:rsid w:val="00F03DC5"/>
    <w:rsid w:val="00F04820"/>
    <w:rsid w:val="00F04D2D"/>
    <w:rsid w:val="00F04DAD"/>
    <w:rsid w:val="00F04F34"/>
    <w:rsid w:val="00F058C5"/>
    <w:rsid w:val="00F05F31"/>
    <w:rsid w:val="00F065C9"/>
    <w:rsid w:val="00F06783"/>
    <w:rsid w:val="00F07204"/>
    <w:rsid w:val="00F0722D"/>
    <w:rsid w:val="00F10B9F"/>
    <w:rsid w:val="00F10EDB"/>
    <w:rsid w:val="00F11B3F"/>
    <w:rsid w:val="00F11C00"/>
    <w:rsid w:val="00F11D3E"/>
    <w:rsid w:val="00F11DA7"/>
    <w:rsid w:val="00F1236F"/>
    <w:rsid w:val="00F123CE"/>
    <w:rsid w:val="00F123F0"/>
    <w:rsid w:val="00F12452"/>
    <w:rsid w:val="00F1269E"/>
    <w:rsid w:val="00F126BE"/>
    <w:rsid w:val="00F12715"/>
    <w:rsid w:val="00F1280A"/>
    <w:rsid w:val="00F12B77"/>
    <w:rsid w:val="00F12E8E"/>
    <w:rsid w:val="00F13449"/>
    <w:rsid w:val="00F134AC"/>
    <w:rsid w:val="00F14E2D"/>
    <w:rsid w:val="00F14EE6"/>
    <w:rsid w:val="00F152DB"/>
    <w:rsid w:val="00F157D9"/>
    <w:rsid w:val="00F15C69"/>
    <w:rsid w:val="00F16C7B"/>
    <w:rsid w:val="00F1736B"/>
    <w:rsid w:val="00F17C15"/>
    <w:rsid w:val="00F20439"/>
    <w:rsid w:val="00F22243"/>
    <w:rsid w:val="00F22279"/>
    <w:rsid w:val="00F22A85"/>
    <w:rsid w:val="00F22CFD"/>
    <w:rsid w:val="00F23301"/>
    <w:rsid w:val="00F23307"/>
    <w:rsid w:val="00F2362A"/>
    <w:rsid w:val="00F23A22"/>
    <w:rsid w:val="00F2401B"/>
    <w:rsid w:val="00F246BD"/>
    <w:rsid w:val="00F24817"/>
    <w:rsid w:val="00F2573C"/>
    <w:rsid w:val="00F25A58"/>
    <w:rsid w:val="00F263D8"/>
    <w:rsid w:val="00F265DB"/>
    <w:rsid w:val="00F2692F"/>
    <w:rsid w:val="00F26D79"/>
    <w:rsid w:val="00F27199"/>
    <w:rsid w:val="00F2731D"/>
    <w:rsid w:val="00F27E20"/>
    <w:rsid w:val="00F27EFD"/>
    <w:rsid w:val="00F3010C"/>
    <w:rsid w:val="00F30560"/>
    <w:rsid w:val="00F307F0"/>
    <w:rsid w:val="00F30EC7"/>
    <w:rsid w:val="00F3134D"/>
    <w:rsid w:val="00F3188A"/>
    <w:rsid w:val="00F31B6E"/>
    <w:rsid w:val="00F32788"/>
    <w:rsid w:val="00F329CD"/>
    <w:rsid w:val="00F33AB2"/>
    <w:rsid w:val="00F33BBC"/>
    <w:rsid w:val="00F34947"/>
    <w:rsid w:val="00F34C3D"/>
    <w:rsid w:val="00F3512B"/>
    <w:rsid w:val="00F351F8"/>
    <w:rsid w:val="00F35A07"/>
    <w:rsid w:val="00F37F72"/>
    <w:rsid w:val="00F404BB"/>
    <w:rsid w:val="00F409D2"/>
    <w:rsid w:val="00F41FBF"/>
    <w:rsid w:val="00F42030"/>
    <w:rsid w:val="00F42374"/>
    <w:rsid w:val="00F42640"/>
    <w:rsid w:val="00F429CB"/>
    <w:rsid w:val="00F435D2"/>
    <w:rsid w:val="00F443D3"/>
    <w:rsid w:val="00F44DE7"/>
    <w:rsid w:val="00F44EAA"/>
    <w:rsid w:val="00F44F0B"/>
    <w:rsid w:val="00F44FD5"/>
    <w:rsid w:val="00F453CA"/>
    <w:rsid w:val="00F46092"/>
    <w:rsid w:val="00F4654C"/>
    <w:rsid w:val="00F4796E"/>
    <w:rsid w:val="00F47C7F"/>
    <w:rsid w:val="00F50200"/>
    <w:rsid w:val="00F51767"/>
    <w:rsid w:val="00F518A0"/>
    <w:rsid w:val="00F51D3D"/>
    <w:rsid w:val="00F51FD8"/>
    <w:rsid w:val="00F52BD9"/>
    <w:rsid w:val="00F52C4D"/>
    <w:rsid w:val="00F53376"/>
    <w:rsid w:val="00F53FAB"/>
    <w:rsid w:val="00F54977"/>
    <w:rsid w:val="00F54F45"/>
    <w:rsid w:val="00F55218"/>
    <w:rsid w:val="00F5578F"/>
    <w:rsid w:val="00F56025"/>
    <w:rsid w:val="00F5687D"/>
    <w:rsid w:val="00F57116"/>
    <w:rsid w:val="00F57370"/>
    <w:rsid w:val="00F60A3B"/>
    <w:rsid w:val="00F60CA7"/>
    <w:rsid w:val="00F6102B"/>
    <w:rsid w:val="00F61362"/>
    <w:rsid w:val="00F628EF"/>
    <w:rsid w:val="00F62E50"/>
    <w:rsid w:val="00F632D7"/>
    <w:rsid w:val="00F63423"/>
    <w:rsid w:val="00F63535"/>
    <w:rsid w:val="00F638E7"/>
    <w:rsid w:val="00F64177"/>
    <w:rsid w:val="00F643BF"/>
    <w:rsid w:val="00F64850"/>
    <w:rsid w:val="00F649B5"/>
    <w:rsid w:val="00F64AF8"/>
    <w:rsid w:val="00F658C8"/>
    <w:rsid w:val="00F659B5"/>
    <w:rsid w:val="00F6600E"/>
    <w:rsid w:val="00F669D2"/>
    <w:rsid w:val="00F66FB3"/>
    <w:rsid w:val="00F675FC"/>
    <w:rsid w:val="00F67E8B"/>
    <w:rsid w:val="00F67F49"/>
    <w:rsid w:val="00F70093"/>
    <w:rsid w:val="00F708E5"/>
    <w:rsid w:val="00F70AD9"/>
    <w:rsid w:val="00F7149D"/>
    <w:rsid w:val="00F718AB"/>
    <w:rsid w:val="00F71F05"/>
    <w:rsid w:val="00F72241"/>
    <w:rsid w:val="00F74DB9"/>
    <w:rsid w:val="00F77197"/>
    <w:rsid w:val="00F77D18"/>
    <w:rsid w:val="00F77FDD"/>
    <w:rsid w:val="00F80484"/>
    <w:rsid w:val="00F812ED"/>
    <w:rsid w:val="00F81EA4"/>
    <w:rsid w:val="00F823F8"/>
    <w:rsid w:val="00F82E53"/>
    <w:rsid w:val="00F82FEA"/>
    <w:rsid w:val="00F83436"/>
    <w:rsid w:val="00F84F3A"/>
    <w:rsid w:val="00F863DC"/>
    <w:rsid w:val="00F871C0"/>
    <w:rsid w:val="00F873BA"/>
    <w:rsid w:val="00F873C1"/>
    <w:rsid w:val="00F876FC"/>
    <w:rsid w:val="00F87891"/>
    <w:rsid w:val="00F87904"/>
    <w:rsid w:val="00F87984"/>
    <w:rsid w:val="00F87DBA"/>
    <w:rsid w:val="00F902DB"/>
    <w:rsid w:val="00F9043E"/>
    <w:rsid w:val="00F908E8"/>
    <w:rsid w:val="00F92A4D"/>
    <w:rsid w:val="00F94003"/>
    <w:rsid w:val="00F943CF"/>
    <w:rsid w:val="00F945AF"/>
    <w:rsid w:val="00F94734"/>
    <w:rsid w:val="00F94AFE"/>
    <w:rsid w:val="00F94E51"/>
    <w:rsid w:val="00F95601"/>
    <w:rsid w:val="00F95FE4"/>
    <w:rsid w:val="00F9617D"/>
    <w:rsid w:val="00F96B7F"/>
    <w:rsid w:val="00F9758B"/>
    <w:rsid w:val="00F97D90"/>
    <w:rsid w:val="00F97ED5"/>
    <w:rsid w:val="00FA0C31"/>
    <w:rsid w:val="00FA1918"/>
    <w:rsid w:val="00FA1A20"/>
    <w:rsid w:val="00FA1BFC"/>
    <w:rsid w:val="00FA2208"/>
    <w:rsid w:val="00FA45F3"/>
    <w:rsid w:val="00FA4A3A"/>
    <w:rsid w:val="00FA4E46"/>
    <w:rsid w:val="00FA5A45"/>
    <w:rsid w:val="00FA5E13"/>
    <w:rsid w:val="00FA67C1"/>
    <w:rsid w:val="00FA7295"/>
    <w:rsid w:val="00FA769D"/>
    <w:rsid w:val="00FB00FE"/>
    <w:rsid w:val="00FB0447"/>
    <w:rsid w:val="00FB06BE"/>
    <w:rsid w:val="00FB0BE0"/>
    <w:rsid w:val="00FB1037"/>
    <w:rsid w:val="00FB12B6"/>
    <w:rsid w:val="00FB1386"/>
    <w:rsid w:val="00FB1A8D"/>
    <w:rsid w:val="00FB33B9"/>
    <w:rsid w:val="00FB47ED"/>
    <w:rsid w:val="00FB4B8A"/>
    <w:rsid w:val="00FB5260"/>
    <w:rsid w:val="00FB55BD"/>
    <w:rsid w:val="00FB5F72"/>
    <w:rsid w:val="00FB62CB"/>
    <w:rsid w:val="00FB68E2"/>
    <w:rsid w:val="00FB6DEE"/>
    <w:rsid w:val="00FB7607"/>
    <w:rsid w:val="00FB7E77"/>
    <w:rsid w:val="00FC03D1"/>
    <w:rsid w:val="00FC10F3"/>
    <w:rsid w:val="00FC13B9"/>
    <w:rsid w:val="00FC145B"/>
    <w:rsid w:val="00FC155D"/>
    <w:rsid w:val="00FC1804"/>
    <w:rsid w:val="00FC1BC7"/>
    <w:rsid w:val="00FC1D72"/>
    <w:rsid w:val="00FC1EA1"/>
    <w:rsid w:val="00FC20B8"/>
    <w:rsid w:val="00FC3DA0"/>
    <w:rsid w:val="00FC41D9"/>
    <w:rsid w:val="00FC5029"/>
    <w:rsid w:val="00FC58D0"/>
    <w:rsid w:val="00FC5D9B"/>
    <w:rsid w:val="00FC6E4C"/>
    <w:rsid w:val="00FD0A29"/>
    <w:rsid w:val="00FD0D14"/>
    <w:rsid w:val="00FD12B6"/>
    <w:rsid w:val="00FD1981"/>
    <w:rsid w:val="00FD2531"/>
    <w:rsid w:val="00FD2E9E"/>
    <w:rsid w:val="00FD2FEB"/>
    <w:rsid w:val="00FD33D7"/>
    <w:rsid w:val="00FD3A43"/>
    <w:rsid w:val="00FD3B01"/>
    <w:rsid w:val="00FD5138"/>
    <w:rsid w:val="00FD5842"/>
    <w:rsid w:val="00FD60EC"/>
    <w:rsid w:val="00FD64CB"/>
    <w:rsid w:val="00FD798B"/>
    <w:rsid w:val="00FD7D54"/>
    <w:rsid w:val="00FE0602"/>
    <w:rsid w:val="00FE08C4"/>
    <w:rsid w:val="00FE08EE"/>
    <w:rsid w:val="00FE1B98"/>
    <w:rsid w:val="00FE202E"/>
    <w:rsid w:val="00FE22EE"/>
    <w:rsid w:val="00FE244A"/>
    <w:rsid w:val="00FE2B69"/>
    <w:rsid w:val="00FE2D37"/>
    <w:rsid w:val="00FE49D1"/>
    <w:rsid w:val="00FE5469"/>
    <w:rsid w:val="00FE6005"/>
    <w:rsid w:val="00FE61D1"/>
    <w:rsid w:val="00FE69AC"/>
    <w:rsid w:val="00FE6D39"/>
    <w:rsid w:val="00FF0C9F"/>
    <w:rsid w:val="00FF10C8"/>
    <w:rsid w:val="00FF149E"/>
    <w:rsid w:val="00FF22C8"/>
    <w:rsid w:val="00FF2656"/>
    <w:rsid w:val="00FF2AF1"/>
    <w:rsid w:val="00FF48A1"/>
    <w:rsid w:val="00FF5D57"/>
    <w:rsid w:val="00FF605E"/>
    <w:rsid w:val="00FF7073"/>
    <w:rsid w:val="00FF72FB"/>
    <w:rsid w:val="00FF7FD2"/>
    <w:rsid w:val="070A6750"/>
    <w:rsid w:val="2FA6B974"/>
    <w:rsid w:val="61D0474A"/>
    <w:rsid w:val="6995C840"/>
    <w:rsid w:val="7269CCFB"/>
  </w:rsids>
  <m:mathPr>
    <m:mathFont m:val="Cambria Math"/>
    <m:brkBin m:val="before"/>
    <m:brkBinSub m:val="--"/>
    <m:smallFrac m:val="0"/>
    <m:dispDef/>
    <m:lMargin m:val="0"/>
    <m:rMargin m:val="0"/>
    <m:defJc m:val="centerGroup"/>
    <m:wrapIndent m:val="1440"/>
    <m:intLim m:val="subSup"/>
    <m:naryLim m:val="undOvr"/>
  </m:mathPr>
  <w:themeFontLang w:val="en-GB"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0EB28EDD"/>
  <w15:docId w15:val="{93AF5A93-745B-4088-A556-26B4DBD63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EDB"/>
    <w:pPr>
      <w:spacing w:line="240" w:lineRule="auto"/>
      <w:jc w:val="both"/>
    </w:pPr>
    <w:rPr>
      <w:rFonts w:ascii="Times New Roman" w:hAnsi="Times New Roman"/>
      <w:sz w:val="24"/>
    </w:rPr>
  </w:style>
  <w:style w:type="paragraph" w:styleId="Heading1">
    <w:name w:val="heading 1"/>
    <w:basedOn w:val="Normal"/>
    <w:next w:val="Normal"/>
    <w:link w:val="Heading1Char"/>
    <w:uiPriority w:val="9"/>
    <w:qFormat/>
    <w:rsid w:val="001B0DE6"/>
    <w:pPr>
      <w:keepNext/>
      <w:keepLines/>
      <w:ind w:left="1797" w:hanging="1797"/>
      <w:outlineLvl w:val="0"/>
    </w:pPr>
    <w:rPr>
      <w:rFonts w:ascii="Times New Roman Bold" w:eastAsiaTheme="majorEastAsia" w:hAnsi="Times New Roman Bold" w:cstheme="majorBidi"/>
      <w:b/>
      <w:bCs/>
      <w:caps/>
      <w:szCs w:val="28"/>
      <w:u w:val="single"/>
    </w:rPr>
  </w:style>
  <w:style w:type="paragraph" w:styleId="Heading2">
    <w:name w:val="heading 2"/>
    <w:basedOn w:val="Normal"/>
    <w:next w:val="Normal"/>
    <w:link w:val="Heading2Char"/>
    <w:uiPriority w:val="9"/>
    <w:unhideWhenUsed/>
    <w:qFormat/>
    <w:rsid w:val="001B0DE6"/>
    <w:pPr>
      <w:keepNext/>
      <w:keepLines/>
      <w:ind w:left="1622" w:hanging="1622"/>
      <w:outlineLvl w:val="1"/>
    </w:pPr>
    <w:rPr>
      <w:rFonts w:ascii="Times New Roman Bold" w:eastAsiaTheme="majorEastAsia" w:hAnsi="Times New Roman Bold" w:cstheme="majorBidi"/>
      <w:b/>
      <w:bCs/>
      <w:caps/>
      <w:szCs w:val="26"/>
      <w:u w:val="single"/>
    </w:rPr>
  </w:style>
  <w:style w:type="paragraph" w:styleId="Heading3">
    <w:name w:val="heading 3"/>
    <w:basedOn w:val="Normal"/>
    <w:next w:val="Normal"/>
    <w:link w:val="Heading3Char"/>
    <w:uiPriority w:val="9"/>
    <w:unhideWhenUsed/>
    <w:qFormat/>
    <w:rsid w:val="00487ED0"/>
    <w:pPr>
      <w:keepNext/>
      <w:keepLines/>
      <w:ind w:left="2127" w:hanging="2127"/>
      <w:outlineLvl w:val="2"/>
    </w:pPr>
    <w:rPr>
      <w:rFonts w:ascii="Times New Roman Bold" w:eastAsiaTheme="majorEastAsia" w:hAnsi="Times New Roman Bold" w:cstheme="majorBidi"/>
      <w:b/>
      <w:bCs/>
      <w:caps/>
    </w:rPr>
  </w:style>
  <w:style w:type="paragraph" w:styleId="Heading4">
    <w:name w:val="heading 4"/>
    <w:basedOn w:val="Normal"/>
    <w:next w:val="Normal"/>
    <w:link w:val="Heading4Char"/>
    <w:uiPriority w:val="9"/>
    <w:unhideWhenUsed/>
    <w:qFormat/>
    <w:rsid w:val="00302040"/>
    <w:pPr>
      <w:keepNext/>
      <w:keepLines/>
      <w:ind w:left="1865" w:hanging="1865"/>
      <w:outlineLvl w:val="3"/>
    </w:pPr>
    <w:rPr>
      <w:rFonts w:ascii="Times New Roman Bold" w:eastAsiaTheme="majorEastAsia" w:hAnsi="Times New Roman Bold" w:cstheme="majorBidi"/>
      <w:b/>
      <w:bCs/>
      <w:iCs/>
      <w:caps/>
    </w:rPr>
  </w:style>
  <w:style w:type="paragraph" w:styleId="Heading5">
    <w:name w:val="heading 5"/>
    <w:basedOn w:val="Normal"/>
    <w:next w:val="Normal"/>
    <w:link w:val="Heading5Char"/>
    <w:uiPriority w:val="9"/>
    <w:unhideWhenUsed/>
    <w:qFormat/>
    <w:rsid w:val="00326BC9"/>
    <w:pPr>
      <w:keepNext/>
      <w:keepLines/>
      <w:ind w:left="720" w:hanging="720"/>
      <w:outlineLvl w:val="4"/>
    </w:pPr>
    <w:rPr>
      <w:rFonts w:eastAsiaTheme="majorEastAsia" w:cstheme="majorBidi"/>
      <w:b/>
    </w:rPr>
  </w:style>
  <w:style w:type="paragraph" w:styleId="Heading6">
    <w:name w:val="heading 6"/>
    <w:basedOn w:val="Heading1"/>
    <w:next w:val="Normal"/>
    <w:link w:val="Heading6Char"/>
    <w:uiPriority w:val="9"/>
    <w:unhideWhenUsed/>
    <w:qFormat/>
    <w:rsid w:val="001C0F9E"/>
    <w:pPr>
      <w:jc w:val="cente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0DE6"/>
    <w:rPr>
      <w:rFonts w:ascii="Times New Roman Bold" w:eastAsiaTheme="majorEastAsia" w:hAnsi="Times New Roman Bold" w:cstheme="majorBidi"/>
      <w:b/>
      <w:bCs/>
      <w:caps/>
      <w:sz w:val="24"/>
      <w:szCs w:val="28"/>
      <w:u w:val="single"/>
    </w:rPr>
  </w:style>
  <w:style w:type="character" w:customStyle="1" w:styleId="Heading2Char">
    <w:name w:val="Heading 2 Char"/>
    <w:basedOn w:val="DefaultParagraphFont"/>
    <w:link w:val="Heading2"/>
    <w:uiPriority w:val="9"/>
    <w:rsid w:val="001B0DE6"/>
    <w:rPr>
      <w:rFonts w:ascii="Times New Roman Bold" w:eastAsiaTheme="majorEastAsia" w:hAnsi="Times New Roman Bold" w:cstheme="majorBidi"/>
      <w:b/>
      <w:bCs/>
      <w:caps/>
      <w:sz w:val="24"/>
      <w:szCs w:val="26"/>
      <w:u w:val="single"/>
    </w:rPr>
  </w:style>
  <w:style w:type="character" w:customStyle="1" w:styleId="Heading3Char">
    <w:name w:val="Heading 3 Char"/>
    <w:basedOn w:val="DefaultParagraphFont"/>
    <w:link w:val="Heading3"/>
    <w:uiPriority w:val="9"/>
    <w:rsid w:val="00487ED0"/>
    <w:rPr>
      <w:rFonts w:ascii="Times New Roman Bold" w:eastAsiaTheme="majorEastAsia" w:hAnsi="Times New Roman Bold" w:cstheme="majorBidi"/>
      <w:b/>
      <w:bCs/>
      <w:caps/>
      <w:sz w:val="24"/>
    </w:rPr>
  </w:style>
  <w:style w:type="character" w:customStyle="1" w:styleId="Heading4Char">
    <w:name w:val="Heading 4 Char"/>
    <w:basedOn w:val="DefaultParagraphFont"/>
    <w:link w:val="Heading4"/>
    <w:uiPriority w:val="9"/>
    <w:rsid w:val="00302040"/>
    <w:rPr>
      <w:rFonts w:ascii="Times New Roman Bold" w:eastAsiaTheme="majorEastAsia" w:hAnsi="Times New Roman Bold" w:cstheme="majorBidi"/>
      <w:b/>
      <w:bCs/>
      <w:iCs/>
      <w:caps/>
      <w:sz w:val="24"/>
    </w:rPr>
  </w:style>
  <w:style w:type="character" w:customStyle="1" w:styleId="Heading5Char">
    <w:name w:val="Heading 5 Char"/>
    <w:basedOn w:val="DefaultParagraphFont"/>
    <w:link w:val="Heading5"/>
    <w:uiPriority w:val="9"/>
    <w:rsid w:val="00326BC9"/>
    <w:rPr>
      <w:rFonts w:ascii="Times New Roman" w:eastAsiaTheme="majorEastAsia" w:hAnsi="Times New Roman" w:cstheme="majorBidi"/>
      <w:b/>
      <w:sz w:val="24"/>
    </w:rPr>
  </w:style>
  <w:style w:type="character" w:customStyle="1" w:styleId="Heading6Char">
    <w:name w:val="Heading 6 Char"/>
    <w:basedOn w:val="DefaultParagraphFont"/>
    <w:link w:val="Heading6"/>
    <w:uiPriority w:val="9"/>
    <w:rsid w:val="001C0F9E"/>
    <w:rPr>
      <w:rFonts w:ascii="Times New Roman Bold" w:eastAsiaTheme="majorEastAsia" w:hAnsi="Times New Roman Bold" w:cstheme="majorBidi"/>
      <w:b/>
      <w:bCs/>
      <w:caps/>
      <w:sz w:val="24"/>
      <w:szCs w:val="28"/>
      <w:u w:val="single"/>
    </w:rPr>
  </w:style>
  <w:style w:type="paragraph" w:styleId="Header">
    <w:name w:val="header"/>
    <w:basedOn w:val="Normal"/>
    <w:link w:val="HeaderChar"/>
    <w:uiPriority w:val="99"/>
    <w:unhideWhenUsed/>
    <w:rsid w:val="00821732"/>
    <w:pPr>
      <w:tabs>
        <w:tab w:val="center" w:pos="4536"/>
        <w:tab w:val="right" w:pos="9072"/>
      </w:tabs>
    </w:pPr>
  </w:style>
  <w:style w:type="character" w:customStyle="1" w:styleId="HeaderChar">
    <w:name w:val="Header Char"/>
    <w:basedOn w:val="DefaultParagraphFont"/>
    <w:link w:val="Header"/>
    <w:uiPriority w:val="99"/>
    <w:rsid w:val="00821732"/>
    <w:rPr>
      <w:rFonts w:ascii="Times New Roman" w:hAnsi="Times New Roman"/>
      <w:sz w:val="24"/>
    </w:rPr>
  </w:style>
  <w:style w:type="paragraph" w:styleId="Footer">
    <w:name w:val="footer"/>
    <w:basedOn w:val="Normal"/>
    <w:link w:val="FooterChar"/>
    <w:uiPriority w:val="99"/>
    <w:unhideWhenUsed/>
    <w:rsid w:val="00821732"/>
    <w:pPr>
      <w:tabs>
        <w:tab w:val="center" w:pos="4536"/>
        <w:tab w:val="right" w:pos="9072"/>
      </w:tabs>
    </w:pPr>
  </w:style>
  <w:style w:type="character" w:customStyle="1" w:styleId="FooterChar">
    <w:name w:val="Footer Char"/>
    <w:basedOn w:val="DefaultParagraphFont"/>
    <w:link w:val="Footer"/>
    <w:uiPriority w:val="99"/>
    <w:rsid w:val="00821732"/>
    <w:rPr>
      <w:rFonts w:ascii="Times New Roman" w:hAnsi="Times New Roman"/>
      <w:sz w:val="24"/>
    </w:rPr>
  </w:style>
  <w:style w:type="paragraph" w:customStyle="1" w:styleId="Contact">
    <w:name w:val="Contact"/>
    <w:basedOn w:val="Normal"/>
    <w:next w:val="Normal"/>
    <w:rsid w:val="00821732"/>
    <w:pPr>
      <w:spacing w:before="480"/>
      <w:ind w:left="567" w:hanging="567"/>
      <w:jc w:val="left"/>
    </w:pPr>
    <w:rPr>
      <w:rFonts w:eastAsia="Times New Roman" w:cs="Times New Roman"/>
      <w:szCs w:val="20"/>
    </w:rPr>
  </w:style>
  <w:style w:type="paragraph" w:styleId="ListBullet">
    <w:name w:val="List Bullet"/>
    <w:basedOn w:val="Normal"/>
    <w:rsid w:val="00821732"/>
    <w:pPr>
      <w:numPr>
        <w:numId w:val="18"/>
      </w:numPr>
      <w:spacing w:after="240"/>
    </w:pPr>
    <w:rPr>
      <w:rFonts w:eastAsia="Times New Roman" w:cs="Times New Roman"/>
      <w:szCs w:val="20"/>
    </w:rPr>
  </w:style>
  <w:style w:type="paragraph" w:customStyle="1" w:styleId="ListBullet1">
    <w:name w:val="List Bullet 1"/>
    <w:basedOn w:val="Normal"/>
    <w:rsid w:val="00821732"/>
    <w:pPr>
      <w:numPr>
        <w:numId w:val="19"/>
      </w:numPr>
      <w:tabs>
        <w:tab w:val="clear" w:pos="765"/>
        <w:tab w:val="num" w:pos="360"/>
      </w:tabs>
      <w:spacing w:after="240"/>
      <w:ind w:left="0" w:firstLine="0"/>
    </w:pPr>
    <w:rPr>
      <w:rFonts w:eastAsia="Times New Roman" w:cs="Times New Roman"/>
      <w:szCs w:val="20"/>
    </w:rPr>
  </w:style>
  <w:style w:type="paragraph" w:styleId="ListBullet2">
    <w:name w:val="List Bullet 2"/>
    <w:basedOn w:val="Normal"/>
    <w:rsid w:val="00821732"/>
    <w:pPr>
      <w:numPr>
        <w:numId w:val="20"/>
      </w:numPr>
      <w:spacing w:after="240"/>
    </w:pPr>
    <w:rPr>
      <w:rFonts w:eastAsia="Times New Roman" w:cs="Times New Roman"/>
      <w:szCs w:val="20"/>
    </w:rPr>
  </w:style>
  <w:style w:type="paragraph" w:styleId="ListBullet3">
    <w:name w:val="List Bullet 3"/>
    <w:basedOn w:val="Normal"/>
    <w:rsid w:val="00821732"/>
    <w:pPr>
      <w:numPr>
        <w:numId w:val="21"/>
      </w:numPr>
      <w:spacing w:after="240"/>
    </w:pPr>
    <w:rPr>
      <w:rFonts w:eastAsia="Times New Roman" w:cs="Times New Roman"/>
      <w:szCs w:val="20"/>
    </w:rPr>
  </w:style>
  <w:style w:type="paragraph" w:styleId="ListBullet4">
    <w:name w:val="List Bullet 4"/>
    <w:basedOn w:val="Normal"/>
    <w:rsid w:val="00821732"/>
    <w:pPr>
      <w:numPr>
        <w:numId w:val="22"/>
      </w:numPr>
      <w:spacing w:after="240"/>
    </w:pPr>
    <w:rPr>
      <w:rFonts w:eastAsia="Times New Roman" w:cs="Times New Roman"/>
      <w:szCs w:val="20"/>
    </w:rPr>
  </w:style>
  <w:style w:type="paragraph" w:customStyle="1" w:styleId="ListDash">
    <w:name w:val="List Dash"/>
    <w:basedOn w:val="Normal"/>
    <w:rsid w:val="00821732"/>
    <w:pPr>
      <w:numPr>
        <w:numId w:val="23"/>
      </w:numPr>
      <w:spacing w:after="240"/>
    </w:pPr>
    <w:rPr>
      <w:rFonts w:eastAsia="Times New Roman" w:cs="Times New Roman"/>
      <w:szCs w:val="20"/>
    </w:rPr>
  </w:style>
  <w:style w:type="paragraph" w:customStyle="1" w:styleId="ListDash1">
    <w:name w:val="List Dash 1"/>
    <w:basedOn w:val="Normal"/>
    <w:rsid w:val="00821732"/>
    <w:pPr>
      <w:numPr>
        <w:numId w:val="24"/>
      </w:numPr>
      <w:spacing w:after="240"/>
    </w:pPr>
    <w:rPr>
      <w:rFonts w:eastAsia="Times New Roman" w:cs="Times New Roman"/>
      <w:szCs w:val="20"/>
    </w:rPr>
  </w:style>
  <w:style w:type="paragraph" w:customStyle="1" w:styleId="ListDash2">
    <w:name w:val="List Dash 2"/>
    <w:basedOn w:val="Normal"/>
    <w:rsid w:val="00821732"/>
    <w:pPr>
      <w:numPr>
        <w:numId w:val="25"/>
      </w:numPr>
      <w:spacing w:after="240"/>
    </w:pPr>
    <w:rPr>
      <w:rFonts w:eastAsia="Times New Roman" w:cs="Times New Roman"/>
      <w:szCs w:val="20"/>
    </w:rPr>
  </w:style>
  <w:style w:type="paragraph" w:customStyle="1" w:styleId="ListDash3">
    <w:name w:val="List Dash 3"/>
    <w:basedOn w:val="Normal"/>
    <w:rsid w:val="00821732"/>
    <w:pPr>
      <w:numPr>
        <w:numId w:val="26"/>
      </w:numPr>
      <w:spacing w:after="240"/>
    </w:pPr>
    <w:rPr>
      <w:rFonts w:eastAsia="Times New Roman" w:cs="Times New Roman"/>
      <w:szCs w:val="20"/>
    </w:rPr>
  </w:style>
  <w:style w:type="paragraph" w:customStyle="1" w:styleId="ListDash4">
    <w:name w:val="List Dash 4"/>
    <w:basedOn w:val="Normal"/>
    <w:rsid w:val="00821732"/>
    <w:pPr>
      <w:numPr>
        <w:numId w:val="27"/>
      </w:numPr>
      <w:spacing w:after="240"/>
    </w:pPr>
    <w:rPr>
      <w:rFonts w:eastAsia="Times New Roman" w:cs="Times New Roman"/>
      <w:szCs w:val="20"/>
    </w:rPr>
  </w:style>
  <w:style w:type="paragraph" w:styleId="ListNumber">
    <w:name w:val="List Number"/>
    <w:basedOn w:val="Normal"/>
    <w:rsid w:val="00821732"/>
    <w:pPr>
      <w:numPr>
        <w:numId w:val="28"/>
      </w:numPr>
      <w:spacing w:after="240"/>
    </w:pPr>
    <w:rPr>
      <w:rFonts w:eastAsia="Times New Roman" w:cs="Times New Roman"/>
      <w:szCs w:val="20"/>
    </w:rPr>
  </w:style>
  <w:style w:type="paragraph" w:customStyle="1" w:styleId="ListNumber1">
    <w:name w:val="List Number 1"/>
    <w:basedOn w:val="Normal"/>
    <w:rsid w:val="00821732"/>
    <w:pPr>
      <w:numPr>
        <w:numId w:val="29"/>
      </w:numPr>
      <w:spacing w:after="240"/>
    </w:pPr>
    <w:rPr>
      <w:rFonts w:eastAsia="Times New Roman" w:cs="Times New Roman"/>
      <w:szCs w:val="20"/>
    </w:rPr>
  </w:style>
  <w:style w:type="paragraph" w:styleId="ListNumber2">
    <w:name w:val="List Number 2"/>
    <w:basedOn w:val="Normal"/>
    <w:rsid w:val="00821732"/>
    <w:pPr>
      <w:numPr>
        <w:numId w:val="30"/>
      </w:numPr>
      <w:spacing w:after="240"/>
    </w:pPr>
    <w:rPr>
      <w:rFonts w:eastAsia="Times New Roman" w:cs="Times New Roman"/>
      <w:szCs w:val="20"/>
    </w:rPr>
  </w:style>
  <w:style w:type="paragraph" w:styleId="ListNumber3">
    <w:name w:val="List Number 3"/>
    <w:basedOn w:val="Normal"/>
    <w:rsid w:val="00821732"/>
    <w:pPr>
      <w:numPr>
        <w:numId w:val="31"/>
      </w:numPr>
      <w:spacing w:after="240"/>
    </w:pPr>
    <w:rPr>
      <w:rFonts w:eastAsia="Times New Roman" w:cs="Times New Roman"/>
      <w:szCs w:val="20"/>
    </w:rPr>
  </w:style>
  <w:style w:type="paragraph" w:styleId="ListNumber4">
    <w:name w:val="List Number 4"/>
    <w:basedOn w:val="Normal"/>
    <w:rsid w:val="00821732"/>
    <w:pPr>
      <w:numPr>
        <w:numId w:val="32"/>
      </w:numPr>
      <w:spacing w:after="240"/>
    </w:pPr>
    <w:rPr>
      <w:rFonts w:eastAsia="Times New Roman" w:cs="Times New Roman"/>
      <w:szCs w:val="20"/>
    </w:rPr>
  </w:style>
  <w:style w:type="paragraph" w:customStyle="1" w:styleId="ListNumberLevel2">
    <w:name w:val="List Number (Level 2)"/>
    <w:basedOn w:val="Normal"/>
    <w:rsid w:val="00821732"/>
    <w:pPr>
      <w:numPr>
        <w:ilvl w:val="1"/>
        <w:numId w:val="28"/>
      </w:numPr>
      <w:spacing w:after="240"/>
    </w:pPr>
    <w:rPr>
      <w:rFonts w:eastAsia="Times New Roman" w:cs="Times New Roman"/>
      <w:szCs w:val="20"/>
    </w:rPr>
  </w:style>
  <w:style w:type="paragraph" w:customStyle="1" w:styleId="ListNumber1Level2">
    <w:name w:val="List Number 1 (Level 2)"/>
    <w:basedOn w:val="Normal"/>
    <w:rsid w:val="00821732"/>
    <w:pPr>
      <w:numPr>
        <w:ilvl w:val="1"/>
        <w:numId w:val="29"/>
      </w:numPr>
      <w:spacing w:after="240"/>
    </w:pPr>
    <w:rPr>
      <w:rFonts w:eastAsia="Times New Roman" w:cs="Times New Roman"/>
      <w:szCs w:val="20"/>
    </w:rPr>
  </w:style>
  <w:style w:type="paragraph" w:customStyle="1" w:styleId="ListNumber2Level2">
    <w:name w:val="List Number 2 (Level 2)"/>
    <w:basedOn w:val="Normal"/>
    <w:rsid w:val="00821732"/>
    <w:pPr>
      <w:numPr>
        <w:ilvl w:val="1"/>
        <w:numId w:val="30"/>
      </w:numPr>
      <w:tabs>
        <w:tab w:val="clear" w:pos="2494"/>
        <w:tab w:val="num" w:pos="360"/>
      </w:tabs>
      <w:spacing w:after="240"/>
      <w:ind w:left="0" w:firstLine="0"/>
    </w:pPr>
    <w:rPr>
      <w:rFonts w:eastAsia="Times New Roman" w:cs="Times New Roman"/>
      <w:szCs w:val="20"/>
    </w:rPr>
  </w:style>
  <w:style w:type="paragraph" w:customStyle="1" w:styleId="ListNumber3Level2">
    <w:name w:val="List Number 3 (Level 2)"/>
    <w:basedOn w:val="Normal"/>
    <w:rsid w:val="00821732"/>
    <w:pPr>
      <w:numPr>
        <w:ilvl w:val="1"/>
        <w:numId w:val="31"/>
      </w:numPr>
      <w:spacing w:after="240"/>
    </w:pPr>
    <w:rPr>
      <w:rFonts w:eastAsia="Times New Roman" w:cs="Times New Roman"/>
      <w:szCs w:val="20"/>
    </w:rPr>
  </w:style>
  <w:style w:type="paragraph" w:customStyle="1" w:styleId="ListNumber4Level2">
    <w:name w:val="List Number 4 (Level 2)"/>
    <w:basedOn w:val="Normal"/>
    <w:rsid w:val="00821732"/>
    <w:pPr>
      <w:numPr>
        <w:ilvl w:val="1"/>
        <w:numId w:val="32"/>
      </w:numPr>
      <w:spacing w:after="240"/>
    </w:pPr>
    <w:rPr>
      <w:rFonts w:eastAsia="Times New Roman" w:cs="Times New Roman"/>
      <w:szCs w:val="20"/>
    </w:rPr>
  </w:style>
  <w:style w:type="paragraph" w:customStyle="1" w:styleId="ListNumberLevel3">
    <w:name w:val="List Number (Level 3)"/>
    <w:basedOn w:val="Normal"/>
    <w:rsid w:val="00821732"/>
    <w:pPr>
      <w:numPr>
        <w:ilvl w:val="2"/>
        <w:numId w:val="28"/>
      </w:numPr>
      <w:spacing w:after="240"/>
    </w:pPr>
    <w:rPr>
      <w:rFonts w:eastAsia="Times New Roman" w:cs="Times New Roman"/>
      <w:szCs w:val="20"/>
    </w:rPr>
  </w:style>
  <w:style w:type="paragraph" w:customStyle="1" w:styleId="ListNumber1Level3">
    <w:name w:val="List Number 1 (Level 3)"/>
    <w:basedOn w:val="Normal"/>
    <w:rsid w:val="00821732"/>
    <w:pPr>
      <w:numPr>
        <w:ilvl w:val="2"/>
        <w:numId w:val="29"/>
      </w:numPr>
      <w:spacing w:after="240"/>
    </w:pPr>
    <w:rPr>
      <w:rFonts w:eastAsia="Times New Roman" w:cs="Times New Roman"/>
      <w:szCs w:val="20"/>
    </w:rPr>
  </w:style>
  <w:style w:type="paragraph" w:customStyle="1" w:styleId="ListNumber2Level3">
    <w:name w:val="List Number 2 (Level 3)"/>
    <w:basedOn w:val="Normal"/>
    <w:rsid w:val="00821732"/>
    <w:pPr>
      <w:numPr>
        <w:ilvl w:val="2"/>
        <w:numId w:val="30"/>
      </w:numPr>
      <w:spacing w:after="240"/>
    </w:pPr>
    <w:rPr>
      <w:rFonts w:eastAsia="Times New Roman" w:cs="Times New Roman"/>
      <w:szCs w:val="20"/>
    </w:rPr>
  </w:style>
  <w:style w:type="paragraph" w:customStyle="1" w:styleId="ListNumber3Level3">
    <w:name w:val="List Number 3 (Level 3)"/>
    <w:basedOn w:val="Normal"/>
    <w:rsid w:val="00821732"/>
    <w:pPr>
      <w:numPr>
        <w:ilvl w:val="2"/>
        <w:numId w:val="31"/>
      </w:numPr>
      <w:spacing w:after="240"/>
    </w:pPr>
    <w:rPr>
      <w:rFonts w:eastAsia="Times New Roman" w:cs="Times New Roman"/>
      <w:szCs w:val="20"/>
    </w:rPr>
  </w:style>
  <w:style w:type="paragraph" w:customStyle="1" w:styleId="ListNumber4Level3">
    <w:name w:val="List Number 4 (Level 3)"/>
    <w:basedOn w:val="Normal"/>
    <w:rsid w:val="00821732"/>
    <w:pPr>
      <w:numPr>
        <w:ilvl w:val="2"/>
        <w:numId w:val="32"/>
      </w:numPr>
      <w:spacing w:after="240"/>
    </w:pPr>
    <w:rPr>
      <w:rFonts w:eastAsia="Times New Roman" w:cs="Times New Roman"/>
      <w:szCs w:val="20"/>
    </w:rPr>
  </w:style>
  <w:style w:type="paragraph" w:customStyle="1" w:styleId="ListNumberLevel4">
    <w:name w:val="List Number (Level 4)"/>
    <w:basedOn w:val="Normal"/>
    <w:rsid w:val="00821732"/>
    <w:pPr>
      <w:numPr>
        <w:ilvl w:val="3"/>
        <w:numId w:val="28"/>
      </w:numPr>
      <w:spacing w:after="240"/>
    </w:pPr>
    <w:rPr>
      <w:rFonts w:eastAsia="Times New Roman" w:cs="Times New Roman"/>
      <w:szCs w:val="20"/>
    </w:rPr>
  </w:style>
  <w:style w:type="paragraph" w:customStyle="1" w:styleId="ListNumber1Level4">
    <w:name w:val="List Number 1 (Level 4)"/>
    <w:basedOn w:val="Normal"/>
    <w:rsid w:val="00821732"/>
    <w:pPr>
      <w:numPr>
        <w:ilvl w:val="3"/>
        <w:numId w:val="29"/>
      </w:numPr>
      <w:spacing w:after="240"/>
    </w:pPr>
    <w:rPr>
      <w:rFonts w:eastAsia="Times New Roman" w:cs="Times New Roman"/>
      <w:szCs w:val="20"/>
    </w:rPr>
  </w:style>
  <w:style w:type="paragraph" w:customStyle="1" w:styleId="ListNumber2Level4">
    <w:name w:val="List Number 2 (Level 4)"/>
    <w:basedOn w:val="Normal"/>
    <w:rsid w:val="00821732"/>
    <w:pPr>
      <w:numPr>
        <w:ilvl w:val="3"/>
        <w:numId w:val="30"/>
      </w:numPr>
      <w:spacing w:after="240"/>
    </w:pPr>
    <w:rPr>
      <w:rFonts w:eastAsia="Times New Roman" w:cs="Times New Roman"/>
      <w:szCs w:val="20"/>
    </w:rPr>
  </w:style>
  <w:style w:type="paragraph" w:customStyle="1" w:styleId="ListNumber3Level4">
    <w:name w:val="List Number 3 (Level 4)"/>
    <w:basedOn w:val="Normal"/>
    <w:rsid w:val="00821732"/>
    <w:pPr>
      <w:numPr>
        <w:ilvl w:val="3"/>
        <w:numId w:val="31"/>
      </w:numPr>
      <w:spacing w:after="240"/>
    </w:pPr>
    <w:rPr>
      <w:rFonts w:eastAsia="Times New Roman" w:cs="Times New Roman"/>
      <w:szCs w:val="20"/>
    </w:rPr>
  </w:style>
  <w:style w:type="paragraph" w:customStyle="1" w:styleId="ListNumber4Level4">
    <w:name w:val="List Number 4 (Level 4)"/>
    <w:basedOn w:val="Normal"/>
    <w:rsid w:val="00821732"/>
    <w:pPr>
      <w:numPr>
        <w:ilvl w:val="3"/>
        <w:numId w:val="32"/>
      </w:numPr>
      <w:spacing w:after="240"/>
    </w:pPr>
    <w:rPr>
      <w:rFonts w:eastAsia="Times New Roman" w:cs="Times New Roman"/>
      <w:szCs w:val="20"/>
    </w:rPr>
  </w:style>
  <w:style w:type="paragraph" w:styleId="TOC5">
    <w:name w:val="toc 5"/>
    <w:basedOn w:val="Normal"/>
    <w:next w:val="Normal"/>
    <w:autoRedefine/>
    <w:uiPriority w:val="39"/>
    <w:qFormat/>
    <w:rsid w:val="007C0956"/>
    <w:pPr>
      <w:tabs>
        <w:tab w:val="left" w:pos="2297"/>
        <w:tab w:val="right" w:leader="dot" w:pos="8789"/>
      </w:tabs>
      <w:spacing w:before="60" w:after="60"/>
      <w:ind w:left="2126" w:right="567" w:hanging="567"/>
    </w:pPr>
    <w:rPr>
      <w:rFonts w:eastAsia="Times New Roman" w:cs="Times New Roman"/>
      <w:sz w:val="20"/>
      <w:szCs w:val="20"/>
    </w:rPr>
  </w:style>
  <w:style w:type="paragraph" w:styleId="TOCHeading">
    <w:name w:val="TOC Heading"/>
    <w:basedOn w:val="Normal"/>
    <w:next w:val="Normal"/>
    <w:rsid w:val="00821732"/>
    <w:pPr>
      <w:keepNext/>
      <w:spacing w:before="240" w:after="240"/>
      <w:jc w:val="center"/>
    </w:pPr>
    <w:rPr>
      <w:rFonts w:eastAsia="Times New Roman" w:cs="Times New Roman"/>
      <w:b/>
      <w:szCs w:val="20"/>
    </w:rPr>
  </w:style>
  <w:style w:type="paragraph" w:styleId="TOC1">
    <w:name w:val="toc 1"/>
    <w:basedOn w:val="Normal"/>
    <w:next w:val="Normal"/>
    <w:autoRedefine/>
    <w:uiPriority w:val="39"/>
    <w:qFormat/>
    <w:rsid w:val="003C4F55"/>
    <w:pPr>
      <w:tabs>
        <w:tab w:val="right" w:leader="dot" w:pos="8789"/>
      </w:tabs>
      <w:spacing w:before="60" w:after="60"/>
      <w:ind w:left="1559" w:right="567" w:hanging="1559"/>
    </w:pPr>
    <w:rPr>
      <w:rFonts w:eastAsia="Calibri" w:cs="Times New Roman"/>
      <w:b/>
      <w:caps/>
      <w:noProof/>
      <w:sz w:val="20"/>
      <w:szCs w:val="20"/>
    </w:rPr>
  </w:style>
  <w:style w:type="paragraph" w:styleId="TOC2">
    <w:name w:val="toc 2"/>
    <w:basedOn w:val="Normal"/>
    <w:next w:val="Normal"/>
    <w:autoRedefine/>
    <w:uiPriority w:val="39"/>
    <w:qFormat/>
    <w:rsid w:val="006671FF"/>
    <w:pPr>
      <w:tabs>
        <w:tab w:val="left" w:pos="1560"/>
        <w:tab w:val="right" w:leader="dot" w:pos="8789"/>
      </w:tabs>
      <w:spacing w:before="60" w:after="60"/>
      <w:ind w:left="1502" w:right="567" w:hanging="1077"/>
    </w:pPr>
    <w:rPr>
      <w:rFonts w:eastAsia="Times New Roman" w:cs="Times New Roman"/>
      <w:b/>
      <w:sz w:val="20"/>
      <w:szCs w:val="20"/>
    </w:rPr>
  </w:style>
  <w:style w:type="paragraph" w:styleId="TOC3">
    <w:name w:val="toc 3"/>
    <w:basedOn w:val="Normal"/>
    <w:next w:val="Normal"/>
    <w:autoRedefine/>
    <w:uiPriority w:val="39"/>
    <w:qFormat/>
    <w:rsid w:val="00116116"/>
    <w:pPr>
      <w:tabs>
        <w:tab w:val="left" w:pos="1559"/>
        <w:tab w:val="left" w:pos="2041"/>
        <w:tab w:val="right" w:leader="dot" w:pos="8789"/>
      </w:tabs>
      <w:spacing w:before="60" w:after="60"/>
      <w:ind w:left="2297" w:right="567" w:hanging="1588"/>
    </w:pPr>
    <w:rPr>
      <w:rFonts w:eastAsia="Times New Roman" w:cs="Times New Roman"/>
      <w:sz w:val="20"/>
      <w:szCs w:val="20"/>
    </w:rPr>
  </w:style>
  <w:style w:type="paragraph" w:styleId="TOC4">
    <w:name w:val="toc 4"/>
    <w:basedOn w:val="Normal"/>
    <w:next w:val="Normal"/>
    <w:uiPriority w:val="39"/>
    <w:qFormat/>
    <w:rsid w:val="00144430"/>
    <w:pPr>
      <w:tabs>
        <w:tab w:val="left" w:pos="1559"/>
        <w:tab w:val="right" w:leader="dot" w:pos="8789"/>
      </w:tabs>
      <w:spacing w:before="60" w:after="60"/>
      <w:ind w:left="2126" w:right="567" w:hanging="992"/>
    </w:pPr>
    <w:rPr>
      <w:rFonts w:eastAsia="Times New Roman" w:cs="Times New Roman"/>
      <w:sz w:val="20"/>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note T, Exposant 3 Point"/>
    <w:link w:val="1"/>
    <w:rsid w:val="000F02DB"/>
    <w:rPr>
      <w:rFonts w:ascii="Times New Roman" w:hAnsi="Times New Roman" w:cs="Times New Roman"/>
      <w:strike w:val="0"/>
      <w:dstrike w:val="0"/>
      <w:position w:val="4"/>
      <w:sz w:val="20"/>
      <w:vertAlign w:val="superscript"/>
    </w:rPr>
  </w:style>
  <w:style w:type="paragraph" w:styleId="FootnoteText">
    <w:name w:val="footnote text"/>
    <w:aliases w:val="Schriftart: 9 pt,Schriftart: 10 pt,Schriftart: 8 pt,WB-Fußnotentext,FoodNote,ft,Footnote text,Footnote,Footnote Text Char1,Footnote Text Char Char,Footnote Text Char1 Char Char,Footnote Text Char Char Char Char,fn,f,Char,Voetnoottekst Char"/>
    <w:basedOn w:val="Normal"/>
    <w:link w:val="FootnoteTextChar"/>
    <w:uiPriority w:val="99"/>
    <w:rsid w:val="002520E3"/>
    <w:pPr>
      <w:spacing w:after="0"/>
      <w:ind w:left="284" w:hanging="284"/>
    </w:pPr>
    <w:rPr>
      <w:rFonts w:eastAsia="Times New Roman" w:cs="Times New Roman"/>
      <w:sz w:val="20"/>
      <w:szCs w:val="20"/>
      <w:lang w:eastAsia="zh-CN"/>
    </w:rPr>
  </w:style>
  <w:style w:type="character" w:customStyle="1" w:styleId="FootnoteTextChar">
    <w:name w:val="Footnote Text Char"/>
    <w:aliases w:val="Schriftart: 9 pt Char,Schriftart: 10 pt Char,Schriftart: 8 pt Char,WB-Fußnotentext Char,FoodNote Char,ft Char,Footnote text Char,Footnote Char,Footnote Text Char1 Char,Footnote Text Char Char Char,Footnote Text Char1 Char Char Char"/>
    <w:basedOn w:val="DefaultParagraphFont"/>
    <w:link w:val="FootnoteText"/>
    <w:uiPriority w:val="99"/>
    <w:rsid w:val="002520E3"/>
    <w:rPr>
      <w:rFonts w:ascii="Times New Roman" w:eastAsia="Times New Roman" w:hAnsi="Times New Roman" w:cs="Times New Roman"/>
      <w:sz w:val="20"/>
      <w:szCs w:val="20"/>
      <w:lang w:val="bg-BG" w:eastAsia="zh-CN"/>
    </w:rPr>
  </w:style>
  <w:style w:type="character" w:styleId="CommentReference">
    <w:name w:val="annotation reference"/>
    <w:rsid w:val="00821732"/>
    <w:rPr>
      <w:rFonts w:cs="Times New Roman"/>
      <w:sz w:val="16"/>
      <w:szCs w:val="16"/>
    </w:rPr>
  </w:style>
  <w:style w:type="paragraph" w:styleId="CommentText">
    <w:name w:val="annotation text"/>
    <w:basedOn w:val="Normal"/>
    <w:link w:val="CommentTextChar"/>
    <w:uiPriority w:val="99"/>
    <w:rsid w:val="00821732"/>
    <w:rPr>
      <w:rFonts w:eastAsia="Times New Roman" w:cs="Times New Roman"/>
      <w:sz w:val="20"/>
      <w:szCs w:val="20"/>
      <w:lang w:eastAsia="zh-CN"/>
    </w:rPr>
  </w:style>
  <w:style w:type="character" w:customStyle="1" w:styleId="CommentTextChar">
    <w:name w:val="Comment Text Char"/>
    <w:basedOn w:val="DefaultParagraphFont"/>
    <w:link w:val="CommentText"/>
    <w:uiPriority w:val="99"/>
    <w:rsid w:val="00821732"/>
    <w:rPr>
      <w:rFonts w:ascii="Times New Roman" w:eastAsia="Times New Roman" w:hAnsi="Times New Roman" w:cs="Times New Roman"/>
      <w:sz w:val="20"/>
      <w:szCs w:val="20"/>
      <w:lang w:eastAsia="zh-CN"/>
    </w:rPr>
  </w:style>
  <w:style w:type="paragraph" w:customStyle="1" w:styleId="Style2">
    <w:name w:val="Style2"/>
    <w:link w:val="Style2Char"/>
    <w:rsid w:val="00821732"/>
    <w:pPr>
      <w:contextualSpacing/>
      <w:jc w:val="both"/>
    </w:pPr>
    <w:rPr>
      <w:rFonts w:ascii="Times New Roman" w:eastAsia="Calibri" w:hAnsi="Times New Roman" w:cs="Times New Roman"/>
      <w:sz w:val="24"/>
      <w:szCs w:val="20"/>
    </w:rPr>
  </w:style>
  <w:style w:type="character" w:customStyle="1" w:styleId="Style2Char">
    <w:name w:val="Style2 Char"/>
    <w:link w:val="Style2"/>
    <w:rsid w:val="00821732"/>
    <w:rPr>
      <w:rFonts w:ascii="Times New Roman" w:eastAsia="Calibri" w:hAnsi="Times New Roman" w:cs="Times New Roman"/>
      <w:sz w:val="24"/>
      <w:szCs w:val="20"/>
    </w:rPr>
  </w:style>
  <w:style w:type="paragraph" w:customStyle="1" w:styleId="ZCom">
    <w:name w:val="Z_Com"/>
    <w:basedOn w:val="Normal"/>
    <w:next w:val="Normal"/>
    <w:rsid w:val="00821732"/>
    <w:pPr>
      <w:widowControl w:val="0"/>
      <w:ind w:right="85"/>
    </w:pPr>
    <w:rPr>
      <w:rFonts w:ascii="Arial" w:eastAsia="Times New Roman" w:hAnsi="Arial" w:cs="Times New Roman"/>
      <w:snapToGrid w:val="0"/>
      <w:szCs w:val="20"/>
    </w:rPr>
  </w:style>
  <w:style w:type="character" w:styleId="Hyperlink">
    <w:name w:val="Hyperlink"/>
    <w:uiPriority w:val="99"/>
    <w:unhideWhenUsed/>
    <w:qFormat/>
    <w:rsid w:val="008E1986"/>
    <w:rPr>
      <w:color w:val="0088CC"/>
      <w:u w:val="single"/>
    </w:rPr>
  </w:style>
  <w:style w:type="paragraph" w:customStyle="1" w:styleId="Default">
    <w:name w:val="Default"/>
    <w:rsid w:val="00821732"/>
    <w:pPr>
      <w:autoSpaceDE w:val="0"/>
      <w:autoSpaceDN w:val="0"/>
      <w:adjustRightInd w:val="0"/>
      <w:spacing w:after="0" w:line="240" w:lineRule="auto"/>
    </w:pPr>
    <w:rPr>
      <w:rFonts w:ascii="Times New Roman" w:eastAsia="Calibri" w:hAnsi="Times New Roman" w:cs="Times New Roman"/>
      <w:color w:val="000000"/>
      <w:sz w:val="24"/>
      <w:szCs w:val="24"/>
      <w:lang w:eastAsia="en-GB"/>
    </w:rPr>
  </w:style>
  <w:style w:type="paragraph" w:customStyle="1" w:styleId="Style1">
    <w:name w:val="Style1"/>
    <w:link w:val="Style1Char"/>
    <w:rsid w:val="00821732"/>
    <w:pPr>
      <w:ind w:left="851" w:hanging="360"/>
      <w:contextualSpacing/>
      <w:jc w:val="both"/>
    </w:pPr>
    <w:rPr>
      <w:rFonts w:ascii="Times New Roman" w:eastAsia="Calibri" w:hAnsi="Times New Roman" w:cs="Times New Roman"/>
      <w:sz w:val="24"/>
      <w:szCs w:val="20"/>
    </w:rPr>
  </w:style>
  <w:style w:type="character" w:customStyle="1" w:styleId="Style1Char">
    <w:name w:val="Style1 Char"/>
    <w:link w:val="Style1"/>
    <w:rsid w:val="00821732"/>
    <w:rPr>
      <w:rFonts w:ascii="Times New Roman" w:eastAsia="Calibri" w:hAnsi="Times New Roman" w:cs="Times New Roman"/>
      <w:sz w:val="24"/>
      <w:szCs w:val="20"/>
    </w:rPr>
  </w:style>
  <w:style w:type="character" w:customStyle="1" w:styleId="ColorfulList-Accent1Char">
    <w:name w:val="Colorful List - Accent 1 Char"/>
    <w:link w:val="ColorfulList-Accent11"/>
    <w:uiPriority w:val="34"/>
    <w:rsid w:val="00821732"/>
    <w:rPr>
      <w:sz w:val="24"/>
      <w:szCs w:val="24"/>
      <w:lang w:eastAsia="en-GB"/>
    </w:rPr>
  </w:style>
  <w:style w:type="paragraph" w:customStyle="1" w:styleId="ColorfulList-Accent11">
    <w:name w:val="Colorful List - Accent 11"/>
    <w:basedOn w:val="Normal"/>
    <w:link w:val="ColorfulList-Accent1Char"/>
    <w:uiPriority w:val="34"/>
    <w:rsid w:val="00821732"/>
    <w:pPr>
      <w:ind w:left="720"/>
      <w:contextualSpacing/>
    </w:pPr>
    <w:rPr>
      <w:rFonts w:asciiTheme="minorHAnsi" w:hAnsiTheme="minorHAnsi"/>
      <w:szCs w:val="24"/>
      <w:lang w:eastAsia="en-GB"/>
    </w:rPr>
  </w:style>
  <w:style w:type="character" w:customStyle="1" w:styleId="Corpsdutexte3">
    <w:name w:val="Corps du texte (3)_"/>
    <w:link w:val="Corpsdutexte30"/>
    <w:uiPriority w:val="99"/>
    <w:rsid w:val="00821732"/>
    <w:rPr>
      <w:b/>
      <w:bCs/>
      <w:sz w:val="23"/>
      <w:szCs w:val="23"/>
      <w:shd w:val="clear" w:color="auto" w:fill="FFFFFF"/>
    </w:rPr>
  </w:style>
  <w:style w:type="paragraph" w:customStyle="1" w:styleId="Corpsdutexte30">
    <w:name w:val="Corps du texte (3)"/>
    <w:basedOn w:val="Normal"/>
    <w:link w:val="Corpsdutexte3"/>
    <w:uiPriority w:val="99"/>
    <w:rsid w:val="00821732"/>
    <w:pPr>
      <w:widowControl w:val="0"/>
      <w:shd w:val="clear" w:color="auto" w:fill="FFFFFF"/>
      <w:spacing w:before="360" w:after="780" w:line="240" w:lineRule="atLeast"/>
      <w:jc w:val="right"/>
    </w:pPr>
    <w:rPr>
      <w:rFonts w:asciiTheme="minorHAnsi" w:hAnsiTheme="minorHAnsi"/>
      <w:b/>
      <w:bCs/>
      <w:sz w:val="23"/>
      <w:szCs w:val="23"/>
    </w:rPr>
  </w:style>
  <w:style w:type="paragraph" w:styleId="ListParagraph">
    <w:name w:val="List Paragraph"/>
    <w:basedOn w:val="Normal"/>
    <w:link w:val="ListParagraphChar"/>
    <w:uiPriority w:val="34"/>
    <w:qFormat/>
    <w:rsid w:val="00597238"/>
    <w:pPr>
      <w:ind w:left="720"/>
    </w:pPr>
    <w:rPr>
      <w:rFonts w:eastAsia="Times New Roman" w:cs="Times New Roman"/>
    </w:rPr>
  </w:style>
  <w:style w:type="character" w:customStyle="1" w:styleId="ListParagraphChar">
    <w:name w:val="List Paragraph Char"/>
    <w:link w:val="ListParagraph"/>
    <w:uiPriority w:val="34"/>
    <w:rsid w:val="00597238"/>
    <w:rPr>
      <w:rFonts w:ascii="Times New Roman" w:eastAsia="Times New Roman" w:hAnsi="Times New Roman" w:cs="Times New Roman"/>
      <w:sz w:val="24"/>
    </w:rPr>
  </w:style>
  <w:style w:type="paragraph" w:styleId="TOC6">
    <w:name w:val="toc 6"/>
    <w:basedOn w:val="Normal"/>
    <w:next w:val="Normal"/>
    <w:autoRedefine/>
    <w:uiPriority w:val="39"/>
    <w:unhideWhenUsed/>
    <w:qFormat/>
    <w:rsid w:val="001C0F9E"/>
    <w:pPr>
      <w:tabs>
        <w:tab w:val="right" w:leader="dot" w:pos="8789"/>
      </w:tabs>
      <w:spacing w:before="60" w:after="60"/>
      <w:jc w:val="left"/>
    </w:pPr>
    <w:rPr>
      <w:rFonts w:eastAsiaTheme="minorEastAsia"/>
      <w:b/>
      <w:sz w:val="20"/>
      <w:lang w:eastAsia="en-GB"/>
    </w:rPr>
  </w:style>
  <w:style w:type="paragraph" w:styleId="TOC7">
    <w:name w:val="toc 7"/>
    <w:basedOn w:val="Normal"/>
    <w:next w:val="Normal"/>
    <w:autoRedefine/>
    <w:uiPriority w:val="39"/>
    <w:unhideWhenUsed/>
    <w:rsid w:val="00821732"/>
    <w:pPr>
      <w:spacing w:after="100" w:line="276" w:lineRule="auto"/>
      <w:ind w:left="1320"/>
      <w:jc w:val="left"/>
    </w:pPr>
    <w:rPr>
      <w:rFonts w:asciiTheme="minorHAnsi" w:eastAsiaTheme="minorEastAsia" w:hAnsiTheme="minorHAnsi"/>
      <w:sz w:val="22"/>
      <w:lang w:eastAsia="en-GB"/>
    </w:rPr>
  </w:style>
  <w:style w:type="paragraph" w:styleId="TOC8">
    <w:name w:val="toc 8"/>
    <w:basedOn w:val="Normal"/>
    <w:next w:val="Normal"/>
    <w:autoRedefine/>
    <w:uiPriority w:val="39"/>
    <w:unhideWhenUsed/>
    <w:rsid w:val="00821732"/>
    <w:pPr>
      <w:spacing w:after="100" w:line="276" w:lineRule="auto"/>
      <w:ind w:left="1540"/>
      <w:jc w:val="left"/>
    </w:pPr>
    <w:rPr>
      <w:rFonts w:asciiTheme="minorHAnsi" w:eastAsiaTheme="minorEastAsia" w:hAnsiTheme="minorHAnsi"/>
      <w:sz w:val="22"/>
      <w:lang w:eastAsia="en-GB"/>
    </w:rPr>
  </w:style>
  <w:style w:type="paragraph" w:styleId="TOC9">
    <w:name w:val="toc 9"/>
    <w:basedOn w:val="Normal"/>
    <w:next w:val="Normal"/>
    <w:autoRedefine/>
    <w:uiPriority w:val="39"/>
    <w:unhideWhenUsed/>
    <w:rsid w:val="00821732"/>
    <w:pPr>
      <w:spacing w:after="100" w:line="276" w:lineRule="auto"/>
      <w:ind w:left="1760"/>
      <w:jc w:val="left"/>
    </w:pPr>
    <w:rPr>
      <w:rFonts w:asciiTheme="minorHAnsi" w:eastAsiaTheme="minorEastAsia" w:hAnsiTheme="minorHAnsi"/>
      <w:sz w:val="22"/>
      <w:lang w:eastAsia="en-GB"/>
    </w:rPr>
  </w:style>
  <w:style w:type="paragraph" w:styleId="BalloonText">
    <w:name w:val="Balloon Text"/>
    <w:basedOn w:val="Normal"/>
    <w:link w:val="BalloonTextChar"/>
    <w:uiPriority w:val="99"/>
    <w:semiHidden/>
    <w:unhideWhenUsed/>
    <w:rsid w:val="00EF740D"/>
    <w:rPr>
      <w:rFonts w:ascii="Tahoma" w:hAnsi="Tahoma" w:cs="Tahoma"/>
      <w:sz w:val="16"/>
      <w:szCs w:val="16"/>
    </w:rPr>
  </w:style>
  <w:style w:type="character" w:customStyle="1" w:styleId="BalloonTextChar">
    <w:name w:val="Balloon Text Char"/>
    <w:basedOn w:val="DefaultParagraphFont"/>
    <w:link w:val="BalloonText"/>
    <w:uiPriority w:val="99"/>
    <w:semiHidden/>
    <w:rsid w:val="00EF740D"/>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D02D3D"/>
    <w:rPr>
      <w:rFonts w:eastAsiaTheme="minorHAnsi" w:cstheme="minorBidi"/>
      <w:b/>
      <w:bCs/>
      <w:lang w:eastAsia="en-US"/>
    </w:rPr>
  </w:style>
  <w:style w:type="character" w:customStyle="1" w:styleId="CommentSubjectChar">
    <w:name w:val="Comment Subject Char"/>
    <w:basedOn w:val="CommentTextChar"/>
    <w:link w:val="CommentSubject"/>
    <w:uiPriority w:val="99"/>
    <w:semiHidden/>
    <w:rsid w:val="00D02D3D"/>
    <w:rPr>
      <w:rFonts w:ascii="Times New Roman" w:eastAsia="Times New Roman" w:hAnsi="Times New Roman" w:cs="Times New Roman"/>
      <w:b/>
      <w:bCs/>
      <w:sz w:val="20"/>
      <w:szCs w:val="20"/>
      <w:lang w:eastAsia="zh-CN"/>
    </w:rPr>
  </w:style>
  <w:style w:type="paragraph" w:styleId="Revision">
    <w:name w:val="Revision"/>
    <w:hidden/>
    <w:uiPriority w:val="99"/>
    <w:semiHidden/>
    <w:rsid w:val="00D37A46"/>
    <w:pPr>
      <w:spacing w:after="0" w:line="240" w:lineRule="auto"/>
    </w:pPr>
    <w:rPr>
      <w:rFonts w:ascii="Times New Roman" w:hAnsi="Times New Roman"/>
      <w:sz w:val="24"/>
    </w:rPr>
  </w:style>
  <w:style w:type="paragraph" w:customStyle="1" w:styleId="Annex">
    <w:name w:val="Annex"/>
    <w:basedOn w:val="Heading6"/>
    <w:qFormat/>
    <w:rsid w:val="00441F27"/>
    <w:pPr>
      <w:jc w:val="right"/>
    </w:pPr>
    <w:rPr>
      <w:rFonts w:ascii="Times New Roman" w:eastAsia="Times New Roman" w:hAnsi="Times New Roman"/>
      <w:bCs w:val="0"/>
      <w:iCs/>
      <w:caps w:val="0"/>
      <w:color w:val="000000"/>
      <w:lang w:eastAsia="en-GB"/>
    </w:rPr>
  </w:style>
  <w:style w:type="paragraph" w:styleId="BodyText">
    <w:name w:val="Body Text"/>
    <w:basedOn w:val="Normal"/>
    <w:link w:val="BodyTextChar"/>
    <w:uiPriority w:val="1"/>
    <w:rsid w:val="00C611DF"/>
    <w:pPr>
      <w:widowControl w:val="0"/>
      <w:spacing w:before="188"/>
      <w:ind w:left="353"/>
      <w:jc w:val="left"/>
    </w:pPr>
    <w:rPr>
      <w:rFonts w:eastAsia="Times New Roman"/>
      <w:szCs w:val="24"/>
    </w:rPr>
  </w:style>
  <w:style w:type="character" w:customStyle="1" w:styleId="BodyTextChar">
    <w:name w:val="Body Text Char"/>
    <w:basedOn w:val="DefaultParagraphFont"/>
    <w:link w:val="BodyText"/>
    <w:uiPriority w:val="1"/>
    <w:rsid w:val="00C611DF"/>
    <w:rPr>
      <w:rFonts w:ascii="Times New Roman" w:eastAsia="Times New Roman" w:hAnsi="Times New Roman"/>
      <w:sz w:val="24"/>
      <w:szCs w:val="24"/>
      <w:lang w:val="bg-BG"/>
    </w:rPr>
  </w:style>
  <w:style w:type="paragraph" w:customStyle="1" w:styleId="TableParagraph">
    <w:name w:val="Table Paragraph"/>
    <w:basedOn w:val="Normal"/>
    <w:uiPriority w:val="1"/>
    <w:rsid w:val="00C611DF"/>
    <w:pPr>
      <w:widowControl w:val="0"/>
      <w:jc w:val="left"/>
    </w:pPr>
  </w:style>
  <w:style w:type="table" w:styleId="TableGrid">
    <w:name w:val="Table Grid"/>
    <w:basedOn w:val="TableNormal"/>
    <w:uiPriority w:val="59"/>
    <w:rsid w:val="00C611DF"/>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3">
    <w:name w:val="CM4+3"/>
    <w:basedOn w:val="Default"/>
    <w:next w:val="Default"/>
    <w:uiPriority w:val="99"/>
    <w:rsid w:val="003A69B6"/>
    <w:rPr>
      <w:rFonts w:ascii="EUAlbertina" w:eastAsiaTheme="minorHAnsi" w:hAnsi="EUAlbertina" w:cstheme="minorBidi"/>
      <w:color w:val="auto"/>
      <w:lang w:eastAsia="en-US"/>
    </w:rPr>
  </w:style>
  <w:style w:type="paragraph" w:customStyle="1" w:styleId="CM1">
    <w:name w:val="CM1"/>
    <w:basedOn w:val="Default"/>
    <w:next w:val="Default"/>
    <w:uiPriority w:val="99"/>
    <w:rsid w:val="00381D1B"/>
    <w:rPr>
      <w:rFonts w:ascii="EUAlbertina" w:eastAsiaTheme="minorHAnsi" w:hAnsi="EUAlbertina" w:cstheme="minorBidi"/>
      <w:color w:val="auto"/>
      <w:lang w:eastAsia="en-US"/>
    </w:rPr>
  </w:style>
  <w:style w:type="paragraph" w:customStyle="1" w:styleId="CM3">
    <w:name w:val="CM3"/>
    <w:basedOn w:val="Default"/>
    <w:next w:val="Default"/>
    <w:uiPriority w:val="99"/>
    <w:rsid w:val="00381D1B"/>
    <w:rPr>
      <w:rFonts w:ascii="EUAlbertina" w:eastAsiaTheme="minorHAnsi" w:hAnsi="EUAlbertina" w:cstheme="minorBidi"/>
      <w:color w:val="auto"/>
      <w:lang w:eastAsia="en-US"/>
    </w:rPr>
  </w:style>
  <w:style w:type="character" w:styleId="Emphasis">
    <w:name w:val="Emphasis"/>
    <w:basedOn w:val="DefaultParagraphFont"/>
    <w:uiPriority w:val="20"/>
    <w:qFormat/>
    <w:rsid w:val="00FF22C8"/>
    <w:rPr>
      <w:i/>
      <w:iCs/>
    </w:rPr>
  </w:style>
  <w:style w:type="character" w:styleId="FollowedHyperlink">
    <w:name w:val="FollowedHyperlink"/>
    <w:basedOn w:val="DefaultParagraphFont"/>
    <w:uiPriority w:val="99"/>
    <w:semiHidden/>
    <w:unhideWhenUsed/>
    <w:rsid w:val="00D3376D"/>
    <w:rPr>
      <w:color w:val="800080" w:themeColor="followedHyperlink"/>
      <w:u w:val="single"/>
    </w:rPr>
  </w:style>
  <w:style w:type="paragraph" w:customStyle="1" w:styleId="Subarticle">
    <w:name w:val="Subarticle"/>
    <w:basedOn w:val="Heading5"/>
    <w:link w:val="SubarticleChar"/>
    <w:qFormat/>
    <w:rsid w:val="00837837"/>
    <w:pPr>
      <w:keepNext w:val="0"/>
      <w:keepLines w:val="0"/>
      <w:spacing w:after="0"/>
    </w:pPr>
    <w:rPr>
      <w:rFonts w:eastAsia="Times New Roman" w:cs="Times New Roman"/>
      <w:szCs w:val="24"/>
      <w:lang w:eastAsia="en-GB"/>
    </w:rPr>
  </w:style>
  <w:style w:type="character" w:customStyle="1" w:styleId="SubarticleChar">
    <w:name w:val="Subarticle Char"/>
    <w:link w:val="Subarticle"/>
    <w:rsid w:val="00837837"/>
    <w:rPr>
      <w:rFonts w:ascii="Times New Roman" w:eastAsia="Times New Roman" w:hAnsi="Times New Roman" w:cs="Times New Roman"/>
      <w:b/>
      <w:sz w:val="24"/>
      <w:szCs w:val="24"/>
      <w:lang w:eastAsia="en-GB"/>
    </w:rPr>
  </w:style>
  <w:style w:type="paragraph" w:customStyle="1" w:styleId="Article">
    <w:name w:val="Article"/>
    <w:basedOn w:val="Heading4"/>
    <w:link w:val="ArticleChar"/>
    <w:qFormat/>
    <w:rsid w:val="00D02673"/>
    <w:pPr>
      <w:keepLines w:val="0"/>
      <w:spacing w:after="0"/>
    </w:pPr>
    <w:rPr>
      <w:rFonts w:eastAsia="Times New Roman" w:cs="Times New Roman"/>
      <w:iCs w:val="0"/>
      <w:szCs w:val="24"/>
    </w:rPr>
  </w:style>
  <w:style w:type="character" w:customStyle="1" w:styleId="ArticleChar">
    <w:name w:val="Article Char"/>
    <w:link w:val="Article"/>
    <w:rsid w:val="00D02673"/>
    <w:rPr>
      <w:rFonts w:ascii="Times New Roman Bold" w:eastAsia="Times New Roman" w:hAnsi="Times New Roman Bold" w:cs="Times New Roman"/>
      <w:b/>
      <w:bCs/>
      <w:caps/>
      <w:sz w:val="24"/>
      <w:szCs w:val="24"/>
    </w:rPr>
  </w:style>
  <w:style w:type="character" w:styleId="Strong">
    <w:name w:val="Strong"/>
    <w:uiPriority w:val="22"/>
    <w:rsid w:val="00D02673"/>
    <w:rPr>
      <w:b/>
      <w:bCs/>
    </w:rPr>
  </w:style>
  <w:style w:type="paragraph" w:customStyle="1" w:styleId="1">
    <w:name w:val="1"/>
    <w:basedOn w:val="Normal"/>
    <w:link w:val="FootnoteReference"/>
    <w:qFormat/>
    <w:rsid w:val="00D02673"/>
    <w:pPr>
      <w:spacing w:after="160" w:line="240" w:lineRule="exact"/>
    </w:pPr>
    <w:rPr>
      <w:rFonts w:cs="Times New Roman"/>
      <w:position w:val="4"/>
      <w:sz w:val="20"/>
      <w:vertAlign w:val="superscript"/>
    </w:rPr>
  </w:style>
  <w:style w:type="paragraph" w:customStyle="1" w:styleId="Standard">
    <w:name w:val="Standard"/>
    <w:rsid w:val="00451320"/>
    <w:pPr>
      <w:tabs>
        <w:tab w:val="left" w:pos="720"/>
      </w:tabs>
      <w:suppressAutoHyphens/>
    </w:pPr>
    <w:rPr>
      <w:rFonts w:ascii="Calibri" w:eastAsia="Calibri" w:hAnsi="Calibri" w:cs="Times New Roman"/>
    </w:rPr>
  </w:style>
  <w:style w:type="paragraph" w:styleId="NormalWeb">
    <w:name w:val="Normal (Web)"/>
    <w:basedOn w:val="Normal"/>
    <w:uiPriority w:val="99"/>
    <w:semiHidden/>
    <w:unhideWhenUsed/>
    <w:rsid w:val="00EC03B5"/>
    <w:rPr>
      <w:rFonts w:cs="Times New Roman"/>
      <w:szCs w:val="24"/>
    </w:rPr>
  </w:style>
  <w:style w:type="table" w:customStyle="1" w:styleId="TableGrid1">
    <w:name w:val="Table Grid1"/>
    <w:basedOn w:val="TableNormal"/>
    <w:next w:val="TableGrid"/>
    <w:uiPriority w:val="59"/>
    <w:rsid w:val="00EC03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
    <w:name w:val="CM4"/>
    <w:basedOn w:val="Default"/>
    <w:next w:val="Default"/>
    <w:uiPriority w:val="99"/>
    <w:rsid w:val="00E215D1"/>
    <w:rPr>
      <w:rFonts w:ascii="EUAlbertina" w:eastAsia="Times New Roman" w:hAnsi="EUAlbertina"/>
      <w:color w:val="auto"/>
      <w:lang w:eastAsia="en-US"/>
    </w:rPr>
  </w:style>
  <w:style w:type="paragraph" w:customStyle="1" w:styleId="Annex2">
    <w:name w:val="Annex2"/>
    <w:basedOn w:val="Heading6"/>
    <w:rsid w:val="00C95057"/>
  </w:style>
  <w:style w:type="numbering" w:customStyle="1" w:styleId="NoList1">
    <w:name w:val="No List1"/>
    <w:next w:val="NoList"/>
    <w:uiPriority w:val="99"/>
    <w:semiHidden/>
    <w:unhideWhenUsed/>
    <w:rsid w:val="00AB0DCD"/>
  </w:style>
  <w:style w:type="table" w:customStyle="1" w:styleId="TableGrid2">
    <w:name w:val="Table Grid2"/>
    <w:basedOn w:val="TableNormal"/>
    <w:next w:val="TableGrid"/>
    <w:uiPriority w:val="59"/>
    <w:rsid w:val="00AB0DCD"/>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AB0D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semiHidden/>
    <w:unhideWhenUsed/>
    <w:rsid w:val="00310C19"/>
    <w:pPr>
      <w:spacing w:after="0"/>
    </w:pPr>
  </w:style>
  <w:style w:type="numbering" w:customStyle="1" w:styleId="NoList2">
    <w:name w:val="No List2"/>
    <w:next w:val="NoList"/>
    <w:uiPriority w:val="99"/>
    <w:semiHidden/>
    <w:unhideWhenUsed/>
    <w:rsid w:val="005F0258"/>
  </w:style>
  <w:style w:type="table" w:customStyle="1" w:styleId="TableGrid3">
    <w:name w:val="Table Grid3"/>
    <w:basedOn w:val="TableNormal"/>
    <w:next w:val="TableGrid"/>
    <w:uiPriority w:val="59"/>
    <w:rsid w:val="005F0258"/>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5F02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5F0258"/>
  </w:style>
  <w:style w:type="table" w:customStyle="1" w:styleId="TableGrid21">
    <w:name w:val="Table Grid21"/>
    <w:basedOn w:val="TableNormal"/>
    <w:next w:val="TableGrid"/>
    <w:uiPriority w:val="59"/>
    <w:rsid w:val="005F0258"/>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5F02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art">
    <w:name w:val="ti-art"/>
    <w:basedOn w:val="Normal"/>
    <w:rsid w:val="00096F51"/>
    <w:pPr>
      <w:spacing w:before="100" w:beforeAutospacing="1" w:after="100" w:afterAutospacing="1"/>
      <w:jc w:val="left"/>
    </w:pPr>
    <w:rPr>
      <w:rFonts w:eastAsia="Times New Roman" w:cs="Times New Roman"/>
      <w:szCs w:val="24"/>
      <w:lang w:eastAsia="fr-BE"/>
    </w:rPr>
  </w:style>
  <w:style w:type="paragraph" w:customStyle="1" w:styleId="sti-art">
    <w:name w:val="sti-art"/>
    <w:basedOn w:val="Normal"/>
    <w:rsid w:val="00096F51"/>
    <w:pPr>
      <w:spacing w:before="100" w:beforeAutospacing="1" w:after="100" w:afterAutospacing="1"/>
      <w:jc w:val="left"/>
    </w:pPr>
    <w:rPr>
      <w:rFonts w:eastAsia="Times New Roman" w:cs="Times New Roman"/>
      <w:szCs w:val="24"/>
      <w:lang w:eastAsia="fr-BE"/>
    </w:rPr>
  </w:style>
  <w:style w:type="paragraph" w:customStyle="1" w:styleId="Normal1">
    <w:name w:val="Normal1"/>
    <w:basedOn w:val="Normal"/>
    <w:rsid w:val="00096F51"/>
    <w:pPr>
      <w:spacing w:before="100" w:beforeAutospacing="1" w:after="100" w:afterAutospacing="1"/>
      <w:jc w:val="left"/>
    </w:pPr>
    <w:rPr>
      <w:rFonts w:eastAsia="Times New Roman" w:cs="Times New Roman"/>
      <w:szCs w:val="24"/>
      <w:lang w:eastAsia="fr-BE"/>
    </w:rPr>
  </w:style>
  <w:style w:type="character" w:customStyle="1" w:styleId="reg">
    <w:name w:val="reg"/>
    <w:basedOn w:val="DefaultParagraphFont"/>
    <w:rsid w:val="00216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5369">
      <w:bodyDiv w:val="1"/>
      <w:marLeft w:val="0"/>
      <w:marRight w:val="0"/>
      <w:marTop w:val="0"/>
      <w:marBottom w:val="0"/>
      <w:divBdr>
        <w:top w:val="none" w:sz="0" w:space="0" w:color="auto"/>
        <w:left w:val="none" w:sz="0" w:space="0" w:color="auto"/>
        <w:bottom w:val="none" w:sz="0" w:space="0" w:color="auto"/>
        <w:right w:val="none" w:sz="0" w:space="0" w:color="auto"/>
      </w:divBdr>
    </w:div>
    <w:div w:id="80564502">
      <w:bodyDiv w:val="1"/>
      <w:marLeft w:val="0"/>
      <w:marRight w:val="0"/>
      <w:marTop w:val="0"/>
      <w:marBottom w:val="0"/>
      <w:divBdr>
        <w:top w:val="none" w:sz="0" w:space="0" w:color="auto"/>
        <w:left w:val="none" w:sz="0" w:space="0" w:color="auto"/>
        <w:bottom w:val="none" w:sz="0" w:space="0" w:color="auto"/>
        <w:right w:val="none" w:sz="0" w:space="0" w:color="auto"/>
      </w:divBdr>
    </w:div>
    <w:div w:id="85463797">
      <w:bodyDiv w:val="1"/>
      <w:marLeft w:val="0"/>
      <w:marRight w:val="0"/>
      <w:marTop w:val="0"/>
      <w:marBottom w:val="0"/>
      <w:divBdr>
        <w:top w:val="none" w:sz="0" w:space="0" w:color="auto"/>
        <w:left w:val="none" w:sz="0" w:space="0" w:color="auto"/>
        <w:bottom w:val="none" w:sz="0" w:space="0" w:color="auto"/>
        <w:right w:val="none" w:sz="0" w:space="0" w:color="auto"/>
      </w:divBdr>
    </w:div>
    <w:div w:id="110588322">
      <w:bodyDiv w:val="1"/>
      <w:marLeft w:val="0"/>
      <w:marRight w:val="0"/>
      <w:marTop w:val="0"/>
      <w:marBottom w:val="0"/>
      <w:divBdr>
        <w:top w:val="none" w:sz="0" w:space="0" w:color="auto"/>
        <w:left w:val="none" w:sz="0" w:space="0" w:color="auto"/>
        <w:bottom w:val="none" w:sz="0" w:space="0" w:color="auto"/>
        <w:right w:val="none" w:sz="0" w:space="0" w:color="auto"/>
      </w:divBdr>
    </w:div>
    <w:div w:id="243684747">
      <w:bodyDiv w:val="1"/>
      <w:marLeft w:val="0"/>
      <w:marRight w:val="0"/>
      <w:marTop w:val="0"/>
      <w:marBottom w:val="0"/>
      <w:divBdr>
        <w:top w:val="none" w:sz="0" w:space="0" w:color="auto"/>
        <w:left w:val="none" w:sz="0" w:space="0" w:color="auto"/>
        <w:bottom w:val="none" w:sz="0" w:space="0" w:color="auto"/>
        <w:right w:val="none" w:sz="0" w:space="0" w:color="auto"/>
      </w:divBdr>
      <w:divsChild>
        <w:div w:id="2035306832">
          <w:marLeft w:val="0"/>
          <w:marRight w:val="0"/>
          <w:marTop w:val="0"/>
          <w:marBottom w:val="0"/>
          <w:divBdr>
            <w:top w:val="none" w:sz="0" w:space="0" w:color="auto"/>
            <w:left w:val="none" w:sz="0" w:space="0" w:color="auto"/>
            <w:bottom w:val="none" w:sz="0" w:space="0" w:color="auto"/>
            <w:right w:val="none" w:sz="0" w:space="0" w:color="auto"/>
          </w:divBdr>
          <w:divsChild>
            <w:div w:id="1151482977">
              <w:marLeft w:val="0"/>
              <w:marRight w:val="0"/>
              <w:marTop w:val="0"/>
              <w:marBottom w:val="0"/>
              <w:divBdr>
                <w:top w:val="none" w:sz="0" w:space="0" w:color="auto"/>
                <w:left w:val="none" w:sz="0" w:space="0" w:color="auto"/>
                <w:bottom w:val="none" w:sz="0" w:space="0" w:color="auto"/>
                <w:right w:val="none" w:sz="0" w:space="0" w:color="auto"/>
              </w:divBdr>
              <w:divsChild>
                <w:div w:id="278026882">
                  <w:marLeft w:val="0"/>
                  <w:marRight w:val="0"/>
                  <w:marTop w:val="0"/>
                  <w:marBottom w:val="0"/>
                  <w:divBdr>
                    <w:top w:val="none" w:sz="0" w:space="0" w:color="auto"/>
                    <w:left w:val="none" w:sz="0" w:space="0" w:color="auto"/>
                    <w:bottom w:val="none" w:sz="0" w:space="0" w:color="auto"/>
                    <w:right w:val="none" w:sz="0" w:space="0" w:color="auto"/>
                  </w:divBdr>
                  <w:divsChild>
                    <w:div w:id="1809279180">
                      <w:marLeft w:val="0"/>
                      <w:marRight w:val="0"/>
                      <w:marTop w:val="0"/>
                      <w:marBottom w:val="0"/>
                      <w:divBdr>
                        <w:top w:val="none" w:sz="0" w:space="0" w:color="auto"/>
                        <w:left w:val="none" w:sz="0" w:space="0" w:color="auto"/>
                        <w:bottom w:val="none" w:sz="0" w:space="0" w:color="auto"/>
                        <w:right w:val="none" w:sz="0" w:space="0" w:color="auto"/>
                      </w:divBdr>
                      <w:divsChild>
                        <w:div w:id="398985439">
                          <w:marLeft w:val="0"/>
                          <w:marRight w:val="0"/>
                          <w:marTop w:val="0"/>
                          <w:marBottom w:val="0"/>
                          <w:divBdr>
                            <w:top w:val="none" w:sz="0" w:space="0" w:color="auto"/>
                            <w:left w:val="none" w:sz="0" w:space="0" w:color="auto"/>
                            <w:bottom w:val="none" w:sz="0" w:space="0" w:color="auto"/>
                            <w:right w:val="none" w:sz="0" w:space="0" w:color="auto"/>
                          </w:divBdr>
                          <w:divsChild>
                            <w:div w:id="874971160">
                              <w:marLeft w:val="2070"/>
                              <w:marRight w:val="3960"/>
                              <w:marTop w:val="0"/>
                              <w:marBottom w:val="0"/>
                              <w:divBdr>
                                <w:top w:val="none" w:sz="0" w:space="0" w:color="auto"/>
                                <w:left w:val="none" w:sz="0" w:space="0" w:color="auto"/>
                                <w:bottom w:val="none" w:sz="0" w:space="0" w:color="auto"/>
                                <w:right w:val="none" w:sz="0" w:space="0" w:color="auto"/>
                              </w:divBdr>
                              <w:divsChild>
                                <w:div w:id="140193927">
                                  <w:marLeft w:val="0"/>
                                  <w:marRight w:val="0"/>
                                  <w:marTop w:val="0"/>
                                  <w:marBottom w:val="0"/>
                                  <w:divBdr>
                                    <w:top w:val="none" w:sz="0" w:space="0" w:color="auto"/>
                                    <w:left w:val="none" w:sz="0" w:space="0" w:color="auto"/>
                                    <w:bottom w:val="none" w:sz="0" w:space="0" w:color="auto"/>
                                    <w:right w:val="none" w:sz="0" w:space="0" w:color="auto"/>
                                  </w:divBdr>
                                  <w:divsChild>
                                    <w:div w:id="273948678">
                                      <w:marLeft w:val="0"/>
                                      <w:marRight w:val="0"/>
                                      <w:marTop w:val="0"/>
                                      <w:marBottom w:val="0"/>
                                      <w:divBdr>
                                        <w:top w:val="none" w:sz="0" w:space="0" w:color="auto"/>
                                        <w:left w:val="none" w:sz="0" w:space="0" w:color="auto"/>
                                        <w:bottom w:val="none" w:sz="0" w:space="0" w:color="auto"/>
                                        <w:right w:val="none" w:sz="0" w:space="0" w:color="auto"/>
                                      </w:divBdr>
                                      <w:divsChild>
                                        <w:div w:id="1797135189">
                                          <w:marLeft w:val="0"/>
                                          <w:marRight w:val="0"/>
                                          <w:marTop w:val="0"/>
                                          <w:marBottom w:val="0"/>
                                          <w:divBdr>
                                            <w:top w:val="none" w:sz="0" w:space="0" w:color="auto"/>
                                            <w:left w:val="none" w:sz="0" w:space="0" w:color="auto"/>
                                            <w:bottom w:val="none" w:sz="0" w:space="0" w:color="auto"/>
                                            <w:right w:val="none" w:sz="0" w:space="0" w:color="auto"/>
                                          </w:divBdr>
                                          <w:divsChild>
                                            <w:div w:id="2041778467">
                                              <w:marLeft w:val="0"/>
                                              <w:marRight w:val="0"/>
                                              <w:marTop w:val="90"/>
                                              <w:marBottom w:val="0"/>
                                              <w:divBdr>
                                                <w:top w:val="none" w:sz="0" w:space="0" w:color="auto"/>
                                                <w:left w:val="none" w:sz="0" w:space="0" w:color="auto"/>
                                                <w:bottom w:val="none" w:sz="0" w:space="0" w:color="auto"/>
                                                <w:right w:val="none" w:sz="0" w:space="0" w:color="auto"/>
                                              </w:divBdr>
                                              <w:divsChild>
                                                <w:div w:id="1488596591">
                                                  <w:marLeft w:val="0"/>
                                                  <w:marRight w:val="0"/>
                                                  <w:marTop w:val="0"/>
                                                  <w:marBottom w:val="0"/>
                                                  <w:divBdr>
                                                    <w:top w:val="none" w:sz="0" w:space="0" w:color="auto"/>
                                                    <w:left w:val="none" w:sz="0" w:space="0" w:color="auto"/>
                                                    <w:bottom w:val="none" w:sz="0" w:space="0" w:color="auto"/>
                                                    <w:right w:val="none" w:sz="0" w:space="0" w:color="auto"/>
                                                  </w:divBdr>
                                                  <w:divsChild>
                                                    <w:div w:id="748162805">
                                                      <w:marLeft w:val="0"/>
                                                      <w:marRight w:val="0"/>
                                                      <w:marTop w:val="0"/>
                                                      <w:marBottom w:val="0"/>
                                                      <w:divBdr>
                                                        <w:top w:val="none" w:sz="0" w:space="0" w:color="auto"/>
                                                        <w:left w:val="none" w:sz="0" w:space="0" w:color="auto"/>
                                                        <w:bottom w:val="none" w:sz="0" w:space="0" w:color="auto"/>
                                                        <w:right w:val="none" w:sz="0" w:space="0" w:color="auto"/>
                                                      </w:divBdr>
                                                      <w:divsChild>
                                                        <w:div w:id="20056923">
                                                          <w:marLeft w:val="0"/>
                                                          <w:marRight w:val="0"/>
                                                          <w:marTop w:val="0"/>
                                                          <w:marBottom w:val="390"/>
                                                          <w:divBdr>
                                                            <w:top w:val="none" w:sz="0" w:space="0" w:color="auto"/>
                                                            <w:left w:val="none" w:sz="0" w:space="0" w:color="auto"/>
                                                            <w:bottom w:val="none" w:sz="0" w:space="0" w:color="auto"/>
                                                            <w:right w:val="none" w:sz="0" w:space="0" w:color="auto"/>
                                                          </w:divBdr>
                                                          <w:divsChild>
                                                            <w:div w:id="1131048397">
                                                              <w:marLeft w:val="0"/>
                                                              <w:marRight w:val="0"/>
                                                              <w:marTop w:val="0"/>
                                                              <w:marBottom w:val="0"/>
                                                              <w:divBdr>
                                                                <w:top w:val="none" w:sz="0" w:space="0" w:color="auto"/>
                                                                <w:left w:val="none" w:sz="0" w:space="0" w:color="auto"/>
                                                                <w:bottom w:val="none" w:sz="0" w:space="0" w:color="auto"/>
                                                                <w:right w:val="none" w:sz="0" w:space="0" w:color="auto"/>
                                                              </w:divBdr>
                                                              <w:divsChild>
                                                                <w:div w:id="1172529154">
                                                                  <w:marLeft w:val="0"/>
                                                                  <w:marRight w:val="0"/>
                                                                  <w:marTop w:val="0"/>
                                                                  <w:marBottom w:val="0"/>
                                                                  <w:divBdr>
                                                                    <w:top w:val="none" w:sz="0" w:space="0" w:color="auto"/>
                                                                    <w:left w:val="none" w:sz="0" w:space="0" w:color="auto"/>
                                                                    <w:bottom w:val="none" w:sz="0" w:space="0" w:color="auto"/>
                                                                    <w:right w:val="none" w:sz="0" w:space="0" w:color="auto"/>
                                                                  </w:divBdr>
                                                                  <w:divsChild>
                                                                    <w:div w:id="1571187341">
                                                                      <w:marLeft w:val="0"/>
                                                                      <w:marRight w:val="0"/>
                                                                      <w:marTop w:val="0"/>
                                                                      <w:marBottom w:val="0"/>
                                                                      <w:divBdr>
                                                                        <w:top w:val="none" w:sz="0" w:space="0" w:color="auto"/>
                                                                        <w:left w:val="none" w:sz="0" w:space="0" w:color="auto"/>
                                                                        <w:bottom w:val="none" w:sz="0" w:space="0" w:color="auto"/>
                                                                        <w:right w:val="none" w:sz="0" w:space="0" w:color="auto"/>
                                                                      </w:divBdr>
                                                                      <w:divsChild>
                                                                        <w:div w:id="1553424817">
                                                                          <w:marLeft w:val="0"/>
                                                                          <w:marRight w:val="0"/>
                                                                          <w:marTop w:val="0"/>
                                                                          <w:marBottom w:val="0"/>
                                                                          <w:divBdr>
                                                                            <w:top w:val="none" w:sz="0" w:space="0" w:color="auto"/>
                                                                            <w:left w:val="none" w:sz="0" w:space="0" w:color="auto"/>
                                                                            <w:bottom w:val="none" w:sz="0" w:space="0" w:color="auto"/>
                                                                            <w:right w:val="none" w:sz="0" w:space="0" w:color="auto"/>
                                                                          </w:divBdr>
                                                                          <w:divsChild>
                                                                            <w:div w:id="1231188195">
                                                                              <w:marLeft w:val="0"/>
                                                                              <w:marRight w:val="0"/>
                                                                              <w:marTop w:val="0"/>
                                                                              <w:marBottom w:val="0"/>
                                                                              <w:divBdr>
                                                                                <w:top w:val="none" w:sz="0" w:space="0" w:color="auto"/>
                                                                                <w:left w:val="none" w:sz="0" w:space="0" w:color="auto"/>
                                                                                <w:bottom w:val="none" w:sz="0" w:space="0" w:color="auto"/>
                                                                                <w:right w:val="none" w:sz="0" w:space="0" w:color="auto"/>
                                                                              </w:divBdr>
                                                                              <w:divsChild>
                                                                                <w:div w:id="721635618">
                                                                                  <w:marLeft w:val="0"/>
                                                                                  <w:marRight w:val="0"/>
                                                                                  <w:marTop w:val="0"/>
                                                                                  <w:marBottom w:val="0"/>
                                                                                  <w:divBdr>
                                                                                    <w:top w:val="none" w:sz="0" w:space="0" w:color="auto"/>
                                                                                    <w:left w:val="none" w:sz="0" w:space="0" w:color="auto"/>
                                                                                    <w:bottom w:val="none" w:sz="0" w:space="0" w:color="auto"/>
                                                                                    <w:right w:val="none" w:sz="0" w:space="0" w:color="auto"/>
                                                                                  </w:divBdr>
                                                                                  <w:divsChild>
                                                                                    <w:div w:id="1522470647">
                                                                                      <w:marLeft w:val="0"/>
                                                                                      <w:marRight w:val="0"/>
                                                                                      <w:marTop w:val="0"/>
                                                                                      <w:marBottom w:val="0"/>
                                                                                      <w:divBdr>
                                                                                        <w:top w:val="none" w:sz="0" w:space="0" w:color="auto"/>
                                                                                        <w:left w:val="none" w:sz="0" w:space="0" w:color="auto"/>
                                                                                        <w:bottom w:val="none" w:sz="0" w:space="0" w:color="auto"/>
                                                                                        <w:right w:val="none" w:sz="0" w:space="0" w:color="auto"/>
                                                                                      </w:divBdr>
                                                                                      <w:divsChild>
                                                                                        <w:div w:id="133985334">
                                                                                          <w:marLeft w:val="0"/>
                                                                                          <w:marRight w:val="0"/>
                                                                                          <w:marTop w:val="0"/>
                                                                                          <w:marBottom w:val="0"/>
                                                                                          <w:divBdr>
                                                                                            <w:top w:val="none" w:sz="0" w:space="0" w:color="auto"/>
                                                                                            <w:left w:val="none" w:sz="0" w:space="0" w:color="auto"/>
                                                                                            <w:bottom w:val="none" w:sz="0" w:space="0" w:color="auto"/>
                                                                                            <w:right w:val="none" w:sz="0" w:space="0" w:color="auto"/>
                                                                                          </w:divBdr>
                                                                                          <w:divsChild>
                                                                                            <w:div w:id="1502116029">
                                                                                              <w:marLeft w:val="0"/>
                                                                                              <w:marRight w:val="0"/>
                                                                                              <w:marTop w:val="0"/>
                                                                                              <w:marBottom w:val="0"/>
                                                                                              <w:divBdr>
                                                                                                <w:top w:val="none" w:sz="0" w:space="0" w:color="auto"/>
                                                                                                <w:left w:val="none" w:sz="0" w:space="0" w:color="auto"/>
                                                                                                <w:bottom w:val="none" w:sz="0" w:space="0" w:color="auto"/>
                                                                                                <w:right w:val="none" w:sz="0" w:space="0" w:color="auto"/>
                                                                                              </w:divBdr>
                                                                                              <w:divsChild>
                                                                                                <w:div w:id="1657342122">
                                                                                                  <w:marLeft w:val="0"/>
                                                                                                  <w:marRight w:val="0"/>
                                                                                                  <w:marTop w:val="0"/>
                                                                                                  <w:marBottom w:val="0"/>
                                                                                                  <w:divBdr>
                                                                                                    <w:top w:val="none" w:sz="0" w:space="0" w:color="auto"/>
                                                                                                    <w:left w:val="none" w:sz="0" w:space="0" w:color="auto"/>
                                                                                                    <w:bottom w:val="none" w:sz="0" w:space="0" w:color="auto"/>
                                                                                                    <w:right w:val="none" w:sz="0" w:space="0" w:color="auto"/>
                                                                                                  </w:divBdr>
                                                                                                  <w:divsChild>
                                                                                                    <w:div w:id="1767380179">
                                                                                                      <w:marLeft w:val="0"/>
                                                                                                      <w:marRight w:val="0"/>
                                                                                                      <w:marTop w:val="0"/>
                                                                                                      <w:marBottom w:val="0"/>
                                                                                                      <w:divBdr>
                                                                                                        <w:top w:val="none" w:sz="0" w:space="0" w:color="auto"/>
                                                                                                        <w:left w:val="none" w:sz="0" w:space="0" w:color="auto"/>
                                                                                                        <w:bottom w:val="none" w:sz="0" w:space="0" w:color="auto"/>
                                                                                                        <w:right w:val="none" w:sz="0" w:space="0" w:color="auto"/>
                                                                                                      </w:divBdr>
                                                                                                      <w:divsChild>
                                                                                                        <w:div w:id="1419252486">
                                                                                                          <w:marLeft w:val="0"/>
                                                                                                          <w:marRight w:val="0"/>
                                                                                                          <w:marTop w:val="0"/>
                                                                                                          <w:marBottom w:val="0"/>
                                                                                                          <w:divBdr>
                                                                                                            <w:top w:val="none" w:sz="0" w:space="0" w:color="auto"/>
                                                                                                            <w:left w:val="none" w:sz="0" w:space="0" w:color="auto"/>
                                                                                                            <w:bottom w:val="none" w:sz="0" w:space="0" w:color="auto"/>
                                                                                                            <w:right w:val="none" w:sz="0" w:space="0" w:color="auto"/>
                                                                                                          </w:divBdr>
                                                                                                          <w:divsChild>
                                                                                                            <w:div w:id="1132138132">
                                                                                                              <w:marLeft w:val="0"/>
                                                                                                              <w:marRight w:val="0"/>
                                                                                                              <w:marTop w:val="0"/>
                                                                                                              <w:marBottom w:val="0"/>
                                                                                                              <w:divBdr>
                                                                                                                <w:top w:val="none" w:sz="0" w:space="0" w:color="auto"/>
                                                                                                                <w:left w:val="none" w:sz="0" w:space="0" w:color="auto"/>
                                                                                                                <w:bottom w:val="none" w:sz="0" w:space="0" w:color="auto"/>
                                                                                                                <w:right w:val="none" w:sz="0" w:space="0" w:color="auto"/>
                                                                                                              </w:divBdr>
                                                                                                              <w:divsChild>
                                                                                                                <w:div w:id="977806293">
                                                                                                                  <w:marLeft w:val="300"/>
                                                                                                                  <w:marRight w:val="0"/>
                                                                                                                  <w:marTop w:val="0"/>
                                                                                                                  <w:marBottom w:val="0"/>
                                                                                                                  <w:divBdr>
                                                                                                                    <w:top w:val="none" w:sz="0" w:space="0" w:color="auto"/>
                                                                                                                    <w:left w:val="none" w:sz="0" w:space="0" w:color="auto"/>
                                                                                                                    <w:bottom w:val="none" w:sz="0" w:space="0" w:color="auto"/>
                                                                                                                    <w:right w:val="none" w:sz="0" w:space="0" w:color="auto"/>
                                                                                                                  </w:divBdr>
                                                                                                                  <w:divsChild>
                                                                                                                    <w:div w:id="1987662925">
                                                                                                                      <w:marLeft w:val="0"/>
                                                                                                                      <w:marRight w:val="0"/>
                                                                                                                      <w:marTop w:val="0"/>
                                                                                                                      <w:marBottom w:val="0"/>
                                                                                                                      <w:divBdr>
                                                                                                                        <w:top w:val="none" w:sz="0" w:space="0" w:color="auto"/>
                                                                                                                        <w:left w:val="none" w:sz="0" w:space="0" w:color="auto"/>
                                                                                                                        <w:bottom w:val="none" w:sz="0" w:space="0" w:color="auto"/>
                                                                                                                        <w:right w:val="none" w:sz="0" w:space="0" w:color="auto"/>
                                                                                                                      </w:divBdr>
                                                                                                                      <w:divsChild>
                                                                                                                        <w:div w:id="9872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84647686">
      <w:bodyDiv w:val="1"/>
      <w:marLeft w:val="0"/>
      <w:marRight w:val="0"/>
      <w:marTop w:val="0"/>
      <w:marBottom w:val="0"/>
      <w:divBdr>
        <w:top w:val="none" w:sz="0" w:space="0" w:color="auto"/>
        <w:left w:val="none" w:sz="0" w:space="0" w:color="auto"/>
        <w:bottom w:val="none" w:sz="0" w:space="0" w:color="auto"/>
        <w:right w:val="none" w:sz="0" w:space="0" w:color="auto"/>
      </w:divBdr>
    </w:div>
    <w:div w:id="404188105">
      <w:bodyDiv w:val="1"/>
      <w:marLeft w:val="0"/>
      <w:marRight w:val="0"/>
      <w:marTop w:val="0"/>
      <w:marBottom w:val="0"/>
      <w:divBdr>
        <w:top w:val="none" w:sz="0" w:space="0" w:color="auto"/>
        <w:left w:val="none" w:sz="0" w:space="0" w:color="auto"/>
        <w:bottom w:val="none" w:sz="0" w:space="0" w:color="auto"/>
        <w:right w:val="none" w:sz="0" w:space="0" w:color="auto"/>
      </w:divBdr>
    </w:div>
    <w:div w:id="513032399">
      <w:bodyDiv w:val="1"/>
      <w:marLeft w:val="0"/>
      <w:marRight w:val="0"/>
      <w:marTop w:val="0"/>
      <w:marBottom w:val="0"/>
      <w:divBdr>
        <w:top w:val="none" w:sz="0" w:space="0" w:color="auto"/>
        <w:left w:val="none" w:sz="0" w:space="0" w:color="auto"/>
        <w:bottom w:val="none" w:sz="0" w:space="0" w:color="auto"/>
        <w:right w:val="none" w:sz="0" w:space="0" w:color="auto"/>
      </w:divBdr>
    </w:div>
    <w:div w:id="526254657">
      <w:bodyDiv w:val="1"/>
      <w:marLeft w:val="0"/>
      <w:marRight w:val="0"/>
      <w:marTop w:val="0"/>
      <w:marBottom w:val="0"/>
      <w:divBdr>
        <w:top w:val="none" w:sz="0" w:space="0" w:color="auto"/>
        <w:left w:val="none" w:sz="0" w:space="0" w:color="auto"/>
        <w:bottom w:val="none" w:sz="0" w:space="0" w:color="auto"/>
        <w:right w:val="none" w:sz="0" w:space="0" w:color="auto"/>
      </w:divBdr>
    </w:div>
    <w:div w:id="717096552">
      <w:bodyDiv w:val="1"/>
      <w:marLeft w:val="0"/>
      <w:marRight w:val="0"/>
      <w:marTop w:val="0"/>
      <w:marBottom w:val="0"/>
      <w:divBdr>
        <w:top w:val="none" w:sz="0" w:space="0" w:color="auto"/>
        <w:left w:val="none" w:sz="0" w:space="0" w:color="auto"/>
        <w:bottom w:val="none" w:sz="0" w:space="0" w:color="auto"/>
        <w:right w:val="none" w:sz="0" w:space="0" w:color="auto"/>
      </w:divBdr>
    </w:div>
    <w:div w:id="741173619">
      <w:bodyDiv w:val="1"/>
      <w:marLeft w:val="0"/>
      <w:marRight w:val="0"/>
      <w:marTop w:val="0"/>
      <w:marBottom w:val="0"/>
      <w:divBdr>
        <w:top w:val="none" w:sz="0" w:space="0" w:color="auto"/>
        <w:left w:val="none" w:sz="0" w:space="0" w:color="auto"/>
        <w:bottom w:val="none" w:sz="0" w:space="0" w:color="auto"/>
        <w:right w:val="none" w:sz="0" w:space="0" w:color="auto"/>
      </w:divBdr>
    </w:div>
    <w:div w:id="819150474">
      <w:bodyDiv w:val="1"/>
      <w:marLeft w:val="0"/>
      <w:marRight w:val="0"/>
      <w:marTop w:val="0"/>
      <w:marBottom w:val="0"/>
      <w:divBdr>
        <w:top w:val="none" w:sz="0" w:space="0" w:color="auto"/>
        <w:left w:val="none" w:sz="0" w:space="0" w:color="auto"/>
        <w:bottom w:val="none" w:sz="0" w:space="0" w:color="auto"/>
        <w:right w:val="none" w:sz="0" w:space="0" w:color="auto"/>
      </w:divBdr>
      <w:divsChild>
        <w:div w:id="1036926645">
          <w:marLeft w:val="0"/>
          <w:marRight w:val="0"/>
          <w:marTop w:val="0"/>
          <w:marBottom w:val="0"/>
          <w:divBdr>
            <w:top w:val="none" w:sz="0" w:space="0" w:color="auto"/>
            <w:left w:val="none" w:sz="0" w:space="0" w:color="auto"/>
            <w:bottom w:val="none" w:sz="0" w:space="0" w:color="auto"/>
            <w:right w:val="none" w:sz="0" w:space="0" w:color="auto"/>
          </w:divBdr>
          <w:divsChild>
            <w:div w:id="1594318406">
              <w:marLeft w:val="0"/>
              <w:marRight w:val="0"/>
              <w:marTop w:val="0"/>
              <w:marBottom w:val="0"/>
              <w:divBdr>
                <w:top w:val="none" w:sz="0" w:space="0" w:color="auto"/>
                <w:left w:val="none" w:sz="0" w:space="0" w:color="auto"/>
                <w:bottom w:val="none" w:sz="0" w:space="0" w:color="auto"/>
                <w:right w:val="none" w:sz="0" w:space="0" w:color="auto"/>
              </w:divBdr>
              <w:divsChild>
                <w:div w:id="1000086626">
                  <w:marLeft w:val="0"/>
                  <w:marRight w:val="0"/>
                  <w:marTop w:val="0"/>
                  <w:marBottom w:val="0"/>
                  <w:divBdr>
                    <w:top w:val="none" w:sz="0" w:space="0" w:color="auto"/>
                    <w:left w:val="none" w:sz="0" w:space="0" w:color="auto"/>
                    <w:bottom w:val="none" w:sz="0" w:space="0" w:color="auto"/>
                    <w:right w:val="none" w:sz="0" w:space="0" w:color="auto"/>
                  </w:divBdr>
                  <w:divsChild>
                    <w:div w:id="2096199930">
                      <w:marLeft w:val="0"/>
                      <w:marRight w:val="0"/>
                      <w:marTop w:val="0"/>
                      <w:marBottom w:val="0"/>
                      <w:divBdr>
                        <w:top w:val="none" w:sz="0" w:space="0" w:color="auto"/>
                        <w:left w:val="none" w:sz="0" w:space="0" w:color="auto"/>
                        <w:bottom w:val="none" w:sz="0" w:space="0" w:color="auto"/>
                        <w:right w:val="none" w:sz="0" w:space="0" w:color="auto"/>
                      </w:divBdr>
                      <w:divsChild>
                        <w:div w:id="782461089">
                          <w:marLeft w:val="0"/>
                          <w:marRight w:val="0"/>
                          <w:marTop w:val="0"/>
                          <w:marBottom w:val="0"/>
                          <w:divBdr>
                            <w:top w:val="none" w:sz="0" w:space="0" w:color="auto"/>
                            <w:left w:val="none" w:sz="0" w:space="0" w:color="auto"/>
                            <w:bottom w:val="none" w:sz="0" w:space="0" w:color="auto"/>
                            <w:right w:val="none" w:sz="0" w:space="0" w:color="auto"/>
                          </w:divBdr>
                          <w:divsChild>
                            <w:div w:id="1427073099">
                              <w:marLeft w:val="2070"/>
                              <w:marRight w:val="3960"/>
                              <w:marTop w:val="0"/>
                              <w:marBottom w:val="0"/>
                              <w:divBdr>
                                <w:top w:val="none" w:sz="0" w:space="0" w:color="auto"/>
                                <w:left w:val="none" w:sz="0" w:space="0" w:color="auto"/>
                                <w:bottom w:val="none" w:sz="0" w:space="0" w:color="auto"/>
                                <w:right w:val="none" w:sz="0" w:space="0" w:color="auto"/>
                              </w:divBdr>
                              <w:divsChild>
                                <w:div w:id="1614088695">
                                  <w:marLeft w:val="0"/>
                                  <w:marRight w:val="0"/>
                                  <w:marTop w:val="0"/>
                                  <w:marBottom w:val="0"/>
                                  <w:divBdr>
                                    <w:top w:val="none" w:sz="0" w:space="0" w:color="auto"/>
                                    <w:left w:val="none" w:sz="0" w:space="0" w:color="auto"/>
                                    <w:bottom w:val="none" w:sz="0" w:space="0" w:color="auto"/>
                                    <w:right w:val="none" w:sz="0" w:space="0" w:color="auto"/>
                                  </w:divBdr>
                                  <w:divsChild>
                                    <w:div w:id="100490172">
                                      <w:marLeft w:val="0"/>
                                      <w:marRight w:val="0"/>
                                      <w:marTop w:val="0"/>
                                      <w:marBottom w:val="0"/>
                                      <w:divBdr>
                                        <w:top w:val="none" w:sz="0" w:space="0" w:color="auto"/>
                                        <w:left w:val="none" w:sz="0" w:space="0" w:color="auto"/>
                                        <w:bottom w:val="none" w:sz="0" w:space="0" w:color="auto"/>
                                        <w:right w:val="none" w:sz="0" w:space="0" w:color="auto"/>
                                      </w:divBdr>
                                      <w:divsChild>
                                        <w:div w:id="1922908748">
                                          <w:marLeft w:val="0"/>
                                          <w:marRight w:val="0"/>
                                          <w:marTop w:val="0"/>
                                          <w:marBottom w:val="0"/>
                                          <w:divBdr>
                                            <w:top w:val="none" w:sz="0" w:space="0" w:color="auto"/>
                                            <w:left w:val="none" w:sz="0" w:space="0" w:color="auto"/>
                                            <w:bottom w:val="none" w:sz="0" w:space="0" w:color="auto"/>
                                            <w:right w:val="none" w:sz="0" w:space="0" w:color="auto"/>
                                          </w:divBdr>
                                          <w:divsChild>
                                            <w:div w:id="671641491">
                                              <w:marLeft w:val="0"/>
                                              <w:marRight w:val="0"/>
                                              <w:marTop w:val="90"/>
                                              <w:marBottom w:val="0"/>
                                              <w:divBdr>
                                                <w:top w:val="none" w:sz="0" w:space="0" w:color="auto"/>
                                                <w:left w:val="none" w:sz="0" w:space="0" w:color="auto"/>
                                                <w:bottom w:val="none" w:sz="0" w:space="0" w:color="auto"/>
                                                <w:right w:val="none" w:sz="0" w:space="0" w:color="auto"/>
                                              </w:divBdr>
                                              <w:divsChild>
                                                <w:div w:id="732776003">
                                                  <w:marLeft w:val="0"/>
                                                  <w:marRight w:val="0"/>
                                                  <w:marTop w:val="0"/>
                                                  <w:marBottom w:val="0"/>
                                                  <w:divBdr>
                                                    <w:top w:val="none" w:sz="0" w:space="0" w:color="auto"/>
                                                    <w:left w:val="none" w:sz="0" w:space="0" w:color="auto"/>
                                                    <w:bottom w:val="none" w:sz="0" w:space="0" w:color="auto"/>
                                                    <w:right w:val="none" w:sz="0" w:space="0" w:color="auto"/>
                                                  </w:divBdr>
                                                  <w:divsChild>
                                                    <w:div w:id="950631874">
                                                      <w:marLeft w:val="0"/>
                                                      <w:marRight w:val="0"/>
                                                      <w:marTop w:val="0"/>
                                                      <w:marBottom w:val="0"/>
                                                      <w:divBdr>
                                                        <w:top w:val="none" w:sz="0" w:space="0" w:color="auto"/>
                                                        <w:left w:val="none" w:sz="0" w:space="0" w:color="auto"/>
                                                        <w:bottom w:val="none" w:sz="0" w:space="0" w:color="auto"/>
                                                        <w:right w:val="none" w:sz="0" w:space="0" w:color="auto"/>
                                                      </w:divBdr>
                                                      <w:divsChild>
                                                        <w:div w:id="648091354">
                                                          <w:marLeft w:val="0"/>
                                                          <w:marRight w:val="0"/>
                                                          <w:marTop w:val="0"/>
                                                          <w:marBottom w:val="390"/>
                                                          <w:divBdr>
                                                            <w:top w:val="none" w:sz="0" w:space="0" w:color="auto"/>
                                                            <w:left w:val="none" w:sz="0" w:space="0" w:color="auto"/>
                                                            <w:bottom w:val="none" w:sz="0" w:space="0" w:color="auto"/>
                                                            <w:right w:val="none" w:sz="0" w:space="0" w:color="auto"/>
                                                          </w:divBdr>
                                                          <w:divsChild>
                                                            <w:div w:id="344554472">
                                                              <w:marLeft w:val="0"/>
                                                              <w:marRight w:val="0"/>
                                                              <w:marTop w:val="0"/>
                                                              <w:marBottom w:val="0"/>
                                                              <w:divBdr>
                                                                <w:top w:val="none" w:sz="0" w:space="0" w:color="auto"/>
                                                                <w:left w:val="none" w:sz="0" w:space="0" w:color="auto"/>
                                                                <w:bottom w:val="none" w:sz="0" w:space="0" w:color="auto"/>
                                                                <w:right w:val="none" w:sz="0" w:space="0" w:color="auto"/>
                                                              </w:divBdr>
                                                              <w:divsChild>
                                                                <w:div w:id="1743720446">
                                                                  <w:marLeft w:val="0"/>
                                                                  <w:marRight w:val="0"/>
                                                                  <w:marTop w:val="0"/>
                                                                  <w:marBottom w:val="0"/>
                                                                  <w:divBdr>
                                                                    <w:top w:val="none" w:sz="0" w:space="0" w:color="auto"/>
                                                                    <w:left w:val="none" w:sz="0" w:space="0" w:color="auto"/>
                                                                    <w:bottom w:val="none" w:sz="0" w:space="0" w:color="auto"/>
                                                                    <w:right w:val="none" w:sz="0" w:space="0" w:color="auto"/>
                                                                  </w:divBdr>
                                                                  <w:divsChild>
                                                                    <w:div w:id="1310282283">
                                                                      <w:marLeft w:val="0"/>
                                                                      <w:marRight w:val="0"/>
                                                                      <w:marTop w:val="0"/>
                                                                      <w:marBottom w:val="0"/>
                                                                      <w:divBdr>
                                                                        <w:top w:val="none" w:sz="0" w:space="0" w:color="auto"/>
                                                                        <w:left w:val="none" w:sz="0" w:space="0" w:color="auto"/>
                                                                        <w:bottom w:val="none" w:sz="0" w:space="0" w:color="auto"/>
                                                                        <w:right w:val="none" w:sz="0" w:space="0" w:color="auto"/>
                                                                      </w:divBdr>
                                                                      <w:divsChild>
                                                                        <w:div w:id="1566603578">
                                                                          <w:marLeft w:val="0"/>
                                                                          <w:marRight w:val="0"/>
                                                                          <w:marTop w:val="0"/>
                                                                          <w:marBottom w:val="0"/>
                                                                          <w:divBdr>
                                                                            <w:top w:val="none" w:sz="0" w:space="0" w:color="auto"/>
                                                                            <w:left w:val="none" w:sz="0" w:space="0" w:color="auto"/>
                                                                            <w:bottom w:val="none" w:sz="0" w:space="0" w:color="auto"/>
                                                                            <w:right w:val="none" w:sz="0" w:space="0" w:color="auto"/>
                                                                          </w:divBdr>
                                                                          <w:divsChild>
                                                                            <w:div w:id="657852372">
                                                                              <w:marLeft w:val="0"/>
                                                                              <w:marRight w:val="0"/>
                                                                              <w:marTop w:val="0"/>
                                                                              <w:marBottom w:val="0"/>
                                                                              <w:divBdr>
                                                                                <w:top w:val="none" w:sz="0" w:space="0" w:color="auto"/>
                                                                                <w:left w:val="none" w:sz="0" w:space="0" w:color="auto"/>
                                                                                <w:bottom w:val="none" w:sz="0" w:space="0" w:color="auto"/>
                                                                                <w:right w:val="none" w:sz="0" w:space="0" w:color="auto"/>
                                                                              </w:divBdr>
                                                                              <w:divsChild>
                                                                                <w:div w:id="1470780529">
                                                                                  <w:marLeft w:val="0"/>
                                                                                  <w:marRight w:val="0"/>
                                                                                  <w:marTop w:val="0"/>
                                                                                  <w:marBottom w:val="0"/>
                                                                                  <w:divBdr>
                                                                                    <w:top w:val="none" w:sz="0" w:space="0" w:color="auto"/>
                                                                                    <w:left w:val="none" w:sz="0" w:space="0" w:color="auto"/>
                                                                                    <w:bottom w:val="none" w:sz="0" w:space="0" w:color="auto"/>
                                                                                    <w:right w:val="none" w:sz="0" w:space="0" w:color="auto"/>
                                                                                  </w:divBdr>
                                                                                  <w:divsChild>
                                                                                    <w:div w:id="655962261">
                                                                                      <w:marLeft w:val="0"/>
                                                                                      <w:marRight w:val="0"/>
                                                                                      <w:marTop w:val="0"/>
                                                                                      <w:marBottom w:val="0"/>
                                                                                      <w:divBdr>
                                                                                        <w:top w:val="none" w:sz="0" w:space="0" w:color="auto"/>
                                                                                        <w:left w:val="none" w:sz="0" w:space="0" w:color="auto"/>
                                                                                        <w:bottom w:val="none" w:sz="0" w:space="0" w:color="auto"/>
                                                                                        <w:right w:val="none" w:sz="0" w:space="0" w:color="auto"/>
                                                                                      </w:divBdr>
                                                                                      <w:divsChild>
                                                                                        <w:div w:id="913124212">
                                                                                          <w:marLeft w:val="0"/>
                                                                                          <w:marRight w:val="0"/>
                                                                                          <w:marTop w:val="0"/>
                                                                                          <w:marBottom w:val="0"/>
                                                                                          <w:divBdr>
                                                                                            <w:top w:val="none" w:sz="0" w:space="0" w:color="auto"/>
                                                                                            <w:left w:val="none" w:sz="0" w:space="0" w:color="auto"/>
                                                                                            <w:bottom w:val="none" w:sz="0" w:space="0" w:color="auto"/>
                                                                                            <w:right w:val="none" w:sz="0" w:space="0" w:color="auto"/>
                                                                                          </w:divBdr>
                                                                                          <w:divsChild>
                                                                                            <w:div w:id="1857646014">
                                                                                              <w:marLeft w:val="0"/>
                                                                                              <w:marRight w:val="0"/>
                                                                                              <w:marTop w:val="0"/>
                                                                                              <w:marBottom w:val="0"/>
                                                                                              <w:divBdr>
                                                                                                <w:top w:val="none" w:sz="0" w:space="0" w:color="auto"/>
                                                                                                <w:left w:val="none" w:sz="0" w:space="0" w:color="auto"/>
                                                                                                <w:bottom w:val="none" w:sz="0" w:space="0" w:color="auto"/>
                                                                                                <w:right w:val="none" w:sz="0" w:space="0" w:color="auto"/>
                                                                                              </w:divBdr>
                                                                                              <w:divsChild>
                                                                                                <w:div w:id="1136608344">
                                                                                                  <w:marLeft w:val="0"/>
                                                                                                  <w:marRight w:val="0"/>
                                                                                                  <w:marTop w:val="0"/>
                                                                                                  <w:marBottom w:val="0"/>
                                                                                                  <w:divBdr>
                                                                                                    <w:top w:val="none" w:sz="0" w:space="0" w:color="auto"/>
                                                                                                    <w:left w:val="none" w:sz="0" w:space="0" w:color="auto"/>
                                                                                                    <w:bottom w:val="none" w:sz="0" w:space="0" w:color="auto"/>
                                                                                                    <w:right w:val="none" w:sz="0" w:space="0" w:color="auto"/>
                                                                                                  </w:divBdr>
                                                                                                  <w:divsChild>
                                                                                                    <w:div w:id="725181429">
                                                                                                      <w:marLeft w:val="0"/>
                                                                                                      <w:marRight w:val="0"/>
                                                                                                      <w:marTop w:val="0"/>
                                                                                                      <w:marBottom w:val="0"/>
                                                                                                      <w:divBdr>
                                                                                                        <w:top w:val="none" w:sz="0" w:space="0" w:color="auto"/>
                                                                                                        <w:left w:val="none" w:sz="0" w:space="0" w:color="auto"/>
                                                                                                        <w:bottom w:val="none" w:sz="0" w:space="0" w:color="auto"/>
                                                                                                        <w:right w:val="none" w:sz="0" w:space="0" w:color="auto"/>
                                                                                                      </w:divBdr>
                                                                                                      <w:divsChild>
                                                                                                        <w:div w:id="342518436">
                                                                                                          <w:marLeft w:val="0"/>
                                                                                                          <w:marRight w:val="0"/>
                                                                                                          <w:marTop w:val="0"/>
                                                                                                          <w:marBottom w:val="0"/>
                                                                                                          <w:divBdr>
                                                                                                            <w:top w:val="none" w:sz="0" w:space="0" w:color="auto"/>
                                                                                                            <w:left w:val="none" w:sz="0" w:space="0" w:color="auto"/>
                                                                                                            <w:bottom w:val="none" w:sz="0" w:space="0" w:color="auto"/>
                                                                                                            <w:right w:val="none" w:sz="0" w:space="0" w:color="auto"/>
                                                                                                          </w:divBdr>
                                                                                                          <w:divsChild>
                                                                                                            <w:div w:id="871648492">
                                                                                                              <w:marLeft w:val="0"/>
                                                                                                              <w:marRight w:val="0"/>
                                                                                                              <w:marTop w:val="0"/>
                                                                                                              <w:marBottom w:val="0"/>
                                                                                                              <w:divBdr>
                                                                                                                <w:top w:val="none" w:sz="0" w:space="0" w:color="auto"/>
                                                                                                                <w:left w:val="none" w:sz="0" w:space="0" w:color="auto"/>
                                                                                                                <w:bottom w:val="none" w:sz="0" w:space="0" w:color="auto"/>
                                                                                                                <w:right w:val="none" w:sz="0" w:space="0" w:color="auto"/>
                                                                                                              </w:divBdr>
                                                                                                              <w:divsChild>
                                                                                                                <w:div w:id="937635317">
                                                                                                                  <w:marLeft w:val="300"/>
                                                                                                                  <w:marRight w:val="0"/>
                                                                                                                  <w:marTop w:val="0"/>
                                                                                                                  <w:marBottom w:val="0"/>
                                                                                                                  <w:divBdr>
                                                                                                                    <w:top w:val="none" w:sz="0" w:space="0" w:color="auto"/>
                                                                                                                    <w:left w:val="none" w:sz="0" w:space="0" w:color="auto"/>
                                                                                                                    <w:bottom w:val="none" w:sz="0" w:space="0" w:color="auto"/>
                                                                                                                    <w:right w:val="none" w:sz="0" w:space="0" w:color="auto"/>
                                                                                                                  </w:divBdr>
                                                                                                                  <w:divsChild>
                                                                                                                    <w:div w:id="59015038">
                                                                                                                      <w:marLeft w:val="0"/>
                                                                                                                      <w:marRight w:val="0"/>
                                                                                                                      <w:marTop w:val="0"/>
                                                                                                                      <w:marBottom w:val="0"/>
                                                                                                                      <w:divBdr>
                                                                                                                        <w:top w:val="none" w:sz="0" w:space="0" w:color="auto"/>
                                                                                                                        <w:left w:val="none" w:sz="0" w:space="0" w:color="auto"/>
                                                                                                                        <w:bottom w:val="none" w:sz="0" w:space="0" w:color="auto"/>
                                                                                                                        <w:right w:val="none" w:sz="0" w:space="0" w:color="auto"/>
                                                                                                                      </w:divBdr>
                                                                                                                      <w:divsChild>
                                                                                                                        <w:div w:id="60157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6309327">
      <w:bodyDiv w:val="1"/>
      <w:marLeft w:val="0"/>
      <w:marRight w:val="0"/>
      <w:marTop w:val="0"/>
      <w:marBottom w:val="0"/>
      <w:divBdr>
        <w:top w:val="none" w:sz="0" w:space="0" w:color="auto"/>
        <w:left w:val="none" w:sz="0" w:space="0" w:color="auto"/>
        <w:bottom w:val="none" w:sz="0" w:space="0" w:color="auto"/>
        <w:right w:val="none" w:sz="0" w:space="0" w:color="auto"/>
      </w:divBdr>
    </w:div>
    <w:div w:id="962426129">
      <w:bodyDiv w:val="1"/>
      <w:marLeft w:val="0"/>
      <w:marRight w:val="0"/>
      <w:marTop w:val="0"/>
      <w:marBottom w:val="0"/>
      <w:divBdr>
        <w:top w:val="none" w:sz="0" w:space="0" w:color="auto"/>
        <w:left w:val="none" w:sz="0" w:space="0" w:color="auto"/>
        <w:bottom w:val="none" w:sz="0" w:space="0" w:color="auto"/>
        <w:right w:val="none" w:sz="0" w:space="0" w:color="auto"/>
      </w:divBdr>
    </w:div>
    <w:div w:id="989989899">
      <w:bodyDiv w:val="1"/>
      <w:marLeft w:val="0"/>
      <w:marRight w:val="0"/>
      <w:marTop w:val="0"/>
      <w:marBottom w:val="0"/>
      <w:divBdr>
        <w:top w:val="none" w:sz="0" w:space="0" w:color="auto"/>
        <w:left w:val="none" w:sz="0" w:space="0" w:color="auto"/>
        <w:bottom w:val="none" w:sz="0" w:space="0" w:color="auto"/>
        <w:right w:val="none" w:sz="0" w:space="0" w:color="auto"/>
      </w:divBdr>
    </w:div>
    <w:div w:id="1333755766">
      <w:bodyDiv w:val="1"/>
      <w:marLeft w:val="0"/>
      <w:marRight w:val="0"/>
      <w:marTop w:val="0"/>
      <w:marBottom w:val="0"/>
      <w:divBdr>
        <w:top w:val="none" w:sz="0" w:space="0" w:color="auto"/>
        <w:left w:val="none" w:sz="0" w:space="0" w:color="auto"/>
        <w:bottom w:val="none" w:sz="0" w:space="0" w:color="auto"/>
        <w:right w:val="none" w:sz="0" w:space="0" w:color="auto"/>
      </w:divBdr>
      <w:divsChild>
        <w:div w:id="859513420">
          <w:marLeft w:val="0"/>
          <w:marRight w:val="0"/>
          <w:marTop w:val="0"/>
          <w:marBottom w:val="0"/>
          <w:divBdr>
            <w:top w:val="none" w:sz="0" w:space="0" w:color="auto"/>
            <w:left w:val="none" w:sz="0" w:space="0" w:color="auto"/>
            <w:bottom w:val="none" w:sz="0" w:space="0" w:color="auto"/>
            <w:right w:val="none" w:sz="0" w:space="0" w:color="auto"/>
          </w:divBdr>
          <w:divsChild>
            <w:div w:id="976449325">
              <w:marLeft w:val="0"/>
              <w:marRight w:val="0"/>
              <w:marTop w:val="0"/>
              <w:marBottom w:val="0"/>
              <w:divBdr>
                <w:top w:val="none" w:sz="0" w:space="0" w:color="auto"/>
                <w:left w:val="none" w:sz="0" w:space="0" w:color="auto"/>
                <w:bottom w:val="none" w:sz="0" w:space="0" w:color="auto"/>
                <w:right w:val="none" w:sz="0" w:space="0" w:color="auto"/>
              </w:divBdr>
              <w:divsChild>
                <w:div w:id="659694159">
                  <w:marLeft w:val="0"/>
                  <w:marRight w:val="0"/>
                  <w:marTop w:val="0"/>
                  <w:marBottom w:val="0"/>
                  <w:divBdr>
                    <w:top w:val="none" w:sz="0" w:space="0" w:color="auto"/>
                    <w:left w:val="none" w:sz="0" w:space="0" w:color="auto"/>
                    <w:bottom w:val="none" w:sz="0" w:space="0" w:color="auto"/>
                    <w:right w:val="none" w:sz="0" w:space="0" w:color="auto"/>
                  </w:divBdr>
                  <w:divsChild>
                    <w:div w:id="134955247">
                      <w:marLeft w:val="0"/>
                      <w:marRight w:val="0"/>
                      <w:marTop w:val="0"/>
                      <w:marBottom w:val="0"/>
                      <w:divBdr>
                        <w:top w:val="none" w:sz="0" w:space="0" w:color="auto"/>
                        <w:left w:val="none" w:sz="0" w:space="0" w:color="auto"/>
                        <w:bottom w:val="none" w:sz="0" w:space="0" w:color="auto"/>
                        <w:right w:val="none" w:sz="0" w:space="0" w:color="auto"/>
                      </w:divBdr>
                      <w:divsChild>
                        <w:div w:id="1657955475">
                          <w:marLeft w:val="0"/>
                          <w:marRight w:val="0"/>
                          <w:marTop w:val="0"/>
                          <w:marBottom w:val="0"/>
                          <w:divBdr>
                            <w:top w:val="none" w:sz="0" w:space="0" w:color="auto"/>
                            <w:left w:val="none" w:sz="0" w:space="0" w:color="auto"/>
                            <w:bottom w:val="none" w:sz="0" w:space="0" w:color="auto"/>
                            <w:right w:val="none" w:sz="0" w:space="0" w:color="auto"/>
                          </w:divBdr>
                          <w:divsChild>
                            <w:div w:id="1073236773">
                              <w:marLeft w:val="2070"/>
                              <w:marRight w:val="3960"/>
                              <w:marTop w:val="0"/>
                              <w:marBottom w:val="0"/>
                              <w:divBdr>
                                <w:top w:val="none" w:sz="0" w:space="0" w:color="auto"/>
                                <w:left w:val="none" w:sz="0" w:space="0" w:color="auto"/>
                                <w:bottom w:val="none" w:sz="0" w:space="0" w:color="auto"/>
                                <w:right w:val="none" w:sz="0" w:space="0" w:color="auto"/>
                              </w:divBdr>
                              <w:divsChild>
                                <w:div w:id="923807022">
                                  <w:marLeft w:val="0"/>
                                  <w:marRight w:val="0"/>
                                  <w:marTop w:val="0"/>
                                  <w:marBottom w:val="0"/>
                                  <w:divBdr>
                                    <w:top w:val="none" w:sz="0" w:space="0" w:color="auto"/>
                                    <w:left w:val="none" w:sz="0" w:space="0" w:color="auto"/>
                                    <w:bottom w:val="none" w:sz="0" w:space="0" w:color="auto"/>
                                    <w:right w:val="none" w:sz="0" w:space="0" w:color="auto"/>
                                  </w:divBdr>
                                  <w:divsChild>
                                    <w:div w:id="1182544908">
                                      <w:marLeft w:val="0"/>
                                      <w:marRight w:val="0"/>
                                      <w:marTop w:val="0"/>
                                      <w:marBottom w:val="0"/>
                                      <w:divBdr>
                                        <w:top w:val="none" w:sz="0" w:space="0" w:color="auto"/>
                                        <w:left w:val="none" w:sz="0" w:space="0" w:color="auto"/>
                                        <w:bottom w:val="none" w:sz="0" w:space="0" w:color="auto"/>
                                        <w:right w:val="none" w:sz="0" w:space="0" w:color="auto"/>
                                      </w:divBdr>
                                      <w:divsChild>
                                        <w:div w:id="1925992722">
                                          <w:marLeft w:val="0"/>
                                          <w:marRight w:val="0"/>
                                          <w:marTop w:val="0"/>
                                          <w:marBottom w:val="0"/>
                                          <w:divBdr>
                                            <w:top w:val="none" w:sz="0" w:space="0" w:color="auto"/>
                                            <w:left w:val="none" w:sz="0" w:space="0" w:color="auto"/>
                                            <w:bottom w:val="none" w:sz="0" w:space="0" w:color="auto"/>
                                            <w:right w:val="none" w:sz="0" w:space="0" w:color="auto"/>
                                          </w:divBdr>
                                          <w:divsChild>
                                            <w:div w:id="1696080234">
                                              <w:marLeft w:val="0"/>
                                              <w:marRight w:val="0"/>
                                              <w:marTop w:val="90"/>
                                              <w:marBottom w:val="0"/>
                                              <w:divBdr>
                                                <w:top w:val="none" w:sz="0" w:space="0" w:color="auto"/>
                                                <w:left w:val="none" w:sz="0" w:space="0" w:color="auto"/>
                                                <w:bottom w:val="none" w:sz="0" w:space="0" w:color="auto"/>
                                                <w:right w:val="none" w:sz="0" w:space="0" w:color="auto"/>
                                              </w:divBdr>
                                              <w:divsChild>
                                                <w:div w:id="1977687238">
                                                  <w:marLeft w:val="0"/>
                                                  <w:marRight w:val="0"/>
                                                  <w:marTop w:val="0"/>
                                                  <w:marBottom w:val="0"/>
                                                  <w:divBdr>
                                                    <w:top w:val="none" w:sz="0" w:space="0" w:color="auto"/>
                                                    <w:left w:val="none" w:sz="0" w:space="0" w:color="auto"/>
                                                    <w:bottom w:val="none" w:sz="0" w:space="0" w:color="auto"/>
                                                    <w:right w:val="none" w:sz="0" w:space="0" w:color="auto"/>
                                                  </w:divBdr>
                                                  <w:divsChild>
                                                    <w:div w:id="542835121">
                                                      <w:marLeft w:val="0"/>
                                                      <w:marRight w:val="0"/>
                                                      <w:marTop w:val="0"/>
                                                      <w:marBottom w:val="0"/>
                                                      <w:divBdr>
                                                        <w:top w:val="none" w:sz="0" w:space="0" w:color="auto"/>
                                                        <w:left w:val="none" w:sz="0" w:space="0" w:color="auto"/>
                                                        <w:bottom w:val="none" w:sz="0" w:space="0" w:color="auto"/>
                                                        <w:right w:val="none" w:sz="0" w:space="0" w:color="auto"/>
                                                      </w:divBdr>
                                                      <w:divsChild>
                                                        <w:div w:id="800881914">
                                                          <w:marLeft w:val="0"/>
                                                          <w:marRight w:val="0"/>
                                                          <w:marTop w:val="0"/>
                                                          <w:marBottom w:val="390"/>
                                                          <w:divBdr>
                                                            <w:top w:val="none" w:sz="0" w:space="0" w:color="auto"/>
                                                            <w:left w:val="none" w:sz="0" w:space="0" w:color="auto"/>
                                                            <w:bottom w:val="none" w:sz="0" w:space="0" w:color="auto"/>
                                                            <w:right w:val="none" w:sz="0" w:space="0" w:color="auto"/>
                                                          </w:divBdr>
                                                          <w:divsChild>
                                                            <w:div w:id="1351837865">
                                                              <w:marLeft w:val="0"/>
                                                              <w:marRight w:val="0"/>
                                                              <w:marTop w:val="0"/>
                                                              <w:marBottom w:val="0"/>
                                                              <w:divBdr>
                                                                <w:top w:val="none" w:sz="0" w:space="0" w:color="auto"/>
                                                                <w:left w:val="none" w:sz="0" w:space="0" w:color="auto"/>
                                                                <w:bottom w:val="none" w:sz="0" w:space="0" w:color="auto"/>
                                                                <w:right w:val="none" w:sz="0" w:space="0" w:color="auto"/>
                                                              </w:divBdr>
                                                              <w:divsChild>
                                                                <w:div w:id="1522553577">
                                                                  <w:marLeft w:val="0"/>
                                                                  <w:marRight w:val="0"/>
                                                                  <w:marTop w:val="0"/>
                                                                  <w:marBottom w:val="0"/>
                                                                  <w:divBdr>
                                                                    <w:top w:val="none" w:sz="0" w:space="0" w:color="auto"/>
                                                                    <w:left w:val="none" w:sz="0" w:space="0" w:color="auto"/>
                                                                    <w:bottom w:val="none" w:sz="0" w:space="0" w:color="auto"/>
                                                                    <w:right w:val="none" w:sz="0" w:space="0" w:color="auto"/>
                                                                  </w:divBdr>
                                                                  <w:divsChild>
                                                                    <w:div w:id="2077124951">
                                                                      <w:marLeft w:val="0"/>
                                                                      <w:marRight w:val="0"/>
                                                                      <w:marTop w:val="0"/>
                                                                      <w:marBottom w:val="0"/>
                                                                      <w:divBdr>
                                                                        <w:top w:val="none" w:sz="0" w:space="0" w:color="auto"/>
                                                                        <w:left w:val="none" w:sz="0" w:space="0" w:color="auto"/>
                                                                        <w:bottom w:val="none" w:sz="0" w:space="0" w:color="auto"/>
                                                                        <w:right w:val="none" w:sz="0" w:space="0" w:color="auto"/>
                                                                      </w:divBdr>
                                                                      <w:divsChild>
                                                                        <w:div w:id="1750885219">
                                                                          <w:marLeft w:val="0"/>
                                                                          <w:marRight w:val="0"/>
                                                                          <w:marTop w:val="0"/>
                                                                          <w:marBottom w:val="0"/>
                                                                          <w:divBdr>
                                                                            <w:top w:val="none" w:sz="0" w:space="0" w:color="auto"/>
                                                                            <w:left w:val="none" w:sz="0" w:space="0" w:color="auto"/>
                                                                            <w:bottom w:val="none" w:sz="0" w:space="0" w:color="auto"/>
                                                                            <w:right w:val="none" w:sz="0" w:space="0" w:color="auto"/>
                                                                          </w:divBdr>
                                                                          <w:divsChild>
                                                                            <w:div w:id="371922898">
                                                                              <w:marLeft w:val="0"/>
                                                                              <w:marRight w:val="0"/>
                                                                              <w:marTop w:val="0"/>
                                                                              <w:marBottom w:val="0"/>
                                                                              <w:divBdr>
                                                                                <w:top w:val="none" w:sz="0" w:space="0" w:color="auto"/>
                                                                                <w:left w:val="none" w:sz="0" w:space="0" w:color="auto"/>
                                                                                <w:bottom w:val="none" w:sz="0" w:space="0" w:color="auto"/>
                                                                                <w:right w:val="none" w:sz="0" w:space="0" w:color="auto"/>
                                                                              </w:divBdr>
                                                                              <w:divsChild>
                                                                                <w:div w:id="1008097086">
                                                                                  <w:marLeft w:val="0"/>
                                                                                  <w:marRight w:val="0"/>
                                                                                  <w:marTop w:val="0"/>
                                                                                  <w:marBottom w:val="0"/>
                                                                                  <w:divBdr>
                                                                                    <w:top w:val="none" w:sz="0" w:space="0" w:color="auto"/>
                                                                                    <w:left w:val="none" w:sz="0" w:space="0" w:color="auto"/>
                                                                                    <w:bottom w:val="none" w:sz="0" w:space="0" w:color="auto"/>
                                                                                    <w:right w:val="none" w:sz="0" w:space="0" w:color="auto"/>
                                                                                  </w:divBdr>
                                                                                  <w:divsChild>
                                                                                    <w:div w:id="1030763595">
                                                                                      <w:marLeft w:val="0"/>
                                                                                      <w:marRight w:val="0"/>
                                                                                      <w:marTop w:val="0"/>
                                                                                      <w:marBottom w:val="0"/>
                                                                                      <w:divBdr>
                                                                                        <w:top w:val="none" w:sz="0" w:space="0" w:color="auto"/>
                                                                                        <w:left w:val="none" w:sz="0" w:space="0" w:color="auto"/>
                                                                                        <w:bottom w:val="none" w:sz="0" w:space="0" w:color="auto"/>
                                                                                        <w:right w:val="none" w:sz="0" w:space="0" w:color="auto"/>
                                                                                      </w:divBdr>
                                                                                      <w:divsChild>
                                                                                        <w:div w:id="707530501">
                                                                                          <w:marLeft w:val="0"/>
                                                                                          <w:marRight w:val="0"/>
                                                                                          <w:marTop w:val="0"/>
                                                                                          <w:marBottom w:val="0"/>
                                                                                          <w:divBdr>
                                                                                            <w:top w:val="none" w:sz="0" w:space="0" w:color="auto"/>
                                                                                            <w:left w:val="none" w:sz="0" w:space="0" w:color="auto"/>
                                                                                            <w:bottom w:val="none" w:sz="0" w:space="0" w:color="auto"/>
                                                                                            <w:right w:val="none" w:sz="0" w:space="0" w:color="auto"/>
                                                                                          </w:divBdr>
                                                                                          <w:divsChild>
                                                                                            <w:div w:id="872108789">
                                                                                              <w:marLeft w:val="0"/>
                                                                                              <w:marRight w:val="0"/>
                                                                                              <w:marTop w:val="0"/>
                                                                                              <w:marBottom w:val="0"/>
                                                                                              <w:divBdr>
                                                                                                <w:top w:val="none" w:sz="0" w:space="0" w:color="auto"/>
                                                                                                <w:left w:val="none" w:sz="0" w:space="0" w:color="auto"/>
                                                                                                <w:bottom w:val="none" w:sz="0" w:space="0" w:color="auto"/>
                                                                                                <w:right w:val="none" w:sz="0" w:space="0" w:color="auto"/>
                                                                                              </w:divBdr>
                                                                                              <w:divsChild>
                                                                                                <w:div w:id="1301112997">
                                                                                                  <w:marLeft w:val="0"/>
                                                                                                  <w:marRight w:val="0"/>
                                                                                                  <w:marTop w:val="0"/>
                                                                                                  <w:marBottom w:val="0"/>
                                                                                                  <w:divBdr>
                                                                                                    <w:top w:val="none" w:sz="0" w:space="0" w:color="auto"/>
                                                                                                    <w:left w:val="none" w:sz="0" w:space="0" w:color="auto"/>
                                                                                                    <w:bottom w:val="none" w:sz="0" w:space="0" w:color="auto"/>
                                                                                                    <w:right w:val="none" w:sz="0" w:space="0" w:color="auto"/>
                                                                                                  </w:divBdr>
                                                                                                  <w:divsChild>
                                                                                                    <w:div w:id="302930328">
                                                                                                      <w:marLeft w:val="0"/>
                                                                                                      <w:marRight w:val="0"/>
                                                                                                      <w:marTop w:val="0"/>
                                                                                                      <w:marBottom w:val="0"/>
                                                                                                      <w:divBdr>
                                                                                                        <w:top w:val="none" w:sz="0" w:space="0" w:color="auto"/>
                                                                                                        <w:left w:val="none" w:sz="0" w:space="0" w:color="auto"/>
                                                                                                        <w:bottom w:val="none" w:sz="0" w:space="0" w:color="auto"/>
                                                                                                        <w:right w:val="none" w:sz="0" w:space="0" w:color="auto"/>
                                                                                                      </w:divBdr>
                                                                                                      <w:divsChild>
                                                                                                        <w:div w:id="858158345">
                                                                                                          <w:marLeft w:val="0"/>
                                                                                                          <w:marRight w:val="0"/>
                                                                                                          <w:marTop w:val="0"/>
                                                                                                          <w:marBottom w:val="0"/>
                                                                                                          <w:divBdr>
                                                                                                            <w:top w:val="none" w:sz="0" w:space="0" w:color="auto"/>
                                                                                                            <w:left w:val="none" w:sz="0" w:space="0" w:color="auto"/>
                                                                                                            <w:bottom w:val="none" w:sz="0" w:space="0" w:color="auto"/>
                                                                                                            <w:right w:val="none" w:sz="0" w:space="0" w:color="auto"/>
                                                                                                          </w:divBdr>
                                                                                                          <w:divsChild>
                                                                                                            <w:div w:id="1039666088">
                                                                                                              <w:marLeft w:val="0"/>
                                                                                                              <w:marRight w:val="0"/>
                                                                                                              <w:marTop w:val="0"/>
                                                                                                              <w:marBottom w:val="0"/>
                                                                                                              <w:divBdr>
                                                                                                                <w:top w:val="none" w:sz="0" w:space="0" w:color="auto"/>
                                                                                                                <w:left w:val="none" w:sz="0" w:space="0" w:color="auto"/>
                                                                                                                <w:bottom w:val="none" w:sz="0" w:space="0" w:color="auto"/>
                                                                                                                <w:right w:val="none" w:sz="0" w:space="0" w:color="auto"/>
                                                                                                              </w:divBdr>
                                                                                                              <w:divsChild>
                                                                                                                <w:div w:id="107169482">
                                                                                                                  <w:marLeft w:val="300"/>
                                                                                                                  <w:marRight w:val="0"/>
                                                                                                                  <w:marTop w:val="0"/>
                                                                                                                  <w:marBottom w:val="0"/>
                                                                                                                  <w:divBdr>
                                                                                                                    <w:top w:val="none" w:sz="0" w:space="0" w:color="auto"/>
                                                                                                                    <w:left w:val="none" w:sz="0" w:space="0" w:color="auto"/>
                                                                                                                    <w:bottom w:val="none" w:sz="0" w:space="0" w:color="auto"/>
                                                                                                                    <w:right w:val="none" w:sz="0" w:space="0" w:color="auto"/>
                                                                                                                  </w:divBdr>
                                                                                                                  <w:divsChild>
                                                                                                                    <w:div w:id="164829553">
                                                                                                                      <w:marLeft w:val="-300"/>
                                                                                                                      <w:marRight w:val="0"/>
                                                                                                                      <w:marTop w:val="0"/>
                                                                                                                      <w:marBottom w:val="0"/>
                                                                                                                      <w:divBdr>
                                                                                                                        <w:top w:val="none" w:sz="0" w:space="0" w:color="auto"/>
                                                                                                                        <w:left w:val="none" w:sz="0" w:space="0" w:color="auto"/>
                                                                                                                        <w:bottom w:val="none" w:sz="0" w:space="0" w:color="auto"/>
                                                                                                                        <w:right w:val="none" w:sz="0" w:space="0" w:color="auto"/>
                                                                                                                      </w:divBdr>
                                                                                                                      <w:divsChild>
                                                                                                                        <w:div w:id="151263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0390936">
      <w:bodyDiv w:val="1"/>
      <w:marLeft w:val="0"/>
      <w:marRight w:val="0"/>
      <w:marTop w:val="0"/>
      <w:marBottom w:val="0"/>
      <w:divBdr>
        <w:top w:val="none" w:sz="0" w:space="0" w:color="auto"/>
        <w:left w:val="none" w:sz="0" w:space="0" w:color="auto"/>
        <w:bottom w:val="none" w:sz="0" w:space="0" w:color="auto"/>
        <w:right w:val="none" w:sz="0" w:space="0" w:color="auto"/>
      </w:divBdr>
    </w:div>
    <w:div w:id="1559629570">
      <w:bodyDiv w:val="1"/>
      <w:marLeft w:val="0"/>
      <w:marRight w:val="0"/>
      <w:marTop w:val="0"/>
      <w:marBottom w:val="0"/>
      <w:divBdr>
        <w:top w:val="none" w:sz="0" w:space="0" w:color="auto"/>
        <w:left w:val="none" w:sz="0" w:space="0" w:color="auto"/>
        <w:bottom w:val="none" w:sz="0" w:space="0" w:color="auto"/>
        <w:right w:val="none" w:sz="0" w:space="0" w:color="auto"/>
      </w:divBdr>
    </w:div>
    <w:div w:id="1628127183">
      <w:bodyDiv w:val="1"/>
      <w:marLeft w:val="0"/>
      <w:marRight w:val="0"/>
      <w:marTop w:val="0"/>
      <w:marBottom w:val="0"/>
      <w:divBdr>
        <w:top w:val="none" w:sz="0" w:space="0" w:color="auto"/>
        <w:left w:val="none" w:sz="0" w:space="0" w:color="auto"/>
        <w:bottom w:val="none" w:sz="0" w:space="0" w:color="auto"/>
        <w:right w:val="none" w:sz="0" w:space="0" w:color="auto"/>
      </w:divBdr>
    </w:div>
    <w:div w:id="1665860225">
      <w:bodyDiv w:val="1"/>
      <w:marLeft w:val="0"/>
      <w:marRight w:val="0"/>
      <w:marTop w:val="0"/>
      <w:marBottom w:val="0"/>
      <w:divBdr>
        <w:top w:val="none" w:sz="0" w:space="0" w:color="auto"/>
        <w:left w:val="none" w:sz="0" w:space="0" w:color="auto"/>
        <w:bottom w:val="none" w:sz="0" w:space="0" w:color="auto"/>
        <w:right w:val="none" w:sz="0" w:space="0" w:color="auto"/>
      </w:divBdr>
    </w:div>
    <w:div w:id="1736977055">
      <w:bodyDiv w:val="1"/>
      <w:marLeft w:val="0"/>
      <w:marRight w:val="0"/>
      <w:marTop w:val="0"/>
      <w:marBottom w:val="0"/>
      <w:divBdr>
        <w:top w:val="none" w:sz="0" w:space="0" w:color="auto"/>
        <w:left w:val="none" w:sz="0" w:space="0" w:color="auto"/>
        <w:bottom w:val="none" w:sz="0" w:space="0" w:color="auto"/>
        <w:right w:val="none" w:sz="0" w:space="0" w:color="auto"/>
      </w:divBdr>
    </w:div>
    <w:div w:id="1767336593">
      <w:bodyDiv w:val="1"/>
      <w:marLeft w:val="0"/>
      <w:marRight w:val="0"/>
      <w:marTop w:val="0"/>
      <w:marBottom w:val="0"/>
      <w:divBdr>
        <w:top w:val="none" w:sz="0" w:space="0" w:color="auto"/>
        <w:left w:val="none" w:sz="0" w:space="0" w:color="auto"/>
        <w:bottom w:val="none" w:sz="0" w:space="0" w:color="auto"/>
        <w:right w:val="none" w:sz="0" w:space="0" w:color="auto"/>
      </w:divBdr>
    </w:div>
    <w:div w:id="1961182678">
      <w:bodyDiv w:val="1"/>
      <w:marLeft w:val="0"/>
      <w:marRight w:val="0"/>
      <w:marTop w:val="0"/>
      <w:marBottom w:val="0"/>
      <w:divBdr>
        <w:top w:val="none" w:sz="0" w:space="0" w:color="auto"/>
        <w:left w:val="none" w:sz="0" w:space="0" w:color="auto"/>
        <w:bottom w:val="none" w:sz="0" w:space="0" w:color="auto"/>
        <w:right w:val="none" w:sz="0" w:space="0" w:color="auto"/>
      </w:divBdr>
    </w:div>
    <w:div w:id="207978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hyperlink" Target="https://ec.europa.eu/info/funding-tenders/opportunities/portal/screen/how-to-participate/reference-documents;programCode=HORIZON" TargetMode="External"/><Relationship Id="rId39" Type="http://schemas.openxmlformats.org/officeDocument/2006/relationships/header" Target="header9.xml"/><Relationship Id="rId21" Type="http://schemas.openxmlformats.org/officeDocument/2006/relationships/image" Target="media/image5.png"/><Relationship Id="rId34" Type="http://schemas.openxmlformats.org/officeDocument/2006/relationships/hyperlink" Target="https://ec.europa.eu/info/funding-tenders/opportunities/docs/2021-2027/common/guidance/indicative-audit-programme_en.pdf" TargetMode="External"/><Relationship Id="rId42" Type="http://schemas.openxmlformats.org/officeDocument/2006/relationships/header" Target="header10.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4.xml"/><Relationship Id="rId32" Type="http://schemas.openxmlformats.org/officeDocument/2006/relationships/image" Target="media/image6.emf"/><Relationship Id="rId37" Type="http://schemas.openxmlformats.org/officeDocument/2006/relationships/image" Target="media/image7.png"/><Relationship Id="rId40" Type="http://schemas.openxmlformats.org/officeDocument/2006/relationships/footer" Target="footer8.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footer" Target="footer5.xml"/><Relationship Id="rId36" Type="http://schemas.openxmlformats.org/officeDocument/2006/relationships/hyperlink" Target="http://ec.europa.eu/budget/contracts_grants/info_contracts/inforeuro/inforeuro_en.cfm" TargetMode="Externa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footer" Target="footer7.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8.xml"/><Relationship Id="rId35" Type="http://schemas.openxmlformats.org/officeDocument/2006/relationships/hyperlink" Target="https://www.ecb.int/stats/exchange/eurofxref/html/index.en.html" TargetMode="External"/><Relationship Id="rId43" Type="http://schemas.openxmlformats.org/officeDocument/2006/relationships/footer" Target="footer10.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https://knowledge4policy.ec.europa.eu/health-promotion-knowledge-gateway/food-based-dietary-guidelines-europe-source-documents-food_en" TargetMode="External"/><Relationship Id="rId38" Type="http://schemas.openxmlformats.org/officeDocument/2006/relationships/hyperlink" Target="https://ec.europa.eu/info/funding-tenders/opportunities/docs/2021-2027/common/guidance/aga_en.pdf" TargetMode="External"/><Relationship Id="rId20" Type="http://schemas.openxmlformats.org/officeDocument/2006/relationships/image" Target="media/image4.png"/><Relationship Id="rId41" Type="http://schemas.openxmlformats.org/officeDocument/2006/relationships/footer" Target="footer9.xml"/></Relationships>
</file>

<file path=word/_rels/footnotes.xml.rels><?xml version="1.0" encoding="UTF-8" standalone="yes"?>
<Relationships xmlns="http://schemas.openxmlformats.org/package/2006/relationships"><Relationship Id="rId8" Type="http://schemas.openxmlformats.org/officeDocument/2006/relationships/hyperlink" Target="https://ec.europa.eu/info/funding-tenders/opportunities/portal/screen/how-to-participate/reference-documents" TargetMode="External"/><Relationship Id="rId3" Type="http://schemas.openxmlformats.org/officeDocument/2006/relationships/hyperlink" Target="https://ec.europa.eu/info/funding-tenders/opportunities/docs/2021-2027/common/guidance/unit-cost-decision-sme-owners-natural-persons_en.pdf" TargetMode="External"/><Relationship Id="rId7" Type="http://schemas.openxmlformats.org/officeDocument/2006/relationships/hyperlink" Target="https://knowledge4policy.ec.europa.eu/health-promotion-knowledge-gateway/food-based-dietary-guidelines-europe-source-documents-food_en" TargetMode="External"/><Relationship Id="rId2" Type="http://schemas.openxmlformats.org/officeDocument/2006/relationships/hyperlink" Target="https://ec.europa.eu/info/funding-tenders/opportunities/portal/screen/how-to-participate/reference-documents" TargetMode="External"/><Relationship Id="rId1" Type="http://schemas.openxmlformats.org/officeDocument/2006/relationships/hyperlink" Target="https://ec.europa.eu/info/funding-tenders/opportunities/portal/screen/how-to-participate/reference-documents" TargetMode="External"/><Relationship Id="rId6" Type="http://schemas.openxmlformats.org/officeDocument/2006/relationships/hyperlink" Target="http://eur-lex.europa.eu/legal-content/BG/TXT/?qid=1448009404272&amp;uri=CELEX%3A32006R1924" TargetMode="External"/><Relationship Id="rId5" Type="http://schemas.openxmlformats.org/officeDocument/2006/relationships/hyperlink" Target="http://eur-lex.europa.eu/legal-content/BG/TXT/?qid=1448017117936&amp;uri=CELEX%3A32014R0664" TargetMode="External"/><Relationship Id="rId4" Type="http://schemas.openxmlformats.org/officeDocument/2006/relationships/hyperlink" Target="https://ec.europa.eu/info/funding-tenders/opportunities/portal/screen/how-to-participate/reference-documents" TargetMode="External"/><Relationship Id="rId9" Type="http://schemas.openxmlformats.org/officeDocument/2006/relationships/hyperlink" Target="https://eur-lex.europa.eu/legal-content/BG/TXT/?qid=1447145828278&amp;uri=CELEX:32006L004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15D68561EDF2314DA91E1210E4D82B5C" ma:contentTypeVersion="39" ma:contentTypeDescription="Create a new document in this library." ma:contentTypeScope="" ma:versionID="3caa74fc44ea3fa7252d2dfa9e3cf3fd">
  <xsd:schema xmlns:xsd="http://www.w3.org/2001/XMLSchema" xmlns:xs="http://www.w3.org/2001/XMLSchema" xmlns:p="http://schemas.microsoft.com/office/2006/metadata/properties" xmlns:ns2="084a5cd8-1559-4e94-ac72-b94fb9abc19e" xmlns:ns3="58f75e61-ed07-41d3-a804-02f248e1fac3" targetNamespace="http://schemas.microsoft.com/office/2006/metadata/properties" ma:root="true" ma:fieldsID="c8d081be7ed2b3ba32630b83ab57daaf" ns2:_="" ns3:_="">
    <xsd:import namespace="084a5cd8-1559-4e94-ac72-b94fb9abc19e"/>
    <xsd:import namespace="58f75e61-ed07-41d3-a804-02f248e1fac3"/>
    <xsd:element name="properties">
      <xsd:complexType>
        <xsd:sequence>
          <xsd:element name="documentManagement">
            <xsd:complexType>
              <xsd:all>
                <xsd:element ref="ns2:ProgrGroup" minOccurs="0"/>
                <xsd:element ref="ns2:ProgrCategory" minOccurs="0"/>
                <xsd:element ref="ns2:Order1" minOccurs="0"/>
                <xsd:element ref="ns2:DocComments" minOccurs="0"/>
                <xsd:element ref="ns2:DocOfficerComments" minOccurs="0"/>
                <xsd:element ref="ns2:DocStatus" minOccurs="0"/>
                <xsd:element ref="ns2:DocPublProtocol" minOccurs="0"/>
                <xsd:element ref="ns2:DocInternalExternal" minOccurs="0"/>
                <xsd:element ref="ns2:DocPublDestination" minOccurs="0"/>
                <xsd:element ref="ns2:DocPublDate" minOccurs="0"/>
                <xsd:element ref="ns2:DocPublversion" minOccurs="0"/>
                <xsd:element ref="ns2:ITcomments" minOccurs="0"/>
                <xsd:element ref="ns2:ITstatus" minOccurs="0"/>
                <xsd:element ref="ns3:s86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a5cd8-1559-4e94-ac72-b94fb9abc19e" elementFormDefault="qualified">
    <xsd:import namespace="http://schemas.microsoft.com/office/2006/documentManagement/types"/>
    <xsd:import namespace="http://schemas.microsoft.com/office/infopath/2007/PartnerControls"/>
    <xsd:element name="ProgrGroup" ma:index="1" nillable="true" ma:displayName="Programme Docs Group" ma:description="Needed for MGAs &amp; Programme Documents (MFF 2021-2027)" ma:format="Dropdown" ma:internalName="ProgrGroup">
      <xsd:simpleType>
        <xsd:union memberTypes="dms:Text">
          <xsd:simpleType>
            <xsd:restriction base="dms:Choice">
              <xsd:enumeration value="00 CORPORATE MASTERFILES"/>
              <xsd:enumeration value="00 HEALTHCHECKS"/>
              <xsd:enumeration value="01 HORIZON and EURATOM"/>
              <xsd:enumeration value="02 RFCS"/>
              <xsd:enumeration value="03 DIGITAL EUROPE"/>
              <xsd:enumeration value="04 EUROPEAN DEFENCE FUND (EDF)"/>
              <xsd:enumeration value="05 SPACE"/>
              <xsd:enumeration value="06 CEF"/>
              <xsd:enumeration value="07 I3"/>
              <xsd:enumeration value="08 IMREG"/>
              <xsd:enumeration value="09 LIFE"/>
              <xsd:enumeration value="10 INNOVFUND"/>
              <xsd:enumeration value="11 RENEWFM"/>
              <xsd:enumeration value="11a JTM"/>
              <xsd:enumeration value="12 EMFAF"/>
              <xsd:enumeration value="13 AGRIP"/>
              <xsd:enumeration value="14 IMCAP"/>
              <xsd:enumeration value="15 SINGLE MARKET (SMP)"/>
              <xsd:enumeration value="16 ERASMUS"/>
              <xsd:enumeration value="17 CREATIVE EUROPE"/>
              <xsd:enumeration value="18 EUROPEAN SOLIDARITY CORPS (ESC)"/>
              <xsd:enumeration value="19 CERV"/>
              <xsd:enumeration value="20 JUSTICE"/>
              <xsd:enumeration value="21 ESF and SOCPL"/>
              <xsd:enumeration value="22 EU4HEALTH"/>
              <xsd:enumeration value="23 AMIF, ISF and BMVI"/>
              <xsd:enumeration value="24 EU ANTI-FRAUD"/>
              <xsd:enumeration value="25 CUSTOMS and FISCALIS"/>
              <xsd:enumeration value="26 CCEI"/>
              <xsd:enumeration value="27 PERICLES"/>
              <xsd:enumeration value="28 TECHNICAL SUPPORT (TSI)"/>
              <xsd:enumeration value="29 UCPM"/>
              <xsd:enumeration value="30 HUMANITARIAN AID"/>
              <xsd:enumeration value="31 RELEX"/>
              <xsd:enumeration value="35 DEFENSE (EDF)"/>
              <xsd:enumeration value="40 EUROPE DIRECT"/>
              <xsd:enumeration value="aaa GENERAL"/>
              <xsd:enumeration value="EASME"/>
              <xsd:enumeration value="CHAFEA"/>
              <xsd:enumeration value="EACEA"/>
              <xsd:enumeration value="INEA"/>
              <xsd:enumeration value="CLIMA"/>
              <xsd:enumeration value="CNECT"/>
              <xsd:enumeration value="DEVCO"/>
              <xsd:enumeration value="ECHO"/>
              <xsd:enumeration value="EMPL"/>
              <xsd:enumeration value="ESTAT"/>
              <xsd:enumeration value="DEFENSE"/>
              <xsd:enumeration value="JUST"/>
              <xsd:enumeration value="HOME"/>
              <xsd:enumeration value="HORIZON"/>
              <xsd:enumeration value="OLAF"/>
              <xsd:enumeration value="RFCS"/>
              <xsd:enumeration value="REGIO"/>
              <xsd:enumeration value="SRSS"/>
              <xsd:enumeration value="TAXUD"/>
            </xsd:restriction>
          </xsd:simpleType>
        </xsd:union>
      </xsd:simpleType>
    </xsd:element>
    <xsd:element name="ProgrCategory" ma:index="2" nillable="true" ma:displayName="Programme Docs Category" ma:description="Needed for MGAs &amp; Programme Documents (MFF 2021-2027)" ma:format="Dropdown" ma:internalName="ProgrCategory">
      <xsd:simpleType>
        <xsd:union memberTypes="dms:Text">
          <xsd:simpleType>
            <xsd:restriction base="dms:Choice">
              <xsd:enumeration value="1. MGAs"/>
              <xsd:enumeration value="2. Programme guidance"/>
              <xsd:enumeration value="3. Customised reports &amp; forms"/>
              <xsd:enumeration value="5. Other"/>
              <xsd:enumeration value="6. xxx PUBLICATION FOLDERS"/>
              <xsd:enumeration value="7. xxxx DISCARDED DOCUMENTS"/>
              <xsd:enumeration value="1. PART C HEALTHCHECK"/>
              <xsd:enumeration value="2. MGA Annexes"/>
              <xsd:enumeration value="3. Customised reports &amp; forms (PPPA)"/>
              <xsd:enumeration value="3. Customised reports &amp; forms (HE ERC)"/>
              <xsd:enumeration value="3. Customised reports &amp; forms (HE MSCA)"/>
              <xsd:enumeration value="3. Customised reports &amp; forms (HE EIC)"/>
              <xsd:enumeration value="3. Customised reports &amp; forms (HE EIT)"/>
              <xsd:enumeration value="3. Customised reports &amp; forms (SMP COSME)"/>
              <xsd:enumeration value="3. Customised reports &amp; forms (SMP CONS)"/>
              <xsd:enumeration value="3. Customised reports &amp; forms (SMP COMP)"/>
              <xsd:enumeration value="3. Customised reports &amp; forms (SMP FOOD &amp; FEED)"/>
              <xsd:enumeration value="3. Customised reports &amp; forms (SMP STAND)"/>
              <xsd:enumeration value="3. Customised reports &amp; forms (SMP ESS)"/>
              <xsd:enumeration value="3. Customised reports &amp; forms (ECHE Certificate)"/>
              <xsd:enumeration value="3. Customised reports &amp; forms (ESC HUMAID Quality Label)"/>
              <xsd:enumeration value="3. Customised reports &amp; forms (ECHO Partnership Certificate)"/>
            </xsd:restriction>
          </xsd:simpleType>
        </xsd:union>
      </xsd:simpleType>
    </xsd:element>
    <xsd:element name="Order1" ma:index="3" nillable="true" ma:displayName="Order" ma:internalName="Order1" ma:percentage="FALSE">
      <xsd:simpleType>
        <xsd:restriction base="dms:Number"/>
      </xsd:simpleType>
    </xsd:element>
    <xsd:element name="DocComments" ma:index="4" nillable="true" ma:displayName="Doc Comments" ma:description="Needed for all Pages" ma:internalName="DocComments">
      <xsd:simpleType>
        <xsd:restriction base="dms:Note"/>
      </xsd:simpleType>
    </xsd:element>
    <xsd:element name="DocOfficerComments" ma:index="5" nillable="true" ma:displayName="Doc Officer Comments" ma:description="Needed for MGAs &amp; Programme Documents and Business Documents Management View" ma:internalName="DocOfficerComments">
      <xsd:simpleType>
        <xsd:restriction base="dms:Note">
          <xsd:maxLength value="255"/>
        </xsd:restriction>
      </xsd:simpleType>
    </xsd:element>
    <xsd:element name="DocStatus" ma:index="6" nillable="true" ma:displayName="Doc Status" ma:description="Needed for all except GoFund Archive" ma:format="Dropdown" ma:internalName="DocStatus">
      <xsd:simpleType>
        <xsd:union memberTypes="dms:Text">
          <xsd:simpleType>
            <xsd:restriction base="dms:Choice">
              <xsd:enumeration value="͏New"/>
              <xsd:enumeration value="New version"/>
              <xsd:enumeration value="Under validation"/>
              <xsd:enumeration value="Ready"/>
              <xsd:enumeration value="Ready for publication"/>
              <xsd:enumeration value="Published"/>
              <xsd:enumeration value="Wait"/>
              <xsd:enumeration value="n/a (backoffice document)"/>
              <xsd:enumeration value="old document"/>
            </xsd:restriction>
          </xsd:simpleType>
        </xsd:union>
      </xsd:simpleType>
    </xsd:element>
    <xsd:element name="DocPublProtocol" ma:index="7" nillable="true" ma:displayName="Doc Publ. Protocol" ma:description="Needed for MGAs &amp; Programme Documents and Business Documents Management View" ma:format="Dropdown" ma:internalName="DocPublProtocol">
      <xsd:simpleType>
        <xsd:union memberTypes="dms:Text">
          <xsd:simpleType>
            <xsd:restriction base="dms:Choice">
              <xsd:enumeration value="MGA1-1 MGAs"/>
              <xsd:enumeration value="CONTR1-1 Expert contracts"/>
              <xsd:enumeration value="GUID1-1 External guidance"/>
              <xsd:enumeration value="GUID2-1 Internal guidance"/>
              <xsd:enumeration value="CHLIST1-1"/>
              <xsd:enumeration value="TPL1-1 Business - Decisions"/>
              <xsd:enumeration value="TPL1-2 Business - Reports"/>
              <xsd:enumeration value="TPL1-3 Business - Letters"/>
              <xsd:enumeration value="TPL1-4 Business - Special (Portal)"/>
              <xsd:enumeration value="TPL1-5 Business - Special (GoFund)"/>
              <xsd:enumeration value="TPL2-1 Programme tpl - Call documents"/>
              <xsd:enumeration value="TPL2-2 Programme tpl - Application forms, etc"/>
              <xsd:enumeration value="TPL2-3 Programme tpl - Evaluation forms, etc"/>
              <xsd:enumeration value="TPL2-4 Programme tpl - DoAs"/>
              <xsd:enumeration value="TPL2-5 Programme tpl - Reporting forms, etc"/>
              <xsd:enumeration value="TPL2-6 Programme tpl - Audit templates"/>
              <xsd:enumeration value="TPL2-7 Programme tpl - Other"/>
              <xsd:enumeration value="Portal1-1 Terms &amp; Conditions"/>
              <xsd:enumeration value="Portal1-2 Privacy Statement"/>
              <xsd:enumeration value="Portal1-3 Glossary"/>
              <xsd:enumeration value="Portal1-4 Lists of expert names"/>
            </xsd:restriction>
          </xsd:simpleType>
        </xsd:union>
      </xsd:simpleType>
    </xsd:element>
    <xsd:element name="DocInternalExternal" ma:index="8" nillable="true" ma:displayName="Doc Internal/External" ma:description="Needed for MGAs &amp; Programme Documents and Business Documentation Management View" ma:format="Dropdown" ma:internalName="DocInternalExternal">
      <xsd:simpleType>
        <xsd:union memberTypes="dms:Text">
          <xsd:simpleType>
            <xsd:restriction base="dms:Choice">
              <xsd:enumeration value="Internal"/>
              <xsd:enumeration value="External"/>
              <xsd:enumeration value="Internal &amp; external"/>
            </xsd:restriction>
          </xsd:simpleType>
        </xsd:union>
      </xsd:simpleType>
    </xsd:element>
    <xsd:element name="DocPublDestination" ma:index="9" nillable="true" ma:displayName="Doc Publ. Destination" ma:description="Needed for MGAs &amp; Programme Documents and Business Documents Management View" ma:internalName="DocPublDestination">
      <xsd:simpleType>
        <xsd:restriction base="dms:Note">
          <xsd:maxLength value="255"/>
        </xsd:restriction>
      </xsd:simpleType>
    </xsd:element>
    <xsd:element name="DocPublDate" ma:index="10" nillable="true" ma:displayName="Doc Publ. Date" ma:description="Needed for MGAs &amp; Programme Documents and Business Documents Management View" ma:format="DateOnly" ma:internalName="DocPublDate">
      <xsd:simpleType>
        <xsd:restriction base="dms:DateTime"/>
      </xsd:simpleType>
    </xsd:element>
    <xsd:element name="DocPublversion" ma:index="11" nillable="true" ma:displayName="Doc Publ. Version" ma:description="Needed for MGAs &amp; Programme Documents and Business Documents Management View" ma:internalName="DocPublversion" ma:percentage="FALSE">
      <xsd:simpleType>
        <xsd:restriction base="dms:Number"/>
      </xsd:simpleType>
    </xsd:element>
    <xsd:element name="ITcomments" ma:index="12" nillable="true" ma:displayName="IT Comments" ma:description="Needed for MGAs &amp; Programme Documents and Business Documents Normal View" ma:internalName="ITcomments">
      <xsd:simpleType>
        <xsd:restriction base="dms:Note">
          <xsd:maxLength value="255"/>
        </xsd:restriction>
      </xsd:simpleType>
    </xsd:element>
    <xsd:element name="ITstatus" ma:index="13" nillable="true" ma:displayName="IT Status" ma:description="Needed for MGAs &amp; Programme Documents and Business Documents Normal View" ma:format="Dropdown" ma:internalName="ITstatus">
      <xsd:simpleType>
        <xsd:union memberTypes="dms:Text">
          <xsd:simpleType>
            <xsd:restriction base="dms:Choice">
              <xsd:enumeration value="͏Wait"/>
              <xsd:enumeration value="Ready for IT"/>
              <xsd:enumeration value="IT implementation started"/>
              <xsd:enumeration value="IT implementation finished"/>
              <xsd:enumeration value="n/a (no IT implement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58f75e61-ed07-41d3-a804-02f248e1fac3" elementFormDefault="qualified">
    <xsd:import namespace="http://schemas.microsoft.com/office/2006/documentManagement/types"/>
    <xsd:import namespace="http://schemas.microsoft.com/office/infopath/2007/PartnerControls"/>
    <xsd:element name="s86b" ma:index="21" nillable="true" ma:displayName="Doc Internal/External" ma:internalName="s86b">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rder1 xmlns="084a5cd8-1559-4e94-ac72-b94fb9abc19e">2</Order1>
    <DocComments xmlns="084a5cd8-1559-4e94-ac72-b94fb9abc19e">V1.1: new obligations in Annex 5; to be republished in Jan 2022</DocComments>
    <DocPublversion xmlns="084a5cd8-1559-4e94-ac72-b94fb9abc19e" xsi:nil="true"/>
    <DocInternalExternal xmlns="084a5cd8-1559-4e94-ac72-b94fb9abc19e" xsi:nil="true"/>
    <ProgrCategory xmlns="084a5cd8-1559-4e94-ac72-b94fb9abc19e">1. MGAs</ProgrCategory>
    <ProgrGroup xmlns="084a5cd8-1559-4e94-ac72-b94fb9abc19e">13 AGRIP</ProgrGroup>
    <DocStatus xmlns="084a5cd8-1559-4e94-ac72-b94fb9abc19e">Ready</DocStatus>
    <DocPublDestination xmlns="084a5cd8-1559-4e94-ac72-b94fb9abc19e" xsi:nil="true"/>
    <DocPublProtocol xmlns="084a5cd8-1559-4e94-ac72-b94fb9abc19e">MGA1-1 MGAs</DocPublProtocol>
    <DocOfficerComments xmlns="084a5cd8-1559-4e94-ac72-b94fb9abc19e" xsi:nil="true"/>
    <DocPublDate xmlns="084a5cd8-1559-4e94-ac72-b94fb9abc19e" xsi:nil="true"/>
    <ITcomments xmlns="084a5cd8-1559-4e94-ac72-b94fb9abc19e" xsi:nil="true"/>
    <ITstatus xmlns="084a5cd8-1559-4e94-ac72-b94fb9abc19e" xsi:nil="true"/>
    <s86b xmlns="58f75e61-ed07-41d3-a804-02f248e1fac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464BE-289E-4506-A8CD-07FB6C58BF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a5cd8-1559-4e94-ac72-b94fb9abc19e"/>
    <ds:schemaRef ds:uri="58f75e61-ed07-41d3-a804-02f248e1f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4F01A2-6B94-4937-BC71-57AD63406D53}">
  <ds:schemaRefs>
    <ds:schemaRef ds:uri="http://schemas.openxmlformats.org/package/2006/metadata/core-properties"/>
    <ds:schemaRef ds:uri="http://www.w3.org/XML/1998/namespace"/>
    <ds:schemaRef ds:uri="http://schemas.microsoft.com/office/2006/documentManagement/types"/>
    <ds:schemaRef ds:uri="http://purl.org/dc/dcmitype/"/>
    <ds:schemaRef ds:uri="58f75e61-ed07-41d3-a804-02f248e1fac3"/>
    <ds:schemaRef ds:uri="http://purl.org/dc/elements/1.1/"/>
    <ds:schemaRef ds:uri="http://schemas.microsoft.com/office/2006/metadata/properties"/>
    <ds:schemaRef ds:uri="http://schemas.microsoft.com/office/infopath/2007/PartnerControls"/>
    <ds:schemaRef ds:uri="084a5cd8-1559-4e94-ac72-b94fb9abc19e"/>
    <ds:schemaRef ds:uri="http://purl.org/dc/terms/"/>
  </ds:schemaRefs>
</ds:datastoreItem>
</file>

<file path=customXml/itemProps3.xml><?xml version="1.0" encoding="utf-8"?>
<ds:datastoreItem xmlns:ds="http://schemas.openxmlformats.org/officeDocument/2006/customXml" ds:itemID="{9CCA77FE-BFC1-469C-8AB3-74B421BC4D57}">
  <ds:schemaRefs>
    <ds:schemaRef ds:uri="http://schemas.microsoft.com/sharepoint/v3/contenttype/forms"/>
  </ds:schemaRefs>
</ds:datastoreItem>
</file>

<file path=customXml/itemProps4.xml><?xml version="1.0" encoding="utf-8"?>
<ds:datastoreItem xmlns:ds="http://schemas.openxmlformats.org/officeDocument/2006/customXml" ds:itemID="{4FF6C816-C9C5-4EDF-8E39-BFC0A7E64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109</Pages>
  <Words>29810</Words>
  <Characters>169922</Characters>
  <Application>Microsoft Office Word</Application>
  <DocSecurity>0</DocSecurity>
  <Lines>1416</Lines>
  <Paragraphs>398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199334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CONTE Bettina (SJ)</dc:creator>
  <cp:keywords/>
  <dc:description/>
  <cp:lastModifiedBy>Daniela Petrova</cp:lastModifiedBy>
  <cp:revision>2</cp:revision>
  <cp:lastPrinted>2020-12-21T15:06:00Z</cp:lastPrinted>
  <dcterms:created xsi:type="dcterms:W3CDTF">2022-03-07T10:47:00Z</dcterms:created>
  <dcterms:modified xsi:type="dcterms:W3CDTF">2022-03-07T10:47:00Z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0x010100258AA79CEB83498886A3A086811232500015D68561EDF2314DA91E1210E4D82B5C</vt:lpwstr>
  </property>
  <property fmtid="{D5CDD505-2E9C-101B-9397-08002B2CF9AE}" pid="3" name="EC_Collab_Status">
    <vt:lpwstr>Not Started</vt:lpwstr>
  </property>
  <property fmtid="{D5CDD505-2E9C-101B-9397-08002B2CF9AE}" pid="4" name="Status">
    <vt:lpwstr>n/a (backoffice document)</vt:lpwstr>
  </property>
</Properties>
</file>