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70" w:rsidRPr="00112D09" w:rsidRDefault="005C6170" w:rsidP="003B424B">
      <w:pPr>
        <w:spacing w:after="0" w:line="324" w:lineRule="auto"/>
        <w:ind w:left="-425" w:firstLine="425"/>
        <w:jc w:val="center"/>
        <w:rPr>
          <w:rFonts w:ascii="Times New Roman Bold" w:hAnsi="Times New Roman Bold" w:hint="eastAsia"/>
          <w:b/>
          <w:caps/>
          <w:spacing w:val="32"/>
          <w:sz w:val="28"/>
          <w:szCs w:val="28"/>
          <w:lang w:val="ru-RU"/>
        </w:rPr>
      </w:pPr>
      <w:r w:rsidRPr="00112D09">
        <w:rPr>
          <w:rFonts w:ascii="Times New Roman Bold" w:hAnsi="Times New Roman Bold"/>
          <w:b/>
          <w:caps/>
          <w:spacing w:val="32"/>
          <w:sz w:val="28"/>
          <w:szCs w:val="28"/>
          <w:lang w:val="ru-RU"/>
        </w:rPr>
        <w:t>Министерство на земеделието</w:t>
      </w:r>
    </w:p>
    <w:p w:rsidR="00405091" w:rsidRPr="003B424B" w:rsidRDefault="005C6170" w:rsidP="003B424B">
      <w:pPr>
        <w:spacing w:after="0" w:line="324" w:lineRule="auto"/>
        <w:ind w:left="-425" w:firstLine="425"/>
        <w:jc w:val="right"/>
        <w:rPr>
          <w:rFonts w:ascii="Times New Roman" w:hAnsi="Times New Roman"/>
          <w:sz w:val="24"/>
          <w:szCs w:val="24"/>
          <w:lang w:val="bg-BG"/>
        </w:rPr>
      </w:pPr>
      <w:r w:rsidRPr="003B424B">
        <w:rPr>
          <w:rFonts w:ascii="Times New Roman" w:hAnsi="Times New Roman"/>
          <w:sz w:val="24"/>
          <w:szCs w:val="24"/>
          <w:lang w:val="bg-BG"/>
        </w:rPr>
        <w:t>Проект</w:t>
      </w:r>
    </w:p>
    <w:p w:rsidR="005C6170" w:rsidRPr="003B424B" w:rsidRDefault="005C6170" w:rsidP="003B424B">
      <w:pPr>
        <w:spacing w:after="0" w:line="324" w:lineRule="auto"/>
        <w:ind w:left="-425" w:firstLine="425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2A41A1" w:rsidRPr="003B424B" w:rsidRDefault="002A41A1" w:rsidP="003B424B">
      <w:pPr>
        <w:tabs>
          <w:tab w:val="left" w:pos="180"/>
          <w:tab w:val="left" w:pos="851"/>
          <w:tab w:val="left" w:pos="993"/>
        </w:tabs>
        <w:spacing w:after="0" w:line="324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val="bg-BG" w:eastAsia="bg-BG"/>
        </w:rPr>
      </w:pPr>
      <w:r w:rsidRPr="003B424B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Наредба за </w:t>
      </w:r>
      <w:r w:rsidR="00481A66" w:rsidRPr="003B424B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изменение и </w:t>
      </w:r>
      <w:r w:rsidRPr="003B424B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допълнение на Наредба № 4 от 2018 г. за условията и реда за изплащане, намаляване или отказ за изплащане, </w:t>
      </w:r>
      <w:r w:rsidR="005C6170" w:rsidRPr="003B424B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или за оттегляне на изплатената </w:t>
      </w:r>
      <w:r w:rsidRPr="003B424B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финансова помощ за мерките и </w:t>
      </w:r>
      <w:proofErr w:type="spellStart"/>
      <w:r w:rsidRPr="003B424B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подмерките</w:t>
      </w:r>
      <w:proofErr w:type="spellEnd"/>
      <w:r w:rsidRPr="003B424B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по чл. 9б, т. 2 от Закона за подпомагане на земеделските производители</w:t>
      </w:r>
      <w:r w:rsidR="00010379" w:rsidRPr="003B424B"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 xml:space="preserve"> </w:t>
      </w:r>
      <w:r w:rsidRPr="003B424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(</w:t>
      </w:r>
      <w:proofErr w:type="spellStart"/>
      <w:r w:rsidR="005E0DE8" w:rsidRPr="003B424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обн</w:t>
      </w:r>
      <w:proofErr w:type="spellEnd"/>
      <w:r w:rsidR="005E0DE8" w:rsidRPr="003B424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., </w:t>
      </w:r>
      <w:r w:rsidRPr="003B424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ДВ, бр. 48 от 2018 г.</w:t>
      </w:r>
      <w:r w:rsidR="00A14AF0" w:rsidRPr="003B424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;</w:t>
      </w:r>
      <w:r w:rsidRPr="003B424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доп.</w:t>
      </w:r>
      <w:r w:rsidR="009E1112" w:rsidRPr="003B424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,</w:t>
      </w:r>
      <w:r w:rsidRPr="003B424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бр. 74 от 2019 г.</w:t>
      </w:r>
      <w:r w:rsidR="009204FD" w:rsidRPr="003B424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;</w:t>
      </w:r>
      <w:r w:rsidR="00534F86" w:rsidRPr="003B424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изм.</w:t>
      </w:r>
      <w:r w:rsidR="009204FD" w:rsidRPr="003B424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и доп.</w:t>
      </w:r>
      <w:r w:rsidR="00534F86" w:rsidRPr="003B424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, бр</w:t>
      </w:r>
      <w:r w:rsidR="00B03BD6" w:rsidRPr="003B424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. 64 </w:t>
      </w:r>
      <w:r w:rsidR="009204FD" w:rsidRPr="003B424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и 108 </w:t>
      </w:r>
      <w:r w:rsidR="00534F86" w:rsidRPr="003B424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от 2020 г.</w:t>
      </w:r>
      <w:r w:rsidR="007C282B" w:rsidRPr="003B424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, </w:t>
      </w:r>
      <w:r w:rsidR="00472FF7" w:rsidRPr="003B424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бр. 34 от 2021 г.</w:t>
      </w:r>
      <w:r w:rsidR="007C282B" w:rsidRPr="003B424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и бр. </w:t>
      </w:r>
      <w:r w:rsidR="00DA611B" w:rsidRPr="003B424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83</w:t>
      </w:r>
      <w:r w:rsidR="007C282B" w:rsidRPr="003B424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от 2021 г.</w:t>
      </w:r>
      <w:r w:rsidRPr="003B424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)</w:t>
      </w:r>
    </w:p>
    <w:p w:rsidR="00D1342E" w:rsidRPr="003B424B" w:rsidRDefault="00D1342E" w:rsidP="003B424B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bookmarkStart w:id="0" w:name="to_paragraph_id28853182"/>
      <w:bookmarkStart w:id="1" w:name="to_paragraph_id33215976"/>
      <w:bookmarkEnd w:id="0"/>
      <w:bookmarkEnd w:id="1"/>
    </w:p>
    <w:p w:rsidR="005C6170" w:rsidRPr="003B424B" w:rsidRDefault="005C6170" w:rsidP="003B424B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</w:p>
    <w:p w:rsidR="00C32C93" w:rsidRPr="003B424B" w:rsidRDefault="00C32C93" w:rsidP="003B424B">
      <w:pPr>
        <w:spacing w:after="0" w:line="32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B424B">
        <w:rPr>
          <w:rFonts w:ascii="Times New Roman" w:hAnsi="Times New Roman"/>
          <w:b/>
          <w:sz w:val="24"/>
          <w:szCs w:val="24"/>
          <w:lang w:val="bg-BG"/>
        </w:rPr>
        <w:t xml:space="preserve">§ 1. </w:t>
      </w:r>
      <w:r w:rsidRPr="003B424B">
        <w:rPr>
          <w:rFonts w:ascii="Times New Roman" w:hAnsi="Times New Roman"/>
          <w:sz w:val="24"/>
          <w:szCs w:val="24"/>
          <w:lang w:val="bg-BG"/>
        </w:rPr>
        <w:t>В чл. 29 думите „Министерството на земеделието,</w:t>
      </w:r>
      <w:r w:rsidR="00C93108">
        <w:rPr>
          <w:rFonts w:ascii="Times New Roman" w:hAnsi="Times New Roman"/>
          <w:sz w:val="24"/>
          <w:szCs w:val="24"/>
        </w:rPr>
        <w:t xml:space="preserve"> </w:t>
      </w:r>
      <w:r w:rsidRPr="003B424B">
        <w:rPr>
          <w:rFonts w:ascii="Times New Roman" w:hAnsi="Times New Roman"/>
          <w:sz w:val="24"/>
          <w:szCs w:val="24"/>
          <w:lang w:val="bg-BG"/>
        </w:rPr>
        <w:t>храните и горите“ се заменят с „Министерството на земеделието“.</w:t>
      </w:r>
    </w:p>
    <w:p w:rsidR="00112D09" w:rsidRPr="003B424B" w:rsidRDefault="00112D09" w:rsidP="003B424B">
      <w:pPr>
        <w:spacing w:after="0" w:line="32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D0590" w:rsidRPr="003B424B" w:rsidRDefault="00C32C93" w:rsidP="003B424B">
      <w:pPr>
        <w:spacing w:after="0" w:line="32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B424B">
        <w:rPr>
          <w:rFonts w:ascii="Times New Roman" w:hAnsi="Times New Roman"/>
          <w:b/>
          <w:sz w:val="24"/>
          <w:szCs w:val="24"/>
          <w:lang w:val="bg-BG"/>
        </w:rPr>
        <w:t xml:space="preserve">§ 2. </w:t>
      </w:r>
      <w:r w:rsidR="004D0590" w:rsidRPr="003B424B">
        <w:rPr>
          <w:rFonts w:ascii="Times New Roman" w:hAnsi="Times New Roman"/>
          <w:sz w:val="24"/>
          <w:szCs w:val="24"/>
          <w:lang w:val="bg-BG"/>
        </w:rPr>
        <w:t>В § 4 от преходните и заключителн</w:t>
      </w:r>
      <w:r w:rsidR="00D80CDB" w:rsidRPr="003B424B">
        <w:rPr>
          <w:rFonts w:ascii="Times New Roman" w:hAnsi="Times New Roman"/>
          <w:sz w:val="24"/>
          <w:szCs w:val="24"/>
          <w:lang w:val="bg-BG"/>
        </w:rPr>
        <w:t>и разпоредби се създават ал. 4</w:t>
      </w:r>
      <w:r w:rsidR="00010379" w:rsidRPr="003B42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0379" w:rsidRPr="003B424B">
        <w:rPr>
          <w:rFonts w:ascii="Times New Roman" w:hAnsi="Times New Roman"/>
          <w:sz w:val="24"/>
          <w:szCs w:val="24"/>
          <w:lang w:val="bg-BG"/>
        </w:rPr>
        <w:t>–</w:t>
      </w:r>
      <w:r w:rsidR="00010379" w:rsidRPr="003B42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47D7" w:rsidRPr="003B424B">
        <w:rPr>
          <w:rFonts w:ascii="Times New Roman" w:hAnsi="Times New Roman"/>
          <w:sz w:val="24"/>
          <w:szCs w:val="24"/>
          <w:lang w:val="bg-BG"/>
        </w:rPr>
        <w:t>7</w:t>
      </w:r>
      <w:r w:rsidR="004D0590" w:rsidRPr="003B424B">
        <w:rPr>
          <w:rFonts w:ascii="Times New Roman" w:hAnsi="Times New Roman"/>
          <w:sz w:val="24"/>
          <w:szCs w:val="24"/>
          <w:lang w:val="bg-BG"/>
        </w:rPr>
        <w:t>:</w:t>
      </w:r>
    </w:p>
    <w:p w:rsidR="00336088" w:rsidRPr="003B424B" w:rsidRDefault="000147D7" w:rsidP="003B424B">
      <w:pPr>
        <w:spacing w:after="0" w:line="32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B424B">
        <w:rPr>
          <w:rFonts w:ascii="Times New Roman" w:hAnsi="Times New Roman"/>
          <w:sz w:val="24"/>
          <w:szCs w:val="24"/>
          <w:lang w:val="bg-BG"/>
        </w:rPr>
        <w:t>„</w:t>
      </w:r>
      <w:r w:rsidR="00336088" w:rsidRPr="003B424B">
        <w:rPr>
          <w:rFonts w:ascii="Times New Roman" w:hAnsi="Times New Roman"/>
          <w:sz w:val="24"/>
          <w:szCs w:val="24"/>
          <w:lang w:val="bg-BG"/>
        </w:rPr>
        <w:t xml:space="preserve">(4) Държавен фонд „Земеделие“ отказва изплащането на част или на цяла заявка за плащане, подадена след 30 септември 2024 г., когато сумата на допустимата финансова помощ по предходните заявки и допустимите разходи по съответната заявка по </w:t>
      </w:r>
      <w:proofErr w:type="spellStart"/>
      <w:r w:rsidR="00336088" w:rsidRPr="003B424B">
        <w:rPr>
          <w:rFonts w:ascii="Times New Roman" w:hAnsi="Times New Roman"/>
          <w:sz w:val="24"/>
          <w:szCs w:val="24"/>
          <w:lang w:val="bg-BG"/>
        </w:rPr>
        <w:t>подмярка</w:t>
      </w:r>
      <w:proofErr w:type="spellEnd"/>
      <w:r w:rsidR="00336088" w:rsidRPr="003B424B">
        <w:rPr>
          <w:rFonts w:ascii="Times New Roman" w:hAnsi="Times New Roman"/>
          <w:sz w:val="24"/>
          <w:szCs w:val="24"/>
          <w:lang w:val="bg-BG"/>
        </w:rPr>
        <w:t xml:space="preserve"> 19.4 надхвърля 25 на сто от сумата на одобрените от ДФЗ средства от ЕЗФРСР по проекти към мерките от стратегията, включително одобрената финансова помощ за текущи разходи и разходи за популяризиране, както и допустимите разходи по последната заявка за плащане.  </w:t>
      </w:r>
    </w:p>
    <w:p w:rsidR="00336088" w:rsidRPr="003B424B" w:rsidRDefault="00336088" w:rsidP="003B424B">
      <w:pPr>
        <w:spacing w:after="0" w:line="32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B424B">
        <w:rPr>
          <w:rFonts w:ascii="Times New Roman" w:hAnsi="Times New Roman"/>
          <w:sz w:val="24"/>
          <w:szCs w:val="24"/>
          <w:lang w:val="bg-BG"/>
        </w:rPr>
        <w:t>(5) Държавен фонд „Земеделие“ отказва изплащането на част или цялата последна заявка за плащане за 2022 г., когато сумата на допустимата финансова помощ за текущи разходи по предходните заявки и допустимите текущи разходи от последната заявка за 2022 г., надхвърля 80 на сто от сумата на допустимите до 2022 г. и допустимите по последната заявка за плащане за 2022 г. текущи разходи и разходи за популяризиране на стратегията.</w:t>
      </w:r>
    </w:p>
    <w:p w:rsidR="00336088" w:rsidRPr="003B424B" w:rsidRDefault="00336088" w:rsidP="003B424B">
      <w:pPr>
        <w:spacing w:after="0" w:line="32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B424B">
        <w:rPr>
          <w:rFonts w:ascii="Times New Roman" w:hAnsi="Times New Roman"/>
          <w:sz w:val="24"/>
          <w:szCs w:val="24"/>
          <w:lang w:val="bg-BG"/>
        </w:rPr>
        <w:t>(6</w:t>
      </w:r>
      <w:r w:rsidR="0075110A" w:rsidRPr="003B424B">
        <w:rPr>
          <w:rFonts w:ascii="Times New Roman" w:hAnsi="Times New Roman"/>
          <w:sz w:val="24"/>
          <w:szCs w:val="24"/>
          <w:lang w:val="bg-BG"/>
        </w:rPr>
        <w:t xml:space="preserve">) </w:t>
      </w:r>
      <w:r w:rsidRPr="003B424B">
        <w:rPr>
          <w:rFonts w:ascii="Times New Roman" w:hAnsi="Times New Roman"/>
          <w:sz w:val="24"/>
          <w:szCs w:val="24"/>
          <w:lang w:val="bg-BG"/>
        </w:rPr>
        <w:t>Държавен фонд „Земеделие“ отказва изплащането на част или цялата последна заявка за плащане за 2023 г., 2024 г. и 2025 г., когато сумата на допустимите текущи разходи през годината надхвърля 80 на сто от сумата на общо допустимите текущи разходи и  разходи за популяризиране на стратегията за същата година.</w:t>
      </w:r>
    </w:p>
    <w:p w:rsidR="000147D7" w:rsidRPr="003B424B" w:rsidRDefault="000147D7" w:rsidP="003B424B">
      <w:pPr>
        <w:spacing w:after="0" w:line="32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B424B">
        <w:rPr>
          <w:rFonts w:ascii="Times New Roman" w:hAnsi="Times New Roman"/>
          <w:sz w:val="24"/>
          <w:szCs w:val="24"/>
          <w:lang w:val="ru-RU"/>
        </w:rPr>
        <w:t>(</w:t>
      </w:r>
      <w:r w:rsidRPr="003B424B">
        <w:rPr>
          <w:rFonts w:ascii="Times New Roman" w:hAnsi="Times New Roman"/>
          <w:sz w:val="24"/>
          <w:szCs w:val="24"/>
          <w:lang w:val="bg-BG"/>
        </w:rPr>
        <w:t>7</w:t>
      </w:r>
      <w:r w:rsidRPr="003B424B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3B424B">
        <w:rPr>
          <w:rFonts w:ascii="Times New Roman" w:hAnsi="Times New Roman"/>
          <w:sz w:val="24"/>
          <w:szCs w:val="24"/>
          <w:lang w:val="bg-BG"/>
        </w:rPr>
        <w:t xml:space="preserve">Крайният срок за извършване на текущи разходи и популяризиране на стратегия за ВОМР за съответната територия на МИГ е 30 </w:t>
      </w:r>
      <w:r w:rsidRPr="003B424B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септември</w:t>
      </w:r>
      <w:r w:rsidRPr="003B424B">
        <w:rPr>
          <w:rFonts w:ascii="Times New Roman" w:hAnsi="Times New Roman"/>
          <w:sz w:val="24"/>
          <w:szCs w:val="24"/>
          <w:lang w:val="bg-BG"/>
        </w:rPr>
        <w:t xml:space="preserve"> 2025 г.“</w:t>
      </w:r>
    </w:p>
    <w:p w:rsidR="005C6170" w:rsidRPr="003B424B" w:rsidRDefault="005C6170" w:rsidP="003B424B">
      <w:pPr>
        <w:spacing w:after="0" w:line="324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</w:p>
    <w:p w:rsidR="0082662B" w:rsidRDefault="00AF6B87" w:rsidP="003B424B">
      <w:pPr>
        <w:spacing w:after="0" w:line="324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</w:pPr>
      <w:r w:rsidRPr="003B424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Заключителн</w:t>
      </w:r>
      <w:r w:rsidR="00405091" w:rsidRPr="003B424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а</w:t>
      </w:r>
      <w:r w:rsidRPr="003B424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 xml:space="preserve"> разпоредб</w:t>
      </w:r>
      <w:r w:rsidR="00405091" w:rsidRPr="003B424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а</w:t>
      </w:r>
    </w:p>
    <w:p w:rsidR="003B424B" w:rsidRPr="003B424B" w:rsidRDefault="003B424B" w:rsidP="003B424B">
      <w:pPr>
        <w:spacing w:after="0" w:line="324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</w:p>
    <w:p w:rsidR="009A637D" w:rsidRPr="003B424B" w:rsidRDefault="00C32C93" w:rsidP="003B424B">
      <w:pPr>
        <w:spacing w:after="0" w:line="324" w:lineRule="auto"/>
        <w:ind w:firstLine="720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 w:rsidRPr="003B424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§ 3.</w:t>
      </w:r>
      <w:r w:rsidR="00AF6B87" w:rsidRPr="003B424B"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 Наредбата влиза в сила от деня на обнародването ѝ в „Държавен вестник“.</w:t>
      </w:r>
    </w:p>
    <w:p w:rsidR="0075110A" w:rsidRPr="003B424B" w:rsidRDefault="0075110A" w:rsidP="003B424B">
      <w:pPr>
        <w:spacing w:after="0" w:line="324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</w:p>
    <w:p w:rsidR="0075110A" w:rsidRPr="003B424B" w:rsidRDefault="0075110A" w:rsidP="003B424B">
      <w:pPr>
        <w:spacing w:after="0" w:line="324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</w:p>
    <w:p w:rsidR="005E0DE8" w:rsidRPr="003B424B" w:rsidRDefault="007B4266" w:rsidP="003B424B">
      <w:pPr>
        <w:spacing w:after="0" w:line="324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</w:pPr>
      <w:r w:rsidRPr="003B424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 xml:space="preserve">Д-Р </w:t>
      </w:r>
      <w:r w:rsidR="00405091" w:rsidRPr="003B424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ИВАН ИВАНОВ</w:t>
      </w:r>
    </w:p>
    <w:p w:rsidR="005C6170" w:rsidRPr="003B424B" w:rsidRDefault="005E0DE8" w:rsidP="003B424B">
      <w:pPr>
        <w:overflowPunct w:val="0"/>
        <w:spacing w:after="0" w:line="324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 w:eastAsia="bg-BG"/>
        </w:rPr>
      </w:pPr>
      <w:r w:rsidRPr="003B424B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 w:eastAsia="bg-BG"/>
        </w:rPr>
        <w:t>Министър на земеделието</w:t>
      </w:r>
    </w:p>
    <w:p w:rsidR="003B424B" w:rsidRDefault="003B424B" w:rsidP="005C6170">
      <w:pPr>
        <w:tabs>
          <w:tab w:val="left" w:pos="0"/>
          <w:tab w:val="left" w:pos="11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mallCaps/>
          <w:sz w:val="20"/>
          <w:szCs w:val="20"/>
          <w:lang w:val="bg-BG" w:eastAsia="bg-BG"/>
        </w:rPr>
      </w:pPr>
      <w:bookmarkStart w:id="2" w:name="_GoBack"/>
      <w:bookmarkEnd w:id="2"/>
    </w:p>
    <w:sectPr w:rsidR="003B424B" w:rsidSect="003B424B">
      <w:footerReference w:type="default" r:id="rId8"/>
      <w:pgSz w:w="11906" w:h="16838" w:code="9"/>
      <w:pgMar w:top="907" w:right="1021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3F2" w:rsidRDefault="006D53F2" w:rsidP="009E1112">
      <w:pPr>
        <w:spacing w:after="0" w:line="240" w:lineRule="auto"/>
      </w:pPr>
      <w:r>
        <w:separator/>
      </w:r>
    </w:p>
  </w:endnote>
  <w:endnote w:type="continuationSeparator" w:id="0">
    <w:p w:rsidR="006D53F2" w:rsidRDefault="006D53F2" w:rsidP="009E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06454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:rsidR="007C282B" w:rsidRPr="009E1112" w:rsidRDefault="007C282B" w:rsidP="009E1112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9E1112">
          <w:rPr>
            <w:rFonts w:ascii="Times New Roman" w:hAnsi="Times New Roman"/>
            <w:sz w:val="20"/>
            <w:szCs w:val="20"/>
          </w:rPr>
          <w:fldChar w:fldCharType="begin"/>
        </w:r>
        <w:r w:rsidRPr="009E1112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E1112">
          <w:rPr>
            <w:rFonts w:ascii="Times New Roman" w:hAnsi="Times New Roman"/>
            <w:sz w:val="20"/>
            <w:szCs w:val="20"/>
          </w:rPr>
          <w:fldChar w:fldCharType="separate"/>
        </w:r>
        <w:r w:rsidR="00222916">
          <w:rPr>
            <w:rFonts w:ascii="Times New Roman" w:hAnsi="Times New Roman"/>
            <w:noProof/>
            <w:sz w:val="20"/>
            <w:szCs w:val="20"/>
          </w:rPr>
          <w:t>2</w:t>
        </w:r>
        <w:r w:rsidRPr="009E1112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3F2" w:rsidRDefault="006D53F2" w:rsidP="009E1112">
      <w:pPr>
        <w:spacing w:after="0" w:line="240" w:lineRule="auto"/>
      </w:pPr>
      <w:r>
        <w:separator/>
      </w:r>
    </w:p>
  </w:footnote>
  <w:footnote w:type="continuationSeparator" w:id="0">
    <w:p w:rsidR="006D53F2" w:rsidRDefault="006D53F2" w:rsidP="009E1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202F"/>
    <w:multiLevelType w:val="hybridMultilevel"/>
    <w:tmpl w:val="2E48FEAE"/>
    <w:lvl w:ilvl="0" w:tplc="0E6487A4">
      <w:start w:val="4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AE4533"/>
    <w:multiLevelType w:val="multilevel"/>
    <w:tmpl w:val="D39CA5FC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hint="default"/>
      </w:rPr>
    </w:lvl>
  </w:abstractNum>
  <w:abstractNum w:abstractNumId="2" w15:restartNumberingAfterBreak="0">
    <w:nsid w:val="30626EA3"/>
    <w:multiLevelType w:val="multilevel"/>
    <w:tmpl w:val="D39CA5FC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hint="default"/>
      </w:rPr>
    </w:lvl>
  </w:abstractNum>
  <w:abstractNum w:abstractNumId="3" w15:restartNumberingAfterBreak="0">
    <w:nsid w:val="33E759D0"/>
    <w:multiLevelType w:val="hybridMultilevel"/>
    <w:tmpl w:val="4E684774"/>
    <w:lvl w:ilvl="0" w:tplc="943417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A2290"/>
    <w:multiLevelType w:val="hybridMultilevel"/>
    <w:tmpl w:val="AF38656A"/>
    <w:lvl w:ilvl="0" w:tplc="17B4C9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2001CC"/>
    <w:multiLevelType w:val="multilevel"/>
    <w:tmpl w:val="2E4EF5D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6" w15:restartNumberingAfterBreak="0">
    <w:nsid w:val="5D6077BD"/>
    <w:multiLevelType w:val="multilevel"/>
    <w:tmpl w:val="2E4EF5D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7" w15:restartNumberingAfterBreak="0">
    <w:nsid w:val="5EED7217"/>
    <w:multiLevelType w:val="hybridMultilevel"/>
    <w:tmpl w:val="2CBC8034"/>
    <w:lvl w:ilvl="0" w:tplc="E2DE1D4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8" w15:restartNumberingAfterBreak="0">
    <w:nsid w:val="61413BCF"/>
    <w:multiLevelType w:val="hybridMultilevel"/>
    <w:tmpl w:val="822AF6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F70B2"/>
    <w:multiLevelType w:val="hybridMultilevel"/>
    <w:tmpl w:val="6AA4B7D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F1965"/>
    <w:multiLevelType w:val="multilevel"/>
    <w:tmpl w:val="A0A20E7E"/>
    <w:lvl w:ilvl="0">
      <w:numFmt w:val="bullet"/>
      <w:suff w:val="space"/>
      <w:lvlText w:val="-"/>
      <w:lvlJc w:val="left"/>
      <w:pPr>
        <w:ind w:left="78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DEC4258"/>
    <w:multiLevelType w:val="hybridMultilevel"/>
    <w:tmpl w:val="2A9CFC4E"/>
    <w:lvl w:ilvl="0" w:tplc="C664802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4379E"/>
    <w:multiLevelType w:val="multilevel"/>
    <w:tmpl w:val="6248EF80"/>
    <w:lvl w:ilvl="0">
      <w:numFmt w:val="bullet"/>
      <w:suff w:val="space"/>
      <w:lvlText w:val="-"/>
      <w:lvlJc w:val="left"/>
      <w:pPr>
        <w:ind w:left="454" w:hanging="57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10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CB"/>
    <w:rsid w:val="00010379"/>
    <w:rsid w:val="000147D7"/>
    <w:rsid w:val="000151AF"/>
    <w:rsid w:val="000228D9"/>
    <w:rsid w:val="00022D23"/>
    <w:rsid w:val="00023167"/>
    <w:rsid w:val="00025EBA"/>
    <w:rsid w:val="00026CB7"/>
    <w:rsid w:val="0002764F"/>
    <w:rsid w:val="00027D99"/>
    <w:rsid w:val="00035DF3"/>
    <w:rsid w:val="00035E7F"/>
    <w:rsid w:val="00051429"/>
    <w:rsid w:val="000517E2"/>
    <w:rsid w:val="00051F1B"/>
    <w:rsid w:val="0005423F"/>
    <w:rsid w:val="000618C9"/>
    <w:rsid w:val="0006647F"/>
    <w:rsid w:val="00066C5A"/>
    <w:rsid w:val="000701E3"/>
    <w:rsid w:val="00073169"/>
    <w:rsid w:val="00075383"/>
    <w:rsid w:val="000911E0"/>
    <w:rsid w:val="000B0CE9"/>
    <w:rsid w:val="000B1C5D"/>
    <w:rsid w:val="000B56DE"/>
    <w:rsid w:val="000C539F"/>
    <w:rsid w:val="000D34AB"/>
    <w:rsid w:val="000D6297"/>
    <w:rsid w:val="000E5220"/>
    <w:rsid w:val="00103653"/>
    <w:rsid w:val="00111AA0"/>
    <w:rsid w:val="00112D09"/>
    <w:rsid w:val="0013323E"/>
    <w:rsid w:val="001374BB"/>
    <w:rsid w:val="001716F9"/>
    <w:rsid w:val="00171FE1"/>
    <w:rsid w:val="001827E7"/>
    <w:rsid w:val="0019632A"/>
    <w:rsid w:val="001A3729"/>
    <w:rsid w:val="001A4975"/>
    <w:rsid w:val="001B6AA2"/>
    <w:rsid w:val="001C3E6D"/>
    <w:rsid w:val="001E4E1A"/>
    <w:rsid w:val="001E6582"/>
    <w:rsid w:val="00217275"/>
    <w:rsid w:val="00222916"/>
    <w:rsid w:val="00246680"/>
    <w:rsid w:val="00272CE1"/>
    <w:rsid w:val="002765F0"/>
    <w:rsid w:val="002A2DD3"/>
    <w:rsid w:val="002A41A1"/>
    <w:rsid w:val="002A48D6"/>
    <w:rsid w:val="002A521D"/>
    <w:rsid w:val="002A654A"/>
    <w:rsid w:val="002B7F65"/>
    <w:rsid w:val="002D4CC5"/>
    <w:rsid w:val="002E4963"/>
    <w:rsid w:val="00307375"/>
    <w:rsid w:val="00323652"/>
    <w:rsid w:val="0032694F"/>
    <w:rsid w:val="0033524C"/>
    <w:rsid w:val="00336088"/>
    <w:rsid w:val="00361945"/>
    <w:rsid w:val="0036413A"/>
    <w:rsid w:val="00365A7B"/>
    <w:rsid w:val="00372346"/>
    <w:rsid w:val="003827D2"/>
    <w:rsid w:val="00393377"/>
    <w:rsid w:val="00395F6C"/>
    <w:rsid w:val="003A36AE"/>
    <w:rsid w:val="003A4247"/>
    <w:rsid w:val="003B3081"/>
    <w:rsid w:val="003B4026"/>
    <w:rsid w:val="003B424B"/>
    <w:rsid w:val="003C1BDC"/>
    <w:rsid w:val="003D2739"/>
    <w:rsid w:val="003F0DCD"/>
    <w:rsid w:val="003F5203"/>
    <w:rsid w:val="00402A1A"/>
    <w:rsid w:val="00402C2D"/>
    <w:rsid w:val="00404B81"/>
    <w:rsid w:val="00405091"/>
    <w:rsid w:val="004128AA"/>
    <w:rsid w:val="00415A59"/>
    <w:rsid w:val="00417C9A"/>
    <w:rsid w:val="0042184A"/>
    <w:rsid w:val="00432A1F"/>
    <w:rsid w:val="004372A5"/>
    <w:rsid w:val="00450CDD"/>
    <w:rsid w:val="00472FF7"/>
    <w:rsid w:val="00476D82"/>
    <w:rsid w:val="00481A66"/>
    <w:rsid w:val="00482836"/>
    <w:rsid w:val="00483530"/>
    <w:rsid w:val="00490F0E"/>
    <w:rsid w:val="00491CF3"/>
    <w:rsid w:val="004A09D0"/>
    <w:rsid w:val="004A3C12"/>
    <w:rsid w:val="004B2279"/>
    <w:rsid w:val="004B2F66"/>
    <w:rsid w:val="004B793B"/>
    <w:rsid w:val="004B7A6F"/>
    <w:rsid w:val="004C60B8"/>
    <w:rsid w:val="004D0590"/>
    <w:rsid w:val="004E210A"/>
    <w:rsid w:val="004E6EAC"/>
    <w:rsid w:val="004F043E"/>
    <w:rsid w:val="004F47F4"/>
    <w:rsid w:val="00506645"/>
    <w:rsid w:val="005170D0"/>
    <w:rsid w:val="00523261"/>
    <w:rsid w:val="005277AA"/>
    <w:rsid w:val="00534F86"/>
    <w:rsid w:val="00550B37"/>
    <w:rsid w:val="0055186D"/>
    <w:rsid w:val="00551B33"/>
    <w:rsid w:val="005576D0"/>
    <w:rsid w:val="00562465"/>
    <w:rsid w:val="00574EBD"/>
    <w:rsid w:val="00582ABF"/>
    <w:rsid w:val="0059305F"/>
    <w:rsid w:val="005A0C1A"/>
    <w:rsid w:val="005B5A82"/>
    <w:rsid w:val="005C6170"/>
    <w:rsid w:val="005C6B7C"/>
    <w:rsid w:val="005C7CB6"/>
    <w:rsid w:val="005D4B57"/>
    <w:rsid w:val="005D66F1"/>
    <w:rsid w:val="005E0DE8"/>
    <w:rsid w:val="005E208B"/>
    <w:rsid w:val="005E760C"/>
    <w:rsid w:val="005F410D"/>
    <w:rsid w:val="005F6C23"/>
    <w:rsid w:val="006114AA"/>
    <w:rsid w:val="006161DC"/>
    <w:rsid w:val="006174EA"/>
    <w:rsid w:val="0063426C"/>
    <w:rsid w:val="0064238C"/>
    <w:rsid w:val="00651E49"/>
    <w:rsid w:val="006667B9"/>
    <w:rsid w:val="006717FB"/>
    <w:rsid w:val="0067680F"/>
    <w:rsid w:val="006909FC"/>
    <w:rsid w:val="006C1720"/>
    <w:rsid w:val="006C1D35"/>
    <w:rsid w:val="006C2AA0"/>
    <w:rsid w:val="006D1FCC"/>
    <w:rsid w:val="006D3809"/>
    <w:rsid w:val="006D53F2"/>
    <w:rsid w:val="00704679"/>
    <w:rsid w:val="0070575E"/>
    <w:rsid w:val="007455BB"/>
    <w:rsid w:val="007506D7"/>
    <w:rsid w:val="00750D69"/>
    <w:rsid w:val="0075110A"/>
    <w:rsid w:val="00762D7B"/>
    <w:rsid w:val="0076496E"/>
    <w:rsid w:val="00771D65"/>
    <w:rsid w:val="007822B7"/>
    <w:rsid w:val="00783B36"/>
    <w:rsid w:val="00784502"/>
    <w:rsid w:val="007861C6"/>
    <w:rsid w:val="00796428"/>
    <w:rsid w:val="007B4266"/>
    <w:rsid w:val="007C0696"/>
    <w:rsid w:val="007C282B"/>
    <w:rsid w:val="007C2F63"/>
    <w:rsid w:val="007C5082"/>
    <w:rsid w:val="007D66EF"/>
    <w:rsid w:val="007E075F"/>
    <w:rsid w:val="007E447C"/>
    <w:rsid w:val="007E45DC"/>
    <w:rsid w:val="007E5C44"/>
    <w:rsid w:val="00817244"/>
    <w:rsid w:val="0082662B"/>
    <w:rsid w:val="00826D45"/>
    <w:rsid w:val="00831570"/>
    <w:rsid w:val="00831FF5"/>
    <w:rsid w:val="00834CCC"/>
    <w:rsid w:val="008421CF"/>
    <w:rsid w:val="008531CB"/>
    <w:rsid w:val="00853EE4"/>
    <w:rsid w:val="00855D8F"/>
    <w:rsid w:val="00863839"/>
    <w:rsid w:val="00871AA9"/>
    <w:rsid w:val="00883CA0"/>
    <w:rsid w:val="0088568F"/>
    <w:rsid w:val="0089772C"/>
    <w:rsid w:val="008A3B70"/>
    <w:rsid w:val="008A5A49"/>
    <w:rsid w:val="008B1370"/>
    <w:rsid w:val="008B2294"/>
    <w:rsid w:val="008B795E"/>
    <w:rsid w:val="008C1FE8"/>
    <w:rsid w:val="008C5CF3"/>
    <w:rsid w:val="008D1C32"/>
    <w:rsid w:val="008D6203"/>
    <w:rsid w:val="008E5595"/>
    <w:rsid w:val="00900971"/>
    <w:rsid w:val="00901C9F"/>
    <w:rsid w:val="00906821"/>
    <w:rsid w:val="0091485E"/>
    <w:rsid w:val="009204FD"/>
    <w:rsid w:val="00933BD5"/>
    <w:rsid w:val="00943C01"/>
    <w:rsid w:val="00944137"/>
    <w:rsid w:val="009448D3"/>
    <w:rsid w:val="00945E59"/>
    <w:rsid w:val="009541FD"/>
    <w:rsid w:val="00956C5A"/>
    <w:rsid w:val="00967437"/>
    <w:rsid w:val="00996607"/>
    <w:rsid w:val="009A1063"/>
    <w:rsid w:val="009A637D"/>
    <w:rsid w:val="009D0B88"/>
    <w:rsid w:val="009E1112"/>
    <w:rsid w:val="009F7689"/>
    <w:rsid w:val="00A11CB0"/>
    <w:rsid w:val="00A14AF0"/>
    <w:rsid w:val="00A21BD9"/>
    <w:rsid w:val="00A23318"/>
    <w:rsid w:val="00A27745"/>
    <w:rsid w:val="00A439D1"/>
    <w:rsid w:val="00A4440F"/>
    <w:rsid w:val="00A57491"/>
    <w:rsid w:val="00A732F2"/>
    <w:rsid w:val="00A75881"/>
    <w:rsid w:val="00A77974"/>
    <w:rsid w:val="00A862E2"/>
    <w:rsid w:val="00AA3545"/>
    <w:rsid w:val="00AC06F4"/>
    <w:rsid w:val="00AC57CA"/>
    <w:rsid w:val="00AF6B01"/>
    <w:rsid w:val="00AF6B87"/>
    <w:rsid w:val="00AF70E3"/>
    <w:rsid w:val="00B03BD6"/>
    <w:rsid w:val="00B05DA5"/>
    <w:rsid w:val="00B13F4E"/>
    <w:rsid w:val="00B3774D"/>
    <w:rsid w:val="00B47F38"/>
    <w:rsid w:val="00B51D09"/>
    <w:rsid w:val="00B54CA9"/>
    <w:rsid w:val="00B607E5"/>
    <w:rsid w:val="00B7230B"/>
    <w:rsid w:val="00B83B66"/>
    <w:rsid w:val="00B871B0"/>
    <w:rsid w:val="00B92E78"/>
    <w:rsid w:val="00B94BE3"/>
    <w:rsid w:val="00BB3438"/>
    <w:rsid w:val="00BB784F"/>
    <w:rsid w:val="00BD130D"/>
    <w:rsid w:val="00BF0833"/>
    <w:rsid w:val="00BF1A8E"/>
    <w:rsid w:val="00BF2938"/>
    <w:rsid w:val="00BF5A97"/>
    <w:rsid w:val="00C02CE8"/>
    <w:rsid w:val="00C0584F"/>
    <w:rsid w:val="00C17565"/>
    <w:rsid w:val="00C20C84"/>
    <w:rsid w:val="00C20FB5"/>
    <w:rsid w:val="00C2121E"/>
    <w:rsid w:val="00C2670A"/>
    <w:rsid w:val="00C32C93"/>
    <w:rsid w:val="00C34D13"/>
    <w:rsid w:val="00C3727B"/>
    <w:rsid w:val="00C41265"/>
    <w:rsid w:val="00C425E0"/>
    <w:rsid w:val="00C521B2"/>
    <w:rsid w:val="00C67B71"/>
    <w:rsid w:val="00C70F58"/>
    <w:rsid w:val="00C80917"/>
    <w:rsid w:val="00C82819"/>
    <w:rsid w:val="00C91B39"/>
    <w:rsid w:val="00C93108"/>
    <w:rsid w:val="00CB500A"/>
    <w:rsid w:val="00CC492A"/>
    <w:rsid w:val="00CC7DE5"/>
    <w:rsid w:val="00CE602B"/>
    <w:rsid w:val="00CF5433"/>
    <w:rsid w:val="00D1342E"/>
    <w:rsid w:val="00D14F94"/>
    <w:rsid w:val="00D40AAB"/>
    <w:rsid w:val="00D451BD"/>
    <w:rsid w:val="00D62F16"/>
    <w:rsid w:val="00D63AFD"/>
    <w:rsid w:val="00D73D23"/>
    <w:rsid w:val="00D80CDB"/>
    <w:rsid w:val="00D84124"/>
    <w:rsid w:val="00D96A19"/>
    <w:rsid w:val="00DA1063"/>
    <w:rsid w:val="00DA571F"/>
    <w:rsid w:val="00DA611B"/>
    <w:rsid w:val="00DB2B9C"/>
    <w:rsid w:val="00DB51B0"/>
    <w:rsid w:val="00DD46B6"/>
    <w:rsid w:val="00DD7056"/>
    <w:rsid w:val="00DF4EE6"/>
    <w:rsid w:val="00E1353D"/>
    <w:rsid w:val="00E13DC6"/>
    <w:rsid w:val="00E352C3"/>
    <w:rsid w:val="00E405D2"/>
    <w:rsid w:val="00E41676"/>
    <w:rsid w:val="00E41D69"/>
    <w:rsid w:val="00E46015"/>
    <w:rsid w:val="00E46D66"/>
    <w:rsid w:val="00E5367C"/>
    <w:rsid w:val="00E66E0F"/>
    <w:rsid w:val="00E76A46"/>
    <w:rsid w:val="00E84454"/>
    <w:rsid w:val="00E96A0D"/>
    <w:rsid w:val="00E96E2D"/>
    <w:rsid w:val="00EA07A5"/>
    <w:rsid w:val="00EB42CF"/>
    <w:rsid w:val="00EB7B8E"/>
    <w:rsid w:val="00EC63C1"/>
    <w:rsid w:val="00EC78DE"/>
    <w:rsid w:val="00ED3463"/>
    <w:rsid w:val="00F027F1"/>
    <w:rsid w:val="00F077BD"/>
    <w:rsid w:val="00F17301"/>
    <w:rsid w:val="00F24F2D"/>
    <w:rsid w:val="00F27141"/>
    <w:rsid w:val="00F328F2"/>
    <w:rsid w:val="00F37807"/>
    <w:rsid w:val="00F55664"/>
    <w:rsid w:val="00F65911"/>
    <w:rsid w:val="00F65A15"/>
    <w:rsid w:val="00F71726"/>
    <w:rsid w:val="00F744F2"/>
    <w:rsid w:val="00F752E8"/>
    <w:rsid w:val="00F7595F"/>
    <w:rsid w:val="00F77EE1"/>
    <w:rsid w:val="00F96850"/>
    <w:rsid w:val="00FA184C"/>
    <w:rsid w:val="00FA3FA2"/>
    <w:rsid w:val="00FA67FB"/>
    <w:rsid w:val="00FC144A"/>
    <w:rsid w:val="00FD3525"/>
    <w:rsid w:val="00FE5173"/>
    <w:rsid w:val="00FE5DE4"/>
    <w:rsid w:val="00FE7DEF"/>
    <w:rsid w:val="00FF3C08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0D11B-F983-4B88-8B4B-D4F78227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1A1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41A1"/>
    <w:rPr>
      <w:rFonts w:cs="Times New Roman"/>
      <w:color w:val="00000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76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A46"/>
    <w:rPr>
      <w:rFonts w:eastAsiaTheme="minorEastAs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A46"/>
    <w:rPr>
      <w:rFonts w:eastAsiaTheme="minorEastAs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46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B7A6F"/>
    <w:pPr>
      <w:ind w:left="720"/>
      <w:contextualSpacing/>
    </w:pPr>
  </w:style>
  <w:style w:type="paragraph" w:customStyle="1" w:styleId="Style">
    <w:name w:val="Style"/>
    <w:rsid w:val="009E111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E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12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12"/>
    <w:rPr>
      <w:rFonts w:eastAsiaTheme="minorEastAsia" w:cs="Times New Roman"/>
      <w:lang w:val="en-US"/>
    </w:rPr>
  </w:style>
  <w:style w:type="paragraph" w:styleId="Revision">
    <w:name w:val="Revision"/>
    <w:hidden/>
    <w:uiPriority w:val="99"/>
    <w:semiHidden/>
    <w:rsid w:val="00FD3525"/>
    <w:pPr>
      <w:spacing w:after="0" w:line="240" w:lineRule="auto"/>
    </w:pPr>
    <w:rPr>
      <w:rFonts w:eastAsiaTheme="minorEastAsia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5F6C2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71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36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22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428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41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636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056503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064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9973698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69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851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475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4587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CB55A-2A9F-41EC-9C9E-2ADCFE13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МЗХГ</dc:creator>
  <cp:lastModifiedBy>Kristiana Pavlova</cp:lastModifiedBy>
  <cp:revision>4</cp:revision>
  <cp:lastPrinted>2021-07-28T11:08:00Z</cp:lastPrinted>
  <dcterms:created xsi:type="dcterms:W3CDTF">2022-03-11T10:48:00Z</dcterms:created>
  <dcterms:modified xsi:type="dcterms:W3CDTF">2022-03-15T15:17:00Z</dcterms:modified>
</cp:coreProperties>
</file>