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BF" w:rsidRPr="009D21D3" w:rsidRDefault="00D11BBF" w:rsidP="00D11BBF">
      <w:pPr>
        <w:spacing w:after="0" w:line="360" w:lineRule="auto"/>
        <w:jc w:val="center"/>
        <w:rPr>
          <w:rFonts w:ascii="Times New Roman" w:eastAsia="Times New Roman" w:hAnsi="Times New Roman" w:cs="Times New Roman"/>
          <w:b/>
          <w:spacing w:val="70"/>
          <w:sz w:val="28"/>
          <w:szCs w:val="28"/>
          <w:lang w:val="bg-BG" w:eastAsia="bg-BG"/>
        </w:rPr>
      </w:pPr>
      <w:r w:rsidRPr="009D21D3">
        <w:rPr>
          <w:rFonts w:ascii="Times New Roman" w:eastAsia="Times New Roman" w:hAnsi="Times New Roman" w:cs="Times New Roman"/>
          <w:b/>
          <w:spacing w:val="70"/>
          <w:sz w:val="28"/>
          <w:szCs w:val="28"/>
          <w:lang w:val="bg-BG" w:eastAsia="bg-BG"/>
        </w:rPr>
        <w:t>МОТИВИ</w:t>
      </w:r>
    </w:p>
    <w:p w:rsidR="00D11BBF" w:rsidRPr="009D21D3" w:rsidRDefault="00D11BBF" w:rsidP="00D11BBF">
      <w:pPr>
        <w:spacing w:after="0" w:line="360" w:lineRule="auto"/>
        <w:jc w:val="center"/>
        <w:rPr>
          <w:rFonts w:ascii="Times New Roman" w:eastAsia="Times New Roman" w:hAnsi="Times New Roman" w:cs="Times New Roman"/>
          <w:b/>
          <w:sz w:val="24"/>
          <w:szCs w:val="24"/>
          <w:lang w:val="bg-BG" w:eastAsia="bg-BG"/>
        </w:rPr>
      </w:pPr>
      <w:r w:rsidRPr="009D21D3">
        <w:rPr>
          <w:rFonts w:ascii="Times New Roman" w:eastAsia="Times New Roman" w:hAnsi="Times New Roman" w:cs="Times New Roman"/>
          <w:b/>
          <w:sz w:val="24"/>
          <w:szCs w:val="24"/>
          <w:lang w:val="bg-BG" w:eastAsia="bg-BG"/>
        </w:rPr>
        <w:t xml:space="preserve">към проекта на Закон за изменение </w:t>
      </w:r>
      <w:r w:rsidR="00132168">
        <w:rPr>
          <w:rFonts w:ascii="Times New Roman" w:eastAsia="Times New Roman" w:hAnsi="Times New Roman" w:cs="Times New Roman"/>
          <w:b/>
          <w:sz w:val="24"/>
          <w:szCs w:val="24"/>
          <w:lang w:val="bg-BG" w:eastAsia="bg-BG"/>
        </w:rPr>
        <w:t xml:space="preserve">и допълнение </w:t>
      </w:r>
      <w:r w:rsidRPr="009D21D3">
        <w:rPr>
          <w:rFonts w:ascii="Times New Roman" w:eastAsia="Times New Roman" w:hAnsi="Times New Roman" w:cs="Times New Roman"/>
          <w:b/>
          <w:sz w:val="24"/>
          <w:szCs w:val="24"/>
          <w:lang w:val="bg-BG" w:eastAsia="bg-BG"/>
        </w:rPr>
        <w:t xml:space="preserve">на Закона за </w:t>
      </w:r>
      <w:r w:rsidR="00132168">
        <w:rPr>
          <w:rFonts w:ascii="Times New Roman" w:eastAsia="Times New Roman" w:hAnsi="Times New Roman" w:cs="Times New Roman"/>
          <w:b/>
          <w:sz w:val="24"/>
          <w:szCs w:val="24"/>
          <w:lang w:val="bg-BG" w:eastAsia="bg-BG"/>
        </w:rPr>
        <w:t xml:space="preserve">собствеността и ползването на </w:t>
      </w:r>
      <w:r w:rsidRPr="009D21D3">
        <w:rPr>
          <w:rFonts w:ascii="Times New Roman" w:eastAsia="Times New Roman" w:hAnsi="Times New Roman" w:cs="Times New Roman"/>
          <w:b/>
          <w:sz w:val="24"/>
          <w:szCs w:val="24"/>
          <w:lang w:val="bg-BG" w:eastAsia="bg-BG"/>
        </w:rPr>
        <w:t xml:space="preserve">земеделските </w:t>
      </w:r>
      <w:r w:rsidR="00132168">
        <w:rPr>
          <w:rFonts w:ascii="Times New Roman" w:eastAsia="Times New Roman" w:hAnsi="Times New Roman" w:cs="Times New Roman"/>
          <w:b/>
          <w:sz w:val="24"/>
          <w:szCs w:val="24"/>
          <w:lang w:val="bg-BG" w:eastAsia="bg-BG"/>
        </w:rPr>
        <w:t>з</w:t>
      </w:r>
      <w:r w:rsidRPr="009D21D3">
        <w:rPr>
          <w:rFonts w:ascii="Times New Roman" w:eastAsia="Times New Roman" w:hAnsi="Times New Roman" w:cs="Times New Roman"/>
          <w:b/>
          <w:sz w:val="24"/>
          <w:szCs w:val="24"/>
          <w:lang w:val="bg-BG" w:eastAsia="bg-BG"/>
        </w:rPr>
        <w:t>е</w:t>
      </w:r>
      <w:r w:rsidR="00132168">
        <w:rPr>
          <w:rFonts w:ascii="Times New Roman" w:eastAsia="Times New Roman" w:hAnsi="Times New Roman" w:cs="Times New Roman"/>
          <w:b/>
          <w:sz w:val="24"/>
          <w:szCs w:val="24"/>
          <w:lang w:val="bg-BG" w:eastAsia="bg-BG"/>
        </w:rPr>
        <w:t>м</w:t>
      </w:r>
      <w:r w:rsidRPr="009D21D3">
        <w:rPr>
          <w:rFonts w:ascii="Times New Roman" w:eastAsia="Times New Roman" w:hAnsi="Times New Roman" w:cs="Times New Roman"/>
          <w:b/>
          <w:sz w:val="24"/>
          <w:szCs w:val="24"/>
          <w:lang w:val="bg-BG" w:eastAsia="bg-BG"/>
        </w:rPr>
        <w:t>и</w:t>
      </w:r>
    </w:p>
    <w:p w:rsidR="00633881" w:rsidRDefault="00633881" w:rsidP="00132168">
      <w:pPr>
        <w:spacing w:after="0" w:line="360" w:lineRule="auto"/>
        <w:ind w:firstLine="708"/>
        <w:jc w:val="both"/>
        <w:rPr>
          <w:rFonts w:ascii="Times New Roman" w:eastAsia="Times New Roman" w:hAnsi="Times New Roman" w:cs="Times New Roman"/>
          <w:spacing w:val="-2"/>
          <w:sz w:val="24"/>
          <w:szCs w:val="24"/>
          <w:lang w:val="bg-BG" w:eastAsia="bg-BG"/>
        </w:rPr>
      </w:pPr>
    </w:p>
    <w:p w:rsidR="00FF4B75" w:rsidRPr="00132168" w:rsidRDefault="00132168" w:rsidP="00132168">
      <w:pPr>
        <w:spacing w:after="0" w:line="360" w:lineRule="auto"/>
        <w:ind w:firstLine="708"/>
        <w:jc w:val="both"/>
        <w:rPr>
          <w:rFonts w:ascii="Times New Roman" w:eastAsia="Times New Roman" w:hAnsi="Times New Roman" w:cs="Times New Roman"/>
          <w:sz w:val="24"/>
          <w:szCs w:val="24"/>
          <w:lang w:val="bg-BG" w:eastAsia="bg-BG"/>
        </w:rPr>
      </w:pPr>
      <w:r w:rsidRPr="00BA0EE0">
        <w:rPr>
          <w:rFonts w:ascii="Times New Roman" w:eastAsia="Times New Roman" w:hAnsi="Times New Roman" w:cs="Times New Roman"/>
          <w:b/>
          <w:sz w:val="24"/>
          <w:szCs w:val="24"/>
          <w:lang w:val="bg-BG" w:eastAsia="bg-BG"/>
        </w:rPr>
        <w:t>Законът за собствеността и ползването на земеделските земи</w:t>
      </w:r>
      <w:r w:rsidRPr="00132168">
        <w:rPr>
          <w:rFonts w:ascii="Times New Roman" w:eastAsia="Times New Roman" w:hAnsi="Times New Roman" w:cs="Times New Roman"/>
          <w:sz w:val="24"/>
          <w:szCs w:val="24"/>
          <w:lang w:val="bg-BG" w:eastAsia="bg-BG"/>
        </w:rPr>
        <w:t xml:space="preserve"> урежда редът и условията за възстановяване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 И към настоящия момент – вече три десетилетия, продължава поземлената реституция за лицата, подали заявления по предвидения в закона ред.    </w:t>
      </w:r>
    </w:p>
    <w:p w:rsidR="00FF4B75" w:rsidRPr="00FF4B75"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FF4B75">
        <w:rPr>
          <w:rFonts w:ascii="Times New Roman" w:eastAsia="Times New Roman" w:hAnsi="Times New Roman"/>
          <w:sz w:val="24"/>
          <w:szCs w:val="24"/>
          <w:lang w:val="bg-BG" w:eastAsia="bg-BG"/>
        </w:rPr>
        <w:t>Парламентарната асамблея на Съвета на Европа прие на 25 януари 2021 г. Резолюция № 2358 (2021), в която изразява сериозното си безпокойство от броя осъдителни решения на Европейския съд по правата на човека (ЕСПЧ, Съда), чието изпълнение не е приключило и се наблюдава от Комитета на министрите (КМ) на Съвета на Европа в продължение на повече от 5 години след постановяването им. Република България е цитирана като една от държавите членки на Съвета на Европа с най-висок брой неизпълнени решения.</w:t>
      </w:r>
    </w:p>
    <w:p w:rsidR="00FF4B75" w:rsidRPr="00FF4B75"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FF4B75">
        <w:rPr>
          <w:rFonts w:ascii="Times New Roman" w:eastAsia="Times New Roman" w:hAnsi="Times New Roman"/>
          <w:sz w:val="24"/>
          <w:szCs w:val="24"/>
          <w:lang w:val="bg-BG" w:eastAsia="bg-BG"/>
        </w:rPr>
        <w:t xml:space="preserve">С цел преодоляване на натрупаните проблеми, през март 2021 г. със заповед на министъра на правосъдието е създадена междуведомствена работна група за изготвяне на Пътна карта за изпълнението на осъдителните решения на ЕСПЧ срещу Република България, с участието на отговорните за изпълнението на мерките институции. Пътната карта е изработена на базата на анализа на основните проблеми, произтичащи от установените нарушения на Конвенцията за защита правата на човека и основните свободи на Съвета на Европа, съдържащ се в Годишния доклад на министъра на правосъдието за изпълнението на решенията на ЕСПЧ срещу България до Народното събрание. Тя съдържа детайлен списък на установените от ЕСПЧ нарушения на Конвенцията за защита правата на човека и основните свободи (Конвенцията) по различните осъдителни решения, отбелязва необходимите мерки за тяхното преодоляване, посочва отговорните за тях институции в рамките на изпълнителната власт и обвързва изготвянето на законодателни или други предложения в тази връзка с конкретни срокове. </w:t>
      </w:r>
    </w:p>
    <w:p w:rsidR="00FF4B75" w:rsidRPr="00FF4B75"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FF4B75">
        <w:rPr>
          <w:rFonts w:ascii="Times New Roman" w:eastAsia="Times New Roman" w:hAnsi="Times New Roman"/>
          <w:sz w:val="24"/>
          <w:szCs w:val="24"/>
          <w:lang w:val="bg-BG" w:eastAsia="bg-BG"/>
        </w:rPr>
        <w:t xml:space="preserve">Пътната карта беше приета с </w:t>
      </w:r>
      <w:r w:rsidRPr="00C32F7E">
        <w:rPr>
          <w:rFonts w:ascii="Times New Roman" w:eastAsia="Times New Roman" w:hAnsi="Times New Roman"/>
          <w:sz w:val="24"/>
          <w:szCs w:val="24"/>
          <w:lang w:val="bg-BG" w:eastAsia="bg-BG"/>
        </w:rPr>
        <w:t xml:space="preserve">Решение </w:t>
      </w:r>
      <w:r w:rsidR="00905E64" w:rsidRPr="00C32F7E">
        <w:rPr>
          <w:rFonts w:ascii="Times New Roman" w:eastAsia="Times New Roman" w:hAnsi="Times New Roman"/>
          <w:sz w:val="24"/>
          <w:szCs w:val="24"/>
          <w:lang w:val="bg-BG" w:eastAsia="bg-BG"/>
        </w:rPr>
        <w:t xml:space="preserve">№ 586 </w:t>
      </w:r>
      <w:r w:rsidRPr="00FF4B75">
        <w:rPr>
          <w:rFonts w:ascii="Times New Roman" w:eastAsia="Times New Roman" w:hAnsi="Times New Roman"/>
          <w:sz w:val="24"/>
          <w:szCs w:val="24"/>
          <w:lang w:val="bg-BG" w:eastAsia="bg-BG"/>
        </w:rPr>
        <w:t xml:space="preserve">на Министерския съвет на Република България от 6 август 2021 г. В нея са включени и необходими мерки за изпълнението на осъдителните решения на Съда, свързани с прилагането на </w:t>
      </w:r>
      <w:r w:rsidRPr="00FF4B75">
        <w:rPr>
          <w:rFonts w:ascii="Times New Roman" w:eastAsia="Times New Roman" w:hAnsi="Times New Roman"/>
          <w:sz w:val="24"/>
          <w:szCs w:val="24"/>
          <w:lang w:val="bg-BG" w:eastAsia="bg-BG"/>
        </w:rPr>
        <w:lastRenderedPageBreak/>
        <w:t xml:space="preserve">законодателството в областта на реституцията на земеделски земи (решенията от групите дела </w:t>
      </w:r>
      <w:r w:rsidRPr="00FF4B75">
        <w:rPr>
          <w:rFonts w:ascii="Times New Roman" w:eastAsia="Times New Roman" w:hAnsi="Times New Roman"/>
          <w:i/>
          <w:sz w:val="24"/>
          <w:szCs w:val="24"/>
          <w:lang w:val="bg-BG" w:eastAsia="bg-BG"/>
        </w:rPr>
        <w:t xml:space="preserve">„Любомир Попов срещу България“ </w:t>
      </w:r>
      <w:r w:rsidRPr="00FF4B75">
        <w:rPr>
          <w:rFonts w:ascii="Times New Roman" w:eastAsia="Times New Roman" w:hAnsi="Times New Roman"/>
          <w:sz w:val="24"/>
          <w:szCs w:val="24"/>
          <w:lang w:val="bg-BG" w:eastAsia="bg-BG"/>
        </w:rPr>
        <w:t xml:space="preserve">(жалба № 69855/01, окончателно решение от 07.04.2010 г.) и </w:t>
      </w:r>
      <w:r w:rsidRPr="00FF4B75">
        <w:rPr>
          <w:rFonts w:ascii="Times New Roman" w:eastAsia="Times New Roman" w:hAnsi="Times New Roman"/>
          <w:i/>
          <w:sz w:val="24"/>
          <w:szCs w:val="24"/>
          <w:lang w:val="bg-BG" w:eastAsia="bg-BG"/>
        </w:rPr>
        <w:t>„</w:t>
      </w:r>
      <w:proofErr w:type="spellStart"/>
      <w:r w:rsidRPr="00FF4B75">
        <w:rPr>
          <w:rFonts w:ascii="Times New Roman" w:eastAsia="Times New Roman" w:hAnsi="Times New Roman"/>
          <w:i/>
          <w:sz w:val="24"/>
          <w:szCs w:val="24"/>
          <w:lang w:val="bg-BG" w:eastAsia="bg-BG"/>
        </w:rPr>
        <w:t>Сивова</w:t>
      </w:r>
      <w:proofErr w:type="spellEnd"/>
      <w:r w:rsidRPr="00FF4B75">
        <w:rPr>
          <w:rFonts w:ascii="Times New Roman" w:eastAsia="Times New Roman" w:hAnsi="Times New Roman"/>
          <w:i/>
          <w:sz w:val="24"/>
          <w:szCs w:val="24"/>
          <w:lang w:val="bg-BG" w:eastAsia="bg-BG"/>
        </w:rPr>
        <w:t xml:space="preserve"> и Колева срещу България“ </w:t>
      </w:r>
      <w:r w:rsidRPr="00FF4B75">
        <w:rPr>
          <w:rFonts w:ascii="Times New Roman" w:eastAsia="Times New Roman" w:hAnsi="Times New Roman"/>
          <w:sz w:val="24"/>
          <w:szCs w:val="24"/>
          <w:lang w:val="bg-BG" w:eastAsia="bg-BG"/>
        </w:rPr>
        <w:t xml:space="preserve">(жалба № 30383/03, окончателно решение от 04.06.2012 г.). По тези дела ЕСПЧ е приел, че е нарушен чл. 1 от Протокол № 1 към Конвенцията (защита на собствеността) поради прекомерна продължителност и необосновани забавяния в реституционни процедури, инициирани от жалбоподателите или техните наследодатели. По делото </w:t>
      </w:r>
      <w:r w:rsidRPr="00FF4B75">
        <w:rPr>
          <w:rFonts w:ascii="Times New Roman" w:eastAsia="Times New Roman" w:hAnsi="Times New Roman"/>
          <w:i/>
          <w:sz w:val="24"/>
          <w:szCs w:val="24"/>
          <w:lang w:val="bg-BG" w:eastAsia="bg-BG"/>
        </w:rPr>
        <w:t>„Василева и Дойчева срещу България“</w:t>
      </w:r>
      <w:r w:rsidRPr="00FF4B75">
        <w:rPr>
          <w:rFonts w:ascii="Times New Roman" w:eastAsia="Times New Roman" w:hAnsi="Times New Roman"/>
          <w:sz w:val="24"/>
          <w:szCs w:val="24"/>
          <w:lang w:val="bg-BG" w:eastAsia="bg-BG"/>
        </w:rPr>
        <w:t xml:space="preserve"> (жалба 14966/04, окончателно решение от 31.08.2012 г.) Съдът установява нарушение и на чл. 13 от Конвенцията поради липсата на вътрешноправно средство за защита. </w:t>
      </w:r>
    </w:p>
    <w:p w:rsidR="00FF4B75" w:rsidRPr="00FF4B75" w:rsidRDefault="00FF4B75" w:rsidP="00FF4B75">
      <w:pPr>
        <w:widowControl w:val="0"/>
        <w:spacing w:after="0" w:line="360" w:lineRule="auto"/>
        <w:ind w:firstLine="720"/>
        <w:jc w:val="both"/>
        <w:rPr>
          <w:rFonts w:ascii="Verdana" w:hAnsi="Verdana"/>
          <w:spacing w:val="-2"/>
          <w:lang w:val="bg-BG"/>
        </w:rPr>
      </w:pPr>
      <w:r w:rsidRPr="00FF4B75">
        <w:rPr>
          <w:rFonts w:ascii="Times New Roman" w:eastAsia="Times New Roman" w:hAnsi="Times New Roman"/>
          <w:sz w:val="24"/>
          <w:szCs w:val="24"/>
          <w:lang w:val="bg-BG" w:eastAsia="bg-BG"/>
        </w:rPr>
        <w:t xml:space="preserve">На основание чл. 46 от Конвенцията, окончателните решения на ЕСПЧ по всяко дело, по което е установено нарушение, имат задължителна сила и подлежат на изпълнение под контрола на Комитета на министрите към Съвета на Европа. В решенията по делата </w:t>
      </w:r>
      <w:r w:rsidRPr="00FF4B75">
        <w:rPr>
          <w:rFonts w:ascii="Times New Roman" w:eastAsia="Times New Roman" w:hAnsi="Times New Roman"/>
          <w:i/>
          <w:sz w:val="24"/>
          <w:szCs w:val="24"/>
          <w:lang w:val="bg-BG" w:eastAsia="bg-BG"/>
        </w:rPr>
        <w:t>„</w:t>
      </w:r>
      <w:proofErr w:type="spellStart"/>
      <w:r w:rsidRPr="00FF4B75">
        <w:rPr>
          <w:rFonts w:ascii="Times New Roman" w:eastAsia="Times New Roman" w:hAnsi="Times New Roman"/>
          <w:i/>
          <w:sz w:val="24"/>
          <w:szCs w:val="24"/>
          <w:lang w:val="bg-BG" w:eastAsia="bg-BG"/>
        </w:rPr>
        <w:t>Мутишев</w:t>
      </w:r>
      <w:proofErr w:type="spellEnd"/>
      <w:r w:rsidRPr="00FF4B75">
        <w:rPr>
          <w:rFonts w:ascii="Times New Roman" w:eastAsia="Times New Roman" w:hAnsi="Times New Roman"/>
          <w:i/>
          <w:sz w:val="24"/>
          <w:szCs w:val="24"/>
          <w:lang w:val="bg-BG" w:eastAsia="bg-BG"/>
        </w:rPr>
        <w:t xml:space="preserve"> срещу България“</w:t>
      </w:r>
      <w:r w:rsidRPr="00FF4B75">
        <w:rPr>
          <w:rFonts w:ascii="Times New Roman" w:eastAsia="Times New Roman" w:hAnsi="Times New Roman"/>
          <w:sz w:val="24"/>
          <w:szCs w:val="24"/>
          <w:lang w:val="bg-BG" w:eastAsia="bg-BG"/>
        </w:rPr>
        <w:t xml:space="preserve"> и </w:t>
      </w:r>
      <w:r w:rsidRPr="00FF4B75">
        <w:rPr>
          <w:rFonts w:ascii="Times New Roman" w:eastAsia="Times New Roman" w:hAnsi="Times New Roman"/>
          <w:i/>
          <w:sz w:val="24"/>
          <w:szCs w:val="24"/>
          <w:lang w:val="bg-BG" w:eastAsia="bg-BG"/>
        </w:rPr>
        <w:t>„Василев и Дойчева срещу България“</w:t>
      </w:r>
      <w:r w:rsidRPr="00FF4B75">
        <w:rPr>
          <w:rFonts w:ascii="Times New Roman" w:eastAsia="Times New Roman" w:hAnsi="Times New Roman"/>
          <w:sz w:val="24"/>
          <w:szCs w:val="24"/>
          <w:lang w:val="bg-BG" w:eastAsia="bg-BG"/>
        </w:rPr>
        <w:t xml:space="preserve">, ЕСПЧ е дал конкретни препоръки към България, една от които е въвеждането във вътрешното право на срокове за изпълнение на административните и съдебните решения на компетентните органи, с които е възстановено правото на собственост върху земеделски земи. Поради това и първата мярка, предвидена в Пътната карта за изпълнението на осъдителните решения на ЕСПЧ срещу Република България е изготвяне на законодателни предложения относно въвеждането на срокове за довършване на поземлената реституция със срок за изпълнение месец март 2022 г. </w:t>
      </w:r>
    </w:p>
    <w:p w:rsidR="00FF4B75" w:rsidRPr="00FF4B75"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FF4B75">
        <w:rPr>
          <w:rFonts w:ascii="Times New Roman" w:eastAsia="Times New Roman" w:hAnsi="Times New Roman"/>
          <w:sz w:val="24"/>
          <w:szCs w:val="24"/>
          <w:lang w:val="bg-BG" w:eastAsia="bg-BG"/>
        </w:rPr>
        <w:t xml:space="preserve">Като се има предвид, че осъдителните решения на ЕСПЧ от посочените групи остават неизпълнени повече от 10 години, крайно наложително е да бъде спазен предвиденият в Пътната карта срок за приемане на законодателни промени с цел приключване на поземлената реституция. Също така, следва да се отбележи, че напредъкът по изпълнението на решенията на Съда по групите дела </w:t>
      </w:r>
      <w:r w:rsidRPr="00FF4B75">
        <w:rPr>
          <w:rFonts w:ascii="Times New Roman" w:eastAsia="Times New Roman" w:hAnsi="Times New Roman"/>
          <w:i/>
          <w:sz w:val="24"/>
          <w:szCs w:val="24"/>
          <w:lang w:val="bg-BG" w:eastAsia="bg-BG"/>
        </w:rPr>
        <w:t>„Любомир Попов срещу България“</w:t>
      </w:r>
      <w:r w:rsidRPr="00FF4B75">
        <w:rPr>
          <w:rFonts w:ascii="Times New Roman" w:eastAsia="Times New Roman" w:hAnsi="Times New Roman"/>
          <w:sz w:val="24"/>
          <w:szCs w:val="24"/>
          <w:lang w:val="bg-BG" w:eastAsia="bg-BG"/>
        </w:rPr>
        <w:t xml:space="preserve"> и </w:t>
      </w:r>
      <w:r w:rsidRPr="00FF4B75">
        <w:rPr>
          <w:rFonts w:ascii="Times New Roman" w:eastAsia="Times New Roman" w:hAnsi="Times New Roman"/>
          <w:i/>
          <w:sz w:val="24"/>
          <w:szCs w:val="24"/>
          <w:lang w:val="bg-BG" w:eastAsia="bg-BG"/>
        </w:rPr>
        <w:t>„</w:t>
      </w:r>
      <w:proofErr w:type="spellStart"/>
      <w:r w:rsidRPr="00FF4B75">
        <w:rPr>
          <w:rFonts w:ascii="Times New Roman" w:eastAsia="Times New Roman" w:hAnsi="Times New Roman"/>
          <w:i/>
          <w:sz w:val="24"/>
          <w:szCs w:val="24"/>
          <w:lang w:val="bg-BG" w:eastAsia="bg-BG"/>
        </w:rPr>
        <w:t>Сивова</w:t>
      </w:r>
      <w:proofErr w:type="spellEnd"/>
      <w:r w:rsidRPr="00FF4B75">
        <w:rPr>
          <w:rFonts w:ascii="Times New Roman" w:eastAsia="Times New Roman" w:hAnsi="Times New Roman"/>
          <w:i/>
          <w:sz w:val="24"/>
          <w:szCs w:val="24"/>
          <w:lang w:val="bg-BG" w:eastAsia="bg-BG"/>
        </w:rPr>
        <w:t xml:space="preserve"> и Колева срещу България“</w:t>
      </w:r>
      <w:r w:rsidRPr="00FF4B75">
        <w:rPr>
          <w:rFonts w:ascii="Times New Roman" w:eastAsia="Times New Roman" w:hAnsi="Times New Roman"/>
          <w:sz w:val="24"/>
          <w:szCs w:val="24"/>
          <w:lang w:val="bg-BG" w:eastAsia="bg-BG"/>
        </w:rPr>
        <w:t xml:space="preserve"> предстои да бъде разгледан на 1428-та среща на Комитета на министрите, предвидена за 8</w:t>
      </w:r>
      <w:r w:rsidR="00C16CF6">
        <w:rPr>
          <w:rFonts w:ascii="Times New Roman" w:eastAsia="Times New Roman" w:hAnsi="Times New Roman"/>
          <w:sz w:val="24"/>
          <w:szCs w:val="24"/>
          <w:lang w:val="bg-BG" w:eastAsia="bg-BG"/>
        </w:rPr>
        <w:t xml:space="preserve"> – </w:t>
      </w:r>
      <w:r w:rsidRPr="00FF4B75">
        <w:rPr>
          <w:rFonts w:ascii="Times New Roman" w:eastAsia="Times New Roman" w:hAnsi="Times New Roman"/>
          <w:sz w:val="24"/>
          <w:szCs w:val="24"/>
          <w:lang w:val="bg-BG" w:eastAsia="bg-BG"/>
        </w:rPr>
        <w:t>10 март 2022 г.</w:t>
      </w:r>
    </w:p>
    <w:p w:rsidR="00FF4B75" w:rsidRPr="00FF4B75" w:rsidRDefault="00FF4B75" w:rsidP="00FF4B75">
      <w:pPr>
        <w:widowControl w:val="0"/>
        <w:spacing w:after="0" w:line="360" w:lineRule="auto"/>
        <w:ind w:firstLine="720"/>
        <w:jc w:val="both"/>
        <w:rPr>
          <w:rFonts w:ascii="Times New Roman" w:eastAsia="Times New Roman" w:hAnsi="Times New Roman" w:cs="Times New Roman"/>
          <w:sz w:val="24"/>
          <w:szCs w:val="24"/>
          <w:lang w:val="bg-BG" w:eastAsia="bg-BG"/>
        </w:rPr>
      </w:pPr>
      <w:r w:rsidRPr="00FF4B75">
        <w:rPr>
          <w:rFonts w:ascii="Times New Roman" w:eastAsia="Times New Roman" w:hAnsi="Times New Roman"/>
          <w:sz w:val="24"/>
          <w:szCs w:val="24"/>
          <w:lang w:val="bg-BG" w:eastAsia="bg-BG"/>
        </w:rPr>
        <w:t>В тази връзка,</w:t>
      </w:r>
      <w:r w:rsidR="00742C93">
        <w:rPr>
          <w:rFonts w:ascii="Times New Roman" w:eastAsia="Times New Roman" w:hAnsi="Times New Roman"/>
          <w:sz w:val="24"/>
          <w:szCs w:val="24"/>
          <w:lang w:val="bg-BG" w:eastAsia="bg-BG"/>
        </w:rPr>
        <w:t xml:space="preserve"> в законопроекта са предложени</w:t>
      </w:r>
      <w:r w:rsidRPr="00FF4B75">
        <w:rPr>
          <w:rFonts w:ascii="Times New Roman" w:eastAsia="Times New Roman" w:hAnsi="Times New Roman"/>
          <w:sz w:val="24"/>
          <w:szCs w:val="24"/>
          <w:lang w:val="bg-BG" w:eastAsia="bg-BG"/>
        </w:rPr>
        <w:t xml:space="preserve"> текстове, предвиждащи двугодишен срок от влизане в сила на закона, в който бившите собственици или техни наследници подават заявление за </w:t>
      </w:r>
      <w:r w:rsidRPr="00C32F7E">
        <w:rPr>
          <w:rFonts w:ascii="Times New Roman" w:eastAsia="Times New Roman" w:hAnsi="Times New Roman"/>
          <w:sz w:val="24"/>
          <w:szCs w:val="24"/>
          <w:lang w:val="bg-BG" w:eastAsia="bg-BG"/>
        </w:rPr>
        <w:t>установяване</w:t>
      </w:r>
      <w:r w:rsidR="00C32F7E" w:rsidRPr="00C32F7E">
        <w:rPr>
          <w:rFonts w:ascii="Times New Roman" w:eastAsia="Times New Roman" w:hAnsi="Times New Roman"/>
          <w:sz w:val="24"/>
          <w:szCs w:val="24"/>
          <w:lang w:val="bg-BG" w:eastAsia="bg-BG"/>
        </w:rPr>
        <w:t xml:space="preserve"> (идентифициране)</w:t>
      </w:r>
      <w:r w:rsidRPr="00C32F7E">
        <w:rPr>
          <w:rFonts w:ascii="Times New Roman" w:eastAsia="Times New Roman" w:hAnsi="Times New Roman"/>
          <w:sz w:val="24"/>
          <w:szCs w:val="24"/>
          <w:lang w:val="bg-BG" w:eastAsia="bg-BG"/>
        </w:rPr>
        <w:t xml:space="preserve"> </w:t>
      </w:r>
      <w:r w:rsidRPr="00FF4B75">
        <w:rPr>
          <w:rFonts w:ascii="Times New Roman" w:eastAsia="Times New Roman" w:hAnsi="Times New Roman"/>
          <w:sz w:val="24"/>
          <w:szCs w:val="24"/>
          <w:lang w:val="bg-BG" w:eastAsia="bg-BG"/>
        </w:rPr>
        <w:t xml:space="preserve">границите на земеделските имоти, за които правото на възстановяване е признато с влязло в сила решение на общинската служба по земеделие в съществуващи или възстановими стари реални граници или със съдебно решение, като след изтичането на срока </w:t>
      </w:r>
      <w:proofErr w:type="spellStart"/>
      <w:r w:rsidRPr="00FF4B75">
        <w:rPr>
          <w:rFonts w:ascii="Times New Roman" w:eastAsia="Times New Roman" w:hAnsi="Times New Roman"/>
          <w:sz w:val="24"/>
          <w:szCs w:val="24"/>
          <w:lang w:val="bg-BG" w:eastAsia="bg-BG"/>
        </w:rPr>
        <w:t>правоимащите</w:t>
      </w:r>
      <w:proofErr w:type="spellEnd"/>
      <w:r w:rsidRPr="00FF4B75">
        <w:rPr>
          <w:rFonts w:ascii="Times New Roman" w:eastAsia="Times New Roman" w:hAnsi="Times New Roman"/>
          <w:sz w:val="24"/>
          <w:szCs w:val="24"/>
          <w:lang w:val="bg-BG" w:eastAsia="bg-BG"/>
        </w:rPr>
        <w:t xml:space="preserve"> лица се разполагат служебно от общинската служба по земеделие върху земи, предоставени от общинския поземлен фонд по реда на § 27, ал. 2 от ПЗР на ЗИДЗСПЗЗ </w:t>
      </w:r>
      <w:r w:rsidRPr="00FF4B75">
        <w:rPr>
          <w:rFonts w:ascii="Times New Roman" w:eastAsia="Times New Roman" w:hAnsi="Times New Roman"/>
          <w:sz w:val="24"/>
          <w:szCs w:val="24"/>
          <w:lang w:val="bg-BG" w:eastAsia="bg-BG"/>
        </w:rPr>
        <w:lastRenderedPageBreak/>
        <w:t>(ДВ, бр. 62 от 2010 г.), съобразно с решението за признаване на правото на възстановяване на собствеността в съществуващи или възстановими стари реални граници, по ред и условия, определени в Правилника за прилагане на Закона за собствеността и ползването на земеделските земи.</w:t>
      </w:r>
    </w:p>
    <w:p w:rsidR="00FF4B75" w:rsidRPr="00E56540" w:rsidRDefault="00FF4B75" w:rsidP="00FF4B75">
      <w:pPr>
        <w:spacing w:after="0" w:line="360" w:lineRule="auto"/>
        <w:ind w:firstLine="709"/>
        <w:jc w:val="both"/>
        <w:rPr>
          <w:rFonts w:ascii="Times New Roman" w:eastAsia="Times New Roman" w:hAnsi="Times New Roman"/>
          <w:sz w:val="24"/>
          <w:szCs w:val="24"/>
          <w:lang w:val="bg-BG" w:eastAsia="bg-BG"/>
        </w:rPr>
      </w:pPr>
      <w:r w:rsidRPr="00E56540">
        <w:rPr>
          <w:rFonts w:ascii="Times New Roman" w:eastAsia="Times New Roman" w:hAnsi="Times New Roman"/>
          <w:sz w:val="24"/>
          <w:szCs w:val="24"/>
          <w:lang w:val="bg-BG" w:eastAsia="bg-BG"/>
        </w:rPr>
        <w:t xml:space="preserve">С цел осигуряване на необходимия поземлен ресурс за приключване на поземлената реституция, бе продължен петгодишният ограничителен режим за разпореждане със земите по чл. 19 от ЗСПЗЗ, въведен с параграф 14 от Преходните и заключителни разпоредби към Закона за изменение и допълнение на Закона за опазване на земеделските земи (ДВ, бр. 100 от 2015 г.), като гаранция за пълното постигане целите на ЗСПЗЗ за възстановяване на собствеността, респ. за обезщетяване на собствениците на земеделски земи. С § 12, ал. 1 от Заключителните разпоредби към Закона за изменение и допълнение на Закона за подпомагане на земеделските производители (ДВ, бр. 103 от 2020 г.) е прието удължаване на срока с 5 години, считано от 23 декември 2020 г., в който общинските съвети могат да предоставят земите по чл. 19 от ЗСПЗЗ по реда </w:t>
      </w:r>
      <w:r w:rsidR="003D730C">
        <w:rPr>
          <w:rFonts w:ascii="Times New Roman" w:eastAsia="Times New Roman" w:hAnsi="Times New Roman"/>
          <w:sz w:val="24"/>
          <w:szCs w:val="24"/>
          <w:lang w:val="bg-BG" w:eastAsia="bg-BG"/>
        </w:rPr>
        <w:t>на § 27, ал. 2 от ПЗР към ЗИД</w:t>
      </w:r>
      <w:r w:rsidRPr="00E56540">
        <w:rPr>
          <w:rFonts w:ascii="Times New Roman" w:eastAsia="Times New Roman" w:hAnsi="Times New Roman"/>
          <w:sz w:val="24"/>
          <w:szCs w:val="24"/>
          <w:lang w:val="bg-BG" w:eastAsia="bg-BG"/>
        </w:rPr>
        <w:t>ЗСПЗЗ (ДВ, бр. 62 от 2010 г.).</w:t>
      </w:r>
    </w:p>
    <w:p w:rsidR="00FF4B75" w:rsidRPr="00E56540" w:rsidRDefault="00FF4B75" w:rsidP="00FF4B75">
      <w:pPr>
        <w:spacing w:after="0" w:line="360" w:lineRule="auto"/>
        <w:ind w:firstLine="709"/>
        <w:jc w:val="both"/>
        <w:rPr>
          <w:rFonts w:ascii="Times New Roman" w:eastAsia="Times New Roman" w:hAnsi="Times New Roman"/>
          <w:sz w:val="24"/>
          <w:szCs w:val="24"/>
          <w:lang w:val="bg-BG" w:eastAsia="bg-BG"/>
        </w:rPr>
      </w:pPr>
      <w:r w:rsidRPr="00E56540">
        <w:rPr>
          <w:rFonts w:ascii="Times New Roman" w:eastAsia="Calibri" w:hAnsi="Times New Roman" w:cs="Times New Roman"/>
          <w:sz w:val="24"/>
          <w:szCs w:val="24"/>
          <w:lang w:val="bg-BG"/>
        </w:rPr>
        <w:t>Друг</w:t>
      </w:r>
      <w:r w:rsidRPr="00E56540">
        <w:rPr>
          <w:rFonts w:ascii="Times New Roman" w:hAnsi="Times New Roman" w:cs="Times New Roman"/>
          <w:sz w:val="24"/>
          <w:szCs w:val="24"/>
          <w:lang w:val="bg-BG"/>
        </w:rPr>
        <w:t xml:space="preserve">ото </w:t>
      </w:r>
      <w:r w:rsidRPr="00E56540">
        <w:rPr>
          <w:rFonts w:ascii="Times New Roman" w:eastAsia="Calibri" w:hAnsi="Times New Roman" w:cs="Times New Roman"/>
          <w:sz w:val="24"/>
          <w:szCs w:val="24"/>
          <w:lang w:val="bg-BG"/>
        </w:rPr>
        <w:t>предложен</w:t>
      </w:r>
      <w:r w:rsidRPr="00E56540">
        <w:rPr>
          <w:rFonts w:ascii="Times New Roman" w:hAnsi="Times New Roman" w:cs="Times New Roman"/>
          <w:sz w:val="24"/>
          <w:szCs w:val="24"/>
          <w:lang w:val="bg-BG"/>
        </w:rPr>
        <w:t>ие</w:t>
      </w:r>
      <w:r w:rsidRPr="00E56540">
        <w:rPr>
          <w:rFonts w:ascii="Times New Roman" w:eastAsia="Calibri" w:hAnsi="Times New Roman" w:cs="Times New Roman"/>
          <w:sz w:val="24"/>
          <w:szCs w:val="24"/>
          <w:lang w:val="bg-BG"/>
        </w:rPr>
        <w:t xml:space="preserve"> </w:t>
      </w:r>
      <w:r w:rsidRPr="00E56540">
        <w:rPr>
          <w:rFonts w:ascii="Times New Roman" w:hAnsi="Times New Roman" w:cs="Times New Roman"/>
          <w:sz w:val="24"/>
          <w:szCs w:val="24"/>
          <w:lang w:val="bg-BG"/>
        </w:rPr>
        <w:t xml:space="preserve">за </w:t>
      </w:r>
      <w:r w:rsidRPr="00E56540">
        <w:rPr>
          <w:rFonts w:ascii="Times New Roman" w:eastAsia="Calibri" w:hAnsi="Times New Roman" w:cs="Times New Roman"/>
          <w:sz w:val="24"/>
          <w:szCs w:val="24"/>
          <w:lang w:val="bg-BG"/>
        </w:rPr>
        <w:t>изменени</w:t>
      </w:r>
      <w:r w:rsidRPr="00E56540">
        <w:rPr>
          <w:rFonts w:ascii="Times New Roman" w:hAnsi="Times New Roman" w:cs="Times New Roman"/>
          <w:sz w:val="24"/>
          <w:szCs w:val="24"/>
          <w:lang w:val="bg-BG"/>
        </w:rPr>
        <w:t xml:space="preserve">е на ЗСПЗЗ </w:t>
      </w:r>
      <w:r w:rsidRPr="00E56540">
        <w:rPr>
          <w:rFonts w:ascii="Times New Roman" w:hAnsi="Times New Roman"/>
          <w:sz w:val="24"/>
          <w:szCs w:val="24"/>
          <w:lang w:val="bg-BG"/>
        </w:rPr>
        <w:t>касае</w:t>
      </w:r>
      <w:r w:rsidRPr="00E56540">
        <w:rPr>
          <w:rFonts w:ascii="Times New Roman" w:eastAsia="Times New Roman" w:hAnsi="Times New Roman"/>
          <w:sz w:val="24"/>
          <w:szCs w:val="24"/>
          <w:lang w:val="bg-BG" w:eastAsia="bg-BG"/>
        </w:rPr>
        <w:t xml:space="preserve"> процедурата за </w:t>
      </w:r>
      <w:proofErr w:type="spellStart"/>
      <w:r w:rsidRPr="00E56540">
        <w:rPr>
          <w:rFonts w:ascii="Times New Roman" w:eastAsia="Times New Roman" w:hAnsi="Times New Roman"/>
          <w:sz w:val="24"/>
          <w:szCs w:val="24"/>
          <w:lang w:val="bg-BG" w:eastAsia="bg-BG"/>
        </w:rPr>
        <w:t>комасирано</w:t>
      </w:r>
      <w:proofErr w:type="spellEnd"/>
      <w:r w:rsidRPr="00E56540">
        <w:rPr>
          <w:rFonts w:ascii="Times New Roman" w:eastAsia="Times New Roman" w:hAnsi="Times New Roman"/>
          <w:sz w:val="24"/>
          <w:szCs w:val="24"/>
          <w:lang w:val="bg-BG" w:eastAsia="bg-BG"/>
        </w:rPr>
        <w:t xml:space="preserve"> ползване на земеделските земи по реда на чл. 37в от ЗСПЗЗ</w:t>
      </w:r>
      <w:r w:rsidRPr="00E56540">
        <w:rPr>
          <w:rFonts w:ascii="Times New Roman" w:eastAsia="Times New Roman" w:hAnsi="Times New Roman" w:cs="Times New Roman"/>
          <w:sz w:val="24"/>
          <w:szCs w:val="24"/>
          <w:lang w:val="bg-BG" w:eastAsia="bg-BG"/>
        </w:rPr>
        <w:t xml:space="preserve"> чрез създаване на масиви за ползване по споразумение между собствениците и ползвателите, обработващи имотите в землището през съответната стопанска година</w:t>
      </w:r>
      <w:r w:rsidRPr="00E56540">
        <w:rPr>
          <w:rFonts w:ascii="Times New Roman" w:eastAsia="Times New Roman" w:hAnsi="Times New Roman"/>
          <w:sz w:val="24"/>
          <w:szCs w:val="24"/>
          <w:lang w:val="bg-BG" w:eastAsia="bg-BG"/>
        </w:rPr>
        <w:t xml:space="preserve">. В процедурата съществува проблем при съблюдаване на разпоредбата на чл. 37б, ал. 6 от ЗСПЗЗ, приета повече от 15 години след основния </w:t>
      </w:r>
      <w:r w:rsidRPr="00E56540">
        <w:rPr>
          <w:rFonts w:ascii="Times New Roman" w:eastAsia="Times New Roman" w:hAnsi="Times New Roman" w:cs="Times New Roman"/>
          <w:sz w:val="24"/>
          <w:szCs w:val="24"/>
          <w:lang w:val="bg-BG" w:eastAsia="bg-BG"/>
        </w:rPr>
        <w:t>текст (</w:t>
      </w:r>
      <w:r w:rsidR="00E56540" w:rsidRPr="00E56540">
        <w:rPr>
          <w:rFonts w:ascii="Times New Roman" w:eastAsia="Times New Roman" w:hAnsi="Times New Roman" w:cs="Times New Roman"/>
          <w:sz w:val="24"/>
          <w:szCs w:val="24"/>
          <w:lang w:val="bg-BG" w:eastAsia="bg-BG"/>
        </w:rPr>
        <w:t xml:space="preserve">чл. 37б, нов - ДВ, бр. 99 от 2002 г., а </w:t>
      </w:r>
      <w:r w:rsidRPr="00E56540">
        <w:rPr>
          <w:rFonts w:ascii="Times New Roman" w:eastAsia="Times New Roman" w:hAnsi="Times New Roman" w:cs="Times New Roman"/>
          <w:sz w:val="24"/>
          <w:szCs w:val="24"/>
          <w:lang w:val="bg-BG" w:eastAsia="bg-BG"/>
        </w:rPr>
        <w:t>ал</w:t>
      </w:r>
      <w:r w:rsidRPr="00E56540">
        <w:rPr>
          <w:rFonts w:ascii="Times New Roman" w:eastAsia="Times New Roman" w:hAnsi="Times New Roman"/>
          <w:sz w:val="24"/>
          <w:szCs w:val="24"/>
          <w:lang w:val="bg-BG" w:eastAsia="bg-BG"/>
        </w:rPr>
        <w:t xml:space="preserve">. 6 е приета със ЗИД на ЗСПЗЗ, </w:t>
      </w:r>
      <w:proofErr w:type="spellStart"/>
      <w:r w:rsidRPr="00E56540">
        <w:rPr>
          <w:rFonts w:ascii="Times New Roman" w:eastAsia="Times New Roman" w:hAnsi="Times New Roman"/>
          <w:sz w:val="24"/>
          <w:szCs w:val="24"/>
          <w:lang w:val="bg-BG" w:eastAsia="bg-BG"/>
        </w:rPr>
        <w:t>обн</w:t>
      </w:r>
      <w:proofErr w:type="spellEnd"/>
      <w:r w:rsidRPr="00E56540">
        <w:rPr>
          <w:rFonts w:ascii="Times New Roman" w:eastAsia="Times New Roman" w:hAnsi="Times New Roman"/>
          <w:sz w:val="24"/>
          <w:szCs w:val="24"/>
          <w:lang w:val="bg-BG" w:eastAsia="bg-BG"/>
        </w:rPr>
        <w:t xml:space="preserve">., ДВ, бр. 42 от 2018 г.). </w:t>
      </w:r>
    </w:p>
    <w:p w:rsidR="00FF4B75" w:rsidRPr="00E56540"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E56540">
        <w:rPr>
          <w:rFonts w:ascii="Times New Roman" w:eastAsia="Times New Roman" w:hAnsi="Times New Roman"/>
          <w:sz w:val="24"/>
          <w:szCs w:val="24"/>
          <w:lang w:val="bg-BG" w:eastAsia="bg-BG"/>
        </w:rPr>
        <w:t xml:space="preserve">С цитираната разпоредба законодателят се е опитал да разреши колизията на права, която се установява от общинската служба по земеделие в случаите, когато през съответната стопанска година са представени два и повече договора за ползване на един и същи имот. Вместо разрешаване на възникналите спорове за ползване на земеделските имоти, разпоредбата създава проблеми на общинските служби по земеделие, като ги поставя в роля да определят на кого принадлежи правото на ползване при представяне за регистриране на вписан и невписан договор, както и при наличието на дублирани многогодишни договори (нотариално заверени и вписани в службата по вписванията), често сключени от различни съсобственици на имотите. </w:t>
      </w:r>
    </w:p>
    <w:p w:rsidR="00FF4B75" w:rsidRPr="00E56540"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E56540">
        <w:rPr>
          <w:rFonts w:ascii="Times New Roman" w:eastAsia="Times New Roman" w:hAnsi="Times New Roman"/>
          <w:sz w:val="24"/>
          <w:szCs w:val="24"/>
          <w:lang w:val="bg-BG" w:eastAsia="bg-BG"/>
        </w:rPr>
        <w:t xml:space="preserve">Често са случаите, при които след като е приключила процедурата и масивите за ползване са разпределени с влязла в сила заповед на директора на областната дирекция „Земеделие“, се установява със съдебно решение, че първият по време вписан договор е нищожен или че спорът между вписан и невписан договор е решен в полза на </w:t>
      </w:r>
      <w:r w:rsidRPr="00E56540">
        <w:rPr>
          <w:rFonts w:ascii="Times New Roman" w:eastAsia="Times New Roman" w:hAnsi="Times New Roman"/>
          <w:sz w:val="24"/>
          <w:szCs w:val="24"/>
          <w:lang w:val="bg-BG" w:eastAsia="bg-BG"/>
        </w:rPr>
        <w:lastRenderedPageBreak/>
        <w:t>невписания, т. е. точно обратно на уредените в ал. 6 две хипотези. В повечето случаи съдебните дела, заведени от участниците в процедурата, завършват след приключване на съответната стопанска година, което поставя в невъзможност тяхното реално изпълнение, като същевременно общинска служба по земеделие е задължена да измени заповедта, с която е одобрено споразумението, за да може установеното от съда действително правно основание да се отрази на съответния ползвател. Оттук възниква и следващия проблем, свързан с необходимостта от промяна на правните основания, подадени за подпомагане по реда на Закона за подпомагане на земеделските производители.</w:t>
      </w:r>
    </w:p>
    <w:p w:rsidR="00FF4B75" w:rsidRPr="00E56540"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E56540">
        <w:rPr>
          <w:rFonts w:ascii="Times New Roman" w:eastAsia="Times New Roman" w:hAnsi="Times New Roman"/>
          <w:sz w:val="24"/>
          <w:szCs w:val="24"/>
          <w:lang w:val="bg-BG" w:eastAsia="bg-BG"/>
        </w:rPr>
        <w:t xml:space="preserve">Предвид изложеното е видно, че с разпоредбата на ал. 6 на чл. 37б от ЗСПЗЗ не се разрешава колизията на права, </w:t>
      </w:r>
      <w:r w:rsidRPr="00C32F7E">
        <w:rPr>
          <w:rFonts w:ascii="Times New Roman" w:eastAsia="Times New Roman" w:hAnsi="Times New Roman"/>
          <w:sz w:val="24"/>
          <w:szCs w:val="24"/>
          <w:lang w:val="bg-BG" w:eastAsia="bg-BG"/>
        </w:rPr>
        <w:t xml:space="preserve">възникваща </w:t>
      </w:r>
      <w:r w:rsidRPr="00E56540">
        <w:rPr>
          <w:rFonts w:ascii="Times New Roman" w:eastAsia="Times New Roman" w:hAnsi="Times New Roman"/>
          <w:sz w:val="24"/>
          <w:szCs w:val="24"/>
          <w:lang w:val="bg-BG" w:eastAsia="bg-BG"/>
        </w:rPr>
        <w:t xml:space="preserve">при регистриране на договорите за ползване на земеделски земи, а напротив, нормата създава поредица от проблеми за общинска служба по земеделие, в ролята ѝ на </w:t>
      </w:r>
      <w:proofErr w:type="spellStart"/>
      <w:r w:rsidRPr="00E56540">
        <w:rPr>
          <w:rFonts w:ascii="Times New Roman" w:eastAsia="Times New Roman" w:hAnsi="Times New Roman"/>
          <w:sz w:val="24"/>
          <w:szCs w:val="24"/>
          <w:lang w:val="bg-BG" w:eastAsia="bg-BG"/>
        </w:rPr>
        <w:t>регистърен</w:t>
      </w:r>
      <w:proofErr w:type="spellEnd"/>
      <w:r w:rsidRPr="00E56540">
        <w:rPr>
          <w:rFonts w:ascii="Times New Roman" w:eastAsia="Times New Roman" w:hAnsi="Times New Roman"/>
          <w:sz w:val="24"/>
          <w:szCs w:val="24"/>
          <w:lang w:val="bg-BG" w:eastAsia="bg-BG"/>
        </w:rPr>
        <w:t xml:space="preserve"> орган на документите за ползване, а впоследствие проблеми и за Разплащателната агенция, когато за една и съща площ са подадени две или повече заявления за подпомагане и застъпването на площите не е отстранено своевременно. </w:t>
      </w:r>
      <w:r w:rsidR="00771F30" w:rsidRPr="00E56540">
        <w:rPr>
          <w:rFonts w:ascii="Times New Roman" w:eastAsia="Times New Roman" w:hAnsi="Times New Roman"/>
          <w:sz w:val="24"/>
          <w:szCs w:val="24"/>
          <w:lang w:val="bg-BG" w:eastAsia="bg-BG"/>
        </w:rPr>
        <w:t>Н</w:t>
      </w:r>
      <w:r w:rsidRPr="00E56540">
        <w:rPr>
          <w:rFonts w:ascii="Times New Roman" w:eastAsia="Times New Roman" w:hAnsi="Times New Roman"/>
          <w:sz w:val="24"/>
          <w:szCs w:val="24"/>
          <w:lang w:val="bg-BG" w:eastAsia="bg-BG"/>
        </w:rPr>
        <w:t xml:space="preserve">ай-големите проблеми са за земеделските производители, тъй като в тези случаи Разплащателната агенция намалява размера на плащането или отказва плащане по схемите за директни плащания. Следва обжалване на издадените от Държавен фонд „Земеделие“ административни актове, продължаващи с години съдебни дела, включващи множество експертизи, а оттук и излишно натоварване на съдебната система. </w:t>
      </w:r>
    </w:p>
    <w:p w:rsidR="00FF4B75" w:rsidRPr="00E56540"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E56540">
        <w:rPr>
          <w:rFonts w:ascii="Times New Roman" w:eastAsia="Times New Roman" w:hAnsi="Times New Roman"/>
          <w:sz w:val="24"/>
          <w:szCs w:val="24"/>
          <w:lang w:val="bg-BG" w:eastAsia="bg-BG"/>
        </w:rPr>
        <w:t xml:space="preserve">С отмяната на нормата на чл. 37б, ал. 6 от ЗСПЗЗ, разрешаването на колизията кой от представените за регистриране два или повече договори за ползване на един и същи имот е действителен за съответната стопанска година, както и кое от представените от съсобствениците правни основания за ползване на имота е с приоритет, следва да се осъществява от страните по сключените договори, респ. от собствениците (съсобствениците) на имотите, а когато те не разрешат спора помежду си – от компетентния съд. По този начин ще се преодолеят съществуващите проблеми, възникващи с подаваните от участниците в процедурата многобройни молби и жалби до общинската служба по земеделие, областната дирекция „Земеделие”, Разплащателната агенция и министъра на земеделието, за разрешаване на споровете за ползване на земеделски земи, които са извън техните компетенциите. </w:t>
      </w:r>
    </w:p>
    <w:p w:rsidR="00FF4B75" w:rsidRPr="00E56540"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E56540">
        <w:rPr>
          <w:rFonts w:ascii="Times New Roman" w:eastAsia="Times New Roman" w:hAnsi="Times New Roman"/>
          <w:sz w:val="24"/>
          <w:szCs w:val="24"/>
          <w:lang w:val="bg-BG" w:eastAsia="bg-BG"/>
        </w:rPr>
        <w:t>Предложението за създаване на нов чл. 37р в ЗСПЗЗ е във връзка със Закона за изменение и допълнение на Закона за подпомагане на земеделските производители (</w:t>
      </w:r>
      <w:proofErr w:type="spellStart"/>
      <w:r w:rsidRPr="00E56540">
        <w:rPr>
          <w:rFonts w:ascii="Times New Roman" w:eastAsia="Times New Roman" w:hAnsi="Times New Roman"/>
          <w:sz w:val="24"/>
          <w:szCs w:val="24"/>
          <w:lang w:val="bg-BG" w:eastAsia="bg-BG"/>
        </w:rPr>
        <w:t>обн</w:t>
      </w:r>
      <w:proofErr w:type="spellEnd"/>
      <w:r w:rsidRPr="00E56540">
        <w:rPr>
          <w:rFonts w:ascii="Times New Roman" w:eastAsia="Times New Roman" w:hAnsi="Times New Roman"/>
          <w:sz w:val="24"/>
          <w:szCs w:val="24"/>
          <w:lang w:val="bg-BG" w:eastAsia="bg-BG"/>
        </w:rPr>
        <w:t xml:space="preserve">. ДВ, бр. 18 от 2018 г.), с който е изменен чл. 41, като в ал. 3 е регламентирано, че земеделските земи, включени в заявлението за подпомагане, трябва да са на </w:t>
      </w:r>
      <w:r w:rsidRPr="00E56540">
        <w:rPr>
          <w:rFonts w:ascii="Times New Roman" w:eastAsia="Times New Roman" w:hAnsi="Times New Roman"/>
          <w:sz w:val="24"/>
          <w:szCs w:val="24"/>
          <w:lang w:val="bg-BG" w:eastAsia="bg-BG"/>
        </w:rPr>
        <w:lastRenderedPageBreak/>
        <w:t>разположение на земеделските стопани към 31 май на съответната календарна година, съгласно чл. 36, параграф 5 от Регламент (ЕС) № 1307/2013, което се удостоверява с правно основание за ползване, регистрирано по реда на Закона за собствеността и ползването на земеделските земи. Това изменение предполага съответна промяна в ЗСПЗЗ, но такава не е направена, което създава много проблеми за общинските служби по земеделие. Земеделските стопани считат, че при регистрирането на представените договори действа редът, регламентиран в чл. 37б от ЗСПЗЗ, който урежда друга процедура, съответно с други срокове, цели и последици. В тази връзка е необходимо създаването на ред в ЗСПЗЗ за регистриране в общинската служба по земеделие на правните основания за подпомагане по реда на Закона за подпомагане на земеделските производители.</w:t>
      </w:r>
    </w:p>
    <w:p w:rsidR="00FF4B75" w:rsidRPr="00FF4B75" w:rsidRDefault="00FF4B75" w:rsidP="00FF4B75">
      <w:pPr>
        <w:widowControl w:val="0"/>
        <w:spacing w:after="0" w:line="360" w:lineRule="auto"/>
        <w:ind w:firstLine="720"/>
        <w:jc w:val="both"/>
        <w:rPr>
          <w:rFonts w:ascii="Times New Roman" w:eastAsia="Times New Roman" w:hAnsi="Times New Roman"/>
          <w:sz w:val="24"/>
          <w:szCs w:val="24"/>
          <w:lang w:val="bg-BG" w:eastAsia="bg-BG"/>
        </w:rPr>
      </w:pPr>
      <w:r w:rsidRPr="00E56540">
        <w:rPr>
          <w:rFonts w:ascii="Times New Roman" w:eastAsia="Times New Roman" w:hAnsi="Times New Roman"/>
          <w:sz w:val="24"/>
          <w:szCs w:val="24"/>
          <w:lang w:val="bg-BG" w:eastAsia="bg-BG"/>
        </w:rPr>
        <w:t>В чл. 37б от ЗСПЗЗ е предвидено задължение за общинската служба по земеделие да води регистър на собствениците и ползвателите на земеделски земи и да предоставя информация за тях на ползвателите, участващи в споразумението по чл. 37в, с цел насърчаване на уедрено ползване и създаване на масиви. Задължението по чл. 37б от ЗСПЗЗ на общинските служби по земеделие да регистрират в информационната система „FERMA WIN“ документите, даващи права за ползване на земеделските земи от ползватели (наематели, арендатори) и собственици, се отнасят до процедурата за създаване на масиви за ползване. Ползвателите на земеделски земи, които желаят да участват в процедурата по чл. 37в, имат възможност в срока до 31 юли, да подадат в общинската служба по земеделие заявление за участие в споразумение за създаване на масиви за ползване, към което да приложат опис на имотите за включване в масивите, съгласно регистрираните в общинската служба по земеделие договори и/или документи за собственост.</w:t>
      </w:r>
    </w:p>
    <w:p w:rsidR="00BA0EE0" w:rsidRPr="00CB3358" w:rsidRDefault="00BA0EE0" w:rsidP="00633881">
      <w:pPr>
        <w:spacing w:after="0" w:line="360" w:lineRule="auto"/>
        <w:ind w:firstLine="720"/>
        <w:jc w:val="both"/>
        <w:rPr>
          <w:rFonts w:ascii="Times New Roman" w:eastAsia="Times New Roman" w:hAnsi="Times New Roman" w:cs="Times New Roman"/>
          <w:sz w:val="24"/>
          <w:szCs w:val="24"/>
          <w:lang w:val="bg-BG" w:eastAsia="bg-BG"/>
        </w:rPr>
      </w:pPr>
    </w:p>
    <w:p w:rsidR="00BA0EE0" w:rsidRPr="009D21D3" w:rsidRDefault="00BA0EE0" w:rsidP="00633881">
      <w:pPr>
        <w:spacing w:after="0" w:line="360" w:lineRule="auto"/>
        <w:ind w:firstLine="720"/>
        <w:jc w:val="both"/>
        <w:rPr>
          <w:rFonts w:ascii="Times New Roman" w:eastAsia="Times New Roman" w:hAnsi="Times New Roman" w:cs="Times New Roman"/>
          <w:sz w:val="24"/>
          <w:szCs w:val="24"/>
          <w:lang w:val="bg-BG" w:eastAsia="bg-BG"/>
        </w:rPr>
      </w:pPr>
    </w:p>
    <w:p w:rsidR="00B85D1F" w:rsidRPr="009D21D3" w:rsidRDefault="00B85D1F" w:rsidP="00B85D1F">
      <w:pPr>
        <w:widowControl w:val="0"/>
        <w:shd w:val="clear" w:color="auto" w:fill="FFFFFF"/>
        <w:tabs>
          <w:tab w:val="left" w:leader="dot" w:pos="3802"/>
        </w:tabs>
        <w:autoSpaceDE w:val="0"/>
        <w:autoSpaceDN w:val="0"/>
        <w:adjustRightInd w:val="0"/>
        <w:spacing w:after="0" w:line="360" w:lineRule="auto"/>
        <w:rPr>
          <w:rFonts w:ascii="Times New Roman" w:hAnsi="Times New Roman"/>
          <w:b/>
          <w:bCs/>
          <w:caps/>
          <w:sz w:val="24"/>
          <w:szCs w:val="24"/>
          <w:lang w:val="bg-BG" w:eastAsia="bg-BG"/>
        </w:rPr>
      </w:pPr>
      <w:r w:rsidRPr="009D21D3">
        <w:rPr>
          <w:rFonts w:ascii="Times New Roman" w:hAnsi="Times New Roman"/>
          <w:b/>
          <w:bCs/>
          <w:caps/>
          <w:sz w:val="24"/>
          <w:szCs w:val="24"/>
          <w:lang w:val="bg-BG" w:eastAsia="bg-BG"/>
        </w:rPr>
        <w:t>МИНИСТЪР-ПРЕДСЕДАТЕЛ:</w:t>
      </w:r>
    </w:p>
    <w:p w:rsidR="00B85D1F" w:rsidRPr="009D21D3" w:rsidRDefault="003B3FA5" w:rsidP="00307265">
      <w:pPr>
        <w:widowControl w:val="0"/>
        <w:shd w:val="clear" w:color="auto" w:fill="FFFFFF"/>
        <w:tabs>
          <w:tab w:val="left" w:leader="dot" w:pos="3802"/>
        </w:tabs>
        <w:autoSpaceDE w:val="0"/>
        <w:autoSpaceDN w:val="0"/>
        <w:adjustRightInd w:val="0"/>
        <w:spacing w:after="0" w:line="240" w:lineRule="auto"/>
        <w:ind w:left="3540"/>
        <w:rPr>
          <w:rFonts w:ascii="Times New Roman" w:hAnsi="Times New Roman"/>
          <w:b/>
          <w:bCs/>
          <w:caps/>
          <w:sz w:val="24"/>
          <w:szCs w:val="24"/>
          <w:lang w:val="bg-BG" w:eastAsia="bg-BG"/>
        </w:rPr>
      </w:pPr>
      <w:r w:rsidRPr="009D21D3">
        <w:rPr>
          <w:rFonts w:ascii="Times New Roman" w:hAnsi="Times New Roman"/>
          <w:b/>
          <w:bCs/>
          <w:caps/>
          <w:sz w:val="24"/>
          <w:szCs w:val="24"/>
          <w:lang w:val="bg-BG" w:eastAsia="bg-BG"/>
        </w:rPr>
        <w:t>КИРИЛ ПЕТКОВ</w:t>
      </w:r>
    </w:p>
    <w:p w:rsidR="009D21D3" w:rsidRPr="009D21D3" w:rsidRDefault="009D21D3" w:rsidP="00855B7B">
      <w:pPr>
        <w:spacing w:after="0"/>
        <w:rPr>
          <w:rFonts w:ascii="Times New Roman" w:eastAsia="Times New Roman" w:hAnsi="Times New Roman" w:cs="Times New Roman"/>
          <w:bCs/>
          <w:color w:val="FF0000"/>
          <w:sz w:val="18"/>
          <w:szCs w:val="18"/>
          <w:lang w:val="bg-BG"/>
        </w:rPr>
      </w:pPr>
    </w:p>
    <w:p w:rsidR="002B3381" w:rsidRDefault="002B3381" w:rsidP="00855B7B">
      <w:pPr>
        <w:spacing w:after="0"/>
        <w:rPr>
          <w:rFonts w:ascii="Times New Roman" w:eastAsia="Times New Roman" w:hAnsi="Times New Roman" w:cs="Times New Roman"/>
          <w:bCs/>
          <w:sz w:val="18"/>
          <w:szCs w:val="18"/>
          <w:lang w:val="bg-BG"/>
        </w:rPr>
      </w:pPr>
    </w:p>
    <w:p w:rsidR="002B3381" w:rsidRDefault="002B3381" w:rsidP="00855B7B">
      <w:pPr>
        <w:spacing w:after="0"/>
        <w:rPr>
          <w:rFonts w:ascii="Times New Roman" w:eastAsia="Times New Roman" w:hAnsi="Times New Roman" w:cs="Times New Roman"/>
          <w:bCs/>
          <w:sz w:val="18"/>
          <w:szCs w:val="18"/>
        </w:rPr>
      </w:pPr>
    </w:p>
    <w:p w:rsidR="00320938" w:rsidRDefault="00320938" w:rsidP="00855B7B">
      <w:pPr>
        <w:spacing w:after="0"/>
        <w:rPr>
          <w:rFonts w:ascii="Times New Roman" w:eastAsia="Times New Roman" w:hAnsi="Times New Roman" w:cs="Times New Roman"/>
          <w:bCs/>
          <w:sz w:val="18"/>
          <w:szCs w:val="18"/>
        </w:rPr>
      </w:pPr>
    </w:p>
    <w:p w:rsidR="00320938" w:rsidRDefault="00320938" w:rsidP="00855B7B">
      <w:pPr>
        <w:spacing w:after="0"/>
        <w:rPr>
          <w:rFonts w:ascii="Times New Roman" w:eastAsia="Times New Roman" w:hAnsi="Times New Roman" w:cs="Times New Roman"/>
          <w:bCs/>
          <w:sz w:val="18"/>
          <w:szCs w:val="18"/>
        </w:rPr>
      </w:pPr>
    </w:p>
    <w:p w:rsidR="00320938" w:rsidRPr="00320938" w:rsidRDefault="00320938" w:rsidP="00855B7B">
      <w:pPr>
        <w:spacing w:after="0"/>
        <w:rPr>
          <w:rFonts w:ascii="Times New Roman" w:eastAsia="Times New Roman" w:hAnsi="Times New Roman" w:cs="Times New Roman"/>
          <w:bCs/>
          <w:sz w:val="18"/>
          <w:szCs w:val="18"/>
        </w:rPr>
      </w:pPr>
      <w:bookmarkStart w:id="0" w:name="_GoBack"/>
      <w:bookmarkEnd w:id="0"/>
    </w:p>
    <w:p w:rsidR="00855B7B" w:rsidRPr="009D21D3" w:rsidRDefault="00855B7B" w:rsidP="00855B7B">
      <w:pPr>
        <w:spacing w:after="0"/>
        <w:rPr>
          <w:rFonts w:ascii="Times New Roman" w:eastAsia="Times New Roman" w:hAnsi="Times New Roman" w:cs="Times New Roman"/>
          <w:bCs/>
          <w:sz w:val="18"/>
          <w:szCs w:val="18"/>
          <w:lang w:val="bg-BG"/>
        </w:rPr>
      </w:pPr>
      <w:r w:rsidRPr="009D21D3">
        <w:rPr>
          <w:rFonts w:ascii="Times New Roman" w:eastAsia="Times New Roman" w:hAnsi="Times New Roman" w:cs="Times New Roman"/>
          <w:bCs/>
          <w:sz w:val="18"/>
          <w:szCs w:val="18"/>
          <w:lang w:val="bg-BG"/>
        </w:rPr>
        <w:t>Д</w:t>
      </w:r>
      <w:r w:rsidR="00BA0EE0">
        <w:rPr>
          <w:rFonts w:ascii="Times New Roman" w:eastAsia="Times New Roman" w:hAnsi="Times New Roman" w:cs="Times New Roman"/>
          <w:bCs/>
          <w:sz w:val="18"/>
          <w:szCs w:val="18"/>
          <w:lang w:val="bg-BG"/>
        </w:rPr>
        <w:t>В</w:t>
      </w:r>
      <w:r w:rsidRPr="009D21D3">
        <w:rPr>
          <w:rFonts w:ascii="Times New Roman" w:eastAsia="Times New Roman" w:hAnsi="Times New Roman" w:cs="Times New Roman"/>
          <w:bCs/>
          <w:sz w:val="18"/>
          <w:szCs w:val="18"/>
          <w:lang w:val="bg-BG"/>
        </w:rPr>
        <w:t>/П</w:t>
      </w:r>
      <w:r w:rsidR="00BA0EE0">
        <w:rPr>
          <w:rFonts w:ascii="Times New Roman" w:eastAsia="Times New Roman" w:hAnsi="Times New Roman" w:cs="Times New Roman"/>
          <w:bCs/>
          <w:sz w:val="18"/>
          <w:szCs w:val="18"/>
          <w:lang w:val="bg-BG"/>
        </w:rPr>
        <w:t>ОК</w:t>
      </w:r>
    </w:p>
    <w:sectPr w:rsidR="00855B7B" w:rsidRPr="009D21D3" w:rsidSect="00BF2225">
      <w:footerReference w:type="default" r:id="rId8"/>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7A" w:rsidRDefault="00C07F7A" w:rsidP="009D21D3">
      <w:pPr>
        <w:spacing w:after="0" w:line="240" w:lineRule="auto"/>
      </w:pPr>
      <w:r>
        <w:separator/>
      </w:r>
    </w:p>
  </w:endnote>
  <w:endnote w:type="continuationSeparator" w:id="0">
    <w:p w:rsidR="00C07F7A" w:rsidRDefault="00C07F7A" w:rsidP="009D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154742"/>
      <w:docPartObj>
        <w:docPartGallery w:val="Page Numbers (Bottom of Page)"/>
        <w:docPartUnique/>
      </w:docPartObj>
    </w:sdtPr>
    <w:sdtEndPr>
      <w:rPr>
        <w:rFonts w:ascii="Times New Roman" w:hAnsi="Times New Roman" w:cs="Times New Roman"/>
        <w:noProof/>
        <w:sz w:val="20"/>
        <w:szCs w:val="20"/>
      </w:rPr>
    </w:sdtEndPr>
    <w:sdtContent>
      <w:p w:rsidR="00C346AB" w:rsidRPr="009D21D3" w:rsidRDefault="00C346AB" w:rsidP="009D21D3">
        <w:pPr>
          <w:pStyle w:val="Footer"/>
          <w:jc w:val="right"/>
          <w:rPr>
            <w:rFonts w:ascii="Times New Roman" w:hAnsi="Times New Roman" w:cs="Times New Roman"/>
            <w:sz w:val="20"/>
            <w:szCs w:val="20"/>
          </w:rPr>
        </w:pPr>
        <w:r w:rsidRPr="009D21D3">
          <w:rPr>
            <w:rFonts w:ascii="Times New Roman" w:hAnsi="Times New Roman" w:cs="Times New Roman"/>
            <w:sz w:val="20"/>
            <w:szCs w:val="20"/>
          </w:rPr>
          <w:fldChar w:fldCharType="begin"/>
        </w:r>
        <w:r w:rsidRPr="009D21D3">
          <w:rPr>
            <w:rFonts w:ascii="Times New Roman" w:hAnsi="Times New Roman" w:cs="Times New Roman"/>
            <w:sz w:val="20"/>
            <w:szCs w:val="20"/>
          </w:rPr>
          <w:instrText xml:space="preserve"> PAGE   \* MERGEFORMAT </w:instrText>
        </w:r>
        <w:r w:rsidRPr="009D21D3">
          <w:rPr>
            <w:rFonts w:ascii="Times New Roman" w:hAnsi="Times New Roman" w:cs="Times New Roman"/>
            <w:sz w:val="20"/>
            <w:szCs w:val="20"/>
          </w:rPr>
          <w:fldChar w:fldCharType="separate"/>
        </w:r>
        <w:r w:rsidR="00320938">
          <w:rPr>
            <w:rFonts w:ascii="Times New Roman" w:hAnsi="Times New Roman" w:cs="Times New Roman"/>
            <w:noProof/>
            <w:sz w:val="20"/>
            <w:szCs w:val="20"/>
          </w:rPr>
          <w:t>5</w:t>
        </w:r>
        <w:r w:rsidRPr="009D21D3">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7A" w:rsidRDefault="00C07F7A" w:rsidP="009D21D3">
      <w:pPr>
        <w:spacing w:after="0" w:line="240" w:lineRule="auto"/>
      </w:pPr>
      <w:r>
        <w:separator/>
      </w:r>
    </w:p>
  </w:footnote>
  <w:footnote w:type="continuationSeparator" w:id="0">
    <w:p w:rsidR="00C07F7A" w:rsidRDefault="00C07F7A" w:rsidP="009D2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16671"/>
    <w:multiLevelType w:val="hybridMultilevel"/>
    <w:tmpl w:val="17AC8C74"/>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BF"/>
    <w:rsid w:val="000302C3"/>
    <w:rsid w:val="00056A44"/>
    <w:rsid w:val="00062F05"/>
    <w:rsid w:val="000632E4"/>
    <w:rsid w:val="000B537E"/>
    <w:rsid w:val="000D4ECA"/>
    <w:rsid w:val="00132168"/>
    <w:rsid w:val="00152CBF"/>
    <w:rsid w:val="00155EFC"/>
    <w:rsid w:val="00160C2B"/>
    <w:rsid w:val="001A7502"/>
    <w:rsid w:val="001C7B83"/>
    <w:rsid w:val="001D4BE9"/>
    <w:rsid w:val="001D5CD1"/>
    <w:rsid w:val="001E416C"/>
    <w:rsid w:val="001F05E6"/>
    <w:rsid w:val="002714CE"/>
    <w:rsid w:val="00272FE7"/>
    <w:rsid w:val="00285AA1"/>
    <w:rsid w:val="002A3992"/>
    <w:rsid w:val="002A65B6"/>
    <w:rsid w:val="002B3381"/>
    <w:rsid w:val="002B33C7"/>
    <w:rsid w:val="002C5F75"/>
    <w:rsid w:val="002D64D2"/>
    <w:rsid w:val="002E5517"/>
    <w:rsid w:val="00307265"/>
    <w:rsid w:val="00320938"/>
    <w:rsid w:val="00346AD3"/>
    <w:rsid w:val="00353C04"/>
    <w:rsid w:val="00356560"/>
    <w:rsid w:val="003645BB"/>
    <w:rsid w:val="00370FF2"/>
    <w:rsid w:val="003B3FA5"/>
    <w:rsid w:val="003D730C"/>
    <w:rsid w:val="003E66AA"/>
    <w:rsid w:val="003E7A06"/>
    <w:rsid w:val="00430A65"/>
    <w:rsid w:val="004816EC"/>
    <w:rsid w:val="00487ADB"/>
    <w:rsid w:val="00496C54"/>
    <w:rsid w:val="004A76F2"/>
    <w:rsid w:val="004D51CD"/>
    <w:rsid w:val="004E79E0"/>
    <w:rsid w:val="005906CF"/>
    <w:rsid w:val="005A26E3"/>
    <w:rsid w:val="005A521B"/>
    <w:rsid w:val="005B6DD6"/>
    <w:rsid w:val="005B79B2"/>
    <w:rsid w:val="00633881"/>
    <w:rsid w:val="00636F27"/>
    <w:rsid w:val="0064671B"/>
    <w:rsid w:val="00655B3C"/>
    <w:rsid w:val="00677370"/>
    <w:rsid w:val="006E0F4D"/>
    <w:rsid w:val="006E6E5B"/>
    <w:rsid w:val="006F37B2"/>
    <w:rsid w:val="00742C93"/>
    <w:rsid w:val="00750880"/>
    <w:rsid w:val="00771F30"/>
    <w:rsid w:val="007D14EF"/>
    <w:rsid w:val="007D2630"/>
    <w:rsid w:val="00816BDE"/>
    <w:rsid w:val="00855B7B"/>
    <w:rsid w:val="008659B7"/>
    <w:rsid w:val="00886F6B"/>
    <w:rsid w:val="00905E64"/>
    <w:rsid w:val="0091571A"/>
    <w:rsid w:val="0097761D"/>
    <w:rsid w:val="00992EBB"/>
    <w:rsid w:val="00995A04"/>
    <w:rsid w:val="009D21D3"/>
    <w:rsid w:val="00A31D5D"/>
    <w:rsid w:val="00A40B07"/>
    <w:rsid w:val="00AB57F7"/>
    <w:rsid w:val="00AC73FD"/>
    <w:rsid w:val="00B101AE"/>
    <w:rsid w:val="00B52F8C"/>
    <w:rsid w:val="00B661A9"/>
    <w:rsid w:val="00B85D1F"/>
    <w:rsid w:val="00BA0EE0"/>
    <w:rsid w:val="00BC73DD"/>
    <w:rsid w:val="00BD68F3"/>
    <w:rsid w:val="00BF2225"/>
    <w:rsid w:val="00C07F7A"/>
    <w:rsid w:val="00C11CF1"/>
    <w:rsid w:val="00C16CF6"/>
    <w:rsid w:val="00C22DDB"/>
    <w:rsid w:val="00C32F7E"/>
    <w:rsid w:val="00C346AB"/>
    <w:rsid w:val="00C95EB8"/>
    <w:rsid w:val="00CB3358"/>
    <w:rsid w:val="00CB4283"/>
    <w:rsid w:val="00CF045E"/>
    <w:rsid w:val="00CF7931"/>
    <w:rsid w:val="00D03020"/>
    <w:rsid w:val="00D11BBF"/>
    <w:rsid w:val="00D2523B"/>
    <w:rsid w:val="00D85CE9"/>
    <w:rsid w:val="00DB52BD"/>
    <w:rsid w:val="00DC1D45"/>
    <w:rsid w:val="00DC39C2"/>
    <w:rsid w:val="00DE02F7"/>
    <w:rsid w:val="00DF7CEF"/>
    <w:rsid w:val="00E0660F"/>
    <w:rsid w:val="00E32824"/>
    <w:rsid w:val="00E4480A"/>
    <w:rsid w:val="00E56540"/>
    <w:rsid w:val="00E94177"/>
    <w:rsid w:val="00EE26DD"/>
    <w:rsid w:val="00EE2A8D"/>
    <w:rsid w:val="00EF0D55"/>
    <w:rsid w:val="00F87B04"/>
    <w:rsid w:val="00F92034"/>
    <w:rsid w:val="00F95AFA"/>
    <w:rsid w:val="00FB369C"/>
    <w:rsid w:val="00FC3874"/>
    <w:rsid w:val="00FC6A3B"/>
    <w:rsid w:val="00FF0CB6"/>
    <w:rsid w:val="00FF4B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B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1BBF"/>
    <w:pPr>
      <w:widowControl w:val="0"/>
      <w:autoSpaceDE w:val="0"/>
      <w:autoSpaceDN w:val="0"/>
      <w:spacing w:after="0" w:line="240" w:lineRule="auto"/>
      <w:ind w:left="124"/>
    </w:pPr>
    <w:rPr>
      <w:rFonts w:ascii="Liberation Serif" w:eastAsia="Liberation Serif" w:hAnsi="Liberation Serif" w:cs="Liberation Serif"/>
      <w:lang w:val="bg-BG"/>
    </w:rPr>
  </w:style>
  <w:style w:type="paragraph" w:styleId="BalloonText">
    <w:name w:val="Balloon Text"/>
    <w:basedOn w:val="Normal"/>
    <w:link w:val="BalloonTextChar"/>
    <w:uiPriority w:val="99"/>
    <w:semiHidden/>
    <w:unhideWhenUsed/>
    <w:rsid w:val="00F95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AFA"/>
    <w:rPr>
      <w:rFonts w:ascii="Segoe UI" w:hAnsi="Segoe UI" w:cs="Segoe UI"/>
      <w:sz w:val="18"/>
      <w:szCs w:val="18"/>
      <w:lang w:val="en-US"/>
    </w:rPr>
  </w:style>
  <w:style w:type="paragraph" w:styleId="Header">
    <w:name w:val="header"/>
    <w:basedOn w:val="Normal"/>
    <w:link w:val="HeaderChar"/>
    <w:uiPriority w:val="99"/>
    <w:unhideWhenUsed/>
    <w:rsid w:val="009D21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21D3"/>
    <w:rPr>
      <w:lang w:val="en-US"/>
    </w:rPr>
  </w:style>
  <w:style w:type="paragraph" w:styleId="Footer">
    <w:name w:val="footer"/>
    <w:basedOn w:val="Normal"/>
    <w:link w:val="FooterChar"/>
    <w:uiPriority w:val="99"/>
    <w:unhideWhenUsed/>
    <w:rsid w:val="009D21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21D3"/>
    <w:rPr>
      <w:lang w:val="en-US"/>
    </w:rPr>
  </w:style>
  <w:style w:type="paragraph" w:styleId="ListParagraph">
    <w:name w:val="List Paragraph"/>
    <w:basedOn w:val="Normal"/>
    <w:uiPriority w:val="34"/>
    <w:qFormat/>
    <w:rsid w:val="00132168"/>
    <w:pPr>
      <w:widowControl w:val="0"/>
      <w:autoSpaceDE w:val="0"/>
      <w:autoSpaceDN w:val="0"/>
      <w:adjustRightInd w:val="0"/>
      <w:spacing w:after="0" w:line="240" w:lineRule="auto"/>
      <w:ind w:left="720"/>
      <w:contextualSpacing/>
    </w:pPr>
    <w:rPr>
      <w:rFonts w:ascii="Verdana" w:eastAsia="Times New Roman" w:hAnsi="Verdana" w:cs="Verdana"/>
      <w:sz w:val="24"/>
      <w:szCs w:val="24"/>
      <w:lang w:val="bg-BG" w:eastAsia="bg-BG"/>
    </w:rPr>
  </w:style>
  <w:style w:type="paragraph" w:styleId="NormalWeb">
    <w:name w:val="Normal (Web)"/>
    <w:basedOn w:val="Normal"/>
    <w:unhideWhenUsed/>
    <w:rsid w:val="00BA0EE0"/>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B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1BBF"/>
    <w:pPr>
      <w:widowControl w:val="0"/>
      <w:autoSpaceDE w:val="0"/>
      <w:autoSpaceDN w:val="0"/>
      <w:spacing w:after="0" w:line="240" w:lineRule="auto"/>
      <w:ind w:left="124"/>
    </w:pPr>
    <w:rPr>
      <w:rFonts w:ascii="Liberation Serif" w:eastAsia="Liberation Serif" w:hAnsi="Liberation Serif" w:cs="Liberation Serif"/>
      <w:lang w:val="bg-BG"/>
    </w:rPr>
  </w:style>
  <w:style w:type="paragraph" w:styleId="BalloonText">
    <w:name w:val="Balloon Text"/>
    <w:basedOn w:val="Normal"/>
    <w:link w:val="BalloonTextChar"/>
    <w:uiPriority w:val="99"/>
    <w:semiHidden/>
    <w:unhideWhenUsed/>
    <w:rsid w:val="00F95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AFA"/>
    <w:rPr>
      <w:rFonts w:ascii="Segoe UI" w:hAnsi="Segoe UI" w:cs="Segoe UI"/>
      <w:sz w:val="18"/>
      <w:szCs w:val="18"/>
      <w:lang w:val="en-US"/>
    </w:rPr>
  </w:style>
  <w:style w:type="paragraph" w:styleId="Header">
    <w:name w:val="header"/>
    <w:basedOn w:val="Normal"/>
    <w:link w:val="HeaderChar"/>
    <w:uiPriority w:val="99"/>
    <w:unhideWhenUsed/>
    <w:rsid w:val="009D21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21D3"/>
    <w:rPr>
      <w:lang w:val="en-US"/>
    </w:rPr>
  </w:style>
  <w:style w:type="paragraph" w:styleId="Footer">
    <w:name w:val="footer"/>
    <w:basedOn w:val="Normal"/>
    <w:link w:val="FooterChar"/>
    <w:uiPriority w:val="99"/>
    <w:unhideWhenUsed/>
    <w:rsid w:val="009D21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21D3"/>
    <w:rPr>
      <w:lang w:val="en-US"/>
    </w:rPr>
  </w:style>
  <w:style w:type="paragraph" w:styleId="ListParagraph">
    <w:name w:val="List Paragraph"/>
    <w:basedOn w:val="Normal"/>
    <w:uiPriority w:val="34"/>
    <w:qFormat/>
    <w:rsid w:val="00132168"/>
    <w:pPr>
      <w:widowControl w:val="0"/>
      <w:autoSpaceDE w:val="0"/>
      <w:autoSpaceDN w:val="0"/>
      <w:adjustRightInd w:val="0"/>
      <w:spacing w:after="0" w:line="240" w:lineRule="auto"/>
      <w:ind w:left="720"/>
      <w:contextualSpacing/>
    </w:pPr>
    <w:rPr>
      <w:rFonts w:ascii="Verdana" w:eastAsia="Times New Roman" w:hAnsi="Verdana" w:cs="Verdana"/>
      <w:sz w:val="24"/>
      <w:szCs w:val="24"/>
      <w:lang w:val="bg-BG" w:eastAsia="bg-BG"/>
    </w:rPr>
  </w:style>
  <w:style w:type="paragraph" w:styleId="NormalWeb">
    <w:name w:val="Normal (Web)"/>
    <w:basedOn w:val="Normal"/>
    <w:unhideWhenUsed/>
    <w:rsid w:val="00BA0EE0"/>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0514">
      <w:bodyDiv w:val="1"/>
      <w:marLeft w:val="0"/>
      <w:marRight w:val="0"/>
      <w:marTop w:val="0"/>
      <w:marBottom w:val="0"/>
      <w:divBdr>
        <w:top w:val="none" w:sz="0" w:space="0" w:color="auto"/>
        <w:left w:val="none" w:sz="0" w:space="0" w:color="auto"/>
        <w:bottom w:val="none" w:sz="0" w:space="0" w:color="auto"/>
        <w:right w:val="none" w:sz="0" w:space="0" w:color="auto"/>
      </w:divBdr>
    </w:div>
    <w:div w:id="519248582">
      <w:bodyDiv w:val="1"/>
      <w:marLeft w:val="0"/>
      <w:marRight w:val="0"/>
      <w:marTop w:val="0"/>
      <w:marBottom w:val="0"/>
      <w:divBdr>
        <w:top w:val="none" w:sz="0" w:space="0" w:color="auto"/>
        <w:left w:val="none" w:sz="0" w:space="0" w:color="auto"/>
        <w:bottom w:val="none" w:sz="0" w:space="0" w:color="auto"/>
        <w:right w:val="none" w:sz="0" w:space="0" w:color="auto"/>
      </w:divBdr>
    </w:div>
    <w:div w:id="1100569045">
      <w:bodyDiv w:val="1"/>
      <w:marLeft w:val="0"/>
      <w:marRight w:val="0"/>
      <w:marTop w:val="0"/>
      <w:marBottom w:val="0"/>
      <w:divBdr>
        <w:top w:val="none" w:sz="0" w:space="0" w:color="auto"/>
        <w:left w:val="none" w:sz="0" w:space="0" w:color="auto"/>
        <w:bottom w:val="none" w:sz="0" w:space="0" w:color="auto"/>
        <w:right w:val="none" w:sz="0" w:space="0" w:color="auto"/>
      </w:divBdr>
    </w:div>
    <w:div w:id="1481186992">
      <w:bodyDiv w:val="1"/>
      <w:marLeft w:val="0"/>
      <w:marRight w:val="0"/>
      <w:marTop w:val="0"/>
      <w:marBottom w:val="0"/>
      <w:divBdr>
        <w:top w:val="none" w:sz="0" w:space="0" w:color="auto"/>
        <w:left w:val="none" w:sz="0" w:space="0" w:color="auto"/>
        <w:bottom w:val="none" w:sz="0" w:space="0" w:color="auto"/>
        <w:right w:val="none" w:sz="0" w:space="0" w:color="auto"/>
      </w:divBdr>
    </w:div>
    <w:div w:id="1842351431">
      <w:bodyDiv w:val="1"/>
      <w:marLeft w:val="0"/>
      <w:marRight w:val="0"/>
      <w:marTop w:val="0"/>
      <w:marBottom w:val="0"/>
      <w:divBdr>
        <w:top w:val="none" w:sz="0" w:space="0" w:color="auto"/>
        <w:left w:val="none" w:sz="0" w:space="0" w:color="auto"/>
        <w:bottom w:val="none" w:sz="0" w:space="0" w:color="auto"/>
        <w:right w:val="none" w:sz="0" w:space="0" w:color="auto"/>
      </w:divBdr>
    </w:div>
    <w:div w:id="1888640849">
      <w:bodyDiv w:val="1"/>
      <w:marLeft w:val="0"/>
      <w:marRight w:val="0"/>
      <w:marTop w:val="0"/>
      <w:marBottom w:val="0"/>
      <w:divBdr>
        <w:top w:val="none" w:sz="0" w:space="0" w:color="auto"/>
        <w:left w:val="none" w:sz="0" w:space="0" w:color="auto"/>
        <w:bottom w:val="none" w:sz="0" w:space="0" w:color="auto"/>
        <w:right w:val="none" w:sz="0" w:space="0" w:color="auto"/>
      </w:divBdr>
    </w:div>
    <w:div w:id="19826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Nataliya Slavova</cp:lastModifiedBy>
  <cp:revision>3</cp:revision>
  <cp:lastPrinted>2022-02-04T07:11:00Z</cp:lastPrinted>
  <dcterms:created xsi:type="dcterms:W3CDTF">2022-02-25T14:29:00Z</dcterms:created>
  <dcterms:modified xsi:type="dcterms:W3CDTF">2022-02-25T14:39:00Z</dcterms:modified>
</cp:coreProperties>
</file>