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07012" w14:textId="77777777" w:rsidR="00CB4B15" w:rsidRPr="006F7A0B" w:rsidRDefault="00CB4B15" w:rsidP="00CB4B15">
      <w:pPr>
        <w:pBdr>
          <w:top w:val="single" w:sz="4" w:space="10" w:color="4F81BD" w:themeColor="accent1"/>
          <w:bottom w:val="single" w:sz="4" w:space="10" w:color="4F81BD" w:themeColor="accent1"/>
        </w:pBdr>
        <w:spacing w:before="360" w:after="360"/>
        <w:ind w:left="864" w:right="864"/>
        <w:jc w:val="center"/>
      </w:pPr>
      <w:r w:rsidRPr="006F7A0B">
        <w:rPr>
          <w:i/>
          <w:iCs/>
          <w:color w:val="4F81BD" w:themeColor="accent1"/>
        </w:rPr>
        <w:t>СТРАТЕГИЧЕСКИ ПЛАН ЗА РАЗВИТИЕ НА ЗЕМЕДЕЛИЕТО И СЕЛСКИТЕ РАЙОНИ В БЪЛГАРИЯ 2023-2027</w:t>
      </w:r>
    </w:p>
    <w:p w14:paraId="400877A8" w14:textId="58F8420E" w:rsidR="00E22F07" w:rsidRPr="006F7A0B" w:rsidRDefault="00FF20A4" w:rsidP="002050CA">
      <w:pPr>
        <w:jc w:val="center"/>
        <w:rPr>
          <w:rFonts w:ascii="Times New Roman" w:hAnsi="Times New Roman" w:cs="Times New Roman"/>
          <w:b/>
          <w:bCs/>
          <w:sz w:val="24"/>
          <w:szCs w:val="24"/>
        </w:rPr>
      </w:pPr>
      <w:r w:rsidRPr="006F7A0B">
        <w:rPr>
          <w:rFonts w:ascii="Times New Roman" w:hAnsi="Times New Roman" w:cs="Times New Roman"/>
          <w:b/>
          <w:bCs/>
          <w:sz w:val="24"/>
          <w:szCs w:val="24"/>
        </w:rPr>
        <w:t>Задължения в областта на</w:t>
      </w:r>
      <w:r w:rsidR="00DD4621" w:rsidRPr="006F7A0B">
        <w:rPr>
          <w:rFonts w:ascii="Times New Roman" w:hAnsi="Times New Roman" w:cs="Times New Roman"/>
          <w:b/>
          <w:bCs/>
          <w:sz w:val="24"/>
          <w:szCs w:val="24"/>
        </w:rPr>
        <w:t xml:space="preserve"> </w:t>
      </w:r>
      <w:r w:rsidR="00E41D59" w:rsidRPr="006F7A0B">
        <w:rPr>
          <w:rFonts w:ascii="Times New Roman" w:hAnsi="Times New Roman" w:cs="Times New Roman"/>
          <w:b/>
          <w:bCs/>
          <w:sz w:val="24"/>
          <w:szCs w:val="24"/>
        </w:rPr>
        <w:t>околната среда и климата и други задължения в областта на управлението</w:t>
      </w:r>
    </w:p>
    <w:p w14:paraId="68F068B0" w14:textId="489BB1CA" w:rsidR="002B174B" w:rsidRPr="006F7A0B" w:rsidRDefault="00D57944" w:rsidP="002050CA">
      <w:pPr>
        <w:jc w:val="center"/>
        <w:rPr>
          <w:rFonts w:ascii="Times New Roman" w:hAnsi="Times New Roman" w:cs="Times New Roman"/>
          <w:bCs/>
          <w:sz w:val="24"/>
          <w:szCs w:val="24"/>
        </w:rPr>
      </w:pPr>
      <w:r w:rsidRPr="006F7A0B">
        <w:rPr>
          <w:rFonts w:ascii="Times New Roman" w:eastAsia="Calibri" w:hAnsi="Times New Roman" w:cs="Times New Roman"/>
        </w:rPr>
        <w:t xml:space="preserve"> </w:t>
      </w:r>
      <w:r w:rsidR="004C3DB0" w:rsidRPr="006F7A0B">
        <w:rPr>
          <w:rFonts w:ascii="Times New Roman" w:eastAsia="Calibri" w:hAnsi="Times New Roman" w:cs="Times New Roman"/>
          <w:sz w:val="24"/>
          <w:szCs w:val="24"/>
        </w:rPr>
        <w:t xml:space="preserve">Мярка за </w:t>
      </w:r>
      <w:r w:rsidR="00CC20D0" w:rsidRPr="006F7A0B">
        <w:rPr>
          <w:rFonts w:ascii="Times New Roman" w:eastAsia="Calibri" w:hAnsi="Times New Roman" w:cs="Times New Roman"/>
          <w:sz w:val="24"/>
          <w:szCs w:val="24"/>
        </w:rPr>
        <w:t>опазване на застрашени от изчезване местни сортове, важни за селското стопанство</w:t>
      </w:r>
    </w:p>
    <w:tbl>
      <w:tblPr>
        <w:tblStyle w:val="TableGrid"/>
        <w:tblW w:w="0" w:type="auto"/>
        <w:tblLook w:val="04A0" w:firstRow="1" w:lastRow="0" w:firstColumn="1" w:lastColumn="0" w:noHBand="0" w:noVBand="1"/>
      </w:tblPr>
      <w:tblGrid>
        <w:gridCol w:w="7051"/>
        <w:gridCol w:w="7367"/>
      </w:tblGrid>
      <w:tr w:rsidR="0061283C" w:rsidRPr="006F7A0B" w14:paraId="3D51A70E" w14:textId="77777777" w:rsidTr="004542E6">
        <w:tc>
          <w:tcPr>
            <w:tcW w:w="7054" w:type="dxa"/>
            <w:shd w:val="clear" w:color="auto" w:fill="D9D9D9" w:themeFill="background1" w:themeFillShade="D9"/>
          </w:tcPr>
          <w:p w14:paraId="19198776" w14:textId="2BBC725D" w:rsidR="0061283C" w:rsidRPr="006F7A0B" w:rsidRDefault="0061283C" w:rsidP="00A6030B">
            <w:pPr>
              <w:spacing w:before="120"/>
              <w:rPr>
                <w:rFonts w:ascii="Times New Roman" w:hAnsi="Times New Roman" w:cs="Times New Roman"/>
                <w:b/>
                <w:sz w:val="24"/>
                <w:szCs w:val="24"/>
              </w:rPr>
            </w:pPr>
            <w:r w:rsidRPr="006F7A0B">
              <w:rPr>
                <w:rFonts w:ascii="Times New Roman" w:hAnsi="Times New Roman" w:cs="Times New Roman"/>
                <w:b/>
                <w:sz w:val="24"/>
                <w:szCs w:val="24"/>
              </w:rPr>
              <w:t>Фонд</w:t>
            </w:r>
          </w:p>
        </w:tc>
        <w:tc>
          <w:tcPr>
            <w:tcW w:w="7371" w:type="dxa"/>
          </w:tcPr>
          <w:p w14:paraId="036E6627" w14:textId="4D746852" w:rsidR="0061283C" w:rsidRPr="006F7A0B" w:rsidRDefault="0061283C" w:rsidP="00DD4621">
            <w:pPr>
              <w:spacing w:before="120"/>
              <w:rPr>
                <w:rFonts w:ascii="Times New Roman" w:hAnsi="Times New Roman" w:cs="Times New Roman"/>
                <w:b/>
                <w:sz w:val="24"/>
                <w:szCs w:val="24"/>
              </w:rPr>
            </w:pPr>
            <w:r w:rsidRPr="006F7A0B">
              <w:rPr>
                <w:rFonts w:ascii="Times New Roman" w:hAnsi="Times New Roman" w:cs="Times New Roman"/>
                <w:b/>
                <w:sz w:val="24"/>
                <w:szCs w:val="24"/>
              </w:rPr>
              <w:t>Е</w:t>
            </w:r>
            <w:r w:rsidR="00DD4621" w:rsidRPr="006F7A0B">
              <w:rPr>
                <w:rFonts w:ascii="Times New Roman" w:hAnsi="Times New Roman" w:cs="Times New Roman"/>
                <w:b/>
                <w:sz w:val="24"/>
                <w:szCs w:val="24"/>
              </w:rPr>
              <w:t>ЗФРСР</w:t>
            </w:r>
          </w:p>
        </w:tc>
      </w:tr>
      <w:tr w:rsidR="0061283C" w:rsidRPr="006F7A0B" w14:paraId="7629381E" w14:textId="77777777" w:rsidTr="004542E6">
        <w:tc>
          <w:tcPr>
            <w:tcW w:w="7054" w:type="dxa"/>
            <w:shd w:val="clear" w:color="auto" w:fill="D9D9D9" w:themeFill="background1" w:themeFillShade="D9"/>
          </w:tcPr>
          <w:p w14:paraId="0082A978" w14:textId="63CE18A1" w:rsidR="0061283C" w:rsidRPr="006F7A0B" w:rsidRDefault="0061283C" w:rsidP="00A6030B">
            <w:pPr>
              <w:spacing w:before="120"/>
              <w:rPr>
                <w:rFonts w:ascii="Times New Roman" w:hAnsi="Times New Roman" w:cs="Times New Roman"/>
                <w:b/>
                <w:sz w:val="24"/>
                <w:szCs w:val="24"/>
              </w:rPr>
            </w:pPr>
            <w:r w:rsidRPr="006F7A0B">
              <w:rPr>
                <w:rFonts w:ascii="Times New Roman" w:hAnsi="Times New Roman" w:cs="Times New Roman"/>
                <w:b/>
                <w:sz w:val="24"/>
                <w:szCs w:val="24"/>
              </w:rPr>
              <w:t>Вид интервенция</w:t>
            </w:r>
          </w:p>
        </w:tc>
        <w:tc>
          <w:tcPr>
            <w:tcW w:w="7371" w:type="dxa"/>
          </w:tcPr>
          <w:p w14:paraId="2FAC0ADB" w14:textId="0B61BF68" w:rsidR="00AA342A" w:rsidRPr="006F7A0B" w:rsidRDefault="00AA342A" w:rsidP="00AA342A">
            <w:pPr>
              <w:spacing w:before="120"/>
              <w:jc w:val="both"/>
              <w:rPr>
                <w:rFonts w:ascii="Times New Roman" w:hAnsi="Times New Roman" w:cs="Times New Roman"/>
                <w:bCs/>
                <w:sz w:val="24"/>
                <w:szCs w:val="24"/>
              </w:rPr>
            </w:pPr>
            <w:r w:rsidRPr="006F7A0B">
              <w:rPr>
                <w:rFonts w:ascii="Times New Roman" w:hAnsi="Times New Roman" w:cs="Times New Roman"/>
                <w:bCs/>
                <w:sz w:val="24"/>
                <w:szCs w:val="24"/>
              </w:rPr>
              <w:t>Задължения в областта на околната среда и климата и други задължения в областта на управлението - чл. 70</w:t>
            </w:r>
          </w:p>
        </w:tc>
      </w:tr>
      <w:tr w:rsidR="00056FB5" w:rsidRPr="006F7A0B" w14:paraId="46F50E4D" w14:textId="77777777" w:rsidTr="004542E6">
        <w:tc>
          <w:tcPr>
            <w:tcW w:w="7054" w:type="dxa"/>
            <w:shd w:val="clear" w:color="auto" w:fill="D9D9D9" w:themeFill="background1" w:themeFillShade="D9"/>
          </w:tcPr>
          <w:p w14:paraId="6FDB7DA9" w14:textId="6DB04E78" w:rsidR="00056FB5" w:rsidRPr="006F7A0B" w:rsidRDefault="00056FB5" w:rsidP="00A6030B">
            <w:pPr>
              <w:spacing w:before="120"/>
              <w:rPr>
                <w:rFonts w:ascii="Times New Roman" w:hAnsi="Times New Roman" w:cs="Times New Roman"/>
                <w:b/>
                <w:sz w:val="24"/>
                <w:szCs w:val="24"/>
              </w:rPr>
            </w:pPr>
            <w:r w:rsidRPr="006F7A0B">
              <w:rPr>
                <w:rFonts w:ascii="Times New Roman" w:hAnsi="Times New Roman" w:cs="Times New Roman"/>
                <w:b/>
                <w:sz w:val="24"/>
                <w:szCs w:val="24"/>
              </w:rPr>
              <w:t>Индикатор за продукт</w:t>
            </w:r>
          </w:p>
        </w:tc>
        <w:tc>
          <w:tcPr>
            <w:tcW w:w="7371" w:type="dxa"/>
          </w:tcPr>
          <w:p w14:paraId="5270A84A" w14:textId="7D7EF95B" w:rsidR="00056FB5" w:rsidRPr="006F7A0B" w:rsidRDefault="00EC1DF1" w:rsidP="004C3DB0">
            <w:pPr>
              <w:spacing w:before="120"/>
              <w:jc w:val="both"/>
              <w:rPr>
                <w:rFonts w:ascii="Times New Roman" w:hAnsi="Times New Roman" w:cs="Times New Roman"/>
                <w:bCs/>
                <w:sz w:val="24"/>
                <w:szCs w:val="24"/>
              </w:rPr>
            </w:pPr>
            <w:r w:rsidRPr="006F7A0B">
              <w:rPr>
                <w:rFonts w:ascii="Times New Roman" w:hAnsi="Times New Roman" w:cs="Times New Roman"/>
                <w:b/>
                <w:bCs/>
                <w:sz w:val="24"/>
                <w:szCs w:val="24"/>
              </w:rPr>
              <w:t>О.19</w:t>
            </w:r>
            <w:r w:rsidR="00A1156E" w:rsidRPr="006F7A0B">
              <w:rPr>
                <w:rFonts w:ascii="Times New Roman" w:hAnsi="Times New Roman" w:cs="Times New Roman"/>
                <w:bCs/>
                <w:sz w:val="24"/>
                <w:szCs w:val="24"/>
              </w:rPr>
              <w:t xml:space="preserve"> </w:t>
            </w:r>
            <w:r w:rsidR="003E076E" w:rsidRPr="006F7A0B">
              <w:rPr>
                <w:rFonts w:ascii="Times New Roman" w:hAnsi="Times New Roman" w:cs="Times New Roman"/>
                <w:bCs/>
                <w:sz w:val="24"/>
                <w:szCs w:val="24"/>
              </w:rPr>
              <w:t>Брой операции или единици, поддържащи генетични ресурси</w:t>
            </w:r>
          </w:p>
        </w:tc>
      </w:tr>
      <w:tr w:rsidR="0061283C" w:rsidRPr="006F7A0B" w14:paraId="73166328" w14:textId="77777777" w:rsidTr="004542E6">
        <w:tc>
          <w:tcPr>
            <w:tcW w:w="7054" w:type="dxa"/>
            <w:shd w:val="clear" w:color="auto" w:fill="D9D9D9" w:themeFill="background1" w:themeFillShade="D9"/>
          </w:tcPr>
          <w:p w14:paraId="265AC3F5" w14:textId="20D02BEA" w:rsidR="0061283C" w:rsidRPr="006F7A0B" w:rsidRDefault="0061283C" w:rsidP="00A6030B">
            <w:pPr>
              <w:spacing w:before="120"/>
              <w:rPr>
                <w:rFonts w:ascii="Times New Roman" w:hAnsi="Times New Roman" w:cs="Times New Roman"/>
                <w:b/>
                <w:sz w:val="24"/>
                <w:szCs w:val="24"/>
              </w:rPr>
            </w:pPr>
            <w:r w:rsidRPr="006F7A0B">
              <w:rPr>
                <w:rFonts w:ascii="Times New Roman" w:hAnsi="Times New Roman" w:cs="Times New Roman"/>
                <w:b/>
                <w:bCs/>
                <w:sz w:val="24"/>
                <w:szCs w:val="24"/>
              </w:rPr>
              <w:t>Териториален обхват</w:t>
            </w:r>
          </w:p>
        </w:tc>
        <w:tc>
          <w:tcPr>
            <w:tcW w:w="7371" w:type="dxa"/>
          </w:tcPr>
          <w:p w14:paraId="031C6334" w14:textId="44CCD18A" w:rsidR="0061283C" w:rsidRPr="006F7A0B" w:rsidRDefault="00FE4135" w:rsidP="00C17BDA">
            <w:pPr>
              <w:spacing w:before="120"/>
              <w:jc w:val="both"/>
              <w:rPr>
                <w:rFonts w:ascii="Times New Roman" w:hAnsi="Times New Roman" w:cs="Times New Roman"/>
                <w:b/>
                <w:sz w:val="24"/>
                <w:szCs w:val="24"/>
              </w:rPr>
            </w:pPr>
            <w:r w:rsidRPr="006F7A0B">
              <w:rPr>
                <w:rFonts w:ascii="Times New Roman" w:hAnsi="Times New Roman" w:cs="Times New Roman"/>
                <w:b/>
                <w:sz w:val="24"/>
                <w:szCs w:val="24"/>
              </w:rPr>
              <w:t>Н</w:t>
            </w:r>
            <w:r w:rsidR="0061283C" w:rsidRPr="006F7A0B">
              <w:rPr>
                <w:rFonts w:ascii="Times New Roman" w:hAnsi="Times New Roman" w:cs="Times New Roman"/>
                <w:b/>
                <w:sz w:val="24"/>
                <w:szCs w:val="24"/>
              </w:rPr>
              <w:t>ационален</w:t>
            </w:r>
          </w:p>
        </w:tc>
      </w:tr>
      <w:tr w:rsidR="0061283C" w:rsidRPr="006F7A0B" w14:paraId="27CB4D76" w14:textId="77777777" w:rsidTr="004542E6">
        <w:tc>
          <w:tcPr>
            <w:tcW w:w="7054" w:type="dxa"/>
            <w:shd w:val="clear" w:color="auto" w:fill="D9D9D9" w:themeFill="background1" w:themeFillShade="D9"/>
          </w:tcPr>
          <w:p w14:paraId="3CE6E840" w14:textId="395BA929" w:rsidR="0061283C" w:rsidRPr="006F7A0B" w:rsidRDefault="0061283C" w:rsidP="00A6030B">
            <w:pPr>
              <w:spacing w:before="120"/>
              <w:rPr>
                <w:rFonts w:ascii="Times New Roman" w:hAnsi="Times New Roman" w:cs="Times New Roman"/>
                <w:b/>
                <w:sz w:val="24"/>
                <w:szCs w:val="24"/>
              </w:rPr>
            </w:pPr>
            <w:r w:rsidRPr="006F7A0B">
              <w:rPr>
                <w:rFonts w:ascii="Times New Roman" w:hAnsi="Times New Roman" w:cs="Times New Roman"/>
                <w:b/>
                <w:bCs/>
                <w:sz w:val="24"/>
                <w:szCs w:val="24"/>
              </w:rPr>
              <w:t>Специфична/секторна цел, за която допринася</w:t>
            </w:r>
          </w:p>
        </w:tc>
        <w:tc>
          <w:tcPr>
            <w:tcW w:w="7371" w:type="dxa"/>
          </w:tcPr>
          <w:p w14:paraId="07C62C17" w14:textId="77777777" w:rsidR="004C3DB0" w:rsidRPr="006F7A0B" w:rsidRDefault="004C3DB0" w:rsidP="004C3DB0">
            <w:pPr>
              <w:spacing w:before="120"/>
              <w:jc w:val="both"/>
              <w:rPr>
                <w:rFonts w:ascii="Times New Roman" w:eastAsia="Calibri" w:hAnsi="Times New Roman" w:cs="Times New Roman"/>
                <w:bCs/>
              </w:rPr>
            </w:pPr>
            <w:r w:rsidRPr="006F7A0B">
              <w:rPr>
                <w:rFonts w:ascii="Times New Roman" w:hAnsi="Times New Roman" w:cs="Times New Roman"/>
                <w:b/>
                <w:sz w:val="24"/>
                <w:szCs w:val="24"/>
              </w:rPr>
              <w:t xml:space="preserve">Специфична цел </w:t>
            </w:r>
            <w:r w:rsidRPr="006F7A0B">
              <w:rPr>
                <w:rFonts w:ascii="Times New Roman" w:eastAsia="Calibri" w:hAnsi="Times New Roman" w:cs="Times New Roman"/>
                <w:b/>
              </w:rPr>
              <w:t xml:space="preserve">5: </w:t>
            </w:r>
            <w:r w:rsidRPr="006F7A0B">
              <w:rPr>
                <w:rFonts w:ascii="Times New Roman" w:hAnsi="Times New Roman" w:cs="Times New Roman"/>
                <w:sz w:val="24"/>
                <w:szCs w:val="24"/>
              </w:rPr>
              <w:t>Насърчаване на устойчиво развитие и ефективно управление на природните ресурси като вода, почва и въздух</w:t>
            </w:r>
          </w:p>
          <w:p w14:paraId="0168AD41" w14:textId="5D5C372F" w:rsidR="009F3E27" w:rsidRPr="006F7A0B" w:rsidRDefault="009A71F2" w:rsidP="009B22F6">
            <w:pPr>
              <w:spacing w:before="120"/>
              <w:jc w:val="both"/>
              <w:rPr>
                <w:rFonts w:ascii="Times New Roman" w:hAnsi="Times New Roman" w:cs="Times New Roman"/>
                <w:i/>
                <w:iCs/>
                <w:sz w:val="24"/>
                <w:szCs w:val="24"/>
                <w:highlight w:val="yellow"/>
              </w:rPr>
            </w:pPr>
            <w:r w:rsidRPr="006F7A0B">
              <w:rPr>
                <w:rFonts w:ascii="Times New Roman" w:hAnsi="Times New Roman" w:cs="Times New Roman"/>
                <w:b/>
                <w:sz w:val="24"/>
                <w:szCs w:val="24"/>
              </w:rPr>
              <w:t>Специфична цел 6</w:t>
            </w:r>
            <w:r w:rsidRPr="006F7A0B">
              <w:rPr>
                <w:rFonts w:ascii="Times New Roman" w:hAnsi="Times New Roman" w:cs="Times New Roman"/>
                <w:sz w:val="24"/>
                <w:szCs w:val="24"/>
              </w:rPr>
              <w:t xml:space="preserve">: Допринасяне за </w:t>
            </w:r>
            <w:r w:rsidR="009F3E27" w:rsidRPr="006F7A0B">
              <w:rPr>
                <w:rFonts w:ascii="Times New Roman" w:hAnsi="Times New Roman" w:cs="Times New Roman"/>
                <w:sz w:val="24"/>
                <w:szCs w:val="24"/>
              </w:rPr>
              <w:t>спиране и възстановяване на загубата на</w:t>
            </w:r>
            <w:r w:rsidRPr="006F7A0B">
              <w:rPr>
                <w:rFonts w:ascii="Times New Roman" w:hAnsi="Times New Roman" w:cs="Times New Roman"/>
                <w:sz w:val="24"/>
                <w:szCs w:val="24"/>
              </w:rPr>
              <w:t xml:space="preserve"> биологичното разнообразие, подобряване на екосистемните услуги и опазване на местообитанията и ландшафта</w:t>
            </w:r>
            <w:r w:rsidR="009F3E27" w:rsidRPr="006F7A0B">
              <w:t xml:space="preserve"> </w:t>
            </w:r>
          </w:p>
        </w:tc>
      </w:tr>
      <w:tr w:rsidR="0061283C" w:rsidRPr="006F7A0B" w14:paraId="2A1FFB49" w14:textId="77777777" w:rsidTr="004542E6">
        <w:tc>
          <w:tcPr>
            <w:tcW w:w="7054" w:type="dxa"/>
            <w:shd w:val="clear" w:color="auto" w:fill="D9D9D9" w:themeFill="background1" w:themeFillShade="D9"/>
          </w:tcPr>
          <w:p w14:paraId="3D678036" w14:textId="3A0AC5C0" w:rsidR="0061283C" w:rsidRPr="006F7A0B" w:rsidRDefault="0061283C" w:rsidP="008044E0">
            <w:pPr>
              <w:spacing w:before="120"/>
              <w:jc w:val="both"/>
              <w:rPr>
                <w:rFonts w:ascii="Times New Roman" w:hAnsi="Times New Roman" w:cs="Times New Roman"/>
                <w:b/>
                <w:sz w:val="24"/>
                <w:szCs w:val="24"/>
                <w:lang w:eastAsia="bg-BG" w:bidi="bg-BG"/>
              </w:rPr>
            </w:pPr>
            <w:r w:rsidRPr="006F7A0B">
              <w:rPr>
                <w:rFonts w:ascii="Times New Roman" w:hAnsi="Times New Roman" w:cs="Times New Roman"/>
                <w:b/>
                <w:sz w:val="24"/>
                <w:szCs w:val="24"/>
                <w:lang w:eastAsia="bg-BG" w:bidi="bg-BG"/>
              </w:rPr>
              <w:t>Индикатори за резултат</w:t>
            </w:r>
          </w:p>
        </w:tc>
        <w:tc>
          <w:tcPr>
            <w:tcW w:w="7371" w:type="dxa"/>
          </w:tcPr>
          <w:p w14:paraId="46AE5C83" w14:textId="67CBF35B" w:rsidR="007A4D8D" w:rsidRPr="00C017B4" w:rsidRDefault="00C17BDA" w:rsidP="008044E0">
            <w:pPr>
              <w:spacing w:before="120"/>
              <w:jc w:val="both"/>
              <w:rPr>
                <w:rFonts w:ascii="Times New Roman" w:hAnsi="Times New Roman" w:cs="Times New Roman"/>
                <w:b/>
                <w:sz w:val="24"/>
                <w:szCs w:val="24"/>
                <w:lang w:eastAsia="bg-BG" w:bidi="bg-BG"/>
              </w:rPr>
            </w:pPr>
            <w:r w:rsidRPr="00C017B4">
              <w:rPr>
                <w:rFonts w:ascii="Times New Roman" w:hAnsi="Times New Roman" w:cs="Times New Roman"/>
                <w:b/>
                <w:sz w:val="24"/>
                <w:szCs w:val="24"/>
                <w:lang w:eastAsia="bg-BG" w:bidi="bg-BG"/>
              </w:rPr>
              <w:t xml:space="preserve">R.12 </w:t>
            </w:r>
            <w:r w:rsidRPr="00C017B4">
              <w:rPr>
                <w:rFonts w:ascii="Times New Roman" w:hAnsi="Times New Roman" w:cs="Times New Roman"/>
                <w:sz w:val="24"/>
                <w:szCs w:val="24"/>
                <w:lang w:eastAsia="bg-BG" w:bidi="bg-BG"/>
              </w:rPr>
              <w:t>Адаптиране към изменението на климата: Дял на използваната земеделска площ по подкрепени ангажименти за подобряване на адаптацията към климата</w:t>
            </w:r>
          </w:p>
        </w:tc>
      </w:tr>
      <w:tr w:rsidR="0061283C" w:rsidRPr="006F7A0B" w14:paraId="401EFB0C" w14:textId="77777777" w:rsidTr="004542E6">
        <w:tc>
          <w:tcPr>
            <w:tcW w:w="7054" w:type="dxa"/>
            <w:shd w:val="clear" w:color="auto" w:fill="D9D9D9" w:themeFill="background1" w:themeFillShade="D9"/>
          </w:tcPr>
          <w:p w14:paraId="03D27EC9" w14:textId="70DE140B" w:rsidR="0061283C" w:rsidRPr="006F7A0B" w:rsidRDefault="0061283C" w:rsidP="00A6030B">
            <w:pPr>
              <w:spacing w:before="120"/>
              <w:rPr>
                <w:rFonts w:ascii="Times New Roman" w:hAnsi="Times New Roman" w:cs="Times New Roman"/>
                <w:b/>
                <w:bCs/>
                <w:sz w:val="24"/>
                <w:szCs w:val="24"/>
              </w:rPr>
            </w:pPr>
            <w:r w:rsidRPr="006F7A0B">
              <w:rPr>
                <w:rFonts w:ascii="Times New Roman" w:hAnsi="Times New Roman" w:cs="Times New Roman"/>
                <w:b/>
                <w:bCs/>
                <w:sz w:val="24"/>
                <w:szCs w:val="24"/>
              </w:rPr>
              <w:t>Допустими бенефициенти</w:t>
            </w:r>
          </w:p>
        </w:tc>
        <w:tc>
          <w:tcPr>
            <w:tcW w:w="7371" w:type="dxa"/>
          </w:tcPr>
          <w:p w14:paraId="521A4925" w14:textId="35C3D5AD" w:rsidR="002C30B5" w:rsidRPr="006F7A0B" w:rsidRDefault="00C12CEC" w:rsidP="009B22F6">
            <w:pPr>
              <w:spacing w:before="120"/>
              <w:jc w:val="both"/>
              <w:rPr>
                <w:rFonts w:ascii="Times New Roman" w:hAnsi="Times New Roman" w:cs="Times New Roman"/>
                <w:sz w:val="24"/>
                <w:szCs w:val="24"/>
              </w:rPr>
            </w:pPr>
            <w:r w:rsidRPr="006F7A0B">
              <w:rPr>
                <w:rFonts w:ascii="Times New Roman" w:hAnsi="Times New Roman" w:cs="Times New Roman"/>
                <w:sz w:val="24"/>
                <w:szCs w:val="24"/>
              </w:rPr>
              <w:t>Земеделски стопани, които отговарят на изискванията за „</w:t>
            </w:r>
            <w:r w:rsidR="00192F4A" w:rsidRPr="006F7A0B">
              <w:rPr>
                <w:rFonts w:ascii="Times New Roman" w:hAnsi="Times New Roman" w:cs="Times New Roman"/>
                <w:sz w:val="24"/>
                <w:szCs w:val="24"/>
              </w:rPr>
              <w:t>активни</w:t>
            </w:r>
            <w:r w:rsidRPr="006F7A0B">
              <w:rPr>
                <w:rFonts w:ascii="Times New Roman" w:hAnsi="Times New Roman" w:cs="Times New Roman"/>
                <w:sz w:val="24"/>
                <w:szCs w:val="24"/>
              </w:rPr>
              <w:t xml:space="preserve"> земеделски стопани“</w:t>
            </w:r>
            <w:r w:rsidR="00192F4A" w:rsidRPr="006F7A0B">
              <w:rPr>
                <w:rFonts w:ascii="Times New Roman" w:hAnsi="Times New Roman" w:cs="Times New Roman"/>
                <w:sz w:val="24"/>
                <w:szCs w:val="24"/>
              </w:rPr>
              <w:t>.</w:t>
            </w:r>
          </w:p>
          <w:p w14:paraId="34E90CA3" w14:textId="77777777" w:rsidR="001F080B" w:rsidRPr="006F7A0B" w:rsidRDefault="001F080B" w:rsidP="009B22F6">
            <w:pPr>
              <w:spacing w:before="120"/>
              <w:jc w:val="both"/>
              <w:rPr>
                <w:rFonts w:ascii="Times New Roman" w:hAnsi="Times New Roman" w:cs="Times New Roman"/>
                <w:sz w:val="24"/>
                <w:szCs w:val="24"/>
              </w:rPr>
            </w:pPr>
            <w:r w:rsidRPr="006F7A0B">
              <w:rPr>
                <w:rFonts w:ascii="Times New Roman" w:hAnsi="Times New Roman" w:cs="Times New Roman"/>
                <w:sz w:val="24"/>
                <w:szCs w:val="24"/>
              </w:rPr>
              <w:t>Земеделски стопани, които са регистрирани в ИСАК.</w:t>
            </w:r>
          </w:p>
          <w:p w14:paraId="3D56A5AF" w14:textId="6AB08687" w:rsidR="002C30B5" w:rsidRPr="006F7A0B" w:rsidRDefault="002C30B5" w:rsidP="009B22F6">
            <w:pPr>
              <w:spacing w:before="120"/>
              <w:jc w:val="both"/>
              <w:rPr>
                <w:rFonts w:ascii="Times New Roman" w:hAnsi="Times New Roman" w:cs="Times New Roman"/>
                <w:sz w:val="24"/>
                <w:szCs w:val="24"/>
                <w:highlight w:val="yellow"/>
              </w:rPr>
            </w:pPr>
            <w:r w:rsidRPr="006F7A0B">
              <w:rPr>
                <w:rFonts w:ascii="Times New Roman" w:hAnsi="Times New Roman" w:cs="Times New Roman"/>
                <w:sz w:val="24"/>
                <w:szCs w:val="24"/>
              </w:rPr>
              <w:t>Научни и образователни организации, които да кандидатстват с цел поддържане на Научния национален генофонд;</w:t>
            </w:r>
          </w:p>
        </w:tc>
      </w:tr>
      <w:tr w:rsidR="0061283C" w:rsidRPr="006F7A0B" w14:paraId="7253CA9A" w14:textId="77777777" w:rsidTr="004542E6">
        <w:tc>
          <w:tcPr>
            <w:tcW w:w="7054" w:type="dxa"/>
            <w:shd w:val="clear" w:color="auto" w:fill="D9D9D9" w:themeFill="background1" w:themeFillShade="D9"/>
          </w:tcPr>
          <w:p w14:paraId="197BB74E" w14:textId="187F9764" w:rsidR="0061283C" w:rsidRPr="006F7A0B" w:rsidRDefault="0046355B" w:rsidP="00A6030B">
            <w:pPr>
              <w:autoSpaceDE w:val="0"/>
              <w:autoSpaceDN w:val="0"/>
              <w:adjustRightInd w:val="0"/>
              <w:spacing w:before="120"/>
              <w:jc w:val="both"/>
              <w:rPr>
                <w:rFonts w:ascii="Times New Roman" w:hAnsi="Times New Roman" w:cs="Times New Roman"/>
                <w:b/>
                <w:sz w:val="24"/>
                <w:szCs w:val="24"/>
              </w:rPr>
            </w:pPr>
            <w:r w:rsidRPr="006F7A0B">
              <w:rPr>
                <w:rFonts w:ascii="Times New Roman" w:hAnsi="Times New Roman" w:cs="Times New Roman"/>
                <w:b/>
                <w:sz w:val="24"/>
                <w:szCs w:val="24"/>
              </w:rPr>
              <w:lastRenderedPageBreak/>
              <w:t xml:space="preserve">Описание на изискванията в интервенцията, които осигуряват ефективен принос към специфичната цел </w:t>
            </w:r>
          </w:p>
        </w:tc>
        <w:tc>
          <w:tcPr>
            <w:tcW w:w="7371" w:type="dxa"/>
          </w:tcPr>
          <w:p w14:paraId="7692DD1C" w14:textId="6A087BAD" w:rsidR="001A243C" w:rsidRPr="006F7A0B" w:rsidRDefault="00791BB0" w:rsidP="008044E0">
            <w:pPr>
              <w:spacing w:before="120"/>
              <w:jc w:val="both"/>
              <w:rPr>
                <w:rFonts w:ascii="Times New Roman" w:hAnsi="Times New Roman" w:cs="Times New Roman"/>
                <w:color w:val="000000" w:themeColor="text1"/>
                <w:sz w:val="24"/>
                <w:szCs w:val="24"/>
              </w:rPr>
            </w:pPr>
            <w:r w:rsidRPr="006F7A0B">
              <w:rPr>
                <w:rFonts w:ascii="Times New Roman" w:hAnsi="Times New Roman" w:cs="Times New Roman"/>
                <w:color w:val="000000" w:themeColor="text1"/>
                <w:sz w:val="24"/>
                <w:szCs w:val="24"/>
              </w:rPr>
              <w:t xml:space="preserve">Основната цел на </w:t>
            </w:r>
            <w:r w:rsidR="00E12234" w:rsidRPr="006F7A0B">
              <w:rPr>
                <w:rFonts w:ascii="Times New Roman" w:hAnsi="Times New Roman" w:cs="Times New Roman"/>
                <w:color w:val="000000" w:themeColor="text1"/>
                <w:sz w:val="24"/>
                <w:szCs w:val="24"/>
              </w:rPr>
              <w:t>мярката</w:t>
            </w:r>
            <w:r w:rsidRPr="006F7A0B">
              <w:rPr>
                <w:rFonts w:ascii="Times New Roman" w:hAnsi="Times New Roman" w:cs="Times New Roman"/>
                <w:color w:val="000000" w:themeColor="text1"/>
                <w:sz w:val="24"/>
                <w:szCs w:val="24"/>
              </w:rPr>
              <w:t xml:space="preserve"> е да се увеличи отглеждането застрашените от изч</w:t>
            </w:r>
            <w:r w:rsidR="00C17BDA" w:rsidRPr="006F7A0B">
              <w:rPr>
                <w:rFonts w:ascii="Times New Roman" w:hAnsi="Times New Roman" w:cs="Times New Roman"/>
                <w:color w:val="000000" w:themeColor="text1"/>
                <w:sz w:val="24"/>
                <w:szCs w:val="24"/>
              </w:rPr>
              <w:t>езване местни сортове растения.</w:t>
            </w:r>
          </w:p>
          <w:p w14:paraId="076C4625" w14:textId="638FB94D" w:rsidR="000D2409" w:rsidRPr="006F7A0B" w:rsidRDefault="000D2409" w:rsidP="009B22F6">
            <w:pPr>
              <w:spacing w:before="120"/>
              <w:jc w:val="both"/>
              <w:rPr>
                <w:rFonts w:ascii="Times New Roman" w:hAnsi="Times New Roman" w:cs="Times New Roman"/>
                <w:color w:val="000000" w:themeColor="text1"/>
                <w:sz w:val="24"/>
                <w:szCs w:val="24"/>
              </w:rPr>
            </w:pPr>
            <w:r w:rsidRPr="006F7A0B">
              <w:rPr>
                <w:rFonts w:ascii="Times New Roman" w:hAnsi="Times New Roman" w:cs="Times New Roman"/>
                <w:color w:val="000000" w:themeColor="text1"/>
                <w:sz w:val="24"/>
                <w:szCs w:val="24"/>
              </w:rPr>
              <w:t>Ангажимента по управляването главно е свързан с инициативи в областт</w:t>
            </w:r>
            <w:r w:rsidR="00596FE3" w:rsidRPr="006F7A0B">
              <w:rPr>
                <w:rFonts w:ascii="Times New Roman" w:hAnsi="Times New Roman" w:cs="Times New Roman"/>
                <w:color w:val="000000" w:themeColor="text1"/>
                <w:sz w:val="24"/>
                <w:szCs w:val="24"/>
              </w:rPr>
              <w:t xml:space="preserve">а </w:t>
            </w:r>
            <w:r w:rsidR="00B56030" w:rsidRPr="006F7A0B">
              <w:rPr>
                <w:rFonts w:ascii="Times New Roman" w:hAnsi="Times New Roman" w:cs="Times New Roman"/>
                <w:color w:val="000000" w:themeColor="text1"/>
                <w:sz w:val="24"/>
                <w:szCs w:val="24"/>
              </w:rPr>
              <w:t>на околната среда и климата</w:t>
            </w:r>
            <w:r w:rsidR="00BB00A8" w:rsidRPr="006F7A0B">
              <w:rPr>
                <w:rFonts w:ascii="Times New Roman" w:hAnsi="Times New Roman" w:cs="Times New Roman"/>
                <w:color w:val="000000" w:themeColor="text1"/>
                <w:sz w:val="24"/>
                <w:szCs w:val="24"/>
              </w:rPr>
              <w:t xml:space="preserve"> и биоразнообразието</w:t>
            </w:r>
            <w:r w:rsidR="00B56030" w:rsidRPr="006F7A0B">
              <w:rPr>
                <w:rFonts w:ascii="Times New Roman" w:hAnsi="Times New Roman" w:cs="Times New Roman"/>
                <w:color w:val="000000" w:themeColor="text1"/>
                <w:sz w:val="24"/>
                <w:szCs w:val="24"/>
              </w:rPr>
              <w:t>, и по – конкретно:</w:t>
            </w:r>
          </w:p>
          <w:p w14:paraId="36F44B86" w14:textId="024BB1BC" w:rsidR="006C3CE2" w:rsidRPr="006F7A0B" w:rsidRDefault="006C3CE2" w:rsidP="00E755E6">
            <w:pPr>
              <w:pStyle w:val="ListParagraph"/>
              <w:numPr>
                <w:ilvl w:val="0"/>
                <w:numId w:val="24"/>
              </w:numPr>
              <w:spacing w:before="120"/>
              <w:contextualSpacing w:val="0"/>
              <w:jc w:val="both"/>
              <w:rPr>
                <w:rFonts w:ascii="Times New Roman" w:hAnsi="Times New Roman" w:cs="Times New Roman"/>
                <w:color w:val="000000" w:themeColor="text1"/>
                <w:sz w:val="24"/>
                <w:szCs w:val="24"/>
                <w:lang w:val="bg-BG"/>
              </w:rPr>
            </w:pPr>
            <w:r w:rsidRPr="006F7A0B">
              <w:rPr>
                <w:rFonts w:ascii="Times New Roman" w:hAnsi="Times New Roman" w:cs="Times New Roman"/>
                <w:color w:val="000000" w:themeColor="text1"/>
                <w:sz w:val="24"/>
                <w:szCs w:val="24"/>
                <w:lang w:val="bg-BG"/>
              </w:rPr>
              <w:t xml:space="preserve">Смекчаване на изменението на климата, </w:t>
            </w:r>
            <w:r w:rsidR="00E755E6" w:rsidRPr="006F7A0B">
              <w:rPr>
                <w:rFonts w:ascii="Times New Roman" w:hAnsi="Times New Roman" w:cs="Times New Roman"/>
                <w:color w:val="000000" w:themeColor="text1"/>
                <w:sz w:val="24"/>
                <w:szCs w:val="24"/>
                <w:lang w:val="bg-BG"/>
              </w:rPr>
              <w:t>като в</w:t>
            </w:r>
            <w:r w:rsidR="00E12234" w:rsidRPr="006F7A0B">
              <w:rPr>
                <w:rFonts w:ascii="Times New Roman" w:hAnsi="Times New Roman" w:cs="Times New Roman"/>
                <w:color w:val="000000" w:themeColor="text1"/>
                <w:sz w:val="24"/>
                <w:szCs w:val="24"/>
                <w:lang w:val="bg-BG"/>
              </w:rPr>
              <w:t xml:space="preserve"> контекста на все по-</w:t>
            </w:r>
            <w:r w:rsidR="00E755E6" w:rsidRPr="006F7A0B">
              <w:rPr>
                <w:rFonts w:ascii="Times New Roman" w:hAnsi="Times New Roman" w:cs="Times New Roman"/>
                <w:color w:val="000000" w:themeColor="text1"/>
                <w:sz w:val="24"/>
                <w:szCs w:val="24"/>
                <w:lang w:val="bg-BG"/>
              </w:rPr>
              <w:t>застрашаващите ни климати</w:t>
            </w:r>
            <w:r w:rsidR="009D39B0" w:rsidRPr="006F7A0B">
              <w:rPr>
                <w:rFonts w:ascii="Times New Roman" w:hAnsi="Times New Roman" w:cs="Times New Roman"/>
                <w:color w:val="000000" w:themeColor="text1"/>
                <w:sz w:val="24"/>
                <w:szCs w:val="24"/>
                <w:lang w:val="bg-BG"/>
              </w:rPr>
              <w:t xml:space="preserve">чни промени, тези  сортове са в пъти по – уязвими от други култури и </w:t>
            </w:r>
            <w:r w:rsidR="006F7A0B" w:rsidRPr="006F7A0B">
              <w:rPr>
                <w:rFonts w:ascii="Times New Roman" w:hAnsi="Times New Roman" w:cs="Times New Roman"/>
                <w:color w:val="000000" w:themeColor="text1"/>
                <w:sz w:val="24"/>
                <w:szCs w:val="24"/>
                <w:lang w:val="bg-BG"/>
              </w:rPr>
              <w:t>сортове</w:t>
            </w:r>
            <w:r w:rsidR="00E755E6" w:rsidRPr="006F7A0B">
              <w:rPr>
                <w:rFonts w:ascii="Times New Roman" w:hAnsi="Times New Roman" w:cs="Times New Roman"/>
                <w:color w:val="000000" w:themeColor="text1"/>
                <w:sz w:val="24"/>
                <w:szCs w:val="24"/>
                <w:lang w:val="bg-BG"/>
              </w:rPr>
              <w:t xml:space="preserve">. В тази връзка </w:t>
            </w:r>
            <w:r w:rsidR="009D39B0" w:rsidRPr="006F7A0B">
              <w:rPr>
                <w:rFonts w:ascii="Times New Roman" w:hAnsi="Times New Roman" w:cs="Times New Roman"/>
                <w:color w:val="000000" w:themeColor="text1"/>
                <w:sz w:val="24"/>
                <w:szCs w:val="24"/>
                <w:lang w:val="bg-BG"/>
              </w:rPr>
              <w:t>е от особена важност</w:t>
            </w:r>
            <w:r w:rsidR="00E755E6" w:rsidRPr="006F7A0B">
              <w:rPr>
                <w:rFonts w:ascii="Times New Roman" w:hAnsi="Times New Roman" w:cs="Times New Roman"/>
                <w:color w:val="000000" w:themeColor="text1"/>
                <w:sz w:val="24"/>
                <w:szCs w:val="24"/>
                <w:lang w:val="bg-BG"/>
              </w:rPr>
              <w:t xml:space="preserve"> отглеждането и съхранението им</w:t>
            </w:r>
            <w:r w:rsidRPr="006F7A0B">
              <w:rPr>
                <w:rFonts w:ascii="Times New Roman" w:hAnsi="Times New Roman" w:cs="Times New Roman"/>
                <w:color w:val="000000" w:themeColor="text1"/>
                <w:sz w:val="24"/>
                <w:szCs w:val="24"/>
                <w:lang w:val="bg-BG"/>
              </w:rPr>
              <w:t>;</w:t>
            </w:r>
          </w:p>
          <w:p w14:paraId="4BA266A4" w14:textId="131A70D2" w:rsidR="006C3CE2" w:rsidRPr="006F7A0B" w:rsidRDefault="006C3CE2" w:rsidP="006C3CE2">
            <w:pPr>
              <w:pStyle w:val="ListParagraph"/>
              <w:numPr>
                <w:ilvl w:val="0"/>
                <w:numId w:val="24"/>
              </w:numPr>
              <w:spacing w:before="120"/>
              <w:contextualSpacing w:val="0"/>
              <w:jc w:val="both"/>
              <w:rPr>
                <w:rFonts w:ascii="Times New Roman" w:hAnsi="Times New Roman" w:cs="Times New Roman"/>
                <w:color w:val="000000" w:themeColor="text1"/>
                <w:sz w:val="24"/>
                <w:szCs w:val="24"/>
                <w:lang w:val="bg-BG"/>
              </w:rPr>
            </w:pPr>
            <w:r w:rsidRPr="006F7A0B">
              <w:rPr>
                <w:rFonts w:ascii="Times New Roman" w:hAnsi="Times New Roman" w:cs="Times New Roman"/>
                <w:color w:val="000000" w:themeColor="text1"/>
                <w:sz w:val="24"/>
                <w:szCs w:val="24"/>
                <w:lang w:val="bg-BG"/>
              </w:rPr>
              <w:t>Опазване и подобряване на качеството на водите и намаляване на натиска върху водните ресурси;</w:t>
            </w:r>
          </w:p>
          <w:p w14:paraId="3A33DA8B" w14:textId="133355DB" w:rsidR="006C3CE2" w:rsidRPr="006F7A0B" w:rsidRDefault="006C3CE2" w:rsidP="00596FE3">
            <w:pPr>
              <w:pStyle w:val="ListParagraph"/>
              <w:numPr>
                <w:ilvl w:val="0"/>
                <w:numId w:val="24"/>
              </w:numPr>
              <w:spacing w:before="120"/>
              <w:contextualSpacing w:val="0"/>
              <w:jc w:val="both"/>
              <w:rPr>
                <w:rFonts w:ascii="Times New Roman" w:hAnsi="Times New Roman" w:cs="Times New Roman"/>
                <w:color w:val="000000" w:themeColor="text1"/>
                <w:sz w:val="24"/>
                <w:szCs w:val="24"/>
                <w:lang w:val="bg-BG"/>
              </w:rPr>
            </w:pPr>
            <w:r w:rsidRPr="006F7A0B">
              <w:rPr>
                <w:rFonts w:ascii="Times New Roman" w:hAnsi="Times New Roman" w:cs="Times New Roman"/>
                <w:color w:val="000000" w:themeColor="text1"/>
                <w:sz w:val="24"/>
                <w:szCs w:val="24"/>
                <w:lang w:val="bg-BG"/>
              </w:rPr>
              <w:t xml:space="preserve">Предотвратяване на деградацията на почвите, възстановяване на почвите, повишаване на почвеното плодородие и управление на хранителните вещества; </w:t>
            </w:r>
          </w:p>
        </w:tc>
      </w:tr>
      <w:tr w:rsidR="001D15B5" w:rsidRPr="006F7A0B" w14:paraId="739A5782" w14:textId="77777777" w:rsidTr="004542E6">
        <w:tc>
          <w:tcPr>
            <w:tcW w:w="7054" w:type="dxa"/>
            <w:shd w:val="clear" w:color="auto" w:fill="D9D9D9" w:themeFill="background1" w:themeFillShade="D9"/>
          </w:tcPr>
          <w:p w14:paraId="4503C11D" w14:textId="3D7198C2" w:rsidR="001D15B5" w:rsidRPr="006F7A0B" w:rsidRDefault="001D15B5" w:rsidP="00A6030B">
            <w:pPr>
              <w:spacing w:before="120"/>
              <w:jc w:val="both"/>
              <w:rPr>
                <w:rFonts w:ascii="Times New Roman" w:hAnsi="Times New Roman" w:cs="Times New Roman"/>
                <w:b/>
                <w:sz w:val="24"/>
                <w:szCs w:val="24"/>
              </w:rPr>
            </w:pPr>
            <w:r w:rsidRPr="006F7A0B">
              <w:rPr>
                <w:rFonts w:ascii="Times New Roman" w:hAnsi="Times New Roman" w:cs="Times New Roman"/>
                <w:b/>
                <w:sz w:val="24"/>
                <w:szCs w:val="24"/>
              </w:rPr>
              <w:t>Съответствие с изискванията на СТО</w:t>
            </w:r>
          </w:p>
        </w:tc>
        <w:tc>
          <w:tcPr>
            <w:tcW w:w="7371" w:type="dxa"/>
          </w:tcPr>
          <w:p w14:paraId="3C1458AA" w14:textId="53BB1EF2" w:rsidR="00CA0D04" w:rsidRPr="006F7A0B" w:rsidRDefault="00572C83" w:rsidP="009B22F6">
            <w:pPr>
              <w:spacing w:before="120"/>
              <w:jc w:val="both"/>
              <w:rPr>
                <w:rFonts w:ascii="Times New Roman" w:hAnsi="Times New Roman" w:cs="Times New Roman"/>
                <w:sz w:val="24"/>
                <w:szCs w:val="24"/>
              </w:rPr>
            </w:pPr>
            <w:r w:rsidRPr="006F7A0B">
              <w:rPr>
                <w:rFonts w:ascii="Times New Roman" w:hAnsi="Times New Roman" w:cs="Times New Roman"/>
                <w:color w:val="000000" w:themeColor="text1"/>
                <w:sz w:val="24"/>
                <w:szCs w:val="24"/>
              </w:rPr>
              <w:t xml:space="preserve">Интервенцията отговаря на критериите на параграф </w:t>
            </w:r>
            <w:r w:rsidR="00E55A2F" w:rsidRPr="006F7A0B">
              <w:rPr>
                <w:rFonts w:ascii="Times New Roman" w:hAnsi="Times New Roman" w:cs="Times New Roman"/>
                <w:color w:val="000000" w:themeColor="text1"/>
                <w:sz w:val="24"/>
                <w:szCs w:val="24"/>
              </w:rPr>
              <w:t>12</w:t>
            </w:r>
            <w:r w:rsidRPr="006F7A0B">
              <w:rPr>
                <w:rFonts w:ascii="Times New Roman" w:hAnsi="Times New Roman" w:cs="Times New Roman"/>
                <w:color w:val="000000" w:themeColor="text1"/>
                <w:sz w:val="24"/>
                <w:szCs w:val="24"/>
              </w:rPr>
              <w:t xml:space="preserve"> от приложение 2 към Споразумението на СТО за селското стопанство (Зелена кутия), посочени в приложение II към </w:t>
            </w:r>
            <w:r w:rsidR="009A71F2" w:rsidRPr="006F7A0B">
              <w:rPr>
                <w:rFonts w:ascii="Times New Roman" w:hAnsi="Times New Roman" w:cs="Times New Roman"/>
                <w:color w:val="000000" w:themeColor="text1"/>
                <w:sz w:val="24"/>
                <w:szCs w:val="24"/>
              </w:rPr>
              <w:t>проекта на Р</w:t>
            </w:r>
            <w:r w:rsidRPr="006F7A0B">
              <w:rPr>
                <w:rFonts w:ascii="Times New Roman" w:hAnsi="Times New Roman" w:cs="Times New Roman"/>
                <w:color w:val="000000" w:themeColor="text1"/>
                <w:sz w:val="24"/>
                <w:szCs w:val="24"/>
              </w:rPr>
              <w:t xml:space="preserve">егламент за </w:t>
            </w:r>
            <w:r w:rsidR="009A71F2" w:rsidRPr="006F7A0B">
              <w:rPr>
                <w:rFonts w:ascii="Times New Roman" w:hAnsi="Times New Roman" w:cs="Times New Roman"/>
                <w:color w:val="000000" w:themeColor="text1"/>
                <w:sz w:val="24"/>
                <w:szCs w:val="24"/>
              </w:rPr>
              <w:t>Стратегическите планове</w:t>
            </w:r>
          </w:p>
        </w:tc>
      </w:tr>
      <w:tr w:rsidR="0061283C" w:rsidRPr="006F7A0B" w14:paraId="4B82F27A" w14:textId="77777777" w:rsidTr="004542E6">
        <w:tc>
          <w:tcPr>
            <w:tcW w:w="7054" w:type="dxa"/>
            <w:shd w:val="clear" w:color="auto" w:fill="D9D9D9" w:themeFill="background1" w:themeFillShade="D9"/>
          </w:tcPr>
          <w:p w14:paraId="13907A6C" w14:textId="3A53B397" w:rsidR="0061283C" w:rsidRPr="006F7A0B" w:rsidRDefault="0046355B" w:rsidP="00A6030B">
            <w:pPr>
              <w:spacing w:before="120"/>
              <w:jc w:val="both"/>
              <w:rPr>
                <w:rFonts w:ascii="Times New Roman" w:hAnsi="Times New Roman" w:cs="Times New Roman"/>
                <w:b/>
                <w:sz w:val="24"/>
                <w:szCs w:val="24"/>
              </w:rPr>
            </w:pPr>
            <w:r w:rsidRPr="006F7A0B">
              <w:rPr>
                <w:rFonts w:ascii="Times New Roman" w:hAnsi="Times New Roman" w:cs="Times New Roman"/>
                <w:b/>
                <w:sz w:val="24"/>
                <w:szCs w:val="24"/>
              </w:rPr>
              <w:t>Връзка с условността</w:t>
            </w:r>
          </w:p>
        </w:tc>
        <w:tc>
          <w:tcPr>
            <w:tcW w:w="7371" w:type="dxa"/>
          </w:tcPr>
          <w:p w14:paraId="28B53A1B" w14:textId="2DE4CD95" w:rsidR="004542E6" w:rsidRPr="006F7A0B" w:rsidRDefault="007D5CAC" w:rsidP="00402146">
            <w:pPr>
              <w:spacing w:before="120"/>
              <w:jc w:val="both"/>
              <w:rPr>
                <w:rFonts w:ascii="Times New Roman" w:hAnsi="Times New Roman" w:cs="Times New Roman"/>
                <w:sz w:val="24"/>
                <w:szCs w:val="24"/>
              </w:rPr>
            </w:pPr>
            <w:r w:rsidRPr="006F7A0B">
              <w:rPr>
                <w:rFonts w:ascii="Times New Roman" w:hAnsi="Times New Roman" w:cs="Times New Roman"/>
                <w:sz w:val="24"/>
                <w:szCs w:val="24"/>
              </w:rPr>
              <w:t xml:space="preserve">Земеделските стопани следва да спазват Законовите изисквания за управление (ЗИУ), съгласно законодателството на Съюза и стандартите на ДЗЕС, неразделна част от система от предварителни условия, както и национални стандарти. Агроекологичните ангажименти надхвърлят минималните изисквания за използване на торове и ПРЗ, както и задължителни изисквания, установени в националното законодателство. </w:t>
            </w:r>
            <w:r w:rsidR="00E55A2F" w:rsidRPr="006F7A0B">
              <w:rPr>
                <w:rFonts w:ascii="Times New Roman" w:hAnsi="Times New Roman" w:cs="Times New Roman"/>
                <w:sz w:val="24"/>
                <w:szCs w:val="24"/>
              </w:rPr>
              <w:t>Мярката</w:t>
            </w:r>
            <w:r w:rsidR="009B22F6" w:rsidRPr="006F7A0B">
              <w:rPr>
                <w:rFonts w:ascii="Times New Roman" w:hAnsi="Times New Roman" w:cs="Times New Roman"/>
                <w:sz w:val="24"/>
                <w:szCs w:val="24"/>
              </w:rPr>
              <w:t xml:space="preserve"> надгражда изискванията на </w:t>
            </w:r>
            <w:r w:rsidR="00596FE3" w:rsidRPr="006F7A0B">
              <w:rPr>
                <w:rFonts w:ascii="Times New Roman" w:hAnsi="Times New Roman" w:cs="Times New Roman"/>
                <w:sz w:val="24"/>
                <w:szCs w:val="24"/>
              </w:rPr>
              <w:t>ДЗЕС 8</w:t>
            </w:r>
            <w:r w:rsidR="001B7C49" w:rsidRPr="006F7A0B">
              <w:rPr>
                <w:rFonts w:ascii="Times New Roman" w:hAnsi="Times New Roman" w:cs="Times New Roman"/>
                <w:sz w:val="24"/>
                <w:szCs w:val="24"/>
              </w:rPr>
              <w:t xml:space="preserve"> </w:t>
            </w:r>
            <w:r w:rsidR="009B22F6" w:rsidRPr="006F7A0B">
              <w:rPr>
                <w:rFonts w:ascii="Times New Roman" w:hAnsi="Times New Roman" w:cs="Times New Roman"/>
                <w:sz w:val="24"/>
                <w:szCs w:val="24"/>
              </w:rPr>
              <w:t xml:space="preserve">в качествен план по отношение </w:t>
            </w:r>
            <w:r w:rsidR="00596FE3" w:rsidRPr="006F7A0B">
              <w:rPr>
                <w:rFonts w:ascii="Times New Roman" w:hAnsi="Times New Roman" w:cs="Times New Roman"/>
                <w:sz w:val="24"/>
                <w:szCs w:val="24"/>
              </w:rPr>
              <w:t xml:space="preserve">на запазване на потенциала на почвите </w:t>
            </w:r>
            <w:r w:rsidR="00402146" w:rsidRPr="006F7A0B">
              <w:rPr>
                <w:rFonts w:ascii="Times New Roman" w:hAnsi="Times New Roman" w:cs="Times New Roman"/>
                <w:sz w:val="24"/>
                <w:szCs w:val="24"/>
              </w:rPr>
              <w:t xml:space="preserve">и задължението за разнообразяване, а именно когато на обработваемата земя в стопанство трябва да се отглеждат най-малко </w:t>
            </w:r>
            <w:r w:rsidR="00402146" w:rsidRPr="006F7A0B">
              <w:rPr>
                <w:rFonts w:ascii="Times New Roman" w:hAnsi="Times New Roman" w:cs="Times New Roman"/>
                <w:sz w:val="24"/>
                <w:szCs w:val="24"/>
              </w:rPr>
              <w:lastRenderedPageBreak/>
              <w:t>три различни култури. Основната култура не заема повече от 75% от тази обработваема земя, а двете основни култури обхващат заедно не повече от 95% от обработваемата земя.</w:t>
            </w:r>
            <w:r w:rsidR="00BB4E5A" w:rsidRPr="006F7A0B">
              <w:rPr>
                <w:rFonts w:ascii="Times New Roman" w:hAnsi="Times New Roman" w:cs="Times New Roman"/>
                <w:sz w:val="24"/>
                <w:szCs w:val="24"/>
              </w:rPr>
              <w:t xml:space="preserve"> </w:t>
            </w:r>
          </w:p>
        </w:tc>
      </w:tr>
      <w:tr w:rsidR="0061283C" w:rsidRPr="006F7A0B" w14:paraId="237623DA" w14:textId="77777777" w:rsidTr="004542E6">
        <w:tc>
          <w:tcPr>
            <w:tcW w:w="7054" w:type="dxa"/>
            <w:shd w:val="clear" w:color="auto" w:fill="D9D9D9" w:themeFill="background1" w:themeFillShade="D9"/>
          </w:tcPr>
          <w:p w14:paraId="794D481E" w14:textId="77777777" w:rsidR="00C104A3" w:rsidRPr="006F7A0B" w:rsidRDefault="00C104A3" w:rsidP="00C104A3">
            <w:pPr>
              <w:spacing w:before="120"/>
              <w:jc w:val="both"/>
              <w:rPr>
                <w:rFonts w:ascii="Times New Roman" w:hAnsi="Times New Roman" w:cs="Times New Roman"/>
                <w:b/>
                <w:sz w:val="24"/>
                <w:szCs w:val="24"/>
              </w:rPr>
            </w:pPr>
            <w:r w:rsidRPr="006F7A0B">
              <w:rPr>
                <w:rFonts w:ascii="Times New Roman" w:hAnsi="Times New Roman" w:cs="Times New Roman"/>
                <w:b/>
                <w:sz w:val="24"/>
                <w:szCs w:val="24"/>
              </w:rPr>
              <w:lastRenderedPageBreak/>
              <w:t>Специфичен дизайн, изисквания и условия за допустимост на интервенцията.</w:t>
            </w:r>
          </w:p>
          <w:p w14:paraId="24D49E43" w14:textId="77777777" w:rsidR="00C104A3" w:rsidRPr="006F7A0B" w:rsidRDefault="00C104A3" w:rsidP="00C104A3">
            <w:pPr>
              <w:spacing w:before="120"/>
              <w:jc w:val="both"/>
              <w:rPr>
                <w:rFonts w:ascii="Times New Roman" w:hAnsi="Times New Roman" w:cs="Times New Roman"/>
                <w:b/>
                <w:sz w:val="24"/>
                <w:szCs w:val="24"/>
              </w:rPr>
            </w:pPr>
            <w:r w:rsidRPr="006F7A0B">
              <w:rPr>
                <w:rFonts w:ascii="Times New Roman" w:hAnsi="Times New Roman" w:cs="Times New Roman"/>
                <w:b/>
                <w:sz w:val="24"/>
                <w:szCs w:val="24"/>
              </w:rPr>
              <w:t>Допустими бенефициенти  и специфични критерии за допустимост (отнасящи се до бенефициента и площта)</w:t>
            </w:r>
          </w:p>
          <w:p w14:paraId="799D15E6" w14:textId="0BC83175" w:rsidR="0061283C" w:rsidRPr="006F7A0B" w:rsidRDefault="00C104A3" w:rsidP="00C104A3">
            <w:pPr>
              <w:spacing w:before="120"/>
              <w:jc w:val="both"/>
              <w:rPr>
                <w:rFonts w:ascii="Times New Roman" w:hAnsi="Times New Roman" w:cs="Times New Roman"/>
                <w:b/>
                <w:sz w:val="24"/>
                <w:szCs w:val="24"/>
              </w:rPr>
            </w:pPr>
            <w:r w:rsidRPr="006F7A0B">
              <w:rPr>
                <w:rFonts w:ascii="Times New Roman" w:hAnsi="Times New Roman" w:cs="Times New Roman"/>
                <w:b/>
                <w:sz w:val="24"/>
                <w:szCs w:val="24"/>
              </w:rPr>
              <w:t>Определяне на ангажиментите и други задължения</w:t>
            </w:r>
          </w:p>
        </w:tc>
        <w:tc>
          <w:tcPr>
            <w:tcW w:w="7371" w:type="dxa"/>
          </w:tcPr>
          <w:p w14:paraId="53B8FA1F" w14:textId="77777777" w:rsidR="004E2EC7" w:rsidRPr="006F7A0B" w:rsidRDefault="004E2EC7" w:rsidP="00D03978">
            <w:pPr>
              <w:spacing w:before="120"/>
              <w:jc w:val="both"/>
              <w:rPr>
                <w:rFonts w:ascii="Times New Roman" w:hAnsi="Times New Roman" w:cs="Times New Roman"/>
                <w:i/>
                <w:sz w:val="24"/>
                <w:szCs w:val="24"/>
              </w:rPr>
            </w:pPr>
            <w:r w:rsidRPr="006F7A0B">
              <w:rPr>
                <w:rFonts w:ascii="Times New Roman" w:hAnsi="Times New Roman" w:cs="Times New Roman"/>
                <w:i/>
                <w:sz w:val="24"/>
                <w:szCs w:val="24"/>
              </w:rPr>
              <w:t>Общи изисквания:</w:t>
            </w:r>
          </w:p>
          <w:p w14:paraId="7A604CAD" w14:textId="18E6FE5F" w:rsidR="004E2EC7" w:rsidRPr="006F7A0B" w:rsidRDefault="004E2EC7" w:rsidP="00D03978">
            <w:pPr>
              <w:spacing w:before="120"/>
              <w:jc w:val="both"/>
              <w:rPr>
                <w:rFonts w:ascii="Times New Roman" w:hAnsi="Times New Roman" w:cs="Times New Roman"/>
                <w:sz w:val="24"/>
                <w:szCs w:val="24"/>
              </w:rPr>
            </w:pPr>
            <w:r w:rsidRPr="006F7A0B">
              <w:rPr>
                <w:rFonts w:ascii="Times New Roman" w:hAnsi="Times New Roman" w:cs="Times New Roman"/>
                <w:sz w:val="24"/>
                <w:szCs w:val="24"/>
              </w:rPr>
              <w:t>- Земеделски стопани, които стопанисват земеделски площи от минимум 0,5 ха, за които имат регистр</w:t>
            </w:r>
            <w:r w:rsidR="00140FB9" w:rsidRPr="006F7A0B">
              <w:rPr>
                <w:rFonts w:ascii="Times New Roman" w:hAnsi="Times New Roman" w:cs="Times New Roman"/>
                <w:sz w:val="24"/>
                <w:szCs w:val="24"/>
              </w:rPr>
              <w:t>ирано валидно правно основание.</w:t>
            </w:r>
          </w:p>
          <w:p w14:paraId="70B933E3" w14:textId="147196E3" w:rsidR="00B07E46" w:rsidRPr="006F7A0B" w:rsidRDefault="00B07E46" w:rsidP="00D03978">
            <w:pPr>
              <w:spacing w:before="120"/>
              <w:jc w:val="both"/>
              <w:rPr>
                <w:rFonts w:ascii="Times New Roman" w:hAnsi="Times New Roman" w:cs="Times New Roman"/>
                <w:sz w:val="24"/>
                <w:szCs w:val="24"/>
              </w:rPr>
            </w:pPr>
            <w:r w:rsidRPr="006F7A0B">
              <w:rPr>
                <w:rFonts w:ascii="Times New Roman" w:hAnsi="Times New Roman" w:cs="Times New Roman"/>
                <w:sz w:val="24"/>
                <w:szCs w:val="24"/>
              </w:rPr>
              <w:t xml:space="preserve">- Земеделски стопани, </w:t>
            </w:r>
            <w:r w:rsidR="003C7E88" w:rsidRPr="006F7A0B">
              <w:rPr>
                <w:rFonts w:ascii="Times New Roman" w:hAnsi="Times New Roman" w:cs="Times New Roman"/>
                <w:sz w:val="24"/>
                <w:szCs w:val="24"/>
              </w:rPr>
              <w:t xml:space="preserve">с изключение научни и образователни организации, </w:t>
            </w:r>
            <w:r w:rsidRPr="006F7A0B">
              <w:rPr>
                <w:rFonts w:ascii="Times New Roman" w:hAnsi="Times New Roman" w:cs="Times New Roman"/>
                <w:sz w:val="24"/>
                <w:szCs w:val="24"/>
              </w:rPr>
              <w:t xml:space="preserve">които стопанисват земеделски площи от максимум </w:t>
            </w:r>
            <w:r w:rsidR="003C7E88" w:rsidRPr="006F7A0B">
              <w:rPr>
                <w:rFonts w:ascii="Times New Roman" w:hAnsi="Times New Roman" w:cs="Times New Roman"/>
                <w:sz w:val="24"/>
                <w:szCs w:val="24"/>
              </w:rPr>
              <w:t>30</w:t>
            </w:r>
            <w:r w:rsidRPr="006F7A0B">
              <w:rPr>
                <w:rFonts w:ascii="Times New Roman" w:hAnsi="Times New Roman" w:cs="Times New Roman"/>
                <w:sz w:val="24"/>
                <w:szCs w:val="24"/>
              </w:rPr>
              <w:t xml:space="preserve"> ха, за които имат регистрирано валидно правно основание.</w:t>
            </w:r>
          </w:p>
          <w:p w14:paraId="5B6A8BBF" w14:textId="77777777" w:rsidR="004E2EC7" w:rsidRPr="006F7A0B" w:rsidRDefault="004E2EC7" w:rsidP="00D03978">
            <w:pPr>
              <w:spacing w:before="120"/>
              <w:jc w:val="both"/>
              <w:rPr>
                <w:rFonts w:ascii="Times New Roman" w:hAnsi="Times New Roman" w:cs="Times New Roman"/>
                <w:sz w:val="24"/>
                <w:szCs w:val="24"/>
              </w:rPr>
            </w:pPr>
            <w:r w:rsidRPr="006F7A0B">
              <w:rPr>
                <w:rFonts w:ascii="Times New Roman" w:hAnsi="Times New Roman" w:cs="Times New Roman"/>
                <w:sz w:val="24"/>
                <w:szCs w:val="24"/>
              </w:rPr>
              <w:t>- Земеделските стопани или упълномощено лице трябва да преминат агроекологично обучение или да докажат опит  за прилагането на поетите от тях ангажименти.</w:t>
            </w:r>
          </w:p>
          <w:p w14:paraId="218004D1" w14:textId="77777777" w:rsidR="004E2EC7" w:rsidRPr="006F7A0B" w:rsidRDefault="004E2EC7" w:rsidP="00D03978">
            <w:pPr>
              <w:spacing w:before="120"/>
              <w:jc w:val="both"/>
              <w:rPr>
                <w:rFonts w:ascii="Times New Roman" w:hAnsi="Times New Roman" w:cs="Times New Roman"/>
                <w:sz w:val="24"/>
                <w:szCs w:val="24"/>
              </w:rPr>
            </w:pPr>
            <w:r w:rsidRPr="006F7A0B">
              <w:rPr>
                <w:rFonts w:ascii="Times New Roman" w:hAnsi="Times New Roman" w:cs="Times New Roman"/>
                <w:sz w:val="24"/>
                <w:szCs w:val="24"/>
              </w:rPr>
              <w:t>- Бенефициентите по дейността поемат ангажимент да водят дневник (регистър) на стопанството за всички земеделски дейности, извършвани в земеделските земи, предмет на поетите задължения.</w:t>
            </w:r>
          </w:p>
          <w:p w14:paraId="510CC20B" w14:textId="4C8E5E25" w:rsidR="004E2EC7" w:rsidRPr="006F7A0B" w:rsidRDefault="004E2EC7" w:rsidP="00D03978">
            <w:pPr>
              <w:spacing w:before="120"/>
              <w:jc w:val="both"/>
              <w:rPr>
                <w:rFonts w:ascii="Times New Roman" w:hAnsi="Times New Roman" w:cs="Times New Roman"/>
                <w:sz w:val="24"/>
                <w:szCs w:val="24"/>
              </w:rPr>
            </w:pPr>
            <w:r w:rsidRPr="006F7A0B">
              <w:rPr>
                <w:rFonts w:ascii="Times New Roman" w:hAnsi="Times New Roman" w:cs="Times New Roman"/>
                <w:sz w:val="24"/>
                <w:szCs w:val="24"/>
              </w:rPr>
              <w:t>- Подпомагането е за земеделските площи, регистрирани в ИСАК, които отговарят на определението за</w:t>
            </w:r>
            <w:r w:rsidR="00C17BDA" w:rsidRPr="006F7A0B">
              <w:rPr>
                <w:rFonts w:ascii="Times New Roman" w:hAnsi="Times New Roman" w:cs="Times New Roman"/>
                <w:sz w:val="24"/>
                <w:szCs w:val="24"/>
              </w:rPr>
              <w:t xml:space="preserve"> „</w:t>
            </w:r>
            <w:r w:rsidR="008A755A" w:rsidRPr="006F7A0B">
              <w:rPr>
                <w:rFonts w:ascii="Times New Roman" w:hAnsi="Times New Roman" w:cs="Times New Roman"/>
                <w:sz w:val="24"/>
                <w:szCs w:val="24"/>
              </w:rPr>
              <w:t>допустим хектар“</w:t>
            </w:r>
            <w:r w:rsidRPr="006F7A0B">
              <w:rPr>
                <w:rFonts w:ascii="Times New Roman" w:hAnsi="Times New Roman" w:cs="Times New Roman"/>
                <w:sz w:val="24"/>
                <w:szCs w:val="24"/>
              </w:rPr>
              <w:t>.</w:t>
            </w:r>
          </w:p>
          <w:p w14:paraId="12CEE6E0" w14:textId="42434B4D" w:rsidR="00D03978" w:rsidRPr="006F7A0B" w:rsidRDefault="00D03978" w:rsidP="00D03978">
            <w:pPr>
              <w:spacing w:before="120"/>
              <w:jc w:val="both"/>
              <w:rPr>
                <w:rFonts w:ascii="Times New Roman" w:hAnsi="Times New Roman" w:cs="Times New Roman"/>
                <w:sz w:val="24"/>
                <w:szCs w:val="24"/>
              </w:rPr>
            </w:pPr>
            <w:r w:rsidRPr="006F7A0B">
              <w:rPr>
                <w:rFonts w:ascii="Times New Roman" w:hAnsi="Times New Roman" w:cs="Times New Roman"/>
                <w:sz w:val="24"/>
                <w:szCs w:val="24"/>
              </w:rPr>
              <w:t xml:space="preserve">- Използват се култури и сортове, </w:t>
            </w:r>
            <w:r w:rsidR="00BB5C83" w:rsidRPr="006F7A0B">
              <w:rPr>
                <w:rFonts w:ascii="Times New Roman" w:hAnsi="Times New Roman" w:cs="Times New Roman"/>
                <w:sz w:val="24"/>
                <w:szCs w:val="24"/>
              </w:rPr>
              <w:t>от Списък на застрашените от изчезване местни сортове, важни за селското стопанство предоставен от</w:t>
            </w:r>
            <w:ins w:id="0" w:author="Vladi" w:date="2021-12-02T11:22:00Z">
              <w:r w:rsidR="00A302EB">
                <w:rPr>
                  <w:rFonts w:ascii="Times New Roman" w:hAnsi="Times New Roman" w:cs="Times New Roman"/>
                  <w:sz w:val="24"/>
                  <w:szCs w:val="24"/>
                </w:rPr>
                <w:t xml:space="preserve"> </w:t>
              </w:r>
            </w:ins>
            <w:ins w:id="1" w:author="Vladi" w:date="2021-12-02T11:23:00Z">
              <w:r w:rsidR="00A302EB" w:rsidRPr="00A302EB">
                <w:rPr>
                  <w:rFonts w:ascii="Times New Roman" w:hAnsi="Times New Roman" w:cs="Times New Roman"/>
                  <w:sz w:val="24"/>
                  <w:szCs w:val="24"/>
                  <w:highlight w:val="yellow"/>
                  <w:rPrChange w:id="2" w:author="Vladi" w:date="2021-12-02T11:24:00Z">
                    <w:rPr>
                      <w:rFonts w:ascii="Times New Roman" w:hAnsi="Times New Roman" w:cs="Times New Roman"/>
                      <w:sz w:val="24"/>
                      <w:szCs w:val="24"/>
                    </w:rPr>
                  </w:rPrChange>
                </w:rPr>
                <w:t>Селскостопанска академия и публикуван на официалния уебс</w:t>
              </w:r>
            </w:ins>
            <w:ins w:id="3" w:author="Vladi" w:date="2021-12-02T11:24:00Z">
              <w:r w:rsidR="00A302EB" w:rsidRPr="00A302EB">
                <w:rPr>
                  <w:rFonts w:ascii="Times New Roman" w:hAnsi="Times New Roman" w:cs="Times New Roman"/>
                  <w:sz w:val="24"/>
                  <w:szCs w:val="24"/>
                  <w:highlight w:val="yellow"/>
                  <w:rPrChange w:id="4" w:author="Vladi" w:date="2021-12-02T11:24:00Z">
                    <w:rPr>
                      <w:rFonts w:ascii="Times New Roman" w:hAnsi="Times New Roman" w:cs="Times New Roman"/>
                      <w:sz w:val="24"/>
                      <w:szCs w:val="24"/>
                    </w:rPr>
                  </w:rPrChange>
                </w:rPr>
                <w:t>айт на</w:t>
              </w:r>
              <w:r w:rsidR="00A302EB">
                <w:rPr>
                  <w:rFonts w:ascii="Times New Roman" w:hAnsi="Times New Roman" w:cs="Times New Roman"/>
                  <w:sz w:val="24"/>
                  <w:szCs w:val="24"/>
                </w:rPr>
                <w:t xml:space="preserve"> </w:t>
              </w:r>
            </w:ins>
            <w:r w:rsidR="00BB5C83" w:rsidRPr="006F7A0B">
              <w:rPr>
                <w:rFonts w:ascii="Times New Roman" w:hAnsi="Times New Roman" w:cs="Times New Roman"/>
                <w:sz w:val="24"/>
                <w:szCs w:val="24"/>
              </w:rPr>
              <w:t xml:space="preserve"> Изпълнителна агенция по сортоизпитване, апробация и семеконтрол</w:t>
            </w:r>
            <w:r w:rsidRPr="006F7A0B">
              <w:rPr>
                <w:rFonts w:ascii="Times New Roman" w:hAnsi="Times New Roman" w:cs="Times New Roman"/>
                <w:sz w:val="24"/>
                <w:szCs w:val="24"/>
              </w:rPr>
              <w:t>;</w:t>
            </w:r>
          </w:p>
          <w:p w14:paraId="42DC2211" w14:textId="1D43076D" w:rsidR="00D03978" w:rsidRPr="006F7A0B" w:rsidRDefault="00D03978" w:rsidP="00BB5C83">
            <w:pPr>
              <w:spacing w:before="120"/>
              <w:jc w:val="both"/>
              <w:rPr>
                <w:rFonts w:ascii="Times New Roman" w:hAnsi="Times New Roman" w:cs="Times New Roman"/>
                <w:sz w:val="24"/>
                <w:szCs w:val="24"/>
              </w:rPr>
            </w:pPr>
            <w:r w:rsidRPr="006F7A0B">
              <w:rPr>
                <w:rFonts w:ascii="Times New Roman" w:hAnsi="Times New Roman" w:cs="Times New Roman"/>
                <w:sz w:val="24"/>
                <w:szCs w:val="24"/>
              </w:rPr>
              <w:t xml:space="preserve">- Да </w:t>
            </w:r>
            <w:ins w:id="5" w:author="Vladi" w:date="2021-12-02T11:24:00Z">
              <w:r w:rsidR="00A302EB">
                <w:rPr>
                  <w:rFonts w:ascii="Times New Roman" w:hAnsi="Times New Roman" w:cs="Times New Roman"/>
                  <w:sz w:val="24"/>
                  <w:szCs w:val="24"/>
                </w:rPr>
                <w:t xml:space="preserve"> са сортоподдържащи  на съответния сорт или </w:t>
              </w:r>
            </w:ins>
            <w:r w:rsidRPr="00A302EB">
              <w:rPr>
                <w:rFonts w:ascii="Times New Roman" w:hAnsi="Times New Roman" w:cs="Times New Roman"/>
                <w:strike/>
                <w:sz w:val="24"/>
                <w:szCs w:val="24"/>
                <w:rPrChange w:id="6" w:author="Vladi" w:date="2021-12-02T11:25:00Z">
                  <w:rPr>
                    <w:rFonts w:ascii="Times New Roman" w:hAnsi="Times New Roman" w:cs="Times New Roman"/>
                    <w:sz w:val="24"/>
                    <w:szCs w:val="24"/>
                  </w:rPr>
                </w:rPrChange>
              </w:rPr>
              <w:t>притежават</w:t>
            </w:r>
            <w:r w:rsidRPr="006F7A0B">
              <w:rPr>
                <w:rFonts w:ascii="Times New Roman" w:hAnsi="Times New Roman" w:cs="Times New Roman"/>
                <w:sz w:val="24"/>
                <w:szCs w:val="24"/>
              </w:rPr>
              <w:t xml:space="preserve"> </w:t>
            </w:r>
            <w:r w:rsidRPr="00A302EB">
              <w:rPr>
                <w:rFonts w:ascii="Times New Roman" w:hAnsi="Times New Roman" w:cs="Times New Roman"/>
                <w:strike/>
                <w:sz w:val="24"/>
                <w:szCs w:val="24"/>
                <w:rPrChange w:id="7" w:author="Vladi" w:date="2021-12-02T11:25:00Z">
                  <w:rPr>
                    <w:rFonts w:ascii="Times New Roman" w:hAnsi="Times New Roman" w:cs="Times New Roman"/>
                    <w:sz w:val="24"/>
                    <w:szCs w:val="24"/>
                  </w:rPr>
                </w:rPrChange>
              </w:rPr>
              <w:t>и</w:t>
            </w:r>
            <w:r w:rsidRPr="006F7A0B">
              <w:rPr>
                <w:rFonts w:ascii="Times New Roman" w:hAnsi="Times New Roman" w:cs="Times New Roman"/>
                <w:sz w:val="24"/>
                <w:szCs w:val="24"/>
              </w:rPr>
              <w:t xml:space="preserve"> </w:t>
            </w:r>
            <w:ins w:id="8" w:author="Vladi" w:date="2021-12-02T11:25:00Z">
              <w:r w:rsidR="00A302EB">
                <w:rPr>
                  <w:rFonts w:ascii="Times New Roman" w:hAnsi="Times New Roman" w:cs="Times New Roman"/>
                  <w:sz w:val="24"/>
                  <w:szCs w:val="24"/>
                </w:rPr>
                <w:t xml:space="preserve">да </w:t>
              </w:r>
            </w:ins>
            <w:r w:rsidRPr="006F7A0B">
              <w:rPr>
                <w:rFonts w:ascii="Times New Roman" w:hAnsi="Times New Roman" w:cs="Times New Roman"/>
                <w:sz w:val="24"/>
                <w:szCs w:val="24"/>
              </w:rPr>
              <w:t>предоставят официален</w:t>
            </w:r>
            <w:ins w:id="9" w:author="Vladi" w:date="2021-12-02T11:25:00Z">
              <w:r w:rsidR="00A302EB">
                <w:rPr>
                  <w:rFonts w:ascii="Times New Roman" w:hAnsi="Times New Roman" w:cs="Times New Roman"/>
                  <w:sz w:val="24"/>
                  <w:szCs w:val="24"/>
                </w:rPr>
                <w:t xml:space="preserve"> </w:t>
              </w:r>
              <w:r w:rsidR="00A302EB" w:rsidRPr="00A302EB">
                <w:rPr>
                  <w:rFonts w:ascii="Times New Roman" w:hAnsi="Times New Roman" w:cs="Times New Roman"/>
                  <w:sz w:val="24"/>
                  <w:szCs w:val="24"/>
                  <w:highlight w:val="yellow"/>
                  <w:rPrChange w:id="10" w:author="Vladi" w:date="2021-12-02T11:26:00Z">
                    <w:rPr>
                      <w:rFonts w:ascii="Times New Roman" w:hAnsi="Times New Roman" w:cs="Times New Roman"/>
                      <w:sz w:val="24"/>
                      <w:szCs w:val="24"/>
                    </w:rPr>
                  </w:rPrChange>
                </w:rPr>
                <w:t>или фи</w:t>
              </w:r>
            </w:ins>
            <w:ins w:id="11" w:author="Vladi" w:date="2021-12-02T11:26:00Z">
              <w:r w:rsidR="00A302EB" w:rsidRPr="00A302EB">
                <w:rPr>
                  <w:rFonts w:ascii="Times New Roman" w:hAnsi="Times New Roman" w:cs="Times New Roman"/>
                  <w:sz w:val="24"/>
                  <w:szCs w:val="24"/>
                  <w:highlight w:val="yellow"/>
                  <w:rPrChange w:id="12" w:author="Vladi" w:date="2021-12-02T11:26:00Z">
                    <w:rPr>
                      <w:rFonts w:ascii="Times New Roman" w:hAnsi="Times New Roman" w:cs="Times New Roman"/>
                      <w:sz w:val="24"/>
                      <w:szCs w:val="24"/>
                    </w:rPr>
                  </w:rPrChange>
                </w:rPr>
                <w:t>р</w:t>
              </w:r>
            </w:ins>
            <w:ins w:id="13" w:author="Vladi" w:date="2021-12-02T11:25:00Z">
              <w:r w:rsidR="00A302EB" w:rsidRPr="00A302EB">
                <w:rPr>
                  <w:rFonts w:ascii="Times New Roman" w:hAnsi="Times New Roman" w:cs="Times New Roman"/>
                  <w:sz w:val="24"/>
                  <w:szCs w:val="24"/>
                  <w:highlight w:val="yellow"/>
                  <w:rPrChange w:id="14" w:author="Vladi" w:date="2021-12-02T11:26:00Z">
                    <w:rPr>
                      <w:rFonts w:ascii="Times New Roman" w:hAnsi="Times New Roman" w:cs="Times New Roman"/>
                      <w:sz w:val="24"/>
                      <w:szCs w:val="24"/>
                    </w:rPr>
                  </w:rPrChange>
                </w:rPr>
                <w:t>мен</w:t>
              </w:r>
              <w:r w:rsidR="00A302EB">
                <w:rPr>
                  <w:rFonts w:ascii="Times New Roman" w:hAnsi="Times New Roman" w:cs="Times New Roman"/>
                  <w:sz w:val="24"/>
                  <w:szCs w:val="24"/>
                </w:rPr>
                <w:t xml:space="preserve"> </w:t>
              </w:r>
            </w:ins>
            <w:r w:rsidRPr="006F7A0B">
              <w:rPr>
                <w:rFonts w:ascii="Times New Roman" w:hAnsi="Times New Roman" w:cs="Times New Roman"/>
                <w:sz w:val="24"/>
                <w:szCs w:val="24"/>
              </w:rPr>
              <w:t xml:space="preserve"> документ за закупуване на посевния и посадъчен материал използван за засаждане </w:t>
            </w:r>
            <w:r w:rsidR="0036731E" w:rsidRPr="006F7A0B">
              <w:rPr>
                <w:rFonts w:ascii="Times New Roman" w:hAnsi="Times New Roman" w:cs="Times New Roman"/>
                <w:sz w:val="24"/>
                <w:szCs w:val="24"/>
              </w:rPr>
              <w:t xml:space="preserve">(при едногодишни култури се предоставя </w:t>
            </w:r>
            <w:r w:rsidRPr="006F7A0B">
              <w:rPr>
                <w:rFonts w:ascii="Times New Roman" w:hAnsi="Times New Roman" w:cs="Times New Roman"/>
                <w:sz w:val="24"/>
                <w:szCs w:val="24"/>
              </w:rPr>
              <w:t>за стопанската година</w:t>
            </w:r>
            <w:r w:rsidR="0036731E" w:rsidRPr="006F7A0B">
              <w:rPr>
                <w:rFonts w:ascii="Times New Roman" w:hAnsi="Times New Roman" w:cs="Times New Roman"/>
                <w:sz w:val="24"/>
                <w:szCs w:val="24"/>
              </w:rPr>
              <w:t>)</w:t>
            </w:r>
            <w:r w:rsidRPr="006F7A0B">
              <w:rPr>
                <w:rFonts w:ascii="Times New Roman" w:hAnsi="Times New Roman" w:cs="Times New Roman"/>
                <w:sz w:val="24"/>
                <w:szCs w:val="24"/>
              </w:rPr>
              <w:t>;</w:t>
            </w:r>
          </w:p>
          <w:p w14:paraId="1BCFD5F6" w14:textId="24539690" w:rsidR="00D03978" w:rsidRPr="006F7A0B" w:rsidRDefault="00BB5C83" w:rsidP="00E5072C">
            <w:pPr>
              <w:tabs>
                <w:tab w:val="left" w:pos="439"/>
              </w:tabs>
              <w:spacing w:before="120"/>
              <w:contextualSpacing/>
              <w:jc w:val="both"/>
              <w:rPr>
                <w:rFonts w:ascii="Times New Roman" w:hAnsi="Times New Roman" w:cs="Times New Roman"/>
                <w:sz w:val="24"/>
                <w:szCs w:val="24"/>
              </w:rPr>
            </w:pPr>
            <w:r w:rsidRPr="006F7A0B">
              <w:rPr>
                <w:rFonts w:ascii="Times New Roman" w:hAnsi="Times New Roman" w:cs="Times New Roman"/>
                <w:sz w:val="24"/>
                <w:szCs w:val="24"/>
              </w:rPr>
              <w:lastRenderedPageBreak/>
              <w:t>- Дейностите могат да не се прилагат върху едни и същи площи за периода  на изпълнени</w:t>
            </w:r>
            <w:r w:rsidR="002C30B5" w:rsidRPr="006F7A0B">
              <w:rPr>
                <w:rFonts w:ascii="Times New Roman" w:hAnsi="Times New Roman" w:cs="Times New Roman"/>
                <w:sz w:val="24"/>
                <w:szCs w:val="24"/>
              </w:rPr>
              <w:t>е на агроекологичния ангажимент;</w:t>
            </w:r>
          </w:p>
          <w:p w14:paraId="276C0B5F" w14:textId="76FD0F0E" w:rsidR="00330E82" w:rsidRPr="006F7A0B" w:rsidRDefault="00330E82" w:rsidP="00E5072C">
            <w:pPr>
              <w:tabs>
                <w:tab w:val="left" w:pos="439"/>
              </w:tabs>
              <w:spacing w:before="120"/>
              <w:contextualSpacing/>
              <w:jc w:val="both"/>
              <w:rPr>
                <w:rFonts w:ascii="Times New Roman" w:hAnsi="Times New Roman" w:cs="Times New Roman"/>
                <w:sz w:val="24"/>
                <w:szCs w:val="24"/>
              </w:rPr>
            </w:pPr>
          </w:p>
          <w:p w14:paraId="65377A3B" w14:textId="7C9FF954" w:rsidR="00330E82" w:rsidRPr="006F7A0B" w:rsidRDefault="00330E82" w:rsidP="00E5072C">
            <w:pPr>
              <w:tabs>
                <w:tab w:val="left" w:pos="439"/>
              </w:tabs>
              <w:spacing w:before="120"/>
              <w:contextualSpacing/>
              <w:jc w:val="both"/>
              <w:rPr>
                <w:rFonts w:ascii="Times New Roman" w:hAnsi="Times New Roman" w:cs="Times New Roman"/>
                <w:sz w:val="24"/>
                <w:szCs w:val="24"/>
              </w:rPr>
            </w:pPr>
            <w:r w:rsidRPr="006F7A0B">
              <w:rPr>
                <w:rFonts w:ascii="Times New Roman" w:hAnsi="Times New Roman" w:cs="Times New Roman"/>
                <w:sz w:val="24"/>
                <w:szCs w:val="24"/>
              </w:rPr>
              <w:t>Управляващия орган следва да разработи специфични изисквания</w:t>
            </w:r>
            <w:r w:rsidR="00281A8B" w:rsidRPr="006F7A0B">
              <w:rPr>
                <w:rFonts w:ascii="Times New Roman" w:hAnsi="Times New Roman" w:cs="Times New Roman"/>
                <w:sz w:val="24"/>
                <w:szCs w:val="24"/>
              </w:rPr>
              <w:t xml:space="preserve"> и</w:t>
            </w:r>
            <w:r w:rsidR="00BB42C7" w:rsidRPr="006F7A0B">
              <w:rPr>
                <w:rFonts w:ascii="Times New Roman" w:hAnsi="Times New Roman" w:cs="Times New Roman"/>
                <w:sz w:val="24"/>
                <w:szCs w:val="24"/>
              </w:rPr>
              <w:t xml:space="preserve"> за</w:t>
            </w:r>
            <w:r w:rsidRPr="006F7A0B">
              <w:rPr>
                <w:rFonts w:ascii="Times New Roman" w:hAnsi="Times New Roman" w:cs="Times New Roman"/>
                <w:sz w:val="24"/>
                <w:szCs w:val="24"/>
              </w:rPr>
              <w:t xml:space="preserve"> </w:t>
            </w:r>
            <w:r w:rsidR="00281A8B" w:rsidRPr="006F7A0B">
              <w:rPr>
                <w:rFonts w:ascii="Times New Roman" w:hAnsi="Times New Roman" w:cs="Times New Roman"/>
                <w:sz w:val="24"/>
                <w:szCs w:val="24"/>
              </w:rPr>
              <w:t>друг тип кандидати, а именно:</w:t>
            </w:r>
          </w:p>
          <w:p w14:paraId="50A5BE42" w14:textId="66E4CDDB" w:rsidR="00330E82" w:rsidRPr="006F7A0B" w:rsidRDefault="00330E82" w:rsidP="002C30B5">
            <w:pPr>
              <w:pStyle w:val="ListParagraph"/>
              <w:numPr>
                <w:ilvl w:val="0"/>
                <w:numId w:val="29"/>
              </w:numPr>
              <w:tabs>
                <w:tab w:val="left" w:pos="439"/>
              </w:tabs>
              <w:spacing w:before="120"/>
              <w:ind w:left="34" w:firstLine="0"/>
              <w:jc w:val="both"/>
              <w:rPr>
                <w:rFonts w:ascii="Times New Roman" w:hAnsi="Times New Roman" w:cs="Times New Roman"/>
                <w:sz w:val="24"/>
                <w:szCs w:val="24"/>
                <w:lang w:val="bg-BG"/>
              </w:rPr>
            </w:pPr>
            <w:r w:rsidRPr="006F7A0B">
              <w:rPr>
                <w:rFonts w:ascii="Times New Roman" w:hAnsi="Times New Roman" w:cs="Times New Roman"/>
                <w:sz w:val="24"/>
                <w:szCs w:val="24"/>
                <w:lang w:val="bg-BG"/>
              </w:rPr>
              <w:t>Науч</w:t>
            </w:r>
            <w:r w:rsidR="00281A8B" w:rsidRPr="006F7A0B">
              <w:rPr>
                <w:rFonts w:ascii="Times New Roman" w:hAnsi="Times New Roman" w:cs="Times New Roman"/>
                <w:sz w:val="24"/>
                <w:szCs w:val="24"/>
                <w:lang w:val="bg-BG"/>
              </w:rPr>
              <w:t>ни и образователни организации, които да кандидатстват с цел поддържане на Науч</w:t>
            </w:r>
            <w:r w:rsidRPr="006F7A0B">
              <w:rPr>
                <w:rFonts w:ascii="Times New Roman" w:hAnsi="Times New Roman" w:cs="Times New Roman"/>
                <w:sz w:val="24"/>
                <w:szCs w:val="24"/>
                <w:lang w:val="bg-BG"/>
              </w:rPr>
              <w:t>н</w:t>
            </w:r>
            <w:r w:rsidR="00281A8B" w:rsidRPr="006F7A0B">
              <w:rPr>
                <w:rFonts w:ascii="Times New Roman" w:hAnsi="Times New Roman" w:cs="Times New Roman"/>
                <w:sz w:val="24"/>
                <w:szCs w:val="24"/>
                <w:lang w:val="bg-BG"/>
              </w:rPr>
              <w:t>ия национален генофонд;</w:t>
            </w:r>
          </w:p>
          <w:p w14:paraId="0D08DD7D" w14:textId="77777777" w:rsidR="00DC603C" w:rsidRPr="006F7A0B" w:rsidRDefault="00836388" w:rsidP="002C30B5">
            <w:pPr>
              <w:pStyle w:val="ListParagraph"/>
              <w:numPr>
                <w:ilvl w:val="0"/>
                <w:numId w:val="24"/>
              </w:numPr>
              <w:tabs>
                <w:tab w:val="left" w:pos="439"/>
              </w:tabs>
              <w:spacing w:before="120"/>
              <w:ind w:left="0" w:firstLine="0"/>
              <w:jc w:val="both"/>
              <w:rPr>
                <w:rFonts w:ascii="Times New Roman" w:hAnsi="Times New Roman" w:cs="Times New Roman"/>
                <w:sz w:val="24"/>
                <w:szCs w:val="24"/>
                <w:lang w:val="bg-BG"/>
              </w:rPr>
            </w:pPr>
            <w:r w:rsidRPr="006F7A0B">
              <w:rPr>
                <w:rFonts w:ascii="Times New Roman" w:hAnsi="Times New Roman" w:cs="Times New Roman"/>
                <w:sz w:val="24"/>
                <w:szCs w:val="24"/>
                <w:lang w:val="bg-BG"/>
              </w:rPr>
              <w:t>В случай на изменения в съответните задължителни стандарти, изисквания или задължения, посочени в чл.</w:t>
            </w:r>
            <w:r w:rsidR="00A91B60" w:rsidRPr="006F7A0B">
              <w:rPr>
                <w:rFonts w:ascii="Times New Roman" w:hAnsi="Times New Roman" w:cs="Times New Roman"/>
                <w:sz w:val="24"/>
                <w:szCs w:val="24"/>
                <w:lang w:val="bg-BG"/>
              </w:rPr>
              <w:t xml:space="preserve"> </w:t>
            </w:r>
            <w:r w:rsidRPr="006F7A0B">
              <w:rPr>
                <w:rFonts w:ascii="Times New Roman" w:hAnsi="Times New Roman" w:cs="Times New Roman"/>
                <w:sz w:val="24"/>
                <w:szCs w:val="24"/>
                <w:lang w:val="bg-BG"/>
              </w:rPr>
              <w:t>70 от РСП, които поетите задължения трябва да надхвърлят, или за да се гарантира спазването разпоредбите на буква г) на същия параграф се предоставя възможност за преразглеждане, за да се гарантира адаптиране на ангажиментите. Когато тези корекции не бъдат приети от бенефициера, ангажиментът отпада и не се изисква възстановяване на средства по отношение на периода, през който е изпълняван ангажиментът.</w:t>
            </w:r>
          </w:p>
          <w:p w14:paraId="602E516D" w14:textId="77777777" w:rsidR="0098139C" w:rsidRPr="006F7A0B" w:rsidRDefault="0098139C" w:rsidP="0098139C">
            <w:pPr>
              <w:pStyle w:val="ListParagraph"/>
              <w:numPr>
                <w:ilvl w:val="0"/>
                <w:numId w:val="24"/>
              </w:numPr>
              <w:ind w:left="34" w:firstLine="326"/>
              <w:jc w:val="both"/>
              <w:rPr>
                <w:rFonts w:ascii="Times New Roman" w:hAnsi="Times New Roman" w:cs="Times New Roman"/>
                <w:sz w:val="24"/>
                <w:szCs w:val="24"/>
                <w:lang w:val="bg-BG"/>
              </w:rPr>
            </w:pPr>
            <w:r w:rsidRPr="006F7A0B">
              <w:rPr>
                <w:rFonts w:ascii="Times New Roman" w:hAnsi="Times New Roman" w:cs="Times New Roman"/>
                <w:sz w:val="24"/>
                <w:szCs w:val="24"/>
                <w:lang w:val="bg-BG"/>
              </w:rPr>
              <w:t>Освен това, 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p w14:paraId="1A5E01C2" w14:textId="52F40E28" w:rsidR="0098139C" w:rsidRPr="006F7A0B" w:rsidRDefault="0098139C" w:rsidP="002C30B5">
            <w:pPr>
              <w:pStyle w:val="ListParagraph"/>
              <w:numPr>
                <w:ilvl w:val="0"/>
                <w:numId w:val="24"/>
              </w:numPr>
              <w:tabs>
                <w:tab w:val="left" w:pos="439"/>
              </w:tabs>
              <w:spacing w:before="120"/>
              <w:ind w:left="0" w:firstLine="0"/>
              <w:jc w:val="both"/>
              <w:rPr>
                <w:rFonts w:ascii="Times New Roman" w:hAnsi="Times New Roman" w:cs="Times New Roman"/>
                <w:sz w:val="24"/>
                <w:szCs w:val="24"/>
                <w:lang w:val="bg-BG"/>
              </w:rPr>
            </w:pPr>
          </w:p>
        </w:tc>
      </w:tr>
      <w:tr w:rsidR="001D15B5" w:rsidRPr="006F7A0B" w14:paraId="5D57DB85" w14:textId="77777777" w:rsidTr="004542E6">
        <w:tc>
          <w:tcPr>
            <w:tcW w:w="7054" w:type="dxa"/>
            <w:shd w:val="clear" w:color="auto" w:fill="D9D9D9" w:themeFill="background1" w:themeFillShade="D9"/>
          </w:tcPr>
          <w:p w14:paraId="4A267280" w14:textId="68D3CE11" w:rsidR="001D15B5" w:rsidRPr="006F7A0B" w:rsidRDefault="001D15B5" w:rsidP="003500EA">
            <w:pPr>
              <w:spacing w:before="120"/>
              <w:rPr>
                <w:rFonts w:ascii="Times New Roman" w:hAnsi="Times New Roman" w:cs="Times New Roman"/>
                <w:b/>
                <w:sz w:val="24"/>
                <w:szCs w:val="24"/>
              </w:rPr>
            </w:pPr>
            <w:r w:rsidRPr="006F7A0B">
              <w:rPr>
                <w:rFonts w:ascii="Times New Roman" w:hAnsi="Times New Roman" w:cs="Times New Roman"/>
                <w:b/>
                <w:sz w:val="24"/>
                <w:szCs w:val="24"/>
              </w:rPr>
              <w:lastRenderedPageBreak/>
              <w:t xml:space="preserve">Размер на подпомагането, метод на изчисление, обосновка защо този размер на подпомагане допринася за постигане на целевите стойности </w:t>
            </w:r>
          </w:p>
        </w:tc>
        <w:tc>
          <w:tcPr>
            <w:tcW w:w="7371" w:type="dxa"/>
          </w:tcPr>
          <w:p w14:paraId="40036574" w14:textId="42EA1173" w:rsidR="00DC603C" w:rsidRPr="006F7A0B" w:rsidRDefault="00521D95" w:rsidP="0098139C">
            <w:pPr>
              <w:spacing w:before="120"/>
              <w:jc w:val="both"/>
              <w:rPr>
                <w:rFonts w:ascii="Times New Roman" w:hAnsi="Times New Roman" w:cs="Times New Roman"/>
                <w:sz w:val="24"/>
                <w:szCs w:val="24"/>
              </w:rPr>
            </w:pPr>
            <w:r w:rsidRPr="006F7A0B">
              <w:rPr>
                <w:rFonts w:ascii="Times New Roman" w:hAnsi="Times New Roman" w:cs="Times New Roman"/>
                <w:sz w:val="24"/>
                <w:szCs w:val="24"/>
              </w:rPr>
              <w:t xml:space="preserve">Плащането е на хектар допустима </w:t>
            </w:r>
            <w:r w:rsidR="00A44FA7" w:rsidRPr="006F7A0B">
              <w:rPr>
                <w:rFonts w:ascii="Times New Roman" w:hAnsi="Times New Roman" w:cs="Times New Roman"/>
                <w:sz w:val="24"/>
                <w:szCs w:val="24"/>
              </w:rPr>
              <w:t>земеделска земя</w:t>
            </w:r>
            <w:r w:rsidR="00131150" w:rsidRPr="006F7A0B">
              <w:rPr>
                <w:rFonts w:ascii="Times New Roman" w:hAnsi="Times New Roman" w:cs="Times New Roman"/>
                <w:sz w:val="24"/>
                <w:szCs w:val="24"/>
              </w:rPr>
              <w:t>, обхваната от задълженията за</w:t>
            </w:r>
            <w:r w:rsidR="00282617" w:rsidRPr="006F7A0B">
              <w:rPr>
                <w:rFonts w:ascii="Times New Roman" w:hAnsi="Times New Roman" w:cs="Times New Roman"/>
                <w:sz w:val="24"/>
                <w:szCs w:val="24"/>
              </w:rPr>
              <w:t xml:space="preserve"> поддържане на площта според изискванията на интервенцията</w:t>
            </w:r>
            <w:r w:rsidR="0098139C" w:rsidRPr="006F7A0B">
              <w:rPr>
                <w:rFonts w:ascii="Times New Roman" w:hAnsi="Times New Roman" w:cs="Times New Roman"/>
                <w:sz w:val="24"/>
                <w:szCs w:val="24"/>
              </w:rPr>
              <w:t>, вкл. р</w:t>
            </w:r>
            <w:r w:rsidR="00A91B60" w:rsidRPr="006F7A0B">
              <w:rPr>
                <w:rFonts w:ascii="Times New Roman" w:hAnsi="Times New Roman" w:cs="Times New Roman"/>
                <w:sz w:val="24"/>
                <w:szCs w:val="24"/>
              </w:rPr>
              <w:t>азходи за транзакции.</w:t>
            </w:r>
            <w:r w:rsidRPr="006F7A0B">
              <w:rPr>
                <w:rFonts w:ascii="Times New Roman" w:hAnsi="Times New Roman" w:cs="Times New Roman"/>
                <w:sz w:val="24"/>
                <w:szCs w:val="24"/>
              </w:rPr>
              <w:t xml:space="preserve"> Ставката е </w:t>
            </w:r>
            <w:r w:rsidR="00131150" w:rsidRPr="006F7A0B">
              <w:rPr>
                <w:rFonts w:ascii="Times New Roman" w:hAnsi="Times New Roman" w:cs="Times New Roman"/>
                <w:sz w:val="24"/>
                <w:szCs w:val="24"/>
              </w:rPr>
              <w:t>компенсаторна</w:t>
            </w:r>
            <w:r w:rsidR="003500EA" w:rsidRPr="006F7A0B">
              <w:rPr>
                <w:rFonts w:ascii="Times New Roman" w:hAnsi="Times New Roman" w:cs="Times New Roman"/>
                <w:bCs/>
                <w:sz w:val="24"/>
                <w:szCs w:val="24"/>
              </w:rPr>
              <w:t xml:space="preserve"> съгласно чл. </w:t>
            </w:r>
            <w:r w:rsidR="0098139C" w:rsidRPr="006F7A0B">
              <w:rPr>
                <w:rFonts w:ascii="Times New Roman" w:hAnsi="Times New Roman" w:cs="Times New Roman"/>
                <w:bCs/>
                <w:sz w:val="24"/>
                <w:szCs w:val="24"/>
              </w:rPr>
              <w:t>82</w:t>
            </w:r>
            <w:r w:rsidR="003500EA" w:rsidRPr="006F7A0B">
              <w:rPr>
                <w:rFonts w:ascii="Times New Roman" w:hAnsi="Times New Roman" w:cs="Times New Roman"/>
                <w:bCs/>
                <w:sz w:val="24"/>
                <w:szCs w:val="24"/>
              </w:rPr>
              <w:t xml:space="preserve"> от проекта на Регламент за Стратегическите планове</w:t>
            </w:r>
            <w:r w:rsidRPr="006F7A0B">
              <w:rPr>
                <w:rFonts w:ascii="Times New Roman" w:hAnsi="Times New Roman" w:cs="Times New Roman"/>
                <w:sz w:val="24"/>
                <w:szCs w:val="24"/>
              </w:rPr>
              <w:t>.</w:t>
            </w:r>
          </w:p>
        </w:tc>
      </w:tr>
    </w:tbl>
    <w:p w14:paraId="30DF00A8" w14:textId="77777777" w:rsidR="00213714" w:rsidRPr="006F7A0B" w:rsidRDefault="00213714" w:rsidP="00FB2514">
      <w:pPr>
        <w:spacing w:after="0"/>
        <w:rPr>
          <w:rFonts w:ascii="Times New Roman" w:hAnsi="Times New Roman" w:cs="Times New Roman"/>
          <w:sz w:val="24"/>
          <w:szCs w:val="24"/>
        </w:rPr>
      </w:pPr>
    </w:p>
    <w:sectPr w:rsidR="00213714" w:rsidRPr="006F7A0B" w:rsidSect="002050CA">
      <w:headerReference w:type="default" r:id="rId8"/>
      <w:footerReference w:type="default" r:id="rId9"/>
      <w:pgSz w:w="16838" w:h="11906" w:orient="landscape"/>
      <w:pgMar w:top="992" w:right="1276"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75AAE" w14:textId="77777777" w:rsidR="005E578A" w:rsidRDefault="005E578A" w:rsidP="00711C04">
      <w:pPr>
        <w:spacing w:after="0" w:line="240" w:lineRule="auto"/>
      </w:pPr>
      <w:r>
        <w:separator/>
      </w:r>
    </w:p>
  </w:endnote>
  <w:endnote w:type="continuationSeparator" w:id="0">
    <w:p w14:paraId="0E192F49" w14:textId="77777777" w:rsidR="005E578A" w:rsidRDefault="005E578A" w:rsidP="00711C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2037B" w14:textId="2644D730" w:rsidR="00014E2E" w:rsidRPr="00711C04" w:rsidRDefault="00014E2E" w:rsidP="00711C04">
    <w:pPr>
      <w:pStyle w:val="Footer"/>
      <w:pBdr>
        <w:top w:val="single" w:sz="4" w:space="1" w:color="auto"/>
      </w:pBdr>
      <w:rPr>
        <w:rFonts w:ascii="Times New Roman" w:hAnsi="Times New Roman" w:cs="Times New Roman"/>
        <w:i/>
      </w:rPr>
    </w:pPr>
    <w:r>
      <w:rPr>
        <w:rFonts w:ascii="Times New Roman" w:hAnsi="Times New Roman" w:cs="Times New Roman"/>
        <w:i/>
      </w:rPr>
      <w:tab/>
    </w:r>
    <w:r>
      <w:rPr>
        <w:rFonts w:ascii="Times New Roman" w:hAnsi="Times New Roman" w:cs="Times New Roman"/>
        <w:i/>
      </w:rPr>
      <w:tab/>
    </w:r>
    <w:r w:rsidR="00CB4B15">
      <w:rPr>
        <w:rFonts w:ascii="Times New Roman" w:hAnsi="Times New Roman" w:cs="Times New Roman"/>
        <w:i/>
      </w:rPr>
      <w:tab/>
    </w:r>
    <w:r w:rsidR="004542E6">
      <w:rPr>
        <w:rFonts w:ascii="Times New Roman" w:hAnsi="Times New Roman" w:cs="Times New Roman"/>
        <w:i/>
      </w:rPr>
      <w:tab/>
    </w:r>
    <w:r w:rsidR="00CB4B15">
      <w:rPr>
        <w:rFonts w:ascii="Times New Roman" w:hAnsi="Times New Roman" w:cs="Times New Roman"/>
        <w:i/>
      </w:rPr>
      <w:tab/>
    </w:r>
    <w:r w:rsidR="00CB4B15">
      <w:rPr>
        <w:rFonts w:ascii="Times New Roman" w:hAnsi="Times New Roman" w:cs="Times New Roman"/>
        <w:i/>
      </w:rPr>
      <w:tab/>
    </w:r>
    <w:r w:rsidR="00CB4B15">
      <w:rPr>
        <w:rFonts w:ascii="Times New Roman" w:hAnsi="Times New Roman" w:cs="Times New Roman"/>
        <w:i/>
      </w:rPr>
      <w:tab/>
    </w:r>
    <w:r w:rsidR="00CB4B15">
      <w:rPr>
        <w:rFonts w:ascii="Times New Roman" w:hAnsi="Times New Roman" w:cs="Times New Roman"/>
        <w:i/>
      </w:rPr>
      <w:tab/>
      <w:t>С</w:t>
    </w:r>
    <w:r>
      <w:rPr>
        <w:rFonts w:ascii="Times New Roman" w:hAnsi="Times New Roman" w:cs="Times New Roman"/>
        <w:i/>
      </w:rPr>
      <w:t>тр.</w:t>
    </w:r>
    <w:r w:rsidRPr="00014E2E">
      <w:rPr>
        <w:rFonts w:ascii="Times New Roman" w:hAnsi="Times New Roman" w:cs="Times New Roman"/>
        <w:i/>
      </w:rPr>
      <w:t xml:space="preserve"> </w:t>
    </w:r>
    <w:r w:rsidR="00CB4B15" w:rsidRPr="00CB4B15">
      <w:rPr>
        <w:rFonts w:ascii="Times New Roman" w:hAnsi="Times New Roman" w:cs="Times New Roman"/>
        <w:i/>
      </w:rPr>
      <w:fldChar w:fldCharType="begin"/>
    </w:r>
    <w:r w:rsidR="00CB4B15" w:rsidRPr="00CB4B15">
      <w:rPr>
        <w:rFonts w:ascii="Times New Roman" w:hAnsi="Times New Roman" w:cs="Times New Roman"/>
        <w:i/>
      </w:rPr>
      <w:instrText xml:space="preserve"> PAGE   \* MERGEFORMAT </w:instrText>
    </w:r>
    <w:r w:rsidR="00CB4B15" w:rsidRPr="00CB4B15">
      <w:rPr>
        <w:rFonts w:ascii="Times New Roman" w:hAnsi="Times New Roman" w:cs="Times New Roman"/>
        <w:i/>
      </w:rPr>
      <w:fldChar w:fldCharType="separate"/>
    </w:r>
    <w:r w:rsidR="00C017B4">
      <w:rPr>
        <w:rFonts w:ascii="Times New Roman" w:hAnsi="Times New Roman" w:cs="Times New Roman"/>
        <w:i/>
        <w:noProof/>
      </w:rPr>
      <w:t>4</w:t>
    </w:r>
    <w:r w:rsidR="00CB4B15" w:rsidRPr="00CB4B15">
      <w:rPr>
        <w:rFonts w:ascii="Times New Roman" w:hAnsi="Times New Roman" w:cs="Times New Roman"/>
        <w: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F83B5" w14:textId="77777777" w:rsidR="005E578A" w:rsidRDefault="005E578A" w:rsidP="00711C04">
      <w:pPr>
        <w:spacing w:after="0" w:line="240" w:lineRule="auto"/>
      </w:pPr>
      <w:r>
        <w:separator/>
      </w:r>
    </w:p>
  </w:footnote>
  <w:footnote w:type="continuationSeparator" w:id="0">
    <w:p w14:paraId="54671FC8" w14:textId="77777777" w:rsidR="005E578A" w:rsidRDefault="005E578A" w:rsidP="00711C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D07D2" w14:textId="35609EFD" w:rsidR="00CB4B15" w:rsidRDefault="00524DD6" w:rsidP="00CB4B15">
    <w:pPr>
      <w:jc w:val="right"/>
      <w:rPr>
        <w:rFonts w:ascii="Times New Roman" w:hAnsi="Times New Roman" w:cs="Times New Roman"/>
        <w:bCs/>
        <w:i/>
        <w:noProof/>
      </w:rPr>
    </w:pPr>
    <w:r>
      <w:rPr>
        <w:rFonts w:ascii="Times New Roman" w:hAnsi="Times New Roman" w:cs="Times New Roman"/>
        <w:bCs/>
        <w:i/>
        <w:noProof/>
      </w:rPr>
      <w:t xml:space="preserve">РСР/ </w:t>
    </w:r>
    <w:r w:rsidR="00CB4B15">
      <w:rPr>
        <w:rFonts w:ascii="Times New Roman" w:hAnsi="Times New Roman" w:cs="Times New Roman"/>
        <w:bCs/>
        <w:i/>
        <w:noProof/>
      </w:rPr>
      <w:t xml:space="preserve">Проект </w:t>
    </w:r>
    <w:r w:rsidR="0012056F">
      <w:rPr>
        <w:rFonts w:ascii="Times New Roman" w:hAnsi="Times New Roman" w:cs="Times New Roman"/>
        <w:bCs/>
        <w:i/>
        <w:noProof/>
      </w:rPr>
      <w:t>12</w:t>
    </w:r>
    <w:r w:rsidR="002050CA">
      <w:rPr>
        <w:rFonts w:ascii="Times New Roman" w:hAnsi="Times New Roman" w:cs="Times New Roman"/>
        <w:bCs/>
        <w:i/>
        <w:noProof/>
      </w:rPr>
      <w:t>.</w:t>
    </w:r>
    <w:r w:rsidR="0036731E">
      <w:rPr>
        <w:rFonts w:ascii="Times New Roman" w:hAnsi="Times New Roman" w:cs="Times New Roman"/>
        <w:bCs/>
        <w:i/>
        <w:noProof/>
      </w:rPr>
      <w:t>11</w:t>
    </w:r>
    <w:r w:rsidR="00B7463C">
      <w:rPr>
        <w:rFonts w:ascii="Times New Roman" w:hAnsi="Times New Roman" w:cs="Times New Roman"/>
        <w:bCs/>
        <w:i/>
        <w:noProof/>
      </w:rPr>
      <w:t>.202</w:t>
    </w:r>
    <w:r w:rsidR="00B7463C">
      <w:rPr>
        <w:rFonts w:ascii="Times New Roman" w:hAnsi="Times New Roman" w:cs="Times New Roman"/>
        <w:bCs/>
        <w:i/>
        <w:noProof/>
        <w:lang w:val="en-US"/>
      </w:rPr>
      <w:t>1</w:t>
    </w:r>
  </w:p>
  <w:p w14:paraId="58A2D72F" w14:textId="76568C5B" w:rsidR="00217662" w:rsidRPr="006C3CE2" w:rsidRDefault="00217662" w:rsidP="00CB4B15">
    <w:pPr>
      <w:jc w:val="right"/>
      <w:rPr>
        <w:rFonts w:ascii="Times New Roman" w:hAnsi="Times New Roman" w:cs="Times New Roman"/>
        <w:bCs/>
        <w:i/>
        <w:noProof/>
        <w:lang w:val="en-US"/>
      </w:rPr>
    </w:pPr>
    <w:r>
      <w:rPr>
        <w:rFonts w:ascii="Times New Roman" w:hAnsi="Times New Roman" w:cs="Times New Roman"/>
        <w:bCs/>
        <w:i/>
        <w:noProof/>
      </w:rPr>
      <w:t xml:space="preserve">Версия </w:t>
    </w:r>
    <w:r w:rsidR="00524DD6">
      <w:rPr>
        <w:rFonts w:ascii="Times New Roman" w:hAnsi="Times New Roman" w:cs="Times New Roman"/>
        <w:bCs/>
        <w:i/>
        <w:noProof/>
      </w:rPr>
      <w:t>0</w:t>
    </w:r>
    <w:r w:rsidR="00330E82">
      <w:rPr>
        <w:rFonts w:ascii="Times New Roman" w:hAnsi="Times New Roman" w:cs="Times New Roman"/>
        <w:bCs/>
        <w:i/>
        <w:noProof/>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0564F"/>
    <w:multiLevelType w:val="hybridMultilevel"/>
    <w:tmpl w:val="070A6BD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537E7C"/>
    <w:multiLevelType w:val="hybridMultilevel"/>
    <w:tmpl w:val="3F82ED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8B94CF2"/>
    <w:multiLevelType w:val="hybridMultilevel"/>
    <w:tmpl w:val="94E23644"/>
    <w:lvl w:ilvl="0" w:tplc="21B6BAB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76542D"/>
    <w:multiLevelType w:val="multilevel"/>
    <w:tmpl w:val="0616F9C4"/>
    <w:lvl w:ilvl="0">
      <w:start w:val="161"/>
      <w:numFmt w:val="decimal"/>
      <w:lvlText w:val="%1"/>
      <w:lvlJc w:val="left"/>
      <w:pPr>
        <w:ind w:left="528" w:hanging="528"/>
      </w:pPr>
      <w:rPr>
        <w:rFonts w:hint="default"/>
      </w:rPr>
    </w:lvl>
    <w:lvl w:ilvl="1">
      <w:start w:val="84"/>
      <w:numFmt w:val="decimal"/>
      <w:lvlText w:val="%1.%2"/>
      <w:lvlJc w:val="left"/>
      <w:pPr>
        <w:ind w:left="528" w:hanging="5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4744F6"/>
    <w:multiLevelType w:val="hybridMultilevel"/>
    <w:tmpl w:val="43DEFE54"/>
    <w:lvl w:ilvl="0" w:tplc="A20C313C">
      <w:numFmt w:val="bullet"/>
      <w:lvlText w:val="-"/>
      <w:lvlJc w:val="left"/>
      <w:pPr>
        <w:ind w:left="720" w:hanging="360"/>
      </w:pPr>
      <w:rPr>
        <w:rFonts w:ascii="Times New Roman" w:eastAsiaTheme="minorHAnsi"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C6B614D"/>
    <w:multiLevelType w:val="hybridMultilevel"/>
    <w:tmpl w:val="3A509B68"/>
    <w:lvl w:ilvl="0" w:tplc="0930B1C0">
      <w:start w:val="2"/>
      <w:numFmt w:val="bullet"/>
      <w:lvlText w:val="-"/>
      <w:lvlJc w:val="left"/>
      <w:pPr>
        <w:ind w:left="754" w:hanging="360"/>
      </w:pPr>
      <w:rPr>
        <w:rFonts w:ascii="Times New Roman" w:eastAsiaTheme="minorHAnsi" w:hAnsi="Times New Roman" w:cs="Times New Roman"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6" w15:restartNumberingAfterBreak="0">
    <w:nsid w:val="1DE17038"/>
    <w:multiLevelType w:val="hybridMultilevel"/>
    <w:tmpl w:val="FFB0B71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47547EA"/>
    <w:multiLevelType w:val="hybridMultilevel"/>
    <w:tmpl w:val="344215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9EE4AB7"/>
    <w:multiLevelType w:val="hybridMultilevel"/>
    <w:tmpl w:val="61D0C250"/>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EE25468"/>
    <w:multiLevelType w:val="hybridMultilevel"/>
    <w:tmpl w:val="1D64CDBA"/>
    <w:lvl w:ilvl="0" w:tplc="110A304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94F4825"/>
    <w:multiLevelType w:val="hybridMultilevel"/>
    <w:tmpl w:val="27BA87B0"/>
    <w:lvl w:ilvl="0" w:tplc="A20C313C">
      <w:numFmt w:val="bullet"/>
      <w:lvlText w:val="-"/>
      <w:lvlJc w:val="left"/>
      <w:pPr>
        <w:ind w:left="720" w:hanging="360"/>
      </w:pPr>
      <w:rPr>
        <w:rFonts w:ascii="Times New Roman" w:eastAsiaTheme="minorHAnsi"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3ED24BA3"/>
    <w:multiLevelType w:val="hybridMultilevel"/>
    <w:tmpl w:val="CA9C433C"/>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12" w15:restartNumberingAfterBreak="0">
    <w:nsid w:val="41314940"/>
    <w:multiLevelType w:val="hybridMultilevel"/>
    <w:tmpl w:val="F9DACAE2"/>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4C1F77D8"/>
    <w:multiLevelType w:val="hybridMultilevel"/>
    <w:tmpl w:val="0652E8E0"/>
    <w:lvl w:ilvl="0" w:tplc="2C343134">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4" w15:restartNumberingAfterBreak="0">
    <w:nsid w:val="4C7A33AA"/>
    <w:multiLevelType w:val="hybridMultilevel"/>
    <w:tmpl w:val="C8ACEA58"/>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4F941615"/>
    <w:multiLevelType w:val="hybridMultilevel"/>
    <w:tmpl w:val="E050F6F2"/>
    <w:lvl w:ilvl="0" w:tplc="CF9AC7CE">
      <w:start w:val="2"/>
      <w:numFmt w:val="decimal"/>
      <w:lvlText w:val="%1"/>
      <w:lvlJc w:val="left"/>
      <w:pPr>
        <w:ind w:left="720" w:hanging="360"/>
      </w:pPr>
      <w:rPr>
        <w:rFonts w:asciiTheme="minorHAnsi" w:hAnsiTheme="minorHAnsi" w:cstheme="minorBidi" w:hint="default"/>
        <w:b w:val="0"/>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50C018F2"/>
    <w:multiLevelType w:val="hybridMultilevel"/>
    <w:tmpl w:val="9A342B86"/>
    <w:lvl w:ilvl="0" w:tplc="CEFC183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EE42CD"/>
    <w:multiLevelType w:val="hybridMultilevel"/>
    <w:tmpl w:val="2CEA73A0"/>
    <w:lvl w:ilvl="0" w:tplc="30046CF6">
      <w:start w:val="1"/>
      <w:numFmt w:val="decimal"/>
      <w:lvlText w:val="%1."/>
      <w:lvlJc w:val="left"/>
      <w:pPr>
        <w:ind w:left="720" w:hanging="360"/>
      </w:pPr>
      <w:rPr>
        <w:rFonts w:ascii="Times New Roman" w:eastAsiaTheme="minorHAnsi"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5C671611"/>
    <w:multiLevelType w:val="hybridMultilevel"/>
    <w:tmpl w:val="A3240552"/>
    <w:lvl w:ilvl="0" w:tplc="04020019">
      <w:start w:val="1"/>
      <w:numFmt w:val="lowerLetter"/>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9" w15:restartNumberingAfterBreak="0">
    <w:nsid w:val="5CC40ED8"/>
    <w:multiLevelType w:val="hybridMultilevel"/>
    <w:tmpl w:val="55EA6B4A"/>
    <w:lvl w:ilvl="0" w:tplc="04020003">
      <w:start w:val="1"/>
      <w:numFmt w:val="bullet"/>
      <w:lvlText w:val="o"/>
      <w:lvlJc w:val="left"/>
      <w:pPr>
        <w:ind w:left="1080" w:hanging="360"/>
      </w:pPr>
      <w:rPr>
        <w:rFonts w:ascii="Courier New" w:hAnsi="Courier New" w:cs="Courier New"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0" w15:restartNumberingAfterBreak="0">
    <w:nsid w:val="616F1839"/>
    <w:multiLevelType w:val="hybridMultilevel"/>
    <w:tmpl w:val="FDDA2F58"/>
    <w:lvl w:ilvl="0" w:tplc="F9946BF4">
      <w:start w:val="1"/>
      <w:numFmt w:val="decimal"/>
      <w:lvlText w:val="%1."/>
      <w:lvlJc w:val="left"/>
      <w:pPr>
        <w:ind w:left="720" w:hanging="360"/>
      </w:pPr>
      <w:rPr>
        <w:rFonts w:eastAsia="Times New Roman" w:hint="default"/>
        <w:color w:val="000000"/>
        <w:sz w:val="20"/>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62784F25"/>
    <w:multiLevelType w:val="hybridMultilevel"/>
    <w:tmpl w:val="B45E3134"/>
    <w:lvl w:ilvl="0" w:tplc="0402000F">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2" w15:restartNumberingAfterBreak="0">
    <w:nsid w:val="67382A02"/>
    <w:multiLevelType w:val="hybridMultilevel"/>
    <w:tmpl w:val="A4A49D5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6D023F17"/>
    <w:multiLevelType w:val="hybridMultilevel"/>
    <w:tmpl w:val="27FEB91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15:restartNumberingAfterBreak="0">
    <w:nsid w:val="6FAD2138"/>
    <w:multiLevelType w:val="hybridMultilevel"/>
    <w:tmpl w:val="116CDA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CB77FE"/>
    <w:multiLevelType w:val="hybridMultilevel"/>
    <w:tmpl w:val="B98A5998"/>
    <w:lvl w:ilvl="0" w:tplc="0930B1C0">
      <w:start w:val="2"/>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75075DC3"/>
    <w:multiLevelType w:val="hybridMultilevel"/>
    <w:tmpl w:val="3124A560"/>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75B61B7B"/>
    <w:multiLevelType w:val="hybridMultilevel"/>
    <w:tmpl w:val="FF062570"/>
    <w:lvl w:ilvl="0" w:tplc="E4809EB4">
      <w:numFmt w:val="bullet"/>
      <w:lvlText w:val="-"/>
      <w:lvlJc w:val="left"/>
      <w:pPr>
        <w:ind w:left="720" w:hanging="360"/>
      </w:pPr>
      <w:rPr>
        <w:rFonts w:ascii="Calibri" w:eastAsiaTheme="minorHAnsi" w:hAnsi="Calibri" w:cs="Calibri" w:hint="default"/>
        <w:sz w:val="22"/>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7FF93DDF"/>
    <w:multiLevelType w:val="hybridMultilevel"/>
    <w:tmpl w:val="9F806B8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23"/>
  </w:num>
  <w:num w:numId="3">
    <w:abstractNumId w:val="22"/>
  </w:num>
  <w:num w:numId="4">
    <w:abstractNumId w:val="4"/>
  </w:num>
  <w:num w:numId="5">
    <w:abstractNumId w:val="0"/>
  </w:num>
  <w:num w:numId="6">
    <w:abstractNumId w:val="10"/>
  </w:num>
  <w:num w:numId="7">
    <w:abstractNumId w:val="21"/>
  </w:num>
  <w:num w:numId="8">
    <w:abstractNumId w:val="14"/>
  </w:num>
  <w:num w:numId="9">
    <w:abstractNumId w:val="26"/>
  </w:num>
  <w:num w:numId="10">
    <w:abstractNumId w:val="8"/>
  </w:num>
  <w:num w:numId="11">
    <w:abstractNumId w:val="12"/>
  </w:num>
  <w:num w:numId="12">
    <w:abstractNumId w:val="13"/>
  </w:num>
  <w:num w:numId="13">
    <w:abstractNumId w:val="6"/>
  </w:num>
  <w:num w:numId="14">
    <w:abstractNumId w:val="25"/>
  </w:num>
  <w:num w:numId="15">
    <w:abstractNumId w:val="27"/>
  </w:num>
  <w:num w:numId="16">
    <w:abstractNumId w:val="18"/>
  </w:num>
  <w:num w:numId="17">
    <w:abstractNumId w:val="19"/>
  </w:num>
  <w:num w:numId="18">
    <w:abstractNumId w:val="15"/>
  </w:num>
  <w:num w:numId="19">
    <w:abstractNumId w:val="20"/>
  </w:num>
  <w:num w:numId="20">
    <w:abstractNumId w:val="3"/>
  </w:num>
  <w:num w:numId="21">
    <w:abstractNumId w:val="28"/>
  </w:num>
  <w:num w:numId="22">
    <w:abstractNumId w:val="17"/>
  </w:num>
  <w:num w:numId="23">
    <w:abstractNumId w:val="7"/>
  </w:num>
  <w:num w:numId="24">
    <w:abstractNumId w:val="16"/>
  </w:num>
  <w:num w:numId="25">
    <w:abstractNumId w:val="2"/>
  </w:num>
  <w:num w:numId="26">
    <w:abstractNumId w:val="24"/>
  </w:num>
  <w:num w:numId="27">
    <w:abstractNumId w:val="11"/>
  </w:num>
  <w:num w:numId="28">
    <w:abstractNumId w:val="5"/>
  </w:num>
  <w:num w:numId="2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ladi">
    <w15:presenceInfo w15:providerId="None" w15:userId="Vlad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F07"/>
    <w:rsid w:val="00001AB9"/>
    <w:rsid w:val="00002367"/>
    <w:rsid w:val="000026B0"/>
    <w:rsid w:val="000068B8"/>
    <w:rsid w:val="000124F5"/>
    <w:rsid w:val="0001475E"/>
    <w:rsid w:val="000149A6"/>
    <w:rsid w:val="00014E2E"/>
    <w:rsid w:val="000170DF"/>
    <w:rsid w:val="00021E3E"/>
    <w:rsid w:val="00026DC6"/>
    <w:rsid w:val="00026E49"/>
    <w:rsid w:val="000378EB"/>
    <w:rsid w:val="00040568"/>
    <w:rsid w:val="00040613"/>
    <w:rsid w:val="00040924"/>
    <w:rsid w:val="000532D5"/>
    <w:rsid w:val="000568D9"/>
    <w:rsid w:val="00056FB5"/>
    <w:rsid w:val="00064F70"/>
    <w:rsid w:val="000725A5"/>
    <w:rsid w:val="000733B2"/>
    <w:rsid w:val="000801F2"/>
    <w:rsid w:val="000802B9"/>
    <w:rsid w:val="0008303D"/>
    <w:rsid w:val="00097A50"/>
    <w:rsid w:val="000A033F"/>
    <w:rsid w:val="000C0628"/>
    <w:rsid w:val="000C7A4B"/>
    <w:rsid w:val="000D018D"/>
    <w:rsid w:val="000D2409"/>
    <w:rsid w:val="000D6C05"/>
    <w:rsid w:val="000E3273"/>
    <w:rsid w:val="000E542A"/>
    <w:rsid w:val="000E587B"/>
    <w:rsid w:val="000F1CD6"/>
    <w:rsid w:val="0010735C"/>
    <w:rsid w:val="00113DB1"/>
    <w:rsid w:val="00115DC4"/>
    <w:rsid w:val="00116114"/>
    <w:rsid w:val="0012056F"/>
    <w:rsid w:val="00123ACF"/>
    <w:rsid w:val="00124947"/>
    <w:rsid w:val="0012639C"/>
    <w:rsid w:val="00130DC3"/>
    <w:rsid w:val="00131150"/>
    <w:rsid w:val="0013322B"/>
    <w:rsid w:val="00136369"/>
    <w:rsid w:val="001404A3"/>
    <w:rsid w:val="00140FB9"/>
    <w:rsid w:val="00141B16"/>
    <w:rsid w:val="001450E3"/>
    <w:rsid w:val="00151A5A"/>
    <w:rsid w:val="00151B7A"/>
    <w:rsid w:val="001560ED"/>
    <w:rsid w:val="00161993"/>
    <w:rsid w:val="0016273C"/>
    <w:rsid w:val="00165260"/>
    <w:rsid w:val="0017060F"/>
    <w:rsid w:val="00177E58"/>
    <w:rsid w:val="00186427"/>
    <w:rsid w:val="00190053"/>
    <w:rsid w:val="00192F4A"/>
    <w:rsid w:val="00194226"/>
    <w:rsid w:val="00196EA9"/>
    <w:rsid w:val="001A05B3"/>
    <w:rsid w:val="001A0836"/>
    <w:rsid w:val="001A1646"/>
    <w:rsid w:val="001A243C"/>
    <w:rsid w:val="001B6D2E"/>
    <w:rsid w:val="001B7C49"/>
    <w:rsid w:val="001C00F6"/>
    <w:rsid w:val="001C7C77"/>
    <w:rsid w:val="001D08F8"/>
    <w:rsid w:val="001D15B5"/>
    <w:rsid w:val="001D6D22"/>
    <w:rsid w:val="001E0FEA"/>
    <w:rsid w:val="001F080B"/>
    <w:rsid w:val="001F0975"/>
    <w:rsid w:val="001F47CB"/>
    <w:rsid w:val="001F67FB"/>
    <w:rsid w:val="00200721"/>
    <w:rsid w:val="00203081"/>
    <w:rsid w:val="002050CA"/>
    <w:rsid w:val="00206664"/>
    <w:rsid w:val="00213714"/>
    <w:rsid w:val="00217662"/>
    <w:rsid w:val="00217F91"/>
    <w:rsid w:val="00224036"/>
    <w:rsid w:val="00234C97"/>
    <w:rsid w:val="0024229E"/>
    <w:rsid w:val="002464AE"/>
    <w:rsid w:val="00255D8D"/>
    <w:rsid w:val="00257C32"/>
    <w:rsid w:val="002619FF"/>
    <w:rsid w:val="00265E0D"/>
    <w:rsid w:val="00275D59"/>
    <w:rsid w:val="00277260"/>
    <w:rsid w:val="00281A8B"/>
    <w:rsid w:val="00282617"/>
    <w:rsid w:val="00285145"/>
    <w:rsid w:val="00292E7A"/>
    <w:rsid w:val="00297211"/>
    <w:rsid w:val="002A0800"/>
    <w:rsid w:val="002A3733"/>
    <w:rsid w:val="002A525E"/>
    <w:rsid w:val="002A53BA"/>
    <w:rsid w:val="002B0E4A"/>
    <w:rsid w:val="002B174B"/>
    <w:rsid w:val="002C2D18"/>
    <w:rsid w:val="002C30B5"/>
    <w:rsid w:val="002E5F20"/>
    <w:rsid w:val="00301348"/>
    <w:rsid w:val="00305BA9"/>
    <w:rsid w:val="0031085A"/>
    <w:rsid w:val="00322827"/>
    <w:rsid w:val="00330390"/>
    <w:rsid w:val="00330E82"/>
    <w:rsid w:val="00332A4B"/>
    <w:rsid w:val="00341481"/>
    <w:rsid w:val="00345118"/>
    <w:rsid w:val="00346DDA"/>
    <w:rsid w:val="003500EA"/>
    <w:rsid w:val="00350C61"/>
    <w:rsid w:val="00356344"/>
    <w:rsid w:val="003566F5"/>
    <w:rsid w:val="00356AC3"/>
    <w:rsid w:val="00357261"/>
    <w:rsid w:val="00361759"/>
    <w:rsid w:val="00362183"/>
    <w:rsid w:val="00362597"/>
    <w:rsid w:val="003629AD"/>
    <w:rsid w:val="0036645D"/>
    <w:rsid w:val="0036731E"/>
    <w:rsid w:val="003715F9"/>
    <w:rsid w:val="0038240E"/>
    <w:rsid w:val="003C0825"/>
    <w:rsid w:val="003C33DF"/>
    <w:rsid w:val="003C3653"/>
    <w:rsid w:val="003C72F8"/>
    <w:rsid w:val="003C7E88"/>
    <w:rsid w:val="003D3120"/>
    <w:rsid w:val="003D383A"/>
    <w:rsid w:val="003E076E"/>
    <w:rsid w:val="003E2EBA"/>
    <w:rsid w:val="003E7533"/>
    <w:rsid w:val="003F363E"/>
    <w:rsid w:val="003F5417"/>
    <w:rsid w:val="003F7AC8"/>
    <w:rsid w:val="00400EEC"/>
    <w:rsid w:val="00402146"/>
    <w:rsid w:val="00402943"/>
    <w:rsid w:val="00413A54"/>
    <w:rsid w:val="00414FA5"/>
    <w:rsid w:val="00416056"/>
    <w:rsid w:val="0042119E"/>
    <w:rsid w:val="0043505B"/>
    <w:rsid w:val="00436C5D"/>
    <w:rsid w:val="00446F88"/>
    <w:rsid w:val="004509F7"/>
    <w:rsid w:val="004542E6"/>
    <w:rsid w:val="0045446C"/>
    <w:rsid w:val="0046355B"/>
    <w:rsid w:val="00465337"/>
    <w:rsid w:val="004804D0"/>
    <w:rsid w:val="00480519"/>
    <w:rsid w:val="0048586D"/>
    <w:rsid w:val="00490E66"/>
    <w:rsid w:val="004944E7"/>
    <w:rsid w:val="00495C34"/>
    <w:rsid w:val="0049797E"/>
    <w:rsid w:val="004A212F"/>
    <w:rsid w:val="004A3B7D"/>
    <w:rsid w:val="004B1564"/>
    <w:rsid w:val="004B28A3"/>
    <w:rsid w:val="004B4966"/>
    <w:rsid w:val="004C3DB0"/>
    <w:rsid w:val="004D0784"/>
    <w:rsid w:val="004D4B4F"/>
    <w:rsid w:val="004D5870"/>
    <w:rsid w:val="004D5A9F"/>
    <w:rsid w:val="004E2EC7"/>
    <w:rsid w:val="004E3E3E"/>
    <w:rsid w:val="004E4951"/>
    <w:rsid w:val="004F297F"/>
    <w:rsid w:val="004F2FA2"/>
    <w:rsid w:val="004F59A9"/>
    <w:rsid w:val="00503C34"/>
    <w:rsid w:val="00507B5A"/>
    <w:rsid w:val="005144D9"/>
    <w:rsid w:val="0051504A"/>
    <w:rsid w:val="005175F8"/>
    <w:rsid w:val="00520B93"/>
    <w:rsid w:val="00521D95"/>
    <w:rsid w:val="00524DD6"/>
    <w:rsid w:val="00530845"/>
    <w:rsid w:val="00537CA6"/>
    <w:rsid w:val="005401F6"/>
    <w:rsid w:val="00540A0A"/>
    <w:rsid w:val="005461BB"/>
    <w:rsid w:val="005467EE"/>
    <w:rsid w:val="00546ECB"/>
    <w:rsid w:val="00552877"/>
    <w:rsid w:val="00555AB3"/>
    <w:rsid w:val="0056428D"/>
    <w:rsid w:val="00572C83"/>
    <w:rsid w:val="0057539B"/>
    <w:rsid w:val="0057677E"/>
    <w:rsid w:val="00586709"/>
    <w:rsid w:val="00591954"/>
    <w:rsid w:val="00592A1F"/>
    <w:rsid w:val="00595491"/>
    <w:rsid w:val="00596FE3"/>
    <w:rsid w:val="005A532F"/>
    <w:rsid w:val="005B28B3"/>
    <w:rsid w:val="005C220C"/>
    <w:rsid w:val="005C6083"/>
    <w:rsid w:val="005C667A"/>
    <w:rsid w:val="005D00E7"/>
    <w:rsid w:val="005D1C82"/>
    <w:rsid w:val="005D3C96"/>
    <w:rsid w:val="005E35A9"/>
    <w:rsid w:val="005E578A"/>
    <w:rsid w:val="005E743E"/>
    <w:rsid w:val="005F468D"/>
    <w:rsid w:val="006035B2"/>
    <w:rsid w:val="00606E3E"/>
    <w:rsid w:val="00607675"/>
    <w:rsid w:val="0061283C"/>
    <w:rsid w:val="006130C8"/>
    <w:rsid w:val="00624E8F"/>
    <w:rsid w:val="006264C2"/>
    <w:rsid w:val="0063311F"/>
    <w:rsid w:val="006345B7"/>
    <w:rsid w:val="00637A16"/>
    <w:rsid w:val="00642E38"/>
    <w:rsid w:val="00642EF6"/>
    <w:rsid w:val="00644074"/>
    <w:rsid w:val="0064536B"/>
    <w:rsid w:val="006466D4"/>
    <w:rsid w:val="00650F88"/>
    <w:rsid w:val="00655722"/>
    <w:rsid w:val="006638AA"/>
    <w:rsid w:val="00663E67"/>
    <w:rsid w:val="00665A09"/>
    <w:rsid w:val="006666FE"/>
    <w:rsid w:val="00667A6C"/>
    <w:rsid w:val="00672842"/>
    <w:rsid w:val="0067381D"/>
    <w:rsid w:val="006750DA"/>
    <w:rsid w:val="00681ABC"/>
    <w:rsid w:val="0069033C"/>
    <w:rsid w:val="006A3C45"/>
    <w:rsid w:val="006A5861"/>
    <w:rsid w:val="006A6F1B"/>
    <w:rsid w:val="006A6FE6"/>
    <w:rsid w:val="006B5CFC"/>
    <w:rsid w:val="006C3CE2"/>
    <w:rsid w:val="006C48EB"/>
    <w:rsid w:val="006C4E35"/>
    <w:rsid w:val="006C7FB2"/>
    <w:rsid w:val="006D6AF0"/>
    <w:rsid w:val="006F2AB2"/>
    <w:rsid w:val="006F6240"/>
    <w:rsid w:val="006F7A0B"/>
    <w:rsid w:val="00701EC1"/>
    <w:rsid w:val="00705A7B"/>
    <w:rsid w:val="00710504"/>
    <w:rsid w:val="00711C04"/>
    <w:rsid w:val="00713BF7"/>
    <w:rsid w:val="00715542"/>
    <w:rsid w:val="00716B4C"/>
    <w:rsid w:val="00717F70"/>
    <w:rsid w:val="007308EC"/>
    <w:rsid w:val="00734413"/>
    <w:rsid w:val="00740E74"/>
    <w:rsid w:val="00750C67"/>
    <w:rsid w:val="00752F6A"/>
    <w:rsid w:val="00755726"/>
    <w:rsid w:val="007620B4"/>
    <w:rsid w:val="00763F13"/>
    <w:rsid w:val="00765798"/>
    <w:rsid w:val="007701DB"/>
    <w:rsid w:val="007763D4"/>
    <w:rsid w:val="00785D8C"/>
    <w:rsid w:val="00791BB0"/>
    <w:rsid w:val="00791D02"/>
    <w:rsid w:val="00794521"/>
    <w:rsid w:val="007A3150"/>
    <w:rsid w:val="007A4B75"/>
    <w:rsid w:val="007A4D8D"/>
    <w:rsid w:val="007A73DE"/>
    <w:rsid w:val="007C1C0E"/>
    <w:rsid w:val="007C3FAA"/>
    <w:rsid w:val="007C42E1"/>
    <w:rsid w:val="007D5CAC"/>
    <w:rsid w:val="007E49AC"/>
    <w:rsid w:val="00802070"/>
    <w:rsid w:val="008044E0"/>
    <w:rsid w:val="00804609"/>
    <w:rsid w:val="008167E8"/>
    <w:rsid w:val="00820599"/>
    <w:rsid w:val="00820D82"/>
    <w:rsid w:val="00820F10"/>
    <w:rsid w:val="00821ED3"/>
    <w:rsid w:val="00834697"/>
    <w:rsid w:val="00836388"/>
    <w:rsid w:val="00842C16"/>
    <w:rsid w:val="008432CA"/>
    <w:rsid w:val="008441E7"/>
    <w:rsid w:val="00845310"/>
    <w:rsid w:val="00851923"/>
    <w:rsid w:val="008524AC"/>
    <w:rsid w:val="00855E95"/>
    <w:rsid w:val="00856DBC"/>
    <w:rsid w:val="0086202F"/>
    <w:rsid w:val="00871554"/>
    <w:rsid w:val="00876E25"/>
    <w:rsid w:val="008803D9"/>
    <w:rsid w:val="00884BA0"/>
    <w:rsid w:val="008966B0"/>
    <w:rsid w:val="008A4B39"/>
    <w:rsid w:val="008A5F1A"/>
    <w:rsid w:val="008A755A"/>
    <w:rsid w:val="008B13A4"/>
    <w:rsid w:val="008B1409"/>
    <w:rsid w:val="008B328E"/>
    <w:rsid w:val="008C43F1"/>
    <w:rsid w:val="008E0ED3"/>
    <w:rsid w:val="008F0B4F"/>
    <w:rsid w:val="008F3D15"/>
    <w:rsid w:val="00902D15"/>
    <w:rsid w:val="00902FB3"/>
    <w:rsid w:val="0090458C"/>
    <w:rsid w:val="00905592"/>
    <w:rsid w:val="009064E4"/>
    <w:rsid w:val="00913E98"/>
    <w:rsid w:val="00924D3D"/>
    <w:rsid w:val="00926698"/>
    <w:rsid w:val="00927DF9"/>
    <w:rsid w:val="009312F3"/>
    <w:rsid w:val="009369BF"/>
    <w:rsid w:val="00941A73"/>
    <w:rsid w:val="0094374B"/>
    <w:rsid w:val="00951D0E"/>
    <w:rsid w:val="00967D96"/>
    <w:rsid w:val="00971904"/>
    <w:rsid w:val="00972B49"/>
    <w:rsid w:val="009733EF"/>
    <w:rsid w:val="0097411D"/>
    <w:rsid w:val="00976797"/>
    <w:rsid w:val="009779FC"/>
    <w:rsid w:val="0098139C"/>
    <w:rsid w:val="00996232"/>
    <w:rsid w:val="009A71F2"/>
    <w:rsid w:val="009A7826"/>
    <w:rsid w:val="009B22F6"/>
    <w:rsid w:val="009B36E1"/>
    <w:rsid w:val="009B72BF"/>
    <w:rsid w:val="009C487A"/>
    <w:rsid w:val="009D39B0"/>
    <w:rsid w:val="009E3117"/>
    <w:rsid w:val="009E4645"/>
    <w:rsid w:val="009E4FF0"/>
    <w:rsid w:val="009F13F5"/>
    <w:rsid w:val="009F3E27"/>
    <w:rsid w:val="009F5B75"/>
    <w:rsid w:val="00A0215A"/>
    <w:rsid w:val="00A03E55"/>
    <w:rsid w:val="00A1156E"/>
    <w:rsid w:val="00A13C3D"/>
    <w:rsid w:val="00A15930"/>
    <w:rsid w:val="00A17566"/>
    <w:rsid w:val="00A22287"/>
    <w:rsid w:val="00A22CD7"/>
    <w:rsid w:val="00A22D01"/>
    <w:rsid w:val="00A26058"/>
    <w:rsid w:val="00A302EB"/>
    <w:rsid w:val="00A44FA7"/>
    <w:rsid w:val="00A532FC"/>
    <w:rsid w:val="00A6030B"/>
    <w:rsid w:val="00A61A36"/>
    <w:rsid w:val="00A64837"/>
    <w:rsid w:val="00A74420"/>
    <w:rsid w:val="00A80999"/>
    <w:rsid w:val="00A9062A"/>
    <w:rsid w:val="00A91B60"/>
    <w:rsid w:val="00A9331D"/>
    <w:rsid w:val="00A93F33"/>
    <w:rsid w:val="00AA342A"/>
    <w:rsid w:val="00AA3A90"/>
    <w:rsid w:val="00AB1DE1"/>
    <w:rsid w:val="00AB643C"/>
    <w:rsid w:val="00AC0169"/>
    <w:rsid w:val="00AC4D1A"/>
    <w:rsid w:val="00AC5CC6"/>
    <w:rsid w:val="00AC6BFB"/>
    <w:rsid w:val="00AC77AE"/>
    <w:rsid w:val="00AD74AE"/>
    <w:rsid w:val="00AE3CEF"/>
    <w:rsid w:val="00AE7A75"/>
    <w:rsid w:val="00AF65DB"/>
    <w:rsid w:val="00AF770B"/>
    <w:rsid w:val="00B0347E"/>
    <w:rsid w:val="00B06E0B"/>
    <w:rsid w:val="00B07E46"/>
    <w:rsid w:val="00B14ECA"/>
    <w:rsid w:val="00B166BE"/>
    <w:rsid w:val="00B27155"/>
    <w:rsid w:val="00B313E2"/>
    <w:rsid w:val="00B32024"/>
    <w:rsid w:val="00B41EAE"/>
    <w:rsid w:val="00B56030"/>
    <w:rsid w:val="00B613C5"/>
    <w:rsid w:val="00B63946"/>
    <w:rsid w:val="00B7463C"/>
    <w:rsid w:val="00B80875"/>
    <w:rsid w:val="00B846D8"/>
    <w:rsid w:val="00B86FEC"/>
    <w:rsid w:val="00B9018F"/>
    <w:rsid w:val="00B9183C"/>
    <w:rsid w:val="00B938F3"/>
    <w:rsid w:val="00B9731E"/>
    <w:rsid w:val="00BA1BEA"/>
    <w:rsid w:val="00BB00A8"/>
    <w:rsid w:val="00BB14B9"/>
    <w:rsid w:val="00BB3932"/>
    <w:rsid w:val="00BB42C7"/>
    <w:rsid w:val="00BB4E5A"/>
    <w:rsid w:val="00BB5C83"/>
    <w:rsid w:val="00BB69A0"/>
    <w:rsid w:val="00BB6A0E"/>
    <w:rsid w:val="00BB7856"/>
    <w:rsid w:val="00BC0745"/>
    <w:rsid w:val="00BC24A9"/>
    <w:rsid w:val="00BD0C5A"/>
    <w:rsid w:val="00BD1B7D"/>
    <w:rsid w:val="00BD25EB"/>
    <w:rsid w:val="00BD2C20"/>
    <w:rsid w:val="00BD6CF6"/>
    <w:rsid w:val="00BD7EF6"/>
    <w:rsid w:val="00BE3695"/>
    <w:rsid w:val="00BE6784"/>
    <w:rsid w:val="00BF24D0"/>
    <w:rsid w:val="00C017B4"/>
    <w:rsid w:val="00C027DC"/>
    <w:rsid w:val="00C03225"/>
    <w:rsid w:val="00C0701B"/>
    <w:rsid w:val="00C104A3"/>
    <w:rsid w:val="00C12CEC"/>
    <w:rsid w:val="00C17A47"/>
    <w:rsid w:val="00C17BDA"/>
    <w:rsid w:val="00C20990"/>
    <w:rsid w:val="00C20E04"/>
    <w:rsid w:val="00C22662"/>
    <w:rsid w:val="00C23B53"/>
    <w:rsid w:val="00C2442A"/>
    <w:rsid w:val="00C329B8"/>
    <w:rsid w:val="00C3466E"/>
    <w:rsid w:val="00C377C6"/>
    <w:rsid w:val="00C544D0"/>
    <w:rsid w:val="00C556A4"/>
    <w:rsid w:val="00C604E7"/>
    <w:rsid w:val="00C636C5"/>
    <w:rsid w:val="00C65C04"/>
    <w:rsid w:val="00C6763E"/>
    <w:rsid w:val="00C819E5"/>
    <w:rsid w:val="00C834C1"/>
    <w:rsid w:val="00C8463C"/>
    <w:rsid w:val="00CA0D04"/>
    <w:rsid w:val="00CA1BE2"/>
    <w:rsid w:val="00CA3041"/>
    <w:rsid w:val="00CA6B29"/>
    <w:rsid w:val="00CB4B15"/>
    <w:rsid w:val="00CB5CF7"/>
    <w:rsid w:val="00CC20D0"/>
    <w:rsid w:val="00CD3A78"/>
    <w:rsid w:val="00CD69AD"/>
    <w:rsid w:val="00CF098F"/>
    <w:rsid w:val="00CF5C84"/>
    <w:rsid w:val="00CF68BC"/>
    <w:rsid w:val="00D00F7A"/>
    <w:rsid w:val="00D024AC"/>
    <w:rsid w:val="00D03978"/>
    <w:rsid w:val="00D07AAC"/>
    <w:rsid w:val="00D10B25"/>
    <w:rsid w:val="00D12626"/>
    <w:rsid w:val="00D1322C"/>
    <w:rsid w:val="00D16305"/>
    <w:rsid w:val="00D2075F"/>
    <w:rsid w:val="00D20CB0"/>
    <w:rsid w:val="00D46159"/>
    <w:rsid w:val="00D46F7F"/>
    <w:rsid w:val="00D538C7"/>
    <w:rsid w:val="00D54D47"/>
    <w:rsid w:val="00D57944"/>
    <w:rsid w:val="00D60365"/>
    <w:rsid w:val="00D62FF8"/>
    <w:rsid w:val="00D63944"/>
    <w:rsid w:val="00D6411A"/>
    <w:rsid w:val="00D75F3D"/>
    <w:rsid w:val="00D85EC8"/>
    <w:rsid w:val="00D85F02"/>
    <w:rsid w:val="00D93BBF"/>
    <w:rsid w:val="00DA5E13"/>
    <w:rsid w:val="00DB377E"/>
    <w:rsid w:val="00DB5459"/>
    <w:rsid w:val="00DB601A"/>
    <w:rsid w:val="00DC3E25"/>
    <w:rsid w:val="00DC603C"/>
    <w:rsid w:val="00DC6D9C"/>
    <w:rsid w:val="00DD3CC3"/>
    <w:rsid w:val="00DD4621"/>
    <w:rsid w:val="00DE04C9"/>
    <w:rsid w:val="00DE109F"/>
    <w:rsid w:val="00DE3C2F"/>
    <w:rsid w:val="00DE43B1"/>
    <w:rsid w:val="00DF3666"/>
    <w:rsid w:val="00DF626F"/>
    <w:rsid w:val="00E02289"/>
    <w:rsid w:val="00E12234"/>
    <w:rsid w:val="00E176ED"/>
    <w:rsid w:val="00E22F07"/>
    <w:rsid w:val="00E25B50"/>
    <w:rsid w:val="00E35F8D"/>
    <w:rsid w:val="00E41CB8"/>
    <w:rsid w:val="00E41D59"/>
    <w:rsid w:val="00E5072C"/>
    <w:rsid w:val="00E51221"/>
    <w:rsid w:val="00E53398"/>
    <w:rsid w:val="00E54BEA"/>
    <w:rsid w:val="00E55604"/>
    <w:rsid w:val="00E55A2F"/>
    <w:rsid w:val="00E6463D"/>
    <w:rsid w:val="00E65760"/>
    <w:rsid w:val="00E705E2"/>
    <w:rsid w:val="00E714A2"/>
    <w:rsid w:val="00E755E6"/>
    <w:rsid w:val="00E77FC4"/>
    <w:rsid w:val="00E91E3B"/>
    <w:rsid w:val="00E91F1E"/>
    <w:rsid w:val="00E92B12"/>
    <w:rsid w:val="00EA08D8"/>
    <w:rsid w:val="00EA7C64"/>
    <w:rsid w:val="00EB2FB8"/>
    <w:rsid w:val="00EB50A9"/>
    <w:rsid w:val="00EB6588"/>
    <w:rsid w:val="00EC13F3"/>
    <w:rsid w:val="00EC1DF1"/>
    <w:rsid w:val="00EC675C"/>
    <w:rsid w:val="00EC795A"/>
    <w:rsid w:val="00EE1519"/>
    <w:rsid w:val="00EE4B9E"/>
    <w:rsid w:val="00EF711A"/>
    <w:rsid w:val="00EF7A86"/>
    <w:rsid w:val="00EF7C30"/>
    <w:rsid w:val="00F05434"/>
    <w:rsid w:val="00F14522"/>
    <w:rsid w:val="00F14EB4"/>
    <w:rsid w:val="00F24D04"/>
    <w:rsid w:val="00F30900"/>
    <w:rsid w:val="00F36B66"/>
    <w:rsid w:val="00F4112B"/>
    <w:rsid w:val="00F41C0C"/>
    <w:rsid w:val="00F46010"/>
    <w:rsid w:val="00F51FBE"/>
    <w:rsid w:val="00F656B1"/>
    <w:rsid w:val="00F67694"/>
    <w:rsid w:val="00F70C6E"/>
    <w:rsid w:val="00F73C63"/>
    <w:rsid w:val="00F83463"/>
    <w:rsid w:val="00F862A3"/>
    <w:rsid w:val="00FA28A3"/>
    <w:rsid w:val="00FA2A2D"/>
    <w:rsid w:val="00FB1932"/>
    <w:rsid w:val="00FB2514"/>
    <w:rsid w:val="00FB3B6A"/>
    <w:rsid w:val="00FB6B18"/>
    <w:rsid w:val="00FB7685"/>
    <w:rsid w:val="00FB7ABA"/>
    <w:rsid w:val="00FC0636"/>
    <w:rsid w:val="00FC0D29"/>
    <w:rsid w:val="00FC2557"/>
    <w:rsid w:val="00FC63BA"/>
    <w:rsid w:val="00FD02A2"/>
    <w:rsid w:val="00FD25DF"/>
    <w:rsid w:val="00FD64CD"/>
    <w:rsid w:val="00FE4135"/>
    <w:rsid w:val="00FE7E34"/>
    <w:rsid w:val="00FF20A4"/>
    <w:rsid w:val="00FF5B8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35CAC6"/>
  <w15:docId w15:val="{4275C046-37B7-44DE-8875-D6A4BAB26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3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unhideWhenUsed/>
    <w:rsid w:val="00E22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3715F9"/>
    <w:pPr>
      <w:ind w:left="720"/>
      <w:contextualSpacing/>
    </w:pPr>
    <w:rPr>
      <w:lang w:val="en-US"/>
    </w:rPr>
  </w:style>
  <w:style w:type="paragraph" w:styleId="Header">
    <w:name w:val="header"/>
    <w:basedOn w:val="Normal"/>
    <w:link w:val="HeaderChar"/>
    <w:uiPriority w:val="99"/>
    <w:unhideWhenUsed/>
    <w:rsid w:val="00711C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711C04"/>
  </w:style>
  <w:style w:type="paragraph" w:styleId="Footer">
    <w:name w:val="footer"/>
    <w:basedOn w:val="Normal"/>
    <w:link w:val="FooterChar"/>
    <w:uiPriority w:val="99"/>
    <w:unhideWhenUsed/>
    <w:rsid w:val="00711C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711C04"/>
  </w:style>
  <w:style w:type="paragraph" w:styleId="FootnoteText">
    <w:name w:val="footnote text"/>
    <w:basedOn w:val="Normal"/>
    <w:link w:val="FootnoteTextChar"/>
    <w:uiPriority w:val="99"/>
    <w:semiHidden/>
    <w:unhideWhenUsed/>
    <w:rsid w:val="004509F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509F7"/>
    <w:rPr>
      <w:sz w:val="20"/>
      <w:szCs w:val="20"/>
    </w:rPr>
  </w:style>
  <w:style w:type="character" w:styleId="FootnoteReference">
    <w:name w:val="footnote reference"/>
    <w:basedOn w:val="DefaultParagraphFont"/>
    <w:uiPriority w:val="99"/>
    <w:semiHidden/>
    <w:unhideWhenUsed/>
    <w:rsid w:val="004509F7"/>
    <w:rPr>
      <w:vertAlign w:val="superscript"/>
    </w:rPr>
  </w:style>
  <w:style w:type="paragraph" w:styleId="EndnoteText">
    <w:name w:val="endnote text"/>
    <w:basedOn w:val="Normal"/>
    <w:link w:val="EndnoteTextChar"/>
    <w:uiPriority w:val="99"/>
    <w:semiHidden/>
    <w:unhideWhenUsed/>
    <w:rsid w:val="004509F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509F7"/>
    <w:rPr>
      <w:sz w:val="20"/>
      <w:szCs w:val="20"/>
    </w:rPr>
  </w:style>
  <w:style w:type="character" w:styleId="EndnoteReference">
    <w:name w:val="endnote reference"/>
    <w:basedOn w:val="DefaultParagraphFont"/>
    <w:uiPriority w:val="99"/>
    <w:semiHidden/>
    <w:unhideWhenUsed/>
    <w:rsid w:val="004509F7"/>
    <w:rPr>
      <w:vertAlign w:val="superscript"/>
    </w:rPr>
  </w:style>
  <w:style w:type="character" w:styleId="CommentReference">
    <w:name w:val="annotation reference"/>
    <w:basedOn w:val="DefaultParagraphFont"/>
    <w:uiPriority w:val="99"/>
    <w:semiHidden/>
    <w:unhideWhenUsed/>
    <w:rsid w:val="00845310"/>
    <w:rPr>
      <w:sz w:val="16"/>
      <w:szCs w:val="16"/>
    </w:rPr>
  </w:style>
  <w:style w:type="paragraph" w:styleId="CommentText">
    <w:name w:val="annotation text"/>
    <w:basedOn w:val="Normal"/>
    <w:link w:val="CommentTextChar"/>
    <w:uiPriority w:val="99"/>
    <w:semiHidden/>
    <w:unhideWhenUsed/>
    <w:rsid w:val="00845310"/>
    <w:pPr>
      <w:spacing w:line="240" w:lineRule="auto"/>
    </w:pPr>
    <w:rPr>
      <w:sz w:val="20"/>
      <w:szCs w:val="20"/>
    </w:rPr>
  </w:style>
  <w:style w:type="character" w:customStyle="1" w:styleId="CommentTextChar">
    <w:name w:val="Comment Text Char"/>
    <w:basedOn w:val="DefaultParagraphFont"/>
    <w:link w:val="CommentText"/>
    <w:uiPriority w:val="99"/>
    <w:semiHidden/>
    <w:rsid w:val="00845310"/>
    <w:rPr>
      <w:sz w:val="20"/>
      <w:szCs w:val="20"/>
    </w:rPr>
  </w:style>
  <w:style w:type="paragraph" w:styleId="CommentSubject">
    <w:name w:val="annotation subject"/>
    <w:basedOn w:val="CommentText"/>
    <w:next w:val="CommentText"/>
    <w:link w:val="CommentSubjectChar"/>
    <w:uiPriority w:val="99"/>
    <w:semiHidden/>
    <w:unhideWhenUsed/>
    <w:rsid w:val="00845310"/>
    <w:rPr>
      <w:b/>
      <w:bCs/>
    </w:rPr>
  </w:style>
  <w:style w:type="character" w:customStyle="1" w:styleId="CommentSubjectChar">
    <w:name w:val="Comment Subject Char"/>
    <w:basedOn w:val="CommentTextChar"/>
    <w:link w:val="CommentSubject"/>
    <w:uiPriority w:val="99"/>
    <w:semiHidden/>
    <w:rsid w:val="00845310"/>
    <w:rPr>
      <w:b/>
      <w:bCs/>
      <w:sz w:val="20"/>
      <w:szCs w:val="20"/>
    </w:rPr>
  </w:style>
  <w:style w:type="paragraph" w:styleId="BalloonText">
    <w:name w:val="Balloon Text"/>
    <w:basedOn w:val="Normal"/>
    <w:link w:val="BalloonTextChar"/>
    <w:uiPriority w:val="99"/>
    <w:semiHidden/>
    <w:unhideWhenUsed/>
    <w:rsid w:val="008453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310"/>
    <w:rPr>
      <w:rFonts w:ascii="Segoe UI" w:hAnsi="Segoe UI" w:cs="Segoe UI"/>
      <w:sz w:val="18"/>
      <w:szCs w:val="18"/>
    </w:rPr>
  </w:style>
  <w:style w:type="paragraph" w:styleId="IntenseQuote">
    <w:name w:val="Intense Quote"/>
    <w:basedOn w:val="Normal"/>
    <w:next w:val="Normal"/>
    <w:link w:val="IntenseQuoteChar"/>
    <w:uiPriority w:val="30"/>
    <w:qFormat/>
    <w:rsid w:val="00F83463"/>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F83463"/>
    <w:rPr>
      <w:i/>
      <w:iCs/>
      <w:color w:val="4F81BD" w:themeColor="accent1"/>
    </w:rPr>
  </w:style>
  <w:style w:type="character" w:styleId="Emphasis">
    <w:name w:val="Emphasis"/>
    <w:basedOn w:val="DefaultParagraphFont"/>
    <w:uiPriority w:val="20"/>
    <w:qFormat/>
    <w:rsid w:val="005D00E7"/>
    <w:rPr>
      <w:i/>
      <w:iCs/>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F4112B"/>
    <w:rPr>
      <w:lang w:val="en-US"/>
    </w:rPr>
  </w:style>
  <w:style w:type="character" w:styleId="Hyperlink">
    <w:name w:val="Hyperlink"/>
    <w:basedOn w:val="DefaultParagraphFont"/>
    <w:uiPriority w:val="99"/>
    <w:unhideWhenUsed/>
    <w:rsid w:val="007A4D8D"/>
    <w:rPr>
      <w:color w:val="0000FF" w:themeColor="hyperlink"/>
      <w:u w:val="single"/>
    </w:rPr>
  </w:style>
  <w:style w:type="paragraph" w:styleId="Revision">
    <w:name w:val="Revision"/>
    <w:hidden/>
    <w:uiPriority w:val="99"/>
    <w:semiHidden/>
    <w:rsid w:val="00A302E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68352">
      <w:bodyDiv w:val="1"/>
      <w:marLeft w:val="0"/>
      <w:marRight w:val="0"/>
      <w:marTop w:val="0"/>
      <w:marBottom w:val="0"/>
      <w:divBdr>
        <w:top w:val="none" w:sz="0" w:space="0" w:color="auto"/>
        <w:left w:val="none" w:sz="0" w:space="0" w:color="auto"/>
        <w:bottom w:val="none" w:sz="0" w:space="0" w:color="auto"/>
        <w:right w:val="none" w:sz="0" w:space="0" w:color="auto"/>
      </w:divBdr>
    </w:div>
    <w:div w:id="202639791">
      <w:bodyDiv w:val="1"/>
      <w:marLeft w:val="0"/>
      <w:marRight w:val="0"/>
      <w:marTop w:val="0"/>
      <w:marBottom w:val="0"/>
      <w:divBdr>
        <w:top w:val="none" w:sz="0" w:space="0" w:color="auto"/>
        <w:left w:val="none" w:sz="0" w:space="0" w:color="auto"/>
        <w:bottom w:val="none" w:sz="0" w:space="0" w:color="auto"/>
        <w:right w:val="none" w:sz="0" w:space="0" w:color="auto"/>
      </w:divBdr>
    </w:div>
    <w:div w:id="780076423">
      <w:bodyDiv w:val="1"/>
      <w:marLeft w:val="0"/>
      <w:marRight w:val="0"/>
      <w:marTop w:val="0"/>
      <w:marBottom w:val="0"/>
      <w:divBdr>
        <w:top w:val="none" w:sz="0" w:space="0" w:color="auto"/>
        <w:left w:val="none" w:sz="0" w:space="0" w:color="auto"/>
        <w:bottom w:val="none" w:sz="0" w:space="0" w:color="auto"/>
        <w:right w:val="none" w:sz="0" w:space="0" w:color="auto"/>
      </w:divBdr>
    </w:div>
    <w:div w:id="853613231">
      <w:bodyDiv w:val="1"/>
      <w:marLeft w:val="0"/>
      <w:marRight w:val="0"/>
      <w:marTop w:val="0"/>
      <w:marBottom w:val="0"/>
      <w:divBdr>
        <w:top w:val="none" w:sz="0" w:space="0" w:color="auto"/>
        <w:left w:val="none" w:sz="0" w:space="0" w:color="auto"/>
        <w:bottom w:val="none" w:sz="0" w:space="0" w:color="auto"/>
        <w:right w:val="none" w:sz="0" w:space="0" w:color="auto"/>
      </w:divBdr>
    </w:div>
    <w:div w:id="964848632">
      <w:bodyDiv w:val="1"/>
      <w:marLeft w:val="0"/>
      <w:marRight w:val="0"/>
      <w:marTop w:val="0"/>
      <w:marBottom w:val="0"/>
      <w:divBdr>
        <w:top w:val="none" w:sz="0" w:space="0" w:color="auto"/>
        <w:left w:val="none" w:sz="0" w:space="0" w:color="auto"/>
        <w:bottom w:val="none" w:sz="0" w:space="0" w:color="auto"/>
        <w:right w:val="none" w:sz="0" w:space="0" w:color="auto"/>
      </w:divBdr>
    </w:div>
    <w:div w:id="1288201365">
      <w:bodyDiv w:val="1"/>
      <w:marLeft w:val="0"/>
      <w:marRight w:val="0"/>
      <w:marTop w:val="0"/>
      <w:marBottom w:val="0"/>
      <w:divBdr>
        <w:top w:val="none" w:sz="0" w:space="0" w:color="auto"/>
        <w:left w:val="none" w:sz="0" w:space="0" w:color="auto"/>
        <w:bottom w:val="none" w:sz="0" w:space="0" w:color="auto"/>
        <w:right w:val="none" w:sz="0" w:space="0" w:color="auto"/>
      </w:divBdr>
    </w:div>
    <w:div w:id="1380519852">
      <w:bodyDiv w:val="1"/>
      <w:marLeft w:val="0"/>
      <w:marRight w:val="0"/>
      <w:marTop w:val="0"/>
      <w:marBottom w:val="0"/>
      <w:divBdr>
        <w:top w:val="none" w:sz="0" w:space="0" w:color="auto"/>
        <w:left w:val="none" w:sz="0" w:space="0" w:color="auto"/>
        <w:bottom w:val="none" w:sz="0" w:space="0" w:color="auto"/>
        <w:right w:val="none" w:sz="0" w:space="0" w:color="auto"/>
      </w:divBdr>
    </w:div>
    <w:div w:id="1496529455">
      <w:bodyDiv w:val="1"/>
      <w:marLeft w:val="0"/>
      <w:marRight w:val="0"/>
      <w:marTop w:val="0"/>
      <w:marBottom w:val="0"/>
      <w:divBdr>
        <w:top w:val="none" w:sz="0" w:space="0" w:color="auto"/>
        <w:left w:val="none" w:sz="0" w:space="0" w:color="auto"/>
        <w:bottom w:val="none" w:sz="0" w:space="0" w:color="auto"/>
        <w:right w:val="none" w:sz="0" w:space="0" w:color="auto"/>
      </w:divBdr>
    </w:div>
    <w:div w:id="154587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C3A17-F9F6-4E16-9EB6-93D575017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917</Words>
  <Characters>5229</Characters>
  <Application>Microsoft Office Word</Application>
  <DocSecurity>0</DocSecurity>
  <Lines>43</Lines>
  <Paragraphs>12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Jordanova</dc:creator>
  <cp:lastModifiedBy>Vladi</cp:lastModifiedBy>
  <cp:revision>2</cp:revision>
  <dcterms:created xsi:type="dcterms:W3CDTF">2021-12-02T09:28:00Z</dcterms:created>
  <dcterms:modified xsi:type="dcterms:W3CDTF">2021-12-02T09:28:00Z</dcterms:modified>
</cp:coreProperties>
</file>