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Default="002F53D3" w:rsidP="00494EBF">
      <w:pPr>
        <w:spacing w:line="360" w:lineRule="auto"/>
        <w:rPr>
          <w:rFonts w:ascii="Verdana" w:hAnsi="Verdana"/>
          <w:b/>
          <w:lang w:val="bg-BG"/>
        </w:rPr>
      </w:pPr>
    </w:p>
    <w:p w:rsidR="00390D46" w:rsidRPr="0059329C" w:rsidRDefault="00390D46" w:rsidP="00494EBF">
      <w:pPr>
        <w:spacing w:line="360" w:lineRule="auto"/>
        <w:rPr>
          <w:rFonts w:ascii="Verdana" w:hAnsi="Verdana"/>
          <w:b/>
          <w:lang w:val="bg-BG"/>
        </w:rPr>
      </w:pPr>
    </w:p>
    <w:p w:rsidR="00494EBF" w:rsidRDefault="00494EBF" w:rsidP="00494EBF">
      <w:pPr>
        <w:spacing w:line="360" w:lineRule="auto"/>
        <w:rPr>
          <w:rFonts w:ascii="Verdana" w:hAnsi="Verdana"/>
          <w:b/>
        </w:rPr>
      </w:pPr>
    </w:p>
    <w:p w:rsidR="003F5B76" w:rsidRPr="0059329C" w:rsidRDefault="005F3625" w:rsidP="00494EBF">
      <w:pPr>
        <w:spacing w:line="360" w:lineRule="auto"/>
        <w:rPr>
          <w:rFonts w:ascii="Verdana" w:hAnsi="Verdana"/>
          <w:b/>
          <w:lang w:val="bg-BG"/>
        </w:rPr>
      </w:pPr>
      <w:r w:rsidRPr="0059329C">
        <w:rPr>
          <w:rFonts w:ascii="Verdana" w:hAnsi="Verdana"/>
          <w:b/>
          <w:lang w:val="bg-BG"/>
        </w:rPr>
        <w:t>ДО</w:t>
      </w:r>
    </w:p>
    <w:p w:rsidR="003F5B76" w:rsidRPr="0059329C" w:rsidRDefault="005F3625" w:rsidP="00494EBF">
      <w:pPr>
        <w:spacing w:line="360" w:lineRule="auto"/>
        <w:jc w:val="both"/>
        <w:outlineLvl w:val="0"/>
        <w:rPr>
          <w:rFonts w:ascii="Verdana" w:hAnsi="Verdana"/>
          <w:b/>
          <w:lang w:val="bg-BG"/>
        </w:rPr>
      </w:pPr>
      <w:r w:rsidRPr="0059329C">
        <w:rPr>
          <w:rFonts w:ascii="Verdana" w:hAnsi="Verdana"/>
          <w:b/>
          <w:lang w:val="bg-BG"/>
        </w:rPr>
        <w:t>МИНИСТЕРСКИЯ СЪВЕТ</w:t>
      </w:r>
    </w:p>
    <w:p w:rsidR="003F5B76" w:rsidRPr="0059329C" w:rsidRDefault="005F3625" w:rsidP="00494EBF">
      <w:pPr>
        <w:spacing w:line="360" w:lineRule="auto"/>
        <w:jc w:val="both"/>
        <w:outlineLvl w:val="0"/>
        <w:rPr>
          <w:rFonts w:ascii="Verdana" w:hAnsi="Verdana"/>
          <w:b/>
          <w:lang w:val="bg-BG"/>
        </w:rPr>
      </w:pPr>
      <w:r w:rsidRPr="0059329C">
        <w:rPr>
          <w:rFonts w:ascii="Verdana" w:hAnsi="Verdana"/>
          <w:b/>
          <w:lang w:val="bg-BG"/>
        </w:rPr>
        <w:t>НА РЕПУБЛИКА БЪЛГАРИЯ</w:t>
      </w:r>
    </w:p>
    <w:p w:rsidR="003F5B76" w:rsidRDefault="003F5B76" w:rsidP="00494EBF">
      <w:pPr>
        <w:spacing w:line="360" w:lineRule="auto"/>
        <w:jc w:val="center"/>
        <w:rPr>
          <w:rFonts w:ascii="Verdana" w:hAnsi="Verdana"/>
          <w:b/>
          <w:spacing w:val="60"/>
          <w:lang w:val="bg-BG"/>
        </w:rPr>
      </w:pPr>
    </w:p>
    <w:p w:rsidR="00135DC9" w:rsidRPr="00135DC9" w:rsidRDefault="00135DC9" w:rsidP="00494EBF">
      <w:pPr>
        <w:spacing w:line="360" w:lineRule="auto"/>
        <w:jc w:val="center"/>
        <w:rPr>
          <w:rFonts w:ascii="Verdana" w:hAnsi="Verdana"/>
          <w:b/>
          <w:spacing w:val="60"/>
          <w:lang w:val="bg-BG"/>
        </w:rPr>
      </w:pPr>
    </w:p>
    <w:p w:rsidR="00390D46" w:rsidRDefault="00390D46" w:rsidP="00494EBF">
      <w:pPr>
        <w:spacing w:line="360" w:lineRule="auto"/>
        <w:jc w:val="center"/>
        <w:rPr>
          <w:rFonts w:ascii="Verdana" w:hAnsi="Verdana"/>
          <w:b/>
          <w:spacing w:val="60"/>
          <w:sz w:val="24"/>
          <w:szCs w:val="24"/>
          <w:lang w:val="bg-BG"/>
        </w:rPr>
      </w:pPr>
    </w:p>
    <w:p w:rsidR="003F5B76" w:rsidRPr="0059329C" w:rsidRDefault="005F3625" w:rsidP="00494EBF">
      <w:pPr>
        <w:spacing w:line="360" w:lineRule="auto"/>
        <w:jc w:val="center"/>
        <w:rPr>
          <w:rFonts w:ascii="Verdana" w:hAnsi="Verdana"/>
          <w:b/>
          <w:spacing w:val="60"/>
          <w:sz w:val="24"/>
          <w:szCs w:val="24"/>
          <w:lang w:val="bg-BG"/>
        </w:rPr>
      </w:pPr>
      <w:r w:rsidRPr="0059329C">
        <w:rPr>
          <w:rFonts w:ascii="Verdana" w:hAnsi="Verdana"/>
          <w:b/>
          <w:spacing w:val="60"/>
          <w:sz w:val="24"/>
          <w:szCs w:val="24"/>
          <w:lang w:val="bg-BG"/>
        </w:rPr>
        <w:t>ДОКЛАД</w:t>
      </w:r>
    </w:p>
    <w:p w:rsidR="003F5B76" w:rsidRPr="00F058A3" w:rsidRDefault="00B5546B" w:rsidP="00494EBF">
      <w:pPr>
        <w:spacing w:line="360" w:lineRule="auto"/>
        <w:jc w:val="center"/>
        <w:rPr>
          <w:rFonts w:ascii="Verdana" w:hAnsi="Verdana"/>
          <w:b/>
          <w:lang w:val="bg-BG"/>
        </w:rPr>
      </w:pPr>
      <w:r w:rsidRPr="00F058A3">
        <w:rPr>
          <w:rFonts w:ascii="Verdana" w:hAnsi="Verdana"/>
          <w:b/>
          <w:lang w:val="bg-BG"/>
        </w:rPr>
        <w:t xml:space="preserve">от </w:t>
      </w:r>
      <w:r w:rsidR="00E37659">
        <w:rPr>
          <w:rFonts w:ascii="Verdana" w:hAnsi="Verdana"/>
          <w:b/>
          <w:lang w:val="bg-BG"/>
        </w:rPr>
        <w:t>д-р Иван Иванов</w:t>
      </w:r>
      <w:r w:rsidR="005F3625" w:rsidRPr="00F058A3">
        <w:rPr>
          <w:rFonts w:ascii="Verdana" w:hAnsi="Verdana"/>
          <w:b/>
          <w:lang w:val="bg-BG"/>
        </w:rPr>
        <w:t xml:space="preserve"> – </w:t>
      </w:r>
      <w:r w:rsidRPr="00F058A3">
        <w:rPr>
          <w:rFonts w:ascii="Verdana" w:hAnsi="Verdana"/>
          <w:b/>
          <w:lang w:val="bg-BG"/>
        </w:rPr>
        <w:t xml:space="preserve">министър </w:t>
      </w:r>
      <w:r w:rsidR="00E37659">
        <w:rPr>
          <w:rFonts w:ascii="Verdana" w:hAnsi="Verdana"/>
          <w:b/>
          <w:lang w:val="bg-BG"/>
        </w:rPr>
        <w:t>на земеделието</w:t>
      </w:r>
    </w:p>
    <w:p w:rsidR="003F5B76" w:rsidRDefault="003F5B76" w:rsidP="00494EBF">
      <w:pPr>
        <w:spacing w:line="360" w:lineRule="auto"/>
        <w:jc w:val="center"/>
        <w:rPr>
          <w:rFonts w:ascii="Verdana" w:hAnsi="Verdana"/>
          <w:b/>
          <w:lang w:val="bg-BG"/>
        </w:rPr>
      </w:pPr>
    </w:p>
    <w:p w:rsidR="00390D46" w:rsidRDefault="00390D46" w:rsidP="00494EBF">
      <w:pPr>
        <w:spacing w:line="360" w:lineRule="auto"/>
        <w:jc w:val="center"/>
        <w:rPr>
          <w:rFonts w:ascii="Verdana" w:hAnsi="Verdana"/>
          <w:b/>
          <w:lang w:val="bg-BG"/>
        </w:rPr>
      </w:pPr>
    </w:p>
    <w:p w:rsidR="00390D46" w:rsidRPr="00F058A3" w:rsidRDefault="00390D46" w:rsidP="00494EBF">
      <w:pPr>
        <w:spacing w:line="360" w:lineRule="auto"/>
        <w:jc w:val="center"/>
        <w:rPr>
          <w:rFonts w:ascii="Verdana" w:hAnsi="Verdana"/>
          <w:b/>
          <w:lang w:val="bg-BG"/>
        </w:rPr>
      </w:pPr>
    </w:p>
    <w:p w:rsidR="00390D46" w:rsidRDefault="00390D46" w:rsidP="00494EBF">
      <w:pPr>
        <w:spacing w:line="360" w:lineRule="auto"/>
        <w:ind w:left="1134" w:hanging="1134"/>
        <w:jc w:val="both"/>
        <w:rPr>
          <w:rFonts w:ascii="Verdana" w:hAnsi="Verdana"/>
          <w:b/>
          <w:lang w:val="bg-BG"/>
        </w:rPr>
      </w:pPr>
    </w:p>
    <w:p w:rsidR="00DE305F" w:rsidRPr="00741448" w:rsidRDefault="005F3625" w:rsidP="00494EBF">
      <w:pPr>
        <w:spacing w:line="360" w:lineRule="auto"/>
        <w:ind w:left="1134" w:hanging="1134"/>
        <w:jc w:val="both"/>
        <w:rPr>
          <w:rFonts w:ascii="Verdana" w:hAnsi="Verdana"/>
          <w:b/>
          <w:lang w:val="bg-BG"/>
        </w:rPr>
      </w:pPr>
      <w:r w:rsidRPr="00741448">
        <w:rPr>
          <w:rFonts w:ascii="Verdana" w:hAnsi="Verdana"/>
          <w:b/>
          <w:lang w:val="bg-BG"/>
        </w:rPr>
        <w:t>Относно:</w:t>
      </w:r>
      <w:r w:rsidRPr="00741448">
        <w:rPr>
          <w:rFonts w:ascii="Verdana" w:hAnsi="Verdana"/>
          <w:lang w:val="bg-BG"/>
        </w:rPr>
        <w:t xml:space="preserve"> Проект на Постановление на Министерския съвет за приемане на </w:t>
      </w:r>
      <w:r w:rsidR="006171E3" w:rsidRPr="00741448">
        <w:rPr>
          <w:rFonts w:ascii="Verdana" w:hAnsi="Verdana"/>
          <w:lang w:val="bg-BG"/>
        </w:rPr>
        <w:t>Наредба за изискванията към използването на екстракционни разтворители при производството на храни и хранителни съставки</w:t>
      </w:r>
    </w:p>
    <w:p w:rsidR="00390D46" w:rsidRDefault="00390D46" w:rsidP="00494EBF">
      <w:pPr>
        <w:spacing w:line="360" w:lineRule="auto"/>
        <w:rPr>
          <w:rFonts w:ascii="Verdana" w:hAnsi="Verdana"/>
          <w:b/>
          <w:lang w:val="bg-BG"/>
        </w:rPr>
      </w:pPr>
    </w:p>
    <w:p w:rsidR="00390D46" w:rsidRDefault="00390D46" w:rsidP="00494EBF">
      <w:pPr>
        <w:spacing w:line="360" w:lineRule="auto"/>
        <w:rPr>
          <w:rFonts w:ascii="Verdana" w:hAnsi="Verdana"/>
          <w:b/>
          <w:lang w:val="bg-BG"/>
        </w:rPr>
      </w:pPr>
    </w:p>
    <w:p w:rsidR="00390D46" w:rsidRDefault="00390D46" w:rsidP="00494EBF">
      <w:pPr>
        <w:spacing w:line="360" w:lineRule="auto"/>
        <w:rPr>
          <w:rFonts w:ascii="Verdana" w:hAnsi="Verdana"/>
          <w:b/>
          <w:lang w:val="bg-BG"/>
        </w:rPr>
      </w:pPr>
    </w:p>
    <w:p w:rsidR="003F5B76" w:rsidRPr="00741448" w:rsidRDefault="005F3625" w:rsidP="00494EBF">
      <w:pPr>
        <w:spacing w:line="360" w:lineRule="auto"/>
        <w:rPr>
          <w:rFonts w:ascii="Verdana" w:hAnsi="Verdana"/>
          <w:b/>
          <w:lang w:val="bg-BG"/>
        </w:rPr>
      </w:pPr>
      <w:r w:rsidRPr="00741448">
        <w:rPr>
          <w:rFonts w:ascii="Verdana" w:hAnsi="Verdana"/>
          <w:b/>
          <w:lang w:val="bg-BG"/>
        </w:rPr>
        <w:t>УВАЖАЕМИ ГОСПОДИН МИНИСТЪР-ПРЕДСЕДАТЕЛ,</w:t>
      </w:r>
    </w:p>
    <w:p w:rsidR="003F5B76" w:rsidRPr="00741448" w:rsidRDefault="005F3625" w:rsidP="00494EBF">
      <w:pPr>
        <w:spacing w:after="120" w:line="360" w:lineRule="auto"/>
        <w:rPr>
          <w:rFonts w:ascii="Verdana" w:hAnsi="Verdana"/>
          <w:b/>
          <w:lang w:val="bg-BG"/>
        </w:rPr>
      </w:pPr>
      <w:r w:rsidRPr="00741448">
        <w:rPr>
          <w:rFonts w:ascii="Verdana" w:hAnsi="Verdana"/>
          <w:b/>
          <w:lang w:val="bg-BG"/>
        </w:rPr>
        <w:t>УВАЖАЕМИ ГОСПОЖИ И ГОСПОДА МИНИСТРИ,</w:t>
      </w:r>
    </w:p>
    <w:p w:rsidR="003F5B76" w:rsidRPr="00741448" w:rsidRDefault="005F3625" w:rsidP="00494EBF">
      <w:pPr>
        <w:spacing w:line="360" w:lineRule="auto"/>
        <w:ind w:firstLine="709"/>
        <w:jc w:val="both"/>
        <w:rPr>
          <w:rFonts w:ascii="Verdana" w:hAnsi="Verdana"/>
          <w:lang w:val="bg-BG"/>
        </w:rPr>
      </w:pPr>
      <w:r w:rsidRPr="00741448">
        <w:rPr>
          <w:rFonts w:ascii="Verdana" w:hAnsi="Verdana" w:cs="Verdana"/>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w:t>
      </w:r>
      <w:r w:rsidR="006171E3" w:rsidRPr="00741448">
        <w:rPr>
          <w:rFonts w:ascii="Verdana" w:hAnsi="Verdana"/>
          <w:lang w:val="bg-BG"/>
        </w:rPr>
        <w:t>Наредба за изискванията към използването на екстракционни разтворители при производството на храни и хранителни съставки</w:t>
      </w:r>
      <w:r w:rsidR="00FC72A1" w:rsidRPr="00741448">
        <w:rPr>
          <w:rFonts w:ascii="Verdana" w:hAnsi="Verdana"/>
          <w:lang w:val="bg-BG"/>
        </w:rPr>
        <w:t>.</w:t>
      </w:r>
    </w:p>
    <w:p w:rsidR="009B0162" w:rsidRPr="00741448" w:rsidRDefault="009B0162" w:rsidP="00494EBF">
      <w:pPr>
        <w:spacing w:line="360" w:lineRule="auto"/>
        <w:ind w:firstLine="709"/>
        <w:jc w:val="both"/>
        <w:rPr>
          <w:rFonts w:ascii="Verdana" w:hAnsi="Verdana" w:cs="Verdana"/>
          <w:b/>
          <w:lang w:val="bg-BG"/>
        </w:rPr>
      </w:pPr>
    </w:p>
    <w:p w:rsidR="00EB278A" w:rsidRPr="00741448" w:rsidRDefault="00EB278A" w:rsidP="00494EBF">
      <w:pPr>
        <w:spacing w:line="360" w:lineRule="auto"/>
        <w:ind w:firstLine="709"/>
        <w:jc w:val="both"/>
        <w:rPr>
          <w:rFonts w:ascii="Verdana" w:hAnsi="Verdana" w:cs="Verdana"/>
          <w:b/>
          <w:lang w:val="bg-BG"/>
        </w:rPr>
      </w:pPr>
      <w:r w:rsidRPr="00741448">
        <w:rPr>
          <w:rFonts w:ascii="Verdana" w:hAnsi="Verdana" w:cs="Verdana"/>
          <w:b/>
          <w:lang w:val="bg-BG"/>
        </w:rPr>
        <w:t>Причини, които налагат приемането на акта</w:t>
      </w:r>
    </w:p>
    <w:p w:rsidR="001A7B68" w:rsidRPr="00741448" w:rsidRDefault="001A7B68" w:rsidP="00494EBF">
      <w:pPr>
        <w:spacing w:line="360" w:lineRule="auto"/>
        <w:ind w:firstLine="709"/>
        <w:jc w:val="both"/>
        <w:rPr>
          <w:rFonts w:ascii="Verdana" w:hAnsi="Verdana"/>
          <w:lang w:val="bg-BG"/>
        </w:rPr>
      </w:pPr>
      <w:r w:rsidRPr="00741448">
        <w:rPr>
          <w:rFonts w:ascii="Verdana" w:hAnsi="Verdana"/>
          <w:bCs/>
          <w:lang w:val="bg-BG"/>
        </w:rPr>
        <w:t>В „Държавен вестник“ бр. 52 от</w:t>
      </w:r>
      <w:r w:rsidR="00127236">
        <w:rPr>
          <w:rFonts w:ascii="Verdana" w:hAnsi="Verdana"/>
          <w:bCs/>
          <w:lang w:val="bg-BG"/>
        </w:rPr>
        <w:t xml:space="preserve"> </w:t>
      </w:r>
      <w:r w:rsidRPr="00741448">
        <w:rPr>
          <w:rFonts w:ascii="Verdana" w:hAnsi="Verdana"/>
          <w:bCs/>
          <w:lang w:val="bg-BG"/>
        </w:rPr>
        <w:t xml:space="preserve">2020 г. </w:t>
      </w:r>
      <w:r w:rsidR="00CA5FA8" w:rsidRPr="00741448">
        <w:rPr>
          <w:rFonts w:ascii="Verdana" w:hAnsi="Verdana"/>
          <w:bCs/>
          <w:lang w:val="bg-BG"/>
        </w:rPr>
        <w:t>беше</w:t>
      </w:r>
      <w:r w:rsidRPr="00741448">
        <w:rPr>
          <w:rFonts w:ascii="Verdana" w:hAnsi="Verdana"/>
          <w:bCs/>
          <w:lang w:val="bg-BG"/>
        </w:rPr>
        <w:t xml:space="preserve"> </w:t>
      </w:r>
      <w:r w:rsidR="00127236">
        <w:rPr>
          <w:rFonts w:ascii="Verdana" w:hAnsi="Verdana"/>
          <w:bCs/>
          <w:lang w:val="bg-BG"/>
        </w:rPr>
        <w:t>обнародван</w:t>
      </w:r>
      <w:r w:rsidRPr="00741448">
        <w:rPr>
          <w:rFonts w:ascii="Verdana" w:hAnsi="Verdana"/>
          <w:bCs/>
          <w:lang w:val="bg-BG"/>
        </w:rPr>
        <w:t xml:space="preserve"> нов</w:t>
      </w:r>
      <w:r w:rsidR="00CA5FA8" w:rsidRPr="00741448">
        <w:rPr>
          <w:rFonts w:ascii="Verdana" w:hAnsi="Verdana"/>
          <w:bCs/>
          <w:lang w:val="bg-BG"/>
        </w:rPr>
        <w:t xml:space="preserve"> Закон за храните. Законът влезе</w:t>
      </w:r>
      <w:r w:rsidRPr="00741448">
        <w:rPr>
          <w:rFonts w:ascii="Verdana" w:hAnsi="Verdana"/>
          <w:bCs/>
          <w:lang w:val="bg-BG"/>
        </w:rPr>
        <w:t xml:space="preserve"> в сила в деня на</w:t>
      </w:r>
      <w:r w:rsidRPr="00741448">
        <w:rPr>
          <w:rFonts w:ascii="Verdana" w:hAnsi="Verdana"/>
          <w:lang w:val="bg-BG"/>
        </w:rPr>
        <w:t xml:space="preserve"> обнародването му в „Държавен вестник</w:t>
      </w:r>
      <w:r w:rsidRPr="00741448">
        <w:rPr>
          <w:rFonts w:ascii="Verdana" w:hAnsi="Verdana"/>
          <w:bCs/>
          <w:lang w:val="bg-BG"/>
        </w:rPr>
        <w:t>”</w:t>
      </w:r>
      <w:r w:rsidRPr="00741448">
        <w:rPr>
          <w:rFonts w:ascii="Verdana" w:hAnsi="Verdana"/>
          <w:lang w:val="bg-BG"/>
        </w:rPr>
        <w:t>.</w:t>
      </w:r>
    </w:p>
    <w:p w:rsidR="00E1318F" w:rsidRPr="00741448" w:rsidRDefault="00E1318F" w:rsidP="00494EBF">
      <w:pPr>
        <w:spacing w:line="360" w:lineRule="auto"/>
        <w:ind w:firstLine="709"/>
        <w:jc w:val="both"/>
        <w:rPr>
          <w:rFonts w:ascii="Verdana" w:hAnsi="Verdana"/>
          <w:bCs/>
          <w:lang w:val="bg-BG"/>
        </w:rPr>
      </w:pPr>
      <w:r w:rsidRPr="00741448">
        <w:rPr>
          <w:rFonts w:ascii="Verdana" w:hAnsi="Verdana"/>
          <w:bCs/>
          <w:lang w:val="bg-BG"/>
        </w:rPr>
        <w:t xml:space="preserve">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 3, до </w:t>
      </w:r>
      <w:r w:rsidRPr="00741448">
        <w:rPr>
          <w:rFonts w:ascii="Verdana" w:hAnsi="Verdana"/>
          <w:bCs/>
          <w:lang w:val="bg-BG"/>
        </w:rPr>
        <w:lastRenderedPageBreak/>
        <w:t>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rsidR="003E1A4F" w:rsidRPr="00741448" w:rsidRDefault="003E1A4F" w:rsidP="00494EBF">
      <w:pPr>
        <w:spacing w:line="360" w:lineRule="auto"/>
        <w:ind w:firstLine="709"/>
        <w:jc w:val="both"/>
        <w:rPr>
          <w:rFonts w:ascii="Verdana" w:hAnsi="Verdana"/>
          <w:bCs/>
          <w:shd w:val="clear" w:color="auto" w:fill="FEFEFE"/>
          <w:lang w:val="bg-BG"/>
        </w:rPr>
      </w:pPr>
      <w:r w:rsidRPr="00741448">
        <w:rPr>
          <w:rFonts w:ascii="Verdana" w:hAnsi="Verdana"/>
          <w:bCs/>
          <w:shd w:val="clear" w:color="auto" w:fill="FEFEFE"/>
          <w:lang w:val="bg-BG"/>
        </w:rPr>
        <w:t xml:space="preserve">Наредбата </w:t>
      </w:r>
      <w:r w:rsidR="002D1BD8" w:rsidRPr="00741448">
        <w:rPr>
          <w:rFonts w:ascii="Verdana" w:hAnsi="Verdana"/>
          <w:lang w:val="bg-BG"/>
        </w:rPr>
        <w:t>за изискванията към използването на екстракционни разтворители при производството на храни и хранителни съставки</w:t>
      </w:r>
      <w:r w:rsidR="00601CC4">
        <w:rPr>
          <w:rFonts w:ascii="Verdana" w:hAnsi="Verdana"/>
        </w:rPr>
        <w:t xml:space="preserve"> </w:t>
      </w:r>
      <w:r w:rsidRPr="00741448">
        <w:rPr>
          <w:rFonts w:ascii="Verdana" w:hAnsi="Verdana"/>
          <w:bCs/>
          <w:shd w:val="clear" w:color="auto" w:fill="FEFEFE"/>
          <w:lang w:val="bg-BG"/>
        </w:rPr>
        <w:t xml:space="preserve">се </w:t>
      </w:r>
      <w:r w:rsidR="00B5546B" w:rsidRPr="00741448">
        <w:rPr>
          <w:rFonts w:ascii="Verdana" w:hAnsi="Verdana"/>
          <w:bCs/>
          <w:shd w:val="clear" w:color="auto" w:fill="FEFEFE"/>
          <w:lang w:val="bg-BG"/>
        </w:rPr>
        <w:t xml:space="preserve">приема </w:t>
      </w:r>
      <w:r w:rsidRPr="00741448">
        <w:rPr>
          <w:rFonts w:ascii="Verdana" w:hAnsi="Verdana"/>
          <w:bCs/>
          <w:shd w:val="clear" w:color="auto" w:fill="FEFEFE"/>
          <w:lang w:val="bg-BG"/>
        </w:rPr>
        <w:t>на основание чл. 5 от Закона за храните.</w:t>
      </w:r>
    </w:p>
    <w:p w:rsidR="00687679" w:rsidRPr="00741448" w:rsidRDefault="00C0528E" w:rsidP="00494EBF">
      <w:pPr>
        <w:spacing w:line="360" w:lineRule="auto"/>
        <w:ind w:firstLine="709"/>
        <w:jc w:val="both"/>
        <w:rPr>
          <w:rFonts w:ascii="Verdana" w:hAnsi="Verdana"/>
          <w:bCs/>
          <w:lang w:val="bg-BG"/>
        </w:rPr>
      </w:pPr>
      <w:r w:rsidRPr="00C0528E">
        <w:rPr>
          <w:rFonts w:ascii="Verdana" w:hAnsi="Verdana"/>
          <w:bCs/>
          <w:lang w:val="bg-BG"/>
        </w:rPr>
        <w:t xml:space="preserve">Към настоящия момент е в сила и се прилага Наредба № 9 от 2002 г. за изискванията към използването на екстракционни разтворители при производството на храни и хранителни съставки (обн., ДВ, бр. 44 от </w:t>
      </w:r>
      <w:r w:rsidR="00653C23">
        <w:rPr>
          <w:rFonts w:ascii="Verdana" w:hAnsi="Verdana"/>
          <w:bCs/>
          <w:lang w:val="bg-BG"/>
        </w:rPr>
        <w:t>2002 г.</w:t>
      </w:r>
      <w:r w:rsidRPr="00C0528E">
        <w:rPr>
          <w:rFonts w:ascii="Verdana" w:hAnsi="Verdana"/>
          <w:bCs/>
          <w:lang w:val="bg-BG"/>
        </w:rPr>
        <w:t>), издадена от министъра на здравеопазването на основание чл. 6, ал. 2 от отменения Закон за храните. Действащата Наредба № 9 от 2002 г. за изискванията към използването на екстракционни разтворители при производството на храни и хранителни съставки следва да бъде отменена от министъра на здравеопазването след приемането на настоящата наредба.</w:t>
      </w:r>
    </w:p>
    <w:p w:rsidR="002D1BD8" w:rsidRPr="00741448" w:rsidRDefault="002D1BD8" w:rsidP="00494EBF">
      <w:pPr>
        <w:spacing w:line="360" w:lineRule="auto"/>
        <w:ind w:firstLine="709"/>
        <w:jc w:val="both"/>
        <w:rPr>
          <w:rFonts w:ascii="Verdana" w:hAnsi="Verdana"/>
          <w:bCs/>
          <w:lang w:val="bg-BG"/>
        </w:rPr>
      </w:pPr>
    </w:p>
    <w:p w:rsidR="00CC6B92" w:rsidRPr="00741448" w:rsidRDefault="00CC6B92" w:rsidP="00494EBF">
      <w:pPr>
        <w:spacing w:line="360" w:lineRule="auto"/>
        <w:ind w:firstLine="709"/>
        <w:jc w:val="both"/>
        <w:rPr>
          <w:rFonts w:ascii="Verdana" w:hAnsi="Verdana"/>
          <w:b/>
          <w:bCs/>
          <w:lang w:val="bg-BG"/>
        </w:rPr>
      </w:pPr>
      <w:r w:rsidRPr="00741448">
        <w:rPr>
          <w:rFonts w:ascii="Verdana" w:hAnsi="Verdana"/>
          <w:b/>
          <w:bCs/>
          <w:lang w:val="bg-BG"/>
        </w:rPr>
        <w:t>Цели</w:t>
      </w:r>
    </w:p>
    <w:p w:rsidR="00766AAE" w:rsidRPr="00741448" w:rsidRDefault="008066D8" w:rsidP="00494EBF">
      <w:pPr>
        <w:spacing w:line="360" w:lineRule="auto"/>
        <w:ind w:firstLine="709"/>
        <w:jc w:val="both"/>
        <w:rPr>
          <w:rFonts w:ascii="Verdana" w:hAnsi="Verdana"/>
          <w:shd w:val="clear" w:color="auto" w:fill="FEFEFE"/>
          <w:lang w:val="bg-BG"/>
        </w:rPr>
      </w:pPr>
      <w:r w:rsidRPr="00741448">
        <w:rPr>
          <w:rFonts w:ascii="Verdana" w:hAnsi="Verdana"/>
          <w:lang w:val="bg-BG"/>
        </w:rPr>
        <w:t xml:space="preserve">С проекта се цели определяне на </w:t>
      </w:r>
      <w:r w:rsidR="00766AAE" w:rsidRPr="00741448">
        <w:rPr>
          <w:rFonts w:ascii="Verdana" w:hAnsi="Verdana"/>
          <w:shd w:val="clear" w:color="auto" w:fill="FEFEFE"/>
          <w:lang w:val="bg-BG"/>
        </w:rPr>
        <w:t>видовете екстракционни разтворители, които могат да се използват при производството на храни и хранителни съставки, критериите за чистота на екстракционните разтворители, максимално допустимите количества на остатъци от екстракционни разтворители във или върху храни или хранителни съставки, както и информацията, свързана с разтворителите, която се отбелязва върху опаковката на продуктите и в съпровождащата ги документация.</w:t>
      </w:r>
    </w:p>
    <w:p w:rsidR="008066D8" w:rsidRPr="00741448" w:rsidRDefault="008066D8" w:rsidP="00494EBF">
      <w:pPr>
        <w:widowControl w:val="0"/>
        <w:spacing w:line="360" w:lineRule="auto"/>
        <w:ind w:firstLine="709"/>
        <w:jc w:val="both"/>
        <w:rPr>
          <w:rFonts w:ascii="Verdana" w:hAnsi="Verdana"/>
          <w:color w:val="000000"/>
          <w:shd w:val="clear" w:color="auto" w:fill="FFFFFF"/>
          <w:lang w:val="bg-BG"/>
        </w:rPr>
      </w:pPr>
      <w:r w:rsidRPr="00741448">
        <w:rPr>
          <w:rFonts w:ascii="Verdana" w:hAnsi="Verdana"/>
          <w:color w:val="000000"/>
          <w:shd w:val="clear" w:color="auto" w:fill="FFFFFF"/>
          <w:lang w:val="bg-BG"/>
        </w:rPr>
        <w:t xml:space="preserve">Разпоредбите в проекта на наредба са прецизирани и са съобразени с настъпилите промени в </w:t>
      </w:r>
      <w:r w:rsidR="00880733" w:rsidRPr="00741448">
        <w:rPr>
          <w:rFonts w:ascii="Verdana" w:hAnsi="Verdana"/>
          <w:color w:val="000000"/>
          <w:shd w:val="clear" w:color="auto" w:fill="FFFFFF"/>
          <w:lang w:val="bg-BG"/>
        </w:rPr>
        <w:t>правото на Европейския съюз</w:t>
      </w:r>
      <w:r w:rsidRPr="00741448">
        <w:rPr>
          <w:rFonts w:ascii="Verdana" w:hAnsi="Verdana"/>
          <w:color w:val="000000"/>
          <w:shd w:val="clear" w:color="auto" w:fill="FFFFFF"/>
          <w:lang w:val="bg-BG"/>
        </w:rPr>
        <w:t>, както и в националното законодателство, и по-специално Закона за храните и Закона за управление на агрохранителната верига.</w:t>
      </w:r>
    </w:p>
    <w:p w:rsidR="00766AAE" w:rsidRPr="00741448" w:rsidRDefault="00766AAE" w:rsidP="00494EBF">
      <w:pPr>
        <w:spacing w:line="360" w:lineRule="auto"/>
        <w:ind w:firstLine="709"/>
        <w:jc w:val="both"/>
        <w:rPr>
          <w:rFonts w:ascii="Verdana" w:hAnsi="Verdana"/>
          <w:shd w:val="clear" w:color="auto" w:fill="FEFEFE"/>
          <w:lang w:val="bg-BG"/>
        </w:rPr>
      </w:pPr>
      <w:r w:rsidRPr="00741448">
        <w:rPr>
          <w:rFonts w:ascii="Verdana" w:hAnsi="Verdana"/>
          <w:color w:val="000000"/>
          <w:shd w:val="clear" w:color="auto" w:fill="FFFFFF"/>
          <w:lang w:val="bg-BG"/>
        </w:rPr>
        <w:t>Съгласно проекта</w:t>
      </w:r>
      <w:r w:rsidR="00031FD0" w:rsidRPr="00741448">
        <w:rPr>
          <w:rFonts w:ascii="Verdana" w:hAnsi="Verdana"/>
          <w:color w:val="000000"/>
          <w:shd w:val="clear" w:color="auto" w:fill="FFFFFF"/>
          <w:lang w:val="bg-BG"/>
        </w:rPr>
        <w:t>,</w:t>
      </w:r>
      <w:r w:rsidR="00601CC4">
        <w:rPr>
          <w:rFonts w:ascii="Verdana" w:hAnsi="Verdana"/>
          <w:color w:val="000000"/>
          <w:shd w:val="clear" w:color="auto" w:fill="FFFFFF"/>
        </w:rPr>
        <w:t xml:space="preserve"> </w:t>
      </w:r>
      <w:r w:rsidRPr="00741448">
        <w:rPr>
          <w:rFonts w:ascii="Verdana" w:hAnsi="Verdana"/>
          <w:shd w:val="clear" w:color="auto" w:fill="FEFEFE"/>
          <w:lang w:val="bg-BG"/>
        </w:rPr>
        <w:t>екстракционен разтворител е разтворител, който се използва за извличане на вещества при екстракционен процес по време на преработката на суровини, храни или хранителни съставки, след което се отстранява. При този процес остатъци от разтворителя или негови разпадни продукти могат да останат във или върху храните или хранителните съставки неволно по технически неизбежни причини.</w:t>
      </w:r>
    </w:p>
    <w:p w:rsidR="005E7020" w:rsidRPr="00741448" w:rsidRDefault="00F02BE3" w:rsidP="00494EBF">
      <w:pPr>
        <w:spacing w:line="360" w:lineRule="auto"/>
        <w:ind w:firstLine="709"/>
        <w:jc w:val="both"/>
        <w:rPr>
          <w:rFonts w:ascii="Verdana" w:hAnsi="Verdana"/>
          <w:shd w:val="clear" w:color="auto" w:fill="FEFEFE"/>
          <w:lang w:val="bg-BG"/>
        </w:rPr>
      </w:pPr>
      <w:r w:rsidRPr="00741448">
        <w:rPr>
          <w:rFonts w:ascii="Verdana" w:hAnsi="Verdana"/>
          <w:shd w:val="clear" w:color="auto" w:fill="FEFEFE"/>
          <w:lang w:val="bg-BG"/>
        </w:rPr>
        <w:t>В проекта на наредба са посочени е</w:t>
      </w:r>
      <w:r w:rsidR="00031FD0" w:rsidRPr="00741448">
        <w:rPr>
          <w:rFonts w:ascii="Verdana" w:hAnsi="Verdana"/>
          <w:shd w:val="clear" w:color="auto" w:fill="FEFEFE"/>
          <w:lang w:val="bg-BG"/>
        </w:rPr>
        <w:t>кстракционните разтворители, които могат да се използват при производството на храни и хранителни съставки</w:t>
      </w:r>
      <w:r w:rsidR="005E7020" w:rsidRPr="00741448">
        <w:rPr>
          <w:rFonts w:ascii="Verdana" w:hAnsi="Verdana"/>
          <w:shd w:val="clear" w:color="auto" w:fill="FEFEFE"/>
          <w:lang w:val="bg-BG"/>
        </w:rPr>
        <w:t>, като тяхната употреба не трябва да води до наличие на остатъци от тях или техни разпадни продукти в храните в количества, опасни за здравето на потребителя.</w:t>
      </w:r>
    </w:p>
    <w:p w:rsidR="003E1A4F" w:rsidRPr="00741448" w:rsidRDefault="003E1A4F" w:rsidP="00494EBF">
      <w:pPr>
        <w:spacing w:line="360" w:lineRule="auto"/>
        <w:ind w:firstLine="709"/>
        <w:jc w:val="both"/>
        <w:rPr>
          <w:rFonts w:ascii="Verdana" w:hAnsi="Verdana"/>
          <w:shd w:val="clear" w:color="auto" w:fill="FEFEFE"/>
          <w:lang w:val="bg-BG"/>
        </w:rPr>
      </w:pPr>
      <w:r w:rsidRPr="00741448">
        <w:rPr>
          <w:rFonts w:ascii="Verdana" w:hAnsi="Verdana"/>
          <w:color w:val="000000"/>
          <w:shd w:val="clear" w:color="auto" w:fill="FFFFFF"/>
          <w:lang w:val="bg-BG"/>
        </w:rPr>
        <w:t xml:space="preserve">Проектът на наредба </w:t>
      </w:r>
      <w:r w:rsidR="00766AAE" w:rsidRPr="00741448">
        <w:rPr>
          <w:rFonts w:ascii="Verdana" w:hAnsi="Verdana"/>
          <w:color w:val="000000"/>
          <w:shd w:val="clear" w:color="auto" w:fill="FFFFFF"/>
          <w:lang w:val="bg-BG"/>
        </w:rPr>
        <w:t xml:space="preserve">не </w:t>
      </w:r>
      <w:r w:rsidRPr="00741448">
        <w:rPr>
          <w:rFonts w:ascii="Verdana" w:hAnsi="Verdana"/>
          <w:color w:val="000000"/>
          <w:shd w:val="clear" w:color="auto" w:fill="FFFFFF"/>
          <w:lang w:val="bg-BG"/>
        </w:rPr>
        <w:t xml:space="preserve">се прилага по отношение на </w:t>
      </w:r>
      <w:r w:rsidR="00766AAE" w:rsidRPr="00741448">
        <w:rPr>
          <w:rFonts w:ascii="Verdana" w:hAnsi="Verdana"/>
          <w:shd w:val="clear" w:color="auto" w:fill="FEFEFE"/>
          <w:lang w:val="bg-BG"/>
        </w:rPr>
        <w:t xml:space="preserve">екстракционни разтворители, използвани при производството на добавки в храни, витамини или други добавки за храни, освен ако тези добавки и витамини са посочени в </w:t>
      </w:r>
      <w:r w:rsidR="00766AAE" w:rsidRPr="00741448">
        <w:rPr>
          <w:rFonts w:ascii="Verdana" w:hAnsi="Verdana"/>
          <w:shd w:val="clear" w:color="auto" w:fill="FEFEFE"/>
          <w:lang w:val="bg-BG"/>
        </w:rPr>
        <w:lastRenderedPageBreak/>
        <w:t>приложенията, както и екстракционни разтворители и храни, предназначени за износ за трети страни.</w:t>
      </w:r>
    </w:p>
    <w:p w:rsidR="00031FD0" w:rsidRPr="00741448" w:rsidRDefault="006F1E27" w:rsidP="00494EBF">
      <w:pPr>
        <w:spacing w:line="360" w:lineRule="auto"/>
        <w:ind w:firstLine="709"/>
        <w:jc w:val="both"/>
        <w:rPr>
          <w:rFonts w:ascii="Verdana" w:hAnsi="Verdana"/>
          <w:lang w:val="bg-BG"/>
        </w:rPr>
      </w:pPr>
      <w:r w:rsidRPr="00741448">
        <w:rPr>
          <w:rFonts w:ascii="Verdana" w:hAnsi="Verdana"/>
          <w:lang w:val="bg-BG"/>
        </w:rPr>
        <w:t>С проекта се транспонира акт на Европейския съюз и</w:t>
      </w:r>
      <w:r w:rsidR="00601CC4">
        <w:rPr>
          <w:rFonts w:ascii="Verdana" w:hAnsi="Verdana"/>
        </w:rPr>
        <w:t xml:space="preserve"> </w:t>
      </w:r>
      <w:r w:rsidR="00DD3BC7" w:rsidRPr="00741448">
        <w:rPr>
          <w:rFonts w:ascii="Verdana" w:hAnsi="Verdana"/>
          <w:lang w:val="bg-BG"/>
        </w:rPr>
        <w:t xml:space="preserve">се </w:t>
      </w:r>
      <w:r w:rsidRPr="00741448">
        <w:rPr>
          <w:rFonts w:ascii="Verdana" w:hAnsi="Verdana"/>
          <w:lang w:val="bg-BG"/>
        </w:rPr>
        <w:t>цели да бъдат регламентирани определени</w:t>
      </w:r>
      <w:r w:rsidR="00601CC4">
        <w:rPr>
          <w:rFonts w:ascii="Verdana" w:hAnsi="Verdana"/>
        </w:rPr>
        <w:t xml:space="preserve"> </w:t>
      </w:r>
      <w:r w:rsidR="00F67383" w:rsidRPr="00741448">
        <w:rPr>
          <w:rFonts w:ascii="Verdana" w:hAnsi="Verdana"/>
          <w:shd w:val="clear" w:color="auto" w:fill="FEFEFE"/>
          <w:lang w:val="bg-BG"/>
        </w:rPr>
        <w:t>изисквания към</w:t>
      </w:r>
      <w:r w:rsidR="00601CC4">
        <w:rPr>
          <w:rFonts w:ascii="Verdana" w:hAnsi="Verdana"/>
          <w:shd w:val="clear" w:color="auto" w:fill="FEFEFE"/>
        </w:rPr>
        <w:t xml:space="preserve"> </w:t>
      </w:r>
      <w:r w:rsidR="00B45F1A" w:rsidRPr="00741448">
        <w:rPr>
          <w:rFonts w:ascii="Verdana" w:hAnsi="Verdana"/>
          <w:shd w:val="clear" w:color="auto" w:fill="FEFEFE"/>
          <w:lang w:val="bg-BG"/>
        </w:rPr>
        <w:t>екстракционните разтворители, които могат да се използват при производството на храни и хранителни съставки.</w:t>
      </w:r>
    </w:p>
    <w:p w:rsidR="00981E91" w:rsidRPr="00741448" w:rsidRDefault="00981E91" w:rsidP="00494EBF">
      <w:pPr>
        <w:spacing w:line="360" w:lineRule="auto"/>
        <w:ind w:firstLine="709"/>
        <w:jc w:val="both"/>
        <w:rPr>
          <w:rFonts w:ascii="Verdana" w:hAnsi="Verdana"/>
          <w:lang w:val="bg-BG"/>
        </w:rPr>
      </w:pPr>
      <w:r w:rsidRPr="00741448">
        <w:rPr>
          <w:rFonts w:ascii="Verdana" w:hAnsi="Verdana"/>
          <w:lang w:val="bg-BG"/>
        </w:rPr>
        <w:t xml:space="preserve">В проекта са регламентирани и изискванията към етикетирането на </w:t>
      </w:r>
      <w:r w:rsidR="00031FD0" w:rsidRPr="00741448">
        <w:rPr>
          <w:rFonts w:ascii="Verdana" w:hAnsi="Verdana"/>
          <w:shd w:val="clear" w:color="auto" w:fill="FEFEFE"/>
          <w:lang w:val="bg-BG"/>
        </w:rPr>
        <w:t>екстракционни разтворители, които могат да се използват при производството на храни и хранителни съставки</w:t>
      </w:r>
      <w:r w:rsidRPr="00741448">
        <w:rPr>
          <w:rFonts w:ascii="Verdana" w:hAnsi="Verdana"/>
          <w:lang w:val="bg-BG"/>
        </w:rPr>
        <w:t>.</w:t>
      </w:r>
    </w:p>
    <w:p w:rsidR="009F3EA2" w:rsidRPr="00741448" w:rsidRDefault="009F3EA2" w:rsidP="00494EBF">
      <w:pPr>
        <w:spacing w:line="360" w:lineRule="auto"/>
        <w:ind w:firstLine="709"/>
        <w:jc w:val="both"/>
        <w:rPr>
          <w:rFonts w:ascii="Verdana" w:hAnsi="Verdana"/>
          <w:lang w:val="bg-BG"/>
        </w:rPr>
      </w:pPr>
      <w:r w:rsidRPr="00741448">
        <w:rPr>
          <w:rFonts w:ascii="Verdana" w:hAnsi="Verdana"/>
          <w:lang w:val="bg-BG"/>
        </w:rPr>
        <w:t>Предвижда се постановлението да влезе в сила в 14-дневен срок от деня на обнародването му в „Държавен вестник“, тъй като е необходим срок за запознаване и адаптиране на бизнес операторите и контролния орган към изискванията на наредбата.</w:t>
      </w:r>
    </w:p>
    <w:p w:rsidR="008066D8" w:rsidRPr="00741448" w:rsidRDefault="008066D8" w:rsidP="00494EBF">
      <w:pPr>
        <w:spacing w:line="360" w:lineRule="auto"/>
        <w:ind w:firstLine="709"/>
        <w:jc w:val="both"/>
        <w:rPr>
          <w:rFonts w:ascii="Verdana" w:hAnsi="Verdana"/>
          <w:lang w:val="bg-BG"/>
        </w:rPr>
      </w:pPr>
    </w:p>
    <w:p w:rsidR="006D082F" w:rsidRPr="00741448" w:rsidRDefault="006D082F" w:rsidP="00494EBF">
      <w:pPr>
        <w:spacing w:line="360" w:lineRule="auto"/>
        <w:ind w:firstLine="709"/>
        <w:jc w:val="both"/>
        <w:rPr>
          <w:rFonts w:ascii="Verdana" w:hAnsi="Verdana"/>
          <w:b/>
          <w:color w:val="000000"/>
          <w:shd w:val="clear" w:color="auto" w:fill="FEFEFE"/>
          <w:lang w:val="bg-BG"/>
        </w:rPr>
      </w:pPr>
      <w:r w:rsidRPr="00741448">
        <w:rPr>
          <w:rFonts w:ascii="Verdana" w:hAnsi="Verdana"/>
          <w:b/>
          <w:color w:val="000000"/>
          <w:shd w:val="clear" w:color="auto" w:fill="FEFEFE"/>
          <w:lang w:val="bg-BG"/>
        </w:rPr>
        <w:t xml:space="preserve">Финансови и други средства, необходими </w:t>
      </w:r>
      <w:r w:rsidR="006F1E27" w:rsidRPr="00741448">
        <w:rPr>
          <w:rFonts w:ascii="Verdana" w:hAnsi="Verdana"/>
          <w:b/>
          <w:color w:val="000000"/>
          <w:shd w:val="clear" w:color="auto" w:fill="FEFEFE"/>
          <w:lang w:val="bg-BG"/>
        </w:rPr>
        <w:t>за прилагането на новата уредба</w:t>
      </w:r>
    </w:p>
    <w:p w:rsidR="006D082F" w:rsidRPr="00741448" w:rsidRDefault="006D082F" w:rsidP="00494EBF">
      <w:pPr>
        <w:spacing w:line="360" w:lineRule="auto"/>
        <w:ind w:firstLine="709"/>
        <w:jc w:val="both"/>
        <w:rPr>
          <w:rFonts w:ascii="Verdana" w:hAnsi="Verdana" w:cs="Verdana"/>
          <w:lang w:val="bg-BG"/>
        </w:rPr>
      </w:pPr>
      <w:r w:rsidRPr="00741448">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6D082F" w:rsidRPr="00741448" w:rsidRDefault="006D082F" w:rsidP="00494EBF">
      <w:pPr>
        <w:spacing w:line="360" w:lineRule="auto"/>
        <w:ind w:firstLine="709"/>
        <w:jc w:val="both"/>
        <w:rPr>
          <w:rFonts w:ascii="Verdana" w:hAnsi="Verdana" w:cs="Verdana"/>
          <w:lang w:val="bg-BG"/>
        </w:rPr>
      </w:pPr>
      <w:r w:rsidRPr="00741448">
        <w:rPr>
          <w:rFonts w:ascii="Verdana" w:hAnsi="Verdana" w:cs="Verdana"/>
          <w:lang w:val="bg-BG"/>
        </w:rPr>
        <w:t>Не са необходими допълнителни разходи/трансфери и други плащания по бюджета на Министерството на земедел</w:t>
      </w:r>
      <w:r w:rsidR="00E37659">
        <w:rPr>
          <w:rFonts w:ascii="Verdana" w:hAnsi="Verdana" w:cs="Verdana"/>
          <w:lang w:val="bg-BG"/>
        </w:rPr>
        <w:t>ието</w:t>
      </w:r>
      <w:r w:rsidRPr="00741448">
        <w:rPr>
          <w:rFonts w:ascii="Verdana" w:hAnsi="Verdana" w:cs="Verdana"/>
          <w:lang w:val="bg-BG"/>
        </w:rPr>
        <w:t xml:space="preserve">. </w:t>
      </w:r>
    </w:p>
    <w:p w:rsidR="006D082F" w:rsidRPr="00741448" w:rsidRDefault="006D082F" w:rsidP="00494EBF">
      <w:pPr>
        <w:spacing w:line="360" w:lineRule="auto"/>
        <w:ind w:firstLine="709"/>
        <w:jc w:val="both"/>
        <w:rPr>
          <w:rFonts w:ascii="Verdana" w:hAnsi="Verdana" w:cs="Verdana"/>
          <w:lang w:val="bg-BG"/>
        </w:rPr>
      </w:pPr>
      <w:r w:rsidRPr="00741448">
        <w:rPr>
          <w:rFonts w:ascii="Verdana" w:hAnsi="Verdana" w:cs="Verdana"/>
          <w:lang w:val="bg-BG"/>
        </w:rPr>
        <w:t xml:space="preserve">Проектът на акт не води до изменения в целевите стойности на показателите за изпълнение, в това число ключовите индикатори. </w:t>
      </w:r>
    </w:p>
    <w:p w:rsidR="006D082F" w:rsidRPr="00741448" w:rsidRDefault="006D082F" w:rsidP="00494EBF">
      <w:pPr>
        <w:spacing w:line="360" w:lineRule="auto"/>
        <w:ind w:firstLine="709"/>
        <w:jc w:val="both"/>
        <w:rPr>
          <w:rFonts w:ascii="Verdana" w:hAnsi="Verdana"/>
          <w:b/>
          <w:lang w:val="bg-BG"/>
        </w:rPr>
      </w:pPr>
    </w:p>
    <w:p w:rsidR="00CC6B92" w:rsidRPr="00741448" w:rsidRDefault="00CC6B92" w:rsidP="00494EBF">
      <w:pPr>
        <w:spacing w:line="360" w:lineRule="auto"/>
        <w:ind w:firstLine="709"/>
        <w:jc w:val="both"/>
        <w:rPr>
          <w:rFonts w:ascii="Verdana" w:hAnsi="Verdana"/>
          <w:b/>
          <w:lang w:val="bg-BG"/>
        </w:rPr>
      </w:pPr>
      <w:r w:rsidRPr="00741448">
        <w:rPr>
          <w:rFonts w:ascii="Verdana" w:hAnsi="Verdana"/>
          <w:b/>
          <w:lang w:val="bg-BG"/>
        </w:rPr>
        <w:t>Очаквани резултати от прилагането на акта</w:t>
      </w:r>
    </w:p>
    <w:p w:rsidR="00563D28" w:rsidRPr="00741448" w:rsidRDefault="00563D28" w:rsidP="00494EBF">
      <w:pPr>
        <w:spacing w:line="360" w:lineRule="auto"/>
        <w:ind w:firstLine="709"/>
        <w:jc w:val="both"/>
        <w:rPr>
          <w:rFonts w:ascii="Verdana" w:hAnsi="Verdana"/>
          <w:shd w:val="clear" w:color="auto" w:fill="FEFEFE"/>
          <w:lang w:val="bg-BG"/>
        </w:rPr>
      </w:pPr>
      <w:r w:rsidRPr="00741448">
        <w:rPr>
          <w:rFonts w:ascii="Verdana" w:hAnsi="Verdana"/>
          <w:color w:val="000000"/>
          <w:lang w:val="bg-BG"/>
        </w:rPr>
        <w:t xml:space="preserve">Гарантиране на </w:t>
      </w:r>
      <w:r w:rsidR="00031FD0" w:rsidRPr="00741448">
        <w:rPr>
          <w:rFonts w:ascii="Verdana" w:hAnsi="Verdana"/>
          <w:shd w:val="clear" w:color="auto" w:fill="FEFEFE"/>
          <w:lang w:val="bg-BG"/>
        </w:rPr>
        <w:t xml:space="preserve">безопасността на храните и </w:t>
      </w:r>
      <w:r w:rsidRPr="00741448">
        <w:rPr>
          <w:rFonts w:ascii="Verdana" w:hAnsi="Verdana"/>
          <w:color w:val="000000"/>
          <w:lang w:val="bg-BG"/>
        </w:rPr>
        <w:t xml:space="preserve">висока степен на защита на здравето и правата на потребителите на територията на Република България, чрез </w:t>
      </w:r>
      <w:r w:rsidR="00B45F1A" w:rsidRPr="00741448">
        <w:rPr>
          <w:rFonts w:ascii="Verdana" w:hAnsi="Verdana"/>
          <w:color w:val="000000"/>
          <w:lang w:val="bg-BG"/>
        </w:rPr>
        <w:t xml:space="preserve">регламентиране на </w:t>
      </w:r>
      <w:r w:rsidR="00B45F1A" w:rsidRPr="00741448">
        <w:rPr>
          <w:rFonts w:ascii="Verdana" w:hAnsi="Verdana"/>
          <w:shd w:val="clear" w:color="auto" w:fill="FEFEFE"/>
          <w:lang w:val="bg-BG"/>
        </w:rPr>
        <w:t>критериите за чистота на екстракционните разтворители и максимално допустимите количества на остатъци от екстракционни разтворители във или върху храни или хранителни съставки</w:t>
      </w:r>
      <w:r w:rsidR="002F5136" w:rsidRPr="00741448">
        <w:rPr>
          <w:rFonts w:ascii="Verdana" w:hAnsi="Verdana"/>
          <w:shd w:val="clear" w:color="auto" w:fill="FEFEFE"/>
          <w:lang w:val="bg-BG"/>
        </w:rPr>
        <w:t>, както и на информацията, свързана с разтворителите, която се отбелязва върху опаковката на продуктите и в съпровождащата ги документация.</w:t>
      </w:r>
    </w:p>
    <w:p w:rsidR="003E1A4F" w:rsidRPr="00741448" w:rsidRDefault="00563D28" w:rsidP="00494EBF">
      <w:pPr>
        <w:spacing w:line="360" w:lineRule="auto"/>
        <w:ind w:firstLine="709"/>
        <w:jc w:val="both"/>
        <w:rPr>
          <w:rFonts w:ascii="Verdana" w:hAnsi="Verdana"/>
          <w:color w:val="000000"/>
          <w:lang w:val="bg-BG"/>
        </w:rPr>
      </w:pPr>
      <w:r w:rsidRPr="00741448">
        <w:rPr>
          <w:rFonts w:ascii="Verdana" w:hAnsi="Verdana"/>
          <w:color w:val="000000"/>
          <w:lang w:val="bg-BG"/>
        </w:rPr>
        <w:t xml:space="preserve">Ограничаване на възможностите за системни нарушения и повишаване на ефективността на </w:t>
      </w:r>
      <w:r w:rsidR="006C0582" w:rsidRPr="00741448">
        <w:rPr>
          <w:rFonts w:ascii="Verdana" w:hAnsi="Verdana"/>
          <w:color w:val="000000"/>
          <w:lang w:val="bg-BG"/>
        </w:rPr>
        <w:t xml:space="preserve">официалния контрол </w:t>
      </w:r>
      <w:r w:rsidR="00E37E8C" w:rsidRPr="00741448">
        <w:rPr>
          <w:rFonts w:ascii="Verdana" w:hAnsi="Verdana"/>
          <w:color w:val="000000"/>
          <w:lang w:val="bg-BG"/>
        </w:rPr>
        <w:t>при влагането във или върху храни или хранителни съставки на разтворителите.</w:t>
      </w:r>
    </w:p>
    <w:p w:rsidR="00E37E8C" w:rsidRPr="00741448" w:rsidRDefault="00E37E8C" w:rsidP="00494EBF">
      <w:pPr>
        <w:spacing w:line="360" w:lineRule="auto"/>
        <w:ind w:firstLine="709"/>
        <w:jc w:val="both"/>
        <w:rPr>
          <w:rFonts w:ascii="Verdana" w:hAnsi="Verdana"/>
          <w:b/>
          <w:shd w:val="clear" w:color="auto" w:fill="FEFEFE"/>
          <w:lang w:val="bg-BG"/>
        </w:rPr>
      </w:pPr>
    </w:p>
    <w:p w:rsidR="00CC6B92" w:rsidRPr="00741448" w:rsidRDefault="00CC6B92" w:rsidP="00494EBF">
      <w:pPr>
        <w:spacing w:line="360" w:lineRule="auto"/>
        <w:ind w:firstLine="709"/>
        <w:jc w:val="both"/>
        <w:rPr>
          <w:rFonts w:ascii="Verdana" w:hAnsi="Verdana"/>
          <w:b/>
          <w:lang w:val="bg-BG"/>
        </w:rPr>
      </w:pPr>
      <w:r w:rsidRPr="00741448">
        <w:rPr>
          <w:rFonts w:ascii="Verdana" w:hAnsi="Verdana"/>
          <w:b/>
          <w:lang w:val="bg-BG"/>
        </w:rPr>
        <w:t>Анализ за съответствие с правото на Европейския съюз</w:t>
      </w:r>
    </w:p>
    <w:p w:rsidR="00B45F1A" w:rsidRPr="00741448" w:rsidRDefault="00DD3BC7" w:rsidP="00601CC4">
      <w:pPr>
        <w:spacing w:line="360" w:lineRule="auto"/>
        <w:ind w:firstLine="709"/>
        <w:jc w:val="both"/>
        <w:rPr>
          <w:rFonts w:ascii="Verdana" w:hAnsi="Verdana"/>
          <w:shd w:val="clear" w:color="auto" w:fill="FEFEFE"/>
          <w:lang w:val="bg-BG"/>
        </w:rPr>
      </w:pPr>
      <w:r w:rsidRPr="00741448">
        <w:rPr>
          <w:rFonts w:ascii="Verdana" w:hAnsi="Verdana"/>
          <w:lang w:val="bg-BG"/>
        </w:rPr>
        <w:t xml:space="preserve">С </w:t>
      </w:r>
      <w:r w:rsidR="00F67383" w:rsidRPr="00741448">
        <w:rPr>
          <w:rFonts w:ascii="Verdana" w:hAnsi="Verdana"/>
          <w:lang w:val="bg-BG"/>
        </w:rPr>
        <w:t>проекта на наредба</w:t>
      </w:r>
      <w:r w:rsidRPr="00741448">
        <w:rPr>
          <w:rFonts w:ascii="Verdana" w:hAnsi="Verdana"/>
          <w:lang w:val="bg-BG"/>
        </w:rPr>
        <w:t xml:space="preserve"> се </w:t>
      </w:r>
      <w:r w:rsidR="00B45F1A" w:rsidRPr="00741448">
        <w:rPr>
          <w:rFonts w:ascii="Verdana" w:hAnsi="Verdana"/>
          <w:shd w:val="clear" w:color="auto" w:fill="FEFEFE"/>
          <w:lang w:val="bg-BG"/>
        </w:rPr>
        <w:t>въвеждат изискванията на Директива 2009/32/ЕО на Европейския парламент</w:t>
      </w:r>
      <w:r w:rsidR="002771B6">
        <w:rPr>
          <w:rFonts w:ascii="Verdana" w:hAnsi="Verdana"/>
          <w:shd w:val="clear" w:color="auto" w:fill="FEFEFE"/>
          <w:lang w:val="bg-BG"/>
        </w:rPr>
        <w:t xml:space="preserve"> и на Съвета от 23 април 2009 година</w:t>
      </w:r>
      <w:r w:rsidR="00B45F1A" w:rsidRPr="00741448">
        <w:rPr>
          <w:rFonts w:ascii="Verdana" w:hAnsi="Verdana"/>
          <w:shd w:val="clear" w:color="auto" w:fill="FEFEFE"/>
          <w:lang w:val="bg-BG"/>
        </w:rPr>
        <w:t xml:space="preserve"> за сближаване на законодателствата на държавите членки относно екстракционните разтворители, </w:t>
      </w:r>
      <w:r w:rsidR="00B45F1A" w:rsidRPr="00741448">
        <w:rPr>
          <w:rFonts w:ascii="Verdana" w:hAnsi="Verdana"/>
          <w:shd w:val="clear" w:color="auto" w:fill="FEFEFE"/>
          <w:lang w:val="bg-BG"/>
        </w:rPr>
        <w:lastRenderedPageBreak/>
        <w:t>използвани в производството на храни и съставките на хр</w:t>
      </w:r>
      <w:r w:rsidR="00601CC4">
        <w:rPr>
          <w:rFonts w:ascii="Verdana" w:hAnsi="Verdana"/>
          <w:shd w:val="clear" w:color="auto" w:fill="FEFEFE"/>
          <w:lang w:val="bg-BG"/>
        </w:rPr>
        <w:t xml:space="preserve">ани (ОВ, L 141 от 6.06.2009 г.), </w:t>
      </w:r>
      <w:r w:rsidR="00601CC4" w:rsidRPr="00601CC4">
        <w:rPr>
          <w:rFonts w:ascii="Verdana" w:hAnsi="Verdana"/>
          <w:shd w:val="clear" w:color="auto" w:fill="FEFEFE"/>
          <w:lang w:val="bg-BG"/>
        </w:rPr>
        <w:t>Директива 2010/59/ЕС н</w:t>
      </w:r>
      <w:r w:rsidR="002771B6">
        <w:rPr>
          <w:rFonts w:ascii="Verdana" w:hAnsi="Verdana"/>
          <w:shd w:val="clear" w:color="auto" w:fill="FEFEFE"/>
          <w:lang w:val="bg-BG"/>
        </w:rPr>
        <w:t>а Комисията от 26 август 2010 година</w:t>
      </w:r>
      <w:r w:rsidR="00601CC4" w:rsidRPr="00601CC4">
        <w:rPr>
          <w:rFonts w:ascii="Verdana" w:hAnsi="Verdana"/>
          <w:shd w:val="clear" w:color="auto" w:fill="FEFEFE"/>
          <w:lang w:val="bg-BG"/>
        </w:rPr>
        <w:t xml:space="preserve"> за изменение на Директива 2009/32/ЕО на Европейския парламент и на Съвета за сближаване на законодателствата на държавите членки относно екстракционните разтворители, използвани в производството на храни и съставките на хра</w:t>
      </w:r>
      <w:r w:rsidR="00601CC4">
        <w:rPr>
          <w:rFonts w:ascii="Verdana" w:hAnsi="Verdana"/>
          <w:shd w:val="clear" w:color="auto" w:fill="FEFEFE"/>
          <w:lang w:val="bg-BG"/>
        </w:rPr>
        <w:t xml:space="preserve">ни (OB, L 225 от 27.08.2010 г.) и </w:t>
      </w:r>
      <w:r w:rsidR="00601CC4" w:rsidRPr="00601CC4">
        <w:rPr>
          <w:rFonts w:ascii="Verdana" w:hAnsi="Verdana"/>
          <w:shd w:val="clear" w:color="auto" w:fill="FEFEFE"/>
          <w:lang w:val="bg-BG"/>
        </w:rPr>
        <w:t xml:space="preserve">Директива (ЕС) 2016/1855 на </w:t>
      </w:r>
      <w:r w:rsidR="002771B6">
        <w:rPr>
          <w:rFonts w:ascii="Verdana" w:hAnsi="Verdana"/>
          <w:shd w:val="clear" w:color="auto" w:fill="FEFEFE"/>
          <w:lang w:val="bg-BG"/>
        </w:rPr>
        <w:t>Комисията от 19 октомври 2016 година</w:t>
      </w:r>
      <w:r w:rsidR="00601CC4" w:rsidRPr="00601CC4">
        <w:rPr>
          <w:rFonts w:ascii="Verdana" w:hAnsi="Verdana"/>
          <w:shd w:val="clear" w:color="auto" w:fill="FEFEFE"/>
          <w:lang w:val="bg-BG"/>
        </w:rPr>
        <w:t xml:space="preserve"> за изменение на Директива 2009/32/ЕО на Европейския парламент и на Съвета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 (ОВ, L 284 от 20.10.2016 г.).</w:t>
      </w:r>
    </w:p>
    <w:p w:rsidR="00DD3BC7" w:rsidRPr="00741448" w:rsidRDefault="00DD3BC7" w:rsidP="00494EBF">
      <w:pPr>
        <w:spacing w:line="360" w:lineRule="auto"/>
        <w:ind w:firstLine="709"/>
        <w:jc w:val="both"/>
        <w:rPr>
          <w:rFonts w:ascii="Verdana" w:hAnsi="Verdana"/>
          <w:lang w:val="bg-BG"/>
        </w:rPr>
      </w:pPr>
      <w:r w:rsidRPr="00741448">
        <w:rPr>
          <w:rFonts w:ascii="Verdana" w:hAnsi="Verdana"/>
          <w:lang w:val="bg-BG"/>
        </w:rPr>
        <w:t xml:space="preserve">Във връзка с това </w:t>
      </w:r>
      <w:r w:rsidR="00FC72A1" w:rsidRPr="00741448">
        <w:rPr>
          <w:rFonts w:ascii="Verdana" w:hAnsi="Verdana"/>
          <w:lang w:val="bg-BG"/>
        </w:rPr>
        <w:t>е</w:t>
      </w:r>
      <w:r w:rsidR="00951EF1" w:rsidRPr="00741448">
        <w:rPr>
          <w:rFonts w:ascii="Verdana" w:hAnsi="Verdana"/>
          <w:lang w:val="bg-BG"/>
        </w:rPr>
        <w:t xml:space="preserve"> приложен</w:t>
      </w:r>
      <w:r w:rsidR="00FC72A1" w:rsidRPr="00741448">
        <w:rPr>
          <w:rFonts w:ascii="Verdana" w:hAnsi="Verdana"/>
          <w:lang w:val="bg-BG"/>
        </w:rPr>
        <w:t>а</w:t>
      </w:r>
      <w:r w:rsidR="00951EF1" w:rsidRPr="00741448">
        <w:rPr>
          <w:rFonts w:ascii="Verdana" w:hAnsi="Verdana"/>
          <w:lang w:val="bg-BG"/>
        </w:rPr>
        <w:t xml:space="preserve"> таблиц</w:t>
      </w:r>
      <w:r w:rsidR="00FC72A1" w:rsidRPr="00741448">
        <w:rPr>
          <w:rFonts w:ascii="Verdana" w:hAnsi="Verdana"/>
          <w:lang w:val="bg-BG"/>
        </w:rPr>
        <w:t>а</w:t>
      </w:r>
      <w:r w:rsidR="00601CC4">
        <w:rPr>
          <w:rFonts w:ascii="Verdana" w:hAnsi="Verdana"/>
        </w:rPr>
        <w:t xml:space="preserve"> </w:t>
      </w:r>
      <w:r w:rsidRPr="00741448">
        <w:rPr>
          <w:rFonts w:ascii="Verdana" w:hAnsi="Verdana"/>
          <w:lang w:val="bg-BG"/>
        </w:rPr>
        <w:t>н</w:t>
      </w:r>
      <w:r w:rsidR="00D2751F" w:rsidRPr="00741448">
        <w:rPr>
          <w:rFonts w:ascii="Verdana" w:hAnsi="Verdana"/>
          <w:lang w:val="bg-BG"/>
        </w:rPr>
        <w:t>а съответствието с правото на Европейския съюз</w:t>
      </w:r>
      <w:r w:rsidR="00FC72A1" w:rsidRPr="00741448">
        <w:rPr>
          <w:rFonts w:ascii="Verdana" w:hAnsi="Verdana"/>
          <w:lang w:val="bg-BG"/>
        </w:rPr>
        <w:t>.</w:t>
      </w:r>
    </w:p>
    <w:p w:rsidR="0060494C" w:rsidRPr="00741448" w:rsidRDefault="0060494C" w:rsidP="00494EBF">
      <w:pPr>
        <w:spacing w:line="360" w:lineRule="auto"/>
        <w:jc w:val="both"/>
        <w:rPr>
          <w:rFonts w:ascii="Verdana" w:hAnsi="Verdana"/>
          <w:b/>
          <w:color w:val="000000"/>
          <w:shd w:val="clear" w:color="auto" w:fill="FEFEFE"/>
          <w:lang w:val="bg-BG"/>
        </w:rPr>
      </w:pPr>
    </w:p>
    <w:p w:rsidR="0074318D" w:rsidRPr="00741448" w:rsidRDefault="0074318D" w:rsidP="00494EBF">
      <w:pPr>
        <w:spacing w:line="360" w:lineRule="auto"/>
        <w:ind w:firstLine="709"/>
        <w:jc w:val="both"/>
        <w:rPr>
          <w:rFonts w:ascii="Verdana" w:hAnsi="Verdana"/>
          <w:b/>
          <w:color w:val="000000"/>
          <w:shd w:val="clear" w:color="auto" w:fill="FEFEFE"/>
          <w:lang w:val="bg-BG"/>
        </w:rPr>
      </w:pPr>
      <w:r w:rsidRPr="00741448">
        <w:rPr>
          <w:rFonts w:ascii="Verdana" w:hAnsi="Verdana"/>
          <w:b/>
          <w:color w:val="000000"/>
          <w:shd w:val="clear" w:color="auto" w:fill="FEFEFE"/>
          <w:lang w:val="bg-BG"/>
        </w:rPr>
        <w:t>Информация за проведените обществени консултации</w:t>
      </w:r>
    </w:p>
    <w:p w:rsidR="003F5B76" w:rsidRPr="00741448" w:rsidRDefault="00494EBF" w:rsidP="00494EBF">
      <w:pPr>
        <w:overflowPunct/>
        <w:spacing w:line="360" w:lineRule="auto"/>
        <w:ind w:firstLine="709"/>
        <w:jc w:val="both"/>
        <w:textAlignment w:val="auto"/>
        <w:rPr>
          <w:rFonts w:ascii="Verdana" w:hAnsi="Verdana" w:cs="Verdana"/>
          <w:lang w:val="bg-BG" w:eastAsia="zh-CN"/>
        </w:rPr>
      </w:pPr>
      <w:r>
        <w:rPr>
          <w:rFonts w:ascii="Verdana" w:hAnsi="Verdana" w:cs="Verdana"/>
          <w:lang w:val="bg-BG" w:eastAsia="zh-CN"/>
        </w:rPr>
        <w:t xml:space="preserve">На основание </w:t>
      </w:r>
      <w:r w:rsidR="005F3625" w:rsidRPr="00741448">
        <w:rPr>
          <w:rFonts w:ascii="Verdana" w:hAnsi="Verdana" w:cs="Verdana"/>
          <w:lang w:val="bg-BG" w:eastAsia="zh-CN"/>
        </w:rPr>
        <w:t>чл. 26, ал. 3 и 4 от Закона</w:t>
      </w:r>
      <w:r w:rsidR="00D2751F" w:rsidRPr="00741448">
        <w:rPr>
          <w:rFonts w:ascii="Verdana" w:hAnsi="Verdana" w:cs="Verdana"/>
          <w:lang w:val="bg-BG" w:eastAsia="zh-CN"/>
        </w:rPr>
        <w:t xml:space="preserve"> за нормативните актове проект</w:t>
      </w:r>
      <w:r w:rsidR="00FC596E" w:rsidRPr="00741448">
        <w:rPr>
          <w:rFonts w:ascii="Verdana" w:hAnsi="Verdana" w:cs="Verdana"/>
          <w:lang w:val="bg-BG" w:eastAsia="zh-CN"/>
        </w:rPr>
        <w:t>ът</w:t>
      </w:r>
      <w:r w:rsidR="005F3625" w:rsidRPr="00741448">
        <w:rPr>
          <w:rFonts w:ascii="Verdana" w:hAnsi="Verdana" w:cs="Verdana"/>
          <w:lang w:val="bg-BG" w:eastAsia="zh-CN"/>
        </w:rPr>
        <w:t xml:space="preserve"> на постановление,</w:t>
      </w:r>
      <w:r w:rsidR="00D2751F" w:rsidRPr="00741448">
        <w:rPr>
          <w:rFonts w:ascii="Verdana" w:hAnsi="Verdana" w:cs="Verdana"/>
          <w:lang w:val="bg-BG" w:eastAsia="zh-CN"/>
        </w:rPr>
        <w:t xml:space="preserve"> проект</w:t>
      </w:r>
      <w:r w:rsidR="00FC596E" w:rsidRPr="00741448">
        <w:rPr>
          <w:rFonts w:ascii="Verdana" w:hAnsi="Verdana" w:cs="Verdana"/>
          <w:lang w:val="bg-BG" w:eastAsia="zh-CN"/>
        </w:rPr>
        <w:t>ът</w:t>
      </w:r>
      <w:r w:rsidR="00D2751F" w:rsidRPr="00741448">
        <w:rPr>
          <w:rFonts w:ascii="Verdana" w:hAnsi="Verdana" w:cs="Verdana"/>
          <w:lang w:val="bg-BG" w:eastAsia="zh-CN"/>
        </w:rPr>
        <w:t xml:space="preserve"> на наредба</w:t>
      </w:r>
      <w:r w:rsidR="0059329C" w:rsidRPr="00741448">
        <w:rPr>
          <w:rFonts w:ascii="Verdana" w:hAnsi="Verdana" w:cs="Verdana"/>
          <w:lang w:val="bg-BG" w:eastAsia="zh-CN"/>
        </w:rPr>
        <w:t>,</w:t>
      </w:r>
      <w:r w:rsidR="00844CE0">
        <w:rPr>
          <w:rFonts w:ascii="Verdana" w:hAnsi="Verdana" w:cs="Verdana"/>
          <w:lang w:eastAsia="zh-CN"/>
        </w:rPr>
        <w:t xml:space="preserve"> </w:t>
      </w:r>
      <w:r w:rsidR="00D2751F" w:rsidRPr="00741448">
        <w:rPr>
          <w:rFonts w:ascii="Verdana" w:hAnsi="Verdana" w:cs="Verdana"/>
          <w:lang w:val="bg-BG" w:eastAsia="zh-CN"/>
        </w:rPr>
        <w:t>проект</w:t>
      </w:r>
      <w:r w:rsidR="00FC596E" w:rsidRPr="00741448">
        <w:rPr>
          <w:rFonts w:ascii="Verdana" w:hAnsi="Verdana" w:cs="Verdana"/>
          <w:lang w:val="bg-BG" w:eastAsia="zh-CN"/>
        </w:rPr>
        <w:t>ът</w:t>
      </w:r>
      <w:r w:rsidR="00D2751F" w:rsidRPr="00741448">
        <w:rPr>
          <w:rFonts w:ascii="Verdana" w:hAnsi="Verdana" w:cs="Verdana"/>
          <w:lang w:val="bg-BG" w:eastAsia="zh-CN"/>
        </w:rPr>
        <w:t xml:space="preserve"> на доклад</w:t>
      </w:r>
      <w:r>
        <w:rPr>
          <w:rFonts w:ascii="Verdana" w:hAnsi="Verdana" w:cs="Verdana"/>
          <w:lang w:val="bg-BG" w:eastAsia="zh-CN"/>
        </w:rPr>
        <w:t xml:space="preserve"> (мотиви)</w:t>
      </w:r>
      <w:r w:rsidR="008D1D35" w:rsidRPr="00741448">
        <w:rPr>
          <w:rFonts w:ascii="Verdana" w:hAnsi="Verdana" w:cs="Verdana"/>
          <w:lang w:val="bg-BG" w:eastAsia="zh-CN"/>
        </w:rPr>
        <w:t>, частичната предварителна</w:t>
      </w:r>
      <w:r w:rsidR="005F3625" w:rsidRPr="00741448">
        <w:rPr>
          <w:rFonts w:ascii="Verdana" w:hAnsi="Verdana" w:cs="Verdana"/>
          <w:lang w:val="bg-BG" w:eastAsia="zh-CN"/>
        </w:rPr>
        <w:t xml:space="preserve">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w:t>
      </w:r>
      <w:r w:rsidR="00E37659">
        <w:rPr>
          <w:rFonts w:ascii="Verdana" w:hAnsi="Verdana" w:cs="Verdana"/>
          <w:lang w:val="bg-BG" w:eastAsia="zh-CN"/>
        </w:rPr>
        <w:t>на земеделието</w:t>
      </w:r>
      <w:r w:rsidR="005F3625" w:rsidRPr="00741448">
        <w:rPr>
          <w:rFonts w:ascii="Verdana" w:hAnsi="Verdana" w:cs="Verdana"/>
          <w:lang w:val="bg-BG" w:eastAsia="zh-CN"/>
        </w:rPr>
        <w:t xml:space="preserve"> и на Портала за обществени консултации със срок за предложения и становища 30 дни. </w:t>
      </w:r>
    </w:p>
    <w:p w:rsidR="003F5B76" w:rsidRDefault="005F3625" w:rsidP="00494EBF">
      <w:pPr>
        <w:overflowPunct/>
        <w:autoSpaceDE/>
        <w:autoSpaceDN/>
        <w:adjustRightInd/>
        <w:spacing w:line="360" w:lineRule="auto"/>
        <w:ind w:firstLine="709"/>
        <w:jc w:val="both"/>
        <w:textAlignment w:val="auto"/>
        <w:rPr>
          <w:rFonts w:ascii="Verdana" w:hAnsi="Verdana" w:cs="Verdana"/>
          <w:lang w:val="bg-BG"/>
        </w:rPr>
      </w:pPr>
      <w:r w:rsidRPr="00741448">
        <w:rPr>
          <w:rFonts w:ascii="Verdana" w:hAnsi="Verdana" w:cs="Verdana"/>
          <w:lang w:val="bg-BG"/>
        </w:rPr>
        <w:t>В съответствие с чл. 26, ал. 5 от Закона за нормативните актове</w:t>
      </w:r>
      <w:r w:rsidR="00F22010" w:rsidRPr="00741448">
        <w:rPr>
          <w:rFonts w:ascii="Verdana" w:hAnsi="Verdana" w:cs="Verdana"/>
          <w:lang w:val="bg-BG"/>
        </w:rPr>
        <w:t>,</w:t>
      </w:r>
      <w:r w:rsidR="002650FA" w:rsidRPr="00741448">
        <w:rPr>
          <w:rFonts w:ascii="Verdana" w:hAnsi="Verdana" w:cs="Verdana"/>
          <w:lang w:val="bg-BG"/>
        </w:rPr>
        <w:t xml:space="preserve"> справката </w:t>
      </w:r>
      <w:r w:rsidR="000425C3" w:rsidRPr="00741448">
        <w:rPr>
          <w:rFonts w:ascii="Verdana" w:hAnsi="Verdana" w:cs="Verdana"/>
          <w:lang w:val="bg-BG"/>
        </w:rPr>
        <w:t xml:space="preserve">за </w:t>
      </w:r>
      <w:r w:rsidR="002650FA" w:rsidRPr="00741448">
        <w:rPr>
          <w:rFonts w:ascii="Verdana" w:hAnsi="Verdana" w:cs="Verdana"/>
          <w:lang w:val="bg-BG"/>
        </w:rPr>
        <w:t xml:space="preserve">отразяване на предложения и становища, постъпили при </w:t>
      </w:r>
      <w:r w:rsidR="000425C3" w:rsidRPr="00741448">
        <w:rPr>
          <w:rFonts w:ascii="Verdana" w:hAnsi="Verdana" w:cs="Verdana"/>
          <w:lang w:val="bg-BG"/>
        </w:rPr>
        <w:t>проведената обществена консултация</w:t>
      </w:r>
      <w:r w:rsidRPr="00741448">
        <w:rPr>
          <w:rFonts w:ascii="Verdana" w:hAnsi="Verdana" w:cs="Verdana"/>
          <w:lang w:val="bg-BG"/>
        </w:rPr>
        <w:t xml:space="preserve"> е </w:t>
      </w:r>
      <w:r w:rsidR="000425C3" w:rsidRPr="00741448">
        <w:rPr>
          <w:rFonts w:ascii="Verdana" w:hAnsi="Verdana" w:cs="Verdana"/>
          <w:lang w:val="bg-BG"/>
        </w:rPr>
        <w:t>публикуван</w:t>
      </w:r>
      <w:r w:rsidR="002650FA" w:rsidRPr="00741448">
        <w:rPr>
          <w:rFonts w:ascii="Verdana" w:hAnsi="Verdana" w:cs="Verdana"/>
          <w:lang w:val="bg-BG"/>
        </w:rPr>
        <w:t>а</w:t>
      </w:r>
      <w:r w:rsidRPr="00741448">
        <w:rPr>
          <w:rFonts w:ascii="Verdana" w:hAnsi="Verdana" w:cs="Verdana"/>
          <w:lang w:val="bg-BG"/>
        </w:rPr>
        <w:t xml:space="preserve"> на интернет страницата на Министерството на земеделието и на Пор</w:t>
      </w:r>
      <w:r w:rsidR="002650FA" w:rsidRPr="00741448">
        <w:rPr>
          <w:rFonts w:ascii="Verdana" w:hAnsi="Verdana" w:cs="Verdana"/>
          <w:lang w:val="bg-BG"/>
        </w:rPr>
        <w:t>тала за обществени консултации.</w:t>
      </w:r>
    </w:p>
    <w:p w:rsidR="00494EBF" w:rsidRPr="00741448" w:rsidRDefault="00494EBF" w:rsidP="00494EBF">
      <w:pPr>
        <w:overflowPunct/>
        <w:autoSpaceDE/>
        <w:autoSpaceDN/>
        <w:adjustRightInd/>
        <w:spacing w:line="360" w:lineRule="auto"/>
        <w:ind w:firstLine="709"/>
        <w:jc w:val="both"/>
        <w:textAlignment w:val="auto"/>
        <w:rPr>
          <w:rFonts w:ascii="Verdana" w:hAnsi="Verdana" w:cs="Verdana"/>
          <w:lang w:val="bg-BG"/>
        </w:rPr>
      </w:pPr>
    </w:p>
    <w:p w:rsidR="003F5B76" w:rsidRPr="00741448" w:rsidRDefault="005F3625" w:rsidP="00494EBF">
      <w:pPr>
        <w:overflowPunct/>
        <w:autoSpaceDE/>
        <w:autoSpaceDN/>
        <w:adjustRightInd/>
        <w:spacing w:line="360" w:lineRule="auto"/>
        <w:ind w:firstLine="709"/>
        <w:jc w:val="both"/>
        <w:textAlignment w:val="auto"/>
        <w:rPr>
          <w:rFonts w:ascii="Verdana" w:hAnsi="Verdana" w:cs="Verdana"/>
          <w:lang w:val="bg-BG"/>
        </w:rPr>
      </w:pPr>
      <w:r w:rsidRPr="00741448">
        <w:rPr>
          <w:rFonts w:ascii="Verdana" w:hAnsi="Verdana" w:cs="Verdana"/>
          <w:lang w:val="bg-BG"/>
        </w:rPr>
        <w:t xml:space="preserve">Проектът на Постановление на Министерския съвет за приемане на </w:t>
      </w:r>
      <w:r w:rsidR="00B45F1A" w:rsidRPr="00741448">
        <w:rPr>
          <w:rFonts w:ascii="Verdana" w:hAnsi="Verdana"/>
          <w:lang w:val="bg-BG"/>
        </w:rPr>
        <w:t>Наредба за изискванията към използването на екстракционни разтворители при производството на храни и хранителни съставки</w:t>
      </w:r>
      <w:r w:rsidR="002D25C9">
        <w:rPr>
          <w:rFonts w:ascii="Verdana" w:hAnsi="Verdana"/>
          <w:lang w:val="bg-BG"/>
        </w:rPr>
        <w:t xml:space="preserve"> </w:t>
      </w:r>
      <w:r w:rsidRPr="00741448">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494EBF" w:rsidRDefault="00494EBF" w:rsidP="00494EBF">
      <w:pPr>
        <w:spacing w:line="360" w:lineRule="auto"/>
        <w:rPr>
          <w:rFonts w:ascii="Verdana" w:hAnsi="Verdana"/>
          <w:b/>
          <w:lang w:val="bg-BG"/>
        </w:rPr>
      </w:pPr>
    </w:p>
    <w:p w:rsidR="003F5B76" w:rsidRPr="00741448" w:rsidRDefault="005F3625" w:rsidP="00494EBF">
      <w:pPr>
        <w:spacing w:line="360" w:lineRule="auto"/>
        <w:rPr>
          <w:rFonts w:ascii="Verdana" w:hAnsi="Verdana"/>
          <w:b/>
          <w:lang w:val="bg-BG"/>
        </w:rPr>
      </w:pPr>
      <w:r w:rsidRPr="00741448">
        <w:rPr>
          <w:rFonts w:ascii="Verdana" w:hAnsi="Verdana"/>
          <w:b/>
          <w:lang w:val="bg-BG"/>
        </w:rPr>
        <w:t>УВАЖАЕМИ ГОСПОДИН МИНИСТЪР-ПРЕДСЕДАТЕЛ,</w:t>
      </w:r>
    </w:p>
    <w:p w:rsidR="003F5B76" w:rsidRPr="00741448" w:rsidRDefault="005F3625" w:rsidP="00494EBF">
      <w:pPr>
        <w:spacing w:after="120" w:line="360" w:lineRule="auto"/>
        <w:rPr>
          <w:rFonts w:ascii="Verdana" w:hAnsi="Verdana"/>
          <w:b/>
          <w:lang w:val="bg-BG"/>
        </w:rPr>
      </w:pPr>
      <w:r w:rsidRPr="00741448">
        <w:rPr>
          <w:rFonts w:ascii="Verdana" w:hAnsi="Verdana"/>
          <w:b/>
          <w:lang w:val="bg-BG"/>
        </w:rPr>
        <w:t>УВАЖАЕМИ ГОСПОЖИ И ГОСПОДА МИНИСТРИ,</w:t>
      </w:r>
    </w:p>
    <w:p w:rsidR="003F5B76" w:rsidRDefault="005F3625" w:rsidP="00494EBF">
      <w:pPr>
        <w:widowControl w:val="0"/>
        <w:overflowPunct/>
        <w:spacing w:line="360" w:lineRule="auto"/>
        <w:ind w:firstLine="709"/>
        <w:jc w:val="both"/>
        <w:textAlignment w:val="auto"/>
        <w:rPr>
          <w:rFonts w:ascii="Verdana" w:hAnsi="Verdana" w:cs="Verdana"/>
          <w:spacing w:val="2"/>
          <w:lang w:val="bg-BG" w:eastAsia="zh-CN"/>
        </w:rPr>
      </w:pPr>
      <w:r w:rsidRPr="00741448">
        <w:rPr>
          <w:rFonts w:ascii="Verdana" w:hAnsi="Verdana" w:cs="Verdana"/>
          <w:spacing w:val="2"/>
          <w:lang w:val="bg-BG" w:eastAsia="zh-CN"/>
        </w:rPr>
        <w:t>Във връзка с гореи</w:t>
      </w:r>
      <w:r w:rsidR="005750F9" w:rsidRPr="00741448">
        <w:rPr>
          <w:rFonts w:ascii="Verdana" w:hAnsi="Verdana" w:cs="Verdana"/>
          <w:spacing w:val="2"/>
          <w:lang w:val="bg-BG" w:eastAsia="zh-CN"/>
        </w:rPr>
        <w:t xml:space="preserve">зложеното и на основание </w:t>
      </w:r>
      <w:r w:rsidR="00F67383" w:rsidRPr="00741448">
        <w:rPr>
          <w:rFonts w:ascii="Verdana" w:hAnsi="Verdana" w:cs="Verdana"/>
          <w:spacing w:val="2"/>
          <w:lang w:val="bg-BG" w:eastAsia="zh-CN"/>
        </w:rPr>
        <w:t>чл. 5 от Закона за храните</w:t>
      </w:r>
      <w:r w:rsidR="002D25C9">
        <w:rPr>
          <w:rFonts w:ascii="Verdana" w:hAnsi="Verdana" w:cs="Verdana"/>
          <w:spacing w:val="2"/>
          <w:lang w:val="bg-BG" w:eastAsia="zh-CN"/>
        </w:rPr>
        <w:t xml:space="preserve"> </w:t>
      </w:r>
      <w:r w:rsidRPr="00741448">
        <w:rPr>
          <w:rFonts w:ascii="Verdana" w:hAnsi="Verdana" w:cs="Verdana"/>
          <w:spacing w:val="2"/>
          <w:lang w:val="bg-BG" w:eastAsia="zh-CN"/>
        </w:rPr>
        <w:t>и чл. 8, ал. 2 от Устройствения правилник на Министерският съвет и на неговата администрация предлагам Министерския</w:t>
      </w:r>
      <w:r w:rsidR="00D01474" w:rsidRPr="00741448">
        <w:rPr>
          <w:rFonts w:ascii="Verdana" w:hAnsi="Verdana" w:cs="Verdana"/>
          <w:spacing w:val="2"/>
          <w:lang w:val="bg-BG" w:eastAsia="zh-CN"/>
        </w:rPr>
        <w:t>т</w:t>
      </w:r>
      <w:r w:rsidRPr="00741448">
        <w:rPr>
          <w:rFonts w:ascii="Verdana" w:hAnsi="Verdana" w:cs="Verdana"/>
          <w:spacing w:val="2"/>
          <w:lang w:val="bg-BG" w:eastAsia="zh-CN"/>
        </w:rPr>
        <w:t xml:space="preserve"> съвет да приеме прил</w:t>
      </w:r>
      <w:r w:rsidR="002650FA" w:rsidRPr="00741448">
        <w:rPr>
          <w:rFonts w:ascii="Verdana" w:hAnsi="Verdana" w:cs="Verdana"/>
          <w:spacing w:val="2"/>
          <w:lang w:val="bg-BG" w:eastAsia="zh-CN"/>
        </w:rPr>
        <w:t>ожения проект на Постановление.</w:t>
      </w:r>
    </w:p>
    <w:p w:rsidR="00390D46" w:rsidRPr="00741448" w:rsidRDefault="00390D46" w:rsidP="00494EBF">
      <w:pPr>
        <w:widowControl w:val="0"/>
        <w:overflowPunct/>
        <w:spacing w:line="360" w:lineRule="auto"/>
        <w:ind w:firstLine="709"/>
        <w:jc w:val="both"/>
        <w:textAlignment w:val="auto"/>
        <w:rPr>
          <w:rFonts w:ascii="Verdana" w:hAnsi="Verdana" w:cs="Verdana"/>
          <w:spacing w:val="2"/>
          <w:lang w:val="bg-BG" w:eastAsia="zh-CN"/>
        </w:rPr>
      </w:pPr>
    </w:p>
    <w:p w:rsidR="0050218B" w:rsidRPr="00741448" w:rsidRDefault="0050218B" w:rsidP="00494EBF">
      <w:pPr>
        <w:widowControl w:val="0"/>
        <w:overflowPunct/>
        <w:spacing w:line="360" w:lineRule="auto"/>
        <w:ind w:firstLine="709"/>
        <w:jc w:val="both"/>
        <w:textAlignment w:val="auto"/>
        <w:rPr>
          <w:rFonts w:ascii="Verdana" w:hAnsi="Verdana" w:cs="Verdana"/>
          <w:spacing w:val="2"/>
          <w:lang w:val="bg-BG" w:eastAsia="zh-CN"/>
        </w:rPr>
      </w:pPr>
    </w:p>
    <w:tbl>
      <w:tblPr>
        <w:tblW w:w="8654" w:type="dxa"/>
        <w:tblInd w:w="668" w:type="dxa"/>
        <w:tblLook w:val="01E0" w:firstRow="1" w:lastRow="1" w:firstColumn="1" w:lastColumn="1" w:noHBand="0" w:noVBand="0"/>
      </w:tblPr>
      <w:tblGrid>
        <w:gridCol w:w="1781"/>
        <w:gridCol w:w="6873"/>
      </w:tblGrid>
      <w:tr w:rsidR="003F5B76" w:rsidRPr="00805A3C" w:rsidTr="00F369D6">
        <w:tc>
          <w:tcPr>
            <w:tcW w:w="1781" w:type="dxa"/>
          </w:tcPr>
          <w:p w:rsidR="003F5B76" w:rsidRPr="00741448" w:rsidRDefault="009B0162" w:rsidP="00494EBF">
            <w:pPr>
              <w:spacing w:line="360" w:lineRule="auto"/>
              <w:jc w:val="both"/>
              <w:rPr>
                <w:rFonts w:ascii="Verdana" w:hAnsi="Verdana"/>
                <w:b/>
                <w:bCs/>
                <w:lang w:val="bg-BG"/>
              </w:rPr>
            </w:pPr>
            <w:r w:rsidRPr="00741448">
              <w:rPr>
                <w:rFonts w:ascii="Verdana" w:hAnsi="Verdana"/>
                <w:b/>
                <w:bCs/>
                <w:lang w:val="bg-BG"/>
              </w:rPr>
              <w:lastRenderedPageBreak/>
              <w:t>Приложение</w:t>
            </w:r>
            <w:r w:rsidR="005F3625" w:rsidRPr="00741448">
              <w:rPr>
                <w:rFonts w:ascii="Verdana" w:hAnsi="Verdana"/>
                <w:b/>
                <w:bCs/>
                <w:lang w:val="bg-BG"/>
              </w:rPr>
              <w:t xml:space="preserve">: </w:t>
            </w:r>
          </w:p>
        </w:tc>
        <w:tc>
          <w:tcPr>
            <w:tcW w:w="6873" w:type="dxa"/>
          </w:tcPr>
          <w:p w:rsidR="003F5B76" w:rsidRPr="00741448"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Проект на Постановление</w:t>
            </w:r>
            <w:r w:rsidR="00734C3D" w:rsidRPr="00741448">
              <w:rPr>
                <w:rFonts w:ascii="Verdana" w:hAnsi="Verdana"/>
                <w:lang w:val="bg-BG"/>
              </w:rPr>
              <w:t xml:space="preserve"> на Министерския съвет</w:t>
            </w:r>
            <w:r w:rsidRPr="00741448">
              <w:rPr>
                <w:rFonts w:ascii="Verdana" w:hAnsi="Verdana"/>
                <w:lang w:val="bg-BG"/>
              </w:rPr>
              <w:t xml:space="preserve">; </w:t>
            </w:r>
          </w:p>
          <w:p w:rsidR="003F5B76" w:rsidRPr="00741448"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 xml:space="preserve">Проект на </w:t>
            </w:r>
            <w:r w:rsidR="00B45F1A" w:rsidRPr="00741448">
              <w:rPr>
                <w:rFonts w:ascii="Verdana" w:hAnsi="Verdana"/>
                <w:lang w:val="bg-BG"/>
              </w:rPr>
              <w:t>Наредба за изискванията към използването на екстракционни разтворители при производството на храни и хранителни съставки</w:t>
            </w:r>
            <w:r w:rsidRPr="00741448">
              <w:rPr>
                <w:rFonts w:ascii="Verdana" w:hAnsi="Verdana"/>
                <w:lang w:val="bg-BG"/>
              </w:rPr>
              <w:t xml:space="preserve">; </w:t>
            </w:r>
          </w:p>
          <w:p w:rsidR="003F5B76" w:rsidRPr="00741448"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 xml:space="preserve">Частична предварителна оценка на въздействието; </w:t>
            </w:r>
          </w:p>
          <w:p w:rsidR="003F5B76" w:rsidRPr="008E1FD4"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8E1FD4">
              <w:rPr>
                <w:rFonts w:ascii="Verdana" w:hAnsi="Verdana"/>
                <w:lang w:val="bg-BG"/>
              </w:rPr>
              <w:t>Становище на дирекция „М</w:t>
            </w:r>
            <w:r w:rsidR="00734C3D" w:rsidRPr="008E1FD4">
              <w:rPr>
                <w:rFonts w:ascii="Verdana" w:hAnsi="Verdana"/>
                <w:lang w:val="bg-BG"/>
              </w:rPr>
              <w:t>одернизация на администрацията</w:t>
            </w:r>
            <w:r w:rsidR="00F369D6" w:rsidRPr="008E1FD4">
              <w:rPr>
                <w:rFonts w:ascii="Verdana" w:hAnsi="Verdana"/>
                <w:lang w:val="bg-BG"/>
              </w:rPr>
              <w:t>”</w:t>
            </w:r>
            <w:r w:rsidR="00734C3D" w:rsidRPr="008E1FD4">
              <w:rPr>
                <w:rFonts w:ascii="Verdana" w:hAnsi="Verdana"/>
                <w:lang w:val="bg-BG"/>
              </w:rPr>
              <w:t xml:space="preserve"> на Министерския съвет</w:t>
            </w:r>
            <w:r w:rsidRPr="008E1FD4">
              <w:rPr>
                <w:rFonts w:ascii="Verdana" w:hAnsi="Verdana"/>
                <w:lang w:val="bg-BG"/>
              </w:rPr>
              <w:t>;</w:t>
            </w:r>
          </w:p>
          <w:p w:rsidR="00734C3D" w:rsidRPr="00741448" w:rsidRDefault="00734C3D"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Финансова обосновка;</w:t>
            </w:r>
          </w:p>
          <w:p w:rsidR="002F53D3" w:rsidRPr="00741448" w:rsidRDefault="00D2751F"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F6660C">
              <w:rPr>
                <w:rFonts w:ascii="Verdana" w:hAnsi="Verdana"/>
                <w:spacing w:val="-6"/>
                <w:lang w:val="bg-BG"/>
              </w:rPr>
              <w:t>Таблиц</w:t>
            </w:r>
            <w:r w:rsidR="00FC72A1" w:rsidRPr="00F6660C">
              <w:rPr>
                <w:rFonts w:ascii="Verdana" w:hAnsi="Verdana"/>
                <w:spacing w:val="-6"/>
                <w:lang w:val="bg-BG"/>
              </w:rPr>
              <w:t>а</w:t>
            </w:r>
            <w:r w:rsidR="0038409B" w:rsidRPr="00F6660C">
              <w:rPr>
                <w:rFonts w:ascii="Verdana" w:hAnsi="Verdana"/>
                <w:spacing w:val="-6"/>
                <w:lang w:val="bg-BG"/>
              </w:rPr>
              <w:t xml:space="preserve"> на съответствието с правото на Европейския</w:t>
            </w:r>
            <w:r w:rsidR="0038409B" w:rsidRPr="00741448">
              <w:rPr>
                <w:rFonts w:ascii="Verdana" w:hAnsi="Verdana"/>
                <w:lang w:val="bg-BG"/>
              </w:rPr>
              <w:t xml:space="preserve"> съюз</w:t>
            </w:r>
            <w:r w:rsidR="00FC72A1" w:rsidRPr="00741448">
              <w:rPr>
                <w:rFonts w:ascii="Verdana" w:hAnsi="Verdana"/>
                <w:lang w:val="bg-BG"/>
              </w:rPr>
              <w:t>;</w:t>
            </w:r>
          </w:p>
          <w:p w:rsidR="003F5B76" w:rsidRPr="00741448"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Справка за отразяване</w:t>
            </w:r>
            <w:r w:rsidR="00D2751F" w:rsidRPr="00741448">
              <w:rPr>
                <w:rFonts w:ascii="Verdana" w:hAnsi="Verdana"/>
                <w:lang w:val="bg-BG"/>
              </w:rPr>
              <w:t xml:space="preserve"> на становищата, постъпили</w:t>
            </w:r>
            <w:r w:rsidRPr="00741448">
              <w:rPr>
                <w:rFonts w:ascii="Verdana" w:hAnsi="Verdana"/>
                <w:lang w:val="bg-BG"/>
              </w:rPr>
              <w:t xml:space="preserve"> по реда на чл. 32 – 34 от УПМСНА;</w:t>
            </w:r>
          </w:p>
          <w:p w:rsidR="00734C3D" w:rsidRPr="00335395" w:rsidRDefault="00734C3D"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335395">
              <w:rPr>
                <w:rFonts w:ascii="Verdana" w:hAnsi="Verdana"/>
                <w:lang w:val="bg-BG"/>
              </w:rPr>
              <w:t>Постъпили становища</w:t>
            </w:r>
            <w:r w:rsidR="00425292" w:rsidRPr="00335395">
              <w:rPr>
                <w:rFonts w:ascii="Verdana" w:hAnsi="Verdana"/>
                <w:lang w:val="bg-BG"/>
              </w:rPr>
              <w:t xml:space="preserve"> по реда на чл. 32</w:t>
            </w:r>
            <w:r w:rsidR="00F369D6" w:rsidRPr="00335395">
              <w:rPr>
                <w:rFonts w:ascii="Verdana" w:hAnsi="Verdana"/>
                <w:lang w:val="bg-BG"/>
              </w:rPr>
              <w:t xml:space="preserve"> – </w:t>
            </w:r>
            <w:r w:rsidR="00425292" w:rsidRPr="00335395">
              <w:rPr>
                <w:rFonts w:ascii="Verdana" w:hAnsi="Verdana"/>
                <w:lang w:val="bg-BG"/>
              </w:rPr>
              <w:t>34 от УПМСНА</w:t>
            </w:r>
            <w:r w:rsidRPr="00335395">
              <w:rPr>
                <w:rFonts w:ascii="Verdana" w:hAnsi="Verdana"/>
                <w:lang w:val="bg-BG"/>
              </w:rPr>
              <w:t>;</w:t>
            </w:r>
          </w:p>
          <w:p w:rsidR="00D2751F" w:rsidRPr="00741448" w:rsidRDefault="00D2751F"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335395">
              <w:rPr>
                <w:rFonts w:ascii="Verdana" w:hAnsi="Verdana"/>
                <w:lang w:val="bg-BG"/>
              </w:rPr>
              <w:t>Становищ</w:t>
            </w:r>
            <w:r w:rsidR="00390D46" w:rsidRPr="00335395">
              <w:rPr>
                <w:rFonts w:ascii="Verdana" w:hAnsi="Verdana"/>
                <w:lang w:val="bg-BG"/>
              </w:rPr>
              <w:t>а</w:t>
            </w:r>
            <w:r w:rsidRPr="00741448">
              <w:rPr>
                <w:rFonts w:ascii="Verdana" w:hAnsi="Verdana"/>
                <w:lang w:val="bg-BG"/>
              </w:rPr>
              <w:t xml:space="preserve"> на Работна група 1 „Свободно движение на стоки”;</w:t>
            </w:r>
          </w:p>
          <w:p w:rsidR="00D2751F" w:rsidRPr="00741448" w:rsidRDefault="00425292"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Становище</w:t>
            </w:r>
            <w:r w:rsidR="00D2751F" w:rsidRPr="00741448">
              <w:rPr>
                <w:rFonts w:ascii="Verdana" w:hAnsi="Verdana"/>
                <w:lang w:val="bg-BG"/>
              </w:rPr>
              <w:t xml:space="preserve"> на Работна група 7 „Земеделие”;</w:t>
            </w:r>
          </w:p>
          <w:p w:rsidR="003F5B76" w:rsidRPr="00741448" w:rsidRDefault="002650FA"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cs="Verdana"/>
                <w:lang w:val="bg-BG"/>
              </w:rPr>
              <w:t>Справка за отразяване на предложения</w:t>
            </w:r>
            <w:r w:rsidR="00494EBF">
              <w:rPr>
                <w:rFonts w:ascii="Verdana" w:hAnsi="Verdana" w:cs="Verdana"/>
                <w:lang w:val="bg-BG"/>
              </w:rPr>
              <w:t>та</w:t>
            </w:r>
            <w:r w:rsidRPr="00741448">
              <w:rPr>
                <w:rFonts w:ascii="Verdana" w:hAnsi="Verdana" w:cs="Verdana"/>
                <w:lang w:val="bg-BG"/>
              </w:rPr>
              <w:t xml:space="preserve"> и становища</w:t>
            </w:r>
            <w:r w:rsidR="00494EBF">
              <w:rPr>
                <w:rFonts w:ascii="Verdana" w:hAnsi="Verdana" w:cs="Verdana"/>
                <w:lang w:val="bg-BG"/>
              </w:rPr>
              <w:t>та</w:t>
            </w:r>
            <w:r w:rsidRPr="00741448">
              <w:rPr>
                <w:rFonts w:ascii="Verdana" w:hAnsi="Verdana" w:cs="Verdana"/>
                <w:lang w:val="bg-BG"/>
              </w:rPr>
              <w:t>, постъпили при проведената обществена консултация</w:t>
            </w:r>
            <w:r w:rsidR="005F3625" w:rsidRPr="00741448">
              <w:rPr>
                <w:rFonts w:ascii="Verdana" w:hAnsi="Verdana"/>
                <w:lang w:val="bg-BG"/>
              </w:rPr>
              <w:t xml:space="preserve">; </w:t>
            </w:r>
          </w:p>
          <w:p w:rsidR="003F5B76" w:rsidRPr="00741448" w:rsidRDefault="005F3625" w:rsidP="00494EBF">
            <w:pPr>
              <w:pStyle w:val="ListParagraph"/>
              <w:numPr>
                <w:ilvl w:val="0"/>
                <w:numId w:val="33"/>
              </w:numPr>
              <w:overflowPunct/>
              <w:autoSpaceDE/>
              <w:autoSpaceDN/>
              <w:adjustRightInd/>
              <w:spacing w:line="360" w:lineRule="auto"/>
              <w:contextualSpacing w:val="0"/>
              <w:jc w:val="both"/>
              <w:textAlignment w:val="auto"/>
              <w:rPr>
                <w:rFonts w:ascii="Verdana" w:hAnsi="Verdana"/>
                <w:lang w:val="bg-BG"/>
              </w:rPr>
            </w:pPr>
            <w:r w:rsidRPr="00741448">
              <w:rPr>
                <w:rFonts w:ascii="Verdana" w:hAnsi="Verdana"/>
                <w:lang w:val="bg-BG"/>
              </w:rPr>
              <w:t>Проект на съобщение за средствата за масово осведомяване.</w:t>
            </w:r>
          </w:p>
        </w:tc>
      </w:tr>
    </w:tbl>
    <w:p w:rsidR="00AE7ECF" w:rsidRPr="00741448" w:rsidRDefault="00AE7ECF" w:rsidP="00494EBF">
      <w:pPr>
        <w:spacing w:line="360" w:lineRule="auto"/>
        <w:jc w:val="both"/>
        <w:rPr>
          <w:rFonts w:ascii="Verdana" w:eastAsia="PMingLiU" w:hAnsi="Verdana" w:cs="Verdana"/>
          <w:b/>
          <w:bCs/>
          <w:lang w:val="bg-BG"/>
        </w:rPr>
      </w:pPr>
    </w:p>
    <w:p w:rsidR="00F6660C" w:rsidRDefault="00F6660C" w:rsidP="00494EBF">
      <w:pPr>
        <w:spacing w:line="360" w:lineRule="auto"/>
        <w:jc w:val="both"/>
        <w:rPr>
          <w:rFonts w:ascii="Verdana" w:eastAsia="PMingLiU" w:hAnsi="Verdana" w:cs="Verdana"/>
          <w:b/>
          <w:bCs/>
          <w:lang w:val="bg-BG"/>
        </w:rPr>
      </w:pPr>
    </w:p>
    <w:p w:rsidR="00F6660C" w:rsidRDefault="00F6660C" w:rsidP="00494EBF">
      <w:pPr>
        <w:spacing w:line="360" w:lineRule="auto"/>
        <w:jc w:val="both"/>
        <w:rPr>
          <w:rFonts w:ascii="Verdana" w:eastAsia="PMingLiU" w:hAnsi="Verdana" w:cs="Verdana"/>
          <w:bCs/>
          <w:lang w:val="bg-BG"/>
        </w:rPr>
      </w:pPr>
      <w:r w:rsidRPr="00627DFD">
        <w:rPr>
          <w:rFonts w:ascii="Verdana" w:eastAsia="PMingLiU" w:hAnsi="Verdana" w:cs="Verdana"/>
          <w:bCs/>
          <w:lang w:val="bg-BG"/>
        </w:rPr>
        <w:t>С уважение,</w:t>
      </w:r>
    </w:p>
    <w:p w:rsidR="00390D46" w:rsidRPr="0059329C" w:rsidRDefault="00390D46" w:rsidP="00494EBF">
      <w:pPr>
        <w:spacing w:line="360" w:lineRule="auto"/>
        <w:jc w:val="both"/>
        <w:rPr>
          <w:rFonts w:ascii="Verdana" w:eastAsia="PMingLiU" w:hAnsi="Verdana" w:cs="Verdana"/>
          <w:b/>
          <w:bCs/>
          <w:lang w:val="bg-BG"/>
        </w:rPr>
      </w:pPr>
    </w:p>
    <w:p w:rsidR="00F6660C" w:rsidRPr="0059329C" w:rsidRDefault="00F6660C" w:rsidP="00494EBF">
      <w:pPr>
        <w:spacing w:line="360" w:lineRule="auto"/>
        <w:jc w:val="both"/>
        <w:rPr>
          <w:rFonts w:ascii="Verdana" w:eastAsia="PMingLiU" w:hAnsi="Verdana" w:cs="Verdana"/>
          <w:b/>
          <w:bCs/>
          <w:lang w:val="bg-BG"/>
        </w:rPr>
      </w:pPr>
    </w:p>
    <w:p w:rsidR="00F6660C" w:rsidRPr="0059329C" w:rsidRDefault="00E37659" w:rsidP="00494EBF">
      <w:pPr>
        <w:spacing w:line="360" w:lineRule="auto"/>
        <w:jc w:val="both"/>
        <w:rPr>
          <w:rFonts w:ascii="Verdana" w:eastAsia="PMingLiU" w:hAnsi="Verdana" w:cs="Verdana"/>
          <w:b/>
          <w:bCs/>
          <w:lang w:val="bg-BG"/>
        </w:rPr>
      </w:pPr>
      <w:r>
        <w:rPr>
          <w:rFonts w:ascii="Verdana" w:eastAsia="PMingLiU" w:hAnsi="Verdana" w:cs="Verdana"/>
          <w:b/>
          <w:bCs/>
          <w:lang w:val="bg-BG"/>
        </w:rPr>
        <w:t>Д-Р ИВАН ИВАНОВ</w:t>
      </w:r>
    </w:p>
    <w:p w:rsidR="00F6660C" w:rsidRPr="0059329C" w:rsidRDefault="00026B6D" w:rsidP="00494EBF">
      <w:pPr>
        <w:tabs>
          <w:tab w:val="left" w:pos="0"/>
        </w:tabs>
        <w:spacing w:line="360" w:lineRule="auto"/>
        <w:jc w:val="both"/>
        <w:outlineLvl w:val="0"/>
        <w:rPr>
          <w:rFonts w:ascii="Verdana" w:eastAsia="PMingLiU" w:hAnsi="Verdana" w:cs="Verdana"/>
          <w:i/>
          <w:iCs/>
          <w:lang w:val="bg-BG"/>
        </w:rPr>
      </w:pPr>
      <w:r w:rsidRPr="00026B6D">
        <w:rPr>
          <w:rFonts w:ascii="Verdana" w:eastAsia="PMingLiU" w:hAnsi="Verdana" w:cs="Verdana"/>
          <w:i/>
          <w:iCs/>
          <w:lang w:val="bg-BG"/>
        </w:rPr>
        <w:t xml:space="preserve">Министър </w:t>
      </w:r>
      <w:r w:rsidR="00E37659">
        <w:rPr>
          <w:rFonts w:ascii="Verdana" w:eastAsia="PMingLiU" w:hAnsi="Verdana" w:cs="Verdana"/>
          <w:i/>
          <w:iCs/>
          <w:lang w:val="bg-BG"/>
        </w:rPr>
        <w:t>на земеделието</w:t>
      </w:r>
    </w:p>
    <w:p w:rsidR="00F6660C" w:rsidRDefault="00F6660C" w:rsidP="00F6660C">
      <w:pPr>
        <w:overflowPunct/>
        <w:autoSpaceDE/>
        <w:autoSpaceDN/>
        <w:adjustRightInd/>
        <w:textAlignment w:val="auto"/>
        <w:rPr>
          <w:rFonts w:ascii="Verdana" w:hAnsi="Verdana"/>
          <w:smallCaps/>
          <w:sz w:val="18"/>
          <w:szCs w:val="18"/>
          <w:lang w:val="bg-BG" w:eastAsia="bg-BG"/>
        </w:rPr>
      </w:pPr>
    </w:p>
    <w:p w:rsidR="00F6660C" w:rsidRDefault="00F6660C" w:rsidP="00F6660C">
      <w:pPr>
        <w:overflowPunct/>
        <w:autoSpaceDE/>
        <w:autoSpaceDN/>
        <w:adjustRightInd/>
        <w:textAlignment w:val="auto"/>
        <w:rPr>
          <w:rFonts w:ascii="Verdana" w:hAnsi="Verdana"/>
          <w:smallCaps/>
          <w:sz w:val="18"/>
          <w:szCs w:val="18"/>
          <w:lang w:val="bg-BG" w:eastAsia="bg-BG"/>
        </w:rPr>
      </w:pPr>
    </w:p>
    <w:p w:rsidR="00F6660C" w:rsidRDefault="00F6660C" w:rsidP="00F6660C">
      <w:pPr>
        <w:overflowPunct/>
        <w:autoSpaceDE/>
        <w:autoSpaceDN/>
        <w:adjustRightInd/>
        <w:textAlignment w:val="auto"/>
        <w:rPr>
          <w:rFonts w:ascii="Verdana" w:hAnsi="Verdana"/>
          <w:smallCaps/>
          <w:sz w:val="18"/>
          <w:szCs w:val="18"/>
          <w:lang w:val="bg-BG" w:eastAsia="bg-BG"/>
        </w:rPr>
      </w:pPr>
      <w:bookmarkStart w:id="0" w:name="_GoBack"/>
      <w:bookmarkEnd w:id="0"/>
    </w:p>
    <w:sectPr w:rsidR="00F6660C" w:rsidSect="00390D46">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7B" w:rsidRDefault="00500F7B">
      <w:r>
        <w:separator/>
      </w:r>
    </w:p>
  </w:endnote>
  <w:endnote w:type="continuationSeparator" w:id="0">
    <w:p w:rsidR="00500F7B" w:rsidRDefault="005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E82FC4">
    <w:pPr>
      <w:pStyle w:val="Footer"/>
      <w:framePr w:wrap="around" w:vAnchor="text" w:hAnchor="margin" w:xAlign="right" w:y="1"/>
      <w:rPr>
        <w:rStyle w:val="PageNumber"/>
      </w:rPr>
    </w:pPr>
    <w:r>
      <w:rPr>
        <w:rStyle w:val="PageNumber"/>
      </w:rPr>
      <w:fldChar w:fldCharType="begin"/>
    </w:r>
    <w:r w:rsidR="005F3625">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114164874"/>
      <w:docPartObj>
        <w:docPartGallery w:val="Page Numbers (Bottom of Page)"/>
        <w:docPartUnique/>
      </w:docPartObj>
    </w:sdtPr>
    <w:sdtEndPr>
      <w:rPr>
        <w:noProof/>
      </w:rPr>
    </w:sdtEndPr>
    <w:sdtContent>
      <w:p w:rsidR="003F5B76" w:rsidRPr="00B9400D" w:rsidRDefault="00E82FC4" w:rsidP="00B9400D">
        <w:pPr>
          <w:pStyle w:val="Footer"/>
          <w:jc w:val="right"/>
          <w:rPr>
            <w:rFonts w:ascii="Verdana" w:hAnsi="Verdana"/>
            <w:sz w:val="16"/>
            <w:szCs w:val="16"/>
          </w:rPr>
        </w:pPr>
        <w:r w:rsidRPr="00B9400D">
          <w:rPr>
            <w:rFonts w:ascii="Verdana" w:hAnsi="Verdana"/>
            <w:sz w:val="16"/>
            <w:szCs w:val="16"/>
          </w:rPr>
          <w:fldChar w:fldCharType="begin"/>
        </w:r>
        <w:r w:rsidR="0050218B" w:rsidRPr="00B9400D">
          <w:rPr>
            <w:rFonts w:ascii="Verdana" w:hAnsi="Verdana"/>
            <w:sz w:val="16"/>
            <w:szCs w:val="16"/>
          </w:rPr>
          <w:instrText xml:space="preserve"> PAGE   \* MERGEFORMAT </w:instrText>
        </w:r>
        <w:r w:rsidRPr="00B9400D">
          <w:rPr>
            <w:rFonts w:ascii="Verdana" w:hAnsi="Verdana"/>
            <w:sz w:val="16"/>
            <w:szCs w:val="16"/>
          </w:rPr>
          <w:fldChar w:fldCharType="separate"/>
        </w:r>
        <w:r w:rsidR="00163F85">
          <w:rPr>
            <w:rFonts w:ascii="Verdana" w:hAnsi="Verdana"/>
            <w:noProof/>
            <w:sz w:val="16"/>
            <w:szCs w:val="16"/>
          </w:rPr>
          <w:t>5</w:t>
        </w:r>
        <w:r w:rsidRPr="00B9400D">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7B" w:rsidRDefault="00500F7B">
      <w:r>
        <w:separator/>
      </w:r>
    </w:p>
  </w:footnote>
  <w:footnote w:type="continuationSeparator" w:id="0">
    <w:p w:rsidR="00500F7B" w:rsidRDefault="0050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simplePos x="0" y="0"/>
          <wp:positionH relativeFrom="column">
            <wp:posOffset>2339179</wp:posOffset>
          </wp:positionH>
          <wp:positionV relativeFrom="paragraph">
            <wp:posOffset>-182245</wp:posOffset>
          </wp:positionV>
          <wp:extent cx="1224000" cy="1213200"/>
          <wp:effectExtent l="0" t="0" r="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213200"/>
                  </a:xfrm>
                  <a:prstGeom prst="rect">
                    <a:avLst/>
                  </a:prstGeom>
                  <a:noFill/>
                </pic:spPr>
              </pic:pic>
            </a:graphicData>
          </a:graphic>
          <wp14:sizeRelH relativeFrom="margin">
            <wp14:pctWidth>0</wp14:pctWidth>
          </wp14:sizeRelH>
          <wp14:sizeRelV relativeFrom="margin">
            <wp14:pctHeight>0</wp14:pctHeight>
          </wp14:sizeRelV>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Pr="00E37659" w:rsidRDefault="005F3625">
    <w:pPr>
      <w:pStyle w:val="Heading1"/>
      <w:framePr w:w="0" w:hRule="auto" w:wrap="auto" w:vAnchor="margin" w:hAnchor="text" w:xAlign="left" w:yAlign="inline"/>
      <w:pBdr>
        <w:bottom w:val="single" w:sz="4" w:space="1" w:color="auto"/>
      </w:pBdr>
    </w:pPr>
    <w:r>
      <w:rPr>
        <w:rFonts w:ascii="Platinum Bg" w:hAnsi="Platinum Bg"/>
        <w:b w:val="0"/>
        <w:spacing w:val="40"/>
        <w:lang w:val="bg-BG"/>
      </w:rPr>
      <w:t>Министър на земеделието</w:t>
    </w:r>
    <w:r w:rsidR="00E37659">
      <w:rPr>
        <w:noProof/>
      </w:rPr>
      <mc:AlternateContent>
        <mc:Choice Requires="wps">
          <w:drawing>
            <wp:anchor distT="4294967294" distB="4294967294" distL="114300" distR="114300" simplePos="0" relativeHeight="251658240" behindDoc="0" locked="0" layoutInCell="0" allowOverlap="1">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C655"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15:restartNumberingAfterBreak="0">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25"/>
  </w:num>
  <w:num w:numId="6">
    <w:abstractNumId w:val="12"/>
  </w:num>
  <w:num w:numId="7">
    <w:abstractNumId w:val="28"/>
  </w:num>
  <w:num w:numId="8">
    <w:abstractNumId w:val="35"/>
  </w:num>
  <w:num w:numId="9">
    <w:abstractNumId w:val="31"/>
  </w:num>
  <w:num w:numId="10">
    <w:abstractNumId w:val="29"/>
  </w:num>
  <w:num w:numId="11">
    <w:abstractNumId w:val="18"/>
  </w:num>
  <w:num w:numId="12">
    <w:abstractNumId w:val="2"/>
  </w:num>
  <w:num w:numId="13">
    <w:abstractNumId w:val="8"/>
  </w:num>
  <w:num w:numId="14">
    <w:abstractNumId w:val="32"/>
  </w:num>
  <w:num w:numId="15">
    <w:abstractNumId w:val="16"/>
  </w:num>
  <w:num w:numId="16">
    <w:abstractNumId w:val="10"/>
  </w:num>
  <w:num w:numId="17">
    <w:abstractNumId w:val="19"/>
  </w:num>
  <w:num w:numId="18">
    <w:abstractNumId w:val="3"/>
  </w:num>
  <w:num w:numId="19">
    <w:abstractNumId w:val="27"/>
  </w:num>
  <w:num w:numId="20">
    <w:abstractNumId w:val="0"/>
  </w:num>
  <w:num w:numId="21">
    <w:abstractNumId w:val="22"/>
  </w:num>
  <w:num w:numId="22">
    <w:abstractNumId w:val="7"/>
  </w:num>
  <w:num w:numId="23">
    <w:abstractNumId w:val="5"/>
  </w:num>
  <w:num w:numId="24">
    <w:abstractNumId w:val="34"/>
  </w:num>
  <w:num w:numId="25">
    <w:abstractNumId w:val="6"/>
  </w:num>
  <w:num w:numId="26">
    <w:abstractNumId w:val="9"/>
  </w:num>
  <w:num w:numId="27">
    <w:abstractNumId w:val="17"/>
  </w:num>
  <w:num w:numId="28">
    <w:abstractNumId w:val="1"/>
  </w:num>
  <w:num w:numId="29">
    <w:abstractNumId w:val="11"/>
  </w:num>
  <w:num w:numId="30">
    <w:abstractNumId w:val="4"/>
  </w:num>
  <w:num w:numId="31">
    <w:abstractNumId w:val="13"/>
  </w:num>
  <w:num w:numId="32">
    <w:abstractNumId w:val="26"/>
  </w:num>
  <w:num w:numId="33">
    <w:abstractNumId w:val="23"/>
  </w:num>
  <w:num w:numId="34">
    <w:abstractNumId w:val="21"/>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6"/>
    <w:rsid w:val="00005557"/>
    <w:rsid w:val="000101C1"/>
    <w:rsid w:val="00017D99"/>
    <w:rsid w:val="00021FE3"/>
    <w:rsid w:val="00023BAF"/>
    <w:rsid w:val="00026B6D"/>
    <w:rsid w:val="00031FD0"/>
    <w:rsid w:val="000342B9"/>
    <w:rsid w:val="00040A6B"/>
    <w:rsid w:val="000425C3"/>
    <w:rsid w:val="00046EB4"/>
    <w:rsid w:val="0005301D"/>
    <w:rsid w:val="00060CE5"/>
    <w:rsid w:val="000632F6"/>
    <w:rsid w:val="00071734"/>
    <w:rsid w:val="00075364"/>
    <w:rsid w:val="0008263A"/>
    <w:rsid w:val="00083320"/>
    <w:rsid w:val="0008520F"/>
    <w:rsid w:val="0009779E"/>
    <w:rsid w:val="000A7FEC"/>
    <w:rsid w:val="000C1B39"/>
    <w:rsid w:val="000C5BAF"/>
    <w:rsid w:val="000E2A68"/>
    <w:rsid w:val="000F4EF1"/>
    <w:rsid w:val="000F6D55"/>
    <w:rsid w:val="00102147"/>
    <w:rsid w:val="00123C4C"/>
    <w:rsid w:val="00127236"/>
    <w:rsid w:val="00135DC9"/>
    <w:rsid w:val="00150BFF"/>
    <w:rsid w:val="001543A4"/>
    <w:rsid w:val="0015511C"/>
    <w:rsid w:val="00161D4D"/>
    <w:rsid w:val="00162C85"/>
    <w:rsid w:val="00163F85"/>
    <w:rsid w:val="001765F4"/>
    <w:rsid w:val="001774B3"/>
    <w:rsid w:val="00187C1E"/>
    <w:rsid w:val="00191421"/>
    <w:rsid w:val="00191544"/>
    <w:rsid w:val="001A7B68"/>
    <w:rsid w:val="001B21DB"/>
    <w:rsid w:val="001B5A90"/>
    <w:rsid w:val="001C5521"/>
    <w:rsid w:val="001C7C3B"/>
    <w:rsid w:val="001D0720"/>
    <w:rsid w:val="001D4C42"/>
    <w:rsid w:val="001F0D89"/>
    <w:rsid w:val="00201B94"/>
    <w:rsid w:val="00216F08"/>
    <w:rsid w:val="0022515E"/>
    <w:rsid w:val="00227A6B"/>
    <w:rsid w:val="00234686"/>
    <w:rsid w:val="00234B5F"/>
    <w:rsid w:val="00240EF4"/>
    <w:rsid w:val="00241C4D"/>
    <w:rsid w:val="002431B2"/>
    <w:rsid w:val="00247F92"/>
    <w:rsid w:val="00254B6F"/>
    <w:rsid w:val="002567B4"/>
    <w:rsid w:val="002612FB"/>
    <w:rsid w:val="002650FA"/>
    <w:rsid w:val="00275596"/>
    <w:rsid w:val="00275663"/>
    <w:rsid w:val="002771B6"/>
    <w:rsid w:val="00292359"/>
    <w:rsid w:val="00294EF8"/>
    <w:rsid w:val="002B4189"/>
    <w:rsid w:val="002C35B9"/>
    <w:rsid w:val="002D10DA"/>
    <w:rsid w:val="002D1BD8"/>
    <w:rsid w:val="002D25C9"/>
    <w:rsid w:val="002D60CC"/>
    <w:rsid w:val="002E148A"/>
    <w:rsid w:val="002E436D"/>
    <w:rsid w:val="002F5136"/>
    <w:rsid w:val="002F53D3"/>
    <w:rsid w:val="00300689"/>
    <w:rsid w:val="00306EDB"/>
    <w:rsid w:val="00316F96"/>
    <w:rsid w:val="00322469"/>
    <w:rsid w:val="00322743"/>
    <w:rsid w:val="00335395"/>
    <w:rsid w:val="003431DC"/>
    <w:rsid w:val="00343876"/>
    <w:rsid w:val="00344D6C"/>
    <w:rsid w:val="00366D49"/>
    <w:rsid w:val="00372A1C"/>
    <w:rsid w:val="00383BFF"/>
    <w:rsid w:val="0038409B"/>
    <w:rsid w:val="00390D46"/>
    <w:rsid w:val="003A339C"/>
    <w:rsid w:val="003C57D6"/>
    <w:rsid w:val="003C72BA"/>
    <w:rsid w:val="003D685B"/>
    <w:rsid w:val="003E1A4F"/>
    <w:rsid w:val="003E54A6"/>
    <w:rsid w:val="003E6BEC"/>
    <w:rsid w:val="003F5B76"/>
    <w:rsid w:val="00400A16"/>
    <w:rsid w:val="004100B1"/>
    <w:rsid w:val="00415A2F"/>
    <w:rsid w:val="00422287"/>
    <w:rsid w:val="00425292"/>
    <w:rsid w:val="00433AAB"/>
    <w:rsid w:val="004371EC"/>
    <w:rsid w:val="00442DF5"/>
    <w:rsid w:val="00452CA0"/>
    <w:rsid w:val="00455651"/>
    <w:rsid w:val="00456508"/>
    <w:rsid w:val="00462290"/>
    <w:rsid w:val="004748B9"/>
    <w:rsid w:val="0048510A"/>
    <w:rsid w:val="00490A58"/>
    <w:rsid w:val="00494EBF"/>
    <w:rsid w:val="004A697B"/>
    <w:rsid w:val="004B7FE2"/>
    <w:rsid w:val="004C0C71"/>
    <w:rsid w:val="004C0F55"/>
    <w:rsid w:val="004D3170"/>
    <w:rsid w:val="004F787A"/>
    <w:rsid w:val="00500F7B"/>
    <w:rsid w:val="0050218B"/>
    <w:rsid w:val="00525DA3"/>
    <w:rsid w:val="00536261"/>
    <w:rsid w:val="00541F9E"/>
    <w:rsid w:val="00561F09"/>
    <w:rsid w:val="005620E8"/>
    <w:rsid w:val="00563D28"/>
    <w:rsid w:val="0057413A"/>
    <w:rsid w:val="005750F9"/>
    <w:rsid w:val="00580FE7"/>
    <w:rsid w:val="00584F9F"/>
    <w:rsid w:val="00585B68"/>
    <w:rsid w:val="0059329C"/>
    <w:rsid w:val="005A2DDD"/>
    <w:rsid w:val="005C311B"/>
    <w:rsid w:val="005D5B90"/>
    <w:rsid w:val="005D5CBB"/>
    <w:rsid w:val="005D71C4"/>
    <w:rsid w:val="005E7020"/>
    <w:rsid w:val="005F3625"/>
    <w:rsid w:val="00601CC4"/>
    <w:rsid w:val="0060219A"/>
    <w:rsid w:val="0060494C"/>
    <w:rsid w:val="00610179"/>
    <w:rsid w:val="006171E3"/>
    <w:rsid w:val="00634D16"/>
    <w:rsid w:val="00637F63"/>
    <w:rsid w:val="00650E82"/>
    <w:rsid w:val="00653C23"/>
    <w:rsid w:val="00664D2C"/>
    <w:rsid w:val="00680135"/>
    <w:rsid w:val="0068180C"/>
    <w:rsid w:val="00683B4E"/>
    <w:rsid w:val="00684943"/>
    <w:rsid w:val="00687679"/>
    <w:rsid w:val="0069133F"/>
    <w:rsid w:val="00692B6C"/>
    <w:rsid w:val="006A1179"/>
    <w:rsid w:val="006A220E"/>
    <w:rsid w:val="006A7052"/>
    <w:rsid w:val="006B4B26"/>
    <w:rsid w:val="006B5295"/>
    <w:rsid w:val="006C0582"/>
    <w:rsid w:val="006D082F"/>
    <w:rsid w:val="006F1E27"/>
    <w:rsid w:val="00700E64"/>
    <w:rsid w:val="0071183E"/>
    <w:rsid w:val="00714227"/>
    <w:rsid w:val="00730FDE"/>
    <w:rsid w:val="00734C3D"/>
    <w:rsid w:val="00741448"/>
    <w:rsid w:val="0074318D"/>
    <w:rsid w:val="00755511"/>
    <w:rsid w:val="00766AAE"/>
    <w:rsid w:val="00766E02"/>
    <w:rsid w:val="007A440E"/>
    <w:rsid w:val="007D29BC"/>
    <w:rsid w:val="007D42CB"/>
    <w:rsid w:val="007E3E0B"/>
    <w:rsid w:val="007E5953"/>
    <w:rsid w:val="00805A3C"/>
    <w:rsid w:val="008066D8"/>
    <w:rsid w:val="00831010"/>
    <w:rsid w:val="008400FF"/>
    <w:rsid w:val="00841B15"/>
    <w:rsid w:val="00844CE0"/>
    <w:rsid w:val="008521CF"/>
    <w:rsid w:val="00880733"/>
    <w:rsid w:val="00881CDA"/>
    <w:rsid w:val="008B0CB5"/>
    <w:rsid w:val="008B4B87"/>
    <w:rsid w:val="008B73A5"/>
    <w:rsid w:val="008C52D0"/>
    <w:rsid w:val="008C6CE2"/>
    <w:rsid w:val="008D1D35"/>
    <w:rsid w:val="008E1FD4"/>
    <w:rsid w:val="008E60AE"/>
    <w:rsid w:val="008F5F26"/>
    <w:rsid w:val="00907784"/>
    <w:rsid w:val="00912C13"/>
    <w:rsid w:val="0092688F"/>
    <w:rsid w:val="00951EF1"/>
    <w:rsid w:val="00952B9D"/>
    <w:rsid w:val="009628A1"/>
    <w:rsid w:val="00963C55"/>
    <w:rsid w:val="00973EB2"/>
    <w:rsid w:val="00981E91"/>
    <w:rsid w:val="00991A4F"/>
    <w:rsid w:val="009A0FB7"/>
    <w:rsid w:val="009A18FA"/>
    <w:rsid w:val="009A6BE1"/>
    <w:rsid w:val="009B0162"/>
    <w:rsid w:val="009D0593"/>
    <w:rsid w:val="009E6E7D"/>
    <w:rsid w:val="009F2B5F"/>
    <w:rsid w:val="009F3EA2"/>
    <w:rsid w:val="009F5E33"/>
    <w:rsid w:val="00A04A3E"/>
    <w:rsid w:val="00A20AF7"/>
    <w:rsid w:val="00A20CE2"/>
    <w:rsid w:val="00A37445"/>
    <w:rsid w:val="00A4289F"/>
    <w:rsid w:val="00A46B31"/>
    <w:rsid w:val="00A70FD9"/>
    <w:rsid w:val="00A97A50"/>
    <w:rsid w:val="00AA0D37"/>
    <w:rsid w:val="00AA74BF"/>
    <w:rsid w:val="00AB0B34"/>
    <w:rsid w:val="00AC7144"/>
    <w:rsid w:val="00AD57D5"/>
    <w:rsid w:val="00AE59DD"/>
    <w:rsid w:val="00AE7ECF"/>
    <w:rsid w:val="00B149E4"/>
    <w:rsid w:val="00B25BE6"/>
    <w:rsid w:val="00B3367B"/>
    <w:rsid w:val="00B34CF6"/>
    <w:rsid w:val="00B35273"/>
    <w:rsid w:val="00B43B7B"/>
    <w:rsid w:val="00B45F1A"/>
    <w:rsid w:val="00B46C83"/>
    <w:rsid w:val="00B5546B"/>
    <w:rsid w:val="00B56A97"/>
    <w:rsid w:val="00B8015F"/>
    <w:rsid w:val="00B83F28"/>
    <w:rsid w:val="00B9324E"/>
    <w:rsid w:val="00B9400D"/>
    <w:rsid w:val="00BB7AB6"/>
    <w:rsid w:val="00BC4055"/>
    <w:rsid w:val="00BC566E"/>
    <w:rsid w:val="00C03B2D"/>
    <w:rsid w:val="00C0528E"/>
    <w:rsid w:val="00C12FC9"/>
    <w:rsid w:val="00C6032F"/>
    <w:rsid w:val="00C608A3"/>
    <w:rsid w:val="00C65637"/>
    <w:rsid w:val="00C65BA9"/>
    <w:rsid w:val="00C665B1"/>
    <w:rsid w:val="00C80072"/>
    <w:rsid w:val="00C837AC"/>
    <w:rsid w:val="00C8760D"/>
    <w:rsid w:val="00C96992"/>
    <w:rsid w:val="00CA5FA8"/>
    <w:rsid w:val="00CB0D48"/>
    <w:rsid w:val="00CB6A97"/>
    <w:rsid w:val="00CC628A"/>
    <w:rsid w:val="00CC6B92"/>
    <w:rsid w:val="00CE0AEA"/>
    <w:rsid w:val="00D01474"/>
    <w:rsid w:val="00D055E2"/>
    <w:rsid w:val="00D1504E"/>
    <w:rsid w:val="00D22645"/>
    <w:rsid w:val="00D2751F"/>
    <w:rsid w:val="00D32658"/>
    <w:rsid w:val="00D42DE3"/>
    <w:rsid w:val="00D450EF"/>
    <w:rsid w:val="00D530F7"/>
    <w:rsid w:val="00D54C4B"/>
    <w:rsid w:val="00D5559F"/>
    <w:rsid w:val="00D57E1E"/>
    <w:rsid w:val="00D70253"/>
    <w:rsid w:val="00D74610"/>
    <w:rsid w:val="00D852AD"/>
    <w:rsid w:val="00D91453"/>
    <w:rsid w:val="00D92C10"/>
    <w:rsid w:val="00D9561E"/>
    <w:rsid w:val="00D97853"/>
    <w:rsid w:val="00DB7ECD"/>
    <w:rsid w:val="00DD3BC7"/>
    <w:rsid w:val="00DE1CC8"/>
    <w:rsid w:val="00DE305F"/>
    <w:rsid w:val="00DF4B69"/>
    <w:rsid w:val="00E1318F"/>
    <w:rsid w:val="00E20BF0"/>
    <w:rsid w:val="00E27C6C"/>
    <w:rsid w:val="00E366B0"/>
    <w:rsid w:val="00E37659"/>
    <w:rsid w:val="00E37E8C"/>
    <w:rsid w:val="00E4079C"/>
    <w:rsid w:val="00E41F18"/>
    <w:rsid w:val="00E53732"/>
    <w:rsid w:val="00E57DC4"/>
    <w:rsid w:val="00E62E49"/>
    <w:rsid w:val="00E82FC4"/>
    <w:rsid w:val="00E83A70"/>
    <w:rsid w:val="00E85A68"/>
    <w:rsid w:val="00E96ECA"/>
    <w:rsid w:val="00EA15CB"/>
    <w:rsid w:val="00EB1009"/>
    <w:rsid w:val="00EB278A"/>
    <w:rsid w:val="00EC3A41"/>
    <w:rsid w:val="00EC3E42"/>
    <w:rsid w:val="00ED3385"/>
    <w:rsid w:val="00ED5808"/>
    <w:rsid w:val="00ED5BA5"/>
    <w:rsid w:val="00EF441F"/>
    <w:rsid w:val="00EF7494"/>
    <w:rsid w:val="00F01AC3"/>
    <w:rsid w:val="00F02BE3"/>
    <w:rsid w:val="00F058A3"/>
    <w:rsid w:val="00F07232"/>
    <w:rsid w:val="00F21A30"/>
    <w:rsid w:val="00F21D27"/>
    <w:rsid w:val="00F22010"/>
    <w:rsid w:val="00F31A25"/>
    <w:rsid w:val="00F323DF"/>
    <w:rsid w:val="00F33A68"/>
    <w:rsid w:val="00F369D6"/>
    <w:rsid w:val="00F36BD4"/>
    <w:rsid w:val="00F42998"/>
    <w:rsid w:val="00F56592"/>
    <w:rsid w:val="00F64AB4"/>
    <w:rsid w:val="00F6660C"/>
    <w:rsid w:val="00F66707"/>
    <w:rsid w:val="00F67383"/>
    <w:rsid w:val="00F73D4A"/>
    <w:rsid w:val="00F9261A"/>
    <w:rsid w:val="00F96C56"/>
    <w:rsid w:val="00F97FFB"/>
    <w:rsid w:val="00FA4EEC"/>
    <w:rsid w:val="00FA6783"/>
    <w:rsid w:val="00FA7F0A"/>
    <w:rsid w:val="00FC596E"/>
    <w:rsid w:val="00FC5CFD"/>
    <w:rsid w:val="00FC72A1"/>
    <w:rsid w:val="00FD47FB"/>
    <w:rsid w:val="00FE3581"/>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F9598-D692-4F69-8159-678158D4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C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5D71C4"/>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rsid w:val="005D71C4"/>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D71C4"/>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5D71C4"/>
    <w:rPr>
      <w:rFonts w:ascii="Cambria" w:hAnsi="Cambria" w:cs="Times New Roman"/>
      <w:b/>
      <w:i/>
      <w:sz w:val="28"/>
      <w:lang w:val="en-US" w:eastAsia="en-US"/>
    </w:rPr>
  </w:style>
  <w:style w:type="paragraph" w:styleId="Footer">
    <w:name w:val="footer"/>
    <w:basedOn w:val="Normal"/>
    <w:link w:val="FooterChar"/>
    <w:uiPriority w:val="99"/>
    <w:rsid w:val="005D71C4"/>
    <w:pPr>
      <w:tabs>
        <w:tab w:val="center" w:pos="4320"/>
        <w:tab w:val="right" w:pos="8640"/>
      </w:tabs>
    </w:pPr>
  </w:style>
  <w:style w:type="character" w:customStyle="1" w:styleId="FooterChar">
    <w:name w:val="Footer Char"/>
    <w:link w:val="Footer"/>
    <w:uiPriority w:val="99"/>
    <w:locked/>
    <w:rsid w:val="005D71C4"/>
    <w:rPr>
      <w:rFonts w:ascii="Arial" w:hAnsi="Arial" w:cs="Times New Roman"/>
      <w:lang w:val="en-US" w:eastAsia="en-US"/>
    </w:rPr>
  </w:style>
  <w:style w:type="paragraph" w:customStyle="1" w:styleId="a">
    <w:name w:val="Знак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rsid w:val="005D71C4"/>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rsid w:val="005D71C4"/>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rsid w:val="005D71C4"/>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sid w:val="005D71C4"/>
    <w:rPr>
      <w:sz w:val="24"/>
      <w:lang w:val="bg-BG" w:eastAsia="en-US"/>
    </w:rPr>
  </w:style>
  <w:style w:type="paragraph" w:customStyle="1" w:styleId="Default">
    <w:name w:val="Default"/>
    <w:rsid w:val="005D71C4"/>
    <w:pPr>
      <w:autoSpaceDE w:val="0"/>
      <w:autoSpaceDN w:val="0"/>
      <w:adjustRightInd w:val="0"/>
    </w:pPr>
    <w:rPr>
      <w:color w:val="000000"/>
      <w:sz w:val="24"/>
      <w:szCs w:val="24"/>
    </w:rPr>
  </w:style>
  <w:style w:type="paragraph" w:customStyle="1" w:styleId="2">
    <w:name w:val="Знак Знак2"/>
    <w:basedOn w:val="Normal"/>
    <w:uiPriority w:val="99"/>
    <w:rsid w:val="005D71C4"/>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sid w:val="005D71C4"/>
    <w:rPr>
      <w:color w:val="0000FF"/>
      <w:u w:val="single"/>
    </w:rPr>
  </w:style>
  <w:style w:type="paragraph" w:styleId="BodyText2">
    <w:name w:val="Body Text 2"/>
    <w:basedOn w:val="Normal"/>
    <w:link w:val="BodyText2Char1"/>
    <w:uiPriority w:val="99"/>
    <w:rsid w:val="005D71C4"/>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sid w:val="005D71C4"/>
    <w:rPr>
      <w:rFonts w:ascii="Arial" w:hAnsi="Arial" w:cs="Times New Roman"/>
      <w:sz w:val="20"/>
      <w:lang w:val="en-US" w:eastAsia="en-US"/>
    </w:rPr>
  </w:style>
  <w:style w:type="character" w:customStyle="1" w:styleId="BodyText2Char1">
    <w:name w:val="Body Text 2 Char1"/>
    <w:link w:val="BodyText2"/>
    <w:uiPriority w:val="99"/>
    <w:semiHidden/>
    <w:locked/>
    <w:rsid w:val="005D71C4"/>
    <w:rPr>
      <w:rFonts w:ascii="Verdana" w:hAnsi="Verdana"/>
      <w:sz w:val="24"/>
      <w:lang w:val="bg-BG" w:eastAsia="bg-BG"/>
    </w:rPr>
  </w:style>
  <w:style w:type="paragraph" w:styleId="BodyText">
    <w:name w:val="Body Text"/>
    <w:basedOn w:val="Normal"/>
    <w:link w:val="BodyTextChar"/>
    <w:uiPriority w:val="99"/>
    <w:rsid w:val="005D71C4"/>
    <w:pPr>
      <w:spacing w:after="120"/>
    </w:pPr>
  </w:style>
  <w:style w:type="character" w:customStyle="1" w:styleId="BodyTextChar">
    <w:name w:val="Body Text Char"/>
    <w:link w:val="BodyText"/>
    <w:uiPriority w:val="99"/>
    <w:semiHidden/>
    <w:locked/>
    <w:rsid w:val="005D71C4"/>
    <w:rPr>
      <w:rFonts w:ascii="Arial" w:hAnsi="Arial" w:cs="Times New Roman"/>
      <w:sz w:val="20"/>
      <w:lang w:val="en-US" w:eastAsia="en-US"/>
    </w:rPr>
  </w:style>
  <w:style w:type="paragraph" w:customStyle="1" w:styleId="title5">
    <w:name w:val="title5"/>
    <w:basedOn w:val="Normal"/>
    <w:uiPriority w:val="99"/>
    <w:rsid w:val="005D71C4"/>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sid w:val="005D71C4"/>
    <w:rPr>
      <w:rFonts w:ascii="Times New Roman" w:hAnsi="Times New Roman"/>
      <w:sz w:val="2"/>
    </w:rPr>
  </w:style>
  <w:style w:type="character" w:customStyle="1" w:styleId="BalloonTextChar">
    <w:name w:val="Balloon Text Char"/>
    <w:link w:val="BalloonText"/>
    <w:uiPriority w:val="99"/>
    <w:semiHidden/>
    <w:locked/>
    <w:rsid w:val="005D71C4"/>
    <w:rPr>
      <w:rFonts w:cs="Times New Roman"/>
      <w:sz w:val="2"/>
      <w:lang w:val="en-US" w:eastAsia="en-US"/>
    </w:rPr>
  </w:style>
  <w:style w:type="character" w:customStyle="1" w:styleId="samedocreference1">
    <w:name w:val="samedocreference1"/>
    <w:uiPriority w:val="99"/>
    <w:rsid w:val="005D71C4"/>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rsid w:val="005D71C4"/>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sid w:val="005D71C4"/>
    <w:rPr>
      <w:rFonts w:ascii="Arial" w:hAnsi="Arial" w:cs="Times New Roman"/>
      <w:sz w:val="20"/>
      <w:lang w:val="en-US" w:eastAsia="en-US"/>
    </w:rPr>
  </w:style>
  <w:style w:type="character" w:customStyle="1" w:styleId="historyitem">
    <w:name w:val="historyitem"/>
    <w:uiPriority w:val="99"/>
    <w:rsid w:val="005D71C4"/>
  </w:style>
  <w:style w:type="character" w:customStyle="1" w:styleId="historyitemselected1">
    <w:name w:val="historyitemselected1"/>
    <w:uiPriority w:val="99"/>
    <w:rsid w:val="005D71C4"/>
    <w:rPr>
      <w:b/>
      <w:color w:val="0086C6"/>
    </w:rPr>
  </w:style>
  <w:style w:type="character" w:styleId="Hyperlink">
    <w:name w:val="Hyperlink"/>
    <w:uiPriority w:val="99"/>
    <w:rsid w:val="005D71C4"/>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sid w:val="005D71C4"/>
    <w:rPr>
      <w:rFonts w:ascii="Arial" w:hAnsi="Arial" w:cs="Arial"/>
      <w:lang w:val="en-US" w:eastAsia="en-US" w:bidi="ar-SA"/>
    </w:rPr>
  </w:style>
  <w:style w:type="character" w:styleId="PageNumber">
    <w:name w:val="page number"/>
    <w:uiPriority w:val="99"/>
    <w:rsid w:val="005D71C4"/>
    <w:rPr>
      <w:rFonts w:cs="Times New Roman"/>
    </w:rPr>
  </w:style>
  <w:style w:type="paragraph" w:styleId="ListParagraph">
    <w:name w:val="List Paragraph"/>
    <w:basedOn w:val="Normal"/>
    <w:uiPriority w:val="99"/>
    <w:qFormat/>
    <w:rsid w:val="005D71C4"/>
    <w:pPr>
      <w:ind w:left="720"/>
      <w:contextualSpacing/>
    </w:pPr>
    <w:rPr>
      <w:rFonts w:ascii="Times New Roman" w:hAnsi="Times New Roman"/>
      <w:lang w:val="en-GB"/>
    </w:rPr>
  </w:style>
  <w:style w:type="paragraph" w:styleId="BodyTextIndent">
    <w:name w:val="Body Text Indent"/>
    <w:basedOn w:val="Normal"/>
    <w:link w:val="BodyTextIndentChar"/>
    <w:rsid w:val="005D71C4"/>
    <w:pPr>
      <w:spacing w:after="120"/>
      <w:ind w:left="283"/>
    </w:pPr>
  </w:style>
  <w:style w:type="character" w:customStyle="1" w:styleId="BodyTextIndentChar">
    <w:name w:val="Body Text Indent Char"/>
    <w:link w:val="BodyTextIndent"/>
    <w:rsid w:val="005D71C4"/>
    <w:rPr>
      <w:rFonts w:ascii="Arial" w:hAnsi="Arial"/>
      <w:lang w:val="en-US" w:eastAsia="en-US"/>
    </w:rPr>
  </w:style>
  <w:style w:type="table" w:customStyle="1" w:styleId="TableGrid2">
    <w:name w:val="Table Grid2"/>
    <w:basedOn w:val="TableNormal"/>
    <w:next w:val="TableGrid"/>
    <w:uiPriority w:val="59"/>
    <w:rsid w:val="005D71C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5D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D71C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 w:type="paragraph" w:styleId="NormalWeb">
    <w:name w:val="Normal (Web)"/>
    <w:basedOn w:val="Normal"/>
    <w:uiPriority w:val="99"/>
    <w:unhideWhenUsed/>
    <w:rsid w:val="00F67383"/>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rsid w:val="00023BA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rsid w:val="002B418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rsid w:val="002B4189"/>
  </w:style>
  <w:style w:type="character" w:styleId="CommentReference">
    <w:name w:val="annotation reference"/>
    <w:basedOn w:val="DefaultParagraphFont"/>
    <w:uiPriority w:val="99"/>
    <w:semiHidden/>
    <w:unhideWhenUsed/>
    <w:rsid w:val="008B73A5"/>
    <w:rPr>
      <w:sz w:val="16"/>
      <w:szCs w:val="16"/>
    </w:rPr>
  </w:style>
  <w:style w:type="paragraph" w:styleId="CommentText">
    <w:name w:val="annotation text"/>
    <w:basedOn w:val="Normal"/>
    <w:link w:val="CommentTextChar"/>
    <w:uiPriority w:val="99"/>
    <w:semiHidden/>
    <w:unhideWhenUsed/>
    <w:rsid w:val="008B73A5"/>
  </w:style>
  <w:style w:type="character" w:customStyle="1" w:styleId="CommentTextChar">
    <w:name w:val="Comment Text Char"/>
    <w:basedOn w:val="DefaultParagraphFont"/>
    <w:link w:val="CommentText"/>
    <w:uiPriority w:val="99"/>
    <w:semiHidden/>
    <w:rsid w:val="008B73A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B73A5"/>
    <w:rPr>
      <w:b/>
      <w:bCs/>
    </w:rPr>
  </w:style>
  <w:style w:type="character" w:customStyle="1" w:styleId="CommentSubjectChar">
    <w:name w:val="Comment Subject Char"/>
    <w:basedOn w:val="CommentTextChar"/>
    <w:link w:val="CommentSubject"/>
    <w:uiPriority w:val="99"/>
    <w:semiHidden/>
    <w:rsid w:val="008B73A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45188590">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783D-468F-45CD-BBFB-0F49B877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7684</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Petya Ivanova</cp:lastModifiedBy>
  <cp:revision>5</cp:revision>
  <cp:lastPrinted>2021-11-04T06:15:00Z</cp:lastPrinted>
  <dcterms:created xsi:type="dcterms:W3CDTF">2022-01-18T13:27:00Z</dcterms:created>
  <dcterms:modified xsi:type="dcterms:W3CDTF">2022-01-24T10:10:00Z</dcterms:modified>
</cp:coreProperties>
</file>