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F1532" w:rsidRPr="000F1532" w14:paraId="2109902E" w14:textId="77777777" w:rsidTr="0014689E">
        <w:tc>
          <w:tcPr>
            <w:tcW w:w="9616" w:type="dxa"/>
            <w:gridSpan w:val="2"/>
            <w:shd w:val="clear" w:color="auto" w:fill="D9D9D9"/>
          </w:tcPr>
          <w:p w14:paraId="7693D970" w14:textId="1AA3297C" w:rsidR="00076E63" w:rsidRPr="000F1532" w:rsidRDefault="00FE55C5" w:rsidP="00076E63">
            <w:pPr>
              <w:spacing w:before="240" w:after="24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Частична предварителна оценка на въздействието</w:t>
            </w:r>
          </w:p>
        </w:tc>
      </w:tr>
      <w:tr w:rsidR="000F1532" w:rsidRPr="000F1532" w14:paraId="7714BD33" w14:textId="77777777" w:rsidTr="0014689E">
        <w:tc>
          <w:tcPr>
            <w:tcW w:w="4655" w:type="dxa"/>
          </w:tcPr>
          <w:p w14:paraId="06ECFD2C"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Институция:</w:t>
            </w:r>
          </w:p>
          <w:p w14:paraId="047B2348" w14:textId="2548C6E9" w:rsidR="00385A2F" w:rsidRPr="000F1532" w:rsidRDefault="00385A2F" w:rsidP="00385A2F">
            <w:pPr>
              <w:spacing w:after="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Министерство на земеделието и храните,</w:t>
            </w:r>
          </w:p>
          <w:p w14:paraId="4CB926E6" w14:textId="78065070" w:rsidR="007026A1" w:rsidRPr="000F1532" w:rsidRDefault="00385A2F" w:rsidP="00385A2F">
            <w:pPr>
              <w:spacing w:after="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Българска агенция по безопасност на храните </w:t>
            </w:r>
          </w:p>
        </w:tc>
        <w:tc>
          <w:tcPr>
            <w:tcW w:w="4961" w:type="dxa"/>
          </w:tcPr>
          <w:p w14:paraId="76161BF2"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Нормативен акт:</w:t>
            </w:r>
          </w:p>
          <w:p w14:paraId="493AFD50" w14:textId="56F0590B" w:rsidR="00076E63" w:rsidRPr="000F1532" w:rsidRDefault="00385A2F"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Закон за изменение и допълнение на Закона за фуражите</w:t>
            </w:r>
          </w:p>
        </w:tc>
      </w:tr>
      <w:tr w:rsidR="000F1532" w:rsidRPr="000F1532" w14:paraId="37CC55A8" w14:textId="77777777" w:rsidTr="0014689E">
        <w:tc>
          <w:tcPr>
            <w:tcW w:w="4655" w:type="dxa"/>
          </w:tcPr>
          <w:p w14:paraId="71AB573E" w14:textId="37397240" w:rsidR="00076E63" w:rsidRPr="000F1532" w:rsidRDefault="00076E63" w:rsidP="00076E63">
            <w:pPr>
              <w:spacing w:after="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2pt;height:40.2pt" o:ole="">
                  <v:imagedata r:id="rId8" o:title=""/>
                </v:shape>
                <w:control r:id="rId9" w:name="OptionButton2" w:shapeid="_x0000_i1059"/>
              </w:object>
            </w:r>
          </w:p>
        </w:tc>
        <w:tc>
          <w:tcPr>
            <w:tcW w:w="4961" w:type="dxa"/>
          </w:tcPr>
          <w:p w14:paraId="6830EBA0" w14:textId="7D6DA5DD" w:rsidR="007026A1" w:rsidRPr="000F1532" w:rsidRDefault="00076E63" w:rsidP="001F7AF0">
            <w:pPr>
              <w:spacing w:after="0" w:line="240" w:lineRule="auto"/>
              <w:rPr>
                <w:rFonts w:ascii="Times New Roman" w:eastAsia="Times New Roman" w:hAnsi="Times New Roman" w:cs="Times New Roman"/>
                <w:b/>
                <w:lang w:val="bg-BG"/>
              </w:rPr>
            </w:pPr>
            <w:r w:rsidRPr="000F1532">
              <w:rPr>
                <w:rFonts w:ascii="Times New Roman" w:eastAsia="Times New Roman" w:hAnsi="Times New Roman" w:cs="Times New Roman"/>
                <w:b/>
                <w:sz w:val="24"/>
                <w:szCs w:val="20"/>
              </w:rPr>
              <w:object w:dxaOrig="225" w:dyaOrig="225" w14:anchorId="53AA5392">
                <v:shape id="_x0000_i1061" type="#_x0000_t75" style="width:202.2pt;height:38.4pt" o:ole="">
                  <v:imagedata r:id="rId10" o:title=""/>
                </v:shape>
                <w:control r:id="rId11" w:name="OptionButton1" w:shapeid="_x0000_i1061"/>
              </w:object>
            </w:r>
          </w:p>
        </w:tc>
      </w:tr>
      <w:tr w:rsidR="000F1532" w:rsidRPr="000F1532" w14:paraId="46A9895B" w14:textId="77777777" w:rsidTr="00DB39A5">
        <w:tc>
          <w:tcPr>
            <w:tcW w:w="4655" w:type="dxa"/>
            <w:tcBorders>
              <w:bottom w:val="nil"/>
            </w:tcBorders>
          </w:tcPr>
          <w:p w14:paraId="34FEE387" w14:textId="4A9DCF12" w:rsidR="00076E63" w:rsidRPr="000F1532" w:rsidRDefault="00076E63" w:rsidP="00FE784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Лиц</w:t>
            </w:r>
            <w:r w:rsidR="00DB39A5" w:rsidRPr="000F1532">
              <w:rPr>
                <w:rFonts w:ascii="Times New Roman" w:eastAsia="Times New Roman" w:hAnsi="Times New Roman" w:cs="Times New Roman"/>
                <w:b/>
                <w:sz w:val="24"/>
                <w:szCs w:val="24"/>
                <w:lang w:val="bg-BG"/>
              </w:rPr>
              <w:t>а</w:t>
            </w:r>
            <w:r w:rsidRPr="000F1532">
              <w:rPr>
                <w:rFonts w:ascii="Times New Roman" w:eastAsia="Times New Roman" w:hAnsi="Times New Roman" w:cs="Times New Roman"/>
                <w:b/>
                <w:sz w:val="24"/>
                <w:szCs w:val="24"/>
                <w:lang w:val="bg-BG"/>
              </w:rPr>
              <w:t xml:space="preserve"> за контакт:</w:t>
            </w:r>
          </w:p>
          <w:p w14:paraId="316B6F30" w14:textId="6BB00174" w:rsidR="009F1D17" w:rsidRPr="000F1532" w:rsidRDefault="00385A2F" w:rsidP="00DB39A5">
            <w:pPr>
              <w:tabs>
                <w:tab w:val="left" w:pos="1180"/>
                <w:tab w:val="left" w:pos="2300"/>
                <w:tab w:val="left" w:pos="2740"/>
                <w:tab w:val="left" w:pos="4480"/>
              </w:tabs>
              <w:spacing w:after="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зооинж. Пенка Манева-Кънева – директор на дирекция „Контрол на фуражите и страничните животински продукти“, Българска агенция по безопасност на храните</w:t>
            </w:r>
          </w:p>
        </w:tc>
        <w:tc>
          <w:tcPr>
            <w:tcW w:w="4961" w:type="dxa"/>
            <w:tcBorders>
              <w:bottom w:val="nil"/>
            </w:tcBorders>
          </w:tcPr>
          <w:p w14:paraId="0195404F" w14:textId="6E45B87C"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Телефон</w:t>
            </w:r>
            <w:r w:rsidR="0060089B" w:rsidRPr="000F1532">
              <w:rPr>
                <w:rFonts w:ascii="Times New Roman" w:eastAsia="Times New Roman" w:hAnsi="Times New Roman" w:cs="Times New Roman"/>
                <w:b/>
                <w:sz w:val="24"/>
                <w:szCs w:val="24"/>
                <w:lang w:val="bg-BG"/>
              </w:rPr>
              <w:t xml:space="preserve"> и ел. поща</w:t>
            </w:r>
            <w:r w:rsidRPr="000F1532">
              <w:rPr>
                <w:rFonts w:ascii="Times New Roman" w:eastAsia="Times New Roman" w:hAnsi="Times New Roman" w:cs="Times New Roman"/>
                <w:b/>
                <w:sz w:val="24"/>
                <w:szCs w:val="24"/>
                <w:lang w:val="bg-BG"/>
              </w:rPr>
              <w:t>:</w:t>
            </w:r>
          </w:p>
          <w:p w14:paraId="0676D67F" w14:textId="43994C27" w:rsidR="00076E63" w:rsidRPr="000F1532" w:rsidRDefault="00385A2F" w:rsidP="00076E63">
            <w:pPr>
              <w:spacing w:after="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+359 882 469 066;</w:t>
            </w:r>
          </w:p>
          <w:p w14:paraId="55D0CF32" w14:textId="17DD87F1" w:rsidR="009F1D17" w:rsidRPr="000F1532" w:rsidRDefault="00BF3585" w:rsidP="009F1D17">
            <w:pPr>
              <w:spacing w:after="0" w:line="240" w:lineRule="auto"/>
              <w:jc w:val="both"/>
              <w:rPr>
                <w:rFonts w:ascii="Times New Roman" w:eastAsia="Times New Roman" w:hAnsi="Times New Roman" w:cs="Times New Roman"/>
                <w:sz w:val="24"/>
                <w:szCs w:val="24"/>
                <w:lang w:val="bg-BG"/>
              </w:rPr>
            </w:pPr>
            <w:hyperlink r:id="rId12" w:history="1">
              <w:r w:rsidR="00DB39A5" w:rsidRPr="000F1532">
                <w:rPr>
                  <w:rStyle w:val="Hyperlink"/>
                  <w:rFonts w:ascii="Times New Roman" w:hAnsi="Times New Roman" w:cs="Times New Roman"/>
                  <w:color w:val="auto"/>
                  <w:sz w:val="24"/>
                  <w:szCs w:val="24"/>
                  <w:lang w:val="bg-BG"/>
                </w:rPr>
                <w:t>p_maneva@bfsa.bg</w:t>
              </w:r>
            </w:hyperlink>
          </w:p>
        </w:tc>
      </w:tr>
      <w:tr w:rsidR="000F1532" w:rsidRPr="000F1532" w14:paraId="3D4DD77C" w14:textId="77777777" w:rsidTr="00DB39A5">
        <w:tc>
          <w:tcPr>
            <w:tcW w:w="4655" w:type="dxa"/>
            <w:tcBorders>
              <w:top w:val="nil"/>
            </w:tcBorders>
          </w:tcPr>
          <w:p w14:paraId="351EE52E" w14:textId="42C989AA" w:rsidR="00DB39A5" w:rsidRPr="000F1532" w:rsidRDefault="00DB39A5" w:rsidP="00FE784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sz w:val="24"/>
                <w:szCs w:val="24"/>
                <w:lang w:val="bg-BG"/>
              </w:rPr>
              <w:t>инж. Ренета Пенова – главен експерт в дирекция „Контрол на фуражите и страничните животински продукти“, Българска агенция по безопасност на храните</w:t>
            </w:r>
          </w:p>
        </w:tc>
        <w:tc>
          <w:tcPr>
            <w:tcW w:w="4961" w:type="dxa"/>
            <w:tcBorders>
              <w:top w:val="nil"/>
            </w:tcBorders>
          </w:tcPr>
          <w:p w14:paraId="5FF21760" w14:textId="77777777" w:rsidR="00DB39A5" w:rsidRPr="000F1532" w:rsidRDefault="00DB39A5" w:rsidP="00DB39A5">
            <w:pPr>
              <w:spacing w:before="120"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+359 882 469 374;</w:t>
            </w:r>
          </w:p>
          <w:p w14:paraId="7D4AE55B" w14:textId="6577ACC4" w:rsidR="00DB39A5" w:rsidRPr="000F1532" w:rsidRDefault="00BF3585" w:rsidP="00DB39A5">
            <w:pPr>
              <w:spacing w:after="0" w:line="240" w:lineRule="auto"/>
              <w:jc w:val="both"/>
              <w:rPr>
                <w:rFonts w:ascii="Times New Roman" w:eastAsia="Times New Roman" w:hAnsi="Times New Roman" w:cs="Times New Roman"/>
                <w:b/>
                <w:sz w:val="24"/>
                <w:szCs w:val="24"/>
                <w:lang w:val="bg-BG"/>
              </w:rPr>
            </w:pPr>
            <w:hyperlink r:id="rId13" w:history="1">
              <w:r w:rsidR="00DB39A5" w:rsidRPr="000F1532">
                <w:rPr>
                  <w:rStyle w:val="Hyperlink"/>
                  <w:rFonts w:ascii="Times New Roman" w:eastAsia="Times New Roman" w:hAnsi="Times New Roman" w:cs="Times New Roman"/>
                  <w:bCs/>
                  <w:color w:val="auto"/>
                  <w:sz w:val="24"/>
                  <w:szCs w:val="24"/>
                  <w:lang w:val="bg-BG"/>
                </w:rPr>
                <w:t>r_penova@bfsa.bg</w:t>
              </w:r>
            </w:hyperlink>
          </w:p>
        </w:tc>
      </w:tr>
      <w:tr w:rsidR="000F1532" w:rsidRPr="000F1532" w14:paraId="2757906E" w14:textId="77777777" w:rsidTr="0014689E">
        <w:tc>
          <w:tcPr>
            <w:tcW w:w="9616" w:type="dxa"/>
            <w:gridSpan w:val="2"/>
          </w:tcPr>
          <w:p w14:paraId="0B801594" w14:textId="77777777" w:rsidR="008C5DE9" w:rsidRPr="000F1532" w:rsidRDefault="00076E63" w:rsidP="008C5DE9">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1. </w:t>
            </w:r>
            <w:r w:rsidR="001138D1" w:rsidRPr="000F1532">
              <w:rPr>
                <w:rFonts w:ascii="Times New Roman" w:eastAsia="Times New Roman" w:hAnsi="Times New Roman" w:cs="Times New Roman"/>
                <w:b/>
                <w:sz w:val="24"/>
                <w:szCs w:val="24"/>
                <w:lang w:val="bg-BG"/>
              </w:rPr>
              <w:t>Проблем/</w:t>
            </w:r>
            <w:r w:rsidR="009D4DA5" w:rsidRPr="000F1532">
              <w:rPr>
                <w:rFonts w:ascii="Times New Roman" w:eastAsia="Times New Roman" w:hAnsi="Times New Roman" w:cs="Times New Roman"/>
                <w:b/>
                <w:sz w:val="24"/>
                <w:szCs w:val="24"/>
                <w:lang w:val="bg-BG"/>
              </w:rPr>
              <w:t>проблем</w:t>
            </w:r>
            <w:r w:rsidR="001138D1" w:rsidRPr="000F1532">
              <w:rPr>
                <w:rFonts w:ascii="Times New Roman" w:eastAsia="Times New Roman" w:hAnsi="Times New Roman" w:cs="Times New Roman"/>
                <w:b/>
                <w:sz w:val="24"/>
                <w:szCs w:val="24"/>
                <w:lang w:val="bg-BG"/>
              </w:rPr>
              <w:t>и за решаване</w:t>
            </w:r>
            <w:r w:rsidRPr="000F1532">
              <w:rPr>
                <w:rFonts w:ascii="Times New Roman" w:eastAsia="Times New Roman" w:hAnsi="Times New Roman" w:cs="Times New Roman"/>
                <w:b/>
                <w:sz w:val="24"/>
                <w:szCs w:val="24"/>
                <w:lang w:val="bg-BG"/>
              </w:rPr>
              <w:t xml:space="preserve">: </w:t>
            </w:r>
          </w:p>
          <w:p w14:paraId="628BCCBD" w14:textId="5082B7F9" w:rsidR="00794150" w:rsidRPr="000F1532" w:rsidRDefault="008C5DE9" w:rsidP="00CD717E">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Промяната на действащия Закон за фуражите е продиктувана от</w:t>
            </w:r>
            <w:r w:rsidR="009F2C71" w:rsidRPr="000F1532">
              <w:rPr>
                <w:rFonts w:ascii="Times New Roman" w:eastAsia="Times New Roman" w:hAnsi="Times New Roman" w:cs="Times New Roman"/>
                <w:sz w:val="24"/>
                <w:szCs w:val="24"/>
                <w:lang w:val="bg-BG"/>
              </w:rPr>
              <w:t xml:space="preserve"> приемането на</w:t>
            </w:r>
            <w:r w:rsidR="009F2C71" w:rsidRPr="000F1532">
              <w:rPr>
                <w:lang w:val="bg-BG"/>
              </w:rPr>
              <w:t xml:space="preserve"> </w:t>
            </w:r>
            <w:r w:rsidR="009F2C71" w:rsidRPr="000F1532">
              <w:rPr>
                <w:rFonts w:ascii="Times New Roman" w:eastAsia="Times New Roman" w:hAnsi="Times New Roman" w:cs="Times New Roman"/>
                <w:sz w:val="24"/>
                <w:szCs w:val="24"/>
                <w:lang w:val="bg-BG"/>
              </w:rPr>
              <w:t>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w:t>
            </w:r>
            <w:r w:rsidR="009F2C71" w:rsidRPr="000F1532">
              <w:rPr>
                <w:lang w:val="bg-BG"/>
              </w:rPr>
              <w:t xml:space="preserve"> </w:t>
            </w:r>
            <w:r w:rsidR="009F2C71" w:rsidRPr="000F1532">
              <w:rPr>
                <w:rFonts w:ascii="Times New Roman" w:hAnsi="Times New Roman" w:cs="Times New Roman"/>
                <w:lang w:val="bg-BG"/>
              </w:rPr>
              <w:t>(</w:t>
            </w:r>
            <w:r w:rsidR="009F2C71" w:rsidRPr="000F1532">
              <w:rPr>
                <w:rFonts w:ascii="Times New Roman" w:eastAsia="Times New Roman" w:hAnsi="Times New Roman" w:cs="Times New Roman"/>
                <w:sz w:val="24"/>
                <w:szCs w:val="24"/>
                <w:lang w:val="bg-BG"/>
              </w:rPr>
              <w:t>Регламент (ЕС) 2019/4), който ще се прилага от 28 януари 2022 г.</w:t>
            </w:r>
            <w:r w:rsidR="00FA6E28" w:rsidRPr="000F1532">
              <w:rPr>
                <w:rFonts w:ascii="Times New Roman" w:eastAsia="Times New Roman" w:hAnsi="Times New Roman" w:cs="Times New Roman"/>
                <w:sz w:val="24"/>
                <w:szCs w:val="24"/>
                <w:lang w:val="bg-BG"/>
              </w:rPr>
              <w:t xml:space="preserve"> </w:t>
            </w:r>
            <w:r w:rsidR="009F2C71" w:rsidRPr="000F1532">
              <w:rPr>
                <w:rFonts w:ascii="Times New Roman" w:eastAsia="Times New Roman" w:hAnsi="Times New Roman" w:cs="Times New Roman"/>
                <w:sz w:val="24"/>
                <w:szCs w:val="24"/>
                <w:lang w:val="bg-BG"/>
              </w:rPr>
              <w:t xml:space="preserve">промяната </w:t>
            </w:r>
            <w:r w:rsidR="00794150" w:rsidRPr="000F1532">
              <w:rPr>
                <w:rFonts w:ascii="Times New Roman" w:eastAsia="Times New Roman" w:hAnsi="Times New Roman" w:cs="Times New Roman"/>
                <w:sz w:val="24"/>
                <w:szCs w:val="24"/>
                <w:lang w:val="bg-BG"/>
              </w:rPr>
              <w:t xml:space="preserve">на </w:t>
            </w:r>
            <w:r w:rsidR="00FA6E28" w:rsidRPr="000F1532">
              <w:rPr>
                <w:rFonts w:ascii="Times New Roman" w:eastAsia="Times New Roman" w:hAnsi="Times New Roman" w:cs="Times New Roman"/>
                <w:sz w:val="24"/>
                <w:szCs w:val="24"/>
                <w:lang w:val="bg-BG"/>
              </w:rPr>
              <w:t xml:space="preserve">обхвата на законодателството за медикаментозните фуражи по отношение на други части от законодателството за фуражите и на законодателството за ветеринарномедицинските продукти (ВМП), оценка на връзката между приложението на ВМП и приложението на медикаментозните фуражи, както и оценка на различните начини за приложение на ВМП по отношение </w:t>
            </w:r>
            <w:r w:rsidR="001F05EA" w:rsidRPr="000F1532">
              <w:rPr>
                <w:rFonts w:ascii="Times New Roman" w:eastAsia="Times New Roman" w:hAnsi="Times New Roman" w:cs="Times New Roman"/>
                <w:sz w:val="24"/>
                <w:szCs w:val="24"/>
                <w:lang w:val="bg-BG"/>
              </w:rPr>
              <w:t>на</w:t>
            </w:r>
            <w:r w:rsidR="00FA6E28" w:rsidRPr="000F1532">
              <w:rPr>
                <w:rFonts w:ascii="Times New Roman" w:eastAsia="Times New Roman" w:hAnsi="Times New Roman" w:cs="Times New Roman"/>
                <w:sz w:val="24"/>
                <w:szCs w:val="24"/>
                <w:lang w:val="bg-BG"/>
              </w:rPr>
              <w:t xml:space="preserve"> безопасността и ефективността. </w:t>
            </w:r>
            <w:r w:rsidR="00794150" w:rsidRPr="000F1532">
              <w:rPr>
                <w:rFonts w:ascii="Times New Roman" w:eastAsia="Times New Roman" w:hAnsi="Times New Roman" w:cs="Times New Roman"/>
                <w:sz w:val="24"/>
                <w:szCs w:val="24"/>
                <w:lang w:val="bg-BG"/>
              </w:rPr>
              <w:t>До приемането на регламента, медикаментозните фуражи бяха регулира</w:t>
            </w:r>
            <w:r w:rsidR="00514C3F" w:rsidRPr="000F1532">
              <w:rPr>
                <w:rFonts w:ascii="Times New Roman" w:eastAsia="Times New Roman" w:hAnsi="Times New Roman" w:cs="Times New Roman"/>
                <w:sz w:val="24"/>
                <w:szCs w:val="24"/>
                <w:lang w:val="bg-BG"/>
              </w:rPr>
              <w:t>н</w:t>
            </w:r>
            <w:r w:rsidR="00794150" w:rsidRPr="000F1532">
              <w:rPr>
                <w:rFonts w:ascii="Times New Roman" w:eastAsia="Times New Roman" w:hAnsi="Times New Roman" w:cs="Times New Roman"/>
                <w:sz w:val="24"/>
                <w:szCs w:val="24"/>
                <w:lang w:val="bg-BG"/>
              </w:rPr>
              <w:t xml:space="preserve">и от </w:t>
            </w:r>
            <w:r w:rsidR="00CD717E" w:rsidRPr="000F1532">
              <w:rPr>
                <w:rFonts w:ascii="Times New Roman" w:eastAsia="Times New Roman" w:hAnsi="Times New Roman" w:cs="Times New Roman"/>
                <w:sz w:val="24"/>
                <w:szCs w:val="24"/>
                <w:lang w:val="bg-BG"/>
              </w:rPr>
              <w:t>Директива на съвета от 26 март 1990 година относно определяне на условията, регулиращи подготовката, пускането на пазара и употребата на медикаментозни фуражи в Общността (90/167/ЕИО)(</w:t>
            </w:r>
            <w:r w:rsidR="00794150" w:rsidRPr="000F1532">
              <w:rPr>
                <w:rFonts w:ascii="Times New Roman" w:eastAsia="Times New Roman" w:hAnsi="Times New Roman" w:cs="Times New Roman"/>
                <w:sz w:val="24"/>
                <w:szCs w:val="24"/>
                <w:lang w:val="bg-BG"/>
              </w:rPr>
              <w:t>Директива 90/167/Е</w:t>
            </w:r>
            <w:r w:rsidR="00CD717E" w:rsidRPr="000F1532">
              <w:rPr>
                <w:rFonts w:ascii="Times New Roman" w:eastAsia="Times New Roman" w:hAnsi="Times New Roman" w:cs="Times New Roman"/>
                <w:sz w:val="24"/>
                <w:szCs w:val="24"/>
                <w:lang w:val="bg-BG"/>
              </w:rPr>
              <w:t>И</w:t>
            </w:r>
            <w:r w:rsidR="00794150" w:rsidRPr="000F1532">
              <w:rPr>
                <w:rFonts w:ascii="Times New Roman" w:eastAsia="Times New Roman" w:hAnsi="Times New Roman" w:cs="Times New Roman"/>
                <w:sz w:val="24"/>
                <w:szCs w:val="24"/>
                <w:lang w:val="bg-BG"/>
              </w:rPr>
              <w:t>О</w:t>
            </w:r>
            <w:r w:rsidR="00CD717E" w:rsidRPr="000F1532">
              <w:rPr>
                <w:rFonts w:ascii="Times New Roman" w:eastAsia="Times New Roman" w:hAnsi="Times New Roman" w:cs="Times New Roman"/>
                <w:sz w:val="24"/>
                <w:szCs w:val="24"/>
                <w:lang w:val="bg-BG"/>
              </w:rPr>
              <w:t>)</w:t>
            </w:r>
            <w:r w:rsidR="00794150" w:rsidRPr="000F1532">
              <w:rPr>
                <w:rFonts w:ascii="Times New Roman" w:eastAsia="Times New Roman" w:hAnsi="Times New Roman" w:cs="Times New Roman"/>
                <w:sz w:val="24"/>
                <w:szCs w:val="24"/>
                <w:lang w:val="bg-BG"/>
              </w:rPr>
              <w:t xml:space="preserve"> въведена в националното законодателство от </w:t>
            </w:r>
            <w:r w:rsidR="00AC15E6" w:rsidRPr="000F1532">
              <w:rPr>
                <w:rFonts w:ascii="Times New Roman" w:eastAsia="Times New Roman" w:hAnsi="Times New Roman" w:cs="Times New Roman"/>
                <w:sz w:val="24"/>
                <w:szCs w:val="24"/>
                <w:lang w:val="bg-BG"/>
              </w:rPr>
              <w:t>Наредба № 1 от 2014 г. за изискванията за производството и/или търговията с медикаментозни фуражи и/или с междинн</w:t>
            </w:r>
            <w:r w:rsidR="009F2C71" w:rsidRPr="000F1532">
              <w:rPr>
                <w:rFonts w:ascii="Times New Roman" w:eastAsia="Times New Roman" w:hAnsi="Times New Roman" w:cs="Times New Roman"/>
                <w:sz w:val="24"/>
                <w:szCs w:val="24"/>
                <w:lang w:val="bg-BG"/>
              </w:rPr>
              <w:t>и продукти за производството им (ДВ. бр. 26 от 2014 г.)</w:t>
            </w:r>
            <w:r w:rsidR="0014026D" w:rsidRPr="000F1532">
              <w:rPr>
                <w:lang w:val="bg-BG"/>
              </w:rPr>
              <w:t xml:space="preserve"> </w:t>
            </w:r>
            <w:r w:rsidR="0014026D" w:rsidRPr="000F1532">
              <w:rPr>
                <w:rFonts w:ascii="Times New Roman" w:hAnsi="Times New Roman" w:cs="Times New Roman"/>
                <w:sz w:val="24"/>
                <w:szCs w:val="24"/>
                <w:lang w:val="bg-BG"/>
              </w:rPr>
              <w:t>(</w:t>
            </w:r>
            <w:r w:rsidR="0014026D" w:rsidRPr="000F1532">
              <w:rPr>
                <w:rFonts w:ascii="Times New Roman" w:eastAsia="Times New Roman" w:hAnsi="Times New Roman" w:cs="Times New Roman"/>
                <w:sz w:val="24"/>
                <w:szCs w:val="24"/>
                <w:lang w:val="bg-BG"/>
              </w:rPr>
              <w:t>Наредба № 1 от 2014 г.).</w:t>
            </w:r>
          </w:p>
          <w:p w14:paraId="51824F68" w14:textId="41A0350F" w:rsidR="00794150" w:rsidRPr="000F1532" w:rsidRDefault="009F2C71" w:rsidP="00FA6E28">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Необходимо е да се осигури</w:t>
            </w:r>
            <w:r w:rsidR="00794150" w:rsidRPr="000F1532">
              <w:rPr>
                <w:rFonts w:ascii="Times New Roman" w:eastAsia="Times New Roman" w:hAnsi="Times New Roman" w:cs="Times New Roman"/>
                <w:sz w:val="24"/>
                <w:szCs w:val="24"/>
                <w:lang w:val="bg-BG"/>
              </w:rPr>
              <w:t xml:space="preserve"> </w:t>
            </w:r>
            <w:r w:rsidR="00FA6E28" w:rsidRPr="000F1532">
              <w:rPr>
                <w:rFonts w:ascii="Times New Roman" w:eastAsia="Times New Roman" w:hAnsi="Times New Roman" w:cs="Times New Roman"/>
                <w:sz w:val="24"/>
                <w:szCs w:val="24"/>
                <w:lang w:val="bg-BG"/>
              </w:rPr>
              <w:t xml:space="preserve">прилагането на хармонизирани правила за кръстосано замърсяване, които да се прилагат в целия Европейски съюз (ЕС), както и издаването на рецепта за производство на медикаментозни фуражи от ветеринарния лекар, лекуващ животните, предвид отговорността му да определи какво е необходимо за лечението на животните и дали има съвместимост между отделни </w:t>
            </w:r>
            <w:r w:rsidR="006F6829" w:rsidRPr="000F1532">
              <w:rPr>
                <w:rFonts w:ascii="Times New Roman" w:eastAsia="Times New Roman" w:hAnsi="Times New Roman" w:cs="Times New Roman"/>
                <w:sz w:val="24"/>
                <w:szCs w:val="24"/>
                <w:lang w:val="bg-BG"/>
              </w:rPr>
              <w:t>лекарствени продукти</w:t>
            </w:r>
            <w:r w:rsidR="00FA6E28" w:rsidRPr="000F1532">
              <w:rPr>
                <w:rFonts w:ascii="Times New Roman" w:eastAsia="Times New Roman" w:hAnsi="Times New Roman" w:cs="Times New Roman"/>
                <w:sz w:val="24"/>
                <w:szCs w:val="24"/>
                <w:lang w:val="bg-BG"/>
              </w:rPr>
              <w:t xml:space="preserve">. Въвежда </w:t>
            </w:r>
            <w:r w:rsidR="001F05EA" w:rsidRPr="000F1532">
              <w:rPr>
                <w:rFonts w:ascii="Times New Roman" w:eastAsia="Times New Roman" w:hAnsi="Times New Roman" w:cs="Times New Roman"/>
                <w:sz w:val="24"/>
                <w:szCs w:val="24"/>
                <w:lang w:val="bg-BG"/>
              </w:rPr>
              <w:t>се</w:t>
            </w:r>
            <w:r w:rsidR="00FA6E28" w:rsidRPr="000F1532">
              <w:rPr>
                <w:rFonts w:ascii="Times New Roman" w:eastAsia="Times New Roman" w:hAnsi="Times New Roman" w:cs="Times New Roman"/>
                <w:sz w:val="24"/>
                <w:szCs w:val="24"/>
                <w:lang w:val="bg-BG"/>
              </w:rPr>
              <w:t xml:space="preserve"> забрана</w:t>
            </w:r>
            <w:r w:rsidR="001F05EA" w:rsidRPr="000F1532">
              <w:rPr>
                <w:rFonts w:ascii="Times New Roman" w:eastAsia="Times New Roman" w:hAnsi="Times New Roman" w:cs="Times New Roman"/>
                <w:sz w:val="24"/>
                <w:szCs w:val="24"/>
                <w:lang w:val="bg-BG"/>
              </w:rPr>
              <w:t>та</w:t>
            </w:r>
            <w:r w:rsidR="00FA6E28" w:rsidRPr="000F1532">
              <w:rPr>
                <w:rFonts w:ascii="Times New Roman" w:eastAsia="Times New Roman" w:hAnsi="Times New Roman" w:cs="Times New Roman"/>
                <w:sz w:val="24"/>
                <w:szCs w:val="24"/>
                <w:lang w:val="bg-BG"/>
              </w:rPr>
              <w:t xml:space="preserve"> за превантивна употреба на антибиотици в медикаментозните фуражи.</w:t>
            </w:r>
          </w:p>
          <w:p w14:paraId="0052C147" w14:textId="2D1E735A" w:rsidR="006025DC" w:rsidRPr="000F1532" w:rsidRDefault="00514C3F" w:rsidP="00FA6E28">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Медикаментозните</w:t>
            </w:r>
            <w:r w:rsidR="00794150" w:rsidRPr="000F1532">
              <w:rPr>
                <w:rFonts w:ascii="Times New Roman" w:eastAsia="Times New Roman" w:hAnsi="Times New Roman" w:cs="Times New Roman"/>
                <w:sz w:val="24"/>
                <w:szCs w:val="24"/>
                <w:lang w:val="bg-BG"/>
              </w:rPr>
              <w:t xml:space="preserve"> фуражи са един от пътищата за приемане на ВМП при лечение на големи групи от животни, например при </w:t>
            </w:r>
            <w:r w:rsidRPr="000F1532">
              <w:rPr>
                <w:rFonts w:ascii="Times New Roman" w:eastAsia="Times New Roman" w:hAnsi="Times New Roman" w:cs="Times New Roman"/>
                <w:sz w:val="24"/>
                <w:szCs w:val="24"/>
                <w:lang w:val="bg-BG"/>
              </w:rPr>
              <w:t>промишлено</w:t>
            </w:r>
            <w:r w:rsidR="00794150" w:rsidRPr="000F1532">
              <w:rPr>
                <w:rFonts w:ascii="Times New Roman" w:eastAsia="Times New Roman" w:hAnsi="Times New Roman" w:cs="Times New Roman"/>
                <w:sz w:val="24"/>
                <w:szCs w:val="24"/>
                <w:lang w:val="bg-BG"/>
              </w:rPr>
              <w:t xml:space="preserve"> отглеждане </w:t>
            </w:r>
            <w:r w:rsidRPr="000F1532">
              <w:rPr>
                <w:rFonts w:ascii="Times New Roman" w:eastAsia="Times New Roman" w:hAnsi="Times New Roman" w:cs="Times New Roman"/>
                <w:sz w:val="24"/>
                <w:szCs w:val="24"/>
                <w:lang w:val="bg-BG"/>
              </w:rPr>
              <w:t>на</w:t>
            </w:r>
            <w:r w:rsidR="00794150" w:rsidRPr="000F1532">
              <w:rPr>
                <w:rFonts w:ascii="Times New Roman" w:eastAsia="Times New Roman" w:hAnsi="Times New Roman" w:cs="Times New Roman"/>
                <w:sz w:val="24"/>
                <w:szCs w:val="24"/>
                <w:lang w:val="bg-BG"/>
              </w:rPr>
              <w:t xml:space="preserve"> домашни птици, свине и други видове животни. </w:t>
            </w:r>
            <w:r w:rsidRPr="000F1532">
              <w:rPr>
                <w:rFonts w:ascii="Times New Roman" w:eastAsia="Times New Roman" w:hAnsi="Times New Roman" w:cs="Times New Roman"/>
                <w:sz w:val="24"/>
                <w:szCs w:val="24"/>
                <w:lang w:val="bg-BG"/>
              </w:rPr>
              <w:t>Производството</w:t>
            </w:r>
            <w:r w:rsidR="00794150" w:rsidRPr="000F1532">
              <w:rPr>
                <w:rFonts w:ascii="Times New Roman" w:eastAsia="Times New Roman" w:hAnsi="Times New Roman" w:cs="Times New Roman"/>
                <w:sz w:val="24"/>
                <w:szCs w:val="24"/>
                <w:lang w:val="bg-BG"/>
              </w:rPr>
              <w:t xml:space="preserve"> на медикаментозни фуражи и пускането им на пазара обхваща и медикаментозните храни, предназначени за лечение на животни, </w:t>
            </w:r>
            <w:r w:rsidRPr="000F1532">
              <w:rPr>
                <w:rFonts w:ascii="Times New Roman" w:eastAsia="Times New Roman" w:hAnsi="Times New Roman" w:cs="Times New Roman"/>
                <w:sz w:val="24"/>
                <w:szCs w:val="24"/>
                <w:lang w:val="bg-BG"/>
              </w:rPr>
              <w:t>които</w:t>
            </w:r>
            <w:r w:rsidR="00794150" w:rsidRPr="000F1532">
              <w:rPr>
                <w:rFonts w:ascii="Times New Roman" w:eastAsia="Times New Roman" w:hAnsi="Times New Roman" w:cs="Times New Roman"/>
                <w:sz w:val="24"/>
                <w:szCs w:val="24"/>
                <w:lang w:val="bg-BG"/>
              </w:rPr>
              <w:t xml:space="preserve"> не се отглеждат за </w:t>
            </w:r>
            <w:r w:rsidRPr="000F1532">
              <w:rPr>
                <w:rFonts w:ascii="Times New Roman" w:eastAsia="Times New Roman" w:hAnsi="Times New Roman" w:cs="Times New Roman"/>
                <w:sz w:val="24"/>
                <w:szCs w:val="24"/>
                <w:lang w:val="bg-BG"/>
              </w:rPr>
              <w:t>производство</w:t>
            </w:r>
            <w:r w:rsidR="00794150" w:rsidRPr="000F1532">
              <w:rPr>
                <w:rFonts w:ascii="Times New Roman" w:eastAsia="Times New Roman" w:hAnsi="Times New Roman" w:cs="Times New Roman"/>
                <w:sz w:val="24"/>
                <w:szCs w:val="24"/>
                <w:lang w:val="bg-BG"/>
              </w:rPr>
              <w:t xml:space="preserve"> на храни, включително домашни любимци.</w:t>
            </w:r>
          </w:p>
          <w:p w14:paraId="7B626F58" w14:textId="77777777" w:rsidR="006F6829" w:rsidRPr="000F1532" w:rsidRDefault="006F6829" w:rsidP="006F682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Разумната и регламентирана употреба на медикаментозни фуражи оказва въздействие върху здравето на човека. Въведените правила имат за цел да запазят ефективността на антимикробните средства (включително антибиотиците). Резултатите от извършено проучване, което е публикувано от Lancet, показват, че инфекциите с резистентни на антибиотици бактерии са причинили около 33 000 смъртни случая през 2015 г. в ЕС и Европейското икономическо пространство.</w:t>
            </w:r>
          </w:p>
          <w:p w14:paraId="6BB00AD2" w14:textId="61137CD6" w:rsidR="00DA45B1" w:rsidRPr="000F1532" w:rsidRDefault="006025DC"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Предложено е регистрацията на обектите, в които се извършва търговия на дребно с храни за домашни любимци от Закона за ветеринарномедицинската дейност да бъде обхванато от Закона за фуражите, тъй като храните за домашни любимци са фуражи, а Законът за фуражите урежда </w:t>
            </w:r>
            <w:r w:rsidR="00514C3F" w:rsidRPr="000F1532">
              <w:rPr>
                <w:rFonts w:ascii="Times New Roman" w:eastAsia="Times New Roman" w:hAnsi="Times New Roman" w:cs="Times New Roman"/>
                <w:sz w:val="24"/>
                <w:szCs w:val="24"/>
                <w:lang w:val="bg-BG"/>
              </w:rPr>
              <w:t>обществените</w:t>
            </w:r>
            <w:r w:rsidRPr="000F1532">
              <w:rPr>
                <w:rFonts w:ascii="Times New Roman" w:eastAsia="Times New Roman" w:hAnsi="Times New Roman" w:cs="Times New Roman"/>
                <w:sz w:val="24"/>
                <w:szCs w:val="24"/>
                <w:lang w:val="bg-BG"/>
              </w:rPr>
              <w:t xml:space="preserve"> отношения в цялата фуражна верига. </w:t>
            </w:r>
          </w:p>
          <w:p w14:paraId="74D29ABF" w14:textId="05E98C17" w:rsidR="008C5DE9" w:rsidRPr="000F1532" w:rsidRDefault="00DA45B1"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Проблем 1:</w:t>
            </w:r>
          </w:p>
          <w:p w14:paraId="7F7D0860" w14:textId="043EB5D7" w:rsidR="00385A2F" w:rsidRPr="000F1532" w:rsidRDefault="00385A2F" w:rsidP="00076E63">
            <w:pPr>
              <w:spacing w:before="120"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52656B63" w14:textId="3316A96F" w:rsidR="00A00077" w:rsidRPr="000F1532" w:rsidRDefault="00A00077"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Въвеждане на мерки, гарантиращи прилагането на пряко</w:t>
            </w:r>
            <w:r w:rsidR="00FE7840" w:rsidRPr="000F1532">
              <w:rPr>
                <w:rFonts w:ascii="Times New Roman" w:eastAsia="Times New Roman" w:hAnsi="Times New Roman" w:cs="Times New Roman"/>
                <w:sz w:val="24"/>
                <w:szCs w:val="24"/>
                <w:lang w:val="bg-BG"/>
              </w:rPr>
              <w:t xml:space="preserve"> </w:t>
            </w:r>
            <w:r w:rsidRPr="000F1532">
              <w:rPr>
                <w:rFonts w:ascii="Times New Roman" w:eastAsia="Times New Roman" w:hAnsi="Times New Roman" w:cs="Times New Roman"/>
                <w:sz w:val="24"/>
                <w:szCs w:val="24"/>
                <w:lang w:val="bg-BG"/>
              </w:rPr>
              <w:t>приложимото</w:t>
            </w:r>
            <w:r w:rsidR="009F2C71" w:rsidRPr="000F1532">
              <w:rPr>
                <w:rFonts w:ascii="Times New Roman" w:eastAsia="Times New Roman" w:hAnsi="Times New Roman" w:cs="Times New Roman"/>
                <w:sz w:val="24"/>
                <w:szCs w:val="24"/>
                <w:lang w:val="bg-BG"/>
              </w:rPr>
              <w:t xml:space="preserve"> право на ЕС</w:t>
            </w:r>
            <w:r w:rsidRPr="000F1532">
              <w:rPr>
                <w:rFonts w:ascii="Times New Roman" w:eastAsia="Times New Roman" w:hAnsi="Times New Roman" w:cs="Times New Roman"/>
                <w:sz w:val="24"/>
                <w:szCs w:val="24"/>
                <w:lang w:val="bg-BG"/>
              </w:rPr>
              <w:t>, а именно:</w:t>
            </w:r>
          </w:p>
          <w:p w14:paraId="2CFDB4AA" w14:textId="20DD0D61" w:rsidR="00DD7F40" w:rsidRPr="000F1532" w:rsidRDefault="00A00077" w:rsidP="00F67CC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w:t>
            </w:r>
            <w:r w:rsidR="009F2C71" w:rsidRPr="000F1532">
              <w:rPr>
                <w:rFonts w:ascii="Times New Roman" w:eastAsia="Times New Roman" w:hAnsi="Times New Roman" w:cs="Times New Roman"/>
                <w:sz w:val="24"/>
                <w:szCs w:val="24"/>
                <w:lang w:val="bg-BG"/>
              </w:rPr>
              <w:t>Прилагане на пуб</w:t>
            </w:r>
            <w:r w:rsidR="008C5DE9" w:rsidRPr="000F1532">
              <w:rPr>
                <w:rFonts w:ascii="Times New Roman" w:eastAsia="Times New Roman" w:hAnsi="Times New Roman" w:cs="Times New Roman"/>
                <w:sz w:val="24"/>
                <w:szCs w:val="24"/>
                <w:lang w:val="bg-BG"/>
              </w:rPr>
              <w:t>ликувания в Официалния вестник на ЕС, бр. 4, серия L от 07.01.2019 г. 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w:t>
            </w:r>
            <w:r w:rsidR="00F67CC7" w:rsidRPr="000F1532">
              <w:rPr>
                <w:rFonts w:ascii="Times New Roman" w:eastAsia="Times New Roman" w:hAnsi="Times New Roman" w:cs="Times New Roman"/>
                <w:sz w:val="24"/>
                <w:szCs w:val="24"/>
                <w:lang w:val="bg-BG"/>
              </w:rPr>
              <w:t>, който</w:t>
            </w:r>
            <w:r w:rsidR="008C5DE9" w:rsidRPr="000F1532">
              <w:rPr>
                <w:rFonts w:ascii="Times New Roman" w:eastAsia="Times New Roman" w:hAnsi="Times New Roman" w:cs="Times New Roman"/>
                <w:sz w:val="24"/>
                <w:szCs w:val="24"/>
                <w:lang w:val="bg-BG"/>
              </w:rPr>
              <w:t xml:space="preserve"> </w:t>
            </w:r>
            <w:r w:rsidR="00CD717E" w:rsidRPr="000F1532">
              <w:rPr>
                <w:rFonts w:ascii="Times New Roman" w:eastAsia="Times New Roman" w:hAnsi="Times New Roman" w:cs="Times New Roman"/>
                <w:sz w:val="24"/>
                <w:szCs w:val="24"/>
                <w:lang w:val="bg-BG"/>
              </w:rPr>
              <w:t xml:space="preserve">ще </w:t>
            </w:r>
            <w:r w:rsidR="008C5DE9" w:rsidRPr="000F1532">
              <w:rPr>
                <w:rFonts w:ascii="Times New Roman" w:eastAsia="Times New Roman" w:hAnsi="Times New Roman" w:cs="Times New Roman"/>
                <w:sz w:val="24"/>
                <w:szCs w:val="24"/>
                <w:lang w:val="bg-BG"/>
              </w:rPr>
              <w:t>се прилага от 28 януари 2022 г.</w:t>
            </w:r>
          </w:p>
          <w:p w14:paraId="23C416C6" w14:textId="0D0DB726" w:rsidR="00DD7F40" w:rsidRPr="000F1532" w:rsidRDefault="00DD7F40" w:rsidP="00DD7F4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Правилата относно медикаментозните фуражи имат значително влияние върху отглеждането и развъждането на животни (включително животни, които не се отглеждат за производство на храни) и върху производството на продукти от животински произход, които водят до засилване на ефективното функциониране на вътрешния пазар и за изрично предоставяне на възможност за лечение на животни, които не се отглеждат за производство на храни, с медикаментозни фуражи.</w:t>
            </w:r>
          </w:p>
          <w:p w14:paraId="227E5C9C" w14:textId="4A6ACCA1" w:rsidR="005804BB" w:rsidRPr="000F1532" w:rsidRDefault="00DD7F40" w:rsidP="00F67CC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Разпоредбите на Регламент (ЕС) 2019/4 отразяват приоритетите, заложени в Европейския единен план за действие в областта на здравеопазването срещу </w:t>
            </w:r>
            <w:r w:rsidR="003B60DC" w:rsidRPr="000F1532">
              <w:rPr>
                <w:rFonts w:ascii="Times New Roman" w:eastAsia="Times New Roman" w:hAnsi="Times New Roman" w:cs="Times New Roman"/>
                <w:sz w:val="24"/>
                <w:szCs w:val="24"/>
                <w:lang w:val="bg-BG"/>
              </w:rPr>
              <w:t>антимикробната резистентност (</w:t>
            </w:r>
            <w:r w:rsidRPr="000F1532">
              <w:rPr>
                <w:rFonts w:ascii="Times New Roman" w:eastAsia="Times New Roman" w:hAnsi="Times New Roman" w:cs="Times New Roman"/>
                <w:sz w:val="24"/>
                <w:szCs w:val="24"/>
                <w:lang w:val="bg-BG"/>
              </w:rPr>
              <w:t>AMР</w:t>
            </w:r>
            <w:r w:rsidR="003B60DC" w:rsidRPr="000F1532">
              <w:rPr>
                <w:rFonts w:ascii="Times New Roman" w:eastAsia="Times New Roman" w:hAnsi="Times New Roman" w:cs="Times New Roman"/>
                <w:sz w:val="24"/>
                <w:szCs w:val="24"/>
                <w:lang w:val="bg-BG"/>
              </w:rPr>
              <w:t>)</w:t>
            </w:r>
            <w:r w:rsidRPr="000F1532">
              <w:rPr>
                <w:rFonts w:ascii="Times New Roman" w:eastAsia="Times New Roman" w:hAnsi="Times New Roman" w:cs="Times New Roman"/>
                <w:sz w:val="24"/>
                <w:szCs w:val="24"/>
                <w:lang w:val="bg-BG"/>
              </w:rPr>
              <w:t>, приет през юни 2017 г. от Европейската комисия, който следва подхода „Едно здраве“ (признавайки взаимовръзката между здравето на хората, здравето на животните и околната среда).</w:t>
            </w:r>
          </w:p>
          <w:p w14:paraId="46DC90C6" w14:textId="4B8547F4" w:rsidR="00076E63" w:rsidRPr="000F1532" w:rsidRDefault="00076E63" w:rsidP="00385A2F">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0B1D62B5" w14:textId="7E392469" w:rsidR="00E9296D" w:rsidRPr="000F1532" w:rsidRDefault="00A00077" w:rsidP="00385A2F">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е възможно проблемът да се реши в рамките на съществуващото законодателство и/или чрез въвеждане само на новите технологични възможности, тъй като обществените отношения, които изискват предложената промяна, са регламентирани в Закона за фуражите</w:t>
            </w:r>
            <w:r w:rsidR="00F4352B" w:rsidRPr="000F1532">
              <w:rPr>
                <w:rFonts w:ascii="Times New Roman" w:eastAsia="Times New Roman" w:hAnsi="Times New Roman" w:cs="Times New Roman"/>
                <w:sz w:val="24"/>
                <w:szCs w:val="24"/>
                <w:lang w:val="bg-BG"/>
              </w:rPr>
              <w:t xml:space="preserve"> и въвежданите санкции са специфични и са в съответствие с разпоредбите на Регламент (ЕС) 2019/4</w:t>
            </w:r>
            <w:r w:rsidRPr="000F1532">
              <w:rPr>
                <w:rFonts w:ascii="Times New Roman" w:eastAsia="Times New Roman" w:hAnsi="Times New Roman" w:cs="Times New Roman"/>
                <w:sz w:val="24"/>
                <w:szCs w:val="24"/>
                <w:lang w:val="bg-BG"/>
              </w:rPr>
              <w:t>. Съгласно чл. 10, ал. 2 от Закона за нормативните актове обществени отношения, които спадат към област, за която има издаден нормативен акт, се уреждат с неговото допълнение или изменение.</w:t>
            </w:r>
          </w:p>
          <w:p w14:paraId="16AACFDA" w14:textId="7595B3BD" w:rsidR="00076E63" w:rsidRPr="000F1532" w:rsidRDefault="00076E63" w:rsidP="00385A2F">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1.3. Посочете защо действащата нормативна рамка не позволява решаване на проблем</w:t>
            </w:r>
            <w:r w:rsidR="0060089B" w:rsidRPr="000F1532">
              <w:rPr>
                <w:rFonts w:ascii="Times New Roman" w:eastAsia="Times New Roman" w:hAnsi="Times New Roman" w:cs="Times New Roman"/>
                <w:b/>
                <w:i/>
                <w:iCs/>
                <w:sz w:val="24"/>
                <w:szCs w:val="24"/>
                <w:lang w:val="bg-BG"/>
              </w:rPr>
              <w:t>а/</w:t>
            </w:r>
            <w:r w:rsidR="009D4DA5" w:rsidRPr="000F1532">
              <w:rPr>
                <w:rFonts w:ascii="Times New Roman" w:eastAsia="Times New Roman" w:hAnsi="Times New Roman" w:cs="Times New Roman"/>
                <w:b/>
                <w:i/>
                <w:iCs/>
                <w:sz w:val="24"/>
                <w:szCs w:val="24"/>
                <w:lang w:val="bg-BG"/>
              </w:rPr>
              <w:t>проблем</w:t>
            </w:r>
            <w:r w:rsidRPr="000F1532">
              <w:rPr>
                <w:rFonts w:ascii="Times New Roman" w:eastAsia="Times New Roman" w:hAnsi="Times New Roman" w:cs="Times New Roman"/>
                <w:b/>
                <w:i/>
                <w:iCs/>
                <w:sz w:val="24"/>
                <w:szCs w:val="24"/>
                <w:lang w:val="bg-BG"/>
              </w:rPr>
              <w:t>ите.</w:t>
            </w:r>
          </w:p>
          <w:p w14:paraId="2306AEF5" w14:textId="6DEF8D06" w:rsidR="005B6BF4" w:rsidRPr="000F1532" w:rsidRDefault="00A00077" w:rsidP="00F67CC7">
            <w:pPr>
              <w:spacing w:before="120"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sz w:val="24"/>
                <w:szCs w:val="24"/>
                <w:lang w:val="bg-BG"/>
              </w:rPr>
              <w:t xml:space="preserve">Действащата нормативна рамка не позволява решаването на проблема, защото в </w:t>
            </w:r>
            <w:r w:rsidR="009F2C71" w:rsidRPr="000F1532">
              <w:rPr>
                <w:rFonts w:ascii="Times New Roman" w:eastAsia="Times New Roman" w:hAnsi="Times New Roman" w:cs="Times New Roman"/>
                <w:sz w:val="24"/>
                <w:szCs w:val="24"/>
                <w:lang w:val="bg-BG"/>
              </w:rPr>
              <w:t xml:space="preserve">същата </w:t>
            </w:r>
            <w:r w:rsidR="008A2A56" w:rsidRPr="000F1532">
              <w:rPr>
                <w:rFonts w:ascii="Times New Roman" w:eastAsia="Times New Roman" w:hAnsi="Times New Roman" w:cs="Times New Roman"/>
                <w:sz w:val="24"/>
                <w:szCs w:val="24"/>
                <w:lang w:val="bg-BG"/>
              </w:rPr>
              <w:t xml:space="preserve">няма въведен регулаторен механизъм, който да гарантира прилагането на </w:t>
            </w:r>
            <w:r w:rsidR="00E9296D" w:rsidRPr="000F1532">
              <w:rPr>
                <w:rFonts w:ascii="Times New Roman" w:eastAsia="Times New Roman" w:hAnsi="Times New Roman" w:cs="Times New Roman"/>
                <w:sz w:val="24"/>
                <w:szCs w:val="24"/>
                <w:lang w:val="bg-BG"/>
              </w:rPr>
              <w:t xml:space="preserve">Регламент (ЕС) 2019/4 </w:t>
            </w:r>
            <w:r w:rsidR="00F4352B" w:rsidRPr="000F1532">
              <w:rPr>
                <w:rFonts w:ascii="Times New Roman" w:eastAsia="Times New Roman" w:hAnsi="Times New Roman" w:cs="Times New Roman"/>
                <w:sz w:val="24"/>
                <w:szCs w:val="24"/>
                <w:lang w:val="bg-BG"/>
              </w:rPr>
              <w:t>и</w:t>
            </w:r>
            <w:r w:rsidR="00DE5D14" w:rsidRPr="000F1532">
              <w:rPr>
                <w:rFonts w:ascii="Times New Roman" w:eastAsia="Times New Roman" w:hAnsi="Times New Roman" w:cs="Times New Roman"/>
                <w:sz w:val="24"/>
                <w:szCs w:val="24"/>
                <w:lang w:val="bg-BG"/>
              </w:rPr>
              <w:t xml:space="preserve"> </w:t>
            </w:r>
            <w:r w:rsidR="009F2C71" w:rsidRPr="000F1532">
              <w:rPr>
                <w:rFonts w:ascii="Times New Roman" w:eastAsia="Times New Roman" w:hAnsi="Times New Roman" w:cs="Times New Roman"/>
                <w:sz w:val="24"/>
                <w:szCs w:val="24"/>
                <w:lang w:val="bg-BG"/>
              </w:rPr>
              <w:t xml:space="preserve">не са предвидени </w:t>
            </w:r>
            <w:r w:rsidR="00762757" w:rsidRPr="000F1532">
              <w:rPr>
                <w:rFonts w:ascii="Times New Roman" w:eastAsia="Times New Roman" w:hAnsi="Times New Roman" w:cs="Times New Roman"/>
                <w:sz w:val="24"/>
                <w:szCs w:val="24"/>
                <w:lang w:val="bg-BG"/>
              </w:rPr>
              <w:t xml:space="preserve">санкции, които да гарантират, че при установяване на несъответствия с прилагането на регламента </w:t>
            </w:r>
            <w:r w:rsidR="00DE5D14" w:rsidRPr="000F1532">
              <w:rPr>
                <w:rFonts w:ascii="Times New Roman" w:eastAsia="Times New Roman" w:hAnsi="Times New Roman" w:cs="Times New Roman"/>
                <w:sz w:val="24"/>
                <w:szCs w:val="24"/>
                <w:lang w:val="bg-BG"/>
              </w:rPr>
              <w:t xml:space="preserve">ще </w:t>
            </w:r>
            <w:r w:rsidR="00762757" w:rsidRPr="000F1532">
              <w:rPr>
                <w:rFonts w:ascii="Times New Roman" w:eastAsia="Times New Roman" w:hAnsi="Times New Roman" w:cs="Times New Roman"/>
                <w:sz w:val="24"/>
                <w:szCs w:val="24"/>
                <w:lang w:val="bg-BG"/>
              </w:rPr>
              <w:t>има въведени санкции.</w:t>
            </w:r>
          </w:p>
          <w:p w14:paraId="31F4A275" w14:textId="2A0E6820" w:rsidR="00076E63" w:rsidRPr="000F1532" w:rsidRDefault="00076E63" w:rsidP="00385A2F">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 xml:space="preserve">1.4. Посочете задължителните действия, произтичащи от нормативни актове от по-висока степен или </w:t>
            </w:r>
            <w:r w:rsidR="009D4DA5" w:rsidRPr="000F1532">
              <w:rPr>
                <w:rFonts w:ascii="Times New Roman" w:eastAsia="Times New Roman" w:hAnsi="Times New Roman" w:cs="Times New Roman"/>
                <w:b/>
                <w:i/>
                <w:iCs/>
                <w:sz w:val="24"/>
                <w:szCs w:val="24"/>
                <w:lang w:val="bg-BG"/>
              </w:rPr>
              <w:t>актове</w:t>
            </w:r>
            <w:r w:rsidRPr="000F1532">
              <w:rPr>
                <w:rFonts w:ascii="Times New Roman" w:eastAsia="Times New Roman" w:hAnsi="Times New Roman" w:cs="Times New Roman"/>
                <w:b/>
                <w:i/>
                <w:iCs/>
                <w:sz w:val="24"/>
                <w:szCs w:val="24"/>
                <w:lang w:val="bg-BG"/>
              </w:rPr>
              <w:t xml:space="preserve"> от правото на ЕС.</w:t>
            </w:r>
          </w:p>
          <w:p w14:paraId="6BE49493" w14:textId="4D80ED0A" w:rsidR="00385A2F" w:rsidRPr="000F1532" w:rsidRDefault="008A2A56" w:rsidP="00F67CC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w:t>
            </w:r>
            <w:r w:rsidR="009F2C71" w:rsidRPr="000F1532">
              <w:rPr>
                <w:rFonts w:ascii="Times New Roman" w:eastAsia="Times New Roman" w:hAnsi="Times New Roman" w:cs="Times New Roman"/>
                <w:sz w:val="24"/>
                <w:szCs w:val="24"/>
                <w:lang w:val="bg-BG"/>
              </w:rPr>
              <w:t xml:space="preserve">Осигуряване прилагането на </w:t>
            </w:r>
            <w:r w:rsidRPr="000F1532">
              <w:rPr>
                <w:rFonts w:ascii="Times New Roman" w:eastAsia="Times New Roman" w:hAnsi="Times New Roman" w:cs="Times New Roman"/>
                <w:sz w:val="24"/>
                <w:szCs w:val="24"/>
                <w:lang w:val="bg-BG"/>
              </w:rPr>
              <w:t>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 който</w:t>
            </w:r>
            <w:r w:rsidR="009F2C71" w:rsidRPr="000F1532">
              <w:rPr>
                <w:rFonts w:ascii="Times New Roman" w:eastAsia="Times New Roman" w:hAnsi="Times New Roman" w:cs="Times New Roman"/>
                <w:sz w:val="24"/>
                <w:szCs w:val="24"/>
                <w:lang w:val="bg-BG"/>
              </w:rPr>
              <w:t xml:space="preserve"> ще</w:t>
            </w:r>
            <w:r w:rsidRPr="000F1532">
              <w:rPr>
                <w:rFonts w:ascii="Times New Roman" w:eastAsia="Times New Roman" w:hAnsi="Times New Roman" w:cs="Times New Roman"/>
                <w:sz w:val="24"/>
                <w:szCs w:val="24"/>
                <w:lang w:val="bg-BG"/>
              </w:rPr>
              <w:t xml:space="preserve"> се прилага от 28 януари 2022 г.:</w:t>
            </w:r>
          </w:p>
          <w:p w14:paraId="01A8D3D2" w14:textId="5D677482" w:rsidR="008A2A56" w:rsidRPr="000F1532" w:rsidRDefault="00E9296D" w:rsidP="00385A2F">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 xml:space="preserve">Регламентът </w:t>
            </w:r>
            <w:r w:rsidR="008A2A56" w:rsidRPr="000F1532">
              <w:rPr>
                <w:rFonts w:ascii="Times New Roman" w:eastAsia="Times New Roman" w:hAnsi="Times New Roman" w:cs="Times New Roman"/>
                <w:iCs/>
                <w:sz w:val="24"/>
                <w:szCs w:val="24"/>
                <w:lang w:val="bg-BG"/>
              </w:rPr>
              <w:t>има за цел да осигур</w:t>
            </w:r>
            <w:r w:rsidRPr="000F1532">
              <w:rPr>
                <w:rFonts w:ascii="Times New Roman" w:eastAsia="Times New Roman" w:hAnsi="Times New Roman" w:cs="Times New Roman"/>
                <w:iCs/>
                <w:sz w:val="24"/>
                <w:szCs w:val="24"/>
                <w:lang w:val="bg-BG"/>
              </w:rPr>
              <w:t>и</w:t>
            </w:r>
            <w:r w:rsidR="008A2A56" w:rsidRPr="000F1532">
              <w:rPr>
                <w:rFonts w:ascii="Times New Roman" w:eastAsia="Times New Roman" w:hAnsi="Times New Roman" w:cs="Times New Roman"/>
                <w:iCs/>
                <w:sz w:val="24"/>
                <w:szCs w:val="24"/>
                <w:lang w:val="bg-BG"/>
              </w:rPr>
              <w:t xml:space="preserve"> хармонизиран подход във </w:t>
            </w:r>
            <w:r w:rsidR="00090069" w:rsidRPr="000F1532">
              <w:rPr>
                <w:rFonts w:ascii="Times New Roman" w:eastAsia="Times New Roman" w:hAnsi="Times New Roman" w:cs="Times New Roman"/>
                <w:iCs/>
                <w:sz w:val="24"/>
                <w:szCs w:val="24"/>
                <w:lang w:val="bg-BG"/>
              </w:rPr>
              <w:t xml:space="preserve">всички </w:t>
            </w:r>
            <w:r w:rsidR="008A2A56" w:rsidRPr="000F1532">
              <w:rPr>
                <w:rFonts w:ascii="Times New Roman" w:eastAsia="Times New Roman" w:hAnsi="Times New Roman" w:cs="Times New Roman"/>
                <w:iCs/>
                <w:sz w:val="24"/>
                <w:szCs w:val="24"/>
                <w:lang w:val="bg-BG"/>
              </w:rPr>
              <w:t>държави – членки на Европейския съюз, по отношение на медикаментозните фуражи.</w:t>
            </w:r>
          </w:p>
          <w:p w14:paraId="4DCD4122" w14:textId="1279724A" w:rsidR="00A90080" w:rsidRPr="000F1532" w:rsidRDefault="008A2A56" w:rsidP="008A2A56">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 xml:space="preserve">Приложното поле на Регламент (ЕС) 2019/4 обхваща производството, пускането на пазара и употребата на медикаментозни фуражи за домашни любимци и животни, отглеждани за производството на храни в рамките на Съюза. </w:t>
            </w:r>
            <w:r w:rsidR="00A57955" w:rsidRPr="000F1532">
              <w:rPr>
                <w:rFonts w:ascii="Times New Roman" w:eastAsia="Times New Roman" w:hAnsi="Times New Roman" w:cs="Times New Roman"/>
                <w:iCs/>
                <w:sz w:val="24"/>
                <w:szCs w:val="24"/>
                <w:lang w:val="bg-BG"/>
              </w:rPr>
              <w:t xml:space="preserve">Медикаментозните фуражи обикновено се използват за лечение на болести </w:t>
            </w:r>
            <w:r w:rsidR="00F67CC7" w:rsidRPr="000F1532">
              <w:rPr>
                <w:rFonts w:ascii="Times New Roman" w:eastAsia="Times New Roman" w:hAnsi="Times New Roman" w:cs="Times New Roman"/>
                <w:iCs/>
                <w:sz w:val="24"/>
                <w:szCs w:val="24"/>
                <w:lang w:val="bg-BG"/>
              </w:rPr>
              <w:t xml:space="preserve">при </w:t>
            </w:r>
            <w:r w:rsidR="00A57955" w:rsidRPr="000F1532">
              <w:rPr>
                <w:rFonts w:ascii="Times New Roman" w:eastAsia="Times New Roman" w:hAnsi="Times New Roman" w:cs="Times New Roman"/>
                <w:iCs/>
                <w:sz w:val="24"/>
                <w:szCs w:val="24"/>
                <w:lang w:val="bg-BG"/>
              </w:rPr>
              <w:t>големи групи животни, по-специално при свине и птици. Съществува определена зависимост между производствените стандарти и качеството на лечението с медикаментозни фуражи. Високите стандарти гарантират добро хомогенно разпределение на лекарствения продукт във фуража и добра съвместимост, а в резултат на това — добре дозирано и ефикасно лечение на животното с минимален неизбежен пренос на лекарствения продукт в нецелеви фуражи. Регламентът</w:t>
            </w:r>
            <w:r w:rsidRPr="000F1532">
              <w:rPr>
                <w:rFonts w:ascii="Times New Roman" w:eastAsia="Times New Roman" w:hAnsi="Times New Roman" w:cs="Times New Roman"/>
                <w:iCs/>
                <w:sz w:val="24"/>
                <w:szCs w:val="24"/>
                <w:lang w:val="bg-BG"/>
              </w:rPr>
              <w:t xml:space="preserve"> не се прилага за ветеринарни лекарствени продукти, които се използват</w:t>
            </w:r>
            <w:r w:rsidR="0095053D" w:rsidRPr="000F1532">
              <w:rPr>
                <w:rFonts w:ascii="Times New Roman" w:eastAsia="Times New Roman" w:hAnsi="Times New Roman" w:cs="Times New Roman"/>
                <w:iCs/>
                <w:sz w:val="24"/>
                <w:szCs w:val="24"/>
                <w:lang w:val="bg-BG"/>
              </w:rPr>
              <w:t>,</w:t>
            </w:r>
            <w:r w:rsidRPr="000F1532">
              <w:rPr>
                <w:rFonts w:ascii="Times New Roman" w:eastAsia="Times New Roman" w:hAnsi="Times New Roman" w:cs="Times New Roman"/>
                <w:iCs/>
                <w:sz w:val="24"/>
                <w:szCs w:val="24"/>
                <w:lang w:val="bg-BG"/>
              </w:rPr>
              <w:t xml:space="preserve"> като лекарствена съставка в медикаментозните фуражи (наричани по-рано „медикаментозни премикси“) и са предмет на законодателството в областта на ветеринарните лекарствени продукти. С регламента се определят правила за производството, състава, пускането на пазара и употребата на медикаментозни фуражи</w:t>
            </w:r>
            <w:r w:rsidR="00A90080" w:rsidRPr="000F1532">
              <w:rPr>
                <w:rFonts w:ascii="Times New Roman" w:eastAsia="Times New Roman" w:hAnsi="Times New Roman" w:cs="Times New Roman"/>
                <w:iCs/>
                <w:sz w:val="24"/>
                <w:szCs w:val="24"/>
                <w:lang w:val="bg-BG"/>
              </w:rPr>
              <w:t xml:space="preserve"> свързани с:</w:t>
            </w:r>
          </w:p>
          <w:p w14:paraId="3B08A12F" w14:textId="0811E715" w:rsidR="00A90080" w:rsidRPr="000F1532" w:rsidRDefault="00A90080" w:rsidP="00A90080">
            <w:pPr>
              <w:pStyle w:val="ListParagraph"/>
              <w:numPr>
                <w:ilvl w:val="0"/>
                <w:numId w:val="13"/>
              </w:num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одобрението и регистрацията на обектите, в които се произвеждат и търгуват медикаментозни фуражи;</w:t>
            </w:r>
          </w:p>
          <w:p w14:paraId="086F6986" w14:textId="04D5DD9B" w:rsidR="00A90080" w:rsidRPr="000F1532" w:rsidRDefault="00A90080" w:rsidP="00A90080">
            <w:pPr>
              <w:pStyle w:val="ListParagraph"/>
              <w:numPr>
                <w:ilvl w:val="0"/>
                <w:numId w:val="13"/>
              </w:num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изискванията за издаване на ветеринарна рецепта издадена само от ветеринарен лека</w:t>
            </w:r>
            <w:r w:rsidR="003304A8" w:rsidRPr="000F1532">
              <w:rPr>
                <w:rFonts w:ascii="Times New Roman" w:eastAsia="Times New Roman" w:hAnsi="Times New Roman" w:cs="Times New Roman"/>
                <w:iCs/>
                <w:sz w:val="24"/>
                <w:szCs w:val="24"/>
                <w:lang w:val="bg-BG"/>
              </w:rPr>
              <w:t>р след извършен преглед на здравословното състояние на животните</w:t>
            </w:r>
            <w:r w:rsidRPr="000F1532">
              <w:rPr>
                <w:rFonts w:ascii="Times New Roman" w:eastAsia="Times New Roman" w:hAnsi="Times New Roman" w:cs="Times New Roman"/>
                <w:iCs/>
                <w:sz w:val="24"/>
                <w:szCs w:val="24"/>
                <w:lang w:val="bg-BG"/>
              </w:rPr>
              <w:t>;</w:t>
            </w:r>
          </w:p>
          <w:p w14:paraId="6D21A781" w14:textId="37B7BA95" w:rsidR="00A90080" w:rsidRPr="000F1532" w:rsidRDefault="00A90080" w:rsidP="00A90080">
            <w:pPr>
              <w:pStyle w:val="ListParagraph"/>
              <w:numPr>
                <w:ilvl w:val="0"/>
                <w:numId w:val="13"/>
              </w:num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забрана за реклама на медикаментозни фуражи;</w:t>
            </w:r>
          </w:p>
          <w:p w14:paraId="1E7DC644" w14:textId="184143B4" w:rsidR="00A90080" w:rsidRPr="000F1532" w:rsidRDefault="00A90080" w:rsidP="00A90080">
            <w:pPr>
              <w:pStyle w:val="ListParagraph"/>
              <w:numPr>
                <w:ilvl w:val="0"/>
                <w:numId w:val="13"/>
              </w:num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забрана за превантивна употреба на медикаментозни фуражи;</w:t>
            </w:r>
          </w:p>
          <w:p w14:paraId="34FF4090" w14:textId="4BF13323" w:rsidR="00A90080" w:rsidRPr="000F1532" w:rsidRDefault="00A90080" w:rsidP="00A90080">
            <w:pPr>
              <w:pStyle w:val="ListParagraph"/>
              <w:numPr>
                <w:ilvl w:val="0"/>
                <w:numId w:val="13"/>
              </w:num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 xml:space="preserve">събирането и обезвреждането на медикаментозни фуражи и/или на междинни продукти за производството им, които не са използвани. </w:t>
            </w:r>
          </w:p>
          <w:p w14:paraId="175CED0A" w14:textId="3C51041B" w:rsidR="008A2A56" w:rsidRPr="000F1532" w:rsidRDefault="008A2A56" w:rsidP="00AC15E6">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Прилагат се общите изисквания за производство, определени в Регламент (ЕО) № 183/2005</w:t>
            </w:r>
            <w:r w:rsidR="009F2C71" w:rsidRPr="000F1532">
              <w:rPr>
                <w:lang w:val="bg-BG"/>
              </w:rPr>
              <w:t xml:space="preserve"> н</w:t>
            </w:r>
            <w:r w:rsidR="009F2C71" w:rsidRPr="000F1532">
              <w:rPr>
                <w:rFonts w:ascii="Times New Roman" w:eastAsia="Times New Roman" w:hAnsi="Times New Roman" w:cs="Times New Roman"/>
                <w:iCs/>
                <w:sz w:val="24"/>
                <w:szCs w:val="24"/>
                <w:lang w:val="bg-BG"/>
              </w:rPr>
              <w:t>а Европейския парламент и на Съвета от 12 януари 2005 година за определяне на изискванията за хигиена на фуражите</w:t>
            </w:r>
            <w:r w:rsidRPr="000F1532">
              <w:rPr>
                <w:rFonts w:ascii="Times New Roman" w:eastAsia="Times New Roman" w:hAnsi="Times New Roman" w:cs="Times New Roman"/>
                <w:iCs/>
                <w:sz w:val="24"/>
                <w:szCs w:val="24"/>
                <w:lang w:val="bg-BG"/>
              </w:rPr>
              <w:t>. Освен това медикаментозни фуражи могат да се произвеждат само от ветеринарни лекарствени продукти, разрешени от законодателството в областта на ветеринарните лекарствени продукти. Също така с регламента се определят правила за одобряване на оператори във фуражния сектор и правила, които е необходимо те да спазват, за да произвеждат медикаментозни фуражи. С регламента се определят правила за хомогенно включване на ветеринарни лекарствени продукти в медикаментозните фуражи и изисквания, целящи да се избегне неизбежен пренос на ветеринарни лекарствени продукти в нецелеви фуражи. По отношение на етикетирането се прилагат общите разпоредби, определени в Регламент (ЕО) № 767/2009</w:t>
            </w:r>
            <w:r w:rsidR="009F2C71" w:rsidRPr="000F1532">
              <w:rPr>
                <w:lang w:val="bg-BG"/>
              </w:rPr>
              <w:t xml:space="preserve"> </w:t>
            </w:r>
            <w:r w:rsidR="009F2C71" w:rsidRPr="000F1532">
              <w:rPr>
                <w:rFonts w:ascii="Times New Roman" w:eastAsia="Times New Roman" w:hAnsi="Times New Roman" w:cs="Times New Roman"/>
                <w:iCs/>
                <w:sz w:val="24"/>
                <w:szCs w:val="24"/>
                <w:lang w:val="bg-BG"/>
              </w:rPr>
              <w:t>на Европейския парламент и на Съвета от 13 юли 2009 година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r w:rsidR="00FB3BF1" w:rsidRPr="000F1532">
              <w:rPr>
                <w:rFonts w:ascii="Times New Roman" w:eastAsia="Times New Roman" w:hAnsi="Times New Roman" w:cs="Times New Roman"/>
                <w:iCs/>
                <w:sz w:val="24"/>
                <w:szCs w:val="24"/>
                <w:lang w:val="bg-BG"/>
              </w:rPr>
              <w:t xml:space="preserve"> допълнени от специфичните предвидени в Регламент (ЕС) 2019/4</w:t>
            </w:r>
            <w:r w:rsidRPr="000F1532">
              <w:rPr>
                <w:rFonts w:ascii="Times New Roman" w:eastAsia="Times New Roman" w:hAnsi="Times New Roman" w:cs="Times New Roman"/>
                <w:iCs/>
                <w:sz w:val="24"/>
                <w:szCs w:val="24"/>
                <w:lang w:val="bg-BG"/>
              </w:rPr>
              <w:t>. Предвидени са специфични правила за предписване, за валидност на рецептата</w:t>
            </w:r>
            <w:r w:rsidR="003304A8" w:rsidRPr="000F1532">
              <w:rPr>
                <w:rFonts w:ascii="Times New Roman" w:eastAsia="Times New Roman" w:hAnsi="Times New Roman" w:cs="Times New Roman"/>
                <w:iCs/>
                <w:sz w:val="24"/>
                <w:szCs w:val="24"/>
                <w:lang w:val="bg-BG"/>
              </w:rPr>
              <w:t xml:space="preserve"> в рамките само на един курс на лечение и се съхранява за срок от 5 години</w:t>
            </w:r>
            <w:r w:rsidRPr="000F1532">
              <w:rPr>
                <w:rFonts w:ascii="Times New Roman" w:eastAsia="Times New Roman" w:hAnsi="Times New Roman" w:cs="Times New Roman"/>
                <w:iCs/>
                <w:sz w:val="24"/>
                <w:szCs w:val="24"/>
                <w:lang w:val="bg-BG"/>
              </w:rPr>
              <w:t>, за употребата на медикаментозни фуражи със съдържание на антимикробни продукти за животни, отглеждани за производството на храни, и за количеств</w:t>
            </w:r>
            <w:r w:rsidR="003304A8" w:rsidRPr="000F1532">
              <w:rPr>
                <w:rFonts w:ascii="Times New Roman" w:eastAsia="Times New Roman" w:hAnsi="Times New Roman" w:cs="Times New Roman"/>
                <w:iCs/>
                <w:sz w:val="24"/>
                <w:szCs w:val="24"/>
                <w:lang w:val="bg-BG"/>
              </w:rPr>
              <w:t>ото медикаментозен фураж</w:t>
            </w:r>
            <w:r w:rsidRPr="000F1532">
              <w:rPr>
                <w:rFonts w:ascii="Times New Roman" w:eastAsia="Times New Roman" w:hAnsi="Times New Roman" w:cs="Times New Roman"/>
                <w:iCs/>
                <w:sz w:val="24"/>
                <w:szCs w:val="24"/>
                <w:lang w:val="bg-BG"/>
              </w:rPr>
              <w:t>, необходим за лечение</w:t>
            </w:r>
            <w:r w:rsidR="003304A8" w:rsidRPr="000F1532">
              <w:rPr>
                <w:rFonts w:ascii="Times New Roman" w:eastAsia="Times New Roman" w:hAnsi="Times New Roman" w:cs="Times New Roman"/>
                <w:iCs/>
                <w:sz w:val="24"/>
                <w:szCs w:val="24"/>
                <w:lang w:val="bg-BG"/>
              </w:rPr>
              <w:t>то</w:t>
            </w:r>
            <w:r w:rsidRPr="000F1532">
              <w:rPr>
                <w:rFonts w:ascii="Times New Roman" w:eastAsia="Times New Roman" w:hAnsi="Times New Roman" w:cs="Times New Roman"/>
                <w:iCs/>
                <w:sz w:val="24"/>
                <w:szCs w:val="24"/>
                <w:lang w:val="bg-BG"/>
              </w:rPr>
              <w:t xml:space="preserve"> на животни</w:t>
            </w:r>
            <w:r w:rsidR="003304A8" w:rsidRPr="000F1532">
              <w:rPr>
                <w:rFonts w:ascii="Times New Roman" w:eastAsia="Times New Roman" w:hAnsi="Times New Roman" w:cs="Times New Roman"/>
                <w:iCs/>
                <w:sz w:val="24"/>
                <w:szCs w:val="24"/>
                <w:lang w:val="bg-BG"/>
              </w:rPr>
              <w:t>те</w:t>
            </w:r>
            <w:r w:rsidRPr="000F1532">
              <w:rPr>
                <w:rFonts w:ascii="Times New Roman" w:eastAsia="Times New Roman" w:hAnsi="Times New Roman" w:cs="Times New Roman"/>
                <w:iCs/>
                <w:sz w:val="24"/>
                <w:szCs w:val="24"/>
                <w:lang w:val="bg-BG"/>
              </w:rPr>
              <w:t xml:space="preserve"> Производителите, доставчиците и използващите медикаментозни фуражи трябва да водят дневни регистри за ефективно проследяване на тези фуражи</w:t>
            </w:r>
            <w:r w:rsidR="00AB5FC9" w:rsidRPr="000F1532">
              <w:rPr>
                <w:rFonts w:ascii="Times New Roman" w:eastAsia="Times New Roman" w:hAnsi="Times New Roman" w:cs="Times New Roman"/>
                <w:iCs/>
                <w:sz w:val="24"/>
                <w:szCs w:val="24"/>
                <w:lang w:val="bg-BG"/>
              </w:rPr>
              <w:t xml:space="preserve"> с цел проследяване на използваните ветеринарни лекарствени продукти</w:t>
            </w:r>
            <w:r w:rsidRPr="000F1532">
              <w:rPr>
                <w:rFonts w:ascii="Times New Roman" w:eastAsia="Times New Roman" w:hAnsi="Times New Roman" w:cs="Times New Roman"/>
                <w:iCs/>
                <w:sz w:val="24"/>
                <w:szCs w:val="24"/>
                <w:lang w:val="bg-BG"/>
              </w:rPr>
              <w:t xml:space="preserve">. </w:t>
            </w:r>
          </w:p>
          <w:p w14:paraId="35C24C22" w14:textId="2A08F12E" w:rsidR="008A2A56" w:rsidRPr="000F1532" w:rsidRDefault="008A2A56" w:rsidP="00385A2F">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 xml:space="preserve">По отношение на ветеринарни лекарствени продукти, за които има разрешение на национално равнище, в регламента се определят правила за вътрешната търговия в Съюза с медикаментозни фуражи, за да се избегне нарушаване на конкуренцията. </w:t>
            </w:r>
          </w:p>
          <w:p w14:paraId="56632B43" w14:textId="77777777" w:rsidR="00076E63" w:rsidRPr="000F1532" w:rsidRDefault="00076E63" w:rsidP="00385A2F">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777691C7" w14:textId="16334BD4" w:rsidR="00385A2F" w:rsidRPr="000F1532" w:rsidRDefault="00193B68" w:rsidP="00385A2F">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b/>
                <w:i/>
                <w:iCs/>
                <w:noProof/>
                <w:sz w:val="24"/>
                <w:szCs w:val="24"/>
                <w:lang w:val="bg-BG" w:eastAsia="bg-BG"/>
              </w:rPr>
              <mc:AlternateContent>
                <mc:Choice Requires="wps">
                  <w:drawing>
                    <wp:anchor distT="0" distB="0" distL="114300" distR="114300" simplePos="0" relativeHeight="251659264" behindDoc="0" locked="0" layoutInCell="1" allowOverlap="1" wp14:anchorId="5FC803B4" wp14:editId="7FD6703D">
                      <wp:simplePos x="0" y="0"/>
                      <wp:positionH relativeFrom="column">
                        <wp:posOffset>81915</wp:posOffset>
                      </wp:positionH>
                      <wp:positionV relativeFrom="paragraph">
                        <wp:posOffset>394335</wp:posOffset>
                      </wp:positionV>
                      <wp:extent cx="57912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57912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383C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5pt,31.05pt" to="462.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R42gEAABEEAAAOAAAAZHJzL2Uyb0RvYy54bWysU02P0zAQvSPxHyzfaZKK5SNquoeulguC&#10;il24e51xY8lfGpsm/feMnTZdAUICcbE89rzneW/Gm9vJGnYEjNq7jjermjNw0vfaHTr+9fH+1TvO&#10;YhKuF8Y76PgJIr/dvnyxGUMLaz940wMyInGxHUPHh5RCW1VRDmBFXPkAji6VRysShXioehQjsVtT&#10;rev6TTV67AN6CTHS6d18ybeFXymQ6bNSERIzHafaUlmxrE95rbYb0R5QhEHLcxniH6qwQjt6dKG6&#10;E0mw76h/obJaoo9epZX0tvJKaQlFA6lp6p/UPAwiQNFC5sSw2BT/H638dNwj0z31jjMnLLXoIaHQ&#10;hyGxnXeODPTImuzTGGJL6Tu3x3MUwx6z6EmhZcro8C3T5BMSxqbi8mlxGabEJB3evH3fUOs4k3TX&#10;3Kxfly5UM00GB4zpA3jL8qbjRrtsgmjF8WNM9DSlXlLysXF5jd7o/l4bU4I8PrAzyI6CGp+mIoBw&#10;z7Ioysgqy5qFlF06GZhZv4AiY6jgWVIZySunkBJcuvAaR9kZpqiCBViXsv8IPOdnKJRx/Rvwgigv&#10;e5cWsNXO4+9ev1qh5vyLA7PubMGT70+lxcUamrvi+PmP5MF+Hhf49SdvfwAAAP//AwBQSwMEFAAG&#10;AAgAAAAhAK8CMv7dAAAACAEAAA8AAABkcnMvZG93bnJldi54bWxMjz1PwzAQhnck/oN1SGzUSVQq&#10;GuJUCIkBqSqlZYDNtY8kEJ+D7bTh33NMML4feu+5ajW5XhwxxM6TgnyWgUAy3nbUKHjZP1zdgIhJ&#10;k9W9J1TwjRFW9flZpUvrT/SMx11qBI9QLLWCNqWhlDKaFp2OMz8gcfbug9OJZWikDfrE466XRZYt&#10;pNMd8YVWD3jfovncjU7Ba/74tTXDx3b/ZNZvYZ02G0yjUpcX090tiIRT+ivDLz6jQ81MBz+SjaJn&#10;XSy5qWBR5CA4XxZzNg5szK9B1pX8/0D9AwAA//8DAFBLAQItABQABgAIAAAAIQC2gziS/gAAAOEB&#10;AAATAAAAAAAAAAAAAAAAAAAAAABbQ29udGVudF9UeXBlc10ueG1sUEsBAi0AFAAGAAgAAAAhADj9&#10;If/WAAAAlAEAAAsAAAAAAAAAAAAAAAAALwEAAF9yZWxzLy5yZWxzUEsBAi0AFAAGAAgAAAAhALhs&#10;FHjaAQAAEQQAAA4AAAAAAAAAAAAAAAAALgIAAGRycy9lMm9Eb2MueG1sUEsBAi0AFAAGAAgAAAAh&#10;AK8CMv7dAAAACAEAAA8AAAAAAAAAAAAAAAAANAQAAGRycy9kb3ducmV2LnhtbFBLBQYAAAAABAAE&#10;APMAAAA+BQAAAAA=&#10;" strokecolor="black [3213]" strokeweight=".5pt">
                      <v:stroke joinstyle="miter"/>
                    </v:line>
                  </w:pict>
                </mc:Fallback>
              </mc:AlternateContent>
            </w:r>
            <w:r w:rsidR="002B03E4" w:rsidRPr="000F1532">
              <w:rPr>
                <w:rFonts w:ascii="Times New Roman" w:eastAsia="Times New Roman" w:hAnsi="Times New Roman" w:cs="Times New Roman"/>
                <w:sz w:val="24"/>
                <w:szCs w:val="24"/>
                <w:lang w:val="bg-BG"/>
              </w:rPr>
              <w:t>Последващи оценки на нормативния акт и анализ на изпълнението</w:t>
            </w:r>
            <w:r w:rsidR="009F2C71" w:rsidRPr="000F1532">
              <w:rPr>
                <w:rFonts w:ascii="Times New Roman" w:eastAsia="Times New Roman" w:hAnsi="Times New Roman" w:cs="Times New Roman"/>
                <w:sz w:val="24"/>
                <w:szCs w:val="24"/>
                <w:lang w:val="bg-BG"/>
              </w:rPr>
              <w:t xml:space="preserve"> на политиката не са извършвани.</w:t>
            </w:r>
          </w:p>
          <w:p w14:paraId="44264732" w14:textId="0C785305" w:rsidR="00E9296D" w:rsidRPr="000F1532" w:rsidRDefault="00345D54" w:rsidP="00DA45B1">
            <w:pPr>
              <w:spacing w:before="120"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sz w:val="24"/>
                <w:szCs w:val="24"/>
                <w:lang w:val="bg-BG"/>
              </w:rPr>
              <w:t>Проблем 2:</w:t>
            </w:r>
          </w:p>
          <w:p w14:paraId="138FAAAC" w14:textId="2BB11959" w:rsidR="00DA45B1" w:rsidRPr="000F1532" w:rsidRDefault="00DA45B1" w:rsidP="00DA45B1">
            <w:pPr>
              <w:spacing w:before="120"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09934A6D" w14:textId="725E4E4E" w:rsidR="00DA45B1" w:rsidRPr="000F1532" w:rsidRDefault="00DA45B1" w:rsidP="00DA45B1">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Въвеждане на мерки, гарантиращи прилагането на пряко приложимото</w:t>
            </w:r>
            <w:r w:rsidR="00CD717E" w:rsidRPr="000F1532">
              <w:rPr>
                <w:rFonts w:ascii="Times New Roman" w:eastAsia="Times New Roman" w:hAnsi="Times New Roman" w:cs="Times New Roman"/>
                <w:sz w:val="24"/>
                <w:szCs w:val="24"/>
                <w:lang w:val="bg-BG"/>
              </w:rPr>
              <w:t xml:space="preserve"> право на ЕС</w:t>
            </w:r>
            <w:r w:rsidRPr="000F1532">
              <w:rPr>
                <w:rFonts w:ascii="Times New Roman" w:eastAsia="Times New Roman" w:hAnsi="Times New Roman" w:cs="Times New Roman"/>
                <w:sz w:val="24"/>
                <w:szCs w:val="24"/>
                <w:lang w:val="bg-BG"/>
              </w:rPr>
              <w:t>, а именно:</w:t>
            </w:r>
          </w:p>
          <w:p w14:paraId="7424E343" w14:textId="7E14A19D" w:rsidR="00DA45B1" w:rsidRPr="000F1532" w:rsidRDefault="00DA45B1" w:rsidP="00DA45B1">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w:t>
            </w:r>
            <w:r w:rsidR="00CD717E" w:rsidRPr="000F1532">
              <w:rPr>
                <w:rFonts w:ascii="Times New Roman" w:eastAsia="Times New Roman" w:hAnsi="Times New Roman" w:cs="Times New Roman"/>
                <w:sz w:val="24"/>
                <w:szCs w:val="24"/>
                <w:lang w:val="bg-BG"/>
              </w:rPr>
              <w:t>Осигуряване прилагането на публикувания</w:t>
            </w:r>
            <w:r w:rsidRPr="000F1532">
              <w:rPr>
                <w:rFonts w:ascii="Times New Roman" w:eastAsia="Times New Roman" w:hAnsi="Times New Roman" w:cs="Times New Roman"/>
                <w:sz w:val="24"/>
                <w:szCs w:val="24"/>
                <w:lang w:val="bg-BG"/>
              </w:rPr>
              <w:t xml:space="preserve"> в Официалния вестник на ЕС, бр. 67, серия L от 05.03.2020 г. Регламент (ЕС) 2020/354 на Комисията от 4 март 2020 г. за съставяне на списък на предназначенията на фуражите, предназначени за специфични хранителни цели, и за отмяна на Директива 2008/38/ЕО</w:t>
            </w:r>
            <w:r w:rsidR="00FB3BF1" w:rsidRPr="000F1532">
              <w:rPr>
                <w:rFonts w:ascii="Times New Roman" w:eastAsia="Times New Roman" w:hAnsi="Times New Roman" w:cs="Times New Roman"/>
                <w:sz w:val="24"/>
                <w:szCs w:val="24"/>
                <w:lang w:val="bg-BG"/>
              </w:rPr>
              <w:t>, който</w:t>
            </w:r>
            <w:r w:rsidRPr="000F1532">
              <w:rPr>
                <w:rFonts w:ascii="Times New Roman" w:eastAsia="Times New Roman" w:hAnsi="Times New Roman" w:cs="Times New Roman"/>
                <w:sz w:val="24"/>
                <w:szCs w:val="24"/>
                <w:lang w:val="bg-BG"/>
              </w:rPr>
              <w:t xml:space="preserve"> се прилага от 25 декември 2020 г. Регламентът се приема на основание чл. 10, параграф 5 от Регламент (ЕО) № 767/2009.</w:t>
            </w:r>
          </w:p>
          <w:p w14:paraId="462F6F56" w14:textId="672F6A82" w:rsidR="00DA45B1" w:rsidRPr="000F1532" w:rsidRDefault="00DA45B1" w:rsidP="00DA45B1">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sz w:val="24"/>
                <w:szCs w:val="24"/>
                <w:lang w:val="bg-BG"/>
              </w:rPr>
              <w:t xml:space="preserve">С регламента се отменя </w:t>
            </w:r>
            <w:r w:rsidR="00CD717E" w:rsidRPr="000F1532">
              <w:rPr>
                <w:rFonts w:ascii="Times New Roman" w:eastAsia="Times New Roman" w:hAnsi="Times New Roman" w:cs="Times New Roman"/>
                <w:sz w:val="24"/>
                <w:szCs w:val="24"/>
                <w:lang w:val="bg-BG"/>
              </w:rPr>
              <w:t>Директива 2008/38/ЕО на Комисията от 5 март 2008 година за съставяне на списък на предназначенията на фуражите със специфични хранителни цели (</w:t>
            </w:r>
            <w:r w:rsidRPr="000F1532">
              <w:rPr>
                <w:rFonts w:ascii="Times New Roman" w:eastAsia="Times New Roman" w:hAnsi="Times New Roman" w:cs="Times New Roman"/>
                <w:sz w:val="24"/>
                <w:szCs w:val="24"/>
                <w:lang w:val="bg-BG"/>
              </w:rPr>
              <w:t>Директива 2008/38/ЕО</w:t>
            </w:r>
            <w:r w:rsidR="00CD717E" w:rsidRPr="000F1532">
              <w:rPr>
                <w:rFonts w:ascii="Times New Roman" w:eastAsia="Times New Roman" w:hAnsi="Times New Roman" w:cs="Times New Roman"/>
                <w:sz w:val="24"/>
                <w:szCs w:val="24"/>
                <w:lang w:val="bg-BG"/>
              </w:rPr>
              <w:t>)</w:t>
            </w:r>
            <w:r w:rsidRPr="000F1532">
              <w:rPr>
                <w:rFonts w:ascii="Times New Roman" w:eastAsia="Times New Roman" w:hAnsi="Times New Roman" w:cs="Times New Roman"/>
                <w:sz w:val="24"/>
                <w:szCs w:val="24"/>
                <w:lang w:val="bg-BG"/>
              </w:rPr>
              <w:t xml:space="preserve">, която е въведена в националното законодателство с Наредба № 10 от 2003 г. за фуражите със специално предназначение (ДВ бр. 20/2003 г.) и това води до необходимостта от изменение на чл. 11, ал. 3 от Закона за фуражите, на което правно основание е издадена наредбата. </w:t>
            </w:r>
          </w:p>
          <w:p w14:paraId="24CF0299" w14:textId="77777777" w:rsidR="00DA45B1" w:rsidRPr="000F1532" w:rsidRDefault="00DA45B1" w:rsidP="00DA45B1">
            <w:pPr>
              <w:spacing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 xml:space="preserve">С Директива 2008/38/ЕО беше съставен списък на предназначенията на фуражите за специфични хранителни цели. В част А на приложение I към Директива 2008/38/ЕО бяха уредени приложимите общи разпоредби за фуражите, предназначени за специфични хранителни цели. За фуражите, предназначени за специфични хранителни цели, изброени в част Б от приложение I към Директива 2008/38/ЕО са внесени изменения в разпоредбите относно основните хранителни характеристики и декларираните данни при етикетирането, за да се адаптират към новостите в научното и технологичното развитие и за да станат тези разпоредби по-лесно приложими и по-ясни. </w:t>
            </w:r>
          </w:p>
          <w:p w14:paraId="12AB3FBB" w14:textId="3419324D" w:rsidR="00345D54" w:rsidRPr="000F1532" w:rsidRDefault="00DA45B1" w:rsidP="00DA45B1">
            <w:pPr>
              <w:spacing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 xml:space="preserve">Въз основа на гореизложеното списъкът на предназначенията на фуражите, предназначени за специфични хранителни цели беше актуализиран. От съображения за постигане на по-голяма яснота и един по-рационален подход, Директива 2008/38/ЕО е отменена и заменена с регламент, който не съдържа елементи, които да трябва да бъдат транспонирани от държавите членки в националното им законодателство. </w:t>
            </w:r>
          </w:p>
          <w:p w14:paraId="7A703A0A" w14:textId="77777777" w:rsidR="00DA45B1" w:rsidRPr="000F1532" w:rsidRDefault="00DA45B1" w:rsidP="00DA45B1">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2D235A49" w14:textId="22008D7E" w:rsidR="00345D54" w:rsidRPr="000F1532" w:rsidRDefault="00DA45B1" w:rsidP="00DA45B1">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е възможно проблемът да се реши в рамките на съществуващото законодателство и/или чрез въвеждане само на новите технологични възможности, тъй като обществените отношения, които изискват предложената промяна, са регламентирани в Закона за фуражите</w:t>
            </w:r>
            <w:r w:rsidR="00CD717E" w:rsidRPr="000F1532">
              <w:rPr>
                <w:rFonts w:ascii="Times New Roman" w:eastAsia="Times New Roman" w:hAnsi="Times New Roman" w:cs="Times New Roman"/>
                <w:sz w:val="24"/>
                <w:szCs w:val="24"/>
                <w:lang w:val="bg-BG"/>
              </w:rPr>
              <w:t>. Про</w:t>
            </w:r>
            <w:r w:rsidR="00662986" w:rsidRPr="000F1532">
              <w:rPr>
                <w:rFonts w:ascii="Times New Roman" w:eastAsia="Times New Roman" w:hAnsi="Times New Roman" w:cs="Times New Roman"/>
                <w:sz w:val="24"/>
                <w:szCs w:val="24"/>
                <w:lang w:val="bg-BG"/>
              </w:rPr>
              <w:t>мени</w:t>
            </w:r>
            <w:r w:rsidR="00CD717E" w:rsidRPr="000F1532">
              <w:rPr>
                <w:rFonts w:ascii="Times New Roman" w:eastAsia="Times New Roman" w:hAnsi="Times New Roman" w:cs="Times New Roman"/>
                <w:sz w:val="24"/>
                <w:szCs w:val="24"/>
                <w:lang w:val="bg-BG"/>
              </w:rPr>
              <w:t>те</w:t>
            </w:r>
            <w:r w:rsidR="00662986" w:rsidRPr="000F1532">
              <w:rPr>
                <w:rFonts w:ascii="Times New Roman" w:eastAsia="Times New Roman" w:hAnsi="Times New Roman" w:cs="Times New Roman"/>
                <w:sz w:val="24"/>
                <w:szCs w:val="24"/>
                <w:lang w:val="bg-BG"/>
              </w:rPr>
              <w:t xml:space="preserve"> в Закона за фуражите</w:t>
            </w:r>
            <w:r w:rsidRPr="000F1532">
              <w:rPr>
                <w:rFonts w:ascii="Times New Roman" w:eastAsia="Times New Roman" w:hAnsi="Times New Roman" w:cs="Times New Roman"/>
                <w:sz w:val="24"/>
                <w:szCs w:val="24"/>
                <w:lang w:val="bg-BG"/>
              </w:rPr>
              <w:t xml:space="preserve"> са в съответствие с разпоредбите на Регламент (ЕС) 2020/354. Съгласно чл. 10, ал. 2 от Закона за нормативните актове обществени отношения, които спадат към област, за която има издаден нормативен акт, се уреждат с неговото допълнение или изменение.</w:t>
            </w:r>
          </w:p>
          <w:p w14:paraId="655D63F8" w14:textId="77777777" w:rsidR="00DA45B1" w:rsidRPr="000F1532" w:rsidRDefault="00DA45B1" w:rsidP="00DA45B1">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1.3. Посочете защо действащата нормативна рамка не позволява решаване на проблема/проблемите.</w:t>
            </w:r>
          </w:p>
          <w:p w14:paraId="4FE0E15B" w14:textId="13A9F355" w:rsidR="00DA45B1" w:rsidRPr="000F1532" w:rsidRDefault="00DA45B1" w:rsidP="00F67CC7">
            <w:pPr>
              <w:spacing w:before="120" w:after="120" w:line="240" w:lineRule="auto"/>
              <w:jc w:val="both"/>
              <w:rPr>
                <w:rFonts w:ascii="Times New Roman" w:eastAsia="Times New Roman" w:hAnsi="Times New Roman" w:cs="Times New Roman"/>
                <w:i/>
                <w:sz w:val="24"/>
                <w:szCs w:val="24"/>
                <w:lang w:val="bg-BG"/>
              </w:rPr>
            </w:pPr>
            <w:r w:rsidRPr="000F1532">
              <w:rPr>
                <w:rFonts w:ascii="Times New Roman" w:eastAsia="Times New Roman" w:hAnsi="Times New Roman" w:cs="Times New Roman"/>
                <w:sz w:val="24"/>
                <w:szCs w:val="24"/>
                <w:lang w:val="bg-BG"/>
              </w:rPr>
              <w:t xml:space="preserve">Действащата нормативна рамка не позволява решаването на проблема, защото </w:t>
            </w:r>
            <w:r w:rsidR="000529B6" w:rsidRPr="000F1532">
              <w:rPr>
                <w:rFonts w:ascii="Times New Roman" w:eastAsia="Times New Roman" w:hAnsi="Times New Roman" w:cs="Times New Roman"/>
                <w:sz w:val="24"/>
                <w:szCs w:val="24"/>
                <w:lang w:val="bg-BG"/>
              </w:rPr>
              <w:t>в чл. 1, ал. 1, т. 8 от Закона за фуражите не е включен Регламент (ЕС) 2020/354</w:t>
            </w:r>
            <w:r w:rsidR="00CD717E" w:rsidRPr="000F1532">
              <w:rPr>
                <w:rFonts w:ascii="Times New Roman" w:eastAsia="Times New Roman" w:hAnsi="Times New Roman" w:cs="Times New Roman"/>
                <w:sz w:val="24"/>
                <w:szCs w:val="24"/>
                <w:lang w:val="bg-BG"/>
              </w:rPr>
              <w:t xml:space="preserve"> и така</w:t>
            </w:r>
            <w:r w:rsidRPr="000F1532">
              <w:rPr>
                <w:rFonts w:ascii="Times New Roman" w:eastAsia="Times New Roman" w:hAnsi="Times New Roman" w:cs="Times New Roman"/>
                <w:sz w:val="24"/>
                <w:szCs w:val="24"/>
                <w:lang w:val="bg-BG"/>
              </w:rPr>
              <w:t xml:space="preserve"> да</w:t>
            </w:r>
            <w:r w:rsidR="00CD717E" w:rsidRPr="000F1532">
              <w:rPr>
                <w:rFonts w:ascii="Times New Roman" w:eastAsia="Times New Roman" w:hAnsi="Times New Roman" w:cs="Times New Roman"/>
                <w:sz w:val="24"/>
                <w:szCs w:val="24"/>
                <w:lang w:val="bg-BG"/>
              </w:rPr>
              <w:t xml:space="preserve"> се</w:t>
            </w:r>
            <w:r w:rsidRPr="000F1532">
              <w:rPr>
                <w:rFonts w:ascii="Times New Roman" w:eastAsia="Times New Roman" w:hAnsi="Times New Roman" w:cs="Times New Roman"/>
                <w:sz w:val="24"/>
                <w:szCs w:val="24"/>
                <w:lang w:val="bg-BG"/>
              </w:rPr>
              <w:t xml:space="preserve"> гарантира прилагането </w:t>
            </w:r>
            <w:r w:rsidR="000529B6" w:rsidRPr="000F1532">
              <w:rPr>
                <w:rFonts w:ascii="Times New Roman" w:eastAsia="Times New Roman" w:hAnsi="Times New Roman" w:cs="Times New Roman"/>
                <w:sz w:val="24"/>
                <w:szCs w:val="24"/>
                <w:lang w:val="bg-BG"/>
              </w:rPr>
              <w:t>му</w:t>
            </w:r>
            <w:r w:rsidR="00345D54" w:rsidRPr="000F1532">
              <w:rPr>
                <w:rFonts w:ascii="Times New Roman" w:eastAsia="Times New Roman" w:hAnsi="Times New Roman" w:cs="Times New Roman"/>
                <w:sz w:val="24"/>
                <w:szCs w:val="24"/>
                <w:lang w:val="bg-BG"/>
              </w:rPr>
              <w:t xml:space="preserve"> </w:t>
            </w:r>
            <w:r w:rsidRPr="000F1532">
              <w:rPr>
                <w:rFonts w:ascii="Times New Roman" w:eastAsia="Times New Roman" w:hAnsi="Times New Roman" w:cs="Times New Roman"/>
                <w:sz w:val="24"/>
                <w:szCs w:val="24"/>
                <w:lang w:val="bg-BG"/>
              </w:rPr>
              <w:t>и защото в същото време въведени</w:t>
            </w:r>
            <w:r w:rsidR="000529B6" w:rsidRPr="000F1532">
              <w:rPr>
                <w:rFonts w:ascii="Times New Roman" w:eastAsia="Times New Roman" w:hAnsi="Times New Roman" w:cs="Times New Roman"/>
                <w:sz w:val="24"/>
                <w:szCs w:val="24"/>
                <w:lang w:val="bg-BG"/>
              </w:rPr>
              <w:t>те</w:t>
            </w:r>
            <w:r w:rsidRPr="000F1532">
              <w:rPr>
                <w:rFonts w:ascii="Times New Roman" w:eastAsia="Times New Roman" w:hAnsi="Times New Roman" w:cs="Times New Roman"/>
                <w:sz w:val="24"/>
                <w:szCs w:val="24"/>
                <w:lang w:val="bg-BG"/>
              </w:rPr>
              <w:t xml:space="preserve"> санкции, които да гарантират, че при установяване на несъответствия с прилагането на регламента ще </w:t>
            </w:r>
            <w:r w:rsidR="000529B6" w:rsidRPr="000F1532">
              <w:rPr>
                <w:rFonts w:ascii="Times New Roman" w:eastAsia="Times New Roman" w:hAnsi="Times New Roman" w:cs="Times New Roman"/>
                <w:sz w:val="24"/>
                <w:szCs w:val="24"/>
                <w:lang w:val="bg-BG"/>
              </w:rPr>
              <w:t>се прилагат и за него</w:t>
            </w:r>
            <w:r w:rsidRPr="000F1532">
              <w:rPr>
                <w:rFonts w:ascii="Times New Roman" w:eastAsia="Times New Roman" w:hAnsi="Times New Roman" w:cs="Times New Roman"/>
                <w:sz w:val="24"/>
                <w:szCs w:val="24"/>
                <w:lang w:val="bg-BG"/>
              </w:rPr>
              <w:t>.</w:t>
            </w:r>
          </w:p>
          <w:p w14:paraId="01323D59" w14:textId="77777777" w:rsidR="00DA45B1" w:rsidRPr="000F1532" w:rsidRDefault="00DA45B1" w:rsidP="00DA45B1">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1.4. Посочете задължителните действия, произтичащи от нормативни актове от по-висока степен или актове от правото на ЕС.</w:t>
            </w:r>
          </w:p>
          <w:p w14:paraId="31AC8209" w14:textId="27734906" w:rsidR="00DA45B1" w:rsidRPr="000F1532" w:rsidRDefault="00DA45B1" w:rsidP="00F67CC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Регламент (ЕС) 2020/354 на Комисията от 4 март 2020 г. за съставяне на списък на предназначенията на фуражите, предназначени за специфични хранителни цели, и за отмяна на Директива 2008/38/ЕО, който се прилага от 25 декември 2020 г.;</w:t>
            </w:r>
          </w:p>
          <w:p w14:paraId="284A1D55" w14:textId="79869B2A" w:rsidR="00DA45B1" w:rsidRPr="000F1532" w:rsidRDefault="00345D54" w:rsidP="00DA45B1">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 xml:space="preserve">Регламент (ЕС) 2020/354 </w:t>
            </w:r>
            <w:r w:rsidR="00DA45B1" w:rsidRPr="000F1532">
              <w:rPr>
                <w:rFonts w:ascii="Times New Roman" w:eastAsia="Times New Roman" w:hAnsi="Times New Roman" w:cs="Times New Roman"/>
                <w:iCs/>
                <w:sz w:val="24"/>
                <w:szCs w:val="24"/>
                <w:lang w:val="bg-BG"/>
              </w:rPr>
              <w:t>има за цел да осигур</w:t>
            </w:r>
            <w:r w:rsidRPr="000F1532">
              <w:rPr>
                <w:rFonts w:ascii="Times New Roman" w:eastAsia="Times New Roman" w:hAnsi="Times New Roman" w:cs="Times New Roman"/>
                <w:iCs/>
                <w:sz w:val="24"/>
                <w:szCs w:val="24"/>
                <w:lang w:val="bg-BG"/>
              </w:rPr>
              <w:t>и</w:t>
            </w:r>
            <w:r w:rsidR="00DA45B1" w:rsidRPr="000F1532">
              <w:rPr>
                <w:rFonts w:ascii="Times New Roman" w:eastAsia="Times New Roman" w:hAnsi="Times New Roman" w:cs="Times New Roman"/>
                <w:iCs/>
                <w:sz w:val="24"/>
                <w:szCs w:val="24"/>
                <w:lang w:val="bg-BG"/>
              </w:rPr>
              <w:t xml:space="preserve"> хармонизиран подход във всички държави – членки на Европейския съюз, по отношение на фуражите със специално предназначение.</w:t>
            </w:r>
            <w:r w:rsidRPr="000F1532">
              <w:rPr>
                <w:rFonts w:ascii="Times New Roman" w:eastAsia="Times New Roman" w:hAnsi="Times New Roman" w:cs="Times New Roman"/>
                <w:iCs/>
                <w:sz w:val="24"/>
                <w:szCs w:val="24"/>
                <w:lang w:val="bg-BG"/>
              </w:rPr>
              <w:t xml:space="preserve"> </w:t>
            </w:r>
            <w:r w:rsidR="00DA45B1" w:rsidRPr="000F1532">
              <w:rPr>
                <w:rFonts w:ascii="Times New Roman" w:eastAsia="Times New Roman" w:hAnsi="Times New Roman" w:cs="Times New Roman"/>
                <w:iCs/>
                <w:sz w:val="24"/>
                <w:szCs w:val="24"/>
                <w:lang w:val="bg-BG"/>
              </w:rPr>
              <w:t>Регламент</w:t>
            </w:r>
            <w:r w:rsidRPr="000F1532">
              <w:rPr>
                <w:rFonts w:ascii="Times New Roman" w:eastAsia="Times New Roman" w:hAnsi="Times New Roman" w:cs="Times New Roman"/>
                <w:iCs/>
                <w:sz w:val="24"/>
                <w:szCs w:val="24"/>
                <w:lang w:val="bg-BG"/>
              </w:rPr>
              <w:t>ът</w:t>
            </w:r>
            <w:r w:rsidR="00DA45B1" w:rsidRPr="000F1532">
              <w:rPr>
                <w:rFonts w:ascii="Times New Roman" w:eastAsia="Times New Roman" w:hAnsi="Times New Roman" w:cs="Times New Roman"/>
                <w:iCs/>
                <w:sz w:val="24"/>
                <w:szCs w:val="24"/>
                <w:lang w:val="bg-BG"/>
              </w:rPr>
              <w:t xml:space="preserve"> съдържа Списък на предназначенията на фуражите, предназначени за специфични хранителни цели. Съгласно чл. 9 от Регламент (ЕО) № 767/2009 фуражите, предназначени за специфични хранителни цели, могат да бъдат предлагани на пазара само ако тяхното предназначение е включено в списъка на предназначенията, съставен в съответствие с член 10 от същия регламент. Списъкът се поддържа от Европейската комисия, като фуражите със специално предназначение, които са предназначени за пускане на пазара на Европейския съюз трябва да отговарят на изискванията на Част Б от Приложението към Регламент (ЕС) 2020/354.</w:t>
            </w:r>
          </w:p>
          <w:p w14:paraId="3DA9076A" w14:textId="31ACC700" w:rsidR="00345D54" w:rsidRPr="000F1532" w:rsidRDefault="00C42FB0" w:rsidP="00DA45B1">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iCs/>
                <w:sz w:val="24"/>
                <w:szCs w:val="24"/>
                <w:lang w:val="bg-BG"/>
              </w:rPr>
              <w:t xml:space="preserve">Регламент (ЕС) 2020/354 отменя </w:t>
            </w:r>
            <w:r w:rsidRPr="000F1532">
              <w:rPr>
                <w:rFonts w:ascii="Times New Roman" w:eastAsia="Times New Roman" w:hAnsi="Times New Roman" w:cs="Times New Roman"/>
                <w:sz w:val="24"/>
                <w:szCs w:val="24"/>
                <w:lang w:val="bg-BG"/>
              </w:rPr>
              <w:t xml:space="preserve">Директива 2008/38/ЕО. Директивата е въведена с Наредба № 10 от 2003 г. за фуражите със специално предназначение, като въведените санкции в действащия Закон за фуражите </w:t>
            </w:r>
            <w:r w:rsidR="007A467C" w:rsidRPr="000F1532">
              <w:rPr>
                <w:rFonts w:ascii="Times New Roman" w:eastAsia="Times New Roman" w:hAnsi="Times New Roman" w:cs="Times New Roman"/>
                <w:sz w:val="24"/>
                <w:szCs w:val="24"/>
                <w:lang w:val="bg-BG"/>
              </w:rPr>
              <w:t>не се променят</w:t>
            </w:r>
            <w:r w:rsidRPr="000F1532">
              <w:rPr>
                <w:rFonts w:ascii="Times New Roman" w:eastAsia="Times New Roman" w:hAnsi="Times New Roman" w:cs="Times New Roman"/>
                <w:sz w:val="24"/>
                <w:szCs w:val="24"/>
                <w:lang w:val="bg-BG"/>
              </w:rPr>
              <w:t>.</w:t>
            </w:r>
          </w:p>
          <w:p w14:paraId="3B0156A6" w14:textId="77777777" w:rsidR="00DA45B1" w:rsidRPr="000F1532" w:rsidRDefault="00DA45B1" w:rsidP="00DA45B1">
            <w:pPr>
              <w:spacing w:after="120" w:line="240" w:lineRule="auto"/>
              <w:jc w:val="both"/>
              <w:rPr>
                <w:rFonts w:ascii="Times New Roman" w:eastAsia="Times New Roman" w:hAnsi="Times New Roman" w:cs="Times New Roman"/>
                <w:b/>
                <w:i/>
                <w:iCs/>
                <w:sz w:val="24"/>
                <w:szCs w:val="24"/>
                <w:lang w:val="bg-BG"/>
              </w:rPr>
            </w:pPr>
            <w:r w:rsidRPr="000F1532">
              <w:rPr>
                <w:rFonts w:ascii="Times New Roman" w:eastAsia="Times New Roman" w:hAnsi="Times New Roman" w:cs="Times New Roman"/>
                <w:b/>
                <w:i/>
                <w:iCs/>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11092831" w14:textId="2249BF2E" w:rsidR="00385A2F" w:rsidRPr="000F1532" w:rsidRDefault="00DA45B1" w:rsidP="00385A2F">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Последващи оценки на нормативния акт и анализ на изпълнението на политиката не са извършвани</w:t>
            </w:r>
            <w:r w:rsidR="00CD717E" w:rsidRPr="000F1532">
              <w:rPr>
                <w:rFonts w:ascii="Times New Roman" w:eastAsia="Times New Roman" w:hAnsi="Times New Roman" w:cs="Times New Roman"/>
                <w:sz w:val="24"/>
                <w:szCs w:val="24"/>
                <w:lang w:val="bg-BG"/>
              </w:rPr>
              <w:t>.</w:t>
            </w:r>
          </w:p>
        </w:tc>
      </w:tr>
      <w:tr w:rsidR="000F1532" w:rsidRPr="000F1532" w14:paraId="1749561E" w14:textId="77777777" w:rsidTr="0014689E">
        <w:tc>
          <w:tcPr>
            <w:tcW w:w="9616" w:type="dxa"/>
            <w:gridSpan w:val="2"/>
          </w:tcPr>
          <w:p w14:paraId="654CA161" w14:textId="0564682C" w:rsidR="00076E63" w:rsidRPr="000F1532" w:rsidRDefault="00076E63" w:rsidP="007026A1">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2. Цели:</w:t>
            </w:r>
            <w:r w:rsidR="002B03E4" w:rsidRPr="000F1532">
              <w:rPr>
                <w:lang w:val="bg-BG"/>
              </w:rPr>
              <w:t xml:space="preserve"> </w:t>
            </w:r>
            <w:r w:rsidR="002B03E4" w:rsidRPr="000F1532">
              <w:rPr>
                <w:rFonts w:ascii="Times New Roman" w:eastAsia="Times New Roman" w:hAnsi="Times New Roman" w:cs="Times New Roman"/>
                <w:bCs/>
                <w:sz w:val="24"/>
                <w:szCs w:val="24"/>
                <w:lang w:val="bg-BG"/>
              </w:rPr>
              <w:t>С приемането на направените предложения за изменение и допълнение на Закона за фуражите се цели:</w:t>
            </w:r>
          </w:p>
          <w:p w14:paraId="4A7B92EB" w14:textId="7C29E37C" w:rsidR="007135BD" w:rsidRPr="000F1532" w:rsidRDefault="007135BD"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За Проблем 1:</w:t>
            </w:r>
          </w:p>
          <w:p w14:paraId="1FE20750" w14:textId="00B4F2D2" w:rsidR="002B03E4" w:rsidRPr="000F1532" w:rsidRDefault="00813DE5"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Чрез о</w:t>
            </w:r>
            <w:r w:rsidR="002B03E4" w:rsidRPr="000F1532">
              <w:rPr>
                <w:rFonts w:ascii="Times New Roman" w:eastAsia="Times New Roman" w:hAnsi="Times New Roman" w:cs="Times New Roman"/>
                <w:sz w:val="24"/>
                <w:szCs w:val="24"/>
                <w:lang w:val="bg-BG"/>
              </w:rPr>
              <w:t xml:space="preserve">сигуряване на условията по прилагането на Регламент (ЕС) 2019/4 </w:t>
            </w:r>
            <w:r w:rsidRPr="000F1532">
              <w:rPr>
                <w:rFonts w:ascii="Times New Roman" w:eastAsia="Times New Roman" w:hAnsi="Times New Roman" w:cs="Times New Roman"/>
                <w:sz w:val="24"/>
                <w:szCs w:val="24"/>
                <w:lang w:val="bg-BG"/>
              </w:rPr>
              <w:t>ще бъдат постигнати следните цели:</w:t>
            </w:r>
          </w:p>
          <w:p w14:paraId="12EC21B1" w14:textId="77777777" w:rsidR="007135BD" w:rsidRPr="000F1532" w:rsidRDefault="007135BD" w:rsidP="007135BD">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Цел 1:</w:t>
            </w:r>
          </w:p>
          <w:p w14:paraId="3FCA5890" w14:textId="1228A5E7" w:rsidR="002B03E4" w:rsidRPr="000F1532" w:rsidRDefault="007A467C" w:rsidP="00AA3939">
            <w:pPr>
              <w:spacing w:before="120" w:after="120" w:line="240" w:lineRule="auto"/>
              <w:ind w:left="10"/>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Осигуряване </w:t>
            </w:r>
            <w:r w:rsidR="001F05EA" w:rsidRPr="000F1532">
              <w:rPr>
                <w:rFonts w:ascii="Times New Roman" w:eastAsia="Times New Roman" w:hAnsi="Times New Roman" w:cs="Times New Roman"/>
                <w:sz w:val="24"/>
                <w:szCs w:val="24"/>
                <w:lang w:val="bg-BG"/>
              </w:rPr>
              <w:t>на икономически жизнеспособно производство на безопасни медикаментозни фуражи, както и насърчаване на иновациите за администриране на ВМП за прием през устата, особено при медикаментозните храни за домашни любимци.</w:t>
            </w:r>
          </w:p>
          <w:p w14:paraId="0723EC2C" w14:textId="77777777" w:rsidR="007135BD" w:rsidRPr="000F1532" w:rsidRDefault="007135BD" w:rsidP="007135BD">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Цел 2:</w:t>
            </w:r>
          </w:p>
          <w:p w14:paraId="3A9DBF6B" w14:textId="689331DF" w:rsidR="007A467C" w:rsidRPr="000F1532" w:rsidRDefault="007A467C"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sz w:val="24"/>
                <w:szCs w:val="24"/>
                <w:lang w:val="bg-BG"/>
              </w:rPr>
              <w:t xml:space="preserve">Намаляване </w:t>
            </w:r>
            <w:r w:rsidR="009469D2" w:rsidRPr="000F1532">
              <w:rPr>
                <w:rFonts w:ascii="Times New Roman" w:eastAsia="Times New Roman" w:hAnsi="Times New Roman" w:cs="Times New Roman"/>
                <w:sz w:val="24"/>
                <w:szCs w:val="24"/>
                <w:lang w:val="bg-BG"/>
              </w:rPr>
              <w:t xml:space="preserve">на употребата на антимикробни средства </w:t>
            </w:r>
            <w:r w:rsidR="00813DE5" w:rsidRPr="000F1532">
              <w:rPr>
                <w:rFonts w:ascii="Times New Roman" w:eastAsia="Times New Roman" w:hAnsi="Times New Roman" w:cs="Times New Roman"/>
                <w:sz w:val="24"/>
                <w:szCs w:val="24"/>
                <w:lang w:val="bg-BG"/>
              </w:rPr>
              <w:t>при</w:t>
            </w:r>
            <w:r w:rsidR="009469D2" w:rsidRPr="000F1532">
              <w:rPr>
                <w:rFonts w:ascii="Times New Roman" w:eastAsia="Times New Roman" w:hAnsi="Times New Roman" w:cs="Times New Roman"/>
                <w:sz w:val="24"/>
                <w:szCs w:val="24"/>
                <w:lang w:val="bg-BG"/>
              </w:rPr>
              <w:t xml:space="preserve"> животните чрез конкретни мерки за насърчаване на тяхната отговорна и разумна употреба, което е свързано с една от основните амбиции на Европейския единен план за действие в областта на здравеопазването срещу антимикробната резистентност, приет от Европейската комисия през юни 2017 г.</w:t>
            </w:r>
          </w:p>
          <w:p w14:paraId="040AA36B" w14:textId="11EC8B03" w:rsidR="002D333C" w:rsidRPr="000F1532" w:rsidRDefault="002D333C" w:rsidP="00076E63">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За Проблем 2:</w:t>
            </w:r>
          </w:p>
          <w:p w14:paraId="78B65BC4" w14:textId="56B61502" w:rsidR="002B03E4" w:rsidRPr="000F1532" w:rsidRDefault="00813DE5"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Чрез о</w:t>
            </w:r>
            <w:r w:rsidR="002B03E4" w:rsidRPr="000F1532">
              <w:rPr>
                <w:rFonts w:ascii="Times New Roman" w:eastAsia="Times New Roman" w:hAnsi="Times New Roman" w:cs="Times New Roman"/>
                <w:sz w:val="24"/>
                <w:szCs w:val="24"/>
                <w:lang w:val="bg-BG"/>
              </w:rPr>
              <w:t>сигуряване на условията по прилагането на</w:t>
            </w:r>
            <w:r w:rsidR="002B03E4" w:rsidRPr="000F1532">
              <w:rPr>
                <w:lang w:val="bg-BG"/>
              </w:rPr>
              <w:t xml:space="preserve"> </w:t>
            </w:r>
            <w:r w:rsidR="002B03E4" w:rsidRPr="000F1532">
              <w:rPr>
                <w:rFonts w:ascii="Times New Roman" w:eastAsia="Times New Roman" w:hAnsi="Times New Roman" w:cs="Times New Roman"/>
                <w:sz w:val="24"/>
                <w:szCs w:val="24"/>
                <w:lang w:val="bg-BG"/>
              </w:rPr>
              <w:t xml:space="preserve">Регламент (ЕС) 2020/354 </w:t>
            </w:r>
            <w:r w:rsidRPr="000F1532">
              <w:rPr>
                <w:rFonts w:ascii="Times New Roman" w:eastAsia="Times New Roman" w:hAnsi="Times New Roman" w:cs="Times New Roman"/>
                <w:sz w:val="24"/>
                <w:szCs w:val="24"/>
                <w:lang w:val="bg-BG"/>
              </w:rPr>
              <w:t>ще бъдат постигнати следните цели:</w:t>
            </w:r>
          </w:p>
          <w:p w14:paraId="33309BBC" w14:textId="77777777" w:rsidR="007A467C" w:rsidRPr="000F1532" w:rsidRDefault="002D333C" w:rsidP="007A467C">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
                <w:sz w:val="24"/>
                <w:szCs w:val="24"/>
                <w:lang w:val="bg-BG"/>
              </w:rPr>
              <w:t>Цел 1:</w:t>
            </w:r>
            <w:r w:rsidRPr="000F1532">
              <w:rPr>
                <w:rFonts w:ascii="Times New Roman" w:eastAsia="Times New Roman" w:hAnsi="Times New Roman" w:cs="Times New Roman"/>
                <w:bCs/>
                <w:sz w:val="24"/>
                <w:szCs w:val="24"/>
                <w:lang w:val="bg-BG"/>
              </w:rPr>
              <w:t xml:space="preserve"> </w:t>
            </w:r>
          </w:p>
          <w:p w14:paraId="7435EC00" w14:textId="626AB863" w:rsidR="002B03E4" w:rsidRPr="000F1532" w:rsidRDefault="00813DE5" w:rsidP="00AA3939">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Гарантиране употребата на фуражи, предназначени за специфични хранителни цели</w:t>
            </w:r>
            <w:r w:rsidR="00784799" w:rsidRPr="000F1532">
              <w:rPr>
                <w:rFonts w:ascii="Times New Roman" w:eastAsia="Times New Roman" w:hAnsi="Times New Roman" w:cs="Times New Roman"/>
                <w:bCs/>
                <w:sz w:val="24"/>
                <w:szCs w:val="24"/>
                <w:lang w:val="bg-BG"/>
              </w:rPr>
              <w:t xml:space="preserve"> на целевите животни и задоволяване на специфичните потребности на животните;</w:t>
            </w:r>
          </w:p>
          <w:p w14:paraId="490E4A88" w14:textId="2BE985A2" w:rsidR="007A467C" w:rsidRPr="000F1532" w:rsidRDefault="002D333C" w:rsidP="007A467C">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
                <w:sz w:val="24"/>
                <w:szCs w:val="24"/>
                <w:lang w:val="bg-BG"/>
              </w:rPr>
              <w:t>Цел 2</w:t>
            </w:r>
            <w:r w:rsidR="007A467C" w:rsidRPr="000F1532">
              <w:rPr>
                <w:rFonts w:ascii="Times New Roman" w:eastAsia="Times New Roman" w:hAnsi="Times New Roman" w:cs="Times New Roman"/>
                <w:b/>
                <w:sz w:val="24"/>
                <w:szCs w:val="24"/>
                <w:lang w:val="bg-BG"/>
              </w:rPr>
              <w:t>:</w:t>
            </w:r>
            <w:r w:rsidRPr="000F1532">
              <w:rPr>
                <w:rFonts w:ascii="Times New Roman" w:eastAsia="Times New Roman" w:hAnsi="Times New Roman" w:cs="Times New Roman"/>
                <w:bCs/>
                <w:sz w:val="24"/>
                <w:szCs w:val="24"/>
                <w:lang w:val="bg-BG"/>
              </w:rPr>
              <w:t xml:space="preserve"> </w:t>
            </w:r>
          </w:p>
          <w:p w14:paraId="227FF189" w14:textId="38B8743D" w:rsidR="00784799" w:rsidRPr="000F1532" w:rsidRDefault="00784799" w:rsidP="00AA3939">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 xml:space="preserve">Опазване здравето на животните чрез изхранването им за определен период от време с фуражи, предназначени да задоволят определени </w:t>
            </w:r>
            <w:r w:rsidR="00AF7EA6" w:rsidRPr="000F1532">
              <w:rPr>
                <w:rFonts w:ascii="Times New Roman" w:eastAsia="Times New Roman" w:hAnsi="Times New Roman" w:cs="Times New Roman"/>
                <w:bCs/>
                <w:sz w:val="24"/>
                <w:szCs w:val="24"/>
                <w:lang w:val="bg-BG"/>
              </w:rPr>
              <w:t>техни</w:t>
            </w:r>
            <w:r w:rsidRPr="000F1532">
              <w:rPr>
                <w:rFonts w:ascii="Times New Roman" w:eastAsia="Times New Roman" w:hAnsi="Times New Roman" w:cs="Times New Roman"/>
                <w:bCs/>
                <w:sz w:val="24"/>
                <w:szCs w:val="24"/>
                <w:lang w:val="bg-BG"/>
              </w:rPr>
              <w:t xml:space="preserve"> физиологични потребности.</w:t>
            </w:r>
          </w:p>
          <w:p w14:paraId="3F4A0FB5" w14:textId="5173CE35" w:rsidR="00076E63" w:rsidRPr="000F1532" w:rsidRDefault="00076E63" w:rsidP="0078311F">
            <w:pPr>
              <w:spacing w:after="120" w:line="240" w:lineRule="auto"/>
              <w:jc w:val="center"/>
              <w:rPr>
                <w:rFonts w:ascii="Times New Roman" w:eastAsia="Times New Roman" w:hAnsi="Times New Roman" w:cs="Times New Roman"/>
                <w:sz w:val="24"/>
                <w:szCs w:val="24"/>
                <w:lang w:val="bg-BG"/>
              </w:rPr>
            </w:pPr>
            <w:r w:rsidRPr="000F1532">
              <w:rPr>
                <w:rFonts w:ascii="Times New Roman" w:eastAsia="Times New Roman" w:hAnsi="Times New Roman" w:cs="Times New Roman"/>
                <w:i/>
                <w:sz w:val="16"/>
                <w:szCs w:val="16"/>
                <w:lang w:val="bg-BG"/>
              </w:rPr>
              <w:t xml:space="preserve">Посочете </w:t>
            </w:r>
            <w:r w:rsidR="0060089B" w:rsidRPr="000F1532">
              <w:rPr>
                <w:rFonts w:ascii="Times New Roman" w:eastAsia="Times New Roman" w:hAnsi="Times New Roman" w:cs="Times New Roman"/>
                <w:i/>
                <w:sz w:val="16"/>
                <w:szCs w:val="16"/>
                <w:lang w:val="bg-BG"/>
              </w:rPr>
              <w:t xml:space="preserve">определените </w:t>
            </w:r>
            <w:r w:rsidRPr="000F1532">
              <w:rPr>
                <w:rFonts w:ascii="Times New Roman" w:eastAsia="Times New Roman" w:hAnsi="Times New Roman" w:cs="Times New Roman"/>
                <w:i/>
                <w:sz w:val="16"/>
                <w:szCs w:val="16"/>
                <w:lang w:val="bg-BG"/>
              </w:rPr>
              <w:t>цели</w:t>
            </w:r>
            <w:r w:rsidR="0060089B" w:rsidRPr="000F1532">
              <w:rPr>
                <w:rFonts w:ascii="Times New Roman" w:eastAsia="Times New Roman" w:hAnsi="Times New Roman" w:cs="Times New Roman"/>
                <w:i/>
                <w:sz w:val="16"/>
                <w:szCs w:val="16"/>
                <w:lang w:val="bg-BG"/>
              </w:rPr>
              <w:t xml:space="preserve"> </w:t>
            </w:r>
            <w:r w:rsidRPr="000F1532">
              <w:rPr>
                <w:rFonts w:ascii="Times New Roman" w:eastAsia="Times New Roman" w:hAnsi="Times New Roman" w:cs="Times New Roman"/>
                <w:i/>
                <w:sz w:val="16"/>
                <w:szCs w:val="16"/>
                <w:lang w:val="bg-BG"/>
              </w:rPr>
              <w:t>за решаване на проблем</w:t>
            </w:r>
            <w:r w:rsidR="0060089B" w:rsidRPr="000F1532">
              <w:rPr>
                <w:rFonts w:ascii="Times New Roman" w:eastAsia="Times New Roman" w:hAnsi="Times New Roman" w:cs="Times New Roman"/>
                <w:i/>
                <w:sz w:val="16"/>
                <w:szCs w:val="16"/>
                <w:lang w:val="bg-BG"/>
              </w:rPr>
              <w:t>а/</w:t>
            </w:r>
            <w:r w:rsidR="009D4DA5" w:rsidRPr="000F1532">
              <w:rPr>
                <w:rFonts w:ascii="Times New Roman" w:eastAsia="Times New Roman" w:hAnsi="Times New Roman" w:cs="Times New Roman"/>
                <w:i/>
                <w:sz w:val="16"/>
                <w:szCs w:val="16"/>
                <w:lang w:val="bg-BG"/>
              </w:rPr>
              <w:t>проблем</w:t>
            </w:r>
            <w:r w:rsidRPr="000F1532">
              <w:rPr>
                <w:rFonts w:ascii="Times New Roman" w:eastAsia="Times New Roman" w:hAnsi="Times New Roman" w:cs="Times New Roman"/>
                <w:i/>
                <w:sz w:val="16"/>
                <w:szCs w:val="16"/>
                <w:lang w:val="bg-BG"/>
              </w:rPr>
              <w:t>и</w:t>
            </w:r>
            <w:r w:rsidR="0060089B" w:rsidRPr="000F1532">
              <w:rPr>
                <w:rFonts w:ascii="Times New Roman" w:eastAsia="Times New Roman" w:hAnsi="Times New Roman" w:cs="Times New Roman"/>
                <w:i/>
                <w:sz w:val="16"/>
                <w:szCs w:val="16"/>
                <w:lang w:val="bg-BG"/>
              </w:rPr>
              <w:t>те</w:t>
            </w:r>
            <w:r w:rsidRPr="000F1532">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0F1532">
              <w:rPr>
                <w:rFonts w:ascii="Times New Roman" w:eastAsia="Times New Roman" w:hAnsi="Times New Roman" w:cs="Times New Roman"/>
                <w:i/>
                <w:sz w:val="16"/>
                <w:szCs w:val="16"/>
                <w:lang w:val="bg-BG"/>
              </w:rPr>
              <w:t xml:space="preserve">са насочени към решаването на </w:t>
            </w:r>
            <w:r w:rsidRPr="000F1532">
              <w:rPr>
                <w:rFonts w:ascii="Times New Roman" w:eastAsia="Times New Roman" w:hAnsi="Times New Roman" w:cs="Times New Roman"/>
                <w:i/>
                <w:sz w:val="16"/>
                <w:szCs w:val="16"/>
                <w:lang w:val="bg-BG"/>
              </w:rPr>
              <w:t>проблем</w:t>
            </w:r>
            <w:r w:rsidR="0060089B" w:rsidRPr="000F1532">
              <w:rPr>
                <w:rFonts w:ascii="Times New Roman" w:eastAsia="Times New Roman" w:hAnsi="Times New Roman" w:cs="Times New Roman"/>
                <w:i/>
                <w:sz w:val="16"/>
                <w:szCs w:val="16"/>
                <w:lang w:val="bg-BG"/>
              </w:rPr>
              <w:t>а/</w:t>
            </w:r>
            <w:r w:rsidR="009D4DA5" w:rsidRPr="000F1532">
              <w:rPr>
                <w:rFonts w:ascii="Times New Roman" w:eastAsia="Times New Roman" w:hAnsi="Times New Roman" w:cs="Times New Roman"/>
                <w:i/>
                <w:sz w:val="16"/>
                <w:szCs w:val="16"/>
                <w:lang w:val="bg-BG"/>
              </w:rPr>
              <w:t>проблем</w:t>
            </w:r>
            <w:r w:rsidRPr="000F1532">
              <w:rPr>
                <w:rFonts w:ascii="Times New Roman" w:eastAsia="Times New Roman" w:hAnsi="Times New Roman" w:cs="Times New Roman"/>
                <w:i/>
                <w:sz w:val="16"/>
                <w:szCs w:val="16"/>
                <w:lang w:val="bg-BG"/>
              </w:rPr>
              <w:t>и</w:t>
            </w:r>
            <w:r w:rsidR="0060089B" w:rsidRPr="000F1532">
              <w:rPr>
                <w:rFonts w:ascii="Times New Roman" w:eastAsia="Times New Roman" w:hAnsi="Times New Roman" w:cs="Times New Roman"/>
                <w:i/>
                <w:sz w:val="16"/>
                <w:szCs w:val="16"/>
                <w:lang w:val="bg-BG"/>
              </w:rPr>
              <w:t>те</w:t>
            </w:r>
            <w:r w:rsidRPr="000F1532">
              <w:rPr>
                <w:rFonts w:ascii="Times New Roman" w:eastAsia="Times New Roman" w:hAnsi="Times New Roman" w:cs="Times New Roman"/>
                <w:i/>
                <w:sz w:val="16"/>
                <w:szCs w:val="16"/>
                <w:lang w:val="bg-BG"/>
              </w:rPr>
              <w:t xml:space="preserve"> и да съответстват на действащ</w:t>
            </w:r>
            <w:r w:rsidR="0078311F" w:rsidRPr="000F1532">
              <w:rPr>
                <w:rFonts w:ascii="Times New Roman" w:eastAsia="Times New Roman" w:hAnsi="Times New Roman" w:cs="Times New Roman"/>
                <w:i/>
                <w:sz w:val="16"/>
                <w:szCs w:val="16"/>
                <w:lang w:val="bg-BG"/>
              </w:rPr>
              <w:t>ите</w:t>
            </w:r>
            <w:r w:rsidRPr="000F1532">
              <w:rPr>
                <w:rFonts w:ascii="Times New Roman" w:eastAsia="Times New Roman" w:hAnsi="Times New Roman" w:cs="Times New Roman"/>
                <w:i/>
                <w:sz w:val="16"/>
                <w:szCs w:val="16"/>
                <w:lang w:val="bg-BG"/>
              </w:rPr>
              <w:t xml:space="preserve"> стратегическ</w:t>
            </w:r>
            <w:r w:rsidR="0078311F" w:rsidRPr="000F1532">
              <w:rPr>
                <w:rFonts w:ascii="Times New Roman" w:eastAsia="Times New Roman" w:hAnsi="Times New Roman" w:cs="Times New Roman"/>
                <w:i/>
                <w:sz w:val="16"/>
                <w:szCs w:val="16"/>
                <w:lang w:val="bg-BG"/>
              </w:rPr>
              <w:t>и документи</w:t>
            </w:r>
            <w:r w:rsidRPr="000F1532">
              <w:rPr>
                <w:rFonts w:ascii="Times New Roman" w:eastAsia="Times New Roman" w:hAnsi="Times New Roman" w:cs="Times New Roman"/>
                <w:i/>
                <w:sz w:val="16"/>
                <w:szCs w:val="16"/>
                <w:lang w:val="bg-BG"/>
              </w:rPr>
              <w:t>.</w:t>
            </w:r>
          </w:p>
        </w:tc>
      </w:tr>
      <w:tr w:rsidR="000F1532" w:rsidRPr="000F1532" w14:paraId="70468BFA" w14:textId="77777777" w:rsidTr="0014689E">
        <w:tc>
          <w:tcPr>
            <w:tcW w:w="9616" w:type="dxa"/>
            <w:gridSpan w:val="2"/>
          </w:tcPr>
          <w:p w14:paraId="73797BAF" w14:textId="568092FD" w:rsidR="00076E63" w:rsidRPr="000F1532" w:rsidRDefault="00076E63" w:rsidP="007B54D8">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3. </w:t>
            </w:r>
            <w:r w:rsidR="007108A0" w:rsidRPr="000F1532">
              <w:rPr>
                <w:rFonts w:ascii="Times New Roman" w:eastAsia="Times New Roman" w:hAnsi="Times New Roman" w:cs="Times New Roman"/>
                <w:b/>
                <w:sz w:val="24"/>
                <w:szCs w:val="24"/>
                <w:lang w:val="bg-BG"/>
              </w:rPr>
              <w:t>З</w:t>
            </w:r>
            <w:r w:rsidRPr="000F1532">
              <w:rPr>
                <w:rFonts w:ascii="Times New Roman" w:eastAsia="Times New Roman" w:hAnsi="Times New Roman" w:cs="Times New Roman"/>
                <w:b/>
                <w:sz w:val="24"/>
                <w:szCs w:val="24"/>
                <w:lang w:val="bg-BG"/>
              </w:rPr>
              <w:t>а</w:t>
            </w:r>
            <w:r w:rsidR="00E653D3" w:rsidRPr="000F1532">
              <w:rPr>
                <w:rFonts w:ascii="Times New Roman" w:eastAsia="Times New Roman" w:hAnsi="Times New Roman" w:cs="Times New Roman"/>
                <w:b/>
                <w:sz w:val="24"/>
                <w:szCs w:val="24"/>
                <w:lang w:val="bg-BG"/>
              </w:rPr>
              <w:t>интересовани</w:t>
            </w:r>
            <w:r w:rsidRPr="000F1532">
              <w:rPr>
                <w:rFonts w:ascii="Times New Roman" w:eastAsia="Times New Roman" w:hAnsi="Times New Roman" w:cs="Times New Roman"/>
                <w:b/>
                <w:sz w:val="24"/>
                <w:szCs w:val="24"/>
                <w:lang w:val="bg-BG"/>
              </w:rPr>
              <w:t xml:space="preserve"> страни: </w:t>
            </w:r>
          </w:p>
          <w:p w14:paraId="1D93CB6E" w14:textId="5FC956C3" w:rsidR="00FE21D8" w:rsidRPr="000F1532" w:rsidRDefault="00FE21D8" w:rsidP="001F7AF0">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Министерство на земеделието, храните и горите</w:t>
            </w:r>
          </w:p>
          <w:p w14:paraId="4A126F19" w14:textId="31C6B780" w:rsidR="00FE21D8" w:rsidRPr="000F1532" w:rsidRDefault="00FE21D8" w:rsidP="001F7AF0">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Министерство на околната среда и водите</w:t>
            </w:r>
          </w:p>
          <w:p w14:paraId="26DC3F6B" w14:textId="335F707C" w:rsidR="00FE21D8" w:rsidRPr="000F1532" w:rsidRDefault="00FE21D8" w:rsidP="001F7AF0">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Българска агенция по безопасност на храните</w:t>
            </w:r>
          </w:p>
          <w:p w14:paraId="73BAC32B" w14:textId="33FA0B28" w:rsidR="00FE21D8" w:rsidRPr="000F1532" w:rsidRDefault="00FE21D8" w:rsidP="001F7AF0">
            <w:pPr>
              <w:spacing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Оператори във фуражния сектор</w:t>
            </w:r>
          </w:p>
          <w:p w14:paraId="118657AB" w14:textId="7592AD4F" w:rsidR="00FE21D8" w:rsidRPr="000F1532" w:rsidRDefault="00FE21D8" w:rsidP="001F7AF0">
            <w:pPr>
              <w:spacing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Доставчици</w:t>
            </w:r>
            <w:r w:rsidR="002B03E4" w:rsidRPr="000F1532">
              <w:rPr>
                <w:rFonts w:ascii="Times New Roman" w:eastAsia="Times New Roman" w:hAnsi="Times New Roman" w:cs="Times New Roman"/>
                <w:bCs/>
                <w:sz w:val="24"/>
                <w:szCs w:val="24"/>
                <w:lang w:val="bg-BG"/>
              </w:rPr>
              <w:t xml:space="preserve"> на услуги, управляващи средствата за комуникация от разстояние</w:t>
            </w:r>
          </w:p>
          <w:p w14:paraId="0B06F7A6" w14:textId="526BEC5F" w:rsidR="00FE21D8" w:rsidRPr="000F1532" w:rsidRDefault="00FE21D8" w:rsidP="001F7AF0">
            <w:pPr>
              <w:spacing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Научните организации и институти - Тракийски университет, гр. Стара Загора; Лесотехнически университет, гр. София; Университет по хранителни технологии, гр. Пловдив;</w:t>
            </w:r>
          </w:p>
          <w:p w14:paraId="6B4E10E3" w14:textId="1B80574E" w:rsidR="002B03E4"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Браншови организации:</w:t>
            </w:r>
          </w:p>
          <w:p w14:paraId="35CBECC8" w14:textId="77777777"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1. Съюза на производителите на комбинирани фуражи – 72 бр. членове;</w:t>
            </w:r>
          </w:p>
          <w:p w14:paraId="6B477218" w14:textId="77777777"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2. Асоциация на свиневъдите в България;</w:t>
            </w:r>
          </w:p>
          <w:p w14:paraId="2EF100D3" w14:textId="77777777"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3. Българската асоциация на търговците на зърно и фуражи – 26 бр. членове;</w:t>
            </w:r>
          </w:p>
          <w:p w14:paraId="6EB96D1A" w14:textId="77777777"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4. Асоциация на земеделските производители в България;</w:t>
            </w:r>
          </w:p>
          <w:p w14:paraId="5A9B5F1A" w14:textId="77777777"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5. Асоциация на индустриалното свиневъдство в България;</w:t>
            </w:r>
          </w:p>
          <w:p w14:paraId="159C4E93" w14:textId="25B5C281"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6. Съюза на птицевъдите в България – 63 бр. членове;</w:t>
            </w:r>
          </w:p>
          <w:p w14:paraId="31AB9BB3" w14:textId="03DA892C"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7. Асоциация на промишленото птицевъдство;</w:t>
            </w:r>
          </w:p>
          <w:p w14:paraId="5F32F8D8" w14:textId="7D6E411A"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Ветеринарни лекари</w:t>
            </w:r>
          </w:p>
          <w:p w14:paraId="09C48C9E" w14:textId="5A8CACB5"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Собственици на животни</w:t>
            </w:r>
          </w:p>
          <w:p w14:paraId="61CA7943" w14:textId="28058EC2" w:rsidR="00FE21D8" w:rsidRPr="000F1532" w:rsidRDefault="00FE21D8" w:rsidP="001F7AF0">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Потребители на продукти от животински произход</w:t>
            </w:r>
          </w:p>
          <w:p w14:paraId="1D081B02" w14:textId="48B3D987" w:rsidR="007B54D8" w:rsidRPr="000F1532" w:rsidRDefault="007B54D8" w:rsidP="00181035">
            <w:pPr>
              <w:spacing w:before="120" w:after="120" w:line="240" w:lineRule="auto"/>
              <w:jc w:val="both"/>
              <w:rPr>
                <w:rFonts w:ascii="Times New Roman" w:eastAsia="Times New Roman" w:hAnsi="Times New Roman" w:cs="Times New Roman"/>
                <w:bCs/>
                <w:sz w:val="24"/>
                <w:szCs w:val="24"/>
                <w:lang w:val="bg-BG" w:eastAsia="bg-BG"/>
              </w:rPr>
            </w:pPr>
            <w:r w:rsidRPr="000F1532">
              <w:rPr>
                <w:rFonts w:ascii="Times New Roman" w:eastAsia="Times New Roman" w:hAnsi="Times New Roman" w:cs="Times New Roman"/>
                <w:b/>
                <w:bCs/>
                <w:sz w:val="24"/>
                <w:szCs w:val="24"/>
                <w:lang w:val="bg-BG" w:eastAsia="bg-BG"/>
              </w:rPr>
              <w:t xml:space="preserve">Редица участници </w:t>
            </w:r>
            <w:r w:rsidRPr="000F1532">
              <w:rPr>
                <w:rFonts w:ascii="Times New Roman" w:eastAsia="Times New Roman" w:hAnsi="Times New Roman" w:cs="Times New Roman"/>
                <w:bCs/>
                <w:sz w:val="24"/>
                <w:szCs w:val="24"/>
                <w:lang w:val="bg-BG" w:eastAsia="bg-BG"/>
              </w:rPr>
              <w:t xml:space="preserve">ще се възползват от ЗИД на Закона за фуражите, сред които, фермери, собственици на домашни любимци, ветеринарните лекари, фармацевтични компании и други предприятия. Като цяло </w:t>
            </w:r>
            <w:r w:rsidR="00FE21D8" w:rsidRPr="000F1532">
              <w:rPr>
                <w:rFonts w:ascii="Times New Roman" w:eastAsia="Times New Roman" w:hAnsi="Times New Roman" w:cs="Times New Roman"/>
                <w:bCs/>
                <w:sz w:val="24"/>
                <w:szCs w:val="24"/>
                <w:lang w:val="bg-BG" w:eastAsia="bg-BG"/>
              </w:rPr>
              <w:t xml:space="preserve">всички ще имат полза </w:t>
            </w:r>
            <w:r w:rsidRPr="000F1532">
              <w:rPr>
                <w:rFonts w:ascii="Times New Roman" w:eastAsia="Times New Roman" w:hAnsi="Times New Roman" w:cs="Times New Roman"/>
                <w:bCs/>
                <w:sz w:val="24"/>
                <w:szCs w:val="24"/>
                <w:lang w:val="bg-BG" w:eastAsia="bg-BG"/>
              </w:rPr>
              <w:t>от това ново законодателство, особено чрез мерките за борба с антимикробната резистентност, където е установено наличието на връзки между здравето на човека, здравето на животните и околната среда.</w:t>
            </w:r>
          </w:p>
          <w:p w14:paraId="5B00D618" w14:textId="3FA89849" w:rsidR="007B54D8" w:rsidRPr="000F1532" w:rsidRDefault="007B54D8" w:rsidP="00181035">
            <w:pPr>
              <w:spacing w:before="120" w:after="120" w:line="240" w:lineRule="auto"/>
              <w:jc w:val="both"/>
              <w:rPr>
                <w:rFonts w:ascii="Times New Roman" w:eastAsia="Times New Roman" w:hAnsi="Times New Roman" w:cs="Times New Roman"/>
                <w:bCs/>
                <w:sz w:val="24"/>
                <w:szCs w:val="24"/>
                <w:lang w:val="bg-BG" w:eastAsia="bg-BG"/>
              </w:rPr>
            </w:pPr>
            <w:r w:rsidRPr="000F1532">
              <w:rPr>
                <w:rFonts w:ascii="Times New Roman" w:eastAsia="Times New Roman" w:hAnsi="Times New Roman" w:cs="Times New Roman"/>
                <w:bCs/>
                <w:sz w:val="24"/>
                <w:szCs w:val="24"/>
                <w:lang w:val="bg-BG" w:eastAsia="bg-BG"/>
              </w:rPr>
              <w:t>За</w:t>
            </w:r>
            <w:r w:rsidRPr="000F1532">
              <w:rPr>
                <w:rFonts w:ascii="Times New Roman" w:eastAsia="Times New Roman" w:hAnsi="Times New Roman" w:cs="Times New Roman"/>
                <w:b/>
                <w:bCs/>
                <w:sz w:val="24"/>
                <w:szCs w:val="24"/>
                <w:lang w:val="bg-BG" w:eastAsia="bg-BG"/>
              </w:rPr>
              <w:t xml:space="preserve"> </w:t>
            </w:r>
            <w:r w:rsidR="00FE21D8" w:rsidRPr="000F1532">
              <w:rPr>
                <w:rFonts w:ascii="Times New Roman" w:eastAsia="Times New Roman" w:hAnsi="Times New Roman" w:cs="Times New Roman"/>
                <w:b/>
                <w:bCs/>
                <w:sz w:val="24"/>
                <w:szCs w:val="24"/>
                <w:lang w:val="bg-BG" w:eastAsia="bg-BG"/>
              </w:rPr>
              <w:t xml:space="preserve">собствениците на животни </w:t>
            </w:r>
            <w:r w:rsidRPr="000F1532">
              <w:rPr>
                <w:rFonts w:ascii="Times New Roman" w:eastAsia="Times New Roman" w:hAnsi="Times New Roman" w:cs="Times New Roman"/>
                <w:b/>
                <w:bCs/>
                <w:sz w:val="24"/>
                <w:szCs w:val="24"/>
                <w:lang w:val="bg-BG" w:eastAsia="bg-BG"/>
              </w:rPr>
              <w:t xml:space="preserve">животните </w:t>
            </w:r>
            <w:r w:rsidRPr="000F1532">
              <w:rPr>
                <w:rFonts w:ascii="Times New Roman" w:eastAsia="Times New Roman" w:hAnsi="Times New Roman" w:cs="Times New Roman"/>
                <w:bCs/>
                <w:sz w:val="24"/>
                <w:szCs w:val="24"/>
                <w:lang w:val="bg-BG" w:eastAsia="bg-BG"/>
              </w:rPr>
              <w:t xml:space="preserve">ползата ще се дължи на </w:t>
            </w:r>
            <w:r w:rsidR="000529B6" w:rsidRPr="000F1532">
              <w:rPr>
                <w:rFonts w:ascii="Times New Roman" w:eastAsia="Times New Roman" w:hAnsi="Times New Roman" w:cs="Times New Roman"/>
                <w:bCs/>
                <w:sz w:val="24"/>
                <w:szCs w:val="24"/>
                <w:lang w:val="bg-BG" w:eastAsia="bg-BG"/>
              </w:rPr>
              <w:t>прилагането на правилните</w:t>
            </w:r>
            <w:r w:rsidRPr="000F1532">
              <w:rPr>
                <w:rFonts w:ascii="Times New Roman" w:eastAsia="Times New Roman" w:hAnsi="Times New Roman" w:cs="Times New Roman"/>
                <w:bCs/>
                <w:sz w:val="24"/>
                <w:szCs w:val="24"/>
                <w:lang w:val="bg-BG" w:eastAsia="bg-BG"/>
              </w:rPr>
              <w:t xml:space="preserve"> лекарствата, достъпни за лечението им</w:t>
            </w:r>
            <w:r w:rsidR="0006030F" w:rsidRPr="000F1532">
              <w:rPr>
                <w:rFonts w:ascii="Times New Roman" w:eastAsia="Times New Roman" w:hAnsi="Times New Roman" w:cs="Times New Roman"/>
                <w:bCs/>
                <w:sz w:val="24"/>
                <w:szCs w:val="24"/>
                <w:lang w:val="bg-BG" w:eastAsia="bg-BG"/>
              </w:rPr>
              <w:t xml:space="preserve"> при поставена диагноза от ветеринарен лекар и необходимост от лечение</w:t>
            </w:r>
            <w:r w:rsidRPr="000F1532">
              <w:rPr>
                <w:rFonts w:ascii="Times New Roman" w:eastAsia="Times New Roman" w:hAnsi="Times New Roman" w:cs="Times New Roman"/>
                <w:bCs/>
                <w:sz w:val="24"/>
                <w:szCs w:val="24"/>
                <w:lang w:val="bg-BG" w:eastAsia="bg-BG"/>
              </w:rPr>
              <w:t>, както и на подходяща употреба на тези лекарства, когато те са антимикробни.</w:t>
            </w:r>
          </w:p>
          <w:p w14:paraId="1F8AAEA5" w14:textId="7C6520CE" w:rsidR="007B54D8" w:rsidRPr="000F1532" w:rsidRDefault="007B54D8" w:rsidP="00181035">
            <w:pPr>
              <w:spacing w:before="120" w:after="120" w:line="240" w:lineRule="auto"/>
              <w:jc w:val="both"/>
              <w:rPr>
                <w:rFonts w:ascii="Times New Roman" w:eastAsia="Times New Roman" w:hAnsi="Times New Roman" w:cs="Times New Roman"/>
                <w:sz w:val="24"/>
                <w:szCs w:val="24"/>
                <w:lang w:val="bg-BG" w:eastAsia="bg-BG"/>
              </w:rPr>
            </w:pPr>
            <w:r w:rsidRPr="000F1532">
              <w:rPr>
                <w:rFonts w:ascii="Times New Roman" w:eastAsia="Times New Roman" w:hAnsi="Times New Roman" w:cs="Times New Roman"/>
                <w:sz w:val="24"/>
                <w:szCs w:val="24"/>
                <w:lang w:val="bg-BG" w:eastAsia="bg-BG"/>
              </w:rPr>
              <w:t xml:space="preserve">Очаква се ползата за </w:t>
            </w:r>
            <w:r w:rsidR="007135BD" w:rsidRPr="000F1532">
              <w:rPr>
                <w:rFonts w:ascii="Times New Roman" w:eastAsia="Times New Roman" w:hAnsi="Times New Roman" w:cs="Times New Roman"/>
                <w:b/>
                <w:sz w:val="24"/>
                <w:szCs w:val="24"/>
                <w:lang w:val="bg-BG" w:eastAsia="bg-BG"/>
              </w:rPr>
              <w:t>здравето</w:t>
            </w:r>
            <w:r w:rsidRPr="000F1532">
              <w:rPr>
                <w:rFonts w:ascii="Times New Roman" w:eastAsia="Times New Roman" w:hAnsi="Times New Roman" w:cs="Times New Roman"/>
                <w:b/>
                <w:sz w:val="24"/>
                <w:szCs w:val="24"/>
                <w:lang w:val="bg-BG" w:eastAsia="bg-BG"/>
              </w:rPr>
              <w:t xml:space="preserve"> на човека</w:t>
            </w:r>
            <w:r w:rsidRPr="000F1532">
              <w:rPr>
                <w:rFonts w:ascii="Times New Roman" w:eastAsia="Times New Roman" w:hAnsi="Times New Roman" w:cs="Times New Roman"/>
                <w:sz w:val="24"/>
                <w:szCs w:val="24"/>
                <w:lang w:val="bg-BG" w:eastAsia="bg-BG"/>
              </w:rPr>
              <w:t xml:space="preserve"> да дойде от правилата, целящи да запазят ефективността на антимикробните средства (включително антибиотиците). </w:t>
            </w:r>
          </w:p>
          <w:p w14:paraId="01A8CA1A" w14:textId="1E1F17FB" w:rsidR="007B54D8" w:rsidRPr="000F1532" w:rsidRDefault="007B54D8" w:rsidP="00181035">
            <w:pPr>
              <w:spacing w:before="120" w:after="120" w:line="240" w:lineRule="auto"/>
              <w:jc w:val="both"/>
              <w:rPr>
                <w:rFonts w:ascii="Times New Roman" w:eastAsia="Times New Roman" w:hAnsi="Times New Roman" w:cs="Times New Roman"/>
                <w:bCs/>
                <w:sz w:val="24"/>
                <w:szCs w:val="24"/>
                <w:lang w:val="bg-BG" w:eastAsia="bg-BG"/>
              </w:rPr>
            </w:pPr>
            <w:r w:rsidRPr="000F1532">
              <w:rPr>
                <w:rFonts w:ascii="Times New Roman" w:eastAsia="Times New Roman" w:hAnsi="Times New Roman" w:cs="Times New Roman"/>
                <w:b/>
                <w:bCs/>
                <w:sz w:val="24"/>
                <w:szCs w:val="24"/>
                <w:lang w:val="bg-BG" w:eastAsia="bg-BG"/>
              </w:rPr>
              <w:t xml:space="preserve">Производителите на медикаментозни фуражи </w:t>
            </w:r>
            <w:r w:rsidRPr="000F1532">
              <w:rPr>
                <w:rFonts w:ascii="Times New Roman" w:eastAsia="Times New Roman" w:hAnsi="Times New Roman" w:cs="Times New Roman"/>
                <w:bCs/>
                <w:sz w:val="24"/>
                <w:szCs w:val="24"/>
                <w:lang w:val="bg-BG" w:eastAsia="bg-BG"/>
              </w:rPr>
              <w:t xml:space="preserve">ще се възползват от подобрената конкуренция, подобрената циркулация на ВМП и медикаментозни фуражи в целия ЕС. </w:t>
            </w:r>
          </w:p>
          <w:p w14:paraId="42FF8E91" w14:textId="505C2F17" w:rsidR="002B03E4" w:rsidRPr="000F1532" w:rsidRDefault="00946EB7" w:rsidP="007B54D8">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Cs/>
                <w:sz w:val="24"/>
                <w:szCs w:val="24"/>
                <w:lang w:val="bg-BG" w:eastAsia="bg-BG"/>
              </w:rPr>
              <w:t>Обучен</w:t>
            </w:r>
            <w:r w:rsidR="00FE21D8" w:rsidRPr="000F1532">
              <w:rPr>
                <w:rFonts w:ascii="Times New Roman" w:eastAsia="Times New Roman" w:hAnsi="Times New Roman" w:cs="Times New Roman"/>
                <w:bCs/>
                <w:sz w:val="24"/>
                <w:szCs w:val="24"/>
                <w:lang w:val="bg-BG" w:eastAsia="bg-BG"/>
              </w:rPr>
              <w:t>ието на бъдещите специалисти в у</w:t>
            </w:r>
            <w:r w:rsidRPr="000F1532">
              <w:rPr>
                <w:rFonts w:ascii="Times New Roman" w:eastAsia="Times New Roman" w:hAnsi="Times New Roman" w:cs="Times New Roman"/>
                <w:bCs/>
                <w:sz w:val="24"/>
                <w:szCs w:val="24"/>
                <w:lang w:val="bg-BG" w:eastAsia="bg-BG"/>
              </w:rPr>
              <w:t xml:space="preserve">ниверситетите, които ще работят в сферата на производството на медикаментозни фуражи и в сферата на животновъдството ще допринесе за правилното лечение и разумната употреба на ветеринарни лекарствени продукти чрез медикаментозните фуражи при лечението на животните и хомогенното разпределение на тези субстанции в произведения медикаментозен фураж. </w:t>
            </w:r>
          </w:p>
          <w:p w14:paraId="5AF3337D" w14:textId="2ED58555" w:rsidR="00284CDA" w:rsidRPr="000F1532" w:rsidRDefault="00284CDA" w:rsidP="00181035">
            <w:pPr>
              <w:spacing w:before="120" w:after="120" w:line="240" w:lineRule="auto"/>
              <w:jc w:val="both"/>
              <w:rPr>
                <w:rFonts w:ascii="Times New Roman" w:eastAsia="Times New Roman" w:hAnsi="Times New Roman" w:cs="Times New Roman"/>
                <w:b/>
                <w:bCs/>
                <w:iCs/>
                <w:sz w:val="24"/>
                <w:szCs w:val="24"/>
                <w:lang w:val="bg-BG"/>
              </w:rPr>
            </w:pPr>
            <w:r w:rsidRPr="000F1532">
              <w:rPr>
                <w:rFonts w:ascii="Times New Roman" w:eastAsia="Times New Roman" w:hAnsi="Times New Roman" w:cs="Times New Roman"/>
                <w:b/>
                <w:bCs/>
                <w:iCs/>
                <w:sz w:val="24"/>
                <w:szCs w:val="24"/>
                <w:lang w:val="bg-BG"/>
              </w:rPr>
              <w:t xml:space="preserve">Към датата на извършване на настоящата частична оценка на въздействието на територията на Република България са одобрени 10 бр. производители на медикаментозни фуражи, които произвеждат такива само за сектор свиневъдство. </w:t>
            </w:r>
          </w:p>
          <w:p w14:paraId="13103825" w14:textId="41B4E604" w:rsidR="00076E63" w:rsidRPr="000F1532" w:rsidRDefault="00076E63" w:rsidP="00181035">
            <w:pPr>
              <w:spacing w:before="120" w:after="12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i/>
                <w:sz w:val="16"/>
                <w:szCs w:val="16"/>
                <w:lang w:val="bg-BG"/>
              </w:rPr>
              <w:t>Посочете всички потенциални за</w:t>
            </w:r>
            <w:r w:rsidR="00E653D3" w:rsidRPr="000F1532">
              <w:rPr>
                <w:rFonts w:ascii="Times New Roman" w:eastAsia="Times New Roman" w:hAnsi="Times New Roman" w:cs="Times New Roman"/>
                <w:i/>
                <w:sz w:val="16"/>
                <w:szCs w:val="16"/>
                <w:lang w:val="bg-BG"/>
              </w:rPr>
              <w:t>интересовани</w:t>
            </w:r>
            <w:r w:rsidRPr="000F1532">
              <w:rPr>
                <w:rFonts w:ascii="Times New Roman" w:eastAsia="Times New Roman" w:hAnsi="Times New Roman" w:cs="Times New Roman"/>
                <w:i/>
                <w:sz w:val="16"/>
                <w:szCs w:val="16"/>
                <w:lang w:val="bg-BG"/>
              </w:rPr>
              <w:t xml:space="preserve"> </w:t>
            </w:r>
            <w:r w:rsidR="0060089B" w:rsidRPr="000F1532">
              <w:rPr>
                <w:rFonts w:ascii="Times New Roman" w:eastAsia="Times New Roman" w:hAnsi="Times New Roman" w:cs="Times New Roman"/>
                <w:i/>
                <w:sz w:val="16"/>
                <w:szCs w:val="16"/>
                <w:lang w:val="bg-BG"/>
              </w:rPr>
              <w:t xml:space="preserve">страни/групи заинтересовани страни </w:t>
            </w:r>
            <w:r w:rsidRPr="000F1532">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0F1532">
              <w:rPr>
                <w:rFonts w:ascii="Times New Roman" w:eastAsia="Times New Roman" w:hAnsi="Times New Roman" w:cs="Times New Roman"/>
                <w:i/>
                <w:sz w:val="16"/>
                <w:szCs w:val="16"/>
                <w:lang w:val="bg-BG"/>
              </w:rPr>
              <w:t xml:space="preserve"> и/или </w:t>
            </w:r>
            <w:r w:rsidRPr="000F1532">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0F1532">
              <w:rPr>
                <w:rFonts w:ascii="Times New Roman" w:eastAsia="Times New Roman" w:hAnsi="Times New Roman" w:cs="Times New Roman"/>
                <w:i/>
                <w:sz w:val="16"/>
                <w:szCs w:val="16"/>
                <w:lang w:val="bg-BG"/>
              </w:rPr>
              <w:t>я</w:t>
            </w:r>
            <w:r w:rsidRPr="000F1532">
              <w:rPr>
                <w:rFonts w:ascii="Times New Roman" w:eastAsia="Times New Roman" w:hAnsi="Times New Roman" w:cs="Times New Roman"/>
                <w:i/>
                <w:sz w:val="16"/>
                <w:szCs w:val="16"/>
                <w:lang w:val="bg-BG"/>
              </w:rPr>
              <w:t>т</w:t>
            </w:r>
            <w:r w:rsidR="0060089B" w:rsidRPr="000F1532">
              <w:rPr>
                <w:rFonts w:ascii="Times New Roman" w:eastAsia="Times New Roman" w:hAnsi="Times New Roman" w:cs="Times New Roman"/>
                <w:i/>
                <w:sz w:val="16"/>
                <w:szCs w:val="16"/>
                <w:lang w:val="bg-BG"/>
              </w:rPr>
              <w:t>а</w:t>
            </w:r>
            <w:r w:rsidRPr="000F1532">
              <w:rPr>
                <w:rFonts w:ascii="Times New Roman" w:eastAsia="Times New Roman" w:hAnsi="Times New Roman" w:cs="Times New Roman"/>
                <w:i/>
                <w:sz w:val="16"/>
                <w:szCs w:val="16"/>
                <w:lang w:val="bg-BG"/>
              </w:rPr>
              <w:t xml:space="preserve"> ще окаж</w:t>
            </w:r>
            <w:r w:rsidR="0060089B" w:rsidRPr="000F1532">
              <w:rPr>
                <w:rFonts w:ascii="Times New Roman" w:eastAsia="Times New Roman" w:hAnsi="Times New Roman" w:cs="Times New Roman"/>
                <w:i/>
                <w:sz w:val="16"/>
                <w:szCs w:val="16"/>
                <w:lang w:val="bg-BG"/>
              </w:rPr>
              <w:t>ат</w:t>
            </w:r>
            <w:r w:rsidRPr="000F1532">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F1532" w:rsidRPr="000F1532" w14:paraId="66D92659" w14:textId="77777777" w:rsidTr="0014689E">
        <w:tc>
          <w:tcPr>
            <w:tcW w:w="9616" w:type="dxa"/>
            <w:gridSpan w:val="2"/>
          </w:tcPr>
          <w:p w14:paraId="5D74D9EC"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4. Варианти на действие. Анализ на въздействията:</w:t>
            </w:r>
          </w:p>
        </w:tc>
      </w:tr>
      <w:tr w:rsidR="000F1532" w:rsidRPr="000F1532" w14:paraId="43D33DAE" w14:textId="77777777" w:rsidTr="0014689E">
        <w:tc>
          <w:tcPr>
            <w:tcW w:w="9616" w:type="dxa"/>
            <w:gridSpan w:val="2"/>
          </w:tcPr>
          <w:p w14:paraId="33A10896" w14:textId="475BA48B" w:rsidR="00042D08" w:rsidRPr="000F1532" w:rsidRDefault="00042D08">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4.1. По </w:t>
            </w:r>
            <w:r w:rsidR="00651913" w:rsidRPr="000F1532">
              <w:rPr>
                <w:rFonts w:ascii="Times New Roman" w:eastAsia="Times New Roman" w:hAnsi="Times New Roman" w:cs="Times New Roman"/>
                <w:b/>
                <w:sz w:val="24"/>
                <w:szCs w:val="24"/>
                <w:lang w:val="bg-BG"/>
              </w:rPr>
              <w:t xml:space="preserve">Проблем </w:t>
            </w:r>
            <w:r w:rsidRPr="000F1532">
              <w:rPr>
                <w:rFonts w:ascii="Times New Roman" w:eastAsia="Times New Roman" w:hAnsi="Times New Roman" w:cs="Times New Roman"/>
                <w:b/>
                <w:sz w:val="24"/>
                <w:szCs w:val="24"/>
                <w:lang w:val="bg-BG"/>
              </w:rPr>
              <w:t>1:</w:t>
            </w:r>
          </w:p>
        </w:tc>
      </w:tr>
      <w:tr w:rsidR="000F1532" w:rsidRPr="000F1532" w14:paraId="0DBF4389" w14:textId="77777777" w:rsidTr="0014689E">
        <w:tc>
          <w:tcPr>
            <w:tcW w:w="9616" w:type="dxa"/>
            <w:gridSpan w:val="2"/>
          </w:tcPr>
          <w:p w14:paraId="19F2183A" w14:textId="40894531"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Вариант </w:t>
            </w:r>
            <w:r w:rsidR="00042D08" w:rsidRPr="000F1532">
              <w:rPr>
                <w:rFonts w:ascii="Times New Roman" w:eastAsia="Times New Roman" w:hAnsi="Times New Roman" w:cs="Times New Roman"/>
                <w:b/>
                <w:sz w:val="24"/>
                <w:szCs w:val="24"/>
                <w:lang w:val="bg-BG"/>
              </w:rPr>
              <w:t xml:space="preserve">1 </w:t>
            </w:r>
            <w:r w:rsidRPr="000F1532">
              <w:rPr>
                <w:rFonts w:ascii="Times New Roman" w:eastAsia="Times New Roman" w:hAnsi="Times New Roman" w:cs="Times New Roman"/>
                <w:b/>
                <w:sz w:val="24"/>
                <w:szCs w:val="24"/>
                <w:lang w:val="bg-BG"/>
              </w:rPr>
              <w:t>„Без действие“:</w:t>
            </w:r>
          </w:p>
          <w:p w14:paraId="77981EA4"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Описание:</w:t>
            </w:r>
          </w:p>
          <w:p w14:paraId="0621820A" w14:textId="4EA87572" w:rsidR="00E75B8E" w:rsidRPr="000F1532" w:rsidRDefault="00E75B8E"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Вариантът „Без действие“ се характеризира с непредприемането на никакви действия, които пряко да адресират дефинираните проблеми. При такъв вариант констатираните проблеми ще продължат да съществуват и определените цели няма да бъдат постигнати. Ще продължават да съществуват предпоставките за пускането на пазара на медикаментозни фуражи, които не </w:t>
            </w:r>
            <w:r w:rsidR="00ED51EF" w:rsidRPr="000F1532">
              <w:rPr>
                <w:rFonts w:ascii="Times New Roman" w:eastAsia="Times New Roman" w:hAnsi="Times New Roman" w:cs="Times New Roman"/>
                <w:sz w:val="24"/>
                <w:szCs w:val="24"/>
                <w:lang w:val="bg-BG"/>
              </w:rPr>
              <w:t>съответстват</w:t>
            </w:r>
            <w:r w:rsidRPr="000F1532">
              <w:rPr>
                <w:rFonts w:ascii="Times New Roman" w:eastAsia="Times New Roman" w:hAnsi="Times New Roman" w:cs="Times New Roman"/>
                <w:sz w:val="24"/>
                <w:szCs w:val="24"/>
                <w:lang w:val="bg-BG"/>
              </w:rPr>
              <w:t xml:space="preserve"> на </w:t>
            </w:r>
            <w:r w:rsidR="00ED51EF" w:rsidRPr="000F1532">
              <w:rPr>
                <w:rFonts w:ascii="Times New Roman" w:eastAsia="Times New Roman" w:hAnsi="Times New Roman" w:cs="Times New Roman"/>
                <w:sz w:val="24"/>
                <w:szCs w:val="24"/>
                <w:lang w:val="bg-BG"/>
              </w:rPr>
              <w:t>изискванията</w:t>
            </w:r>
            <w:r w:rsidRPr="000F1532">
              <w:rPr>
                <w:rFonts w:ascii="Times New Roman" w:eastAsia="Times New Roman" w:hAnsi="Times New Roman" w:cs="Times New Roman"/>
                <w:sz w:val="24"/>
                <w:szCs w:val="24"/>
                <w:lang w:val="bg-BG"/>
              </w:rPr>
              <w:t xml:space="preserve"> на европейското законодателство.</w:t>
            </w:r>
          </w:p>
          <w:p w14:paraId="217DE7E3" w14:textId="4E8668B0"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Положителни (икономически/социални/</w:t>
            </w:r>
            <w:r w:rsidR="00064387" w:rsidRPr="000F1532">
              <w:rPr>
                <w:rFonts w:ascii="Times New Roman" w:eastAsia="Times New Roman" w:hAnsi="Times New Roman" w:cs="Times New Roman"/>
                <w:b/>
                <w:sz w:val="24"/>
                <w:szCs w:val="24"/>
                <w:lang w:val="bg-BG"/>
              </w:rPr>
              <w:t>екологични</w:t>
            </w:r>
            <w:r w:rsidRPr="000F1532">
              <w:rPr>
                <w:rFonts w:ascii="Times New Roman" w:eastAsia="Times New Roman" w:hAnsi="Times New Roman" w:cs="Times New Roman"/>
                <w:b/>
                <w:sz w:val="24"/>
                <w:szCs w:val="24"/>
                <w:lang w:val="bg-BG"/>
              </w:rPr>
              <w:t>) въздействия:</w:t>
            </w:r>
          </w:p>
          <w:p w14:paraId="7635AFC0" w14:textId="15E2730A" w:rsidR="00076E63" w:rsidRPr="000F1532" w:rsidRDefault="00E75B8E"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са идентифицирани очаквани положителни икономически, социални или екологични въздействия вследствие на прилагането на този вариант.</w:t>
            </w:r>
          </w:p>
          <w:p w14:paraId="04A4531D" w14:textId="746338AD"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(върху всяка за</w:t>
            </w:r>
            <w:r w:rsidR="00E653D3" w:rsidRPr="000F1532">
              <w:rPr>
                <w:rFonts w:ascii="Times New Roman" w:eastAsia="Times New Roman" w:hAnsi="Times New Roman" w:cs="Times New Roman"/>
                <w:i/>
                <w:sz w:val="16"/>
                <w:szCs w:val="16"/>
                <w:lang w:val="bg-BG"/>
              </w:rPr>
              <w:t>интересована</w:t>
            </w:r>
            <w:r w:rsidRPr="000F1532">
              <w:rPr>
                <w:rFonts w:ascii="Times New Roman" w:eastAsia="Times New Roman" w:hAnsi="Times New Roman" w:cs="Times New Roman"/>
                <w:i/>
                <w:sz w:val="16"/>
                <w:szCs w:val="16"/>
                <w:lang w:val="bg-BG"/>
              </w:rPr>
              <w:t xml:space="preserve"> страна/група за</w:t>
            </w:r>
            <w:r w:rsidR="00E653D3" w:rsidRPr="000F1532">
              <w:rPr>
                <w:rFonts w:ascii="Times New Roman" w:eastAsia="Times New Roman" w:hAnsi="Times New Roman" w:cs="Times New Roman"/>
                <w:i/>
                <w:sz w:val="16"/>
                <w:szCs w:val="16"/>
                <w:lang w:val="bg-BG"/>
              </w:rPr>
              <w:t>интересовани</w:t>
            </w:r>
            <w:r w:rsidRPr="000F1532">
              <w:rPr>
                <w:rFonts w:ascii="Times New Roman" w:eastAsia="Times New Roman" w:hAnsi="Times New Roman" w:cs="Times New Roman"/>
                <w:i/>
                <w:sz w:val="16"/>
                <w:szCs w:val="16"/>
                <w:lang w:val="bg-BG"/>
              </w:rPr>
              <w:t xml:space="preserve"> страни)</w:t>
            </w:r>
          </w:p>
          <w:p w14:paraId="2F15247A" w14:textId="65D5DBB3"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Отрицателни (икономически/социални/</w:t>
            </w:r>
            <w:r w:rsidR="00064387" w:rsidRPr="000F1532">
              <w:rPr>
                <w:rFonts w:ascii="Times New Roman" w:eastAsia="Times New Roman" w:hAnsi="Times New Roman" w:cs="Times New Roman"/>
                <w:b/>
                <w:sz w:val="24"/>
                <w:szCs w:val="24"/>
                <w:lang w:val="bg-BG"/>
              </w:rPr>
              <w:t>екологични</w:t>
            </w:r>
            <w:r w:rsidRPr="000F1532">
              <w:rPr>
                <w:rFonts w:ascii="Times New Roman" w:eastAsia="Times New Roman" w:hAnsi="Times New Roman" w:cs="Times New Roman"/>
                <w:b/>
                <w:sz w:val="24"/>
                <w:szCs w:val="24"/>
                <w:lang w:val="bg-BG"/>
              </w:rPr>
              <w:t>) въздействия:</w:t>
            </w:r>
          </w:p>
          <w:p w14:paraId="7103AADC" w14:textId="2FAE84EF" w:rsidR="00E75B8E" w:rsidRPr="000F1532" w:rsidRDefault="00E75B8E" w:rsidP="00E75B8E">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Продължаване на тенденцията за </w:t>
            </w:r>
            <w:r w:rsidR="00ED51EF" w:rsidRPr="000F1532">
              <w:rPr>
                <w:rFonts w:ascii="Times New Roman" w:eastAsia="Times New Roman" w:hAnsi="Times New Roman" w:cs="Times New Roman"/>
                <w:sz w:val="24"/>
                <w:szCs w:val="24"/>
                <w:lang w:val="bg-BG"/>
              </w:rPr>
              <w:t>производство</w:t>
            </w:r>
            <w:r w:rsidR="0079010A" w:rsidRPr="000F1532">
              <w:rPr>
                <w:rFonts w:ascii="Times New Roman" w:eastAsia="Times New Roman" w:hAnsi="Times New Roman" w:cs="Times New Roman"/>
                <w:sz w:val="24"/>
                <w:szCs w:val="24"/>
                <w:lang w:val="bg-BG"/>
              </w:rPr>
              <w:t xml:space="preserve"> и пускане на пазара на медикаментозни фуражи в </w:t>
            </w:r>
            <w:r w:rsidR="00ED51EF" w:rsidRPr="000F1532">
              <w:rPr>
                <w:rFonts w:ascii="Times New Roman" w:eastAsia="Times New Roman" w:hAnsi="Times New Roman" w:cs="Times New Roman"/>
                <w:sz w:val="24"/>
                <w:szCs w:val="24"/>
                <w:lang w:val="bg-BG"/>
              </w:rPr>
              <w:t>съответствие</w:t>
            </w:r>
            <w:r w:rsidR="0079010A" w:rsidRPr="000F1532">
              <w:rPr>
                <w:rFonts w:ascii="Times New Roman" w:eastAsia="Times New Roman" w:hAnsi="Times New Roman" w:cs="Times New Roman"/>
                <w:sz w:val="24"/>
                <w:szCs w:val="24"/>
                <w:lang w:val="bg-BG"/>
              </w:rPr>
              <w:t xml:space="preserve"> с настоящите национални правила и създаване на предпоставка за задълбочаване на проблема с антимикробната </w:t>
            </w:r>
            <w:r w:rsidR="00ED51EF" w:rsidRPr="000F1532">
              <w:rPr>
                <w:rFonts w:ascii="Times New Roman" w:eastAsia="Times New Roman" w:hAnsi="Times New Roman" w:cs="Times New Roman"/>
                <w:sz w:val="24"/>
                <w:szCs w:val="24"/>
                <w:lang w:val="bg-BG"/>
              </w:rPr>
              <w:t>резистентност</w:t>
            </w:r>
            <w:r w:rsidRPr="000F1532">
              <w:rPr>
                <w:rFonts w:ascii="Times New Roman" w:eastAsia="Times New Roman" w:hAnsi="Times New Roman" w:cs="Times New Roman"/>
                <w:sz w:val="24"/>
                <w:szCs w:val="24"/>
                <w:lang w:val="bg-BG"/>
              </w:rPr>
              <w:t xml:space="preserve">. </w:t>
            </w:r>
          </w:p>
          <w:p w14:paraId="01039272" w14:textId="39F7C314"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w:t>
            </w:r>
            <w:r w:rsidR="00E653D3"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F1532">
              <w:rPr>
                <w:rFonts w:ascii="Times New Roman" w:eastAsia="Times New Roman" w:hAnsi="Times New Roman" w:cs="Times New Roman"/>
                <w:i/>
                <w:sz w:val="16"/>
                <w:szCs w:val="16"/>
                <w:lang w:val="bg-BG"/>
              </w:rPr>
              <w:t>)</w:t>
            </w:r>
          </w:p>
          <w:p w14:paraId="0115CB54" w14:textId="5B400B63"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Специфични въздействия:</w:t>
            </w:r>
          </w:p>
          <w:p w14:paraId="328122B2" w14:textId="63ACD117" w:rsidR="00193B68" w:rsidRPr="000F1532" w:rsidRDefault="00FE21D8"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са идентифицирани</w:t>
            </w:r>
            <w:r w:rsidR="0079010A" w:rsidRPr="000F1532">
              <w:rPr>
                <w:rFonts w:ascii="Times New Roman" w:eastAsia="Times New Roman" w:hAnsi="Times New Roman" w:cs="Times New Roman"/>
                <w:sz w:val="24"/>
                <w:szCs w:val="24"/>
                <w:lang w:val="bg-BG"/>
              </w:rPr>
              <w:t xml:space="preserve"> специфични въздействия при този вариант.</w:t>
            </w:r>
          </w:p>
          <w:p w14:paraId="1F26088B" w14:textId="19998B49" w:rsidR="0079010A"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Въздействия върху малките и средните предприятия:</w:t>
            </w:r>
            <w:r w:rsidRPr="000F1532">
              <w:rPr>
                <w:rFonts w:ascii="Times New Roman" w:eastAsia="Times New Roman" w:hAnsi="Times New Roman" w:cs="Times New Roman"/>
                <w:sz w:val="24"/>
                <w:szCs w:val="24"/>
                <w:lang w:val="bg-BG"/>
              </w:rPr>
              <w:t xml:space="preserve">  </w:t>
            </w:r>
          </w:p>
          <w:p w14:paraId="439C0549" w14:textId="1F1CE2D4" w:rsidR="0079010A" w:rsidRPr="000F1532" w:rsidRDefault="0079010A" w:rsidP="00193B68">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 случай че посочените предприятия боравят с медикаментозни фуражи, вариантът „Без действие“ ще се отрази неблагоприятно и за тях</w:t>
            </w:r>
            <w:r w:rsidR="0080240D" w:rsidRPr="000F1532">
              <w:rPr>
                <w:rFonts w:ascii="Times New Roman" w:eastAsia="Times New Roman" w:hAnsi="Times New Roman" w:cs="Times New Roman"/>
                <w:sz w:val="24"/>
                <w:szCs w:val="24"/>
                <w:lang w:val="bg-BG"/>
              </w:rPr>
              <w:t>, тъй като ще  бъде създадена предпоставка за задълбочаване на проблема с антимикробната резистентност</w:t>
            </w:r>
            <w:r w:rsidR="006B439A" w:rsidRPr="000F1532">
              <w:rPr>
                <w:rFonts w:ascii="Times New Roman" w:eastAsia="Times New Roman" w:hAnsi="Times New Roman" w:cs="Times New Roman"/>
                <w:sz w:val="24"/>
                <w:szCs w:val="24"/>
                <w:lang w:val="bg-BG"/>
              </w:rPr>
              <w:t>.</w:t>
            </w:r>
            <w:r w:rsidR="0080240D" w:rsidRPr="000F1532">
              <w:rPr>
                <w:rFonts w:ascii="Times New Roman" w:eastAsia="Times New Roman" w:hAnsi="Times New Roman" w:cs="Times New Roman"/>
                <w:sz w:val="24"/>
                <w:szCs w:val="24"/>
                <w:lang w:val="bg-BG"/>
              </w:rPr>
              <w:t xml:space="preserve"> </w:t>
            </w:r>
          </w:p>
          <w:p w14:paraId="77D1B46C" w14:textId="1A22DEBB" w:rsidR="00076E63" w:rsidRPr="000F1532" w:rsidRDefault="00076E63" w:rsidP="0079010A">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Административна тежест:</w:t>
            </w:r>
            <w:r w:rsidRPr="000F1532">
              <w:rPr>
                <w:rFonts w:ascii="Times New Roman" w:eastAsia="Times New Roman" w:hAnsi="Times New Roman" w:cs="Times New Roman"/>
                <w:sz w:val="24"/>
                <w:szCs w:val="24"/>
                <w:lang w:val="bg-BG"/>
              </w:rPr>
              <w:t xml:space="preserve"> </w:t>
            </w:r>
          </w:p>
          <w:p w14:paraId="46C77B0F" w14:textId="707A7CC1" w:rsidR="0079010A" w:rsidRPr="000F1532" w:rsidRDefault="0079010A" w:rsidP="0079010A">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При този вариант административната тежест не се променя.</w:t>
            </w:r>
          </w:p>
          <w:p w14:paraId="7A252E0D" w14:textId="7DC2FCDF" w:rsidR="00076E63" w:rsidRPr="000F1532" w:rsidRDefault="0078311F">
            <w:pPr>
              <w:spacing w:after="120" w:line="240" w:lineRule="auto"/>
              <w:jc w:val="center"/>
              <w:rPr>
                <w:rFonts w:ascii="Times New Roman" w:eastAsia="Times New Roman" w:hAnsi="Times New Roman" w:cs="Times New Roman"/>
                <w:i/>
                <w:sz w:val="20"/>
                <w:szCs w:val="20"/>
                <w:lang w:val="bg-BG"/>
              </w:rPr>
            </w:pPr>
            <w:r w:rsidRPr="000F1532">
              <w:rPr>
                <w:rFonts w:ascii="Times New Roman" w:eastAsia="Times New Roman" w:hAnsi="Times New Roman" w:cs="Times New Roman"/>
                <w:i/>
                <w:sz w:val="16"/>
                <w:szCs w:val="16"/>
                <w:lang w:val="bg-BG"/>
              </w:rPr>
              <w:t xml:space="preserve">1.1. </w:t>
            </w:r>
            <w:r w:rsidR="00076E63" w:rsidRPr="000F1532">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0F1532">
              <w:rPr>
                <w:rFonts w:ascii="Times New Roman" w:eastAsia="Times New Roman" w:hAnsi="Times New Roman" w:cs="Times New Roman"/>
                <w:i/>
                <w:sz w:val="16"/>
                <w:szCs w:val="16"/>
                <w:lang w:val="bg-BG"/>
              </w:rPr>
              <w:t>ючително</w:t>
            </w:r>
            <w:r w:rsidR="00076E63" w:rsidRPr="000F1532">
              <w:rPr>
                <w:rFonts w:ascii="Times New Roman" w:eastAsia="Times New Roman" w:hAnsi="Times New Roman" w:cs="Times New Roman"/>
                <w:i/>
                <w:sz w:val="16"/>
                <w:szCs w:val="16"/>
                <w:lang w:val="bg-BG"/>
              </w:rPr>
              <w:t xml:space="preserve"> </w:t>
            </w:r>
            <w:r w:rsidR="00E653D3"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0F1532">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7F64A028" w14:textId="2E9E22CB" w:rsidR="00F04B4E" w:rsidRPr="000F1532" w:rsidRDefault="0078311F" w:rsidP="00DB39A5">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 xml:space="preserve">1.2. </w:t>
            </w:r>
            <w:r w:rsidR="00F04B4E" w:rsidRPr="000F1532">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03E8290" w14:textId="701B219D" w:rsidR="00E44DE0" w:rsidRPr="000F1532" w:rsidRDefault="00E44DE0" w:rsidP="00E44DE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Вариант 2</w:t>
            </w:r>
            <w:r w:rsidR="0079010A" w:rsidRPr="000F1532">
              <w:rPr>
                <w:rFonts w:ascii="Times New Roman" w:eastAsia="Times New Roman" w:hAnsi="Times New Roman" w:cs="Times New Roman"/>
                <w:b/>
                <w:sz w:val="24"/>
                <w:szCs w:val="24"/>
                <w:lang w:val="bg-BG"/>
              </w:rPr>
              <w:t>:</w:t>
            </w:r>
            <w:r w:rsidR="0014026D" w:rsidRPr="000F1532">
              <w:rPr>
                <w:lang w:val="bg-BG"/>
              </w:rPr>
              <w:t xml:space="preserve"> </w:t>
            </w:r>
            <w:r w:rsidR="0014026D" w:rsidRPr="000F1532">
              <w:rPr>
                <w:rFonts w:ascii="Times New Roman" w:hAnsi="Times New Roman" w:cs="Times New Roman"/>
                <w:b/>
                <w:sz w:val="24"/>
                <w:szCs w:val="24"/>
                <w:lang w:val="bg-BG"/>
              </w:rPr>
              <w:t>Приемане на</w:t>
            </w:r>
            <w:r w:rsidR="0014026D" w:rsidRPr="000F1532">
              <w:rPr>
                <w:lang w:val="bg-BG"/>
              </w:rPr>
              <w:t xml:space="preserve"> </w:t>
            </w:r>
            <w:r w:rsidR="0014026D" w:rsidRPr="000F1532">
              <w:rPr>
                <w:rFonts w:ascii="Times New Roman" w:eastAsia="Times New Roman" w:hAnsi="Times New Roman" w:cs="Times New Roman"/>
                <w:b/>
                <w:sz w:val="24"/>
                <w:szCs w:val="24"/>
                <w:lang w:val="bg-BG"/>
              </w:rPr>
              <w:t>Закон за изменение и допълнение на Закона за фуражите</w:t>
            </w:r>
          </w:p>
          <w:p w14:paraId="2923BC29" w14:textId="77777777" w:rsidR="00E44DE0" w:rsidRPr="000F1532" w:rsidRDefault="00E44DE0" w:rsidP="00E44DE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Описание:</w:t>
            </w:r>
          </w:p>
          <w:p w14:paraId="5AF62F75" w14:textId="22F04C9C" w:rsidR="00E44DE0" w:rsidRPr="000F1532" w:rsidRDefault="0079010A" w:rsidP="00E44DE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Реализирането на варианта предполага промени в процеса на </w:t>
            </w:r>
            <w:r w:rsidR="00ED51EF" w:rsidRPr="000F1532">
              <w:rPr>
                <w:rFonts w:ascii="Times New Roman" w:eastAsia="Times New Roman" w:hAnsi="Times New Roman" w:cs="Times New Roman"/>
                <w:sz w:val="24"/>
                <w:szCs w:val="24"/>
                <w:lang w:val="bg-BG"/>
              </w:rPr>
              <w:t>производство</w:t>
            </w:r>
            <w:r w:rsidRPr="000F1532">
              <w:rPr>
                <w:rFonts w:ascii="Times New Roman" w:eastAsia="Times New Roman" w:hAnsi="Times New Roman" w:cs="Times New Roman"/>
                <w:sz w:val="24"/>
                <w:szCs w:val="24"/>
                <w:lang w:val="bg-BG"/>
              </w:rPr>
              <w:t xml:space="preserve"> на медикаментозни фуражи. В </w:t>
            </w:r>
            <w:r w:rsidR="00241FDB" w:rsidRPr="000F1532">
              <w:rPr>
                <w:rFonts w:ascii="Times New Roman" w:eastAsia="Times New Roman" w:hAnsi="Times New Roman" w:cs="Times New Roman"/>
                <w:sz w:val="24"/>
                <w:szCs w:val="24"/>
                <w:lang w:val="bg-BG"/>
              </w:rPr>
              <w:t xml:space="preserve">Регламент (ЕС) 2019/4 </w:t>
            </w:r>
            <w:r w:rsidRPr="000F1532">
              <w:rPr>
                <w:rFonts w:ascii="Times New Roman" w:eastAsia="Times New Roman" w:hAnsi="Times New Roman" w:cs="Times New Roman"/>
                <w:sz w:val="24"/>
                <w:szCs w:val="24"/>
                <w:lang w:val="bg-BG"/>
              </w:rPr>
              <w:t xml:space="preserve"> са посочени съответните мерки и действия, които трябва да бъдат </w:t>
            </w:r>
            <w:r w:rsidR="00ED51EF" w:rsidRPr="000F1532">
              <w:rPr>
                <w:rFonts w:ascii="Times New Roman" w:eastAsia="Times New Roman" w:hAnsi="Times New Roman" w:cs="Times New Roman"/>
                <w:sz w:val="24"/>
                <w:szCs w:val="24"/>
                <w:lang w:val="bg-BG"/>
              </w:rPr>
              <w:t>прилагани</w:t>
            </w:r>
            <w:r w:rsidRPr="000F1532">
              <w:rPr>
                <w:rFonts w:ascii="Times New Roman" w:eastAsia="Times New Roman" w:hAnsi="Times New Roman" w:cs="Times New Roman"/>
                <w:sz w:val="24"/>
                <w:szCs w:val="24"/>
                <w:lang w:val="bg-BG"/>
              </w:rPr>
              <w:t xml:space="preserve"> от операторите в сектора на фуражите. С </w:t>
            </w:r>
            <w:r w:rsidR="00241FDB" w:rsidRPr="000F1532">
              <w:rPr>
                <w:rFonts w:ascii="Times New Roman" w:eastAsia="Times New Roman" w:hAnsi="Times New Roman" w:cs="Times New Roman"/>
                <w:sz w:val="24"/>
                <w:szCs w:val="24"/>
                <w:lang w:val="bg-BG"/>
              </w:rPr>
              <w:t>регламента</w:t>
            </w:r>
            <w:r w:rsidRPr="000F1532">
              <w:rPr>
                <w:rFonts w:ascii="Times New Roman" w:eastAsia="Times New Roman" w:hAnsi="Times New Roman" w:cs="Times New Roman"/>
                <w:sz w:val="24"/>
                <w:szCs w:val="24"/>
                <w:lang w:val="bg-BG"/>
              </w:rPr>
              <w:t xml:space="preserve"> се въвежда нова възможност за </w:t>
            </w:r>
            <w:r w:rsidR="00ED51EF" w:rsidRPr="000F1532">
              <w:rPr>
                <w:rFonts w:ascii="Times New Roman" w:eastAsia="Times New Roman" w:hAnsi="Times New Roman" w:cs="Times New Roman"/>
                <w:sz w:val="24"/>
                <w:szCs w:val="24"/>
                <w:lang w:val="bg-BG"/>
              </w:rPr>
              <w:t>производство</w:t>
            </w:r>
            <w:r w:rsidRPr="000F1532">
              <w:rPr>
                <w:rFonts w:ascii="Times New Roman" w:eastAsia="Times New Roman" w:hAnsi="Times New Roman" w:cs="Times New Roman"/>
                <w:sz w:val="24"/>
                <w:szCs w:val="24"/>
                <w:lang w:val="bg-BG"/>
              </w:rPr>
              <w:t xml:space="preserve"> на медикаментозни фуражи, за която дейност е разписана процедура по одобрение.</w:t>
            </w:r>
          </w:p>
          <w:p w14:paraId="6F46DEF4" w14:textId="25CEB0FC" w:rsidR="0079010A" w:rsidRPr="000F1532" w:rsidRDefault="009469D2" w:rsidP="00E44DE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 предложения Закон за изменение и допълнение на Закона за фуражите са разписани основните изисквания по отношение на мерките за намаляване на кръстосаното замърсяване в нецелеви фуражи, което е свързано и с мерките за борба с АМР и за насърчаване на разумно и отговорно използване на антимикробни средства, следвайки подхода „едно здраве“. До определянето на максимални граници за кръстосано замърсяване на фуражите с антимикробни средства, основаващи се на научна оценка се въвежда изискване за недопускане на кръстосано замърсяване в рамките на границата на откриване на метода на анализ на активното лекарствено вещество.</w:t>
            </w:r>
            <w:r w:rsidR="006B439A" w:rsidRPr="000F1532">
              <w:rPr>
                <w:lang w:val="bg-BG"/>
              </w:rPr>
              <w:t xml:space="preserve"> </w:t>
            </w:r>
            <w:r w:rsidR="006B439A" w:rsidRPr="000F1532">
              <w:rPr>
                <w:rFonts w:ascii="Times New Roman" w:eastAsia="Times New Roman" w:hAnsi="Times New Roman" w:cs="Times New Roman"/>
                <w:sz w:val="24"/>
                <w:szCs w:val="24"/>
                <w:lang w:val="bg-BG"/>
              </w:rPr>
              <w:t xml:space="preserve">Въведените изисквания за недопускане на кръстосано замърсяване са свързани с изменения на разпоредбите </w:t>
            </w:r>
            <w:r w:rsidR="00B7034F" w:rsidRPr="000F1532">
              <w:rPr>
                <w:rFonts w:ascii="Times New Roman" w:eastAsia="Times New Roman" w:hAnsi="Times New Roman" w:cs="Times New Roman"/>
                <w:sz w:val="24"/>
                <w:szCs w:val="24"/>
                <w:lang w:val="bg-BG"/>
              </w:rPr>
              <w:t xml:space="preserve">разписани </w:t>
            </w:r>
            <w:r w:rsidR="006B439A" w:rsidRPr="000F1532">
              <w:rPr>
                <w:rFonts w:ascii="Times New Roman" w:eastAsia="Times New Roman" w:hAnsi="Times New Roman" w:cs="Times New Roman"/>
                <w:sz w:val="24"/>
                <w:szCs w:val="24"/>
                <w:lang w:val="bg-BG"/>
              </w:rPr>
              <w:t>в Глава VII „Медикаментозни фуражи“ от действащия Закон за фуражите.</w:t>
            </w:r>
          </w:p>
          <w:p w14:paraId="7027BA33" w14:textId="77B7BF5B" w:rsidR="00EF051B" w:rsidRPr="000F1532" w:rsidRDefault="00EF051B" w:rsidP="00E44DE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Допълват</w:t>
            </w:r>
            <w:r w:rsidR="009469D2" w:rsidRPr="000F1532">
              <w:rPr>
                <w:rFonts w:ascii="Times New Roman" w:eastAsia="Times New Roman" w:hAnsi="Times New Roman" w:cs="Times New Roman"/>
                <w:sz w:val="24"/>
                <w:szCs w:val="24"/>
                <w:lang w:val="bg-BG"/>
              </w:rPr>
              <w:t xml:space="preserve"> се процедурите за регистрация и одобрение на национално ниво </w:t>
            </w:r>
            <w:r w:rsidRPr="000F1532">
              <w:rPr>
                <w:rFonts w:ascii="Times New Roman" w:eastAsia="Times New Roman" w:hAnsi="Times New Roman" w:cs="Times New Roman"/>
                <w:sz w:val="24"/>
                <w:szCs w:val="24"/>
                <w:lang w:val="bg-BG"/>
              </w:rPr>
              <w:t>разписани в Закона за фуражите за регистрация и одобрение на обекти, съгласно Регламент (ЕО) № 183/2005 с включването на обектите на оп</w:t>
            </w:r>
            <w:r w:rsidR="009469D2" w:rsidRPr="000F1532">
              <w:rPr>
                <w:rFonts w:ascii="Times New Roman" w:eastAsia="Times New Roman" w:hAnsi="Times New Roman" w:cs="Times New Roman"/>
                <w:sz w:val="24"/>
                <w:szCs w:val="24"/>
                <w:lang w:val="bg-BG"/>
              </w:rPr>
              <w:t xml:space="preserve">ераторите, които работят в сектора на </w:t>
            </w:r>
            <w:r w:rsidR="00F41D5F" w:rsidRPr="000F1532">
              <w:rPr>
                <w:rFonts w:ascii="Times New Roman" w:eastAsia="Times New Roman" w:hAnsi="Times New Roman" w:cs="Times New Roman"/>
                <w:sz w:val="24"/>
                <w:szCs w:val="24"/>
                <w:lang w:val="bg-BG"/>
              </w:rPr>
              <w:t>производството</w:t>
            </w:r>
            <w:r w:rsidR="009469D2" w:rsidRPr="000F1532">
              <w:rPr>
                <w:rFonts w:ascii="Times New Roman" w:eastAsia="Times New Roman" w:hAnsi="Times New Roman" w:cs="Times New Roman"/>
                <w:sz w:val="24"/>
                <w:szCs w:val="24"/>
                <w:lang w:val="bg-BG"/>
              </w:rPr>
              <w:t xml:space="preserve"> и търговията на медикаментозни фуражи, включително и на мобилни смесители.</w:t>
            </w:r>
            <w:r w:rsidR="00794150" w:rsidRPr="000F1532">
              <w:rPr>
                <w:rFonts w:ascii="Times New Roman" w:eastAsia="Times New Roman" w:hAnsi="Times New Roman" w:cs="Times New Roman"/>
                <w:sz w:val="24"/>
                <w:szCs w:val="24"/>
                <w:lang w:val="bg-BG"/>
              </w:rPr>
              <w:t xml:space="preserve"> </w:t>
            </w:r>
          </w:p>
          <w:p w14:paraId="251BF829" w14:textId="48598A0B" w:rsidR="009469D2" w:rsidRPr="000F1532" w:rsidRDefault="009469D2" w:rsidP="00E44DE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Съгласно чл. 22 от Регламент (ЕС) 2019/4 държавите членки трябва да установят система от санкции, приложими при нарушение на настоящия регламент, и да се вземат всички мерки, необходими за да гарантират прилагането им. Предвидените санкции трябва да бъдат ефективни, пропорционални и възпиращи.</w:t>
            </w:r>
          </w:p>
          <w:p w14:paraId="75674DEE" w14:textId="1F147631" w:rsidR="006025DC" w:rsidRPr="000F1532" w:rsidRDefault="006025DC" w:rsidP="00E44DE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Предвидени са санкции </w:t>
            </w:r>
            <w:r w:rsidR="009512C1" w:rsidRPr="000F1532">
              <w:rPr>
                <w:rFonts w:ascii="Times New Roman" w:eastAsia="Times New Roman" w:hAnsi="Times New Roman" w:cs="Times New Roman"/>
                <w:sz w:val="24"/>
                <w:szCs w:val="24"/>
                <w:lang w:val="bg-BG"/>
              </w:rPr>
              <w:t>за:</w:t>
            </w:r>
          </w:p>
          <w:p w14:paraId="7BF1EFC2" w14:textId="5F34F939" w:rsidR="00213D64" w:rsidRPr="000F1532" w:rsidRDefault="009512C1" w:rsidP="00213D64">
            <w:pPr>
              <w:pStyle w:val="ListParagraph"/>
              <w:numPr>
                <w:ilvl w:val="0"/>
                <w:numId w:val="12"/>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нарушаване на </w:t>
            </w:r>
            <w:r w:rsidR="006025DC" w:rsidRPr="000F1532">
              <w:rPr>
                <w:rFonts w:ascii="Times New Roman" w:eastAsia="Times New Roman" w:hAnsi="Times New Roman" w:cs="Times New Roman"/>
                <w:sz w:val="24"/>
                <w:szCs w:val="24"/>
                <w:lang w:val="bg-BG"/>
              </w:rPr>
              <w:t xml:space="preserve">разпоредбите за реклама на медикаментозни фуражи (чл. 60а от </w:t>
            </w:r>
            <w:r w:rsidR="00CF7EC2" w:rsidRPr="000F1532">
              <w:rPr>
                <w:rFonts w:ascii="Times New Roman" w:eastAsia="Times New Roman" w:hAnsi="Times New Roman" w:cs="Times New Roman"/>
                <w:sz w:val="24"/>
                <w:szCs w:val="24"/>
                <w:lang w:val="bg-BG"/>
              </w:rPr>
              <w:t>закона</w:t>
            </w:r>
            <w:r w:rsidR="006025DC" w:rsidRPr="000F1532">
              <w:rPr>
                <w:rFonts w:ascii="Times New Roman" w:eastAsia="Times New Roman" w:hAnsi="Times New Roman" w:cs="Times New Roman"/>
                <w:sz w:val="24"/>
                <w:szCs w:val="24"/>
                <w:lang w:val="bg-BG"/>
              </w:rPr>
              <w:t>)</w:t>
            </w:r>
            <w:r w:rsidR="00213D64" w:rsidRPr="000F1532">
              <w:rPr>
                <w:rFonts w:ascii="Times New Roman" w:eastAsia="Times New Roman" w:hAnsi="Times New Roman" w:cs="Times New Roman"/>
                <w:sz w:val="24"/>
                <w:szCs w:val="24"/>
                <w:lang w:val="bg-BG"/>
              </w:rPr>
              <w:t>:</w:t>
            </w:r>
          </w:p>
          <w:p w14:paraId="42468FDA" w14:textId="7E6ACB7E" w:rsidR="00213D64" w:rsidRPr="000F1532" w:rsidRDefault="00213D64"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за физическо лице, което наруши разпоредбите глоба в размер от 5 000 до 10 000 лв., а при повторно нарушение глобата е в размер от 10000 до 15 000 лв.;</w:t>
            </w:r>
          </w:p>
          <w:p w14:paraId="0D830B20" w14:textId="318A9D97" w:rsidR="006025DC" w:rsidRPr="000F1532" w:rsidRDefault="00213D64"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за юридическо лице или едноличен търговец, се налага имуществена санкция в размер от 10 000 до 15 000 лв., а при повторно нарушение санкцията е в размер от 15 000 до 30 000 лв</w:t>
            </w:r>
            <w:r w:rsidR="00DB39A5" w:rsidRPr="000F1532">
              <w:rPr>
                <w:rFonts w:ascii="Times New Roman" w:eastAsia="Times New Roman" w:hAnsi="Times New Roman" w:cs="Times New Roman"/>
                <w:sz w:val="24"/>
                <w:szCs w:val="24"/>
                <w:lang w:val="bg-BG"/>
              </w:rPr>
              <w:t>.</w:t>
            </w:r>
            <w:r w:rsidR="006025DC" w:rsidRPr="000F1532">
              <w:rPr>
                <w:rFonts w:ascii="Times New Roman" w:eastAsia="Times New Roman" w:hAnsi="Times New Roman" w:cs="Times New Roman"/>
                <w:sz w:val="24"/>
                <w:szCs w:val="24"/>
                <w:lang w:val="bg-BG"/>
              </w:rPr>
              <w:t>;</w:t>
            </w:r>
          </w:p>
          <w:p w14:paraId="25D861EF" w14:textId="0E49E098" w:rsidR="00213D64" w:rsidRPr="000F1532" w:rsidRDefault="006025DC" w:rsidP="00213D64">
            <w:pPr>
              <w:pStyle w:val="ListParagraph"/>
              <w:numPr>
                <w:ilvl w:val="0"/>
                <w:numId w:val="12"/>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търговия на дребно с фуражи за животни, които не са предназначени за производство на храни в обекти, </w:t>
            </w:r>
            <w:r w:rsidR="009512C1" w:rsidRPr="000F1532">
              <w:rPr>
                <w:rFonts w:ascii="Times New Roman" w:eastAsia="Times New Roman" w:hAnsi="Times New Roman" w:cs="Times New Roman"/>
                <w:sz w:val="24"/>
                <w:szCs w:val="24"/>
                <w:lang w:val="bg-BG"/>
              </w:rPr>
              <w:t xml:space="preserve">които не са </w:t>
            </w:r>
            <w:r w:rsidRPr="000F1532">
              <w:rPr>
                <w:rFonts w:ascii="Times New Roman" w:eastAsia="Times New Roman" w:hAnsi="Times New Roman" w:cs="Times New Roman"/>
                <w:sz w:val="24"/>
                <w:szCs w:val="24"/>
                <w:lang w:val="bg-BG"/>
              </w:rPr>
              <w:t>регистрирани от Българската агенция по безопасност на храните</w:t>
            </w:r>
            <w:r w:rsidR="0029176D" w:rsidRPr="000F1532">
              <w:rPr>
                <w:rFonts w:ascii="Times New Roman" w:eastAsia="Times New Roman" w:hAnsi="Times New Roman" w:cs="Times New Roman"/>
                <w:sz w:val="24"/>
                <w:szCs w:val="24"/>
                <w:lang w:val="bg-BG"/>
              </w:rPr>
              <w:t xml:space="preserve"> (чл. 66)</w:t>
            </w:r>
            <w:r w:rsidR="00213D64" w:rsidRPr="000F1532">
              <w:rPr>
                <w:rFonts w:ascii="Times New Roman" w:eastAsia="Times New Roman" w:hAnsi="Times New Roman" w:cs="Times New Roman"/>
                <w:sz w:val="24"/>
                <w:szCs w:val="24"/>
                <w:lang w:val="bg-BG"/>
              </w:rPr>
              <w:t>:</w:t>
            </w:r>
          </w:p>
          <w:p w14:paraId="7931D0BB" w14:textId="3D1AC845" w:rsidR="00213D64" w:rsidRPr="000F1532" w:rsidRDefault="00213D64"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за физическо лице, което наруши разпоредбите глоба в размер от 1 000 до 3 000 лв., а при повторно нарушение глобата е в размер от 3 000 до 5 000 лв.;</w:t>
            </w:r>
          </w:p>
          <w:p w14:paraId="12E267B1" w14:textId="605D983D" w:rsidR="006025DC" w:rsidRPr="000F1532" w:rsidRDefault="00213D64"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за юридическо лице или едноличен търговец, се налага имуществена санкция в размер от 3 000 до 5 000 лв., а при повторно нарушение санкцията е в размер от </w:t>
            </w:r>
            <w:r w:rsidR="00DB39A5" w:rsidRPr="000F1532">
              <w:rPr>
                <w:rFonts w:ascii="Times New Roman" w:eastAsia="Times New Roman" w:hAnsi="Times New Roman" w:cs="Times New Roman"/>
                <w:sz w:val="24"/>
                <w:szCs w:val="24"/>
                <w:lang w:val="bg-BG"/>
              </w:rPr>
              <w:br/>
            </w:r>
            <w:r w:rsidRPr="000F1532">
              <w:rPr>
                <w:rFonts w:ascii="Times New Roman" w:eastAsia="Times New Roman" w:hAnsi="Times New Roman" w:cs="Times New Roman"/>
                <w:sz w:val="24"/>
                <w:szCs w:val="24"/>
                <w:lang w:val="bg-BG"/>
              </w:rPr>
              <w:t>5 000 до 10 000 лв.</w:t>
            </w:r>
            <w:r w:rsidR="006025DC" w:rsidRPr="000F1532">
              <w:rPr>
                <w:rFonts w:ascii="Times New Roman" w:eastAsia="Times New Roman" w:hAnsi="Times New Roman" w:cs="Times New Roman"/>
                <w:sz w:val="24"/>
                <w:szCs w:val="24"/>
                <w:lang w:val="bg-BG"/>
              </w:rPr>
              <w:t>;</w:t>
            </w:r>
          </w:p>
          <w:p w14:paraId="561011A9" w14:textId="4339D560" w:rsidR="000705DC" w:rsidRPr="000F1532" w:rsidRDefault="009512C1" w:rsidP="000705DC">
            <w:pPr>
              <w:pStyle w:val="ListParagraph"/>
              <w:numPr>
                <w:ilvl w:val="0"/>
                <w:numId w:val="12"/>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нарушаване на разпоредбите за производство, съхранение, транспорт и пускане на пазара</w:t>
            </w:r>
            <w:r w:rsidRPr="000F1532">
              <w:rPr>
                <w:lang w:val="bg-BG"/>
              </w:rPr>
              <w:t xml:space="preserve"> </w:t>
            </w:r>
            <w:r w:rsidRPr="000F1532">
              <w:rPr>
                <w:rFonts w:ascii="Times New Roman" w:eastAsia="Times New Roman" w:hAnsi="Times New Roman" w:cs="Times New Roman"/>
                <w:sz w:val="24"/>
                <w:szCs w:val="24"/>
                <w:lang w:val="bg-BG"/>
              </w:rPr>
              <w:t>на медикаментозни фуражи (чл. 77г)</w:t>
            </w:r>
            <w:r w:rsidR="000705DC" w:rsidRPr="000F1532">
              <w:rPr>
                <w:rFonts w:ascii="Times New Roman" w:eastAsia="Times New Roman" w:hAnsi="Times New Roman" w:cs="Times New Roman"/>
                <w:sz w:val="24"/>
                <w:szCs w:val="24"/>
                <w:lang w:val="bg-BG"/>
              </w:rPr>
              <w:t>:</w:t>
            </w:r>
          </w:p>
          <w:p w14:paraId="7561F3DA" w14:textId="06FCE07B" w:rsidR="000705DC" w:rsidRPr="000F1532" w:rsidRDefault="000705DC"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за физическо лице, което наруши разпоредбите глоба в размер от 3 000 до 5 000 лв., а при повторно нарушение глобата е в размер от 5000 до 10 000 лв.;</w:t>
            </w:r>
          </w:p>
          <w:p w14:paraId="77534388" w14:textId="5B57411D" w:rsidR="006025DC" w:rsidRPr="000F1532" w:rsidRDefault="000705DC"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за юридическо лице или едноличен търговец, се налага имуществена санкция в размер от 5000 до 10 000 лв., а при повторно нарушение санкцията е в размер от </w:t>
            </w:r>
            <w:r w:rsidR="00DB39A5" w:rsidRPr="000F1532">
              <w:rPr>
                <w:rFonts w:ascii="Times New Roman" w:eastAsia="Times New Roman" w:hAnsi="Times New Roman" w:cs="Times New Roman"/>
                <w:sz w:val="24"/>
                <w:szCs w:val="24"/>
                <w:lang w:val="bg-BG"/>
              </w:rPr>
              <w:br/>
            </w:r>
            <w:r w:rsidRPr="000F1532">
              <w:rPr>
                <w:rFonts w:ascii="Times New Roman" w:eastAsia="Times New Roman" w:hAnsi="Times New Roman" w:cs="Times New Roman"/>
                <w:sz w:val="24"/>
                <w:szCs w:val="24"/>
                <w:lang w:val="bg-BG"/>
              </w:rPr>
              <w:t>10 000 до 20 000 лв.</w:t>
            </w:r>
            <w:r w:rsidR="0029176D" w:rsidRPr="000F1532">
              <w:rPr>
                <w:rFonts w:ascii="Times New Roman" w:eastAsia="Times New Roman" w:hAnsi="Times New Roman" w:cs="Times New Roman"/>
                <w:sz w:val="24"/>
                <w:szCs w:val="24"/>
                <w:lang w:val="bg-BG"/>
              </w:rPr>
              <w:t>;</w:t>
            </w:r>
          </w:p>
          <w:p w14:paraId="6EEC0E56" w14:textId="1CBB9985" w:rsidR="000705DC" w:rsidRPr="000F1532" w:rsidRDefault="0029176D" w:rsidP="000705DC">
            <w:pPr>
              <w:pStyle w:val="ListParagraph"/>
              <w:numPr>
                <w:ilvl w:val="0"/>
                <w:numId w:val="12"/>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нарушаване на забраната за хранене на </w:t>
            </w:r>
            <w:r w:rsidR="00A102CA" w:rsidRPr="000F1532">
              <w:rPr>
                <w:rFonts w:ascii="Times New Roman" w:eastAsia="Times New Roman" w:hAnsi="Times New Roman" w:cs="Times New Roman"/>
                <w:sz w:val="24"/>
                <w:szCs w:val="24"/>
                <w:lang w:val="bg-BG"/>
              </w:rPr>
              <w:t xml:space="preserve">животни, отглеждани за производство на храни и </w:t>
            </w:r>
            <w:r w:rsidRPr="000F1532">
              <w:rPr>
                <w:rFonts w:ascii="Times New Roman" w:eastAsia="Times New Roman" w:hAnsi="Times New Roman" w:cs="Times New Roman"/>
                <w:sz w:val="24"/>
                <w:szCs w:val="24"/>
                <w:lang w:val="bg-BG"/>
              </w:rPr>
              <w:t xml:space="preserve">животни, които не се отглеждат за </w:t>
            </w:r>
            <w:r w:rsidR="00F41D5F" w:rsidRPr="000F1532">
              <w:rPr>
                <w:rFonts w:ascii="Times New Roman" w:eastAsia="Times New Roman" w:hAnsi="Times New Roman" w:cs="Times New Roman"/>
                <w:sz w:val="24"/>
                <w:szCs w:val="24"/>
                <w:lang w:val="bg-BG"/>
              </w:rPr>
              <w:t>производство</w:t>
            </w:r>
            <w:r w:rsidRPr="000F1532">
              <w:rPr>
                <w:rFonts w:ascii="Times New Roman" w:eastAsia="Times New Roman" w:hAnsi="Times New Roman" w:cs="Times New Roman"/>
                <w:sz w:val="24"/>
                <w:szCs w:val="24"/>
                <w:lang w:val="bg-BG"/>
              </w:rPr>
              <w:t xml:space="preserve"> на храни,</w:t>
            </w:r>
            <w:r w:rsidRPr="000F1532">
              <w:rPr>
                <w:lang w:val="bg-BG"/>
              </w:rPr>
              <w:t xml:space="preserve"> </w:t>
            </w:r>
            <w:r w:rsidRPr="000F1532">
              <w:rPr>
                <w:rFonts w:ascii="Times New Roman" w:eastAsia="Times New Roman" w:hAnsi="Times New Roman" w:cs="Times New Roman"/>
                <w:sz w:val="24"/>
                <w:szCs w:val="24"/>
                <w:lang w:val="bg-BG"/>
              </w:rPr>
              <w:t>включително и за животни с ценна кожа с медикаментозен фураж, който не е произведен от одобрен производител на медикаментозни фуражи</w:t>
            </w:r>
            <w:r w:rsidR="000705DC" w:rsidRPr="000F1532">
              <w:rPr>
                <w:rFonts w:ascii="Times New Roman" w:eastAsia="Times New Roman" w:hAnsi="Times New Roman" w:cs="Times New Roman"/>
                <w:sz w:val="24"/>
                <w:szCs w:val="24"/>
                <w:lang w:val="bg-BG"/>
              </w:rPr>
              <w:t>:</w:t>
            </w:r>
          </w:p>
          <w:p w14:paraId="70EEDA92" w14:textId="73B77E5A" w:rsidR="000705DC" w:rsidRPr="000F1532" w:rsidRDefault="000705DC"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за физическо лице, което наруши разпоредбите глоба в размер </w:t>
            </w:r>
            <w:r w:rsidR="00A102CA" w:rsidRPr="000F1532">
              <w:rPr>
                <w:rFonts w:ascii="Times New Roman" w:eastAsia="Times New Roman" w:hAnsi="Times New Roman" w:cs="Times New Roman"/>
                <w:sz w:val="24"/>
                <w:szCs w:val="24"/>
                <w:lang w:val="bg-BG"/>
              </w:rPr>
              <w:t>от 3000 до 5000 лв., а при повторно нарушение глобата е в размер от 5000 до 10 000 лв.</w:t>
            </w:r>
            <w:r w:rsidRPr="000F1532">
              <w:rPr>
                <w:rFonts w:ascii="Times New Roman" w:eastAsia="Times New Roman" w:hAnsi="Times New Roman" w:cs="Times New Roman"/>
                <w:sz w:val="24"/>
                <w:szCs w:val="24"/>
                <w:lang w:val="bg-BG"/>
              </w:rPr>
              <w:t>;</w:t>
            </w:r>
          </w:p>
          <w:p w14:paraId="10672349" w14:textId="1588E540" w:rsidR="009469D2" w:rsidRPr="000F1532" w:rsidRDefault="000705DC" w:rsidP="00DB39A5">
            <w:pPr>
              <w:pStyle w:val="ListParagraph"/>
              <w:spacing w:before="120" w:after="120" w:line="240" w:lineRule="auto"/>
              <w:ind w:left="794"/>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за юридическо лице или едноличен търговец, се налага имуществена санкция в размер </w:t>
            </w:r>
            <w:r w:rsidR="00A102CA" w:rsidRPr="000F1532">
              <w:rPr>
                <w:rFonts w:ascii="Times New Roman" w:eastAsia="Times New Roman" w:hAnsi="Times New Roman" w:cs="Times New Roman"/>
                <w:sz w:val="24"/>
                <w:szCs w:val="24"/>
                <w:lang w:val="bg-BG"/>
              </w:rPr>
              <w:t xml:space="preserve">от 5000 до 10 000 лв., а при повторно нарушение санкцията е в размер от </w:t>
            </w:r>
            <w:r w:rsidR="00DB39A5" w:rsidRPr="000F1532">
              <w:rPr>
                <w:rFonts w:ascii="Times New Roman" w:eastAsia="Times New Roman" w:hAnsi="Times New Roman" w:cs="Times New Roman"/>
                <w:sz w:val="24"/>
                <w:szCs w:val="24"/>
                <w:lang w:val="bg-BG"/>
              </w:rPr>
              <w:br/>
            </w:r>
            <w:r w:rsidR="00A102CA" w:rsidRPr="000F1532">
              <w:rPr>
                <w:rFonts w:ascii="Times New Roman" w:eastAsia="Times New Roman" w:hAnsi="Times New Roman" w:cs="Times New Roman"/>
                <w:sz w:val="24"/>
                <w:szCs w:val="24"/>
                <w:lang w:val="bg-BG"/>
              </w:rPr>
              <w:t>10 000 до 20 000 лв</w:t>
            </w:r>
            <w:r w:rsidR="0029176D" w:rsidRPr="000F1532">
              <w:rPr>
                <w:rFonts w:ascii="Times New Roman" w:eastAsia="Times New Roman" w:hAnsi="Times New Roman" w:cs="Times New Roman"/>
                <w:sz w:val="24"/>
                <w:szCs w:val="24"/>
                <w:lang w:val="bg-BG"/>
              </w:rPr>
              <w:t>.</w:t>
            </w:r>
          </w:p>
          <w:p w14:paraId="2BDE27EE" w14:textId="035908D4" w:rsidR="0029176D" w:rsidRPr="000F1532" w:rsidRDefault="00A102CA" w:rsidP="00A102CA">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Размерът на санкциите е определен на база тежестта на нарушението и съответната икономическа полза, която операторът ще получи при нарушаване на закона и изискванията на чл. </w:t>
            </w:r>
            <w:r w:rsidR="00651913" w:rsidRPr="000F1532">
              <w:rPr>
                <w:rFonts w:ascii="Times New Roman" w:eastAsia="Times New Roman" w:hAnsi="Times New Roman" w:cs="Times New Roman"/>
                <w:sz w:val="24"/>
                <w:szCs w:val="24"/>
                <w:lang w:val="bg-BG"/>
              </w:rPr>
              <w:t>12</w:t>
            </w:r>
            <w:r w:rsidRPr="000F1532">
              <w:rPr>
                <w:rFonts w:ascii="Times New Roman" w:eastAsia="Times New Roman" w:hAnsi="Times New Roman" w:cs="Times New Roman"/>
                <w:sz w:val="24"/>
                <w:szCs w:val="24"/>
                <w:lang w:val="bg-BG"/>
              </w:rPr>
              <w:t xml:space="preserve"> от </w:t>
            </w:r>
            <w:r w:rsidR="00651913" w:rsidRPr="000F1532">
              <w:rPr>
                <w:rFonts w:ascii="Times New Roman" w:eastAsia="Times New Roman" w:hAnsi="Times New Roman" w:cs="Times New Roman"/>
                <w:sz w:val="24"/>
                <w:szCs w:val="24"/>
                <w:lang w:val="bg-BG"/>
              </w:rPr>
              <w:t>Закон за административните нарушения и наказания и чл. 22 от Регламент (ЕС) 2019/4.</w:t>
            </w:r>
          </w:p>
          <w:p w14:paraId="121F6DF9" w14:textId="6EEED359" w:rsidR="00416D83" w:rsidRPr="000F1532" w:rsidRDefault="00416D83" w:rsidP="00A102CA">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Въведените санкции са свързани с конкретни разпоред</w:t>
            </w:r>
            <w:r w:rsidR="0014026D" w:rsidRPr="000F1532">
              <w:rPr>
                <w:rFonts w:ascii="Times New Roman" w:eastAsia="Times New Roman" w:hAnsi="Times New Roman" w:cs="Times New Roman"/>
                <w:sz w:val="24"/>
                <w:szCs w:val="24"/>
                <w:lang w:val="bg-BG"/>
              </w:rPr>
              <w:t>би от Закона, които към момента</w:t>
            </w:r>
            <w:r w:rsidRPr="000F1532">
              <w:rPr>
                <w:rFonts w:ascii="Times New Roman" w:eastAsia="Times New Roman" w:hAnsi="Times New Roman" w:cs="Times New Roman"/>
                <w:sz w:val="24"/>
                <w:szCs w:val="24"/>
                <w:lang w:val="bg-BG"/>
              </w:rPr>
              <w:t xml:space="preserve"> са регулирани от Наредба № 1 от 2014 г. </w:t>
            </w:r>
          </w:p>
          <w:p w14:paraId="31878F0B" w14:textId="77777777" w:rsidR="00E44DE0" w:rsidRPr="000F1532" w:rsidRDefault="00E44DE0" w:rsidP="00E44DE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Положителни (икономически/социални/екологични) въздействия:</w:t>
            </w:r>
          </w:p>
          <w:p w14:paraId="6A5B8B65" w14:textId="60349F85" w:rsidR="00EB7787" w:rsidRPr="000F1532" w:rsidRDefault="00763ACB"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Потенциалните икономически, социални и екологични положителни въздействия</w:t>
            </w:r>
            <w:r w:rsidR="007C63CA" w:rsidRPr="000F1532">
              <w:rPr>
                <w:rFonts w:ascii="Times New Roman" w:eastAsia="Times New Roman" w:hAnsi="Times New Roman" w:cs="Times New Roman"/>
                <w:sz w:val="24"/>
                <w:szCs w:val="24"/>
                <w:lang w:val="bg-BG"/>
              </w:rPr>
              <w:t xml:space="preserve"> върху заинтересованите страни посочени в т. 3</w:t>
            </w:r>
            <w:r w:rsidR="00E52C2C" w:rsidRPr="000F1532">
              <w:rPr>
                <w:rFonts w:ascii="Times New Roman" w:eastAsia="Times New Roman" w:hAnsi="Times New Roman" w:cs="Times New Roman"/>
                <w:sz w:val="24"/>
                <w:szCs w:val="24"/>
                <w:lang w:val="bg-BG"/>
              </w:rPr>
              <w:t xml:space="preserve"> </w:t>
            </w:r>
            <w:r w:rsidRPr="000F1532">
              <w:rPr>
                <w:rFonts w:ascii="Times New Roman" w:eastAsia="Times New Roman" w:hAnsi="Times New Roman" w:cs="Times New Roman"/>
                <w:sz w:val="24"/>
                <w:szCs w:val="24"/>
                <w:lang w:val="bg-BG"/>
              </w:rPr>
              <w:t>с</w:t>
            </w:r>
            <w:r w:rsidR="00EB7787" w:rsidRPr="000F1532">
              <w:rPr>
                <w:rFonts w:ascii="Times New Roman" w:eastAsia="Times New Roman" w:hAnsi="Times New Roman" w:cs="Times New Roman"/>
                <w:sz w:val="24"/>
                <w:szCs w:val="24"/>
                <w:lang w:val="bg-BG"/>
              </w:rPr>
              <w:t>а свързани с</w:t>
            </w:r>
            <w:r w:rsidR="0066094D" w:rsidRPr="000F1532">
              <w:rPr>
                <w:rFonts w:ascii="Times New Roman" w:eastAsia="Times New Roman" w:hAnsi="Times New Roman" w:cs="Times New Roman"/>
                <w:sz w:val="24"/>
                <w:szCs w:val="24"/>
                <w:lang w:val="bg-BG"/>
              </w:rPr>
              <w:t>ъс създаване на условия за</w:t>
            </w:r>
            <w:r w:rsidR="00EB7787" w:rsidRPr="000F1532">
              <w:rPr>
                <w:rFonts w:ascii="Times New Roman" w:eastAsia="Times New Roman" w:hAnsi="Times New Roman" w:cs="Times New Roman"/>
                <w:sz w:val="24"/>
                <w:szCs w:val="24"/>
                <w:lang w:val="bg-BG"/>
              </w:rPr>
              <w:t>:</w:t>
            </w:r>
          </w:p>
          <w:p w14:paraId="54843ED2" w14:textId="751DAB2D" w:rsidR="00763ACB" w:rsidRPr="000F1532" w:rsidRDefault="00EB7787" w:rsidP="0066094D">
            <w:pPr>
              <w:pStyle w:val="ListParagraph"/>
              <w:numPr>
                <w:ilvl w:val="0"/>
                <w:numId w:val="16"/>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предотвратяване на нелоялните търговски практики, които оказват негативно въздей</w:t>
            </w:r>
            <w:r w:rsidR="005262D2" w:rsidRPr="000F1532">
              <w:rPr>
                <w:rFonts w:ascii="Times New Roman" w:eastAsia="Times New Roman" w:hAnsi="Times New Roman" w:cs="Times New Roman"/>
                <w:sz w:val="24"/>
                <w:szCs w:val="24"/>
                <w:lang w:val="bg-BG"/>
              </w:rPr>
              <w:t>с</w:t>
            </w:r>
            <w:r w:rsidRPr="000F1532">
              <w:rPr>
                <w:rFonts w:ascii="Times New Roman" w:eastAsia="Times New Roman" w:hAnsi="Times New Roman" w:cs="Times New Roman"/>
                <w:sz w:val="24"/>
                <w:szCs w:val="24"/>
                <w:lang w:val="bg-BG"/>
              </w:rPr>
              <w:t>твие върху общественото здраве и здравето на животните и може да наруши конкуренцията;</w:t>
            </w:r>
          </w:p>
          <w:p w14:paraId="7EA43A76" w14:textId="4A39FD39" w:rsidR="00EB7787" w:rsidRPr="000F1532" w:rsidRDefault="0066094D" w:rsidP="0066094D">
            <w:pPr>
              <w:pStyle w:val="ListParagraph"/>
              <w:numPr>
                <w:ilvl w:val="0"/>
                <w:numId w:val="16"/>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запазване на</w:t>
            </w:r>
            <w:r w:rsidR="00EB7787" w:rsidRPr="000F1532">
              <w:rPr>
                <w:rFonts w:ascii="Times New Roman" w:eastAsia="Times New Roman" w:hAnsi="Times New Roman" w:cs="Times New Roman"/>
                <w:sz w:val="24"/>
                <w:szCs w:val="24"/>
                <w:lang w:val="bg-BG"/>
              </w:rPr>
              <w:t xml:space="preserve"> ефективността на антимикробните средства (включително антибиотиците)</w:t>
            </w:r>
            <w:r w:rsidRPr="000F1532">
              <w:rPr>
                <w:rFonts w:ascii="Times New Roman" w:eastAsia="Times New Roman" w:hAnsi="Times New Roman" w:cs="Times New Roman"/>
                <w:sz w:val="24"/>
                <w:szCs w:val="24"/>
                <w:lang w:val="bg-BG"/>
              </w:rPr>
              <w:t>;</w:t>
            </w:r>
          </w:p>
          <w:p w14:paraId="66030B8C" w14:textId="16A3273C" w:rsidR="0066094D" w:rsidRPr="000F1532" w:rsidRDefault="0066094D" w:rsidP="004108C9">
            <w:pPr>
              <w:pStyle w:val="ListParagraph"/>
              <w:numPr>
                <w:ilvl w:val="0"/>
                <w:numId w:val="16"/>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опазване на околната среда, чрез въвеждане на правила за събиране и обезвреждане на неизползваните медикаментозни фуражи.</w:t>
            </w:r>
          </w:p>
          <w:p w14:paraId="3F42AD3D" w14:textId="64B0AD56" w:rsidR="007C63CA" w:rsidRPr="000F1532" w:rsidRDefault="007D2D7D" w:rsidP="00E52C2C">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З</w:t>
            </w:r>
            <w:r w:rsidR="00E52C2C" w:rsidRPr="000F1532">
              <w:rPr>
                <w:rFonts w:ascii="Times New Roman" w:eastAsia="Times New Roman" w:hAnsi="Times New Roman" w:cs="Times New Roman"/>
                <w:sz w:val="24"/>
                <w:szCs w:val="24"/>
                <w:lang w:val="bg-BG"/>
              </w:rPr>
              <w:t>аинтересованите страни посочени в т. 3 ще бъдат в конкурентна среда по между си</w:t>
            </w:r>
            <w:r w:rsidRPr="000F1532">
              <w:rPr>
                <w:rFonts w:ascii="Times New Roman" w:eastAsia="Times New Roman" w:hAnsi="Times New Roman" w:cs="Times New Roman"/>
                <w:sz w:val="24"/>
                <w:szCs w:val="24"/>
                <w:lang w:val="bg-BG"/>
              </w:rPr>
              <w:t xml:space="preserve"> и</w:t>
            </w:r>
            <w:r w:rsidR="007C63CA" w:rsidRPr="000F1532">
              <w:rPr>
                <w:rFonts w:ascii="Times New Roman" w:eastAsia="Times New Roman" w:hAnsi="Times New Roman" w:cs="Times New Roman"/>
                <w:sz w:val="24"/>
                <w:szCs w:val="24"/>
                <w:lang w:val="bg-BG"/>
              </w:rPr>
              <w:t xml:space="preserve"> ще могат да направят своя информиран избор, както и ще бъде запазена ефективността на антимикробните средства.</w:t>
            </w:r>
          </w:p>
          <w:p w14:paraId="462FCE13" w14:textId="71F27643" w:rsidR="005A3206" w:rsidRPr="000F1532" w:rsidRDefault="004108C9"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С проекта на акта не 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бюджет. Предложеният проект на акта не води до въздействие върху държавния бюджет.</w:t>
            </w:r>
          </w:p>
          <w:p w14:paraId="7DAFE026" w14:textId="541750D4" w:rsidR="00B7034F" w:rsidRPr="000F1532" w:rsidRDefault="00B7034F"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Не се ограничава свободното движение на стоки, а с прилагането на единните правила в целия ЕС се гарантира свободната вътресъюзна търговия, което не създава бариери пред участниците във веригата. Чрез регламентираното разрешаване на производство на медикаментозни фуражи в мобилни смесители се гарантира въвеждането на нови производствени технологии и възможността за произвеждане на краен продукт директно в животновъдния обект. </w:t>
            </w:r>
          </w:p>
          <w:p w14:paraId="00EF7942" w14:textId="01E45B96" w:rsidR="00B7034F" w:rsidRPr="000F1532" w:rsidRDefault="00B7034F"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Чрез въведените единни правила за етикетиране на медикаментозните фуражи се гарантира информирания избор на потребителите.</w:t>
            </w:r>
          </w:p>
          <w:p w14:paraId="309A3FF7" w14:textId="06B3B58B" w:rsidR="00B7034F" w:rsidRPr="000F1532" w:rsidRDefault="00B7034F"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Чрез разумната употреба на ветеринарни лекарствени продукти при лечението на жи</w:t>
            </w:r>
            <w:r w:rsidR="005262D2" w:rsidRPr="000F1532">
              <w:rPr>
                <w:rFonts w:ascii="Times New Roman" w:eastAsia="Times New Roman" w:hAnsi="Times New Roman" w:cs="Times New Roman"/>
                <w:sz w:val="24"/>
                <w:szCs w:val="24"/>
                <w:lang w:val="bg-BG"/>
              </w:rPr>
              <w:t>в</w:t>
            </w:r>
            <w:r w:rsidRPr="000F1532">
              <w:rPr>
                <w:rFonts w:ascii="Times New Roman" w:eastAsia="Times New Roman" w:hAnsi="Times New Roman" w:cs="Times New Roman"/>
                <w:sz w:val="24"/>
                <w:szCs w:val="24"/>
                <w:lang w:val="bg-BG"/>
              </w:rPr>
              <w:t xml:space="preserve">отните чрез медикаментозни фуражи се гарантира </w:t>
            </w:r>
            <w:r w:rsidR="00D171D7" w:rsidRPr="000F1532">
              <w:rPr>
                <w:rFonts w:ascii="Times New Roman" w:eastAsia="Times New Roman" w:hAnsi="Times New Roman" w:cs="Times New Roman"/>
                <w:sz w:val="24"/>
                <w:szCs w:val="24"/>
                <w:lang w:val="bg-BG"/>
              </w:rPr>
              <w:t>подобряване на здравния статус на животните и косвено на хората, като се очаква да се намали резистентността при у</w:t>
            </w:r>
            <w:r w:rsidR="005262D2" w:rsidRPr="000F1532">
              <w:rPr>
                <w:rFonts w:ascii="Times New Roman" w:eastAsia="Times New Roman" w:hAnsi="Times New Roman" w:cs="Times New Roman"/>
                <w:sz w:val="24"/>
                <w:szCs w:val="24"/>
                <w:lang w:val="bg-BG"/>
              </w:rPr>
              <w:t>потребата</w:t>
            </w:r>
            <w:r w:rsidR="00D171D7" w:rsidRPr="000F1532">
              <w:rPr>
                <w:rFonts w:ascii="Times New Roman" w:eastAsia="Times New Roman" w:hAnsi="Times New Roman" w:cs="Times New Roman"/>
                <w:sz w:val="24"/>
                <w:szCs w:val="24"/>
                <w:lang w:val="bg-BG"/>
              </w:rPr>
              <w:t xml:space="preserve"> на антибиотиците, което е глобален проблем.</w:t>
            </w:r>
          </w:p>
          <w:p w14:paraId="38877648" w14:textId="05687F3A" w:rsidR="00E44DE0" w:rsidRPr="000F1532" w:rsidRDefault="00D171D7"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Чрез въвеждането на изискването за регламентирано събиране и обезвреждане на неизползваните медикаментозни фуражи се постига опазване на околната среда, както на почвените слоеве, така и на подпочвените води от замърсяване с ветеринарни лекарствени продукт.</w:t>
            </w:r>
          </w:p>
          <w:p w14:paraId="3FD18777" w14:textId="77777777" w:rsidR="00E44DE0" w:rsidRPr="000F1532" w:rsidRDefault="00E44DE0" w:rsidP="00E44DE0">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6446BBDE" w14:textId="75BD40B3" w:rsidR="00E44DE0" w:rsidRPr="000F1532" w:rsidRDefault="00E44DE0" w:rsidP="00E44DE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Отрицателни (икономически/социални/екологични) въздействия:</w:t>
            </w:r>
          </w:p>
          <w:p w14:paraId="08A2131C" w14:textId="14E59915" w:rsidR="00E44DE0" w:rsidRPr="000F1532" w:rsidRDefault="004108C9" w:rsidP="00E44DE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Няма идентифицирани негативни въздействия</w:t>
            </w:r>
            <w:r w:rsidR="0066094D" w:rsidRPr="000F1532">
              <w:rPr>
                <w:rFonts w:ascii="Times New Roman" w:eastAsia="Times New Roman" w:hAnsi="Times New Roman" w:cs="Times New Roman"/>
                <w:sz w:val="24"/>
                <w:szCs w:val="24"/>
                <w:lang w:val="bg-BG"/>
              </w:rPr>
              <w:t xml:space="preserve"> свързани с опазване здравето на хората и животните</w:t>
            </w:r>
            <w:r w:rsidRPr="000F1532">
              <w:rPr>
                <w:rFonts w:ascii="Times New Roman" w:eastAsia="Times New Roman" w:hAnsi="Times New Roman" w:cs="Times New Roman"/>
                <w:sz w:val="24"/>
                <w:szCs w:val="24"/>
                <w:lang w:val="bg-BG"/>
              </w:rPr>
              <w:t>.</w:t>
            </w:r>
            <w:r w:rsidR="0066094D" w:rsidRPr="000F1532">
              <w:rPr>
                <w:rFonts w:ascii="Times New Roman" w:eastAsia="Times New Roman" w:hAnsi="Times New Roman" w:cs="Times New Roman"/>
                <w:sz w:val="24"/>
                <w:szCs w:val="24"/>
                <w:lang w:val="bg-BG"/>
              </w:rPr>
              <w:t xml:space="preserve"> Отрицателни въздействия биха се идентифицира</w:t>
            </w:r>
            <w:r w:rsidR="00020D2D" w:rsidRPr="000F1532">
              <w:rPr>
                <w:rFonts w:ascii="Times New Roman" w:eastAsia="Times New Roman" w:hAnsi="Times New Roman" w:cs="Times New Roman"/>
                <w:sz w:val="24"/>
                <w:szCs w:val="24"/>
                <w:lang w:val="bg-BG"/>
              </w:rPr>
              <w:t>л</w:t>
            </w:r>
            <w:r w:rsidR="0066094D" w:rsidRPr="000F1532">
              <w:rPr>
                <w:rFonts w:ascii="Times New Roman" w:eastAsia="Times New Roman" w:hAnsi="Times New Roman" w:cs="Times New Roman"/>
                <w:sz w:val="24"/>
                <w:szCs w:val="24"/>
                <w:lang w:val="bg-BG"/>
              </w:rPr>
              <w:t xml:space="preserve">и при </w:t>
            </w:r>
            <w:r w:rsidR="00020D2D" w:rsidRPr="000F1532">
              <w:rPr>
                <w:rFonts w:ascii="Times New Roman" w:eastAsia="Times New Roman" w:hAnsi="Times New Roman" w:cs="Times New Roman"/>
                <w:sz w:val="24"/>
                <w:szCs w:val="24"/>
                <w:lang w:val="bg-BG"/>
              </w:rPr>
              <w:t xml:space="preserve">пряко заинтересованите страни посочени в т. 3, които </w:t>
            </w:r>
            <w:r w:rsidR="00D171D7" w:rsidRPr="000F1532">
              <w:rPr>
                <w:rFonts w:ascii="Times New Roman" w:eastAsia="Times New Roman" w:hAnsi="Times New Roman" w:cs="Times New Roman"/>
                <w:sz w:val="24"/>
                <w:szCs w:val="24"/>
                <w:lang w:val="bg-BG"/>
              </w:rPr>
              <w:t xml:space="preserve">не изпълняват разпоредбите на законодателството и </w:t>
            </w:r>
            <w:r w:rsidR="00020D2D" w:rsidRPr="000F1532">
              <w:rPr>
                <w:rFonts w:ascii="Times New Roman" w:eastAsia="Times New Roman" w:hAnsi="Times New Roman" w:cs="Times New Roman"/>
                <w:sz w:val="24"/>
                <w:szCs w:val="24"/>
                <w:lang w:val="bg-BG"/>
              </w:rPr>
              <w:t>прилагат нелоялни търговски практики, и които не</w:t>
            </w:r>
            <w:r w:rsidR="005A31CB" w:rsidRPr="000F1532">
              <w:rPr>
                <w:rFonts w:ascii="Times New Roman" w:eastAsia="Times New Roman" w:hAnsi="Times New Roman" w:cs="Times New Roman"/>
                <w:sz w:val="24"/>
                <w:szCs w:val="24"/>
                <w:lang w:val="bg-BG"/>
              </w:rPr>
              <w:t xml:space="preserve"> </w:t>
            </w:r>
            <w:r w:rsidR="00D171D7" w:rsidRPr="000F1532">
              <w:rPr>
                <w:rFonts w:ascii="Times New Roman" w:eastAsia="Times New Roman" w:hAnsi="Times New Roman" w:cs="Times New Roman"/>
                <w:sz w:val="24"/>
                <w:szCs w:val="24"/>
                <w:lang w:val="bg-BG"/>
              </w:rPr>
              <w:t xml:space="preserve">обезвреждат </w:t>
            </w:r>
            <w:r w:rsidR="00020D2D" w:rsidRPr="000F1532">
              <w:rPr>
                <w:rFonts w:ascii="Times New Roman" w:eastAsia="Times New Roman" w:hAnsi="Times New Roman" w:cs="Times New Roman"/>
                <w:sz w:val="24"/>
                <w:szCs w:val="24"/>
                <w:lang w:val="bg-BG"/>
              </w:rPr>
              <w:t xml:space="preserve">неизползваните медикаментозни фуражи, </w:t>
            </w:r>
            <w:r w:rsidR="005A31CB" w:rsidRPr="000F1532">
              <w:rPr>
                <w:rFonts w:ascii="Times New Roman" w:eastAsia="Times New Roman" w:hAnsi="Times New Roman" w:cs="Times New Roman"/>
                <w:sz w:val="24"/>
                <w:szCs w:val="24"/>
                <w:lang w:val="bg-BG"/>
              </w:rPr>
              <w:t xml:space="preserve">което </w:t>
            </w:r>
            <w:r w:rsidR="00020D2D" w:rsidRPr="000F1532">
              <w:rPr>
                <w:rFonts w:ascii="Times New Roman" w:eastAsia="Times New Roman" w:hAnsi="Times New Roman" w:cs="Times New Roman"/>
                <w:sz w:val="24"/>
                <w:szCs w:val="24"/>
                <w:lang w:val="bg-BG"/>
              </w:rPr>
              <w:t xml:space="preserve">води до по-голяма икономическа полза за конкретния оператор. </w:t>
            </w:r>
          </w:p>
          <w:p w14:paraId="4CC3DC62" w14:textId="77777777" w:rsidR="00E44DE0" w:rsidRPr="000F1532" w:rsidRDefault="00E44DE0" w:rsidP="00E44DE0">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0EA72D2" w14:textId="42C251B7" w:rsidR="00E44DE0" w:rsidRPr="000F1532" w:rsidRDefault="00E44DE0" w:rsidP="00E44DE0">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Специфични въздействия:</w:t>
            </w:r>
          </w:p>
          <w:p w14:paraId="33C5C142" w14:textId="20199CC8" w:rsidR="004108C9" w:rsidRPr="000F1532" w:rsidRDefault="004108C9" w:rsidP="00E44DE0">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Не са идентифицирани специфични въздействия.</w:t>
            </w:r>
          </w:p>
          <w:p w14:paraId="5A807284" w14:textId="77777777" w:rsidR="004108C9" w:rsidRPr="000F1532" w:rsidRDefault="00E44DE0" w:rsidP="004108C9">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Въздействия върху малките и средните предприятия:</w:t>
            </w:r>
            <w:r w:rsidRPr="000F1532">
              <w:rPr>
                <w:rFonts w:ascii="Times New Roman" w:eastAsia="Times New Roman" w:hAnsi="Times New Roman" w:cs="Times New Roman"/>
                <w:sz w:val="24"/>
                <w:szCs w:val="24"/>
                <w:lang w:val="bg-BG"/>
              </w:rPr>
              <w:t xml:space="preserve">  </w:t>
            </w:r>
          </w:p>
          <w:p w14:paraId="3F007BA4" w14:textId="472E7945" w:rsidR="004108C9" w:rsidRPr="000F1532" w:rsidRDefault="004108C9" w:rsidP="004108C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 случай че посочените предприятия боравят с медикаментозни фуражи, за тях ще се прилагат същите правила, както и за останалите оператори във фуражния сектор. Доколкото въздействието от прилагането на предложената нормативна уредба върху страните се очаква да бъде положително, МСП, също ще </w:t>
            </w:r>
            <w:r w:rsidR="00D171D7" w:rsidRPr="000F1532">
              <w:rPr>
                <w:rFonts w:ascii="Times New Roman" w:eastAsia="Times New Roman" w:hAnsi="Times New Roman" w:cs="Times New Roman"/>
                <w:sz w:val="24"/>
                <w:szCs w:val="24"/>
                <w:lang w:val="bg-BG"/>
              </w:rPr>
              <w:t xml:space="preserve">бъдат повлияни от </w:t>
            </w:r>
            <w:r w:rsidRPr="000F1532">
              <w:rPr>
                <w:rFonts w:ascii="Times New Roman" w:eastAsia="Times New Roman" w:hAnsi="Times New Roman" w:cs="Times New Roman"/>
                <w:sz w:val="24"/>
                <w:szCs w:val="24"/>
                <w:lang w:val="bg-BG"/>
              </w:rPr>
              <w:t>описаните положителни въздействия</w:t>
            </w:r>
            <w:r w:rsidR="00416D83" w:rsidRPr="000F1532">
              <w:rPr>
                <w:rFonts w:ascii="Times New Roman" w:eastAsia="Times New Roman" w:hAnsi="Times New Roman" w:cs="Times New Roman"/>
                <w:sz w:val="24"/>
                <w:szCs w:val="24"/>
                <w:lang w:val="bg-BG"/>
              </w:rPr>
              <w:t>, така както е посочено по-горе</w:t>
            </w:r>
            <w:r w:rsidRPr="000F1532">
              <w:rPr>
                <w:rFonts w:ascii="Times New Roman" w:eastAsia="Times New Roman" w:hAnsi="Times New Roman" w:cs="Times New Roman"/>
                <w:sz w:val="24"/>
                <w:szCs w:val="24"/>
                <w:lang w:val="bg-BG"/>
              </w:rPr>
              <w:t>.</w:t>
            </w:r>
          </w:p>
          <w:p w14:paraId="08375499" w14:textId="77777777" w:rsidR="004108C9" w:rsidRPr="000F1532" w:rsidRDefault="00E44DE0" w:rsidP="004108C9">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Административна тежест:</w:t>
            </w:r>
            <w:r w:rsidRPr="000F1532">
              <w:rPr>
                <w:rFonts w:ascii="Times New Roman" w:eastAsia="Times New Roman" w:hAnsi="Times New Roman" w:cs="Times New Roman"/>
                <w:sz w:val="24"/>
                <w:szCs w:val="24"/>
                <w:lang w:val="bg-BG"/>
              </w:rPr>
              <w:t xml:space="preserve"> </w:t>
            </w:r>
          </w:p>
          <w:p w14:paraId="4600C26A" w14:textId="102704A3" w:rsidR="00D171D7" w:rsidRPr="000F1532" w:rsidRDefault="00C460F0" w:rsidP="00D171D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Въвеждането на хармонизиран подход не води до увеличаване на административната тежест. </w:t>
            </w:r>
            <w:r w:rsidR="00416D83" w:rsidRPr="000F1532">
              <w:rPr>
                <w:rFonts w:ascii="Times New Roman" w:eastAsia="Times New Roman" w:hAnsi="Times New Roman" w:cs="Times New Roman"/>
                <w:sz w:val="24"/>
                <w:szCs w:val="24"/>
                <w:lang w:val="bg-BG"/>
              </w:rPr>
              <w:t xml:space="preserve">Въведените санкции, посочени по-горе, са свързани с конкретни разпоредби от Закона, които </w:t>
            </w:r>
            <w:r w:rsidR="0014026D" w:rsidRPr="000F1532">
              <w:rPr>
                <w:rFonts w:ascii="Times New Roman" w:eastAsia="Times New Roman" w:hAnsi="Times New Roman" w:cs="Times New Roman"/>
                <w:sz w:val="24"/>
                <w:szCs w:val="24"/>
                <w:lang w:val="bg-BG"/>
              </w:rPr>
              <w:t xml:space="preserve">в момента </w:t>
            </w:r>
            <w:r w:rsidR="00416D83" w:rsidRPr="000F1532">
              <w:rPr>
                <w:rFonts w:ascii="Times New Roman" w:eastAsia="Times New Roman" w:hAnsi="Times New Roman" w:cs="Times New Roman"/>
                <w:sz w:val="24"/>
                <w:szCs w:val="24"/>
                <w:lang w:val="bg-BG"/>
              </w:rPr>
              <w:t xml:space="preserve">са регулирани от Наредба № 1 от 2014 г. </w:t>
            </w:r>
            <w:r w:rsidRPr="000F1532">
              <w:rPr>
                <w:rFonts w:ascii="Times New Roman" w:eastAsia="Times New Roman" w:hAnsi="Times New Roman" w:cs="Times New Roman"/>
                <w:sz w:val="24"/>
                <w:szCs w:val="24"/>
                <w:lang w:val="bg-BG"/>
              </w:rPr>
              <w:t>Гарантира се достъпа на всеки един от операторите във фуражния сектор до съответните пазари, както и гарантира предлагането на безопасни фуражи.</w:t>
            </w:r>
          </w:p>
          <w:p w14:paraId="527F64D6" w14:textId="67B5D6DD" w:rsidR="00E44DE0" w:rsidRPr="000F1532" w:rsidRDefault="00E44DE0" w:rsidP="00D171D7">
            <w:pPr>
              <w:spacing w:before="120"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15CD9AA5" w14:textId="45D68F65" w:rsidR="0078311F" w:rsidRPr="000F1532" w:rsidRDefault="0078311F" w:rsidP="0078311F">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0F1532">
              <w:rPr>
                <w:rFonts w:ascii="Times New Roman" w:eastAsia="Times New Roman" w:hAnsi="Times New Roman" w:cs="Times New Roman"/>
                <w:i/>
                <w:sz w:val="16"/>
                <w:szCs w:val="16"/>
                <w:lang w:val="bg-BG"/>
              </w:rPr>
              <w:t>ючително</w:t>
            </w:r>
            <w:r w:rsidRPr="000F153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1757C477" w14:textId="0BB26DE2" w:rsidR="00E44DE0" w:rsidRPr="000F1532" w:rsidRDefault="0078311F" w:rsidP="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00F02C8E" w14:textId="41D31678" w:rsidR="00E44DE0" w:rsidRPr="000F1532" w:rsidRDefault="00A70F1B" w:rsidP="00E75B8E">
            <w:pPr>
              <w:spacing w:after="120" w:line="240" w:lineRule="auto"/>
              <w:jc w:val="both"/>
              <w:rPr>
                <w:rFonts w:ascii="Times New Roman" w:eastAsia="Times New Roman" w:hAnsi="Times New Roman" w:cs="Times New Roman"/>
                <w:iCs/>
                <w:sz w:val="24"/>
                <w:szCs w:val="24"/>
                <w:lang w:val="bg-BG"/>
              </w:rPr>
            </w:pPr>
            <w:r w:rsidRPr="000F1532">
              <w:rPr>
                <w:rFonts w:ascii="Times New Roman" w:eastAsia="Times New Roman" w:hAnsi="Times New Roman" w:cs="Times New Roman"/>
                <w:b/>
                <w:bCs/>
                <w:iCs/>
                <w:sz w:val="24"/>
                <w:szCs w:val="24"/>
                <w:lang w:val="bg-BG"/>
              </w:rPr>
              <w:t>4.2</w:t>
            </w:r>
            <w:r w:rsidR="00651913" w:rsidRPr="000F1532">
              <w:rPr>
                <w:rFonts w:ascii="Times New Roman" w:eastAsia="Times New Roman" w:hAnsi="Times New Roman" w:cs="Times New Roman"/>
                <w:b/>
                <w:bCs/>
                <w:iCs/>
                <w:sz w:val="24"/>
                <w:szCs w:val="24"/>
                <w:lang w:val="bg-BG"/>
              </w:rPr>
              <w:t>.</w:t>
            </w:r>
            <w:r w:rsidRPr="000F1532">
              <w:rPr>
                <w:rFonts w:ascii="Times New Roman" w:eastAsia="Times New Roman" w:hAnsi="Times New Roman" w:cs="Times New Roman"/>
                <w:b/>
                <w:bCs/>
                <w:iCs/>
                <w:sz w:val="24"/>
                <w:szCs w:val="24"/>
                <w:lang w:val="bg-BG"/>
              </w:rPr>
              <w:t xml:space="preserve"> По Проблем 2</w:t>
            </w:r>
            <w:r w:rsidR="00651913" w:rsidRPr="000F1532">
              <w:rPr>
                <w:rFonts w:ascii="Times New Roman" w:eastAsia="Times New Roman" w:hAnsi="Times New Roman" w:cs="Times New Roman"/>
                <w:b/>
                <w:bCs/>
                <w:iCs/>
                <w:sz w:val="24"/>
                <w:szCs w:val="24"/>
                <w:lang w:val="bg-BG"/>
              </w:rPr>
              <w:t>:</w:t>
            </w:r>
          </w:p>
          <w:p w14:paraId="7ECB482E"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Вариант 1 „Без действие“:</w:t>
            </w:r>
          </w:p>
          <w:p w14:paraId="579D1561"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Описание:</w:t>
            </w:r>
          </w:p>
          <w:p w14:paraId="404A1011" w14:textId="05D4C416" w:rsidR="00885C37" w:rsidRPr="000F1532" w:rsidRDefault="00885C37"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Вариантът „Без действие“ се характеризира с непредприемането на никакви действия, които пряко да адресират дефинираните проблеми. При такъв вариант констатираните проблеми ще продължат да съществуват и определените цели няма да бъдат постигнати. Ще продължават да съществуват предпоставките за пускането на пазара на фуражи със специално предназначение, които не съответстват на изискванията на европейското законодателство.</w:t>
            </w:r>
          </w:p>
          <w:p w14:paraId="4FE2B315"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Положителни (икономически/социални/екологични) въздействия:</w:t>
            </w:r>
          </w:p>
          <w:p w14:paraId="46FD1082" w14:textId="5FE3A260" w:rsidR="00885C37" w:rsidRPr="000F1532" w:rsidRDefault="00885C37"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са идентифицирани положителни икономически, социални или екологични въздействия вследствие на прилагането на този вариант.</w:t>
            </w:r>
          </w:p>
          <w:p w14:paraId="756F29EF" w14:textId="77777777" w:rsidR="00885C37" w:rsidRPr="000F1532" w:rsidRDefault="00885C37" w:rsidP="00885C37">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44A8A671"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Отрицателни (икономически/социални/екологични) въздействия:</w:t>
            </w:r>
          </w:p>
          <w:p w14:paraId="15061731" w14:textId="2D934761" w:rsidR="00885C37" w:rsidRPr="000F1532" w:rsidRDefault="00885C37" w:rsidP="00885C37">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Продължаване на тенденцията за производство и пускане на пазара на фуражи</w:t>
            </w:r>
            <w:r w:rsidR="00241FDB" w:rsidRPr="000F1532">
              <w:rPr>
                <w:rFonts w:ascii="Times New Roman" w:eastAsia="Times New Roman" w:hAnsi="Times New Roman" w:cs="Times New Roman"/>
                <w:sz w:val="24"/>
                <w:szCs w:val="24"/>
                <w:lang w:val="bg-BG"/>
              </w:rPr>
              <w:t>те</w:t>
            </w:r>
            <w:r w:rsidRPr="000F1532">
              <w:rPr>
                <w:rFonts w:ascii="Times New Roman" w:eastAsia="Times New Roman" w:hAnsi="Times New Roman" w:cs="Times New Roman"/>
                <w:sz w:val="24"/>
                <w:szCs w:val="24"/>
                <w:lang w:val="bg-BG"/>
              </w:rPr>
              <w:t xml:space="preserve"> със специално предназначение в съответствие с настоящите национални правила и създаване на предпоставка за </w:t>
            </w:r>
            <w:r w:rsidR="00241FDB" w:rsidRPr="000F1532">
              <w:rPr>
                <w:rFonts w:ascii="Times New Roman" w:eastAsia="Times New Roman" w:hAnsi="Times New Roman" w:cs="Times New Roman"/>
                <w:sz w:val="24"/>
                <w:szCs w:val="24"/>
                <w:lang w:val="bg-BG"/>
              </w:rPr>
              <w:t>пускане на пазара на фуражи с различно съдържание за една и съща специфична хранителна цел</w:t>
            </w:r>
            <w:r w:rsidRPr="000F1532">
              <w:rPr>
                <w:rFonts w:ascii="Times New Roman" w:eastAsia="Times New Roman" w:hAnsi="Times New Roman" w:cs="Times New Roman"/>
                <w:sz w:val="24"/>
                <w:szCs w:val="24"/>
                <w:lang w:val="bg-BG"/>
              </w:rPr>
              <w:t xml:space="preserve">. </w:t>
            </w:r>
          </w:p>
          <w:p w14:paraId="25B479FC" w14:textId="77777777" w:rsidR="00885C37" w:rsidRPr="000F1532" w:rsidRDefault="00885C37" w:rsidP="00885C37">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C4B0EDE"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Специфични въздействия:</w:t>
            </w:r>
          </w:p>
          <w:p w14:paraId="06861851" w14:textId="05A4E5BA"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sz w:val="24"/>
                <w:szCs w:val="24"/>
                <w:lang w:val="bg-BG"/>
              </w:rPr>
              <w:t>Не са идентифицирани специфични въздействия при този вариант.</w:t>
            </w:r>
          </w:p>
          <w:p w14:paraId="2CCB8521" w14:textId="77777777" w:rsidR="00885C37" w:rsidRPr="000F1532" w:rsidRDefault="00885C37" w:rsidP="00885C37">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Въздействия върху малките и средните предприятия:</w:t>
            </w:r>
            <w:r w:rsidRPr="000F1532">
              <w:rPr>
                <w:rFonts w:ascii="Times New Roman" w:eastAsia="Times New Roman" w:hAnsi="Times New Roman" w:cs="Times New Roman"/>
                <w:sz w:val="24"/>
                <w:szCs w:val="24"/>
                <w:lang w:val="bg-BG"/>
              </w:rPr>
              <w:t xml:space="preserve">  </w:t>
            </w:r>
          </w:p>
          <w:p w14:paraId="16BF1DCE" w14:textId="298DBD81" w:rsidR="00885C37" w:rsidRPr="000F1532" w:rsidRDefault="00885C37" w:rsidP="00024F1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В случай че посочените предприятия боравят с фуражи със специално предназначение, вариантът „Без действие“ ще се отрази неблагоприятно и за тях</w:t>
            </w:r>
            <w:r w:rsidR="00241FDB" w:rsidRPr="000F1532">
              <w:rPr>
                <w:rFonts w:ascii="Times New Roman" w:eastAsia="Times New Roman" w:hAnsi="Times New Roman" w:cs="Times New Roman"/>
                <w:sz w:val="24"/>
                <w:szCs w:val="24"/>
                <w:lang w:val="bg-BG"/>
              </w:rPr>
              <w:t xml:space="preserve">, тъй като ще  бъде създадена предпоставка за задълбочаване на проблема с </w:t>
            </w:r>
            <w:r w:rsidR="003B0A4E" w:rsidRPr="000F1532">
              <w:rPr>
                <w:rFonts w:ascii="Times New Roman" w:eastAsia="Times New Roman" w:hAnsi="Times New Roman" w:cs="Times New Roman"/>
                <w:sz w:val="24"/>
                <w:szCs w:val="24"/>
                <w:lang w:val="bg-BG"/>
              </w:rPr>
              <w:t>предлагане на пазара на фуражи с различно съдържание за една и съща специфична хранителна цел</w:t>
            </w:r>
            <w:r w:rsidRPr="000F1532">
              <w:rPr>
                <w:rFonts w:ascii="Times New Roman" w:eastAsia="Times New Roman" w:hAnsi="Times New Roman" w:cs="Times New Roman"/>
                <w:sz w:val="24"/>
                <w:szCs w:val="24"/>
                <w:lang w:val="bg-BG"/>
              </w:rPr>
              <w:t xml:space="preserve">. </w:t>
            </w:r>
          </w:p>
          <w:p w14:paraId="09EA13E9" w14:textId="77777777" w:rsidR="00885C37" w:rsidRPr="000F1532" w:rsidRDefault="00885C37" w:rsidP="00885C37">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Административна тежест:</w:t>
            </w:r>
            <w:r w:rsidRPr="000F1532">
              <w:rPr>
                <w:rFonts w:ascii="Times New Roman" w:eastAsia="Times New Roman" w:hAnsi="Times New Roman" w:cs="Times New Roman"/>
                <w:sz w:val="24"/>
                <w:szCs w:val="24"/>
                <w:lang w:val="bg-BG"/>
              </w:rPr>
              <w:t xml:space="preserve"> </w:t>
            </w:r>
          </w:p>
          <w:p w14:paraId="740A7E60" w14:textId="77777777" w:rsidR="00885C37" w:rsidRPr="000F1532" w:rsidRDefault="00885C37" w:rsidP="00885C37">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При този вариант административната тежест не се променя.</w:t>
            </w:r>
          </w:p>
          <w:p w14:paraId="5EBEBB0D" w14:textId="77777777" w:rsidR="00885C37" w:rsidRPr="000F1532" w:rsidRDefault="00885C37" w:rsidP="00885C37">
            <w:pPr>
              <w:spacing w:after="120" w:line="240" w:lineRule="auto"/>
              <w:jc w:val="center"/>
              <w:rPr>
                <w:rFonts w:ascii="Times New Roman" w:eastAsia="Times New Roman" w:hAnsi="Times New Roman" w:cs="Times New Roman"/>
                <w:i/>
                <w:sz w:val="20"/>
                <w:szCs w:val="20"/>
                <w:lang w:val="bg-BG"/>
              </w:rPr>
            </w:pPr>
            <w:r w:rsidRPr="000F153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561ADAF5" w14:textId="77777777" w:rsidR="00885C37" w:rsidRPr="000F1532" w:rsidRDefault="00885C37" w:rsidP="00885C37">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6AFA711F" w14:textId="6D7E8612"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Вариант 2:</w:t>
            </w:r>
            <w:r w:rsidR="0014026D" w:rsidRPr="000F1532">
              <w:rPr>
                <w:lang w:val="bg-BG"/>
              </w:rPr>
              <w:t xml:space="preserve"> </w:t>
            </w:r>
            <w:r w:rsidR="0014026D" w:rsidRPr="000F1532">
              <w:rPr>
                <w:rFonts w:ascii="Times New Roman" w:eastAsia="Times New Roman" w:hAnsi="Times New Roman" w:cs="Times New Roman"/>
                <w:b/>
                <w:sz w:val="24"/>
                <w:szCs w:val="24"/>
                <w:lang w:val="bg-BG"/>
              </w:rPr>
              <w:t>Приемане на Закон за изменение и допълнение на Закона за фуражите</w:t>
            </w:r>
          </w:p>
          <w:p w14:paraId="24D2AA60"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Описание:</w:t>
            </w:r>
          </w:p>
          <w:p w14:paraId="40DEDEF2" w14:textId="4B0D674C" w:rsidR="00885C37" w:rsidRPr="000F1532" w:rsidRDefault="00885C37"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Реализирането на варианта предполага промени в процеса на производство на фуражите със специално предназначение. </w:t>
            </w:r>
            <w:r w:rsidR="00696E70" w:rsidRPr="000F1532">
              <w:rPr>
                <w:rFonts w:ascii="Times New Roman" w:eastAsia="Times New Roman" w:hAnsi="Times New Roman" w:cs="Times New Roman"/>
                <w:sz w:val="24"/>
                <w:szCs w:val="24"/>
                <w:lang w:val="bg-BG"/>
              </w:rPr>
              <w:t>С</w:t>
            </w:r>
            <w:r w:rsidRPr="000F1532">
              <w:rPr>
                <w:rFonts w:ascii="Times New Roman" w:eastAsia="Times New Roman" w:hAnsi="Times New Roman" w:cs="Times New Roman"/>
                <w:sz w:val="24"/>
                <w:szCs w:val="24"/>
                <w:lang w:val="bg-BG"/>
              </w:rPr>
              <w:t xml:space="preserve"> </w:t>
            </w:r>
            <w:r w:rsidR="00C92ED3" w:rsidRPr="000F1532">
              <w:rPr>
                <w:rFonts w:ascii="Times New Roman" w:eastAsia="Times New Roman" w:hAnsi="Times New Roman" w:cs="Times New Roman"/>
                <w:sz w:val="24"/>
                <w:szCs w:val="24"/>
                <w:lang w:val="bg-BG"/>
              </w:rPr>
              <w:t xml:space="preserve">Регламент (ЕС) 2020/354 </w:t>
            </w:r>
            <w:r w:rsidR="00696E70" w:rsidRPr="000F1532">
              <w:rPr>
                <w:rFonts w:ascii="Times New Roman" w:eastAsia="Times New Roman" w:hAnsi="Times New Roman" w:cs="Times New Roman"/>
                <w:sz w:val="24"/>
                <w:szCs w:val="24"/>
                <w:lang w:val="bg-BG"/>
              </w:rPr>
              <w:t>е съставен Списък на предназначенията на фуражите, предназначени за специфични хранителни цели, съставен в съответствие с чл. 10 от Регламент (ЕО) № 767/2009</w:t>
            </w:r>
            <w:r w:rsidRPr="000F1532">
              <w:rPr>
                <w:rFonts w:ascii="Times New Roman" w:eastAsia="Times New Roman" w:hAnsi="Times New Roman" w:cs="Times New Roman"/>
                <w:sz w:val="24"/>
                <w:szCs w:val="24"/>
                <w:lang w:val="bg-BG"/>
              </w:rPr>
              <w:t>.</w:t>
            </w:r>
          </w:p>
          <w:p w14:paraId="41ADE8B3" w14:textId="3E382D94" w:rsidR="00885C37" w:rsidRPr="000F1532" w:rsidRDefault="00885C37" w:rsidP="00696E7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 предложения Закон за изменение и допълнение на Закона за фуражите са разписани </w:t>
            </w:r>
            <w:r w:rsidR="00696E70" w:rsidRPr="000F1532">
              <w:rPr>
                <w:rFonts w:ascii="Times New Roman" w:eastAsia="Times New Roman" w:hAnsi="Times New Roman" w:cs="Times New Roman"/>
                <w:sz w:val="24"/>
                <w:szCs w:val="24"/>
                <w:lang w:val="bg-BG"/>
              </w:rPr>
              <w:t xml:space="preserve"> са преходни мерки, свързани с отмяната на Директива 2008/38/ЕИО и прилагането на Регламент (ЕС) 2020/354.</w:t>
            </w:r>
          </w:p>
          <w:p w14:paraId="47C4FE62" w14:textId="3E3C82DA"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Положителни (икономически/социални/екологични) въздействия:</w:t>
            </w:r>
          </w:p>
          <w:p w14:paraId="69864744" w14:textId="77777777" w:rsidR="00024F19" w:rsidRPr="000F1532" w:rsidRDefault="00024F19" w:rsidP="00024F1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Потенциалните икономически, социални и екологични положителни въздействия върху заинтересованите страни посочени в т. 3 са свързани със създаване на условия за:</w:t>
            </w:r>
          </w:p>
          <w:p w14:paraId="5F68E281" w14:textId="6BACFF43" w:rsidR="00024F19" w:rsidRPr="000F1532" w:rsidRDefault="00024F19" w:rsidP="00024F19">
            <w:pPr>
              <w:pStyle w:val="ListParagraph"/>
              <w:numPr>
                <w:ilvl w:val="0"/>
                <w:numId w:val="16"/>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предотвратяване на нелоялните търговски практики;</w:t>
            </w:r>
          </w:p>
          <w:p w14:paraId="34166519" w14:textId="3F0631F0" w:rsidR="00024F19" w:rsidRPr="000F1532" w:rsidRDefault="00024F19" w:rsidP="00024F19">
            <w:pPr>
              <w:pStyle w:val="ListParagraph"/>
              <w:numPr>
                <w:ilvl w:val="0"/>
                <w:numId w:val="16"/>
              </w:num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опазване на здравето на животните хранени с фуражи, предназначени за специфични хранителни цели.</w:t>
            </w:r>
          </w:p>
          <w:p w14:paraId="5A313264" w14:textId="5A469376" w:rsidR="00024F19" w:rsidRPr="000F1532" w:rsidRDefault="00024F19" w:rsidP="00024F1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Пряко заинтересованите страни посочени в т. 3 ще бъдат в конкурентна среда по между си, чрез въведените хармонизирани </w:t>
            </w:r>
            <w:r w:rsidR="005262D2" w:rsidRPr="000F1532">
              <w:rPr>
                <w:rFonts w:ascii="Times New Roman" w:eastAsia="Times New Roman" w:hAnsi="Times New Roman" w:cs="Times New Roman"/>
                <w:sz w:val="24"/>
                <w:szCs w:val="24"/>
                <w:lang w:val="bg-BG"/>
              </w:rPr>
              <w:t>правила</w:t>
            </w:r>
            <w:r w:rsidRPr="000F1532">
              <w:rPr>
                <w:rFonts w:ascii="Times New Roman" w:eastAsia="Times New Roman" w:hAnsi="Times New Roman" w:cs="Times New Roman"/>
                <w:sz w:val="24"/>
                <w:szCs w:val="24"/>
                <w:lang w:val="bg-BG"/>
              </w:rPr>
              <w:t xml:space="preserve"> на ниво Европейски съюз.</w:t>
            </w:r>
          </w:p>
          <w:p w14:paraId="2C671D04" w14:textId="75BA24A5" w:rsidR="00024F19" w:rsidRPr="000F1532" w:rsidRDefault="00024F19" w:rsidP="00024F19">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Косвено заинтересованите страни посочени в т. 3 ще могат да направят своя информиран избор, както и ще бъде гарантирано зд</w:t>
            </w:r>
            <w:r w:rsidR="005262D2" w:rsidRPr="000F1532">
              <w:rPr>
                <w:rFonts w:ascii="Times New Roman" w:eastAsia="Times New Roman" w:hAnsi="Times New Roman" w:cs="Times New Roman"/>
                <w:sz w:val="24"/>
                <w:szCs w:val="24"/>
                <w:lang w:val="bg-BG"/>
              </w:rPr>
              <w:t>р</w:t>
            </w:r>
            <w:r w:rsidRPr="000F1532">
              <w:rPr>
                <w:rFonts w:ascii="Times New Roman" w:eastAsia="Times New Roman" w:hAnsi="Times New Roman" w:cs="Times New Roman"/>
                <w:sz w:val="24"/>
                <w:szCs w:val="24"/>
                <w:lang w:val="bg-BG"/>
              </w:rPr>
              <w:t>авето на хората и животните.</w:t>
            </w:r>
          </w:p>
          <w:p w14:paraId="6B5FC9E5" w14:textId="4C68A46D" w:rsidR="00885C37" w:rsidRPr="000F1532" w:rsidRDefault="00885C37"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С проекта на акта не 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бюджет. Предложеният проект на акта не води до въздействие върху държавния бюджет.</w:t>
            </w:r>
          </w:p>
          <w:p w14:paraId="04842F77" w14:textId="7824C98C" w:rsidR="00D171D7" w:rsidRPr="000F1532" w:rsidRDefault="00D171D7" w:rsidP="00D171D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Не се ограничава свободното движение на стоки, а с прилагането на единните правила в целия ЕС се гарантира свободната вътресъюзна търговия, което не създава бариери пред участниците във веригата. </w:t>
            </w:r>
          </w:p>
          <w:p w14:paraId="773D36A5" w14:textId="77777777" w:rsidR="00193B68" w:rsidRPr="000F1532" w:rsidRDefault="00D171D7" w:rsidP="00193B68">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Чрез въведените единни правила за етикетиране на фуражите предназначени за специфични хранителни цели се гарантира информирания избор на потребителите.</w:t>
            </w:r>
          </w:p>
          <w:p w14:paraId="7A293DAF" w14:textId="6B820D18" w:rsidR="00885C37" w:rsidRPr="000F1532" w:rsidRDefault="00885C37" w:rsidP="00885C37">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A24DFCC"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Отрицателни (икономически/социални/екологични) въздействия:</w:t>
            </w:r>
          </w:p>
          <w:p w14:paraId="63AA6548" w14:textId="71CA7748" w:rsidR="00885C37" w:rsidRPr="000F1532" w:rsidRDefault="00885C37"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Няма идентифицирани негативни въздействия</w:t>
            </w:r>
            <w:r w:rsidR="00293F7A" w:rsidRPr="000F1532">
              <w:rPr>
                <w:rFonts w:ascii="Times New Roman" w:eastAsia="Times New Roman" w:hAnsi="Times New Roman" w:cs="Times New Roman"/>
                <w:sz w:val="24"/>
                <w:szCs w:val="24"/>
                <w:lang w:val="bg-BG"/>
              </w:rPr>
              <w:t>,</w:t>
            </w:r>
            <w:r w:rsidR="00293F7A" w:rsidRPr="000F1532">
              <w:rPr>
                <w:lang w:val="bg-BG"/>
              </w:rPr>
              <w:t xml:space="preserve"> </w:t>
            </w:r>
            <w:r w:rsidR="00293F7A" w:rsidRPr="000F1532">
              <w:rPr>
                <w:rFonts w:ascii="Times New Roman" w:eastAsia="Times New Roman" w:hAnsi="Times New Roman" w:cs="Times New Roman"/>
                <w:sz w:val="24"/>
                <w:szCs w:val="24"/>
                <w:lang w:val="bg-BG"/>
              </w:rPr>
              <w:t xml:space="preserve">свързани с опазване здравето на хората и животните. </w:t>
            </w:r>
            <w:r w:rsidR="005262D2" w:rsidRPr="000F1532">
              <w:rPr>
                <w:rFonts w:ascii="Times New Roman" w:eastAsia="Times New Roman" w:hAnsi="Times New Roman" w:cs="Times New Roman"/>
                <w:sz w:val="24"/>
                <w:szCs w:val="24"/>
                <w:lang w:val="bg-BG"/>
              </w:rPr>
              <w:t>Отрицателно</w:t>
            </w:r>
            <w:r w:rsidR="00293F7A" w:rsidRPr="000F1532">
              <w:rPr>
                <w:rFonts w:ascii="Times New Roman" w:eastAsia="Times New Roman" w:hAnsi="Times New Roman" w:cs="Times New Roman"/>
                <w:sz w:val="24"/>
                <w:szCs w:val="24"/>
                <w:lang w:val="bg-BG"/>
              </w:rPr>
              <w:t xml:space="preserve"> </w:t>
            </w:r>
            <w:r w:rsidR="005262D2" w:rsidRPr="000F1532">
              <w:rPr>
                <w:rFonts w:ascii="Times New Roman" w:eastAsia="Times New Roman" w:hAnsi="Times New Roman" w:cs="Times New Roman"/>
                <w:sz w:val="24"/>
                <w:szCs w:val="24"/>
                <w:lang w:val="bg-BG"/>
              </w:rPr>
              <w:t>въздействие</w:t>
            </w:r>
            <w:r w:rsidR="00293F7A" w:rsidRPr="000F1532">
              <w:rPr>
                <w:rFonts w:ascii="Times New Roman" w:eastAsia="Times New Roman" w:hAnsi="Times New Roman" w:cs="Times New Roman"/>
                <w:sz w:val="24"/>
                <w:szCs w:val="24"/>
                <w:lang w:val="bg-BG"/>
              </w:rPr>
              <w:t xml:space="preserve"> се идентифицира при пряко заинтересованите страни посочени в т. 3, които прилагат нелоялни търговски практики. Тези практики водят до по-голяма икономическа полза за конкретния оператор.</w:t>
            </w:r>
          </w:p>
          <w:p w14:paraId="5F60B4C5" w14:textId="5CB390C8" w:rsidR="00885C37" w:rsidRPr="000F1532" w:rsidRDefault="00885C37" w:rsidP="00193B68">
            <w:pPr>
              <w:spacing w:after="12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C03D431" w14:textId="77777777" w:rsidR="00885C37" w:rsidRPr="000F1532" w:rsidRDefault="00885C37" w:rsidP="00885C37">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Специфични въздействия:</w:t>
            </w:r>
          </w:p>
          <w:p w14:paraId="59F0217C" w14:textId="457ECA96" w:rsidR="00885C37" w:rsidRPr="000F1532" w:rsidRDefault="00885C37" w:rsidP="00885C37">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Не са идентифицирани специфични въздействия.</w:t>
            </w:r>
          </w:p>
          <w:p w14:paraId="24677A0E" w14:textId="77777777" w:rsidR="00885C37" w:rsidRPr="000F1532" w:rsidRDefault="00885C37" w:rsidP="00885C37">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Въздействия върху малките и средните предприятия:</w:t>
            </w:r>
            <w:r w:rsidRPr="000F1532">
              <w:rPr>
                <w:rFonts w:ascii="Times New Roman" w:eastAsia="Times New Roman" w:hAnsi="Times New Roman" w:cs="Times New Roman"/>
                <w:sz w:val="24"/>
                <w:szCs w:val="24"/>
                <w:lang w:val="bg-BG"/>
              </w:rPr>
              <w:t xml:space="preserve">  </w:t>
            </w:r>
          </w:p>
          <w:p w14:paraId="30C22143" w14:textId="6FC62856" w:rsidR="00885C37" w:rsidRPr="000F1532" w:rsidRDefault="00885C37"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 случай че посочените предприятия боравят с фуражи със специално предназначение, за тях ще се прилагат същите правила, както и за останалите оператори във фуражния сектор. Доколкото въздействието от прилагането на предложената нормативна уредба върху страните се очаква да бъде положително, МСП, също ще </w:t>
            </w:r>
            <w:r w:rsidR="001C27C1" w:rsidRPr="000F1532">
              <w:rPr>
                <w:rFonts w:ascii="Times New Roman" w:eastAsia="Times New Roman" w:hAnsi="Times New Roman" w:cs="Times New Roman"/>
                <w:sz w:val="24"/>
                <w:szCs w:val="24"/>
                <w:lang w:val="bg-BG"/>
              </w:rPr>
              <w:t xml:space="preserve">бъдат повлияни от </w:t>
            </w:r>
            <w:r w:rsidRPr="000F1532">
              <w:rPr>
                <w:rFonts w:ascii="Times New Roman" w:eastAsia="Times New Roman" w:hAnsi="Times New Roman" w:cs="Times New Roman"/>
                <w:sz w:val="24"/>
                <w:szCs w:val="24"/>
                <w:lang w:val="bg-BG"/>
              </w:rPr>
              <w:t>описаните положителни въздействия</w:t>
            </w:r>
            <w:r w:rsidR="00293F7A" w:rsidRPr="000F1532">
              <w:rPr>
                <w:rFonts w:ascii="Times New Roman" w:eastAsia="Times New Roman" w:hAnsi="Times New Roman" w:cs="Times New Roman"/>
                <w:sz w:val="24"/>
                <w:szCs w:val="24"/>
                <w:lang w:val="bg-BG"/>
              </w:rPr>
              <w:t>, така както е посочено по-горе</w:t>
            </w:r>
            <w:r w:rsidRPr="000F1532">
              <w:rPr>
                <w:rFonts w:ascii="Times New Roman" w:eastAsia="Times New Roman" w:hAnsi="Times New Roman" w:cs="Times New Roman"/>
                <w:sz w:val="24"/>
                <w:szCs w:val="24"/>
                <w:lang w:val="bg-BG"/>
              </w:rPr>
              <w:t>.</w:t>
            </w:r>
          </w:p>
          <w:p w14:paraId="0E25C001" w14:textId="77777777" w:rsidR="00885C37" w:rsidRPr="000F1532" w:rsidRDefault="00885C37" w:rsidP="00885C37">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Административна тежест:</w:t>
            </w:r>
            <w:r w:rsidRPr="000F1532">
              <w:rPr>
                <w:rFonts w:ascii="Times New Roman" w:eastAsia="Times New Roman" w:hAnsi="Times New Roman" w:cs="Times New Roman"/>
                <w:sz w:val="24"/>
                <w:szCs w:val="24"/>
                <w:lang w:val="bg-BG"/>
              </w:rPr>
              <w:t xml:space="preserve"> </w:t>
            </w:r>
          </w:p>
          <w:p w14:paraId="59439BB6" w14:textId="7DD1091A" w:rsidR="00885C37" w:rsidRPr="000F1532" w:rsidRDefault="00293F7A" w:rsidP="00885C37">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Въвеждането на хармонизиран подход не води до увеличаване на административната тежест. </w:t>
            </w:r>
            <w:r w:rsidR="00C17E31" w:rsidRPr="000F1532">
              <w:rPr>
                <w:rFonts w:ascii="Times New Roman" w:eastAsia="Times New Roman" w:hAnsi="Times New Roman" w:cs="Times New Roman"/>
                <w:sz w:val="24"/>
                <w:szCs w:val="24"/>
                <w:lang w:val="bg-BG"/>
              </w:rPr>
              <w:t>Не се въвеждат нови регулаторни режими, както и не се засягат същес</w:t>
            </w:r>
            <w:r w:rsidR="005262D2" w:rsidRPr="000F1532">
              <w:rPr>
                <w:rFonts w:ascii="Times New Roman" w:eastAsia="Times New Roman" w:hAnsi="Times New Roman" w:cs="Times New Roman"/>
                <w:sz w:val="24"/>
                <w:szCs w:val="24"/>
                <w:lang w:val="bg-BG"/>
              </w:rPr>
              <w:t>т</w:t>
            </w:r>
            <w:r w:rsidR="00C17E31" w:rsidRPr="000F1532">
              <w:rPr>
                <w:rFonts w:ascii="Times New Roman" w:eastAsia="Times New Roman" w:hAnsi="Times New Roman" w:cs="Times New Roman"/>
                <w:sz w:val="24"/>
                <w:szCs w:val="24"/>
                <w:lang w:val="bg-BG"/>
              </w:rPr>
              <w:t>вуващите такива. С Регламент (ЕС) 2020/354 се г</w:t>
            </w:r>
            <w:r w:rsidRPr="000F1532">
              <w:rPr>
                <w:rFonts w:ascii="Times New Roman" w:eastAsia="Times New Roman" w:hAnsi="Times New Roman" w:cs="Times New Roman"/>
                <w:sz w:val="24"/>
                <w:szCs w:val="24"/>
                <w:lang w:val="bg-BG"/>
              </w:rPr>
              <w:t>арантира достъпа на всеки един от операторите във фуражния сектор до съответните пазари, както и гарантира предлагането на безопасни фуражи</w:t>
            </w:r>
            <w:r w:rsidR="00885C37" w:rsidRPr="000F1532">
              <w:rPr>
                <w:rFonts w:ascii="Times New Roman" w:eastAsia="Times New Roman" w:hAnsi="Times New Roman" w:cs="Times New Roman"/>
                <w:sz w:val="24"/>
                <w:szCs w:val="24"/>
                <w:lang w:val="bg-BG"/>
              </w:rPr>
              <w:t>.</w:t>
            </w:r>
          </w:p>
          <w:p w14:paraId="4DECBFFA" w14:textId="77777777" w:rsidR="00885C37" w:rsidRPr="000F1532" w:rsidRDefault="00885C37" w:rsidP="00885C37">
            <w:pPr>
              <w:spacing w:before="120"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0E8DC0ED" w14:textId="77777777" w:rsidR="00885C37" w:rsidRPr="000F1532" w:rsidRDefault="00885C37" w:rsidP="00885C37">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27CA0F72" w14:textId="1B5C39F1" w:rsidR="00651913" w:rsidRPr="000F1532" w:rsidRDefault="00885C37" w:rsidP="00C17E31">
            <w:pPr>
              <w:spacing w:after="120" w:line="240" w:lineRule="auto"/>
              <w:jc w:val="center"/>
              <w:rPr>
                <w:rFonts w:ascii="Times New Roman" w:eastAsia="Times New Roman" w:hAnsi="Times New Roman" w:cs="Times New Roman"/>
                <w:iCs/>
                <w:sz w:val="24"/>
                <w:szCs w:val="24"/>
                <w:lang w:val="bg-BG"/>
              </w:rPr>
            </w:pPr>
            <w:r w:rsidRPr="000F153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F1532" w:rsidRPr="000F1532" w14:paraId="061F8D4E" w14:textId="77777777" w:rsidTr="0014689E">
        <w:tc>
          <w:tcPr>
            <w:tcW w:w="9616" w:type="dxa"/>
            <w:gridSpan w:val="2"/>
          </w:tcPr>
          <w:p w14:paraId="427D7AC1"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5. Сравняване на вариантите:</w:t>
            </w:r>
          </w:p>
          <w:p w14:paraId="62DB1BC6" w14:textId="77777777" w:rsidR="00076E63" w:rsidRPr="000F1532" w:rsidRDefault="00064387"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 xml:space="preserve">Степени на </w:t>
            </w:r>
            <w:r w:rsidR="00512211" w:rsidRPr="000F1532">
              <w:rPr>
                <w:rFonts w:ascii="Times New Roman" w:eastAsia="Times New Roman" w:hAnsi="Times New Roman" w:cs="Times New Roman"/>
                <w:b/>
                <w:sz w:val="24"/>
                <w:szCs w:val="24"/>
                <w:lang w:val="bg-BG"/>
              </w:rPr>
              <w:t>изпълнение по критерии</w:t>
            </w:r>
            <w:r w:rsidRPr="000F1532">
              <w:rPr>
                <w:rFonts w:ascii="Times New Roman" w:eastAsia="Times New Roman" w:hAnsi="Times New Roman" w:cs="Times New Roman"/>
                <w:b/>
                <w:sz w:val="24"/>
                <w:szCs w:val="24"/>
                <w:lang w:val="bg-BG"/>
              </w:rPr>
              <w:t>:</w:t>
            </w:r>
            <w:r w:rsidRPr="000F1532">
              <w:rPr>
                <w:rFonts w:ascii="Times New Roman" w:eastAsia="Times New Roman" w:hAnsi="Times New Roman" w:cs="Times New Roman"/>
                <w:sz w:val="24"/>
                <w:szCs w:val="24"/>
                <w:lang w:val="bg-BG"/>
              </w:rPr>
              <w:t xml:space="preserve"> 1) висока; 2) средна; 3) ниска.</w:t>
            </w:r>
          </w:p>
          <w:p w14:paraId="0AC556B8" w14:textId="77777777" w:rsidR="004E4FD6" w:rsidRPr="000F1532" w:rsidRDefault="00E44DE0"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1524"/>
              <w:gridCol w:w="2126"/>
              <w:gridCol w:w="2278"/>
            </w:tblGrid>
            <w:tr w:rsidR="000F1532" w:rsidRPr="000F1532" w14:paraId="30607C91" w14:textId="77777777" w:rsidTr="00193B68">
              <w:trPr>
                <w:trHeight w:val="357"/>
              </w:trPr>
              <w:tc>
                <w:tcPr>
                  <w:tcW w:w="1995"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4F9C97E0" w14:textId="77777777" w:rsidR="00EF26DE" w:rsidRPr="000F1532" w:rsidRDefault="00EF26DE" w:rsidP="00076E63">
                  <w:pPr>
                    <w:spacing w:after="0" w:line="240" w:lineRule="auto"/>
                    <w:contextualSpacing/>
                    <w:jc w:val="center"/>
                    <w:rPr>
                      <w:rFonts w:ascii="Times New Roman" w:eastAsia="Times New Roman" w:hAnsi="Times New Roman" w:cs="Times New Roman"/>
                      <w:b/>
                      <w:sz w:val="20"/>
                      <w:szCs w:val="20"/>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457B4DB5" w14:textId="77777777" w:rsidR="00EF26DE" w:rsidRPr="000F1532" w:rsidRDefault="00EF26DE" w:rsidP="00076E63">
                  <w:pPr>
                    <w:spacing w:after="0" w:line="240" w:lineRule="auto"/>
                    <w:ind w:left="-160"/>
                    <w:contextualSpacing/>
                    <w:jc w:val="center"/>
                    <w:rPr>
                      <w:rFonts w:ascii="Times New Roman" w:eastAsia="Times New Roman" w:hAnsi="Times New Roman" w:cs="Times New Roman"/>
                      <w:b/>
                      <w:sz w:val="20"/>
                      <w:szCs w:val="20"/>
                      <w:lang w:val="bg-BG"/>
                    </w:rPr>
                  </w:pPr>
                  <w:r w:rsidRPr="000F1532">
                    <w:rPr>
                      <w:rFonts w:ascii="Times New Roman" w:eastAsia="Times New Roman" w:hAnsi="Times New Roman" w:cs="Times New Roman"/>
                      <w:b/>
                      <w:sz w:val="20"/>
                      <w:szCs w:val="20"/>
                      <w:lang w:val="bg-BG"/>
                    </w:rPr>
                    <w:t>Вариант</w:t>
                  </w:r>
                </w:p>
                <w:p w14:paraId="2660F0B9" w14:textId="77777777" w:rsidR="00EF26DE" w:rsidRPr="000F1532" w:rsidRDefault="00EF26DE" w:rsidP="00076E63">
                  <w:pPr>
                    <w:spacing w:after="0" w:line="240" w:lineRule="auto"/>
                    <w:ind w:left="-160"/>
                    <w:contextualSpacing/>
                    <w:jc w:val="center"/>
                    <w:rPr>
                      <w:rFonts w:ascii="Times New Roman" w:eastAsia="Times New Roman" w:hAnsi="Times New Roman" w:cs="Times New Roman"/>
                      <w:b/>
                      <w:sz w:val="20"/>
                      <w:szCs w:val="20"/>
                      <w:lang w:val="bg-BG"/>
                    </w:rPr>
                  </w:pPr>
                  <w:r w:rsidRPr="000F1532">
                    <w:rPr>
                      <w:rFonts w:ascii="Times New Roman" w:eastAsia="Times New Roman" w:hAnsi="Times New Roman" w:cs="Times New Roman"/>
                      <w:b/>
                      <w:sz w:val="20"/>
                      <w:szCs w:val="20"/>
                      <w:lang w:val="bg-BG"/>
                    </w:rPr>
                    <w:t xml:space="preserve"> „Без действие“</w:t>
                  </w:r>
                </w:p>
              </w:tc>
              <w:tc>
                <w:tcPr>
                  <w:tcW w:w="2278" w:type="dxa"/>
                  <w:tcBorders>
                    <w:top w:val="single" w:sz="12" w:space="0" w:color="auto"/>
                    <w:left w:val="single" w:sz="12" w:space="0" w:color="auto"/>
                    <w:bottom w:val="single" w:sz="12" w:space="0" w:color="auto"/>
                    <w:right w:val="single" w:sz="12" w:space="0" w:color="auto"/>
                  </w:tcBorders>
                  <w:shd w:val="clear" w:color="auto" w:fill="D9D9D9"/>
                  <w:vAlign w:val="center"/>
                </w:tcPr>
                <w:p w14:paraId="6FFFA61F" w14:textId="200669B9" w:rsidR="00EF26DE" w:rsidRPr="000F1532" w:rsidRDefault="00EF26DE" w:rsidP="00076E63">
                  <w:pPr>
                    <w:spacing w:after="0" w:line="240" w:lineRule="auto"/>
                    <w:ind w:left="-160"/>
                    <w:contextualSpacing/>
                    <w:jc w:val="center"/>
                    <w:rPr>
                      <w:rFonts w:ascii="Times New Roman" w:eastAsia="Times New Roman" w:hAnsi="Times New Roman" w:cs="Times New Roman"/>
                      <w:b/>
                      <w:sz w:val="20"/>
                      <w:szCs w:val="20"/>
                      <w:lang w:val="bg-BG"/>
                    </w:rPr>
                  </w:pPr>
                  <w:r w:rsidRPr="000F1532">
                    <w:rPr>
                      <w:rFonts w:ascii="Times New Roman" w:eastAsia="Times New Roman" w:hAnsi="Times New Roman" w:cs="Times New Roman"/>
                      <w:b/>
                      <w:sz w:val="20"/>
                      <w:szCs w:val="20"/>
                      <w:lang w:val="bg-BG"/>
                    </w:rPr>
                    <w:t xml:space="preserve">Вариант </w:t>
                  </w:r>
                  <w:r w:rsidR="001C27C1" w:rsidRPr="000F1532">
                    <w:rPr>
                      <w:rFonts w:ascii="Times New Roman" w:eastAsia="Times New Roman" w:hAnsi="Times New Roman" w:cs="Times New Roman"/>
                      <w:b/>
                      <w:sz w:val="20"/>
                      <w:szCs w:val="20"/>
                      <w:lang w:val="bg-BG"/>
                    </w:rPr>
                    <w:t>2</w:t>
                  </w:r>
                </w:p>
              </w:tc>
            </w:tr>
            <w:tr w:rsidR="000F1532" w:rsidRPr="000F1532" w14:paraId="4A8C5A32" w14:textId="77777777" w:rsidTr="00193B68">
              <w:trPr>
                <w:trHeight w:val="840"/>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52FE6969" w14:textId="77777777" w:rsidR="00EF26DE" w:rsidRPr="000F1532" w:rsidRDefault="00EF26DE" w:rsidP="008D4006">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F1532">
                    <w:rPr>
                      <w:rFonts w:ascii="Times New Roman" w:eastAsia="Times New Roman" w:hAnsi="Times New Roman" w:cs="Times New Roman"/>
                      <w:b/>
                      <w:bCs/>
                      <w:i/>
                      <w:iCs/>
                      <w:sz w:val="20"/>
                      <w:szCs w:val="20"/>
                      <w:lang w:val="bg-BG"/>
                    </w:rPr>
                    <w:t>Ефективност</w:t>
                  </w: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051EC314" w14:textId="766817D5" w:rsidR="00EF26DE" w:rsidRPr="000F1532" w:rsidRDefault="00EF26DE" w:rsidP="00AC15E6">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r w:rsidRPr="000F1532">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82E9941" w14:textId="0EFB7D55" w:rsidR="00EF26DE" w:rsidRPr="000F1532" w:rsidRDefault="00EF26DE" w:rsidP="00EF26D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7EBA14EC" w14:textId="19C1C8AF" w:rsidR="00EF26DE" w:rsidRPr="000F1532" w:rsidRDefault="00EF26DE"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sidRPr="000F1532">
                    <w:rPr>
                      <w:rFonts w:ascii="Times New Roman" w:eastAsia="Times New Roman" w:hAnsi="Times New Roman" w:cs="Times New Roman"/>
                      <w:w w:val="111"/>
                      <w:sz w:val="20"/>
                      <w:szCs w:val="20"/>
                      <w:lang w:val="bg-BG"/>
                    </w:rPr>
                    <w:t>висока</w:t>
                  </w:r>
                </w:p>
              </w:tc>
            </w:tr>
            <w:tr w:rsidR="000F1532" w:rsidRPr="000F1532" w14:paraId="4142D6AA" w14:textId="77777777" w:rsidTr="00193B68">
              <w:trPr>
                <w:trHeight w:val="651"/>
              </w:trPr>
              <w:tc>
                <w:tcPr>
                  <w:tcW w:w="471" w:type="dxa"/>
                  <w:vMerge/>
                  <w:tcBorders>
                    <w:left w:val="single" w:sz="12" w:space="0" w:color="auto"/>
                    <w:right w:val="single" w:sz="12" w:space="0" w:color="auto"/>
                  </w:tcBorders>
                  <w:shd w:val="clear" w:color="auto" w:fill="D9D9D9" w:themeFill="background1" w:themeFillShade="D9"/>
                  <w:vAlign w:val="center"/>
                </w:tcPr>
                <w:p w14:paraId="056D1BB1" w14:textId="77777777" w:rsidR="00EF26DE" w:rsidRPr="000F1532" w:rsidRDefault="00EF26DE" w:rsidP="00AC15E6">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45CBFB84" w14:textId="1EB837B4" w:rsidR="00EF26DE" w:rsidRPr="000F1532" w:rsidRDefault="00EF26DE" w:rsidP="00AC15E6">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r w:rsidRPr="000F1532">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3D7CC2DB" w14:textId="0E58D05D" w:rsidR="00EF26DE" w:rsidRPr="000F1532" w:rsidRDefault="00EF26DE" w:rsidP="00EF26D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764C2578" w14:textId="17ACD52B" w:rsidR="00EF26DE" w:rsidRPr="000F1532" w:rsidRDefault="00EF26DE"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sidRPr="000F1532">
                    <w:rPr>
                      <w:rFonts w:ascii="Times New Roman" w:eastAsia="Times New Roman" w:hAnsi="Times New Roman" w:cs="Times New Roman"/>
                      <w:w w:val="111"/>
                      <w:sz w:val="20"/>
                      <w:szCs w:val="20"/>
                      <w:lang w:val="bg-BG"/>
                    </w:rPr>
                    <w:t>висока</w:t>
                  </w:r>
                </w:p>
              </w:tc>
            </w:tr>
            <w:tr w:rsidR="000F1532" w:rsidRPr="000F1532" w14:paraId="49D9CB28" w14:textId="77777777" w:rsidTr="00193B68">
              <w:trPr>
                <w:trHeight w:val="63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4FDEC0B8" w14:textId="77777777" w:rsidR="00EF26DE" w:rsidRPr="000F1532" w:rsidRDefault="00EF26DE" w:rsidP="008D4006">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b/>
                      <w:bCs/>
                      <w:i/>
                      <w:iCs/>
                      <w:sz w:val="20"/>
                      <w:szCs w:val="20"/>
                      <w:lang w:val="bg-BG"/>
                    </w:rPr>
                    <w:t>Ефикасност</w:t>
                  </w: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2F9432FA" w14:textId="0F8B1C0D" w:rsidR="00EF26DE" w:rsidRPr="000F1532" w:rsidRDefault="00EF26DE" w:rsidP="00AC15E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63747C61" w14:textId="515A9809" w:rsidR="00EF26DE" w:rsidRPr="000F1532" w:rsidRDefault="00EF26DE" w:rsidP="00EF26D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w w:val="151"/>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06D49418" w14:textId="7D5CD091" w:rsidR="00EF26DE" w:rsidRPr="000F1532" w:rsidRDefault="00EF26DE"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r w:rsidR="000F1532" w:rsidRPr="000F1532" w14:paraId="3776E747" w14:textId="77777777" w:rsidTr="00193B68">
              <w:trPr>
                <w:trHeight w:val="636"/>
              </w:trPr>
              <w:tc>
                <w:tcPr>
                  <w:tcW w:w="471" w:type="dxa"/>
                  <w:vMerge/>
                  <w:tcBorders>
                    <w:left w:val="single" w:sz="12" w:space="0" w:color="auto"/>
                    <w:right w:val="single" w:sz="12" w:space="0" w:color="auto"/>
                  </w:tcBorders>
                  <w:shd w:val="clear" w:color="auto" w:fill="D9D9D9"/>
                  <w:vAlign w:val="center"/>
                </w:tcPr>
                <w:p w14:paraId="4353A24F" w14:textId="77777777" w:rsidR="00EF26DE" w:rsidRPr="000F1532" w:rsidRDefault="00EF26DE" w:rsidP="00AC15E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7A86964C" w14:textId="5813DC2B" w:rsidR="00EF26DE" w:rsidRPr="000F1532" w:rsidDel="00512211" w:rsidRDefault="00EF26DE" w:rsidP="00AC15E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1840ED81" w14:textId="101B4C08" w:rsidR="00EF26DE" w:rsidRPr="000F1532" w:rsidRDefault="00EF26DE" w:rsidP="00EF26D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0DE42623" w14:textId="3D99381A" w:rsidR="00EF26DE" w:rsidRPr="000F1532" w:rsidRDefault="00EF26DE"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r w:rsidR="000F1532" w:rsidRPr="000F1532" w14:paraId="773F1B90" w14:textId="77777777" w:rsidTr="00193B68">
              <w:trPr>
                <w:trHeight w:val="778"/>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3DB9FE3B" w14:textId="77777777" w:rsidR="00EF26DE" w:rsidRPr="000F1532" w:rsidRDefault="00EF26DE" w:rsidP="008D4006">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b/>
                      <w:bCs/>
                      <w:i/>
                      <w:iCs/>
                      <w:sz w:val="20"/>
                      <w:szCs w:val="20"/>
                      <w:lang w:val="bg-BG"/>
                    </w:rPr>
                    <w:t>Съгласуваност</w:t>
                  </w: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235AF361" w14:textId="426EE53D" w:rsidR="00EF26DE" w:rsidRPr="000F1532" w:rsidRDefault="00EF26DE" w:rsidP="00AC15E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33790D3" w14:textId="580AB409" w:rsidR="00EF26DE" w:rsidRPr="000F1532" w:rsidRDefault="00EF26DE" w:rsidP="00EF26D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35BBDE85" w14:textId="32C6A047" w:rsidR="00EF26DE" w:rsidRPr="000F1532" w:rsidRDefault="00EF26DE"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r w:rsidR="000F1532" w:rsidRPr="000F1532" w14:paraId="3C2B4103" w14:textId="77777777" w:rsidTr="00193B68">
              <w:trPr>
                <w:trHeight w:val="772"/>
              </w:trPr>
              <w:tc>
                <w:tcPr>
                  <w:tcW w:w="471" w:type="dxa"/>
                  <w:vMerge/>
                  <w:tcBorders>
                    <w:left w:val="single" w:sz="12" w:space="0" w:color="auto"/>
                    <w:right w:val="single" w:sz="12" w:space="0" w:color="auto"/>
                  </w:tcBorders>
                  <w:shd w:val="clear" w:color="auto" w:fill="D9D9D9"/>
                </w:tcPr>
                <w:p w14:paraId="4B116D41" w14:textId="77777777" w:rsidR="00EF26DE" w:rsidRPr="000F1532" w:rsidRDefault="00EF26DE" w:rsidP="00AC15E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76993FE2" w14:textId="192301B3" w:rsidR="00EF26DE" w:rsidRPr="000F1532" w:rsidDel="00512211" w:rsidRDefault="00EF26DE" w:rsidP="00AC15E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034C92B" w14:textId="694A1A1F" w:rsidR="00EF26DE" w:rsidRPr="000F1532" w:rsidRDefault="00EF26DE"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 xml:space="preserve">ниска </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3416716E" w14:textId="5EBD7EA5" w:rsidR="00EF26DE" w:rsidRPr="000F1532" w:rsidRDefault="00EF26DE"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bl>
          <w:p w14:paraId="103E22CF" w14:textId="1DA928E0" w:rsidR="00784799" w:rsidRPr="000F1532" w:rsidRDefault="00784799" w:rsidP="00784799">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5.2. По проблем 2:</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1524"/>
              <w:gridCol w:w="2126"/>
              <w:gridCol w:w="2278"/>
            </w:tblGrid>
            <w:tr w:rsidR="000F1532" w:rsidRPr="000F1532" w14:paraId="6255BF99" w14:textId="77777777" w:rsidTr="00193B68">
              <w:trPr>
                <w:trHeight w:val="357"/>
              </w:trPr>
              <w:tc>
                <w:tcPr>
                  <w:tcW w:w="1995"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3ACA0FFA" w14:textId="77777777" w:rsidR="00784799" w:rsidRPr="000F1532" w:rsidRDefault="00784799" w:rsidP="00784799">
                  <w:pPr>
                    <w:spacing w:after="0" w:line="240" w:lineRule="auto"/>
                    <w:contextualSpacing/>
                    <w:jc w:val="center"/>
                    <w:rPr>
                      <w:rFonts w:ascii="Times New Roman" w:eastAsia="Times New Roman" w:hAnsi="Times New Roman" w:cs="Times New Roman"/>
                      <w:b/>
                      <w:sz w:val="20"/>
                      <w:szCs w:val="20"/>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74D3CD2C" w14:textId="77777777" w:rsidR="00784799" w:rsidRPr="000F1532" w:rsidRDefault="00784799" w:rsidP="00784799">
                  <w:pPr>
                    <w:spacing w:after="0" w:line="240" w:lineRule="auto"/>
                    <w:ind w:left="-160"/>
                    <w:contextualSpacing/>
                    <w:jc w:val="center"/>
                    <w:rPr>
                      <w:rFonts w:ascii="Times New Roman" w:eastAsia="Times New Roman" w:hAnsi="Times New Roman" w:cs="Times New Roman"/>
                      <w:b/>
                      <w:sz w:val="20"/>
                      <w:szCs w:val="20"/>
                      <w:lang w:val="bg-BG"/>
                    </w:rPr>
                  </w:pPr>
                  <w:r w:rsidRPr="000F1532">
                    <w:rPr>
                      <w:rFonts w:ascii="Times New Roman" w:eastAsia="Times New Roman" w:hAnsi="Times New Roman" w:cs="Times New Roman"/>
                      <w:b/>
                      <w:sz w:val="20"/>
                      <w:szCs w:val="20"/>
                      <w:lang w:val="bg-BG"/>
                    </w:rPr>
                    <w:t>Вариант</w:t>
                  </w:r>
                </w:p>
                <w:p w14:paraId="7C730BA3" w14:textId="77777777" w:rsidR="00784799" w:rsidRPr="000F1532" w:rsidRDefault="00784799" w:rsidP="00784799">
                  <w:pPr>
                    <w:spacing w:after="0" w:line="240" w:lineRule="auto"/>
                    <w:ind w:left="-160"/>
                    <w:contextualSpacing/>
                    <w:jc w:val="center"/>
                    <w:rPr>
                      <w:rFonts w:ascii="Times New Roman" w:eastAsia="Times New Roman" w:hAnsi="Times New Roman" w:cs="Times New Roman"/>
                      <w:b/>
                      <w:sz w:val="20"/>
                      <w:szCs w:val="20"/>
                      <w:lang w:val="bg-BG"/>
                    </w:rPr>
                  </w:pPr>
                  <w:r w:rsidRPr="000F1532">
                    <w:rPr>
                      <w:rFonts w:ascii="Times New Roman" w:eastAsia="Times New Roman" w:hAnsi="Times New Roman" w:cs="Times New Roman"/>
                      <w:b/>
                      <w:sz w:val="20"/>
                      <w:szCs w:val="20"/>
                      <w:lang w:val="bg-BG"/>
                    </w:rPr>
                    <w:t xml:space="preserve"> „Без действие“</w:t>
                  </w:r>
                </w:p>
              </w:tc>
              <w:tc>
                <w:tcPr>
                  <w:tcW w:w="2278" w:type="dxa"/>
                  <w:tcBorders>
                    <w:top w:val="single" w:sz="12" w:space="0" w:color="auto"/>
                    <w:left w:val="single" w:sz="12" w:space="0" w:color="auto"/>
                    <w:bottom w:val="single" w:sz="12" w:space="0" w:color="auto"/>
                    <w:right w:val="single" w:sz="12" w:space="0" w:color="auto"/>
                  </w:tcBorders>
                  <w:shd w:val="clear" w:color="auto" w:fill="D9D9D9"/>
                  <w:vAlign w:val="center"/>
                </w:tcPr>
                <w:p w14:paraId="649279C1" w14:textId="3112A910" w:rsidR="00784799" w:rsidRPr="000F1532" w:rsidRDefault="00784799" w:rsidP="00784799">
                  <w:pPr>
                    <w:spacing w:after="0" w:line="240" w:lineRule="auto"/>
                    <w:ind w:left="-160"/>
                    <w:contextualSpacing/>
                    <w:jc w:val="center"/>
                    <w:rPr>
                      <w:rFonts w:ascii="Times New Roman" w:eastAsia="Times New Roman" w:hAnsi="Times New Roman" w:cs="Times New Roman"/>
                      <w:b/>
                      <w:sz w:val="20"/>
                      <w:szCs w:val="20"/>
                      <w:lang w:val="bg-BG"/>
                    </w:rPr>
                  </w:pPr>
                  <w:r w:rsidRPr="000F1532">
                    <w:rPr>
                      <w:rFonts w:ascii="Times New Roman" w:eastAsia="Times New Roman" w:hAnsi="Times New Roman" w:cs="Times New Roman"/>
                      <w:b/>
                      <w:sz w:val="20"/>
                      <w:szCs w:val="20"/>
                      <w:lang w:val="bg-BG"/>
                    </w:rPr>
                    <w:t xml:space="preserve">Вариант </w:t>
                  </w:r>
                  <w:r w:rsidR="001C27C1" w:rsidRPr="000F1532">
                    <w:rPr>
                      <w:rFonts w:ascii="Times New Roman" w:eastAsia="Times New Roman" w:hAnsi="Times New Roman" w:cs="Times New Roman"/>
                      <w:b/>
                      <w:sz w:val="20"/>
                      <w:szCs w:val="20"/>
                      <w:lang w:val="bg-BG"/>
                    </w:rPr>
                    <w:t>2</w:t>
                  </w:r>
                </w:p>
              </w:tc>
            </w:tr>
            <w:tr w:rsidR="000F1532" w:rsidRPr="000F1532" w14:paraId="6AA16D18" w14:textId="77777777" w:rsidTr="00193B68">
              <w:trPr>
                <w:trHeight w:val="912"/>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0EA42C4C" w14:textId="77777777" w:rsidR="00784799" w:rsidRPr="000F1532" w:rsidRDefault="00784799" w:rsidP="00784799">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F1532">
                    <w:rPr>
                      <w:rFonts w:ascii="Times New Roman" w:eastAsia="Times New Roman" w:hAnsi="Times New Roman" w:cs="Times New Roman"/>
                      <w:b/>
                      <w:bCs/>
                      <w:i/>
                      <w:iCs/>
                      <w:sz w:val="20"/>
                      <w:szCs w:val="20"/>
                      <w:lang w:val="bg-BG"/>
                    </w:rPr>
                    <w:t>Ефективност</w:t>
                  </w: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4B441FAC" w14:textId="05C40743" w:rsidR="00784799" w:rsidRPr="000F1532" w:rsidRDefault="00784799" w:rsidP="00AC15E6">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r w:rsidRPr="000F1532">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F7FEEF1" w14:textId="77777777" w:rsidR="00784799" w:rsidRPr="000F1532" w:rsidRDefault="00784799" w:rsidP="00784799">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39FE44C8" w14:textId="77777777" w:rsidR="00784799" w:rsidRPr="000F1532" w:rsidRDefault="00784799" w:rsidP="00784799">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sidRPr="000F1532">
                    <w:rPr>
                      <w:rFonts w:ascii="Times New Roman" w:eastAsia="Times New Roman" w:hAnsi="Times New Roman" w:cs="Times New Roman"/>
                      <w:w w:val="111"/>
                      <w:sz w:val="20"/>
                      <w:szCs w:val="20"/>
                      <w:lang w:val="bg-BG"/>
                    </w:rPr>
                    <w:t>висока</w:t>
                  </w:r>
                </w:p>
              </w:tc>
            </w:tr>
            <w:tr w:rsidR="000F1532" w:rsidRPr="000F1532" w14:paraId="7D92234B" w14:textId="77777777" w:rsidTr="00193B68">
              <w:trPr>
                <w:trHeight w:val="696"/>
              </w:trPr>
              <w:tc>
                <w:tcPr>
                  <w:tcW w:w="471" w:type="dxa"/>
                  <w:vMerge/>
                  <w:tcBorders>
                    <w:left w:val="single" w:sz="12" w:space="0" w:color="auto"/>
                    <w:right w:val="single" w:sz="12" w:space="0" w:color="auto"/>
                  </w:tcBorders>
                  <w:shd w:val="clear" w:color="auto" w:fill="D9D9D9" w:themeFill="background1" w:themeFillShade="D9"/>
                  <w:vAlign w:val="center"/>
                </w:tcPr>
                <w:p w14:paraId="4DE313A6" w14:textId="77777777" w:rsidR="00784799" w:rsidRPr="000F1532" w:rsidRDefault="00784799" w:rsidP="0078479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1B75B0A8" w14:textId="13CAE1D8" w:rsidR="00784799" w:rsidRPr="000F1532" w:rsidRDefault="00784799" w:rsidP="00AC15E6">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r w:rsidRPr="000F1532">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D06DF59" w14:textId="77777777" w:rsidR="00784799" w:rsidRPr="000F1532" w:rsidRDefault="00784799" w:rsidP="00784799">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5BB3034A" w14:textId="77777777" w:rsidR="00784799" w:rsidRPr="000F1532" w:rsidRDefault="00784799" w:rsidP="00784799">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sidRPr="000F1532">
                    <w:rPr>
                      <w:rFonts w:ascii="Times New Roman" w:eastAsia="Times New Roman" w:hAnsi="Times New Roman" w:cs="Times New Roman"/>
                      <w:w w:val="111"/>
                      <w:sz w:val="20"/>
                      <w:szCs w:val="20"/>
                      <w:lang w:val="bg-BG"/>
                    </w:rPr>
                    <w:t>висока</w:t>
                  </w:r>
                </w:p>
              </w:tc>
            </w:tr>
            <w:tr w:rsidR="000F1532" w:rsidRPr="000F1532" w14:paraId="2D8FC540" w14:textId="77777777" w:rsidTr="00193B68">
              <w:trPr>
                <w:trHeight w:val="667"/>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6A60E649" w14:textId="77777777" w:rsidR="008D4006" w:rsidRPr="000F1532" w:rsidRDefault="008D4006" w:rsidP="008D4006">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b/>
                      <w:bCs/>
                      <w:i/>
                      <w:iCs/>
                      <w:sz w:val="20"/>
                      <w:szCs w:val="20"/>
                      <w:lang w:val="bg-BG"/>
                    </w:rPr>
                    <w:t>Ефикасност</w:t>
                  </w: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226F6A0B" w14:textId="5CABE984" w:rsidR="008D4006" w:rsidRPr="000F1532" w:rsidRDefault="008D4006" w:rsidP="00AC15E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2743F493" w14:textId="77777777" w:rsidR="008D4006" w:rsidRPr="000F1532" w:rsidRDefault="008D4006" w:rsidP="008D4006">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w w:val="151"/>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750A774D" w14:textId="77777777" w:rsidR="008D4006" w:rsidRPr="000F1532" w:rsidRDefault="008D4006" w:rsidP="008D4006">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r w:rsidR="000F1532" w:rsidRPr="000F1532" w14:paraId="36CBA25A" w14:textId="77777777" w:rsidTr="00193B68">
              <w:trPr>
                <w:trHeight w:val="677"/>
              </w:trPr>
              <w:tc>
                <w:tcPr>
                  <w:tcW w:w="471" w:type="dxa"/>
                  <w:vMerge/>
                  <w:tcBorders>
                    <w:left w:val="single" w:sz="12" w:space="0" w:color="auto"/>
                    <w:right w:val="single" w:sz="12" w:space="0" w:color="auto"/>
                  </w:tcBorders>
                  <w:shd w:val="clear" w:color="auto" w:fill="D9D9D9"/>
                  <w:vAlign w:val="center"/>
                </w:tcPr>
                <w:p w14:paraId="7F8F00E3" w14:textId="77777777" w:rsidR="008D4006" w:rsidRPr="000F1532" w:rsidRDefault="008D4006" w:rsidP="008D4006">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2C220019" w14:textId="01B4162D" w:rsidR="008D4006" w:rsidRPr="000F1532" w:rsidDel="00512211" w:rsidRDefault="008D4006" w:rsidP="00AC15E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2F6A8DD5" w14:textId="77777777" w:rsidR="008D4006" w:rsidRPr="000F1532" w:rsidRDefault="008D4006" w:rsidP="008D4006">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25CFFA8C" w14:textId="77777777" w:rsidR="008D4006" w:rsidRPr="000F1532" w:rsidRDefault="008D4006" w:rsidP="008D4006">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r w:rsidR="000F1532" w:rsidRPr="000F1532" w14:paraId="7FCF9424" w14:textId="77777777" w:rsidTr="00193B68">
              <w:trPr>
                <w:trHeight w:val="815"/>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3D203A33" w14:textId="77777777" w:rsidR="008D4006" w:rsidRPr="000F1532" w:rsidRDefault="008D4006" w:rsidP="008D4006">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b/>
                      <w:bCs/>
                      <w:i/>
                      <w:iCs/>
                      <w:sz w:val="20"/>
                      <w:szCs w:val="20"/>
                      <w:lang w:val="bg-BG"/>
                    </w:rPr>
                    <w:t>Съгласуваност</w:t>
                  </w: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186598C3" w14:textId="4296BB08" w:rsidR="008D4006" w:rsidRPr="000F1532" w:rsidRDefault="008D4006" w:rsidP="00AC15E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CA22957" w14:textId="77777777" w:rsidR="008D4006" w:rsidRPr="000F1532" w:rsidRDefault="008D4006" w:rsidP="008D4006">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ниска</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4418A06F" w14:textId="77777777" w:rsidR="008D4006" w:rsidRPr="000F1532" w:rsidRDefault="008D4006" w:rsidP="008D4006">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r w:rsidR="000F1532" w:rsidRPr="000F1532" w14:paraId="3658B91A" w14:textId="77777777" w:rsidTr="00193B68">
              <w:trPr>
                <w:trHeight w:val="826"/>
              </w:trPr>
              <w:tc>
                <w:tcPr>
                  <w:tcW w:w="471" w:type="dxa"/>
                  <w:vMerge/>
                  <w:tcBorders>
                    <w:left w:val="single" w:sz="12" w:space="0" w:color="auto"/>
                    <w:right w:val="single" w:sz="12" w:space="0" w:color="auto"/>
                  </w:tcBorders>
                  <w:shd w:val="clear" w:color="auto" w:fill="D9D9D9"/>
                </w:tcPr>
                <w:p w14:paraId="597336C4" w14:textId="77777777" w:rsidR="008D4006" w:rsidRPr="000F1532" w:rsidRDefault="008D4006" w:rsidP="008D4006">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vAlign w:val="center"/>
                </w:tcPr>
                <w:p w14:paraId="3408E9A0" w14:textId="18A4D4E2" w:rsidR="008D4006" w:rsidRPr="000F1532" w:rsidDel="00512211" w:rsidRDefault="008D4006" w:rsidP="00AC15E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0F1532">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54F77298" w14:textId="77777777" w:rsidR="008D4006" w:rsidRPr="000F1532" w:rsidRDefault="008D4006" w:rsidP="008D4006">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 xml:space="preserve">ниска </w:t>
                  </w:r>
                </w:p>
              </w:tc>
              <w:tc>
                <w:tcPr>
                  <w:tcW w:w="2278" w:type="dxa"/>
                  <w:tcBorders>
                    <w:top w:val="single" w:sz="12" w:space="0" w:color="auto"/>
                    <w:left w:val="single" w:sz="12" w:space="0" w:color="auto"/>
                    <w:bottom w:val="single" w:sz="12" w:space="0" w:color="auto"/>
                    <w:right w:val="single" w:sz="12" w:space="0" w:color="auto"/>
                  </w:tcBorders>
                  <w:shd w:val="clear" w:color="auto" w:fill="FFFFFF"/>
                  <w:vAlign w:val="center"/>
                </w:tcPr>
                <w:p w14:paraId="33F41865" w14:textId="77777777" w:rsidR="008D4006" w:rsidRPr="000F1532" w:rsidRDefault="008D4006" w:rsidP="008D4006">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0F1532">
                    <w:rPr>
                      <w:rFonts w:ascii="Times New Roman" w:eastAsia="Times New Roman" w:hAnsi="Times New Roman" w:cs="Times New Roman"/>
                      <w:sz w:val="20"/>
                      <w:szCs w:val="20"/>
                      <w:lang w:val="bg-BG"/>
                    </w:rPr>
                    <w:t>висока</w:t>
                  </w:r>
                </w:p>
              </w:tc>
            </w:tr>
          </w:tbl>
          <w:p w14:paraId="45A218DC" w14:textId="44E91EFD" w:rsidR="00076E63" w:rsidRPr="000F1532" w:rsidRDefault="0078311F"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 xml:space="preserve">1.1. </w:t>
            </w:r>
            <w:r w:rsidR="00076E63" w:rsidRPr="000F1532">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sidRPr="000F1532">
              <w:rPr>
                <w:rFonts w:ascii="Times New Roman" w:eastAsia="Times New Roman" w:hAnsi="Times New Roman" w:cs="Times New Roman"/>
                <w:i/>
                <w:sz w:val="16"/>
                <w:szCs w:val="16"/>
                <w:lang w:val="bg-BG"/>
              </w:rPr>
              <w:t>и</w:t>
            </w:r>
            <w:r w:rsidR="00076E63" w:rsidRPr="000F1532">
              <w:rPr>
                <w:rFonts w:ascii="Times New Roman" w:eastAsia="Times New Roman" w:hAnsi="Times New Roman" w:cs="Times New Roman"/>
                <w:i/>
                <w:sz w:val="16"/>
                <w:szCs w:val="16"/>
                <w:lang w:val="bg-BG"/>
              </w:rPr>
              <w:t>м положителни и отрицателни въздействия.</w:t>
            </w:r>
          </w:p>
          <w:p w14:paraId="76A084AA" w14:textId="29C919E2" w:rsidR="00076E63" w:rsidRPr="000F1532" w:rsidRDefault="0078311F"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 xml:space="preserve">1.2. </w:t>
            </w:r>
            <w:r w:rsidR="00076E63" w:rsidRPr="000F1532">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14:paraId="070E584F" w14:textId="77777777"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4C5E8D90" w14:textId="77777777"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0C85DA97" w14:textId="30C81E33" w:rsidR="00D82CFD" w:rsidRPr="000F1532" w:rsidRDefault="00076E63" w:rsidP="0078311F">
            <w:pPr>
              <w:spacing w:after="120" w:line="240" w:lineRule="auto"/>
              <w:jc w:val="center"/>
              <w:rPr>
                <w:rFonts w:ascii="Times New Roman" w:eastAsia="Times New Roman" w:hAnsi="Times New Roman" w:cs="Times New Roman"/>
                <w:b/>
                <w:i/>
                <w:sz w:val="16"/>
                <w:szCs w:val="16"/>
                <w:lang w:val="bg-BG"/>
              </w:rPr>
            </w:pPr>
            <w:r w:rsidRPr="000F1532">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sidRPr="000F1532">
              <w:rPr>
                <w:rFonts w:ascii="Times New Roman" w:eastAsia="Times New Roman" w:hAnsi="Times New Roman" w:cs="Times New Roman"/>
                <w:i/>
                <w:sz w:val="16"/>
                <w:szCs w:val="16"/>
                <w:lang w:val="bg-BG"/>
              </w:rPr>
              <w:t xml:space="preserve">действащите </w:t>
            </w:r>
            <w:r w:rsidRPr="000F1532">
              <w:rPr>
                <w:rFonts w:ascii="Times New Roman" w:eastAsia="Times New Roman" w:hAnsi="Times New Roman" w:cs="Times New Roman"/>
                <w:i/>
                <w:sz w:val="16"/>
                <w:szCs w:val="16"/>
                <w:lang w:val="bg-BG"/>
              </w:rPr>
              <w:t>стратегически документи</w:t>
            </w:r>
            <w:r w:rsidR="0078311F" w:rsidRPr="000F1532">
              <w:rPr>
                <w:rFonts w:ascii="Times New Roman" w:eastAsia="Times New Roman" w:hAnsi="Times New Roman" w:cs="Times New Roman"/>
                <w:i/>
                <w:sz w:val="16"/>
                <w:szCs w:val="16"/>
                <w:lang w:val="bg-BG"/>
              </w:rPr>
              <w:t>.</w:t>
            </w:r>
          </w:p>
        </w:tc>
      </w:tr>
      <w:tr w:rsidR="000F1532" w:rsidRPr="000F1532" w14:paraId="3581DEA8" w14:textId="77777777" w:rsidTr="0014689E">
        <w:tc>
          <w:tcPr>
            <w:tcW w:w="9616" w:type="dxa"/>
            <w:gridSpan w:val="2"/>
          </w:tcPr>
          <w:p w14:paraId="212C3F3B"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6. Избор на препоръчителен вариант:</w:t>
            </w:r>
          </w:p>
          <w:p w14:paraId="5C85AC64" w14:textId="3C4C612A" w:rsidR="00076E63" w:rsidRPr="000F1532" w:rsidRDefault="00076E63" w:rsidP="00076E63">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
                <w:sz w:val="24"/>
                <w:szCs w:val="24"/>
                <w:lang w:val="bg-BG"/>
              </w:rPr>
              <w:t xml:space="preserve">По </w:t>
            </w:r>
            <w:r w:rsidR="00885C37" w:rsidRPr="000F1532">
              <w:rPr>
                <w:rFonts w:ascii="Times New Roman" w:eastAsia="Times New Roman" w:hAnsi="Times New Roman" w:cs="Times New Roman"/>
                <w:b/>
                <w:sz w:val="24"/>
                <w:szCs w:val="24"/>
                <w:lang w:val="bg-BG"/>
              </w:rPr>
              <w:t xml:space="preserve">Проблем </w:t>
            </w:r>
            <w:r w:rsidRPr="000F1532">
              <w:rPr>
                <w:rFonts w:ascii="Times New Roman" w:eastAsia="Times New Roman" w:hAnsi="Times New Roman" w:cs="Times New Roman"/>
                <w:b/>
                <w:sz w:val="24"/>
                <w:szCs w:val="24"/>
                <w:lang w:val="bg-BG"/>
              </w:rPr>
              <w:t xml:space="preserve">1: Вариант </w:t>
            </w:r>
            <w:r w:rsidR="00F41D5F" w:rsidRPr="000F1532">
              <w:rPr>
                <w:rFonts w:ascii="Times New Roman" w:eastAsia="Times New Roman" w:hAnsi="Times New Roman" w:cs="Times New Roman"/>
                <w:b/>
                <w:sz w:val="24"/>
                <w:szCs w:val="24"/>
                <w:lang w:val="bg-BG"/>
              </w:rPr>
              <w:t>2</w:t>
            </w:r>
            <w:r w:rsidR="0014026D" w:rsidRPr="000F1532">
              <w:rPr>
                <w:lang w:val="bg-BG"/>
              </w:rPr>
              <w:t xml:space="preserve"> </w:t>
            </w:r>
            <w:r w:rsidR="0014026D" w:rsidRPr="000F1532">
              <w:rPr>
                <w:rFonts w:ascii="Times New Roman" w:eastAsia="Times New Roman" w:hAnsi="Times New Roman" w:cs="Times New Roman"/>
                <w:b/>
                <w:sz w:val="24"/>
                <w:szCs w:val="24"/>
                <w:lang w:val="bg-BG"/>
              </w:rPr>
              <w:t>Приемане на Закон за изменение и допълнение на Закона за фуражите</w:t>
            </w:r>
            <w:r w:rsidR="00EF26DE" w:rsidRPr="000F1532">
              <w:rPr>
                <w:rFonts w:ascii="Times New Roman" w:eastAsia="Times New Roman" w:hAnsi="Times New Roman" w:cs="Times New Roman"/>
                <w:bCs/>
                <w:sz w:val="24"/>
                <w:szCs w:val="24"/>
                <w:lang w:val="bg-BG"/>
              </w:rPr>
              <w:t>,</w:t>
            </w:r>
            <w:r w:rsidRPr="000F1532">
              <w:rPr>
                <w:rFonts w:ascii="Times New Roman" w:eastAsia="Times New Roman" w:hAnsi="Times New Roman" w:cs="Times New Roman"/>
                <w:bCs/>
                <w:sz w:val="24"/>
                <w:szCs w:val="24"/>
                <w:lang w:val="bg-BG"/>
              </w:rPr>
              <w:t xml:space="preserve"> </w:t>
            </w:r>
            <w:r w:rsidR="00EF26DE" w:rsidRPr="000F1532">
              <w:rPr>
                <w:rFonts w:ascii="Times New Roman" w:eastAsia="Times New Roman" w:hAnsi="Times New Roman" w:cs="Times New Roman"/>
                <w:bCs/>
                <w:sz w:val="24"/>
                <w:szCs w:val="24"/>
                <w:lang w:val="bg-BG"/>
              </w:rPr>
              <w:t>свързан с въвеждането на мерки, които да гарантират изпълнението на изискванията въведени с Регламент (ЕС) 2019/4</w:t>
            </w:r>
            <w:r w:rsidRPr="000F1532">
              <w:rPr>
                <w:rFonts w:ascii="Times New Roman" w:eastAsia="Times New Roman" w:hAnsi="Times New Roman" w:cs="Times New Roman"/>
                <w:bCs/>
                <w:sz w:val="24"/>
                <w:szCs w:val="24"/>
                <w:lang w:val="bg-BG"/>
              </w:rPr>
              <w:t>.</w:t>
            </w:r>
          </w:p>
          <w:p w14:paraId="1F21BFAF" w14:textId="534FB213" w:rsidR="008D4006" w:rsidRPr="000F1532" w:rsidRDefault="008D4006" w:rsidP="00076E63">
            <w:pPr>
              <w:spacing w:before="120" w:after="12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
                <w:sz w:val="24"/>
                <w:szCs w:val="24"/>
                <w:lang w:val="bg-BG"/>
              </w:rPr>
              <w:t xml:space="preserve">По </w:t>
            </w:r>
            <w:r w:rsidR="00885C37" w:rsidRPr="000F1532">
              <w:rPr>
                <w:rFonts w:ascii="Times New Roman" w:eastAsia="Times New Roman" w:hAnsi="Times New Roman" w:cs="Times New Roman"/>
                <w:b/>
                <w:sz w:val="24"/>
                <w:szCs w:val="24"/>
                <w:lang w:val="bg-BG"/>
              </w:rPr>
              <w:t xml:space="preserve">Проблем </w:t>
            </w:r>
            <w:r w:rsidRPr="000F1532">
              <w:rPr>
                <w:rFonts w:ascii="Times New Roman" w:eastAsia="Times New Roman" w:hAnsi="Times New Roman" w:cs="Times New Roman"/>
                <w:b/>
                <w:sz w:val="24"/>
                <w:szCs w:val="24"/>
                <w:lang w:val="bg-BG"/>
              </w:rPr>
              <w:t xml:space="preserve">2: Вариант </w:t>
            </w:r>
            <w:r w:rsidR="00F41D5F" w:rsidRPr="000F1532">
              <w:rPr>
                <w:rFonts w:ascii="Times New Roman" w:eastAsia="Times New Roman" w:hAnsi="Times New Roman" w:cs="Times New Roman"/>
                <w:b/>
                <w:sz w:val="24"/>
                <w:szCs w:val="24"/>
                <w:lang w:val="bg-BG"/>
              </w:rPr>
              <w:t>2</w:t>
            </w:r>
            <w:r w:rsidR="0014026D" w:rsidRPr="000F1532">
              <w:rPr>
                <w:lang w:val="bg-BG"/>
              </w:rPr>
              <w:t xml:space="preserve"> </w:t>
            </w:r>
            <w:r w:rsidR="0014026D" w:rsidRPr="000F1532">
              <w:rPr>
                <w:rFonts w:ascii="Times New Roman" w:eastAsia="Times New Roman" w:hAnsi="Times New Roman" w:cs="Times New Roman"/>
                <w:b/>
                <w:sz w:val="24"/>
                <w:szCs w:val="24"/>
                <w:lang w:val="bg-BG"/>
              </w:rPr>
              <w:t>Приемане на Закон за изменение и допълнение на Закона за фуражите</w:t>
            </w:r>
            <w:r w:rsidRPr="000F1532">
              <w:rPr>
                <w:rFonts w:ascii="Times New Roman" w:eastAsia="Times New Roman" w:hAnsi="Times New Roman" w:cs="Times New Roman"/>
                <w:bCs/>
                <w:sz w:val="24"/>
                <w:szCs w:val="24"/>
                <w:lang w:val="bg-BG"/>
              </w:rPr>
              <w:t>, свързан с въвеждането на мерки, които да гарантират изпълнението на изискванията въведени с Регламент (ЕС) 2020/354.</w:t>
            </w:r>
          </w:p>
          <w:p w14:paraId="44C0DA42" w14:textId="08086662" w:rsidR="0078311F" w:rsidRPr="000F1532" w:rsidRDefault="001138D1" w:rsidP="00FF7077">
            <w:pPr>
              <w:spacing w:after="120" w:line="240" w:lineRule="auto"/>
              <w:jc w:val="center"/>
              <w:rPr>
                <w:rFonts w:ascii="Times New Roman" w:eastAsia="Times New Roman" w:hAnsi="Times New Roman" w:cs="Times New Roman"/>
                <w:sz w:val="24"/>
                <w:szCs w:val="24"/>
                <w:lang w:val="bg-BG"/>
              </w:rPr>
            </w:pPr>
            <w:r w:rsidRPr="000F1532">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sidR="00064CC7" w:rsidRPr="000F1532">
              <w:rPr>
                <w:rFonts w:ascii="Times New Roman" w:eastAsia="Times New Roman" w:hAnsi="Times New Roman" w:cs="Times New Roman"/>
                <w:i/>
                <w:sz w:val="16"/>
                <w:szCs w:val="16"/>
                <w:lang w:val="bg-BG"/>
              </w:rPr>
              <w:t>проблем</w:t>
            </w:r>
            <w:r w:rsidRPr="000F1532">
              <w:rPr>
                <w:rFonts w:ascii="Times New Roman" w:eastAsia="Times New Roman" w:hAnsi="Times New Roman" w:cs="Times New Roman"/>
                <w:i/>
                <w:sz w:val="16"/>
                <w:szCs w:val="16"/>
                <w:lang w:val="bg-BG"/>
              </w:rPr>
              <w:t>и.</w:t>
            </w:r>
          </w:p>
        </w:tc>
      </w:tr>
      <w:tr w:rsidR="000F1532" w:rsidRPr="000F1532" w14:paraId="1511B3DD" w14:textId="77777777" w:rsidTr="0014689E">
        <w:tc>
          <w:tcPr>
            <w:tcW w:w="9616" w:type="dxa"/>
            <w:gridSpan w:val="2"/>
          </w:tcPr>
          <w:p w14:paraId="5247B436" w14:textId="77777777" w:rsidR="00076E63" w:rsidRPr="000F1532" w:rsidRDefault="00076E63" w:rsidP="007026A1">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23D96C03" w14:textId="590FABA4"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4854E52D">
                <v:shape id="_x0000_i1063" type="#_x0000_t75" style="width:108pt;height:18pt" o:ole="">
                  <v:imagedata r:id="rId14" o:title=""/>
                </v:shape>
                <w:control r:id="rId15" w:name="OptionButton3" w:shapeid="_x0000_i1063"/>
              </w:object>
            </w:r>
          </w:p>
          <w:p w14:paraId="6711743F" w14:textId="2AD654CD" w:rsidR="00076E63" w:rsidRPr="000F1532" w:rsidRDefault="00076E63" w:rsidP="00076E63">
            <w:pPr>
              <w:spacing w:after="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7BE8C0B7">
                <v:shape id="_x0000_i1065" type="#_x0000_t75" style="width:108pt;height:18pt" o:ole="">
                  <v:imagedata r:id="rId16" o:title=""/>
                </v:shape>
                <w:control r:id="rId17" w:name="OptionButton4" w:shapeid="_x0000_i1065"/>
              </w:object>
            </w:r>
          </w:p>
          <w:p w14:paraId="23A587D4" w14:textId="3FA9FE91"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2B3636BA">
                <v:shape id="_x0000_i1067" type="#_x0000_t75" style="width:108pt;height:18pt" o:ole="">
                  <v:imagedata r:id="rId18" o:title=""/>
                </v:shape>
                <w:control r:id="rId19" w:name="OptionButton5" w:shapeid="_x0000_i1067"/>
              </w:object>
            </w:r>
          </w:p>
          <w:p w14:paraId="6CEF76C0" w14:textId="77777777" w:rsidR="00534B19" w:rsidRPr="000F1532" w:rsidRDefault="00885C37" w:rsidP="00EF26DE">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b/>
                <w:bCs/>
                <w:sz w:val="24"/>
                <w:szCs w:val="24"/>
                <w:lang w:val="bg-BG"/>
              </w:rPr>
              <w:t>По Проблем 1:</w:t>
            </w:r>
            <w:r w:rsidRPr="000F1532">
              <w:rPr>
                <w:rFonts w:ascii="Times New Roman" w:eastAsia="Times New Roman" w:hAnsi="Times New Roman" w:cs="Times New Roman"/>
                <w:sz w:val="24"/>
                <w:szCs w:val="24"/>
                <w:lang w:val="bg-BG"/>
              </w:rPr>
              <w:t xml:space="preserve"> </w:t>
            </w:r>
          </w:p>
          <w:p w14:paraId="4DE8D5E6" w14:textId="74F640AB" w:rsidR="00885C37" w:rsidRPr="000F1532" w:rsidRDefault="0014026D" w:rsidP="00EF26DE">
            <w:pPr>
              <w:spacing w:before="120" w:after="120" w:line="240" w:lineRule="auto"/>
              <w:jc w:val="both"/>
              <w:rPr>
                <w:rFonts w:ascii="Times New Roman" w:eastAsia="Times New Roman" w:hAnsi="Times New Roman" w:cs="Times New Roman"/>
                <w:sz w:val="24"/>
                <w:szCs w:val="24"/>
                <w:highlight w:val="cyan"/>
                <w:lang w:val="bg-BG"/>
              </w:rPr>
            </w:pPr>
            <w:r w:rsidRPr="000F1532">
              <w:rPr>
                <w:rFonts w:ascii="Times New Roman" w:hAnsi="Times New Roman" w:cs="Times New Roman"/>
                <w:sz w:val="24"/>
                <w:szCs w:val="24"/>
                <w:lang w:val="bg-BG"/>
              </w:rPr>
              <w:t>Няма промяна в административната тежест.</w:t>
            </w:r>
          </w:p>
          <w:p w14:paraId="5DF4C026" w14:textId="77777777" w:rsidR="00534B19" w:rsidRPr="000F1532" w:rsidRDefault="00885C37" w:rsidP="00EF26DE">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 2:</w:t>
            </w:r>
            <w:r w:rsidR="00534B19" w:rsidRPr="000F1532">
              <w:rPr>
                <w:rFonts w:ascii="Times New Roman" w:eastAsia="Times New Roman" w:hAnsi="Times New Roman" w:cs="Times New Roman"/>
                <w:b/>
                <w:bCs/>
                <w:sz w:val="24"/>
                <w:szCs w:val="24"/>
                <w:lang w:val="bg-BG"/>
              </w:rPr>
              <w:t xml:space="preserve"> </w:t>
            </w:r>
          </w:p>
          <w:p w14:paraId="2FD5B4F0" w14:textId="4FBE98B2" w:rsidR="00534B19" w:rsidRPr="000F1532" w:rsidRDefault="00534B19" w:rsidP="00EF26DE">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Няма промяна в административната тежест. </w:t>
            </w:r>
          </w:p>
          <w:p w14:paraId="1314A92A" w14:textId="43A7545C"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 xml:space="preserve">1.1. Изборът следва да е съотносим с посочените специфични въздействия на </w:t>
            </w:r>
            <w:r w:rsidR="00FF7077" w:rsidRPr="000F1532">
              <w:rPr>
                <w:rFonts w:ascii="Times New Roman" w:eastAsia="Times New Roman" w:hAnsi="Times New Roman" w:cs="Times New Roman"/>
                <w:i/>
                <w:sz w:val="16"/>
                <w:szCs w:val="16"/>
                <w:lang w:val="bg-BG"/>
              </w:rPr>
              <w:t xml:space="preserve">препоръчителния </w:t>
            </w:r>
            <w:r w:rsidRPr="000F1532">
              <w:rPr>
                <w:rFonts w:ascii="Times New Roman" w:eastAsia="Times New Roman" w:hAnsi="Times New Roman" w:cs="Times New Roman"/>
                <w:i/>
                <w:sz w:val="16"/>
                <w:szCs w:val="16"/>
                <w:lang w:val="bg-BG"/>
              </w:rPr>
              <w:t>вариант</w:t>
            </w:r>
            <w:r w:rsidR="0078311F" w:rsidRPr="000F1532">
              <w:rPr>
                <w:rFonts w:ascii="Times New Roman" w:eastAsia="Times New Roman" w:hAnsi="Times New Roman" w:cs="Times New Roman"/>
                <w:i/>
                <w:sz w:val="16"/>
                <w:szCs w:val="16"/>
                <w:lang w:val="bg-BG"/>
              </w:rPr>
              <w:t xml:space="preserve"> за решаване на всеки проблем.</w:t>
            </w:r>
          </w:p>
          <w:p w14:paraId="1AAA5F2B" w14:textId="7CA26B83" w:rsidR="00076E63" w:rsidRPr="000F1532" w:rsidRDefault="00076E63" w:rsidP="00076E63">
            <w:pPr>
              <w:spacing w:after="120" w:line="240" w:lineRule="auto"/>
              <w:jc w:val="center"/>
              <w:rPr>
                <w:rFonts w:ascii="Times New Roman" w:eastAsia="Times New Roman" w:hAnsi="Times New Roman" w:cs="Times New Roman"/>
                <w:i/>
                <w:sz w:val="20"/>
                <w:szCs w:val="20"/>
                <w:lang w:val="bg-BG"/>
              </w:rPr>
            </w:pPr>
            <w:r w:rsidRPr="000F1532">
              <w:rPr>
                <w:rFonts w:ascii="Times New Roman" w:eastAsia="Times New Roman" w:hAnsi="Times New Roman" w:cs="Times New Roman"/>
                <w:i/>
                <w:sz w:val="16"/>
                <w:szCs w:val="16"/>
                <w:lang w:val="bg-BG"/>
              </w:rPr>
              <w:t>1.2. Ако се предвижда въвеждането на такса</w:t>
            </w:r>
            <w:r w:rsidR="00064CC7" w:rsidRPr="000F1532">
              <w:rPr>
                <w:rFonts w:ascii="Times New Roman" w:eastAsia="Times New Roman" w:hAnsi="Times New Roman" w:cs="Times New Roman"/>
                <w:i/>
                <w:sz w:val="16"/>
                <w:szCs w:val="16"/>
                <w:lang w:val="bg-BG"/>
              </w:rPr>
              <w:t>,</w:t>
            </w:r>
            <w:r w:rsidRPr="000F1532">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0F1532">
              <w:rPr>
                <w:rFonts w:ascii="Times New Roman" w:eastAsia="Times New Roman" w:hAnsi="Times New Roman" w:cs="Times New Roman"/>
                <w:i/>
                <w:sz w:val="16"/>
                <w:szCs w:val="16"/>
                <w:lang w:val="bg-BG"/>
              </w:rPr>
              <w:t>.</w:t>
            </w:r>
          </w:p>
        </w:tc>
      </w:tr>
      <w:tr w:rsidR="000F1532" w:rsidRPr="000F1532" w14:paraId="56544CB3" w14:textId="77777777" w:rsidTr="0014689E">
        <w:tc>
          <w:tcPr>
            <w:tcW w:w="9616" w:type="dxa"/>
            <w:gridSpan w:val="2"/>
          </w:tcPr>
          <w:p w14:paraId="632DE473" w14:textId="7AF6C55B" w:rsidR="00076E63" w:rsidRPr="000F1532" w:rsidRDefault="00076E63" w:rsidP="00076E63">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0F1532">
              <w:rPr>
                <w:rFonts w:ascii="Times New Roman" w:eastAsia="Times New Roman" w:hAnsi="Times New Roman" w:cs="Times New Roman"/>
                <w:b/>
                <w:sz w:val="24"/>
                <w:szCs w:val="24"/>
                <w:lang w:val="bg-BG"/>
              </w:rPr>
              <w:t>регулаторни режими</w:t>
            </w:r>
            <w:r w:rsidRPr="000F1532">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14:paraId="72A1EE56" w14:textId="6DFED956"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59DE35FD">
                <v:shape id="_x0000_i1069" type="#_x0000_t75" style="width:108pt;height:18pt" o:ole="">
                  <v:imagedata r:id="rId20" o:title=""/>
                </v:shape>
                <w:control r:id="rId21" w:name="OptionButton16" w:shapeid="_x0000_i1069"/>
              </w:object>
            </w:r>
          </w:p>
          <w:p w14:paraId="58323315" w14:textId="77777777" w:rsidR="005640E5" w:rsidRPr="000F1532" w:rsidRDefault="00885C37" w:rsidP="006279BC">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w:t>
            </w:r>
            <w:r w:rsidR="005640E5" w:rsidRPr="000F1532">
              <w:rPr>
                <w:rFonts w:ascii="Times New Roman" w:eastAsia="Times New Roman" w:hAnsi="Times New Roman" w:cs="Times New Roman"/>
                <w:b/>
                <w:bCs/>
                <w:sz w:val="24"/>
                <w:szCs w:val="24"/>
                <w:lang w:val="bg-BG"/>
              </w:rPr>
              <w:t xml:space="preserve"> 1:</w:t>
            </w:r>
          </w:p>
          <w:p w14:paraId="49413BEC" w14:textId="77603A3C" w:rsidR="00076E63" w:rsidRPr="000F1532" w:rsidRDefault="0077617B" w:rsidP="006279BC">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се въвеждат нови регулаторни режими. Създава се възможност на операторите произвеждащи медикаментозни фуражи да използват мобилни смесители, при производс</w:t>
            </w:r>
            <w:r w:rsidR="00F77D32" w:rsidRPr="000F1532">
              <w:rPr>
                <w:rFonts w:ascii="Times New Roman" w:eastAsia="Times New Roman" w:hAnsi="Times New Roman" w:cs="Times New Roman"/>
                <w:sz w:val="24"/>
                <w:szCs w:val="24"/>
                <w:lang w:val="bg-BG"/>
              </w:rPr>
              <w:t>т</w:t>
            </w:r>
            <w:r w:rsidRPr="000F1532">
              <w:rPr>
                <w:rFonts w:ascii="Times New Roman" w:eastAsia="Times New Roman" w:hAnsi="Times New Roman" w:cs="Times New Roman"/>
                <w:sz w:val="24"/>
                <w:szCs w:val="24"/>
                <w:lang w:val="bg-BG"/>
              </w:rPr>
              <w:t>вото им, предназначени за изхранване в животновъдни обекти</w:t>
            </w:r>
            <w:r w:rsidR="00534B19" w:rsidRPr="000F1532">
              <w:rPr>
                <w:rFonts w:ascii="Times New Roman" w:eastAsia="Times New Roman" w:hAnsi="Times New Roman" w:cs="Times New Roman"/>
                <w:sz w:val="24"/>
                <w:szCs w:val="24"/>
                <w:lang w:val="bg-BG"/>
              </w:rPr>
              <w:t>, като производс</w:t>
            </w:r>
            <w:r w:rsidR="00F77D32" w:rsidRPr="000F1532">
              <w:rPr>
                <w:rFonts w:ascii="Times New Roman" w:eastAsia="Times New Roman" w:hAnsi="Times New Roman" w:cs="Times New Roman"/>
                <w:sz w:val="24"/>
                <w:szCs w:val="24"/>
                <w:lang w:val="bg-BG"/>
              </w:rPr>
              <w:t>т</w:t>
            </w:r>
            <w:r w:rsidR="00534B19" w:rsidRPr="000F1532">
              <w:rPr>
                <w:rFonts w:ascii="Times New Roman" w:eastAsia="Times New Roman" w:hAnsi="Times New Roman" w:cs="Times New Roman"/>
                <w:sz w:val="24"/>
                <w:szCs w:val="24"/>
                <w:lang w:val="bg-BG"/>
              </w:rPr>
              <w:t>вото се извършва на място в обекта, с помощ</w:t>
            </w:r>
            <w:r w:rsidR="002268DC" w:rsidRPr="000F1532">
              <w:rPr>
                <w:rFonts w:ascii="Times New Roman" w:eastAsia="Times New Roman" w:hAnsi="Times New Roman" w:cs="Times New Roman"/>
                <w:sz w:val="24"/>
                <w:szCs w:val="24"/>
                <w:lang w:val="bg-BG"/>
              </w:rPr>
              <w:t>т</w:t>
            </w:r>
            <w:r w:rsidR="00534B19" w:rsidRPr="000F1532">
              <w:rPr>
                <w:rFonts w:ascii="Times New Roman" w:eastAsia="Times New Roman" w:hAnsi="Times New Roman" w:cs="Times New Roman"/>
                <w:sz w:val="24"/>
                <w:szCs w:val="24"/>
                <w:lang w:val="bg-BG"/>
              </w:rPr>
              <w:t>а на мобилен смесител</w:t>
            </w:r>
            <w:r w:rsidRPr="000F1532">
              <w:rPr>
                <w:rFonts w:ascii="Times New Roman" w:eastAsia="Times New Roman" w:hAnsi="Times New Roman" w:cs="Times New Roman"/>
                <w:sz w:val="24"/>
                <w:szCs w:val="24"/>
                <w:lang w:val="bg-BG"/>
              </w:rPr>
              <w:t xml:space="preserve">. </w:t>
            </w:r>
            <w:r w:rsidR="006279BC" w:rsidRPr="000F1532">
              <w:rPr>
                <w:rFonts w:ascii="Times New Roman" w:eastAsia="Times New Roman" w:hAnsi="Times New Roman" w:cs="Times New Roman"/>
                <w:sz w:val="24"/>
                <w:szCs w:val="24"/>
                <w:lang w:val="bg-BG"/>
              </w:rPr>
              <w:t xml:space="preserve">Въвеждат се правила свързани с процедурата по одобрение на мобилните смесители, които се използват за </w:t>
            </w:r>
            <w:r w:rsidR="00B51128" w:rsidRPr="000F1532">
              <w:rPr>
                <w:rFonts w:ascii="Times New Roman" w:eastAsia="Times New Roman" w:hAnsi="Times New Roman" w:cs="Times New Roman"/>
                <w:sz w:val="24"/>
                <w:szCs w:val="24"/>
                <w:lang w:val="bg-BG"/>
              </w:rPr>
              <w:t>производство</w:t>
            </w:r>
            <w:r w:rsidR="006279BC" w:rsidRPr="000F1532">
              <w:rPr>
                <w:rFonts w:ascii="Times New Roman" w:eastAsia="Times New Roman" w:hAnsi="Times New Roman" w:cs="Times New Roman"/>
                <w:sz w:val="24"/>
                <w:szCs w:val="24"/>
                <w:lang w:val="bg-BG"/>
              </w:rPr>
              <w:t xml:space="preserve"> на медикам</w:t>
            </w:r>
            <w:r w:rsidR="00D638A0" w:rsidRPr="000F1532">
              <w:rPr>
                <w:rFonts w:ascii="Times New Roman" w:eastAsia="Times New Roman" w:hAnsi="Times New Roman" w:cs="Times New Roman"/>
                <w:sz w:val="24"/>
                <w:szCs w:val="24"/>
                <w:lang w:val="bg-BG"/>
              </w:rPr>
              <w:t>ентозни фуражи.</w:t>
            </w:r>
          </w:p>
          <w:p w14:paraId="44114D7C" w14:textId="18DE9FA6" w:rsidR="00D127F3" w:rsidRPr="000F1532" w:rsidRDefault="00D127F3" w:rsidP="006279BC">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Въвежда се </w:t>
            </w:r>
            <w:r w:rsidR="00F25DE8" w:rsidRPr="000F1532">
              <w:rPr>
                <w:rFonts w:ascii="Times New Roman" w:eastAsia="Times New Roman" w:hAnsi="Times New Roman" w:cs="Times New Roman"/>
                <w:sz w:val="24"/>
                <w:szCs w:val="24"/>
                <w:lang w:val="bg-BG"/>
              </w:rPr>
              <w:t xml:space="preserve">процедурата относно </w:t>
            </w:r>
            <w:r w:rsidRPr="000F1532">
              <w:rPr>
                <w:rFonts w:ascii="Times New Roman" w:eastAsia="Times New Roman" w:hAnsi="Times New Roman" w:cs="Times New Roman"/>
                <w:sz w:val="24"/>
                <w:szCs w:val="24"/>
                <w:lang w:val="bg-BG"/>
              </w:rPr>
              <w:t xml:space="preserve">изискването посочено </w:t>
            </w:r>
            <w:r w:rsidR="00F25DE8" w:rsidRPr="000F1532">
              <w:rPr>
                <w:rFonts w:ascii="Times New Roman" w:eastAsia="Times New Roman" w:hAnsi="Times New Roman" w:cs="Times New Roman"/>
                <w:sz w:val="24"/>
                <w:szCs w:val="24"/>
                <w:lang w:val="bg-BG"/>
              </w:rPr>
              <w:t xml:space="preserve">в чл. 15, параграф 1 от </w:t>
            </w:r>
            <w:r w:rsidRPr="000F1532">
              <w:rPr>
                <w:rFonts w:ascii="Times New Roman" w:eastAsia="Times New Roman" w:hAnsi="Times New Roman" w:cs="Times New Roman"/>
                <w:sz w:val="24"/>
                <w:szCs w:val="24"/>
                <w:lang w:val="bg-BG"/>
              </w:rPr>
              <w:t>Регламент (ЕС) 2019/4 за медикаментозните фуражи всички одобрени производители на медикаментозни фуражи</w:t>
            </w:r>
            <w:r w:rsidR="00F25DE8" w:rsidRPr="000F1532">
              <w:rPr>
                <w:rFonts w:ascii="Times New Roman" w:eastAsia="Times New Roman" w:hAnsi="Times New Roman" w:cs="Times New Roman"/>
                <w:sz w:val="24"/>
                <w:szCs w:val="24"/>
                <w:lang w:val="bg-BG"/>
              </w:rPr>
              <w:t xml:space="preserve"> </w:t>
            </w:r>
            <w:r w:rsidRPr="000F1532">
              <w:rPr>
                <w:rFonts w:ascii="Times New Roman" w:eastAsia="Times New Roman" w:hAnsi="Times New Roman" w:cs="Times New Roman"/>
                <w:sz w:val="24"/>
                <w:szCs w:val="24"/>
                <w:lang w:val="bg-BG"/>
              </w:rPr>
              <w:t xml:space="preserve">по старото законодателство да </w:t>
            </w:r>
            <w:r w:rsidR="00F25DE8" w:rsidRPr="000F1532">
              <w:rPr>
                <w:rFonts w:ascii="Times New Roman" w:eastAsia="Times New Roman" w:hAnsi="Times New Roman" w:cs="Times New Roman"/>
                <w:sz w:val="24"/>
                <w:szCs w:val="24"/>
                <w:lang w:val="bg-BG"/>
              </w:rPr>
              <w:t>подадат декларация до</w:t>
            </w:r>
            <w:r w:rsidRPr="000F1532">
              <w:rPr>
                <w:rFonts w:ascii="Times New Roman" w:eastAsia="Times New Roman" w:hAnsi="Times New Roman" w:cs="Times New Roman"/>
                <w:sz w:val="24"/>
                <w:szCs w:val="24"/>
                <w:lang w:val="bg-BG"/>
              </w:rPr>
              <w:t xml:space="preserve"> Българска агенция по безопасност на храните</w:t>
            </w:r>
            <w:r w:rsidR="00F25DE8" w:rsidRPr="000F1532">
              <w:rPr>
                <w:rFonts w:ascii="Times New Roman" w:eastAsia="Times New Roman" w:hAnsi="Times New Roman" w:cs="Times New Roman"/>
                <w:sz w:val="24"/>
                <w:szCs w:val="24"/>
                <w:lang w:val="bg-BG"/>
              </w:rPr>
              <w:t xml:space="preserve">, респективно областната дирекция където е разположен обекта </w:t>
            </w:r>
            <w:r w:rsidRPr="000F1532">
              <w:rPr>
                <w:rFonts w:ascii="Times New Roman" w:eastAsia="Times New Roman" w:hAnsi="Times New Roman" w:cs="Times New Roman"/>
                <w:sz w:val="24"/>
                <w:szCs w:val="24"/>
                <w:lang w:val="bg-BG"/>
              </w:rPr>
              <w:t xml:space="preserve">в срок </w:t>
            </w:r>
            <w:r w:rsidR="00F25DE8" w:rsidRPr="000F1532">
              <w:rPr>
                <w:rFonts w:ascii="Times New Roman" w:eastAsia="Times New Roman" w:hAnsi="Times New Roman" w:cs="Times New Roman"/>
                <w:sz w:val="24"/>
                <w:szCs w:val="24"/>
                <w:lang w:val="bg-BG"/>
              </w:rPr>
              <w:t>до 28 юли 2022 г., че отговарят на изискванията за одобрение, посочени в член 13, параграф 3 от настоящия регламент.</w:t>
            </w:r>
          </w:p>
          <w:p w14:paraId="74A4E012" w14:textId="0CB3A633" w:rsidR="005640E5" w:rsidRPr="000F1532" w:rsidRDefault="005640E5" w:rsidP="006279BC">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 2:</w:t>
            </w:r>
          </w:p>
          <w:p w14:paraId="638E2417" w14:textId="31AA2D33" w:rsidR="005640E5" w:rsidRPr="000F1532" w:rsidRDefault="005640E5" w:rsidP="006279BC">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Не се създават нови и не се засягат вече съществуващи регулаторни режими и услуги. </w:t>
            </w:r>
          </w:p>
          <w:p w14:paraId="66A4AF1D" w14:textId="0E1D38E1"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3CCA227F">
                <v:shape id="_x0000_i1071" type="#_x0000_t75" style="width:108pt;height:18pt" o:ole="">
                  <v:imagedata r:id="rId22" o:title=""/>
                </v:shape>
                <w:control r:id="rId23" w:name="OptionButton17" w:shapeid="_x0000_i1071"/>
              </w:object>
            </w:r>
          </w:p>
          <w:p w14:paraId="56DED854" w14:textId="1B67F7FD" w:rsidR="00F04B4E"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1.1.</w:t>
            </w:r>
            <w:r w:rsidR="00F04B4E" w:rsidRPr="000F1532">
              <w:rPr>
                <w:rFonts w:ascii="Times New Roman" w:eastAsia="Times New Roman" w:hAnsi="Times New Roman" w:cs="Times New Roman"/>
                <w:i/>
                <w:sz w:val="16"/>
                <w:szCs w:val="16"/>
                <w:lang w:val="bg-BG"/>
              </w:rPr>
              <w:t xml:space="preserve"> Изборът следва да е съотносим с посочените специфични въздействия на избрания вариант</w:t>
            </w:r>
            <w:r w:rsidR="0078311F" w:rsidRPr="000F1532">
              <w:rPr>
                <w:rFonts w:ascii="Times New Roman" w:eastAsia="Times New Roman" w:hAnsi="Times New Roman" w:cs="Times New Roman"/>
                <w:i/>
                <w:sz w:val="16"/>
                <w:szCs w:val="16"/>
                <w:lang w:val="bg-BG"/>
              </w:rPr>
              <w:t>.</w:t>
            </w:r>
          </w:p>
          <w:p w14:paraId="3E1E04D4" w14:textId="496FEE58" w:rsidR="00076E63" w:rsidRPr="000F1532" w:rsidRDefault="00F04B4E"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 xml:space="preserve">1.2. </w:t>
            </w:r>
            <w:r w:rsidR="00076E63" w:rsidRPr="000F1532">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0F1532">
              <w:rPr>
                <w:rFonts w:ascii="Times New Roman" w:eastAsia="Times New Roman" w:hAnsi="Times New Roman" w:cs="Times New Roman"/>
                <w:i/>
                <w:sz w:val="16"/>
                <w:szCs w:val="16"/>
                <w:lang w:val="bg-BG"/>
              </w:rPr>
              <w:t xml:space="preserve"> или действие</w:t>
            </w:r>
            <w:r w:rsidR="00076E63" w:rsidRPr="000F1532">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14:paraId="20AC0B97" w14:textId="5401FEB5"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w:t>
            </w:r>
            <w:r w:rsidR="00F04B4E" w:rsidRPr="000F1532">
              <w:rPr>
                <w:rFonts w:ascii="Times New Roman" w:eastAsia="Times New Roman" w:hAnsi="Times New Roman" w:cs="Times New Roman"/>
                <w:i/>
                <w:sz w:val="16"/>
                <w:szCs w:val="16"/>
                <w:lang w:val="bg-BG"/>
              </w:rPr>
              <w:t>3</w:t>
            </w:r>
            <w:r w:rsidRPr="000F1532">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034559C7" w14:textId="5B6121B3"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w:t>
            </w:r>
            <w:r w:rsidR="00F04B4E" w:rsidRPr="000F1532">
              <w:rPr>
                <w:rFonts w:ascii="Times New Roman" w:eastAsia="Times New Roman" w:hAnsi="Times New Roman" w:cs="Times New Roman"/>
                <w:i/>
                <w:sz w:val="16"/>
                <w:szCs w:val="16"/>
                <w:lang w:val="bg-BG"/>
              </w:rPr>
              <w:t>4</w:t>
            </w:r>
            <w:r w:rsidRPr="000F1532">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14:paraId="1691EA6E" w14:textId="11CFACB7" w:rsidR="00076E63" w:rsidRPr="000F1532" w:rsidRDefault="00076E63"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w:t>
            </w:r>
            <w:r w:rsidR="00F04B4E" w:rsidRPr="000F1532">
              <w:rPr>
                <w:rFonts w:ascii="Times New Roman" w:eastAsia="Times New Roman" w:hAnsi="Times New Roman" w:cs="Times New Roman"/>
                <w:i/>
                <w:sz w:val="16"/>
                <w:szCs w:val="16"/>
                <w:lang w:val="bg-BG"/>
              </w:rPr>
              <w:t>5</w:t>
            </w:r>
            <w:r w:rsidRPr="000F1532">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14:paraId="6721AB9D" w14:textId="3D263DCD" w:rsidR="0014026D" w:rsidRPr="000F1532" w:rsidRDefault="0014026D" w:rsidP="0014026D">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Проектът не подлежи на нотификация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76DB4E35" w14:textId="6B4F0DF0" w:rsidR="00076E63" w:rsidRPr="000F1532" w:rsidRDefault="00076E63" w:rsidP="00064CC7">
            <w:pPr>
              <w:spacing w:after="120" w:line="240" w:lineRule="auto"/>
              <w:jc w:val="center"/>
              <w:rPr>
                <w:rFonts w:ascii="Times New Roman" w:eastAsia="Times New Roman" w:hAnsi="Times New Roman" w:cs="Times New Roman"/>
                <w:i/>
                <w:sz w:val="20"/>
                <w:szCs w:val="20"/>
                <w:lang w:val="bg-BG"/>
              </w:rPr>
            </w:pPr>
            <w:r w:rsidRPr="000F1532">
              <w:rPr>
                <w:rFonts w:ascii="Times New Roman" w:eastAsia="Times New Roman" w:hAnsi="Times New Roman" w:cs="Times New Roman"/>
                <w:i/>
                <w:sz w:val="16"/>
                <w:szCs w:val="16"/>
                <w:lang w:val="bg-BG"/>
              </w:rPr>
              <w:t>1.</w:t>
            </w:r>
            <w:r w:rsidR="00F04B4E" w:rsidRPr="000F1532">
              <w:rPr>
                <w:rFonts w:ascii="Times New Roman" w:eastAsia="Times New Roman" w:hAnsi="Times New Roman" w:cs="Times New Roman"/>
                <w:i/>
                <w:sz w:val="16"/>
                <w:szCs w:val="16"/>
                <w:lang w:val="bg-BG"/>
              </w:rPr>
              <w:t>6</w:t>
            </w:r>
            <w:r w:rsidRPr="000F1532">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0F1532" w:rsidRPr="000F1532" w14:paraId="5FF8E077" w14:textId="77777777" w:rsidTr="0014689E">
        <w:tc>
          <w:tcPr>
            <w:tcW w:w="9616" w:type="dxa"/>
            <w:gridSpan w:val="2"/>
          </w:tcPr>
          <w:p w14:paraId="7B0F5C32" w14:textId="1D1E6DFB" w:rsidR="00076E63" w:rsidRPr="000F1532" w:rsidRDefault="00076E63" w:rsidP="007026A1">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1750DCF5" w14:textId="1293F002" w:rsidR="00076E63" w:rsidRPr="000F1532" w:rsidRDefault="00076E63" w:rsidP="00076E63">
            <w:pPr>
              <w:spacing w:before="120" w:after="120" w:line="240" w:lineRule="auto"/>
              <w:jc w:val="both"/>
              <w:rPr>
                <w:rFonts w:ascii="Times New Roman" w:eastAsia="Times New Roman" w:hAnsi="Times New Roman" w:cs="Times New Roman"/>
                <w:i/>
                <w:sz w:val="24"/>
                <w:szCs w:val="24"/>
                <w:lang w:val="bg-BG"/>
              </w:rPr>
            </w:pPr>
            <w:r w:rsidRPr="000F1532">
              <w:rPr>
                <w:rFonts w:ascii="Times New Roman" w:eastAsia="Times New Roman" w:hAnsi="Times New Roman" w:cs="Times New Roman"/>
                <w:i/>
                <w:sz w:val="24"/>
                <w:szCs w:val="24"/>
              </w:rPr>
              <w:object w:dxaOrig="225" w:dyaOrig="225" w14:anchorId="319A3815">
                <v:shape id="_x0000_i1073" type="#_x0000_t75" style="width:108pt;height:18pt" o:ole="">
                  <v:imagedata r:id="rId24" o:title=""/>
                </v:shape>
                <w:control r:id="rId25" w:name="OptionButton18" w:shapeid="_x0000_i1073"/>
              </w:object>
            </w:r>
          </w:p>
          <w:p w14:paraId="7849EC3F" w14:textId="68DF8A2B" w:rsidR="00076E63" w:rsidRPr="000F1532" w:rsidRDefault="00076E63"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04663E39">
                <v:shape id="_x0000_i1075" type="#_x0000_t75" style="width:108pt;height:18pt" o:ole="">
                  <v:imagedata r:id="rId26" o:title=""/>
                </v:shape>
                <w:control r:id="rId27" w:name="OptionButton19" w:shapeid="_x0000_i1075"/>
              </w:object>
            </w:r>
          </w:p>
          <w:p w14:paraId="46F92B24" w14:textId="77777777" w:rsidR="00076E63" w:rsidRPr="000F1532" w:rsidRDefault="00076E63" w:rsidP="00076E63">
            <w:pPr>
              <w:spacing w:after="120" w:line="240" w:lineRule="auto"/>
              <w:jc w:val="center"/>
              <w:rPr>
                <w:rFonts w:ascii="Times New Roman" w:eastAsia="Times New Roman" w:hAnsi="Times New Roman" w:cs="Times New Roman"/>
                <w:sz w:val="24"/>
                <w:szCs w:val="24"/>
                <w:lang w:val="bg-BG"/>
              </w:rPr>
            </w:pPr>
            <w:r w:rsidRPr="000F1532">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F1532" w:rsidRPr="000F1532" w14:paraId="274837D6" w14:textId="77777777" w:rsidTr="0014689E">
        <w:tc>
          <w:tcPr>
            <w:tcW w:w="9616" w:type="dxa"/>
            <w:gridSpan w:val="2"/>
          </w:tcPr>
          <w:p w14:paraId="69C80DA5" w14:textId="61D3E3A8" w:rsidR="00076E63" w:rsidRPr="000F1532" w:rsidRDefault="00076E63" w:rsidP="007026A1">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6.4. По какъв начин </w:t>
            </w:r>
            <w:r w:rsidR="00FF7077" w:rsidRPr="000F1532">
              <w:rPr>
                <w:rFonts w:ascii="Times New Roman" w:eastAsia="Times New Roman" w:hAnsi="Times New Roman" w:cs="Times New Roman"/>
                <w:b/>
                <w:sz w:val="24"/>
                <w:szCs w:val="24"/>
                <w:lang w:val="bg-BG"/>
              </w:rPr>
              <w:t xml:space="preserve">препоръчителният </w:t>
            </w:r>
            <w:r w:rsidRPr="000F1532">
              <w:rPr>
                <w:rFonts w:ascii="Times New Roman" w:eastAsia="Times New Roman" w:hAnsi="Times New Roman" w:cs="Times New Roman"/>
                <w:b/>
                <w:sz w:val="24"/>
                <w:szCs w:val="24"/>
                <w:lang w:val="bg-BG"/>
              </w:rPr>
              <w:t>вариант въздейства върху микро</w:t>
            </w:r>
            <w:r w:rsidR="00064CC7" w:rsidRPr="000F1532">
              <w:rPr>
                <w:rFonts w:ascii="Times New Roman" w:eastAsia="Times New Roman" w:hAnsi="Times New Roman" w:cs="Times New Roman"/>
                <w:b/>
                <w:sz w:val="24"/>
                <w:szCs w:val="24"/>
                <w:lang w:val="bg-BG"/>
              </w:rPr>
              <w:t>-</w:t>
            </w:r>
            <w:r w:rsidRPr="000F1532">
              <w:rPr>
                <w:rFonts w:ascii="Times New Roman" w:eastAsia="Times New Roman" w:hAnsi="Times New Roman" w:cs="Times New Roman"/>
                <w:b/>
                <w:sz w:val="24"/>
                <w:szCs w:val="24"/>
                <w:lang w:val="bg-BG"/>
              </w:rPr>
              <w:t>, малките и средните предприятия (МСП)</w:t>
            </w:r>
            <w:r w:rsidRPr="000F1532">
              <w:rPr>
                <w:rFonts w:ascii="Times New Roman" w:eastAsia="Times New Roman" w:hAnsi="Times New Roman" w:cs="Times New Roman"/>
                <w:sz w:val="20"/>
                <w:szCs w:val="20"/>
                <w:lang w:val="bg-BG" w:eastAsia="bg-BG"/>
              </w:rPr>
              <w:t xml:space="preserve"> </w:t>
            </w:r>
            <w:r w:rsidRPr="000F1532">
              <w:rPr>
                <w:rFonts w:ascii="Times New Roman" w:eastAsia="Times New Roman" w:hAnsi="Times New Roman" w:cs="Times New Roman"/>
                <w:b/>
                <w:sz w:val="24"/>
                <w:szCs w:val="24"/>
                <w:lang w:val="bg-BG"/>
              </w:rPr>
              <w:t>(включително по отделните проблеми)?</w:t>
            </w:r>
          </w:p>
          <w:p w14:paraId="3AC059AB" w14:textId="2C9D8CF8" w:rsidR="00076E63" w:rsidRPr="000F1532" w:rsidRDefault="00076E63" w:rsidP="00076E63">
            <w:pPr>
              <w:spacing w:before="120" w:after="120" w:line="240" w:lineRule="auto"/>
              <w:rPr>
                <w:rFonts w:ascii="Calibri" w:eastAsia="MS Mincho" w:hAnsi="Calibri" w:cs="MS Mincho"/>
                <w:sz w:val="24"/>
                <w:szCs w:val="24"/>
                <w:lang w:val="bg-BG"/>
              </w:rPr>
            </w:pPr>
            <w:r w:rsidRPr="000F1532">
              <w:rPr>
                <w:rFonts w:ascii="Calibri" w:eastAsia="MS Mincho" w:hAnsi="Calibri" w:cs="MS Mincho"/>
                <w:sz w:val="24"/>
                <w:szCs w:val="24"/>
              </w:rPr>
              <w:object w:dxaOrig="225" w:dyaOrig="225" w14:anchorId="616DB3D9">
                <v:shape id="_x0000_i1077" type="#_x0000_t75" style="width:259.8pt;height:18pt" o:ole="">
                  <v:imagedata r:id="rId28" o:title=""/>
                </v:shape>
                <w:control r:id="rId29" w:name="OptionButton6" w:shapeid="_x0000_i1077"/>
              </w:object>
            </w:r>
          </w:p>
          <w:p w14:paraId="003CD017" w14:textId="4AF29AD5" w:rsidR="00076E63" w:rsidRPr="000F1532" w:rsidRDefault="00076E63" w:rsidP="00076E63">
            <w:pPr>
              <w:spacing w:before="120" w:after="120" w:line="240" w:lineRule="auto"/>
              <w:rPr>
                <w:rFonts w:ascii="Calibri" w:eastAsia="MS Mincho" w:hAnsi="Calibri" w:cs="MS Mincho"/>
                <w:sz w:val="24"/>
                <w:szCs w:val="24"/>
                <w:lang w:val="bg-BG"/>
              </w:rPr>
            </w:pPr>
            <w:r w:rsidRPr="000F1532">
              <w:rPr>
                <w:rFonts w:ascii="Calibri" w:eastAsia="MS Mincho" w:hAnsi="Calibri" w:cs="MS Mincho"/>
                <w:sz w:val="24"/>
                <w:szCs w:val="24"/>
              </w:rPr>
              <w:object w:dxaOrig="225" w:dyaOrig="225" w14:anchorId="48996CF0">
                <v:shape id="_x0000_i1079" type="#_x0000_t75" style="width:160.8pt;height:18pt" o:ole="">
                  <v:imagedata r:id="rId30" o:title=""/>
                </v:shape>
                <w:control r:id="rId31" w:name="OptionButton7" w:shapeid="_x0000_i1079"/>
              </w:object>
            </w:r>
          </w:p>
          <w:p w14:paraId="707C2E59" w14:textId="77777777" w:rsidR="005640E5" w:rsidRPr="000F1532" w:rsidRDefault="005640E5" w:rsidP="00D638A0">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 1:</w:t>
            </w:r>
          </w:p>
          <w:p w14:paraId="3807A31A" w14:textId="33EC8FE6" w:rsidR="00076E63" w:rsidRPr="000F1532" w:rsidRDefault="00D638A0" w:rsidP="00D638A0">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Актът засяга пряко МСП, но в случай че посочените предприятия боравят с медикаментозни фуражи, за тях ще се прилагат същите правила, както и за останалите оператори във фуражния сектор. Доколкото въздействието от прилагането на предложената нормативна уредба върху страните се очаква да бъде положително, МСП, също ще </w:t>
            </w:r>
            <w:r w:rsidR="007D1778" w:rsidRPr="000F1532">
              <w:rPr>
                <w:rFonts w:ascii="Times New Roman" w:eastAsia="Times New Roman" w:hAnsi="Times New Roman" w:cs="Times New Roman"/>
                <w:sz w:val="24"/>
                <w:szCs w:val="24"/>
                <w:lang w:val="bg-BG"/>
              </w:rPr>
              <w:t xml:space="preserve">бъдат повлияни </w:t>
            </w:r>
            <w:r w:rsidR="00193B68" w:rsidRPr="000F1532">
              <w:rPr>
                <w:rFonts w:ascii="Times New Roman" w:eastAsia="Times New Roman" w:hAnsi="Times New Roman" w:cs="Times New Roman"/>
                <w:sz w:val="24"/>
                <w:szCs w:val="24"/>
                <w:lang w:val="bg-BG"/>
              </w:rPr>
              <w:t xml:space="preserve">от </w:t>
            </w:r>
            <w:r w:rsidRPr="000F1532">
              <w:rPr>
                <w:rFonts w:ascii="Times New Roman" w:eastAsia="Times New Roman" w:hAnsi="Times New Roman" w:cs="Times New Roman"/>
                <w:sz w:val="24"/>
                <w:szCs w:val="24"/>
                <w:lang w:val="bg-BG"/>
              </w:rPr>
              <w:t>описаните положителни въздействия.</w:t>
            </w:r>
          </w:p>
          <w:p w14:paraId="1029A336" w14:textId="5494FC54" w:rsidR="005640E5" w:rsidRPr="000F1532" w:rsidRDefault="005640E5" w:rsidP="00D638A0">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 2:</w:t>
            </w:r>
          </w:p>
          <w:p w14:paraId="43C9C496" w14:textId="1559302A" w:rsidR="005640E5" w:rsidRPr="000F1532" w:rsidRDefault="005640E5" w:rsidP="005640E5">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Актът засяга пряко МСП, но в случай че посочените предприятия боравят с фуражи със специално предназначение, за тях ще се прилагат същите правила, както и за останалите оператори във фуражния сектор. Доколкото въздействието от прилагането на предложената нормативна уредба върху страните се очаква да бъде положително, МСП, също ще </w:t>
            </w:r>
            <w:r w:rsidR="001C27C1" w:rsidRPr="000F1532">
              <w:rPr>
                <w:rFonts w:ascii="Times New Roman" w:eastAsia="Times New Roman" w:hAnsi="Times New Roman" w:cs="Times New Roman"/>
                <w:sz w:val="24"/>
                <w:szCs w:val="24"/>
                <w:lang w:val="bg-BG"/>
              </w:rPr>
              <w:t xml:space="preserve">бъдат повлияни от </w:t>
            </w:r>
            <w:r w:rsidRPr="000F1532">
              <w:rPr>
                <w:rFonts w:ascii="Times New Roman" w:eastAsia="Times New Roman" w:hAnsi="Times New Roman" w:cs="Times New Roman"/>
                <w:sz w:val="24"/>
                <w:szCs w:val="24"/>
                <w:lang w:val="bg-BG"/>
              </w:rPr>
              <w:t>описаните положителни въздействия.</w:t>
            </w:r>
          </w:p>
          <w:p w14:paraId="1808DE63" w14:textId="0DA1C374" w:rsidR="00076E63" w:rsidRPr="000F1532" w:rsidRDefault="00FF7077" w:rsidP="00FF7077">
            <w:pPr>
              <w:spacing w:after="120" w:line="240" w:lineRule="auto"/>
              <w:jc w:val="center"/>
              <w:rPr>
                <w:rFonts w:ascii="Times New Roman" w:eastAsia="Times New Roman" w:hAnsi="Times New Roman" w:cs="Times New Roman"/>
                <w:sz w:val="24"/>
                <w:szCs w:val="24"/>
                <w:lang w:val="bg-BG"/>
              </w:rPr>
            </w:pPr>
            <w:r w:rsidRPr="000F1532">
              <w:rPr>
                <w:rFonts w:ascii="Times New Roman" w:eastAsia="Times New Roman" w:hAnsi="Times New Roman" w:cs="Times New Roman"/>
                <w:i/>
                <w:sz w:val="16"/>
                <w:szCs w:val="16"/>
                <w:lang w:val="bg-BG"/>
              </w:rPr>
              <w:t>И</w:t>
            </w:r>
            <w:r w:rsidR="00076E63" w:rsidRPr="000F1532">
              <w:rPr>
                <w:rFonts w:ascii="Times New Roman" w:eastAsia="Times New Roman" w:hAnsi="Times New Roman" w:cs="Times New Roman"/>
                <w:i/>
                <w:sz w:val="16"/>
                <w:szCs w:val="16"/>
                <w:lang w:val="bg-BG"/>
              </w:rPr>
              <w:t xml:space="preserve">зборът следва да е съотносим с посочените специфични въздействия на </w:t>
            </w:r>
            <w:r w:rsidRPr="000F1532">
              <w:rPr>
                <w:rFonts w:ascii="Times New Roman" w:eastAsia="Times New Roman" w:hAnsi="Times New Roman" w:cs="Times New Roman"/>
                <w:i/>
                <w:sz w:val="16"/>
                <w:szCs w:val="16"/>
                <w:lang w:val="bg-BG"/>
              </w:rPr>
              <w:t>препоръчителния вариант.</w:t>
            </w:r>
          </w:p>
        </w:tc>
      </w:tr>
      <w:tr w:rsidR="000F1532" w:rsidRPr="000F1532" w14:paraId="6257BA47" w14:textId="77777777" w:rsidTr="0014689E">
        <w:tc>
          <w:tcPr>
            <w:tcW w:w="9616" w:type="dxa"/>
            <w:gridSpan w:val="2"/>
          </w:tcPr>
          <w:p w14:paraId="1892C53E" w14:textId="77777777" w:rsidR="00076E63" w:rsidRPr="000F1532" w:rsidRDefault="00076E63" w:rsidP="00076E63">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6A111212" w14:textId="77777777" w:rsidR="005640E5" w:rsidRPr="000F1532" w:rsidRDefault="005640E5" w:rsidP="00076E63">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 1:</w:t>
            </w:r>
          </w:p>
          <w:p w14:paraId="51A58D5A" w14:textId="2BEF2823" w:rsidR="00076E63" w:rsidRPr="000F1532" w:rsidRDefault="00D638A0"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Не са идентифицирани. </w:t>
            </w:r>
          </w:p>
          <w:p w14:paraId="06EDB38E" w14:textId="2E60C265" w:rsidR="005640E5" w:rsidRPr="000F1532" w:rsidRDefault="005640E5" w:rsidP="00076E63">
            <w:pPr>
              <w:spacing w:before="120" w:after="120" w:line="240" w:lineRule="auto"/>
              <w:jc w:val="both"/>
              <w:rPr>
                <w:rFonts w:ascii="Times New Roman" w:eastAsia="Times New Roman" w:hAnsi="Times New Roman" w:cs="Times New Roman"/>
                <w:b/>
                <w:bCs/>
                <w:sz w:val="24"/>
                <w:szCs w:val="24"/>
                <w:lang w:val="bg-BG"/>
              </w:rPr>
            </w:pPr>
            <w:r w:rsidRPr="000F1532">
              <w:rPr>
                <w:rFonts w:ascii="Times New Roman" w:eastAsia="Times New Roman" w:hAnsi="Times New Roman" w:cs="Times New Roman"/>
                <w:b/>
                <w:bCs/>
                <w:sz w:val="24"/>
                <w:szCs w:val="24"/>
                <w:lang w:val="bg-BG"/>
              </w:rPr>
              <w:t>По Проблем 2:</w:t>
            </w:r>
          </w:p>
          <w:p w14:paraId="510E6F30" w14:textId="397D7D90" w:rsidR="005640E5" w:rsidRPr="000F1532" w:rsidRDefault="005640E5" w:rsidP="00076E63">
            <w:pPr>
              <w:spacing w:before="120"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Не са идентифицирани.</w:t>
            </w:r>
          </w:p>
          <w:p w14:paraId="572C8784" w14:textId="6C7AA38A" w:rsidR="00076E63" w:rsidRPr="000F1532" w:rsidRDefault="00076E63" w:rsidP="00FF7077">
            <w:pPr>
              <w:spacing w:after="12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sidRPr="000F1532">
              <w:rPr>
                <w:rFonts w:ascii="Times New Roman" w:eastAsia="Times New Roman" w:hAnsi="Times New Roman" w:cs="Times New Roman"/>
                <w:i/>
                <w:sz w:val="16"/>
                <w:szCs w:val="16"/>
                <w:lang w:val="bg-BG"/>
              </w:rPr>
              <w:t xml:space="preserve">напр. </w:t>
            </w:r>
            <w:r w:rsidRPr="000F1532">
              <w:rPr>
                <w:rFonts w:ascii="Times New Roman" w:eastAsia="Times New Roman" w:hAnsi="Times New Roman" w:cs="Times New Roman"/>
                <w:i/>
                <w:sz w:val="16"/>
                <w:szCs w:val="16"/>
                <w:lang w:val="bg-BG"/>
              </w:rPr>
              <w:t>възникване на съдебни спорове и др.</w:t>
            </w:r>
          </w:p>
        </w:tc>
      </w:tr>
      <w:tr w:rsidR="000F1532" w:rsidRPr="000F1532" w14:paraId="2BBAF327" w14:textId="77777777" w:rsidTr="0014689E">
        <w:tc>
          <w:tcPr>
            <w:tcW w:w="9616" w:type="dxa"/>
            <w:gridSpan w:val="2"/>
          </w:tcPr>
          <w:p w14:paraId="5A922223" w14:textId="77777777" w:rsidR="00076E63" w:rsidRPr="000F1532" w:rsidRDefault="00076E63" w:rsidP="007026A1">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7. Консултации:</w:t>
            </w:r>
          </w:p>
          <w:p w14:paraId="33348B95" w14:textId="5B1B8958"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rPr>
              <w:object w:dxaOrig="225" w:dyaOrig="225" w14:anchorId="40F51C9D">
                <v:shape id="_x0000_i1081" type="#_x0000_t75" style="width:498.6pt;height:18pt" o:ole="">
                  <v:imagedata r:id="rId32" o:title=""/>
                </v:shape>
                <w:control r:id="rId33" w:name="OptionButton13" w:shapeid="_x0000_i1081"/>
              </w:object>
            </w:r>
          </w:p>
          <w:p w14:paraId="2C6C0D84" w14:textId="555FB655" w:rsidR="00076E63" w:rsidRPr="000F1532" w:rsidRDefault="001138D1" w:rsidP="00076E63">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248F2F9F" w14:textId="545F093D" w:rsidR="00076E63" w:rsidRPr="000F1532" w:rsidRDefault="00076E63" w:rsidP="00076E63">
            <w:pPr>
              <w:spacing w:before="120" w:after="120" w:line="240" w:lineRule="auto"/>
              <w:rPr>
                <w:rFonts w:ascii="Times New Roman" w:eastAsia="Times New Roman" w:hAnsi="Times New Roman" w:cs="Times New Roman"/>
                <w:i/>
                <w:sz w:val="24"/>
                <w:szCs w:val="24"/>
                <w:lang w:val="bg-BG"/>
              </w:rPr>
            </w:pPr>
            <w:r w:rsidRPr="000F1532">
              <w:rPr>
                <w:rFonts w:ascii="Times New Roman" w:eastAsia="Times New Roman" w:hAnsi="Times New Roman" w:cs="Times New Roman"/>
                <w:i/>
                <w:sz w:val="24"/>
                <w:szCs w:val="24"/>
              </w:rPr>
              <w:object w:dxaOrig="225" w:dyaOrig="225" w14:anchorId="16577C51">
                <v:shape id="_x0000_i1083" type="#_x0000_t75" style="width:502.2pt;height:18pt" o:ole="">
                  <v:imagedata r:id="rId34" o:title=""/>
                </v:shape>
                <w:control r:id="rId35" w:name="OptionButton15" w:shapeid="_x0000_i1083"/>
              </w:object>
            </w:r>
          </w:p>
          <w:p w14:paraId="6B03033B" w14:textId="56CF116A" w:rsidR="00076E63" w:rsidRPr="000F1532" w:rsidRDefault="00D638A0" w:rsidP="00D638A0">
            <w:pPr>
              <w:spacing w:after="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Проектът на Закон за изменение и допълнение на Закона за фуражите ще бъде публикуван на Портала за обществени консултации, както и на електронната страница на Министерство на земеделието, храните и горите, в съответствие с изискванията на чл. 26 от Закона за нормативните актове за срок от 30 дни.</w:t>
            </w:r>
          </w:p>
          <w:p w14:paraId="6D9FEFAF" w14:textId="77777777" w:rsidR="00076E63" w:rsidRPr="000F1532" w:rsidRDefault="00076E63" w:rsidP="00076E63">
            <w:pPr>
              <w:spacing w:after="120" w:line="240" w:lineRule="auto"/>
              <w:jc w:val="center"/>
              <w:rPr>
                <w:rFonts w:ascii="Times New Roman" w:eastAsia="Times New Roman" w:hAnsi="Times New Roman" w:cs="Times New Roman"/>
                <w:i/>
                <w:sz w:val="24"/>
                <w:szCs w:val="24"/>
                <w:lang w:val="bg-BG"/>
              </w:rPr>
            </w:pPr>
            <w:r w:rsidRPr="000F1532">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F1532" w:rsidRPr="000F1532" w14:paraId="1FDD5F2F" w14:textId="77777777" w:rsidTr="0014689E">
        <w:tc>
          <w:tcPr>
            <w:tcW w:w="9616" w:type="dxa"/>
            <w:gridSpan w:val="2"/>
          </w:tcPr>
          <w:p w14:paraId="3E0EEC45" w14:textId="77777777" w:rsidR="00076E63" w:rsidRPr="000F1532" w:rsidRDefault="00076E63" w:rsidP="007026A1">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5D8AE962" w14:textId="5A545FEA" w:rsidR="00076E63" w:rsidRPr="000F1532" w:rsidRDefault="00076E63" w:rsidP="00076E63">
            <w:pPr>
              <w:spacing w:before="120" w:after="120" w:line="240" w:lineRule="auto"/>
              <w:rPr>
                <w:rFonts w:ascii="Calibri" w:eastAsia="MS Mincho" w:hAnsi="Calibri" w:cs="MS Mincho"/>
                <w:sz w:val="24"/>
                <w:szCs w:val="24"/>
                <w:lang w:val="bg-BG"/>
              </w:rPr>
            </w:pPr>
            <w:r w:rsidRPr="000F1532">
              <w:rPr>
                <w:rFonts w:ascii="MS Mincho" w:eastAsia="MS Mincho" w:hAnsi="MS Mincho" w:cs="MS Mincho"/>
                <w:sz w:val="24"/>
                <w:szCs w:val="24"/>
              </w:rPr>
              <w:object w:dxaOrig="225" w:dyaOrig="225" w14:anchorId="3548FBA1">
                <v:shape id="_x0000_i1085" type="#_x0000_t75" style="width:108.6pt;height:18pt" o:ole="">
                  <v:imagedata r:id="rId36" o:title=""/>
                </v:shape>
                <w:control r:id="rId37" w:name="OptionButton9" w:shapeid="_x0000_i1085"/>
              </w:object>
            </w:r>
          </w:p>
          <w:p w14:paraId="35283808" w14:textId="6E730735" w:rsidR="00076E63" w:rsidRPr="000F1532" w:rsidRDefault="00076E63" w:rsidP="00076E63">
            <w:pPr>
              <w:spacing w:before="120" w:after="120" w:line="240" w:lineRule="auto"/>
              <w:rPr>
                <w:rFonts w:ascii="Calibri" w:eastAsia="MS Mincho" w:hAnsi="Calibri" w:cs="MS Mincho"/>
                <w:sz w:val="24"/>
                <w:szCs w:val="24"/>
                <w:lang w:val="bg-BG"/>
              </w:rPr>
            </w:pPr>
            <w:r w:rsidRPr="000F1532">
              <w:rPr>
                <w:rFonts w:ascii="MS Mincho" w:eastAsia="MS Mincho" w:hAnsi="MS Mincho" w:cs="MS Mincho"/>
                <w:sz w:val="24"/>
                <w:szCs w:val="24"/>
              </w:rPr>
              <w:object w:dxaOrig="225" w:dyaOrig="225" w14:anchorId="4BEA1EE9">
                <v:shape id="_x0000_i1087" type="#_x0000_t75" style="width:108.6pt;height:18pt" o:ole="">
                  <v:imagedata r:id="rId38" o:title=""/>
                </v:shape>
                <w:control r:id="rId39" w:name="OptionButton10" w:shapeid="_x0000_i1087"/>
              </w:object>
            </w:r>
          </w:p>
          <w:p w14:paraId="6543C4CF" w14:textId="29AF3AE5" w:rsidR="0032335A" w:rsidRPr="000F1532" w:rsidRDefault="00D638A0" w:rsidP="009F1D17">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w:t>
            </w:r>
            <w:r w:rsidR="0032335A" w:rsidRPr="000F1532">
              <w:rPr>
                <w:rFonts w:ascii="Times New Roman" w:eastAsia="Times New Roman" w:hAnsi="Times New Roman" w:cs="Times New Roman"/>
                <w:sz w:val="24"/>
                <w:szCs w:val="24"/>
                <w:lang w:val="bg-BG"/>
              </w:rPr>
              <w:t xml:space="preserve">. </w:t>
            </w:r>
          </w:p>
          <w:p w14:paraId="19DA4BA3" w14:textId="57B1A7D5" w:rsidR="00D638A0" w:rsidRPr="000F1532" w:rsidRDefault="00D638A0" w:rsidP="009F1D17">
            <w:pPr>
              <w:spacing w:after="12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 Регламент (ЕС) 2020/354 на Комисията от 4 март 2020 г. за съставяне на списък на предназначенията на фуражите, предназначени за специфични хранителни цели, и за отмяна на Директива 2008/38/ЕО. </w:t>
            </w:r>
          </w:p>
          <w:p w14:paraId="3B2E629A" w14:textId="6F834426" w:rsidR="00076E63" w:rsidRPr="000F1532" w:rsidRDefault="00FF7077" w:rsidP="00D638A0">
            <w:pPr>
              <w:spacing w:after="120" w:line="240" w:lineRule="auto"/>
              <w:jc w:val="center"/>
              <w:rPr>
                <w:rFonts w:ascii="Times New Roman" w:eastAsia="Times New Roman" w:hAnsi="Times New Roman" w:cs="Times New Roman"/>
                <w:i/>
                <w:sz w:val="16"/>
                <w:szCs w:val="16"/>
                <w:lang w:val="bg-BG"/>
              </w:rPr>
            </w:pPr>
            <w:r w:rsidRPr="000F1532">
              <w:rPr>
                <w:rFonts w:ascii="Times New Roman" w:eastAsia="Times New Roman" w:hAnsi="Times New Roman" w:cs="Times New Roman"/>
                <w:i/>
                <w:sz w:val="16"/>
                <w:szCs w:val="16"/>
                <w:lang w:val="bg-BG"/>
              </w:rPr>
              <w:t>1.1. П</w:t>
            </w:r>
            <w:r w:rsidR="00076E63" w:rsidRPr="000F1532">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7D8985C2" w14:textId="16B708A1" w:rsidR="00076E63" w:rsidRPr="000F1532" w:rsidRDefault="00FF7077" w:rsidP="00076E63">
            <w:pPr>
              <w:spacing w:after="120" w:line="240" w:lineRule="auto"/>
              <w:jc w:val="center"/>
              <w:rPr>
                <w:rFonts w:ascii="Times New Roman" w:eastAsia="Times New Roman" w:hAnsi="Times New Roman" w:cs="Times New Roman"/>
                <w:i/>
                <w:sz w:val="20"/>
                <w:szCs w:val="20"/>
                <w:lang w:val="bg-BG"/>
              </w:rPr>
            </w:pPr>
            <w:r w:rsidRPr="000F1532">
              <w:rPr>
                <w:rFonts w:ascii="Times New Roman" w:eastAsia="Times New Roman" w:hAnsi="Times New Roman" w:cs="Times New Roman"/>
                <w:i/>
                <w:sz w:val="16"/>
                <w:szCs w:val="16"/>
                <w:lang w:val="bg-BG"/>
              </w:rPr>
              <w:t xml:space="preserve">1.2. </w:t>
            </w:r>
            <w:r w:rsidR="00076E63" w:rsidRPr="000F1532">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0F1532" w:rsidRPr="000F1532" w14:paraId="6F722E12" w14:textId="77777777" w:rsidTr="0014689E">
        <w:tc>
          <w:tcPr>
            <w:tcW w:w="9616" w:type="dxa"/>
            <w:gridSpan w:val="2"/>
          </w:tcPr>
          <w:p w14:paraId="0A9963B9" w14:textId="0190CA10" w:rsidR="00076E63" w:rsidRPr="000F1532" w:rsidRDefault="00076E63" w:rsidP="007026A1">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399354EC" w14:textId="6F8EBB58" w:rsidR="00076E63" w:rsidRPr="000F1532" w:rsidRDefault="00076E63" w:rsidP="00076E63">
            <w:pPr>
              <w:spacing w:before="120" w:after="120" w:line="240" w:lineRule="auto"/>
              <w:jc w:val="both"/>
              <w:rPr>
                <w:rFonts w:ascii="Calibri" w:eastAsia="Times New Roman" w:hAnsi="Calibri" w:cs="Segoe UI Symbol"/>
                <w:b/>
                <w:sz w:val="24"/>
                <w:szCs w:val="24"/>
                <w:lang w:val="bg-BG"/>
              </w:rPr>
            </w:pPr>
            <w:r w:rsidRPr="000F1532">
              <w:rPr>
                <w:rFonts w:ascii="Hebar" w:eastAsia="Times New Roman" w:hAnsi="Hebar" w:cs="Segoe UI Symbol"/>
                <w:b/>
                <w:sz w:val="24"/>
                <w:szCs w:val="24"/>
              </w:rPr>
              <w:object w:dxaOrig="225" w:dyaOrig="225" w14:anchorId="6FB0BF29">
                <v:shape id="_x0000_i1089" type="#_x0000_t75" style="width:108pt;height:18pt" o:ole="">
                  <v:imagedata r:id="rId24" o:title=""/>
                </v:shape>
                <w:control r:id="rId40" w:name="OptionButton20" w:shapeid="_x0000_i1089"/>
              </w:object>
            </w:r>
          </w:p>
          <w:p w14:paraId="642DBBB9" w14:textId="2C55E97B" w:rsidR="00076E63" w:rsidRPr="000F1532" w:rsidRDefault="00076E63" w:rsidP="00076E63">
            <w:pPr>
              <w:spacing w:before="120" w:after="120" w:line="240" w:lineRule="auto"/>
              <w:jc w:val="both"/>
              <w:rPr>
                <w:rFonts w:ascii="Calibri" w:eastAsia="Times New Roman" w:hAnsi="Calibri" w:cs="Segoe UI Symbol"/>
                <w:b/>
                <w:sz w:val="24"/>
                <w:szCs w:val="24"/>
                <w:lang w:val="bg-BG"/>
              </w:rPr>
            </w:pPr>
            <w:r w:rsidRPr="000F1532">
              <w:rPr>
                <w:rFonts w:ascii="Hebar" w:eastAsia="Times New Roman" w:hAnsi="Hebar" w:cs="Segoe UI Symbol"/>
                <w:b/>
                <w:sz w:val="24"/>
                <w:szCs w:val="24"/>
              </w:rPr>
              <w:object w:dxaOrig="225" w:dyaOrig="225" w14:anchorId="6AA28506">
                <v:shape id="_x0000_i1091" type="#_x0000_t75" style="width:108pt;height:18pt" o:ole="">
                  <v:imagedata r:id="rId26" o:title=""/>
                </v:shape>
                <w:control r:id="rId41" w:name="OptionButton21" w:shapeid="_x0000_i1091"/>
              </w:object>
            </w:r>
          </w:p>
          <w:p w14:paraId="498787D1" w14:textId="77777777" w:rsidR="00076E63" w:rsidRPr="000F1532" w:rsidRDefault="00076E63" w:rsidP="00076E63">
            <w:pPr>
              <w:spacing w:after="12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F1532" w:rsidRPr="000F1532" w14:paraId="06C71DB2" w14:textId="77777777" w:rsidTr="0014689E">
        <w:tc>
          <w:tcPr>
            <w:tcW w:w="9616" w:type="dxa"/>
            <w:gridSpan w:val="2"/>
          </w:tcPr>
          <w:p w14:paraId="61444598" w14:textId="15749E61" w:rsidR="00076E63" w:rsidRPr="000F1532" w:rsidRDefault="00076E63" w:rsidP="0032335A">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10. Приложения:</w:t>
            </w:r>
          </w:p>
          <w:p w14:paraId="132ED5A7" w14:textId="5C175B6F" w:rsidR="00076E63" w:rsidRPr="000F1532" w:rsidRDefault="00FF7077" w:rsidP="00FF7077">
            <w:pPr>
              <w:spacing w:after="12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i/>
                <w:sz w:val="16"/>
                <w:szCs w:val="16"/>
                <w:lang w:val="bg-BG"/>
              </w:rPr>
              <w:t>П</w:t>
            </w:r>
            <w:r w:rsidR="00076E63" w:rsidRPr="000F1532">
              <w:rPr>
                <w:rFonts w:ascii="Times New Roman" w:eastAsia="Times New Roman" w:hAnsi="Times New Roman" w:cs="Times New Roman"/>
                <w:i/>
                <w:sz w:val="16"/>
                <w:szCs w:val="16"/>
                <w:lang w:val="bg-BG"/>
              </w:rPr>
              <w:t>риложете необходимата допъ</w:t>
            </w:r>
            <w:r w:rsidRPr="000F1532">
              <w:rPr>
                <w:rFonts w:ascii="Times New Roman" w:eastAsia="Times New Roman" w:hAnsi="Times New Roman" w:cs="Times New Roman"/>
                <w:i/>
                <w:sz w:val="16"/>
                <w:szCs w:val="16"/>
                <w:lang w:val="bg-BG"/>
              </w:rPr>
              <w:t>лнителна информация и документи.</w:t>
            </w:r>
          </w:p>
        </w:tc>
      </w:tr>
      <w:tr w:rsidR="000F1532" w:rsidRPr="000F1532" w14:paraId="1549F574" w14:textId="77777777" w:rsidTr="0014689E">
        <w:tc>
          <w:tcPr>
            <w:tcW w:w="9616" w:type="dxa"/>
            <w:gridSpan w:val="2"/>
          </w:tcPr>
          <w:p w14:paraId="1FCAE7B8" w14:textId="58E604E8" w:rsidR="00076E63" w:rsidRPr="000F1532" w:rsidRDefault="00076E63" w:rsidP="007026A1">
            <w:pPr>
              <w:spacing w:before="120" w:after="120" w:line="240" w:lineRule="auto"/>
              <w:jc w:val="both"/>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11. Информационни източници:</w:t>
            </w:r>
          </w:p>
          <w:p w14:paraId="0B572B00" w14:textId="202F2E46" w:rsidR="00F4352B" w:rsidRPr="000F1532" w:rsidRDefault="00F4352B" w:rsidP="00F4352B">
            <w:pPr>
              <w:spacing w:after="0" w:line="240" w:lineRule="auto"/>
              <w:jc w:val="both"/>
              <w:rPr>
                <w:rFonts w:ascii="Times New Roman" w:eastAsia="Times New Roman" w:hAnsi="Times New Roman" w:cs="Times New Roman"/>
                <w:bCs/>
                <w:sz w:val="24"/>
                <w:szCs w:val="24"/>
                <w:lang w:val="bg-BG"/>
              </w:rPr>
            </w:pPr>
            <w:r w:rsidRPr="000F1532">
              <w:rPr>
                <w:rFonts w:ascii="Times New Roman" w:eastAsia="Times New Roman" w:hAnsi="Times New Roman" w:cs="Times New Roman"/>
                <w:bCs/>
                <w:sz w:val="24"/>
                <w:szCs w:val="24"/>
                <w:lang w:val="bg-BG"/>
              </w:rPr>
              <w:t>1. Обобщена оценка на въздействието</w:t>
            </w:r>
            <w:r w:rsidR="00361942" w:rsidRPr="000F1532">
              <w:rPr>
                <w:rFonts w:ascii="Times New Roman" w:eastAsia="Times New Roman" w:hAnsi="Times New Roman" w:cs="Times New Roman"/>
                <w:bCs/>
                <w:sz w:val="24"/>
                <w:szCs w:val="24"/>
                <w:lang w:val="bg-BG"/>
              </w:rPr>
              <w:t>,</w:t>
            </w:r>
            <w:r w:rsidRPr="000F1532">
              <w:rPr>
                <w:rFonts w:ascii="Times New Roman" w:eastAsia="Times New Roman" w:hAnsi="Times New Roman" w:cs="Times New Roman"/>
                <w:bCs/>
                <w:sz w:val="24"/>
                <w:szCs w:val="24"/>
                <w:lang w:val="bg-BG"/>
              </w:rPr>
              <w:t xml:space="preserve"> придружаваща Предложение за Регламент на Европейския парламент и на Съвета относно производството, пускането на пазара и употребата на медикаментозни фуражи и за отмяна на Директива 90/167/ЕИО на Съвета</w:t>
            </w:r>
          </w:p>
          <w:p w14:paraId="4AF95C65" w14:textId="35805A73" w:rsidR="00F4352B" w:rsidRPr="000F1532" w:rsidRDefault="00BF3585" w:rsidP="00F4352B">
            <w:pPr>
              <w:spacing w:after="0" w:line="240" w:lineRule="auto"/>
              <w:jc w:val="both"/>
              <w:rPr>
                <w:rFonts w:ascii="Times New Roman" w:eastAsia="Times New Roman" w:hAnsi="Times New Roman" w:cs="Times New Roman"/>
                <w:bCs/>
                <w:sz w:val="24"/>
                <w:szCs w:val="24"/>
                <w:lang w:val="bg-BG"/>
              </w:rPr>
            </w:pPr>
            <w:hyperlink r:id="rId42" w:history="1">
              <w:r w:rsidR="00F4352B" w:rsidRPr="000F1532">
                <w:rPr>
                  <w:rStyle w:val="Hyperlink"/>
                  <w:rFonts w:ascii="Times New Roman" w:eastAsia="Times New Roman" w:hAnsi="Times New Roman" w:cs="Times New Roman"/>
                  <w:bCs/>
                  <w:color w:val="auto"/>
                  <w:sz w:val="24"/>
                  <w:szCs w:val="24"/>
                  <w:lang w:val="bg-BG"/>
                </w:rPr>
                <w:t>https://eur-lex.europa.eu/legal-content/EN/TXT/?uri=CELEX:52014SC0272</w:t>
              </w:r>
            </w:hyperlink>
          </w:p>
          <w:p w14:paraId="46283E35" w14:textId="010CA5E4" w:rsidR="00076E63" w:rsidRPr="000F1532" w:rsidRDefault="00F4352B" w:rsidP="0032335A">
            <w:pPr>
              <w:spacing w:after="0" w:line="240" w:lineRule="auto"/>
              <w:jc w:val="both"/>
              <w:rPr>
                <w:rFonts w:ascii="Times New Roman" w:eastAsia="Times New Roman" w:hAnsi="Times New Roman" w:cs="Times New Roman"/>
                <w:sz w:val="24"/>
                <w:szCs w:val="24"/>
                <w:lang w:val="bg-BG"/>
              </w:rPr>
            </w:pPr>
            <w:r w:rsidRPr="000F1532">
              <w:rPr>
                <w:rFonts w:ascii="Times New Roman" w:eastAsia="Times New Roman" w:hAnsi="Times New Roman" w:cs="Times New Roman"/>
                <w:sz w:val="24"/>
                <w:szCs w:val="24"/>
                <w:lang w:val="bg-BG"/>
              </w:rPr>
              <w:t xml:space="preserve">2. </w:t>
            </w:r>
            <w:r w:rsidR="0032335A" w:rsidRPr="000F1532">
              <w:rPr>
                <w:rFonts w:ascii="Times New Roman" w:eastAsia="Times New Roman" w:hAnsi="Times New Roman" w:cs="Times New Roman"/>
                <w:sz w:val="24"/>
                <w:szCs w:val="24"/>
                <w:lang w:val="bg-BG"/>
              </w:rPr>
              <w:t xml:space="preserve">Изготвени </w:t>
            </w:r>
            <w:r w:rsidR="00917BFC" w:rsidRPr="000F1532">
              <w:rPr>
                <w:rFonts w:ascii="Times New Roman" w:eastAsia="Times New Roman" w:hAnsi="Times New Roman" w:cs="Times New Roman"/>
                <w:sz w:val="24"/>
                <w:szCs w:val="24"/>
                <w:lang w:val="bg-BG"/>
              </w:rPr>
              <w:t xml:space="preserve">годишни </w:t>
            </w:r>
            <w:r w:rsidR="0032335A" w:rsidRPr="000F1532">
              <w:rPr>
                <w:rFonts w:ascii="Times New Roman" w:eastAsia="Times New Roman" w:hAnsi="Times New Roman" w:cs="Times New Roman"/>
                <w:sz w:val="24"/>
                <w:szCs w:val="24"/>
                <w:lang w:val="bg-BG"/>
              </w:rPr>
              <w:t>доклади за</w:t>
            </w:r>
            <w:r w:rsidR="00917BFC" w:rsidRPr="000F1532">
              <w:rPr>
                <w:rFonts w:ascii="Times New Roman" w:eastAsia="Times New Roman" w:hAnsi="Times New Roman" w:cs="Times New Roman"/>
                <w:sz w:val="24"/>
                <w:szCs w:val="24"/>
                <w:lang w:val="bg-BG"/>
              </w:rPr>
              <w:t xml:space="preserve"> състоянието и развитието на</w:t>
            </w:r>
            <w:r w:rsidR="00876542" w:rsidRPr="000F1532">
              <w:rPr>
                <w:rFonts w:ascii="Times New Roman" w:eastAsia="Times New Roman" w:hAnsi="Times New Roman" w:cs="Times New Roman"/>
                <w:sz w:val="24"/>
                <w:szCs w:val="24"/>
                <w:lang w:val="bg-BG"/>
              </w:rPr>
              <w:t xml:space="preserve"> </w:t>
            </w:r>
            <w:r w:rsidR="00B51128" w:rsidRPr="000F1532">
              <w:rPr>
                <w:rFonts w:ascii="Times New Roman" w:eastAsia="Times New Roman" w:hAnsi="Times New Roman" w:cs="Times New Roman"/>
                <w:sz w:val="24"/>
                <w:szCs w:val="24"/>
                <w:lang w:val="bg-BG"/>
              </w:rPr>
              <w:t>земеделието</w:t>
            </w:r>
            <w:r w:rsidR="00917BFC" w:rsidRPr="000F1532">
              <w:rPr>
                <w:rFonts w:ascii="Times New Roman" w:eastAsia="Times New Roman" w:hAnsi="Times New Roman" w:cs="Times New Roman"/>
                <w:sz w:val="24"/>
                <w:szCs w:val="24"/>
                <w:lang w:val="bg-BG"/>
              </w:rPr>
              <w:t>, в т.ч. и</w:t>
            </w:r>
            <w:r w:rsidR="0032335A" w:rsidRPr="000F1532">
              <w:rPr>
                <w:rFonts w:ascii="Times New Roman" w:eastAsia="Times New Roman" w:hAnsi="Times New Roman" w:cs="Times New Roman"/>
                <w:sz w:val="24"/>
                <w:szCs w:val="24"/>
                <w:lang w:val="bg-BG"/>
              </w:rPr>
              <w:t xml:space="preserve"> дейността на операторите в сектора на фуражите публикувани на електронната страница на </w:t>
            </w:r>
            <w:r w:rsidR="00B51128" w:rsidRPr="000F1532">
              <w:rPr>
                <w:rFonts w:ascii="Times New Roman" w:eastAsia="Times New Roman" w:hAnsi="Times New Roman" w:cs="Times New Roman"/>
                <w:sz w:val="24"/>
                <w:szCs w:val="24"/>
                <w:lang w:val="bg-BG"/>
              </w:rPr>
              <w:t>Министерство</w:t>
            </w:r>
            <w:r w:rsidR="0032335A" w:rsidRPr="000F1532">
              <w:rPr>
                <w:rFonts w:ascii="Times New Roman" w:eastAsia="Times New Roman" w:hAnsi="Times New Roman" w:cs="Times New Roman"/>
                <w:sz w:val="24"/>
                <w:szCs w:val="24"/>
                <w:lang w:val="bg-BG"/>
              </w:rPr>
              <w:t xml:space="preserve"> на земеделието, храните и горите, достъпни на следния линк: </w:t>
            </w:r>
            <w:r w:rsidR="00917BFC" w:rsidRPr="000F1532">
              <w:rPr>
                <w:lang w:val="bg-BG"/>
              </w:rPr>
              <w:t xml:space="preserve"> </w:t>
            </w:r>
            <w:hyperlink r:id="rId43" w:history="1">
              <w:r w:rsidR="00917BFC" w:rsidRPr="000F1532">
                <w:rPr>
                  <w:rStyle w:val="Hyperlink"/>
                  <w:rFonts w:ascii="Times New Roman" w:eastAsia="Times New Roman" w:hAnsi="Times New Roman" w:cs="Times New Roman"/>
                  <w:color w:val="auto"/>
                  <w:sz w:val="24"/>
                  <w:szCs w:val="24"/>
                  <w:lang w:val="bg-BG"/>
                </w:rPr>
                <w:t>https://www.mzh.government.bg/bg/politiki-i-programi/otcheti-i-dokladi/agraren-doklad/</w:t>
              </w:r>
            </w:hyperlink>
            <w:r w:rsidR="00917BFC" w:rsidRPr="000F1532">
              <w:rPr>
                <w:rFonts w:ascii="Times New Roman" w:eastAsia="Times New Roman" w:hAnsi="Times New Roman" w:cs="Times New Roman"/>
                <w:sz w:val="24"/>
                <w:szCs w:val="24"/>
                <w:lang w:val="bg-BG"/>
              </w:rPr>
              <w:t xml:space="preserve"> </w:t>
            </w:r>
            <w:r w:rsidR="0032335A" w:rsidRPr="000F1532">
              <w:rPr>
                <w:rFonts w:ascii="Times New Roman" w:eastAsia="Times New Roman" w:hAnsi="Times New Roman" w:cs="Times New Roman"/>
                <w:sz w:val="24"/>
                <w:szCs w:val="24"/>
                <w:lang w:val="bg-BG"/>
              </w:rPr>
              <w:t xml:space="preserve"> </w:t>
            </w:r>
          </w:p>
          <w:p w14:paraId="71CF4250" w14:textId="372FDC7B" w:rsidR="0032335A" w:rsidRPr="000F1532" w:rsidRDefault="0032335A" w:rsidP="0032335A">
            <w:pPr>
              <w:spacing w:after="0" w:line="240" w:lineRule="auto"/>
              <w:jc w:val="both"/>
              <w:rPr>
                <w:rFonts w:ascii="Times New Roman" w:eastAsia="Times New Roman" w:hAnsi="Times New Roman" w:cs="Times New Roman"/>
                <w:sz w:val="24"/>
                <w:szCs w:val="24"/>
                <w:lang w:val="bg-BG"/>
              </w:rPr>
            </w:pPr>
          </w:p>
          <w:p w14:paraId="10E75238" w14:textId="1DD8555F" w:rsidR="00076E63" w:rsidRPr="000F1532" w:rsidRDefault="00FF7077" w:rsidP="00FF7077">
            <w:pPr>
              <w:spacing w:after="120" w:line="240" w:lineRule="auto"/>
              <w:jc w:val="center"/>
              <w:rPr>
                <w:rFonts w:ascii="Times New Roman" w:eastAsia="Times New Roman" w:hAnsi="Times New Roman" w:cs="Times New Roman"/>
                <w:b/>
                <w:sz w:val="24"/>
                <w:szCs w:val="24"/>
                <w:lang w:val="bg-BG"/>
              </w:rPr>
            </w:pPr>
            <w:r w:rsidRPr="000F1532">
              <w:rPr>
                <w:rFonts w:ascii="Times New Roman" w:eastAsia="Times New Roman" w:hAnsi="Times New Roman" w:cs="Times New Roman"/>
                <w:i/>
                <w:sz w:val="16"/>
                <w:szCs w:val="16"/>
                <w:lang w:val="bg-BG"/>
              </w:rPr>
              <w:t>П</w:t>
            </w:r>
            <w:r w:rsidR="00076E63" w:rsidRPr="000F1532">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sidR="00064CC7" w:rsidRPr="000F1532">
              <w:rPr>
                <w:rFonts w:ascii="Times New Roman" w:eastAsia="Times New Roman" w:hAnsi="Times New Roman" w:cs="Times New Roman"/>
                <w:i/>
                <w:sz w:val="16"/>
                <w:szCs w:val="16"/>
                <w:lang w:val="bg-BG"/>
              </w:rPr>
              <w:t xml:space="preserve">които са </w:t>
            </w:r>
            <w:r w:rsidR="00076E63" w:rsidRPr="000F1532">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sidRPr="000F1532">
              <w:rPr>
                <w:rFonts w:ascii="Times New Roman" w:eastAsia="Times New Roman" w:hAnsi="Times New Roman" w:cs="Times New Roman"/>
                <w:i/>
                <w:sz w:val="16"/>
                <w:szCs w:val="16"/>
                <w:lang w:val="bg-BG"/>
              </w:rPr>
              <w:t>а</w:t>
            </w:r>
            <w:r w:rsidR="00076E63" w:rsidRPr="000F1532">
              <w:rPr>
                <w:rFonts w:ascii="Times New Roman" w:eastAsia="Times New Roman" w:hAnsi="Times New Roman" w:cs="Times New Roman"/>
                <w:i/>
                <w:sz w:val="16"/>
                <w:szCs w:val="16"/>
                <w:lang w:val="bg-BG"/>
              </w:rPr>
              <w:t xml:space="preserve"> на вариант за действие: регистри, бази да</w:t>
            </w:r>
            <w:r w:rsidRPr="000F1532">
              <w:rPr>
                <w:rFonts w:ascii="Times New Roman" w:eastAsia="Times New Roman" w:hAnsi="Times New Roman" w:cs="Times New Roman"/>
                <w:i/>
                <w:sz w:val="16"/>
                <w:szCs w:val="16"/>
                <w:lang w:val="bg-BG"/>
              </w:rPr>
              <w:t>нни, аналитични материали и др.</w:t>
            </w:r>
          </w:p>
        </w:tc>
      </w:tr>
      <w:tr w:rsidR="00076E63" w:rsidRPr="000F1532" w14:paraId="42BA7B7C" w14:textId="77777777" w:rsidTr="0014689E">
        <w:tc>
          <w:tcPr>
            <w:tcW w:w="9616" w:type="dxa"/>
            <w:gridSpan w:val="2"/>
          </w:tcPr>
          <w:p w14:paraId="515A2514" w14:textId="77777777" w:rsidR="00076E63" w:rsidRPr="000F1532" w:rsidRDefault="00076E63" w:rsidP="007026A1">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0A4D441D" w14:textId="77777777" w:rsidR="00076E63" w:rsidRPr="000F1532" w:rsidRDefault="00076E63" w:rsidP="00076E63">
            <w:pPr>
              <w:spacing w:after="0" w:line="240" w:lineRule="auto"/>
              <w:rPr>
                <w:rFonts w:ascii="Times New Roman" w:eastAsia="Times New Roman" w:hAnsi="Times New Roman" w:cs="Times New Roman"/>
                <w:b/>
                <w:sz w:val="24"/>
                <w:szCs w:val="24"/>
                <w:lang w:val="bg-BG"/>
              </w:rPr>
            </w:pPr>
          </w:p>
          <w:p w14:paraId="513AC9D3" w14:textId="5227E158"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 xml:space="preserve">Име и длъжност:   </w:t>
            </w:r>
            <w:r w:rsidR="00876542" w:rsidRPr="000F1532">
              <w:rPr>
                <w:rFonts w:ascii="Times New Roman" w:eastAsia="Times New Roman" w:hAnsi="Times New Roman" w:cs="Times New Roman"/>
                <w:sz w:val="24"/>
                <w:szCs w:val="24"/>
                <w:lang w:val="bg-BG"/>
              </w:rPr>
              <w:t>зооинж. Пенка Манева-Кънева</w:t>
            </w:r>
          </w:p>
          <w:p w14:paraId="76A6E94D" w14:textId="5199F6C0" w:rsidR="00876542" w:rsidRPr="000F1532" w:rsidRDefault="00876542" w:rsidP="00076E63">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sz w:val="24"/>
                <w:szCs w:val="24"/>
                <w:lang w:val="bg-BG"/>
              </w:rPr>
              <w:t>Директор на дирекция „Контрол на фуражите и страничните животински продукти“</w:t>
            </w:r>
            <w:r w:rsidR="00C130FC" w:rsidRPr="000F1532">
              <w:rPr>
                <w:rFonts w:ascii="Times New Roman" w:eastAsia="Times New Roman" w:hAnsi="Times New Roman" w:cs="Times New Roman"/>
                <w:sz w:val="24"/>
                <w:szCs w:val="24"/>
                <w:lang w:val="bg-BG"/>
              </w:rPr>
              <w:t xml:space="preserve">, </w:t>
            </w:r>
            <w:r w:rsidRPr="000F1532">
              <w:rPr>
                <w:rFonts w:ascii="Times New Roman" w:eastAsia="Times New Roman" w:hAnsi="Times New Roman" w:cs="Times New Roman"/>
                <w:sz w:val="24"/>
                <w:szCs w:val="24"/>
                <w:lang w:val="bg-BG"/>
              </w:rPr>
              <w:t xml:space="preserve"> Централно управление на Българска агенция по безопасност на храните</w:t>
            </w:r>
          </w:p>
          <w:p w14:paraId="7B736B09" w14:textId="77777777" w:rsidR="00C607BC" w:rsidRPr="000F1532" w:rsidRDefault="00C607BC" w:rsidP="00076E63">
            <w:pPr>
              <w:spacing w:before="120" w:after="120" w:line="240" w:lineRule="auto"/>
              <w:rPr>
                <w:rFonts w:ascii="Times New Roman" w:eastAsia="Times New Roman" w:hAnsi="Times New Roman" w:cs="Times New Roman"/>
                <w:b/>
                <w:sz w:val="24"/>
                <w:szCs w:val="24"/>
                <w:lang w:val="bg-BG"/>
              </w:rPr>
            </w:pPr>
          </w:p>
          <w:p w14:paraId="575D93D2" w14:textId="7616F006" w:rsidR="00076E63" w:rsidRPr="002F6E62" w:rsidRDefault="00076E63" w:rsidP="00076E63">
            <w:pPr>
              <w:spacing w:before="120" w:after="120" w:line="240" w:lineRule="auto"/>
              <w:rPr>
                <w:rFonts w:ascii="Times New Roman" w:eastAsia="Times New Roman" w:hAnsi="Times New Roman" w:cs="Times New Roman"/>
                <w:b/>
                <w:sz w:val="24"/>
                <w:szCs w:val="24"/>
                <w:lang w:val="bg-BG"/>
              </w:rPr>
            </w:pPr>
            <w:r w:rsidRPr="000F1532">
              <w:rPr>
                <w:rFonts w:ascii="Times New Roman" w:eastAsia="Times New Roman" w:hAnsi="Times New Roman" w:cs="Times New Roman"/>
                <w:b/>
                <w:sz w:val="24"/>
                <w:szCs w:val="24"/>
                <w:lang w:val="bg-BG"/>
              </w:rPr>
              <w:t xml:space="preserve">Дата:   </w:t>
            </w:r>
            <w:r w:rsidR="002F6E62">
              <w:rPr>
                <w:rFonts w:ascii="Times New Roman" w:eastAsia="Times New Roman" w:hAnsi="Times New Roman" w:cs="Times New Roman"/>
                <w:sz w:val="24"/>
                <w:szCs w:val="24"/>
              </w:rPr>
              <w:t xml:space="preserve">24.09.2021 </w:t>
            </w:r>
            <w:r w:rsidR="002F6E62">
              <w:rPr>
                <w:rFonts w:ascii="Times New Roman" w:eastAsia="Times New Roman" w:hAnsi="Times New Roman" w:cs="Times New Roman"/>
                <w:sz w:val="24"/>
                <w:szCs w:val="24"/>
                <w:lang w:val="bg-BG"/>
              </w:rPr>
              <w:t>г.</w:t>
            </w:r>
          </w:p>
          <w:p w14:paraId="2F1111F3" w14:textId="77777777" w:rsidR="00C607BC" w:rsidRPr="000F1532" w:rsidRDefault="00C607BC" w:rsidP="00076E63">
            <w:pPr>
              <w:spacing w:before="120" w:after="120" w:line="240" w:lineRule="auto"/>
              <w:rPr>
                <w:rFonts w:ascii="Times New Roman" w:eastAsia="Times New Roman" w:hAnsi="Times New Roman" w:cs="Times New Roman"/>
                <w:b/>
                <w:sz w:val="24"/>
                <w:szCs w:val="24"/>
                <w:lang w:val="bg-BG"/>
              </w:rPr>
            </w:pPr>
          </w:p>
          <w:p w14:paraId="3BFCB5E8" w14:textId="476955E5" w:rsidR="00076E63" w:rsidRPr="000F1532" w:rsidRDefault="00076E63" w:rsidP="00076E63">
            <w:pPr>
              <w:spacing w:before="120" w:after="120" w:line="240" w:lineRule="auto"/>
              <w:rPr>
                <w:rFonts w:ascii="Times New Roman" w:eastAsia="Times New Roman" w:hAnsi="Times New Roman" w:cs="Times New Roman"/>
                <w:sz w:val="24"/>
                <w:szCs w:val="24"/>
                <w:lang w:val="bg-BG"/>
              </w:rPr>
            </w:pPr>
            <w:r w:rsidRPr="000F1532">
              <w:rPr>
                <w:rFonts w:ascii="Times New Roman" w:eastAsia="Times New Roman" w:hAnsi="Times New Roman" w:cs="Times New Roman"/>
                <w:b/>
                <w:sz w:val="24"/>
                <w:szCs w:val="24"/>
                <w:lang w:val="bg-BG"/>
              </w:rPr>
              <w:t>Подпис:</w:t>
            </w:r>
            <w:r w:rsidRPr="000F1532">
              <w:rPr>
                <w:rFonts w:ascii="Times New Roman" w:eastAsia="Times New Roman" w:hAnsi="Times New Roman" w:cs="Times New Roman"/>
                <w:sz w:val="24"/>
                <w:szCs w:val="24"/>
                <w:lang w:val="bg-BG"/>
              </w:rPr>
              <w:t xml:space="preserve">   …</w:t>
            </w:r>
          </w:p>
          <w:p w14:paraId="270FD228" w14:textId="77777777" w:rsidR="00C607BC" w:rsidRPr="000F1532" w:rsidRDefault="00C607BC" w:rsidP="00076E63">
            <w:pPr>
              <w:spacing w:before="120" w:after="120" w:line="240" w:lineRule="auto"/>
              <w:rPr>
                <w:rFonts w:ascii="Times New Roman" w:eastAsia="Times New Roman" w:hAnsi="Times New Roman" w:cs="Times New Roman"/>
                <w:b/>
                <w:sz w:val="24"/>
                <w:szCs w:val="24"/>
                <w:lang w:val="bg-BG"/>
              </w:rPr>
            </w:pPr>
          </w:p>
          <w:p w14:paraId="68DB5E38" w14:textId="1AF471E0" w:rsidR="00361942" w:rsidRPr="000F1532" w:rsidRDefault="00361942" w:rsidP="00076E63">
            <w:pPr>
              <w:spacing w:before="120" w:after="120" w:line="240" w:lineRule="auto"/>
              <w:rPr>
                <w:rFonts w:ascii="Times New Roman" w:eastAsia="Times New Roman" w:hAnsi="Times New Roman" w:cs="Times New Roman"/>
                <w:b/>
                <w:sz w:val="24"/>
                <w:szCs w:val="24"/>
                <w:lang w:val="bg-BG"/>
              </w:rPr>
            </w:pPr>
          </w:p>
        </w:tc>
      </w:tr>
    </w:tbl>
    <w:p w14:paraId="3519F3E8" w14:textId="77777777" w:rsidR="00E16D01" w:rsidRPr="000F1532"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0F1532" w:rsidSect="0014689E">
      <w:headerReference w:type="even" r:id="rId44"/>
      <w:footerReference w:type="default" r:id="rId45"/>
      <w:pgSz w:w="11906" w:h="16838" w:code="9"/>
      <w:pgMar w:top="1134" w:right="1021" w:bottom="567"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9B5C" w14:textId="77777777" w:rsidR="00BF3585" w:rsidRDefault="00BF3585">
      <w:pPr>
        <w:spacing w:after="0" w:line="240" w:lineRule="auto"/>
      </w:pPr>
      <w:r>
        <w:separator/>
      </w:r>
    </w:p>
  </w:endnote>
  <w:endnote w:type="continuationSeparator" w:id="0">
    <w:p w14:paraId="17DE8C05" w14:textId="77777777" w:rsidR="00BF3585" w:rsidRDefault="00BF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EA6C" w14:textId="6C64CC7F" w:rsidR="009F2C71" w:rsidRPr="0014689E" w:rsidRDefault="009F2C71"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2268DC">
      <w:rPr>
        <w:rFonts w:ascii="Times New Roman" w:hAnsi="Times New Roman"/>
        <w:noProof/>
        <w:sz w:val="20"/>
        <w:szCs w:val="20"/>
      </w:rPr>
      <w:t>16</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A58E" w14:textId="77777777" w:rsidR="00BF3585" w:rsidRDefault="00BF3585">
      <w:pPr>
        <w:spacing w:after="0" w:line="240" w:lineRule="auto"/>
      </w:pPr>
      <w:r>
        <w:separator/>
      </w:r>
    </w:p>
  </w:footnote>
  <w:footnote w:type="continuationSeparator" w:id="0">
    <w:p w14:paraId="1A93E109" w14:textId="77777777" w:rsidR="00BF3585" w:rsidRDefault="00BF3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8289" w14:textId="77777777" w:rsidR="009F2C71" w:rsidRDefault="009F2C71"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99BF7F" w14:textId="77777777" w:rsidR="009F2C71" w:rsidRDefault="009F2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4FA"/>
    <w:multiLevelType w:val="hybridMultilevel"/>
    <w:tmpl w:val="12F22B82"/>
    <w:lvl w:ilvl="0" w:tplc="53BCDC2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E05998"/>
    <w:multiLevelType w:val="hybridMultilevel"/>
    <w:tmpl w:val="4036AF6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98D1E38"/>
    <w:multiLevelType w:val="hybridMultilevel"/>
    <w:tmpl w:val="F054677C"/>
    <w:lvl w:ilvl="0" w:tplc="04020001">
      <w:start w:val="1"/>
      <w:numFmt w:val="bullet"/>
      <w:lvlText w:val=""/>
      <w:lvlJc w:val="left"/>
      <w:pPr>
        <w:ind w:left="730" w:hanging="360"/>
      </w:pPr>
      <w:rPr>
        <w:rFonts w:ascii="Symbol" w:hAnsi="Symbol" w:hint="default"/>
      </w:rPr>
    </w:lvl>
    <w:lvl w:ilvl="1" w:tplc="04020003" w:tentative="1">
      <w:start w:val="1"/>
      <w:numFmt w:val="bullet"/>
      <w:lvlText w:val="o"/>
      <w:lvlJc w:val="left"/>
      <w:pPr>
        <w:ind w:left="1450" w:hanging="360"/>
      </w:pPr>
      <w:rPr>
        <w:rFonts w:ascii="Courier New" w:hAnsi="Courier New" w:cs="Courier New" w:hint="default"/>
      </w:rPr>
    </w:lvl>
    <w:lvl w:ilvl="2" w:tplc="04020005" w:tentative="1">
      <w:start w:val="1"/>
      <w:numFmt w:val="bullet"/>
      <w:lvlText w:val=""/>
      <w:lvlJc w:val="left"/>
      <w:pPr>
        <w:ind w:left="2170" w:hanging="360"/>
      </w:pPr>
      <w:rPr>
        <w:rFonts w:ascii="Wingdings" w:hAnsi="Wingdings" w:hint="default"/>
      </w:rPr>
    </w:lvl>
    <w:lvl w:ilvl="3" w:tplc="04020001" w:tentative="1">
      <w:start w:val="1"/>
      <w:numFmt w:val="bullet"/>
      <w:lvlText w:val=""/>
      <w:lvlJc w:val="left"/>
      <w:pPr>
        <w:ind w:left="2890" w:hanging="360"/>
      </w:pPr>
      <w:rPr>
        <w:rFonts w:ascii="Symbol" w:hAnsi="Symbol" w:hint="default"/>
      </w:rPr>
    </w:lvl>
    <w:lvl w:ilvl="4" w:tplc="04020003" w:tentative="1">
      <w:start w:val="1"/>
      <w:numFmt w:val="bullet"/>
      <w:lvlText w:val="o"/>
      <w:lvlJc w:val="left"/>
      <w:pPr>
        <w:ind w:left="3610" w:hanging="360"/>
      </w:pPr>
      <w:rPr>
        <w:rFonts w:ascii="Courier New" w:hAnsi="Courier New" w:cs="Courier New" w:hint="default"/>
      </w:rPr>
    </w:lvl>
    <w:lvl w:ilvl="5" w:tplc="04020005" w:tentative="1">
      <w:start w:val="1"/>
      <w:numFmt w:val="bullet"/>
      <w:lvlText w:val=""/>
      <w:lvlJc w:val="left"/>
      <w:pPr>
        <w:ind w:left="4330" w:hanging="360"/>
      </w:pPr>
      <w:rPr>
        <w:rFonts w:ascii="Wingdings" w:hAnsi="Wingdings" w:hint="default"/>
      </w:rPr>
    </w:lvl>
    <w:lvl w:ilvl="6" w:tplc="04020001" w:tentative="1">
      <w:start w:val="1"/>
      <w:numFmt w:val="bullet"/>
      <w:lvlText w:val=""/>
      <w:lvlJc w:val="left"/>
      <w:pPr>
        <w:ind w:left="5050" w:hanging="360"/>
      </w:pPr>
      <w:rPr>
        <w:rFonts w:ascii="Symbol" w:hAnsi="Symbol" w:hint="default"/>
      </w:rPr>
    </w:lvl>
    <w:lvl w:ilvl="7" w:tplc="04020003" w:tentative="1">
      <w:start w:val="1"/>
      <w:numFmt w:val="bullet"/>
      <w:lvlText w:val="o"/>
      <w:lvlJc w:val="left"/>
      <w:pPr>
        <w:ind w:left="5770" w:hanging="360"/>
      </w:pPr>
      <w:rPr>
        <w:rFonts w:ascii="Courier New" w:hAnsi="Courier New" w:cs="Courier New" w:hint="default"/>
      </w:rPr>
    </w:lvl>
    <w:lvl w:ilvl="8" w:tplc="04020005" w:tentative="1">
      <w:start w:val="1"/>
      <w:numFmt w:val="bullet"/>
      <w:lvlText w:val=""/>
      <w:lvlJc w:val="left"/>
      <w:pPr>
        <w:ind w:left="6490" w:hanging="360"/>
      </w:pPr>
      <w:rPr>
        <w:rFonts w:ascii="Wingdings" w:hAnsi="Wingdings" w:hint="default"/>
      </w:r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7" w15:restartNumberingAfterBreak="0">
    <w:nsid w:val="414816E6"/>
    <w:multiLevelType w:val="hybridMultilevel"/>
    <w:tmpl w:val="50EAB2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45260D9B"/>
    <w:multiLevelType w:val="hybridMultilevel"/>
    <w:tmpl w:val="3A22911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0"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47D16D57"/>
    <w:multiLevelType w:val="hybridMultilevel"/>
    <w:tmpl w:val="425878D8"/>
    <w:lvl w:ilvl="0" w:tplc="EA10F02A">
      <w:numFmt w:val="bullet"/>
      <w:lvlText w:val="-"/>
      <w:lvlJc w:val="left"/>
      <w:pPr>
        <w:ind w:left="370" w:hanging="360"/>
      </w:pPr>
      <w:rPr>
        <w:rFonts w:ascii="Times New Roman" w:eastAsia="Times New Roman" w:hAnsi="Times New Roman" w:cs="Times New Roman" w:hint="default"/>
      </w:rPr>
    </w:lvl>
    <w:lvl w:ilvl="1" w:tplc="04020003" w:tentative="1">
      <w:start w:val="1"/>
      <w:numFmt w:val="bullet"/>
      <w:lvlText w:val="o"/>
      <w:lvlJc w:val="left"/>
      <w:pPr>
        <w:ind w:left="1090" w:hanging="360"/>
      </w:pPr>
      <w:rPr>
        <w:rFonts w:ascii="Courier New" w:hAnsi="Courier New" w:cs="Courier New" w:hint="default"/>
      </w:rPr>
    </w:lvl>
    <w:lvl w:ilvl="2" w:tplc="04020005" w:tentative="1">
      <w:start w:val="1"/>
      <w:numFmt w:val="bullet"/>
      <w:lvlText w:val=""/>
      <w:lvlJc w:val="left"/>
      <w:pPr>
        <w:ind w:left="1810" w:hanging="360"/>
      </w:pPr>
      <w:rPr>
        <w:rFonts w:ascii="Wingdings" w:hAnsi="Wingdings" w:hint="default"/>
      </w:rPr>
    </w:lvl>
    <w:lvl w:ilvl="3" w:tplc="04020001" w:tentative="1">
      <w:start w:val="1"/>
      <w:numFmt w:val="bullet"/>
      <w:lvlText w:val=""/>
      <w:lvlJc w:val="left"/>
      <w:pPr>
        <w:ind w:left="2530" w:hanging="360"/>
      </w:pPr>
      <w:rPr>
        <w:rFonts w:ascii="Symbol" w:hAnsi="Symbol" w:hint="default"/>
      </w:rPr>
    </w:lvl>
    <w:lvl w:ilvl="4" w:tplc="04020003" w:tentative="1">
      <w:start w:val="1"/>
      <w:numFmt w:val="bullet"/>
      <w:lvlText w:val="o"/>
      <w:lvlJc w:val="left"/>
      <w:pPr>
        <w:ind w:left="3250" w:hanging="360"/>
      </w:pPr>
      <w:rPr>
        <w:rFonts w:ascii="Courier New" w:hAnsi="Courier New" w:cs="Courier New" w:hint="default"/>
      </w:rPr>
    </w:lvl>
    <w:lvl w:ilvl="5" w:tplc="04020005" w:tentative="1">
      <w:start w:val="1"/>
      <w:numFmt w:val="bullet"/>
      <w:lvlText w:val=""/>
      <w:lvlJc w:val="left"/>
      <w:pPr>
        <w:ind w:left="3970" w:hanging="360"/>
      </w:pPr>
      <w:rPr>
        <w:rFonts w:ascii="Wingdings" w:hAnsi="Wingdings" w:hint="default"/>
      </w:rPr>
    </w:lvl>
    <w:lvl w:ilvl="6" w:tplc="04020001" w:tentative="1">
      <w:start w:val="1"/>
      <w:numFmt w:val="bullet"/>
      <w:lvlText w:val=""/>
      <w:lvlJc w:val="left"/>
      <w:pPr>
        <w:ind w:left="4690" w:hanging="360"/>
      </w:pPr>
      <w:rPr>
        <w:rFonts w:ascii="Symbol" w:hAnsi="Symbol" w:hint="default"/>
      </w:rPr>
    </w:lvl>
    <w:lvl w:ilvl="7" w:tplc="04020003" w:tentative="1">
      <w:start w:val="1"/>
      <w:numFmt w:val="bullet"/>
      <w:lvlText w:val="o"/>
      <w:lvlJc w:val="left"/>
      <w:pPr>
        <w:ind w:left="5410" w:hanging="360"/>
      </w:pPr>
      <w:rPr>
        <w:rFonts w:ascii="Courier New" w:hAnsi="Courier New" w:cs="Courier New" w:hint="default"/>
      </w:rPr>
    </w:lvl>
    <w:lvl w:ilvl="8" w:tplc="04020005" w:tentative="1">
      <w:start w:val="1"/>
      <w:numFmt w:val="bullet"/>
      <w:lvlText w:val=""/>
      <w:lvlJc w:val="left"/>
      <w:pPr>
        <w:ind w:left="6130" w:hanging="360"/>
      </w:pPr>
      <w:rPr>
        <w:rFonts w:ascii="Wingdings" w:hAnsi="Wingdings" w:hint="default"/>
      </w:rPr>
    </w:lvl>
  </w:abstractNum>
  <w:abstractNum w:abstractNumId="12"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4A5E"/>
    <w:multiLevelType w:val="hybridMultilevel"/>
    <w:tmpl w:val="12D0F9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5"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6" w15:restartNumberingAfterBreak="0">
    <w:nsid w:val="7C25632A"/>
    <w:multiLevelType w:val="hybridMultilevel"/>
    <w:tmpl w:val="1BDC25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10"/>
  </w:num>
  <w:num w:numId="5">
    <w:abstractNumId w:val="8"/>
  </w:num>
  <w:num w:numId="6">
    <w:abstractNumId w:val="3"/>
  </w:num>
  <w:num w:numId="7">
    <w:abstractNumId w:val="4"/>
  </w:num>
  <w:num w:numId="8">
    <w:abstractNumId w:val="12"/>
  </w:num>
  <w:num w:numId="9">
    <w:abstractNumId w:val="5"/>
  </w:num>
  <w:num w:numId="10">
    <w:abstractNumId w:val="0"/>
  </w:num>
  <w:num w:numId="11">
    <w:abstractNumId w:val="1"/>
  </w:num>
  <w:num w:numId="12">
    <w:abstractNumId w:val="9"/>
  </w:num>
  <w:num w:numId="13">
    <w:abstractNumId w:val="7"/>
  </w:num>
  <w:num w:numId="14">
    <w:abstractNumId w:val="13"/>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84"/>
    <w:rsid w:val="00002C2B"/>
    <w:rsid w:val="00004B97"/>
    <w:rsid w:val="00015CD1"/>
    <w:rsid w:val="00020D2D"/>
    <w:rsid w:val="00024F19"/>
    <w:rsid w:val="00042D08"/>
    <w:rsid w:val="000529B6"/>
    <w:rsid w:val="0006030F"/>
    <w:rsid w:val="00064387"/>
    <w:rsid w:val="00064CC7"/>
    <w:rsid w:val="000705DC"/>
    <w:rsid w:val="00076E63"/>
    <w:rsid w:val="00083A26"/>
    <w:rsid w:val="00090069"/>
    <w:rsid w:val="00097219"/>
    <w:rsid w:val="000A1BC7"/>
    <w:rsid w:val="000A2E06"/>
    <w:rsid w:val="000C19EE"/>
    <w:rsid w:val="000D0D15"/>
    <w:rsid w:val="000D1FA0"/>
    <w:rsid w:val="000D41F2"/>
    <w:rsid w:val="000F1532"/>
    <w:rsid w:val="000F54B3"/>
    <w:rsid w:val="000F5DB5"/>
    <w:rsid w:val="001138D1"/>
    <w:rsid w:val="0014026D"/>
    <w:rsid w:val="0014689E"/>
    <w:rsid w:val="00153946"/>
    <w:rsid w:val="00160BD3"/>
    <w:rsid w:val="00181035"/>
    <w:rsid w:val="00187AD0"/>
    <w:rsid w:val="00187D2F"/>
    <w:rsid w:val="00193B68"/>
    <w:rsid w:val="001B7C20"/>
    <w:rsid w:val="001C22F6"/>
    <w:rsid w:val="001C27C1"/>
    <w:rsid w:val="001E44FB"/>
    <w:rsid w:val="001F05EA"/>
    <w:rsid w:val="001F7AF0"/>
    <w:rsid w:val="00213618"/>
    <w:rsid w:val="00213D64"/>
    <w:rsid w:val="002166E6"/>
    <w:rsid w:val="002268DC"/>
    <w:rsid w:val="00241FDB"/>
    <w:rsid w:val="00263DBC"/>
    <w:rsid w:val="00284CDA"/>
    <w:rsid w:val="0029176D"/>
    <w:rsid w:val="00291E82"/>
    <w:rsid w:val="00293F7A"/>
    <w:rsid w:val="002B03E4"/>
    <w:rsid w:val="002C7952"/>
    <w:rsid w:val="002D333C"/>
    <w:rsid w:val="002F6E62"/>
    <w:rsid w:val="002F7C12"/>
    <w:rsid w:val="003225E3"/>
    <w:rsid w:val="0032335A"/>
    <w:rsid w:val="003304A8"/>
    <w:rsid w:val="00345D54"/>
    <w:rsid w:val="0034619C"/>
    <w:rsid w:val="00347FA3"/>
    <w:rsid w:val="00357E2C"/>
    <w:rsid w:val="003612DF"/>
    <w:rsid w:val="00361942"/>
    <w:rsid w:val="003669F8"/>
    <w:rsid w:val="00385A2F"/>
    <w:rsid w:val="003B0A4E"/>
    <w:rsid w:val="003B60DC"/>
    <w:rsid w:val="003C0084"/>
    <w:rsid w:val="003C124D"/>
    <w:rsid w:val="003C5FAD"/>
    <w:rsid w:val="004108C9"/>
    <w:rsid w:val="00413D4E"/>
    <w:rsid w:val="00416D83"/>
    <w:rsid w:val="00426FD6"/>
    <w:rsid w:val="004A5578"/>
    <w:rsid w:val="004D53B5"/>
    <w:rsid w:val="004E4FD6"/>
    <w:rsid w:val="004F1C8E"/>
    <w:rsid w:val="00503482"/>
    <w:rsid w:val="00512211"/>
    <w:rsid w:val="00514C3F"/>
    <w:rsid w:val="005262D2"/>
    <w:rsid w:val="005305F7"/>
    <w:rsid w:val="00533F2B"/>
    <w:rsid w:val="00534B19"/>
    <w:rsid w:val="005640E5"/>
    <w:rsid w:val="005664A9"/>
    <w:rsid w:val="005804BB"/>
    <w:rsid w:val="005A31CB"/>
    <w:rsid w:val="005A3206"/>
    <w:rsid w:val="005B1109"/>
    <w:rsid w:val="005B6BF4"/>
    <w:rsid w:val="005C68B4"/>
    <w:rsid w:val="005E0842"/>
    <w:rsid w:val="005E4D88"/>
    <w:rsid w:val="0060089B"/>
    <w:rsid w:val="006025DC"/>
    <w:rsid w:val="00603EDA"/>
    <w:rsid w:val="006065DE"/>
    <w:rsid w:val="00613C21"/>
    <w:rsid w:val="006279BC"/>
    <w:rsid w:val="006368A2"/>
    <w:rsid w:val="00640355"/>
    <w:rsid w:val="0065001B"/>
    <w:rsid w:val="00651913"/>
    <w:rsid w:val="0066094D"/>
    <w:rsid w:val="00662986"/>
    <w:rsid w:val="00696E70"/>
    <w:rsid w:val="006B439A"/>
    <w:rsid w:val="006C5776"/>
    <w:rsid w:val="006D675D"/>
    <w:rsid w:val="006D7984"/>
    <w:rsid w:val="006F310B"/>
    <w:rsid w:val="006F6829"/>
    <w:rsid w:val="007026A1"/>
    <w:rsid w:val="007108A0"/>
    <w:rsid w:val="007135BD"/>
    <w:rsid w:val="00762757"/>
    <w:rsid w:val="00763ACB"/>
    <w:rsid w:val="0077617B"/>
    <w:rsid w:val="0078311F"/>
    <w:rsid w:val="00784799"/>
    <w:rsid w:val="0079010A"/>
    <w:rsid w:val="00794150"/>
    <w:rsid w:val="007A467C"/>
    <w:rsid w:val="007B0166"/>
    <w:rsid w:val="007B54D8"/>
    <w:rsid w:val="007C63CA"/>
    <w:rsid w:val="007D1778"/>
    <w:rsid w:val="007D2D7D"/>
    <w:rsid w:val="007E3D3F"/>
    <w:rsid w:val="007F72CA"/>
    <w:rsid w:val="0080240D"/>
    <w:rsid w:val="00813DE5"/>
    <w:rsid w:val="00876542"/>
    <w:rsid w:val="00885C37"/>
    <w:rsid w:val="00890396"/>
    <w:rsid w:val="008A2A56"/>
    <w:rsid w:val="008C5DE9"/>
    <w:rsid w:val="008D4006"/>
    <w:rsid w:val="00917BFC"/>
    <w:rsid w:val="009469D2"/>
    <w:rsid w:val="00946EB7"/>
    <w:rsid w:val="0095053D"/>
    <w:rsid w:val="00950A72"/>
    <w:rsid w:val="009512C1"/>
    <w:rsid w:val="009546F1"/>
    <w:rsid w:val="00970F77"/>
    <w:rsid w:val="00983C57"/>
    <w:rsid w:val="009B13A5"/>
    <w:rsid w:val="009D0F60"/>
    <w:rsid w:val="009D4DA5"/>
    <w:rsid w:val="009F1D17"/>
    <w:rsid w:val="009F2C71"/>
    <w:rsid w:val="00A00077"/>
    <w:rsid w:val="00A102CA"/>
    <w:rsid w:val="00A53583"/>
    <w:rsid w:val="00A55D39"/>
    <w:rsid w:val="00A57955"/>
    <w:rsid w:val="00A70F1B"/>
    <w:rsid w:val="00A84E64"/>
    <w:rsid w:val="00A90080"/>
    <w:rsid w:val="00AA3939"/>
    <w:rsid w:val="00AA724B"/>
    <w:rsid w:val="00AB32DE"/>
    <w:rsid w:val="00AB5FC9"/>
    <w:rsid w:val="00AC15E6"/>
    <w:rsid w:val="00AC4CF7"/>
    <w:rsid w:val="00AE7698"/>
    <w:rsid w:val="00AF7EA6"/>
    <w:rsid w:val="00B132C1"/>
    <w:rsid w:val="00B27B14"/>
    <w:rsid w:val="00B51128"/>
    <w:rsid w:val="00B56B12"/>
    <w:rsid w:val="00B7034F"/>
    <w:rsid w:val="00B722F7"/>
    <w:rsid w:val="00B7415B"/>
    <w:rsid w:val="00B93758"/>
    <w:rsid w:val="00B96345"/>
    <w:rsid w:val="00B964D9"/>
    <w:rsid w:val="00BD4D40"/>
    <w:rsid w:val="00BF3585"/>
    <w:rsid w:val="00C00F37"/>
    <w:rsid w:val="00C02F30"/>
    <w:rsid w:val="00C03DE6"/>
    <w:rsid w:val="00C130FC"/>
    <w:rsid w:val="00C17E31"/>
    <w:rsid w:val="00C26629"/>
    <w:rsid w:val="00C40BCF"/>
    <w:rsid w:val="00C42FB0"/>
    <w:rsid w:val="00C460F0"/>
    <w:rsid w:val="00C607BC"/>
    <w:rsid w:val="00C649EE"/>
    <w:rsid w:val="00C92ED3"/>
    <w:rsid w:val="00C93DF1"/>
    <w:rsid w:val="00CA52EE"/>
    <w:rsid w:val="00CA7944"/>
    <w:rsid w:val="00CD717E"/>
    <w:rsid w:val="00CF7EC2"/>
    <w:rsid w:val="00D127F3"/>
    <w:rsid w:val="00D171D7"/>
    <w:rsid w:val="00D50CDB"/>
    <w:rsid w:val="00D52B91"/>
    <w:rsid w:val="00D638A0"/>
    <w:rsid w:val="00D82CFD"/>
    <w:rsid w:val="00DA45B1"/>
    <w:rsid w:val="00DA4C52"/>
    <w:rsid w:val="00DB39A5"/>
    <w:rsid w:val="00DB5149"/>
    <w:rsid w:val="00DD42A0"/>
    <w:rsid w:val="00DD7F40"/>
    <w:rsid w:val="00DE5D14"/>
    <w:rsid w:val="00DF7645"/>
    <w:rsid w:val="00E16D01"/>
    <w:rsid w:val="00E1751F"/>
    <w:rsid w:val="00E2532E"/>
    <w:rsid w:val="00E44DE0"/>
    <w:rsid w:val="00E52C2C"/>
    <w:rsid w:val="00E653D3"/>
    <w:rsid w:val="00E65509"/>
    <w:rsid w:val="00E75B8E"/>
    <w:rsid w:val="00E9296D"/>
    <w:rsid w:val="00EB5464"/>
    <w:rsid w:val="00EB58E4"/>
    <w:rsid w:val="00EB7787"/>
    <w:rsid w:val="00EB7DBD"/>
    <w:rsid w:val="00EC262D"/>
    <w:rsid w:val="00ED51EF"/>
    <w:rsid w:val="00EF051B"/>
    <w:rsid w:val="00EF26DE"/>
    <w:rsid w:val="00F01FA6"/>
    <w:rsid w:val="00F04B4E"/>
    <w:rsid w:val="00F16E3F"/>
    <w:rsid w:val="00F25DE8"/>
    <w:rsid w:val="00F41D5F"/>
    <w:rsid w:val="00F4352B"/>
    <w:rsid w:val="00F51681"/>
    <w:rsid w:val="00F67CC7"/>
    <w:rsid w:val="00F77D32"/>
    <w:rsid w:val="00F8508C"/>
    <w:rsid w:val="00F87F7B"/>
    <w:rsid w:val="00F97AFA"/>
    <w:rsid w:val="00FA6DAF"/>
    <w:rsid w:val="00FA6E28"/>
    <w:rsid w:val="00FB3BF1"/>
    <w:rsid w:val="00FC4097"/>
    <w:rsid w:val="00FE21D8"/>
    <w:rsid w:val="00FE4EF7"/>
    <w:rsid w:val="00FE55C5"/>
    <w:rsid w:val="00FE7840"/>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2F02"/>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link w:val="ListParagraphChar"/>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A2F"/>
    <w:rPr>
      <w:color w:val="0563C1" w:themeColor="hyperlink"/>
      <w:u w:val="single"/>
    </w:rPr>
  </w:style>
  <w:style w:type="character" w:customStyle="1" w:styleId="UnresolvedMention1">
    <w:name w:val="Unresolved Mention1"/>
    <w:basedOn w:val="DefaultParagraphFont"/>
    <w:uiPriority w:val="99"/>
    <w:semiHidden/>
    <w:unhideWhenUsed/>
    <w:rsid w:val="00385A2F"/>
    <w:rPr>
      <w:color w:val="605E5C"/>
      <w:shd w:val="clear" w:color="auto" w:fill="E1DFDD"/>
    </w:rPr>
  </w:style>
  <w:style w:type="character" w:customStyle="1" w:styleId="ListParagraphChar">
    <w:name w:val="List Paragraph Char"/>
    <w:basedOn w:val="DefaultParagraphFont"/>
    <w:link w:val="ListParagraph"/>
    <w:uiPriority w:val="34"/>
    <w:rsid w:val="00603EDA"/>
  </w:style>
  <w:style w:type="character" w:styleId="FollowedHyperlink">
    <w:name w:val="FollowedHyperlink"/>
    <w:basedOn w:val="DefaultParagraphFont"/>
    <w:uiPriority w:val="99"/>
    <w:semiHidden/>
    <w:unhideWhenUsed/>
    <w:rsid w:val="00B51128"/>
    <w:rPr>
      <w:color w:val="954F72" w:themeColor="followedHyperlink"/>
      <w:u w:val="single"/>
    </w:rPr>
  </w:style>
  <w:style w:type="paragraph" w:styleId="Revision">
    <w:name w:val="Revision"/>
    <w:hidden/>
    <w:uiPriority w:val="99"/>
    <w:semiHidden/>
    <w:rsid w:val="00024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_penova@bfsa.bg"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hyperlink" Target="https://eur-lex.europa.eu/legal-content/EN/TXT/?uri=CELEX:52014SC027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_maneva@bfsa.bg" TargetMode="External"/><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control" Target="activeX/activeX16.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hyperlink" Target="https://www.mzh.government.bg/bg/politiki-i-programi/otcheti-i-dokladi/agraren-dokla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7EFD-FD23-4B8B-AD30-A40CFF13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7040</Words>
  <Characters>40132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Reneta Penova</cp:lastModifiedBy>
  <cp:revision>15</cp:revision>
  <cp:lastPrinted>2021-11-03T08:20:00Z</cp:lastPrinted>
  <dcterms:created xsi:type="dcterms:W3CDTF">2021-09-16T07:44:00Z</dcterms:created>
  <dcterms:modified xsi:type="dcterms:W3CDTF">2021-11-03T08:20:00Z</dcterms:modified>
</cp:coreProperties>
</file>