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1A" w:rsidRPr="003C3718" w:rsidRDefault="00F5491A" w:rsidP="003D2931">
      <w:pPr>
        <w:widowControl w:val="0"/>
        <w:tabs>
          <w:tab w:val="left" w:pos="4780"/>
        </w:tabs>
        <w:autoSpaceDE w:val="0"/>
        <w:autoSpaceDN w:val="0"/>
        <w:adjustRightInd w:val="0"/>
        <w:spacing w:line="360" w:lineRule="auto"/>
        <w:rPr>
          <w:rFonts w:ascii="Verdana" w:hAnsi="Verdana" w:cs="Verdana"/>
          <w:b/>
          <w:caps/>
          <w:spacing w:val="3"/>
          <w:sz w:val="18"/>
          <w:szCs w:val="20"/>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F20EFF" w:rsidRPr="0047618A" w:rsidTr="00F27427">
        <w:trPr>
          <w:trHeight w:val="958"/>
        </w:trPr>
        <w:tc>
          <w:tcPr>
            <w:tcW w:w="15650" w:type="dxa"/>
            <w:shd w:val="clear" w:color="auto" w:fill="BDD6EE"/>
          </w:tcPr>
          <w:p w:rsidR="00F20EFF" w:rsidRPr="0047618A" w:rsidRDefault="00F20EFF" w:rsidP="00F27427">
            <w:pPr>
              <w:tabs>
                <w:tab w:val="left" w:pos="2190"/>
              </w:tabs>
              <w:spacing w:before="120" w:after="120"/>
              <w:ind w:left="283" w:right="283"/>
              <w:jc w:val="center"/>
              <w:rPr>
                <w:rFonts w:ascii="Verdana" w:hAnsi="Verdana"/>
                <w:b/>
                <w:spacing w:val="70"/>
              </w:rPr>
            </w:pPr>
            <w:r w:rsidRPr="0047618A">
              <w:rPr>
                <w:rFonts w:ascii="Verdana" w:hAnsi="Verdana"/>
                <w:b/>
                <w:spacing w:val="70"/>
              </w:rPr>
              <w:t>СПРАВКА</w:t>
            </w:r>
          </w:p>
          <w:p w:rsidR="00F20EFF" w:rsidRPr="0047618A" w:rsidRDefault="00F20EFF" w:rsidP="00F27427">
            <w:pPr>
              <w:tabs>
                <w:tab w:val="left" w:pos="2190"/>
              </w:tabs>
              <w:spacing w:before="120" w:after="120" w:line="360" w:lineRule="auto"/>
              <w:ind w:left="283" w:right="283"/>
              <w:jc w:val="center"/>
              <w:rPr>
                <w:rFonts w:ascii="Verdana" w:hAnsi="Verdana"/>
                <w:b/>
                <w:sz w:val="20"/>
                <w:szCs w:val="20"/>
              </w:rPr>
            </w:pPr>
            <w:r w:rsidRPr="0047618A">
              <w:rPr>
                <w:rFonts w:ascii="Verdana" w:hAnsi="Verdana"/>
                <w:b/>
                <w:sz w:val="20"/>
                <w:szCs w:val="20"/>
              </w:rPr>
              <w:t>ЗА ОТРАЗЯВАНЕ НА ПОСТЪПИЛИТЕ ПРЕДЛОЖЕНИЯ И СТАНОВИЩА ОТ ОБЩЕСТВЕНИТЕ КОНСУЛТАЦИИ ПО ПРОЕКТА НА ПОСТАНОВЛЕНИЕ НА МИНИСТЕРСКИЯ СЪВЕТ ЗА ПРИЕМАНЕ НА НАРЕДБА ЗА ИЗИСКВАНИЯТА КЪМ КАКАОТО И ШОКОЛАДОВИТЕ ПРОДУКТИ</w:t>
            </w:r>
          </w:p>
        </w:tc>
      </w:tr>
    </w:tbl>
    <w:p w:rsidR="00F20EFF" w:rsidRPr="0047618A" w:rsidRDefault="00F20EFF">
      <w:pPr>
        <w:rPr>
          <w:rFonts w:ascii="Verdana" w:hAnsi="Verdana"/>
          <w:sz w:val="20"/>
          <w:szCs w:val="20"/>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622"/>
        <w:gridCol w:w="2552"/>
        <w:gridCol w:w="5670"/>
        <w:gridCol w:w="1842"/>
        <w:gridCol w:w="4964"/>
      </w:tblGrid>
      <w:tr w:rsidR="00E220AD" w:rsidRPr="0047618A" w:rsidTr="003D2931">
        <w:trPr>
          <w:tblHeader/>
        </w:trPr>
        <w:tc>
          <w:tcPr>
            <w:tcW w:w="622" w:type="dxa"/>
            <w:tcBorders>
              <w:bottom w:val="single" w:sz="18" w:space="0" w:color="2E74B5"/>
            </w:tcBorders>
            <w:shd w:val="clear" w:color="auto" w:fill="DEEAF6"/>
            <w:vAlign w:val="center"/>
          </w:tcPr>
          <w:p w:rsidR="00E220AD" w:rsidRPr="0047618A" w:rsidRDefault="00E220AD" w:rsidP="00E220AD">
            <w:pPr>
              <w:tabs>
                <w:tab w:val="left" w:pos="192"/>
              </w:tabs>
              <w:jc w:val="center"/>
              <w:rPr>
                <w:rFonts w:ascii="Verdana" w:hAnsi="Verdana"/>
                <w:b/>
                <w:sz w:val="18"/>
                <w:szCs w:val="18"/>
              </w:rPr>
            </w:pPr>
            <w:r w:rsidRPr="0047618A">
              <w:rPr>
                <w:rFonts w:ascii="Verdana" w:hAnsi="Verdana"/>
                <w:b/>
                <w:sz w:val="18"/>
                <w:szCs w:val="18"/>
              </w:rPr>
              <w:t>№</w:t>
            </w:r>
          </w:p>
        </w:tc>
        <w:tc>
          <w:tcPr>
            <w:tcW w:w="2552" w:type="dxa"/>
            <w:shd w:val="clear" w:color="auto" w:fill="DEEAF6"/>
            <w:vAlign w:val="center"/>
          </w:tcPr>
          <w:p w:rsidR="00E220AD" w:rsidRPr="0047618A" w:rsidRDefault="00E220AD" w:rsidP="00B330BC">
            <w:pPr>
              <w:spacing w:before="60"/>
              <w:jc w:val="center"/>
              <w:rPr>
                <w:rFonts w:ascii="Verdana" w:hAnsi="Verdana"/>
                <w:b/>
                <w:sz w:val="18"/>
                <w:szCs w:val="18"/>
              </w:rPr>
            </w:pPr>
            <w:r w:rsidRPr="0047618A">
              <w:rPr>
                <w:rFonts w:ascii="Verdana" w:hAnsi="Verdana"/>
                <w:b/>
                <w:sz w:val="18"/>
                <w:szCs w:val="18"/>
              </w:rPr>
              <w:t>Организация/</w:t>
            </w:r>
            <w:r w:rsidR="00AE686B" w:rsidRPr="0047618A">
              <w:rPr>
                <w:rFonts w:ascii="Verdana" w:hAnsi="Verdana"/>
                <w:b/>
                <w:sz w:val="18"/>
                <w:szCs w:val="18"/>
              </w:rPr>
              <w:br/>
            </w:r>
            <w:r w:rsidRPr="0047618A">
              <w:rPr>
                <w:rFonts w:ascii="Verdana" w:hAnsi="Verdana"/>
                <w:b/>
                <w:sz w:val="18"/>
                <w:szCs w:val="18"/>
              </w:rPr>
              <w:t>потребител</w:t>
            </w:r>
          </w:p>
          <w:p w:rsidR="005424B9" w:rsidRPr="0047618A" w:rsidRDefault="00B330BC" w:rsidP="00B330BC">
            <w:pPr>
              <w:spacing w:after="40"/>
              <w:jc w:val="center"/>
              <w:rPr>
                <w:rFonts w:ascii="Verdana" w:hAnsi="Verdana"/>
                <w:b/>
                <w:sz w:val="14"/>
                <w:szCs w:val="14"/>
              </w:rPr>
            </w:pPr>
            <w:r w:rsidRPr="0047618A">
              <w:rPr>
                <w:rFonts w:ascii="Verdana" w:hAnsi="Verdana"/>
                <w:b/>
                <w:sz w:val="14"/>
                <w:szCs w:val="14"/>
              </w:rPr>
              <w:t>(</w:t>
            </w:r>
            <w:r w:rsidR="005424B9" w:rsidRPr="0047618A">
              <w:rPr>
                <w:rFonts w:ascii="Verdana" w:hAnsi="Verdana"/>
                <w:b/>
                <w:sz w:val="14"/>
                <w:szCs w:val="14"/>
              </w:rPr>
              <w:t>вкл. начина на получаване на предложението</w:t>
            </w:r>
            <w:r w:rsidRPr="0047618A">
              <w:rPr>
                <w:rFonts w:ascii="Verdana" w:hAnsi="Verdana"/>
                <w:b/>
                <w:sz w:val="14"/>
                <w:szCs w:val="14"/>
              </w:rPr>
              <w:t>)</w:t>
            </w:r>
          </w:p>
        </w:tc>
        <w:tc>
          <w:tcPr>
            <w:tcW w:w="5670" w:type="dxa"/>
            <w:tcBorders>
              <w:bottom w:val="single" w:sz="18" w:space="0" w:color="2E74B5"/>
            </w:tcBorders>
            <w:shd w:val="clear" w:color="auto" w:fill="DEEAF6"/>
            <w:vAlign w:val="center"/>
          </w:tcPr>
          <w:p w:rsidR="00E220AD" w:rsidRPr="0047618A" w:rsidRDefault="00494B17" w:rsidP="00494B17">
            <w:pPr>
              <w:jc w:val="center"/>
              <w:rPr>
                <w:rFonts w:ascii="Verdana" w:hAnsi="Verdana"/>
                <w:b/>
                <w:sz w:val="18"/>
                <w:szCs w:val="18"/>
              </w:rPr>
            </w:pPr>
            <w:r w:rsidRPr="0047618A">
              <w:rPr>
                <w:rFonts w:ascii="Verdana" w:hAnsi="Verdana"/>
                <w:b/>
                <w:sz w:val="18"/>
                <w:szCs w:val="18"/>
              </w:rPr>
              <w:t>Предложения и становища</w:t>
            </w:r>
          </w:p>
        </w:tc>
        <w:tc>
          <w:tcPr>
            <w:tcW w:w="1842" w:type="dxa"/>
            <w:tcBorders>
              <w:bottom w:val="single" w:sz="18" w:space="0" w:color="2E74B5"/>
            </w:tcBorders>
            <w:shd w:val="clear" w:color="auto" w:fill="DEEAF6"/>
            <w:vAlign w:val="center"/>
          </w:tcPr>
          <w:p w:rsidR="00E220AD" w:rsidRPr="0047618A" w:rsidRDefault="00E220AD" w:rsidP="00E220AD">
            <w:pPr>
              <w:jc w:val="center"/>
              <w:rPr>
                <w:rFonts w:ascii="Verdana" w:hAnsi="Verdana"/>
                <w:b/>
                <w:sz w:val="18"/>
                <w:szCs w:val="18"/>
              </w:rPr>
            </w:pPr>
            <w:r w:rsidRPr="0047618A">
              <w:rPr>
                <w:rFonts w:ascii="Verdana" w:hAnsi="Verdana"/>
                <w:b/>
                <w:sz w:val="18"/>
                <w:szCs w:val="18"/>
              </w:rPr>
              <w:t>Приети/</w:t>
            </w:r>
          </w:p>
          <w:p w:rsidR="00E220AD" w:rsidRPr="0047618A" w:rsidRDefault="00E220AD" w:rsidP="00E220AD">
            <w:pPr>
              <w:jc w:val="center"/>
              <w:rPr>
                <w:rFonts w:ascii="Verdana" w:hAnsi="Verdana"/>
                <w:b/>
                <w:sz w:val="18"/>
                <w:szCs w:val="18"/>
              </w:rPr>
            </w:pPr>
            <w:r w:rsidRPr="0047618A">
              <w:rPr>
                <w:rFonts w:ascii="Verdana" w:hAnsi="Verdana"/>
                <w:b/>
                <w:sz w:val="18"/>
                <w:szCs w:val="18"/>
              </w:rPr>
              <w:t>неприети</w:t>
            </w:r>
          </w:p>
        </w:tc>
        <w:tc>
          <w:tcPr>
            <w:tcW w:w="4964" w:type="dxa"/>
            <w:tcBorders>
              <w:bottom w:val="single" w:sz="18" w:space="0" w:color="2E74B5"/>
            </w:tcBorders>
            <w:shd w:val="clear" w:color="auto" w:fill="DEEAF6"/>
            <w:vAlign w:val="center"/>
          </w:tcPr>
          <w:p w:rsidR="00E220AD" w:rsidRPr="0047618A" w:rsidRDefault="00E220AD" w:rsidP="00E220AD">
            <w:pPr>
              <w:jc w:val="center"/>
              <w:rPr>
                <w:rFonts w:ascii="Verdana" w:hAnsi="Verdana"/>
                <w:sz w:val="18"/>
                <w:szCs w:val="18"/>
              </w:rPr>
            </w:pPr>
            <w:r w:rsidRPr="0047618A">
              <w:rPr>
                <w:rFonts w:ascii="Verdana" w:hAnsi="Verdana"/>
                <w:b/>
                <w:sz w:val="18"/>
                <w:szCs w:val="18"/>
              </w:rPr>
              <w:t>Мотиви</w:t>
            </w:r>
          </w:p>
        </w:tc>
      </w:tr>
      <w:tr w:rsidR="00486A02" w:rsidRPr="0047618A" w:rsidTr="003D2931">
        <w:tc>
          <w:tcPr>
            <w:tcW w:w="622" w:type="dxa"/>
            <w:vMerge w:val="restart"/>
            <w:tcBorders>
              <w:bottom w:val="nil"/>
            </w:tcBorders>
            <w:shd w:val="clear" w:color="auto" w:fill="auto"/>
          </w:tcPr>
          <w:p w:rsidR="00486A02" w:rsidRPr="0047618A" w:rsidRDefault="00486A02" w:rsidP="00C17178">
            <w:pPr>
              <w:pStyle w:val="ListParagraph"/>
              <w:numPr>
                <w:ilvl w:val="0"/>
                <w:numId w:val="6"/>
              </w:numPr>
              <w:tabs>
                <w:tab w:val="left" w:pos="192"/>
              </w:tabs>
              <w:spacing w:before="60" w:after="20"/>
              <w:jc w:val="center"/>
              <w:rPr>
                <w:rFonts w:ascii="Verdana" w:hAnsi="Verdana"/>
                <w:b/>
                <w:sz w:val="20"/>
                <w:szCs w:val="20"/>
              </w:rPr>
            </w:pPr>
          </w:p>
        </w:tc>
        <w:tc>
          <w:tcPr>
            <w:tcW w:w="2552" w:type="dxa"/>
            <w:vMerge w:val="restart"/>
            <w:tcBorders>
              <w:bottom w:val="nil"/>
              <w:right w:val="single" w:sz="12" w:space="0" w:color="4F81BD" w:themeColor="accent1"/>
            </w:tcBorders>
            <w:shd w:val="clear" w:color="auto" w:fill="auto"/>
          </w:tcPr>
          <w:p w:rsidR="00486A02" w:rsidRPr="0047618A" w:rsidRDefault="00F20EFF" w:rsidP="00110680">
            <w:pPr>
              <w:spacing w:before="60" w:after="20"/>
              <w:rPr>
                <w:rFonts w:ascii="Verdana" w:hAnsi="Verdana"/>
                <w:sz w:val="20"/>
                <w:szCs w:val="20"/>
              </w:rPr>
            </w:pPr>
            <w:r w:rsidRPr="0047618A">
              <w:rPr>
                <w:rFonts w:ascii="Tahoma" w:hAnsi="Tahoma" w:cs="Tahoma"/>
                <w:sz w:val="21"/>
                <w:szCs w:val="21"/>
              </w:rPr>
              <w:t>Българска национална асоциация Активни потребители</w:t>
            </w:r>
            <w:r w:rsidR="00334525" w:rsidRPr="0047618A">
              <w:rPr>
                <w:rFonts w:ascii="Tahoma" w:hAnsi="Tahoma" w:cs="Tahoma"/>
                <w:sz w:val="21"/>
                <w:szCs w:val="21"/>
              </w:rPr>
              <w:t xml:space="preserve"> </w:t>
            </w:r>
            <w:r w:rsidR="00334525" w:rsidRPr="0047618A">
              <w:rPr>
                <w:rFonts w:ascii="Verdana" w:hAnsi="Verdana"/>
                <w:sz w:val="20"/>
                <w:szCs w:val="20"/>
              </w:rPr>
              <w:t xml:space="preserve">– постъпило по електронен път на </w:t>
            </w:r>
            <w:r w:rsidRPr="0047618A">
              <w:rPr>
                <w:rFonts w:ascii="Verdana" w:hAnsi="Verdana"/>
                <w:sz w:val="20"/>
                <w:szCs w:val="20"/>
              </w:rPr>
              <w:t>29.09</w:t>
            </w:r>
            <w:r w:rsidR="00334525" w:rsidRPr="0047618A">
              <w:rPr>
                <w:rFonts w:ascii="Verdana" w:hAnsi="Verdana"/>
                <w:sz w:val="20"/>
                <w:szCs w:val="20"/>
              </w:rPr>
              <w:t>.2021 г.</w:t>
            </w:r>
            <w:r w:rsidR="00F37946" w:rsidRPr="0047618A">
              <w:rPr>
                <w:rFonts w:ascii="Verdana" w:hAnsi="Verdana"/>
                <w:sz w:val="20"/>
                <w:szCs w:val="20"/>
              </w:rPr>
              <w:t xml:space="preserve"> и регистрирано в МЗХГ </w:t>
            </w:r>
            <w:r w:rsidR="00110680" w:rsidRPr="0047618A">
              <w:rPr>
                <w:rFonts w:ascii="Verdana" w:hAnsi="Verdana"/>
                <w:sz w:val="20"/>
                <w:szCs w:val="20"/>
              </w:rPr>
              <w:t>№</w:t>
            </w:r>
            <w:r w:rsidR="00F37946" w:rsidRPr="0047618A">
              <w:rPr>
                <w:rFonts w:ascii="Verdana" w:hAnsi="Verdana"/>
                <w:sz w:val="20"/>
                <w:szCs w:val="20"/>
              </w:rPr>
              <w:t xml:space="preserve"> </w:t>
            </w:r>
            <w:r w:rsidR="00487378" w:rsidRPr="0047618A">
              <w:rPr>
                <w:rFonts w:ascii="Verdana" w:hAnsi="Verdana"/>
                <w:sz w:val="20"/>
                <w:szCs w:val="20"/>
              </w:rPr>
              <w:t>15-387</w:t>
            </w:r>
            <w:r w:rsidR="00F37946" w:rsidRPr="0047618A">
              <w:rPr>
                <w:rFonts w:ascii="Verdana" w:hAnsi="Verdana"/>
                <w:sz w:val="20"/>
                <w:szCs w:val="20"/>
              </w:rPr>
              <w:t xml:space="preserve"> от </w:t>
            </w:r>
            <w:r w:rsidR="00487378" w:rsidRPr="0047618A">
              <w:rPr>
                <w:rFonts w:ascii="Verdana" w:hAnsi="Verdana"/>
                <w:sz w:val="20"/>
                <w:szCs w:val="20"/>
              </w:rPr>
              <w:t>30.09</w:t>
            </w:r>
            <w:r w:rsidR="00F37946" w:rsidRPr="0047618A">
              <w:rPr>
                <w:rFonts w:ascii="Verdana" w:hAnsi="Verdana"/>
                <w:sz w:val="20"/>
                <w:szCs w:val="20"/>
              </w:rPr>
              <w:t>.2</w:t>
            </w:r>
            <w:r w:rsidR="00487378" w:rsidRPr="0047618A">
              <w:rPr>
                <w:rFonts w:ascii="Verdana" w:hAnsi="Verdana"/>
                <w:sz w:val="20"/>
                <w:szCs w:val="20"/>
              </w:rPr>
              <w:t>0</w:t>
            </w:r>
            <w:r w:rsidR="00F37946" w:rsidRPr="0047618A">
              <w:rPr>
                <w:rFonts w:ascii="Verdana" w:hAnsi="Verdana"/>
                <w:sz w:val="20"/>
                <w:szCs w:val="20"/>
              </w:rPr>
              <w:t>2</w:t>
            </w:r>
            <w:r w:rsidR="00487378" w:rsidRPr="0047618A">
              <w:rPr>
                <w:rFonts w:ascii="Verdana" w:hAnsi="Verdana"/>
                <w:sz w:val="20"/>
                <w:szCs w:val="20"/>
              </w:rPr>
              <w:t>1</w:t>
            </w:r>
            <w:r w:rsidR="00F37946" w:rsidRPr="0047618A">
              <w:rPr>
                <w:rFonts w:ascii="Verdana" w:hAnsi="Verdana"/>
                <w:sz w:val="20"/>
                <w:szCs w:val="20"/>
              </w:rPr>
              <w:t xml:space="preserve"> г.</w:t>
            </w:r>
          </w:p>
        </w:tc>
        <w:tc>
          <w:tcPr>
            <w:tcW w:w="5670" w:type="dxa"/>
            <w:tcBorders>
              <w:left w:val="single" w:sz="12" w:space="0" w:color="4F81BD" w:themeColor="accent1"/>
              <w:bottom w:val="nil"/>
            </w:tcBorders>
            <w:shd w:val="clear" w:color="auto" w:fill="auto"/>
          </w:tcPr>
          <w:p w:rsidR="00486A02" w:rsidRPr="0047618A" w:rsidRDefault="00D17DC0" w:rsidP="00C17178">
            <w:pPr>
              <w:spacing w:before="60" w:after="20"/>
              <w:jc w:val="both"/>
              <w:rPr>
                <w:rFonts w:ascii="Verdana" w:hAnsi="Verdana"/>
                <w:sz w:val="20"/>
                <w:szCs w:val="20"/>
              </w:rPr>
            </w:pPr>
            <w:r w:rsidRPr="0047618A">
              <w:rPr>
                <w:rFonts w:ascii="Verdana" w:hAnsi="Verdana"/>
                <w:sz w:val="20"/>
                <w:szCs w:val="20"/>
              </w:rPr>
              <w:t>Във връзка с представен за обсъждане проект на Постановление на Министерския съвет за приемане на Наредба за изискванията към какаото и шоколадовите продукти и съпътстващите документи, изразяваме следното становище.</w:t>
            </w:r>
          </w:p>
        </w:tc>
        <w:tc>
          <w:tcPr>
            <w:tcW w:w="1842" w:type="dxa"/>
            <w:tcBorders>
              <w:bottom w:val="nil"/>
            </w:tcBorders>
            <w:shd w:val="clear" w:color="auto" w:fill="auto"/>
          </w:tcPr>
          <w:p w:rsidR="00486A02" w:rsidRPr="0047618A" w:rsidRDefault="00486A02" w:rsidP="00C17178">
            <w:pPr>
              <w:spacing w:before="60" w:after="20"/>
              <w:rPr>
                <w:rFonts w:ascii="Verdana" w:hAnsi="Verdana"/>
                <w:sz w:val="20"/>
                <w:szCs w:val="20"/>
              </w:rPr>
            </w:pPr>
          </w:p>
        </w:tc>
        <w:tc>
          <w:tcPr>
            <w:tcW w:w="4964" w:type="dxa"/>
            <w:tcBorders>
              <w:bottom w:val="nil"/>
            </w:tcBorders>
            <w:shd w:val="clear" w:color="auto" w:fill="auto"/>
          </w:tcPr>
          <w:p w:rsidR="00486A02" w:rsidRPr="0047618A" w:rsidRDefault="00486A02" w:rsidP="00C17178">
            <w:pPr>
              <w:spacing w:before="60" w:after="20"/>
              <w:rPr>
                <w:rFonts w:ascii="Verdana" w:hAnsi="Verdana"/>
                <w:sz w:val="20"/>
                <w:szCs w:val="20"/>
              </w:rPr>
            </w:pPr>
          </w:p>
        </w:tc>
      </w:tr>
      <w:tr w:rsidR="00497BC9"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497BC9" w:rsidRPr="0047618A" w:rsidRDefault="00497BC9" w:rsidP="00C17178">
            <w:pPr>
              <w:pStyle w:val="ListParagraph"/>
              <w:numPr>
                <w:ilvl w:val="0"/>
                <w:numId w:val="6"/>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497BC9" w:rsidRPr="0047618A" w:rsidRDefault="00497BC9" w:rsidP="00C1717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497BC9" w:rsidRPr="0047618A" w:rsidRDefault="00497BC9" w:rsidP="00C17178">
            <w:pPr>
              <w:spacing w:before="60" w:after="20"/>
              <w:jc w:val="both"/>
              <w:rPr>
                <w:rFonts w:ascii="Verdana" w:hAnsi="Verdana"/>
                <w:sz w:val="20"/>
                <w:szCs w:val="20"/>
              </w:rPr>
            </w:pPr>
            <w:r w:rsidRPr="0047618A">
              <w:rPr>
                <w:rFonts w:ascii="Verdana" w:hAnsi="Verdana"/>
                <w:sz w:val="20"/>
                <w:szCs w:val="20"/>
              </w:rPr>
              <w:t>Като представителна организация на българските потребители възприемаме положително представения проект на Постановление на Министерския съвет за приемане на Наредба за изискванията към какаото и шоколадовите продукти и съответни документи, с който се цели определяне на ясни изисквания и критерии към наименованията, характеристиките, състава и етикетирането на какаото и шоколадовите продукти. Споделяме разбирането, че проектът е в съответствие с приетия през юни 2020 г. Закон за храните, както и, че с него се създават условия за прилагане на актуални европейски актове, в т.ч. на Регламент (ЕС) № 1169/2011 на Европейския парламент и на Съвета от 25 октомври 2011 г. за предоставянето на информация за храните на потребителите.</w:t>
            </w:r>
          </w:p>
        </w:tc>
        <w:tc>
          <w:tcPr>
            <w:tcW w:w="1842"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c>
          <w:tcPr>
            <w:tcW w:w="4964"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r>
      <w:tr w:rsidR="00497BC9"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497BC9" w:rsidRPr="0047618A" w:rsidRDefault="00497BC9" w:rsidP="00C17178">
            <w:pPr>
              <w:pStyle w:val="ListParagraph"/>
              <w:numPr>
                <w:ilvl w:val="0"/>
                <w:numId w:val="6"/>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497BC9" w:rsidRPr="0047618A" w:rsidRDefault="00497BC9" w:rsidP="00C1717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497BC9" w:rsidRPr="0047618A" w:rsidRDefault="00497BC9" w:rsidP="00C17178">
            <w:pPr>
              <w:spacing w:before="60" w:after="20"/>
              <w:jc w:val="both"/>
              <w:rPr>
                <w:rFonts w:ascii="Verdana" w:hAnsi="Verdana"/>
                <w:sz w:val="20"/>
                <w:szCs w:val="20"/>
              </w:rPr>
            </w:pPr>
            <w:r w:rsidRPr="0047618A">
              <w:rPr>
                <w:rFonts w:ascii="Verdana" w:hAnsi="Verdana"/>
                <w:sz w:val="20"/>
                <w:szCs w:val="20"/>
              </w:rPr>
              <w:t>Едновременно с това, изразяваме следните бележки.</w:t>
            </w:r>
          </w:p>
        </w:tc>
        <w:tc>
          <w:tcPr>
            <w:tcW w:w="1842"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c>
          <w:tcPr>
            <w:tcW w:w="4964"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r>
      <w:tr w:rsidR="00497BC9"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497BC9" w:rsidRPr="0047618A" w:rsidRDefault="00497BC9" w:rsidP="00C17178">
            <w:pPr>
              <w:pStyle w:val="ListParagraph"/>
              <w:numPr>
                <w:ilvl w:val="0"/>
                <w:numId w:val="6"/>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497BC9" w:rsidRPr="0047618A" w:rsidRDefault="00497BC9" w:rsidP="00C1717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497BC9" w:rsidRPr="0047618A" w:rsidRDefault="00497BC9" w:rsidP="00C17178">
            <w:pPr>
              <w:spacing w:before="60" w:after="20"/>
              <w:jc w:val="both"/>
              <w:rPr>
                <w:rFonts w:ascii="Verdana" w:hAnsi="Verdana"/>
                <w:sz w:val="20"/>
                <w:szCs w:val="20"/>
              </w:rPr>
            </w:pPr>
            <w:r w:rsidRPr="0047618A">
              <w:rPr>
                <w:rFonts w:ascii="Verdana" w:hAnsi="Verdana"/>
                <w:sz w:val="20"/>
                <w:szCs w:val="20"/>
              </w:rPr>
              <w:t xml:space="preserve">1. Относно въведени в проекта понятия, които могат да внесат неяснота и объркване при </w:t>
            </w:r>
            <w:r w:rsidRPr="0047618A">
              <w:rPr>
                <w:rFonts w:ascii="Verdana" w:hAnsi="Verdana"/>
                <w:sz w:val="20"/>
                <w:szCs w:val="20"/>
              </w:rPr>
              <w:lastRenderedPageBreak/>
              <w:t>прилагане на изискванията към характеристиките и състава на какаото и шоколадовите продукти.</w:t>
            </w:r>
          </w:p>
        </w:tc>
        <w:tc>
          <w:tcPr>
            <w:tcW w:w="1842"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c>
          <w:tcPr>
            <w:tcW w:w="4964"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r>
      <w:tr w:rsidR="00497BC9"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497BC9" w:rsidRPr="0047618A" w:rsidRDefault="00497BC9" w:rsidP="00C17178">
            <w:pPr>
              <w:pStyle w:val="ListParagraph"/>
              <w:numPr>
                <w:ilvl w:val="0"/>
                <w:numId w:val="6"/>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497BC9" w:rsidRPr="0047618A" w:rsidRDefault="00497BC9" w:rsidP="00C1717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497BC9" w:rsidRPr="0047618A" w:rsidRDefault="00497BC9" w:rsidP="00C17178">
            <w:pPr>
              <w:spacing w:before="60" w:after="20"/>
              <w:jc w:val="both"/>
              <w:rPr>
                <w:rFonts w:ascii="Verdana" w:hAnsi="Verdana"/>
                <w:sz w:val="20"/>
                <w:szCs w:val="20"/>
              </w:rPr>
            </w:pPr>
            <w:r w:rsidRPr="0047618A">
              <w:rPr>
                <w:rFonts w:ascii="Verdana" w:hAnsi="Verdana"/>
                <w:sz w:val="20"/>
                <w:szCs w:val="20"/>
              </w:rPr>
              <w:t>Директива 2000/36/ЕО относно какаовите и шоколадовите продукти, предназначени за консумация от човека, която е в основата на разглеждания проект на нормативен акт, се използват ясно дефинирани понятия като какао, какао на прах, сухо какаово вещество. Включени в съответните определения на шоколадовите продукти, те недвусмислено определят състава им.</w:t>
            </w:r>
          </w:p>
        </w:tc>
        <w:tc>
          <w:tcPr>
            <w:tcW w:w="1842"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c>
          <w:tcPr>
            <w:tcW w:w="4964"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r>
      <w:tr w:rsidR="00497BC9"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497BC9" w:rsidRPr="0047618A" w:rsidRDefault="00497BC9" w:rsidP="00C17178">
            <w:pPr>
              <w:pStyle w:val="ListParagraph"/>
              <w:numPr>
                <w:ilvl w:val="0"/>
                <w:numId w:val="6"/>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497BC9" w:rsidRPr="0047618A" w:rsidRDefault="00497BC9" w:rsidP="00C1717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497BC9" w:rsidRPr="0047618A" w:rsidRDefault="00497BC9" w:rsidP="00C17178">
            <w:pPr>
              <w:spacing w:before="60" w:after="20"/>
              <w:jc w:val="both"/>
              <w:rPr>
                <w:rFonts w:ascii="Verdana" w:hAnsi="Verdana"/>
                <w:sz w:val="20"/>
                <w:szCs w:val="20"/>
              </w:rPr>
            </w:pPr>
            <w:r w:rsidRPr="0047618A">
              <w:rPr>
                <w:rFonts w:ascii="Verdana" w:hAnsi="Verdana"/>
                <w:sz w:val="20"/>
                <w:szCs w:val="20"/>
              </w:rPr>
              <w:t>Прави впечатление, че в проекта па Наредба вносителите заменят понятието „сухо какаово вещество” с понятието „какаова маса”. И макар в т. 2 от §1 на Допълнителните разпоредби да е дадена дефиниция на понятието „какаова маса”, обстоятелството, че в проекта се използват и двете понятия: в чл. 3 – „сухо вещество”, а в чл. 4 – „суха какаова маса”, вече предпоставя двусмислие и даже объркване за ясно разбиране на състава и характеристиките на съответните шоколадови продукти.</w:t>
            </w:r>
          </w:p>
        </w:tc>
        <w:tc>
          <w:tcPr>
            <w:tcW w:w="1842"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c>
          <w:tcPr>
            <w:tcW w:w="4964"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r>
      <w:tr w:rsidR="00497BC9"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497BC9" w:rsidRPr="0047618A" w:rsidRDefault="00497BC9" w:rsidP="00C17178">
            <w:pPr>
              <w:pStyle w:val="ListParagraph"/>
              <w:numPr>
                <w:ilvl w:val="0"/>
                <w:numId w:val="6"/>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497BC9" w:rsidRPr="0047618A" w:rsidRDefault="00497BC9" w:rsidP="00C1717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497BC9" w:rsidRPr="0047618A" w:rsidRDefault="00497BC9" w:rsidP="00C17178">
            <w:pPr>
              <w:spacing w:before="60" w:after="20"/>
              <w:jc w:val="both"/>
              <w:rPr>
                <w:rFonts w:ascii="Verdana" w:hAnsi="Verdana"/>
                <w:sz w:val="20"/>
                <w:szCs w:val="20"/>
              </w:rPr>
            </w:pPr>
            <w:r w:rsidRPr="0047618A">
              <w:rPr>
                <w:rFonts w:ascii="Verdana" w:hAnsi="Verdana"/>
                <w:sz w:val="20"/>
                <w:szCs w:val="20"/>
              </w:rPr>
              <w:t xml:space="preserve">Считаме, че вносителите следва да се придържат към използваните от Директивата понятия и към прилагане на еднакъв подход на националното и европейското законодателство при дефиниране на състава и основните характеристики на специфичните хранителни продукти, каквито са какаото и шоколадовите продукти. В противен случай се създават условия за неясна регламентация, многозначно тълкуване и за отваряне на възможности производителите да заобикалят правилата, установени в европейското законодателство. Това, естествено, не е в интерес на българските потребители, които очакват да купуват и консумират висококачествени продукти </w:t>
            </w:r>
            <w:r w:rsidRPr="0047618A">
              <w:rPr>
                <w:rFonts w:ascii="Verdana" w:hAnsi="Verdana"/>
                <w:sz w:val="20"/>
                <w:szCs w:val="20"/>
              </w:rPr>
              <w:lastRenderedPageBreak/>
              <w:t>на европейско ниво.</w:t>
            </w:r>
          </w:p>
        </w:tc>
        <w:tc>
          <w:tcPr>
            <w:tcW w:w="1842" w:type="dxa"/>
            <w:tcBorders>
              <w:top w:val="nil"/>
              <w:left w:val="single" w:sz="18" w:space="0" w:color="2E74B5"/>
              <w:bottom w:val="nil"/>
              <w:right w:val="single" w:sz="18" w:space="0" w:color="2E74B5"/>
            </w:tcBorders>
            <w:shd w:val="clear" w:color="auto" w:fill="auto"/>
          </w:tcPr>
          <w:p w:rsidR="00497BC9" w:rsidRPr="0047618A" w:rsidRDefault="008D4D0C" w:rsidP="00C17178">
            <w:pPr>
              <w:spacing w:before="60" w:after="20"/>
              <w:rPr>
                <w:rFonts w:ascii="Verdana" w:hAnsi="Verdana"/>
                <w:color w:val="FF0000"/>
                <w:sz w:val="20"/>
                <w:szCs w:val="20"/>
              </w:rPr>
            </w:pPr>
            <w:r w:rsidRPr="0047618A">
              <w:rPr>
                <w:rFonts w:ascii="Verdana" w:hAnsi="Verdana"/>
                <w:sz w:val="20"/>
                <w:szCs w:val="20"/>
              </w:rPr>
              <w:lastRenderedPageBreak/>
              <w:t>П</w:t>
            </w:r>
            <w:r w:rsidR="00497BC9" w:rsidRPr="0047618A">
              <w:rPr>
                <w:rFonts w:ascii="Verdana" w:hAnsi="Verdana"/>
                <w:sz w:val="20"/>
                <w:szCs w:val="20"/>
              </w:rPr>
              <w:t>риема</w:t>
            </w:r>
            <w:r w:rsidRPr="0047618A">
              <w:rPr>
                <w:rFonts w:ascii="Verdana" w:hAnsi="Verdana"/>
                <w:sz w:val="20"/>
                <w:szCs w:val="20"/>
              </w:rPr>
              <w:t xml:space="preserve"> се по принцип</w:t>
            </w:r>
          </w:p>
        </w:tc>
        <w:tc>
          <w:tcPr>
            <w:tcW w:w="4964" w:type="dxa"/>
            <w:tcBorders>
              <w:top w:val="nil"/>
              <w:left w:val="single" w:sz="18" w:space="0" w:color="2E74B5"/>
              <w:bottom w:val="nil"/>
              <w:right w:val="single" w:sz="18" w:space="0" w:color="2E74B5"/>
            </w:tcBorders>
            <w:shd w:val="clear" w:color="auto" w:fill="auto"/>
          </w:tcPr>
          <w:p w:rsidR="008D4D0C" w:rsidRPr="0047618A" w:rsidRDefault="008D4D0C" w:rsidP="008D4D0C">
            <w:pPr>
              <w:spacing w:before="60" w:after="20"/>
              <w:jc w:val="both"/>
              <w:rPr>
                <w:rFonts w:ascii="Verdana" w:hAnsi="Verdana"/>
                <w:sz w:val="20"/>
                <w:szCs w:val="20"/>
              </w:rPr>
            </w:pPr>
            <w:r w:rsidRPr="0047618A">
              <w:rPr>
                <w:rFonts w:ascii="Verdana" w:hAnsi="Verdana"/>
                <w:sz w:val="20"/>
                <w:szCs w:val="20"/>
              </w:rPr>
              <w:t xml:space="preserve">С проекта на наредба в националното законодателство се запазва транспонирането на Директива 2000/36/ЕО на Европейския парламент и на Съвета от 23 юни 2000 година относно какаовите и шоколадовите продукти, предназначени за консумация от човека. </w:t>
            </w:r>
          </w:p>
          <w:p w:rsidR="008D4D0C" w:rsidRPr="0047618A" w:rsidRDefault="008D4D0C" w:rsidP="008D4D0C">
            <w:pPr>
              <w:spacing w:before="60" w:after="20"/>
              <w:jc w:val="both"/>
              <w:rPr>
                <w:rFonts w:ascii="Verdana" w:hAnsi="Verdana"/>
                <w:sz w:val="20"/>
                <w:szCs w:val="20"/>
              </w:rPr>
            </w:pPr>
            <w:r w:rsidRPr="0047618A">
              <w:rPr>
                <w:rFonts w:ascii="Verdana" w:hAnsi="Verdana"/>
                <w:sz w:val="20"/>
                <w:szCs w:val="20"/>
              </w:rPr>
              <w:t xml:space="preserve">Посочената директива е въведена за първи път в българското законодателство през 2002 г. с Наредбата за изискванията към какаото и шоколадовите продукти, приета с Постановление № 251 на Министерския съвет от 2002 г. (обн., ДВ, бр. 107 от 2002 </w:t>
            </w:r>
            <w:r w:rsidRPr="0047618A">
              <w:rPr>
                <w:rFonts w:ascii="Verdana" w:hAnsi="Verdana"/>
                <w:sz w:val="20"/>
                <w:szCs w:val="20"/>
              </w:rPr>
              <w:lastRenderedPageBreak/>
              <w:t>г.).</w:t>
            </w:r>
          </w:p>
          <w:p w:rsidR="00497BC9" w:rsidRPr="0047618A" w:rsidRDefault="008D4D0C" w:rsidP="008D4D0C">
            <w:pPr>
              <w:spacing w:before="60" w:after="20"/>
              <w:jc w:val="both"/>
              <w:rPr>
                <w:rFonts w:ascii="Verdana" w:hAnsi="Verdana"/>
                <w:sz w:val="20"/>
                <w:szCs w:val="20"/>
              </w:rPr>
            </w:pPr>
            <w:r w:rsidRPr="0047618A">
              <w:rPr>
                <w:rFonts w:ascii="Verdana" w:hAnsi="Verdana"/>
                <w:sz w:val="20"/>
                <w:szCs w:val="20"/>
              </w:rPr>
              <w:t>С проекта на нова Наредба за изискванията към какаото и шоколадовите продукти не се въвеждат различни от сега действащата наредба изисквания по отношение на техните  наименования, състав, характеристики и етикетиране, вкл. по отношение на използваната терминология.</w:t>
            </w:r>
          </w:p>
          <w:p w:rsidR="00707F29" w:rsidRPr="0047618A" w:rsidRDefault="00707F29" w:rsidP="00707F29">
            <w:pPr>
              <w:spacing w:before="60" w:after="20"/>
              <w:jc w:val="both"/>
              <w:rPr>
                <w:rFonts w:ascii="Verdana" w:hAnsi="Verdana"/>
                <w:sz w:val="20"/>
                <w:szCs w:val="20"/>
              </w:rPr>
            </w:pPr>
            <w:r w:rsidRPr="0047618A">
              <w:rPr>
                <w:rFonts w:ascii="Verdana" w:hAnsi="Verdana"/>
                <w:sz w:val="20"/>
                <w:szCs w:val="20"/>
              </w:rPr>
              <w:t>Употребеният в чл. 3 от проекта на наредба термин „сухо вещество” има различен смисъл и значение от използвания в чл. 4 и в други членове термин „суха какаова маса”.</w:t>
            </w:r>
          </w:p>
          <w:p w:rsidR="00707F29" w:rsidRPr="0047618A" w:rsidRDefault="00707F29" w:rsidP="00F70DC2">
            <w:pPr>
              <w:spacing w:before="60" w:after="20"/>
              <w:jc w:val="both"/>
              <w:rPr>
                <w:rFonts w:ascii="Verdana" w:hAnsi="Verdana"/>
                <w:sz w:val="20"/>
                <w:szCs w:val="20"/>
              </w:rPr>
            </w:pPr>
            <w:r w:rsidRPr="0047618A">
              <w:rPr>
                <w:rFonts w:ascii="Verdana" w:hAnsi="Verdana"/>
                <w:sz w:val="20"/>
                <w:szCs w:val="20"/>
              </w:rPr>
              <w:t xml:space="preserve">С </w:t>
            </w:r>
            <w:r w:rsidR="00857601" w:rsidRPr="0047618A">
              <w:rPr>
                <w:rFonts w:ascii="Verdana" w:hAnsi="Verdana"/>
                <w:sz w:val="20"/>
                <w:szCs w:val="20"/>
              </w:rPr>
              <w:t>цитираните членове</w:t>
            </w:r>
            <w:r w:rsidRPr="0047618A">
              <w:rPr>
                <w:rFonts w:ascii="Verdana" w:hAnsi="Verdana"/>
                <w:sz w:val="20"/>
                <w:szCs w:val="20"/>
              </w:rPr>
              <w:t xml:space="preserve"> в българското законодателство се транспонират изискванията на Приложение I, част А, т. 2 и 3 на директивата.</w:t>
            </w:r>
            <w:r w:rsidR="00857601" w:rsidRPr="0047618A">
              <w:rPr>
                <w:rFonts w:ascii="Verdana" w:hAnsi="Verdana"/>
                <w:sz w:val="20"/>
                <w:szCs w:val="20"/>
              </w:rPr>
              <w:t xml:space="preserve"> В посочените разпоредби на директивата по аналогичен начин</w:t>
            </w:r>
            <w:r w:rsidR="00F70DC2" w:rsidRPr="0047618A">
              <w:rPr>
                <w:rFonts w:ascii="Verdana" w:hAnsi="Verdana"/>
                <w:sz w:val="20"/>
                <w:szCs w:val="20"/>
              </w:rPr>
              <w:t xml:space="preserve"> </w:t>
            </w:r>
            <w:r w:rsidR="00857601" w:rsidRPr="0047618A">
              <w:rPr>
                <w:rFonts w:ascii="Verdana" w:hAnsi="Verdana"/>
                <w:sz w:val="20"/>
                <w:szCs w:val="20"/>
              </w:rPr>
              <w:t>се употребяват термините „сухо вещество“ (т. 2) и „сухо какаово вещество“ (т. 3)</w:t>
            </w:r>
            <w:r w:rsidR="00F70DC2" w:rsidRPr="0047618A">
              <w:rPr>
                <w:rFonts w:ascii="Verdana" w:hAnsi="Verdana"/>
                <w:sz w:val="20"/>
                <w:szCs w:val="20"/>
              </w:rPr>
              <w:t>, които имат различен смисъл и значение.</w:t>
            </w:r>
          </w:p>
          <w:p w:rsidR="00846EBB" w:rsidRPr="0047618A" w:rsidRDefault="00846EBB" w:rsidP="00A475E3">
            <w:pPr>
              <w:spacing w:before="60" w:after="20"/>
              <w:jc w:val="both"/>
              <w:rPr>
                <w:rFonts w:ascii="Verdana" w:hAnsi="Verdana"/>
                <w:sz w:val="20"/>
                <w:szCs w:val="20"/>
              </w:rPr>
            </w:pPr>
            <w:r w:rsidRPr="0047618A">
              <w:rPr>
                <w:rFonts w:ascii="Verdana" w:hAnsi="Verdana"/>
                <w:sz w:val="20"/>
                <w:szCs w:val="20"/>
              </w:rPr>
              <w:t>Обръщаме внимание също така, че в българското законодателство (</w:t>
            </w:r>
            <w:r w:rsidR="004A0649" w:rsidRPr="0047618A">
              <w:rPr>
                <w:rFonts w:ascii="Verdana" w:hAnsi="Verdana"/>
                <w:sz w:val="20"/>
                <w:szCs w:val="20"/>
              </w:rPr>
              <w:t xml:space="preserve">§ 1, т. 1 от </w:t>
            </w:r>
            <w:r w:rsidR="00F702A6" w:rsidRPr="0047618A">
              <w:rPr>
                <w:rFonts w:ascii="Verdana" w:hAnsi="Verdana"/>
                <w:sz w:val="20"/>
                <w:szCs w:val="20"/>
              </w:rPr>
              <w:t>д</w:t>
            </w:r>
            <w:r w:rsidR="004A0649" w:rsidRPr="0047618A">
              <w:rPr>
                <w:rFonts w:ascii="Verdana" w:hAnsi="Verdana"/>
                <w:sz w:val="20"/>
                <w:szCs w:val="20"/>
              </w:rPr>
              <w:t>опълнителните разпоредби на сега действащата</w:t>
            </w:r>
            <w:r w:rsidR="009650EA" w:rsidRPr="0047618A">
              <w:t xml:space="preserve"> </w:t>
            </w:r>
            <w:r w:rsidR="009650EA" w:rsidRPr="0047618A">
              <w:rPr>
                <w:rFonts w:ascii="Verdana" w:hAnsi="Verdana"/>
                <w:sz w:val="20"/>
                <w:szCs w:val="20"/>
              </w:rPr>
              <w:t xml:space="preserve">Наредба за изискванията към какаото и шоколадовите продукти, респ. § 1, т. 2 от </w:t>
            </w:r>
            <w:r w:rsidR="00F702A6" w:rsidRPr="0047618A">
              <w:rPr>
                <w:rFonts w:ascii="Verdana" w:hAnsi="Verdana"/>
                <w:sz w:val="20"/>
                <w:szCs w:val="20"/>
              </w:rPr>
              <w:t>д</w:t>
            </w:r>
            <w:r w:rsidR="009650EA" w:rsidRPr="0047618A">
              <w:rPr>
                <w:rFonts w:ascii="Verdana" w:hAnsi="Verdana"/>
                <w:sz w:val="20"/>
                <w:szCs w:val="20"/>
              </w:rPr>
              <w:t>опълнителните разпоредби на проекта на нова наредба</w:t>
            </w:r>
            <w:r w:rsidRPr="0047618A">
              <w:rPr>
                <w:rFonts w:ascii="Verdana" w:hAnsi="Verdana"/>
                <w:sz w:val="20"/>
                <w:szCs w:val="20"/>
              </w:rPr>
              <w:t>)</w:t>
            </w:r>
            <w:r w:rsidR="007D7CE1" w:rsidRPr="0047618A">
              <w:rPr>
                <w:rFonts w:ascii="Verdana" w:hAnsi="Verdana"/>
                <w:sz w:val="20"/>
                <w:szCs w:val="20"/>
              </w:rPr>
              <w:t>,</w:t>
            </w:r>
            <w:r w:rsidR="00A475E3" w:rsidRPr="0047618A">
              <w:rPr>
                <w:rFonts w:ascii="Verdana" w:hAnsi="Verdana"/>
                <w:sz w:val="20"/>
                <w:szCs w:val="20"/>
              </w:rPr>
              <w:t xml:space="preserve"> </w:t>
            </w:r>
            <w:r w:rsidRPr="0047618A">
              <w:rPr>
                <w:rFonts w:ascii="Verdana" w:hAnsi="Verdana"/>
                <w:sz w:val="20"/>
                <w:szCs w:val="20"/>
              </w:rPr>
              <w:t xml:space="preserve">терминът „суха какаова маса” е изрично дефиниран, именно с цел създаване на яснота и избягване на объркването с други подобни термини, но с различно значение.    </w:t>
            </w:r>
          </w:p>
        </w:tc>
      </w:tr>
      <w:tr w:rsidR="00497BC9"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497BC9" w:rsidRPr="0047618A" w:rsidRDefault="00497BC9" w:rsidP="00C17178">
            <w:pPr>
              <w:pStyle w:val="ListParagraph"/>
              <w:numPr>
                <w:ilvl w:val="0"/>
                <w:numId w:val="6"/>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497BC9" w:rsidRPr="0047618A" w:rsidRDefault="00497BC9" w:rsidP="00C1717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497BC9" w:rsidRPr="0047618A" w:rsidRDefault="006770B5" w:rsidP="00C17178">
            <w:pPr>
              <w:spacing w:before="60" w:after="20"/>
              <w:jc w:val="both"/>
              <w:rPr>
                <w:rFonts w:ascii="Verdana" w:hAnsi="Verdana"/>
                <w:sz w:val="20"/>
                <w:szCs w:val="20"/>
              </w:rPr>
            </w:pPr>
            <w:r w:rsidRPr="0047618A">
              <w:rPr>
                <w:rFonts w:ascii="Verdana" w:hAnsi="Verdana"/>
                <w:sz w:val="20"/>
                <w:szCs w:val="20"/>
              </w:rPr>
              <w:t xml:space="preserve">2. Относно необходимостта от разработване на методология за проверка и оценка на </w:t>
            </w:r>
            <w:r w:rsidRPr="0047618A">
              <w:rPr>
                <w:rFonts w:ascii="Verdana" w:hAnsi="Verdana"/>
                <w:sz w:val="20"/>
                <w:szCs w:val="20"/>
              </w:rPr>
              <w:lastRenderedPageBreak/>
              <w:t>шоколадовите продукти.</w:t>
            </w:r>
          </w:p>
        </w:tc>
        <w:tc>
          <w:tcPr>
            <w:tcW w:w="1842"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c>
          <w:tcPr>
            <w:tcW w:w="4964" w:type="dxa"/>
            <w:tcBorders>
              <w:top w:val="nil"/>
              <w:left w:val="single" w:sz="18" w:space="0" w:color="2E74B5"/>
              <w:bottom w:val="nil"/>
              <w:right w:val="single" w:sz="18" w:space="0" w:color="2E74B5"/>
            </w:tcBorders>
            <w:shd w:val="clear" w:color="auto" w:fill="auto"/>
          </w:tcPr>
          <w:p w:rsidR="00497BC9" w:rsidRPr="0047618A" w:rsidRDefault="00497BC9" w:rsidP="00C17178">
            <w:pPr>
              <w:spacing w:before="60" w:after="20"/>
              <w:rPr>
                <w:rFonts w:ascii="Verdana" w:hAnsi="Verdana"/>
                <w:sz w:val="20"/>
                <w:szCs w:val="20"/>
              </w:rPr>
            </w:pPr>
          </w:p>
        </w:tc>
      </w:tr>
      <w:tr w:rsidR="00C17178" w:rsidRPr="0047618A" w:rsidTr="003D2931">
        <w:tc>
          <w:tcPr>
            <w:tcW w:w="622" w:type="dxa"/>
            <w:tcBorders>
              <w:top w:val="nil"/>
              <w:bottom w:val="single" w:sz="18" w:space="0" w:color="2E74B5"/>
            </w:tcBorders>
            <w:shd w:val="clear" w:color="auto" w:fill="auto"/>
          </w:tcPr>
          <w:p w:rsidR="00C17178" w:rsidRPr="0047618A" w:rsidRDefault="00C17178" w:rsidP="00C17178">
            <w:pPr>
              <w:tabs>
                <w:tab w:val="left" w:pos="192"/>
              </w:tabs>
              <w:spacing w:before="60" w:after="20"/>
              <w:rPr>
                <w:rFonts w:ascii="Verdana" w:hAnsi="Verdana"/>
                <w:b/>
                <w:sz w:val="20"/>
                <w:szCs w:val="20"/>
              </w:rPr>
            </w:pPr>
          </w:p>
        </w:tc>
        <w:tc>
          <w:tcPr>
            <w:tcW w:w="2552" w:type="dxa"/>
            <w:tcBorders>
              <w:top w:val="nil"/>
              <w:bottom w:val="single" w:sz="18" w:space="0" w:color="2E74B5"/>
              <w:right w:val="single" w:sz="12" w:space="0" w:color="4F81BD" w:themeColor="accent1"/>
            </w:tcBorders>
            <w:shd w:val="clear" w:color="auto" w:fill="auto"/>
          </w:tcPr>
          <w:p w:rsidR="00C17178" w:rsidRPr="0047618A" w:rsidRDefault="00C17178" w:rsidP="00C17178">
            <w:pPr>
              <w:spacing w:before="60" w:after="20"/>
              <w:rPr>
                <w:rFonts w:ascii="Verdana" w:hAnsi="Verdana"/>
                <w:b/>
                <w:sz w:val="20"/>
                <w:szCs w:val="20"/>
              </w:rPr>
            </w:pPr>
          </w:p>
        </w:tc>
        <w:tc>
          <w:tcPr>
            <w:tcW w:w="5670" w:type="dxa"/>
            <w:tcBorders>
              <w:top w:val="nil"/>
              <w:left w:val="single" w:sz="12" w:space="0" w:color="4F81BD" w:themeColor="accent1"/>
              <w:bottom w:val="single" w:sz="18" w:space="0" w:color="2E74B5"/>
            </w:tcBorders>
            <w:shd w:val="clear" w:color="auto" w:fill="auto"/>
          </w:tcPr>
          <w:p w:rsidR="00C17178" w:rsidRPr="0047618A" w:rsidRDefault="00C17178" w:rsidP="00C17178">
            <w:pPr>
              <w:spacing w:before="60" w:after="20"/>
              <w:jc w:val="both"/>
              <w:rPr>
                <w:rFonts w:ascii="Verdana" w:hAnsi="Verdana"/>
                <w:sz w:val="20"/>
                <w:szCs w:val="20"/>
              </w:rPr>
            </w:pPr>
            <w:r w:rsidRPr="0047618A">
              <w:rPr>
                <w:rFonts w:ascii="Verdana" w:hAnsi="Verdana"/>
                <w:sz w:val="20"/>
                <w:szCs w:val="20"/>
              </w:rPr>
              <w:t>С оглед специфичния характер на шоколадовите продукти, считаме, че е необходимо в проекта на Наредба да се включи изричен текст за задължението на отговорните държавни институции (МЗХГ и БАБХ) да разработят ясна методология за проверка и оценка на изискванията към състава на шоколадовите продукти, съпътствана от План за мониторинг за тези продукти и за перманентно наблюдение и контрол на спазването на нормативните изисквания.</w:t>
            </w:r>
          </w:p>
        </w:tc>
        <w:tc>
          <w:tcPr>
            <w:tcW w:w="1842" w:type="dxa"/>
            <w:tcBorders>
              <w:top w:val="nil"/>
              <w:bottom w:val="single" w:sz="18" w:space="0" w:color="2E74B5"/>
            </w:tcBorders>
            <w:shd w:val="clear" w:color="auto" w:fill="auto"/>
          </w:tcPr>
          <w:p w:rsidR="00C17178" w:rsidRPr="0047618A" w:rsidRDefault="00C17178" w:rsidP="00AA18CB">
            <w:pPr>
              <w:spacing w:before="60" w:after="20"/>
              <w:rPr>
                <w:rFonts w:ascii="Verdana" w:hAnsi="Verdana"/>
                <w:color w:val="FF0000"/>
                <w:sz w:val="20"/>
                <w:szCs w:val="20"/>
              </w:rPr>
            </w:pPr>
            <w:r w:rsidRPr="0047618A">
              <w:rPr>
                <w:rFonts w:ascii="Verdana" w:hAnsi="Verdana"/>
                <w:sz w:val="20"/>
                <w:szCs w:val="20"/>
              </w:rPr>
              <w:t>Приема се</w:t>
            </w:r>
            <w:r w:rsidR="00AA18CB" w:rsidRPr="0047618A">
              <w:rPr>
                <w:rFonts w:ascii="Verdana" w:hAnsi="Verdana"/>
                <w:sz w:val="20"/>
                <w:szCs w:val="20"/>
              </w:rPr>
              <w:t xml:space="preserve"> по принцип</w:t>
            </w:r>
          </w:p>
        </w:tc>
        <w:tc>
          <w:tcPr>
            <w:tcW w:w="4964" w:type="dxa"/>
            <w:tcBorders>
              <w:top w:val="nil"/>
              <w:bottom w:val="single" w:sz="18" w:space="0" w:color="2E74B5"/>
            </w:tcBorders>
            <w:shd w:val="clear" w:color="auto" w:fill="auto"/>
          </w:tcPr>
          <w:p w:rsidR="00DC42DE" w:rsidRPr="0047618A" w:rsidRDefault="00DC42DE" w:rsidP="00DC42DE">
            <w:pPr>
              <w:spacing w:before="60" w:after="20"/>
              <w:jc w:val="both"/>
              <w:rPr>
                <w:rFonts w:ascii="Verdana" w:hAnsi="Verdana"/>
                <w:sz w:val="20"/>
                <w:szCs w:val="20"/>
              </w:rPr>
            </w:pPr>
            <w:r w:rsidRPr="0047618A">
              <w:rPr>
                <w:rFonts w:ascii="Verdana" w:hAnsi="Verdana"/>
                <w:sz w:val="20"/>
                <w:szCs w:val="20"/>
              </w:rPr>
              <w:t xml:space="preserve">С проекта на наредба в националното законодателство се запазва транспонирането на Директива 2000/36/ЕО на Европейския парламент и на Съвета от 23 юни 2000 година относно какаовите и шоколадовите продукти, предназначени за консумация от човека. </w:t>
            </w:r>
          </w:p>
          <w:p w:rsidR="00DC42DE" w:rsidRPr="0047618A" w:rsidRDefault="00DC42DE" w:rsidP="00DC42DE">
            <w:pPr>
              <w:spacing w:before="60" w:after="20"/>
              <w:jc w:val="both"/>
              <w:rPr>
                <w:rFonts w:ascii="Verdana" w:hAnsi="Verdana"/>
                <w:sz w:val="20"/>
                <w:szCs w:val="20"/>
              </w:rPr>
            </w:pPr>
            <w:r w:rsidRPr="0047618A">
              <w:rPr>
                <w:rFonts w:ascii="Verdana" w:hAnsi="Verdana"/>
                <w:sz w:val="20"/>
                <w:szCs w:val="20"/>
              </w:rPr>
              <w:t>Посочената директива е въведена за първи път в българското законодателство през 2002 г. с Наредбата за изискванията към какаото и шоколадовите продукти, приета с Постановление № 251 на Министерския съвет от 2002 г. (обн., ДВ, бр. 107 от 2002 г.).</w:t>
            </w:r>
          </w:p>
          <w:p w:rsidR="00C17178" w:rsidRPr="0047618A" w:rsidRDefault="00DC42DE" w:rsidP="00DC42DE">
            <w:pPr>
              <w:spacing w:before="60" w:after="20"/>
              <w:jc w:val="both"/>
              <w:rPr>
                <w:rFonts w:ascii="Verdana" w:hAnsi="Verdana"/>
                <w:sz w:val="20"/>
                <w:szCs w:val="20"/>
              </w:rPr>
            </w:pPr>
            <w:r w:rsidRPr="0047618A">
              <w:rPr>
                <w:rFonts w:ascii="Verdana" w:hAnsi="Verdana"/>
                <w:sz w:val="20"/>
                <w:szCs w:val="20"/>
              </w:rPr>
              <w:t xml:space="preserve">С проекта на нова Наредба за изискванията към какаото и шоколадовите продукти не се въвеждат различни от сега действащата наредба изисквания по отношение на техните  наименования, състав, характеристики и етикетиране. </w:t>
            </w:r>
          </w:p>
          <w:p w:rsidR="00DC42DE" w:rsidRPr="0047618A" w:rsidRDefault="00DC42DE" w:rsidP="009D24CA">
            <w:pPr>
              <w:spacing w:before="60" w:after="20"/>
              <w:jc w:val="both"/>
              <w:rPr>
                <w:rFonts w:ascii="Verdana" w:hAnsi="Verdana"/>
                <w:sz w:val="20"/>
                <w:szCs w:val="20"/>
              </w:rPr>
            </w:pPr>
            <w:r w:rsidRPr="0047618A">
              <w:rPr>
                <w:rFonts w:ascii="Verdana" w:hAnsi="Verdana"/>
                <w:sz w:val="20"/>
                <w:szCs w:val="20"/>
              </w:rPr>
              <w:t>В Глава трета, Раздел III на Закона за управление на агрохранителната верига са уредени условията и реда за разработване и изпълнение на Многогодишен национален план за контрол</w:t>
            </w:r>
            <w:r w:rsidR="00AC39A0" w:rsidRPr="0047618A">
              <w:rPr>
                <w:rFonts w:ascii="Verdana" w:hAnsi="Verdana"/>
                <w:sz w:val="20"/>
                <w:szCs w:val="20"/>
              </w:rPr>
              <w:t>,</w:t>
            </w:r>
            <w:r w:rsidR="00AC39A0" w:rsidRPr="0047618A">
              <w:t xml:space="preserve"> </w:t>
            </w:r>
            <w:r w:rsidR="00AC39A0" w:rsidRPr="0047618A">
              <w:rPr>
                <w:rFonts w:ascii="Verdana" w:hAnsi="Verdana"/>
                <w:sz w:val="20"/>
                <w:szCs w:val="20"/>
              </w:rPr>
              <w:t>съгласно чл. 109 - 113 от Регламент (ЕС) 2017/625 за официалния контрол. Този план</w:t>
            </w:r>
            <w:r w:rsidR="009D24CA" w:rsidRPr="0047618A">
              <w:rPr>
                <w:rFonts w:ascii="Verdana" w:hAnsi="Verdana"/>
                <w:sz w:val="20"/>
                <w:szCs w:val="20"/>
              </w:rPr>
              <w:t xml:space="preserve"> за контрол</w:t>
            </w:r>
            <w:r w:rsidR="00AC39A0" w:rsidRPr="0047618A">
              <w:rPr>
                <w:rFonts w:ascii="Verdana" w:hAnsi="Verdana"/>
                <w:sz w:val="20"/>
                <w:szCs w:val="20"/>
              </w:rPr>
              <w:t xml:space="preserve"> обхваща всички елементи на агрохранителната верига, в т.ч. и храните.</w:t>
            </w:r>
          </w:p>
        </w:tc>
      </w:tr>
      <w:tr w:rsidR="006C7A49" w:rsidRPr="0047618A" w:rsidTr="003D2931">
        <w:tc>
          <w:tcPr>
            <w:tcW w:w="622" w:type="dxa"/>
            <w:vMerge w:val="restart"/>
            <w:tcBorders>
              <w:bottom w:val="nil"/>
            </w:tcBorders>
            <w:shd w:val="clear" w:color="auto" w:fill="auto"/>
          </w:tcPr>
          <w:p w:rsidR="006C7A49" w:rsidRPr="0047618A" w:rsidRDefault="006C7A49" w:rsidP="006C7A49">
            <w:pPr>
              <w:pStyle w:val="ListParagraph"/>
              <w:numPr>
                <w:ilvl w:val="0"/>
                <w:numId w:val="6"/>
              </w:numPr>
              <w:tabs>
                <w:tab w:val="left" w:pos="192"/>
              </w:tabs>
              <w:spacing w:before="60" w:after="20"/>
              <w:jc w:val="center"/>
              <w:rPr>
                <w:rFonts w:ascii="Verdana" w:hAnsi="Verdana"/>
                <w:b/>
                <w:sz w:val="20"/>
                <w:szCs w:val="20"/>
              </w:rPr>
            </w:pPr>
          </w:p>
        </w:tc>
        <w:tc>
          <w:tcPr>
            <w:tcW w:w="2552" w:type="dxa"/>
            <w:vMerge w:val="restart"/>
            <w:tcBorders>
              <w:bottom w:val="nil"/>
              <w:right w:val="single" w:sz="12" w:space="0" w:color="4F81BD" w:themeColor="accent1"/>
            </w:tcBorders>
            <w:shd w:val="clear" w:color="auto" w:fill="auto"/>
          </w:tcPr>
          <w:p w:rsidR="006C7A49" w:rsidRPr="0047618A" w:rsidRDefault="006C7A49" w:rsidP="006C7A49">
            <w:pPr>
              <w:spacing w:before="60" w:after="20"/>
              <w:rPr>
                <w:rFonts w:ascii="Verdana" w:hAnsi="Verdana"/>
                <w:sz w:val="20"/>
                <w:szCs w:val="20"/>
              </w:rPr>
            </w:pPr>
            <w:r w:rsidRPr="0047618A">
              <w:rPr>
                <w:rFonts w:ascii="Tahoma" w:hAnsi="Tahoma" w:cs="Tahoma"/>
                <w:sz w:val="21"/>
                <w:szCs w:val="21"/>
              </w:rPr>
              <w:t xml:space="preserve">Сдружение за модерна търговия </w:t>
            </w:r>
            <w:r w:rsidRPr="0047618A">
              <w:rPr>
                <w:rFonts w:ascii="Verdana" w:hAnsi="Verdana"/>
                <w:sz w:val="20"/>
                <w:szCs w:val="20"/>
              </w:rPr>
              <w:t>– постъпило по електронен път на 08.10.2021 г.</w:t>
            </w:r>
          </w:p>
        </w:tc>
        <w:tc>
          <w:tcPr>
            <w:tcW w:w="5670" w:type="dxa"/>
            <w:tcBorders>
              <w:left w:val="single" w:sz="12" w:space="0" w:color="4F81BD" w:themeColor="accent1"/>
              <w:bottom w:val="nil"/>
            </w:tcBorders>
            <w:shd w:val="clear" w:color="auto" w:fill="auto"/>
          </w:tcPr>
          <w:p w:rsidR="006C7A49" w:rsidRPr="0047618A" w:rsidRDefault="006C7A49" w:rsidP="006C7A49">
            <w:pPr>
              <w:spacing w:before="60" w:after="20"/>
              <w:jc w:val="both"/>
              <w:rPr>
                <w:rFonts w:ascii="Verdana" w:hAnsi="Verdana"/>
                <w:sz w:val="20"/>
                <w:szCs w:val="20"/>
              </w:rPr>
            </w:pPr>
            <w:r w:rsidRPr="0047618A">
              <w:rPr>
                <w:rFonts w:ascii="Verdana" w:hAnsi="Verdana"/>
                <w:sz w:val="20"/>
                <w:szCs w:val="20"/>
              </w:rPr>
              <w:t xml:space="preserve">С настоящото изпращаме на Вашето внимание предложение по отношение на предложения проект на нова Наредба за изискванията към какаото и шоколадовите продукти, като обръщаме специално внимание на съществуващо и в проекта </w:t>
            </w:r>
            <w:r w:rsidRPr="0047618A">
              <w:rPr>
                <w:rFonts w:ascii="Verdana" w:hAnsi="Verdana"/>
                <w:sz w:val="20"/>
                <w:szCs w:val="20"/>
              </w:rPr>
              <w:lastRenderedPageBreak/>
              <w:t>на новия подзаконов нормативен акт терминологично разминаване между нормите на националното законодателство и разпоредбите на Директива 2000/З6/ЕО от 23 юни 2000 година (посл. изм. 2016) относно какаовите и шоколадовите продукти, предназначени за консумация от човека, а именно:</w:t>
            </w:r>
          </w:p>
        </w:tc>
        <w:tc>
          <w:tcPr>
            <w:tcW w:w="1842" w:type="dxa"/>
            <w:tcBorders>
              <w:bottom w:val="nil"/>
            </w:tcBorders>
            <w:shd w:val="clear" w:color="auto" w:fill="auto"/>
          </w:tcPr>
          <w:p w:rsidR="006C7A49" w:rsidRPr="0047618A" w:rsidRDefault="006C7A49" w:rsidP="00D80A30">
            <w:pPr>
              <w:spacing w:before="60" w:after="20"/>
              <w:rPr>
                <w:rFonts w:ascii="Verdana" w:hAnsi="Verdana"/>
                <w:sz w:val="20"/>
                <w:szCs w:val="20"/>
              </w:rPr>
            </w:pPr>
          </w:p>
        </w:tc>
        <w:tc>
          <w:tcPr>
            <w:tcW w:w="4964" w:type="dxa"/>
            <w:tcBorders>
              <w:bottom w:val="nil"/>
            </w:tcBorders>
            <w:shd w:val="clear" w:color="auto" w:fill="auto"/>
          </w:tcPr>
          <w:p w:rsidR="006C7A49" w:rsidRPr="0047618A" w:rsidRDefault="006C7A49" w:rsidP="00D80A30">
            <w:pPr>
              <w:spacing w:before="60" w:after="20"/>
              <w:rPr>
                <w:rFonts w:ascii="Verdana" w:hAnsi="Verdana"/>
                <w:sz w:val="20"/>
                <w:szCs w:val="20"/>
              </w:rPr>
            </w:pPr>
          </w:p>
        </w:tc>
      </w:tr>
      <w:tr w:rsidR="003B24D8"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3B24D8" w:rsidRPr="0047618A" w:rsidRDefault="003B24D8" w:rsidP="003B24D8">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3B24D8" w:rsidRPr="0047618A" w:rsidRDefault="003B24D8" w:rsidP="003B24D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3B24D8" w:rsidRPr="0047618A" w:rsidRDefault="003B24D8" w:rsidP="003B24D8">
            <w:pPr>
              <w:spacing w:before="60" w:after="20"/>
              <w:jc w:val="both"/>
              <w:rPr>
                <w:rFonts w:ascii="Verdana" w:hAnsi="Verdana"/>
                <w:sz w:val="20"/>
                <w:szCs w:val="20"/>
              </w:rPr>
            </w:pPr>
            <w:r w:rsidRPr="0047618A">
              <w:rPr>
                <w:rFonts w:ascii="Verdana" w:hAnsi="Verdana"/>
                <w:sz w:val="20"/>
                <w:szCs w:val="20"/>
              </w:rPr>
              <w:t>- Съгласно чл. 15, т. 3 от проекта на нова Наредба за изискванията към какаото и шоколадовите продукти, при обявяването на какаовото съдържание в шоколадите, на етикета следва да фигурира задължително следният израз:</w:t>
            </w:r>
          </w:p>
          <w:p w:rsidR="003B24D8" w:rsidRPr="0047618A" w:rsidRDefault="003B24D8" w:rsidP="003B24D8">
            <w:pPr>
              <w:spacing w:before="60" w:after="20"/>
              <w:jc w:val="both"/>
              <w:rPr>
                <w:rFonts w:ascii="Verdana" w:hAnsi="Verdana"/>
                <w:sz w:val="20"/>
                <w:szCs w:val="20"/>
              </w:rPr>
            </w:pPr>
            <w:r w:rsidRPr="0047618A">
              <w:rPr>
                <w:rFonts w:ascii="Verdana" w:hAnsi="Verdana"/>
                <w:sz w:val="20"/>
                <w:szCs w:val="20"/>
              </w:rPr>
              <w:t>„съдържа минимум ... % какаова маса“.</w:t>
            </w:r>
          </w:p>
        </w:tc>
        <w:tc>
          <w:tcPr>
            <w:tcW w:w="1842" w:type="dxa"/>
            <w:tcBorders>
              <w:top w:val="nil"/>
              <w:left w:val="single" w:sz="18" w:space="0" w:color="2E74B5"/>
              <w:bottom w:val="nil"/>
              <w:right w:val="single" w:sz="18" w:space="0" w:color="2E74B5"/>
            </w:tcBorders>
            <w:shd w:val="clear" w:color="auto" w:fill="auto"/>
          </w:tcPr>
          <w:p w:rsidR="003B24D8" w:rsidRPr="0047618A" w:rsidRDefault="003B24D8" w:rsidP="003B24D8">
            <w:pPr>
              <w:spacing w:before="60" w:after="20"/>
              <w:rPr>
                <w:rFonts w:ascii="Verdana" w:hAnsi="Verdana"/>
                <w:color w:val="FF0000"/>
                <w:sz w:val="20"/>
                <w:szCs w:val="20"/>
              </w:rPr>
            </w:pPr>
          </w:p>
        </w:tc>
        <w:tc>
          <w:tcPr>
            <w:tcW w:w="4964" w:type="dxa"/>
            <w:tcBorders>
              <w:top w:val="nil"/>
              <w:left w:val="single" w:sz="18" w:space="0" w:color="2E74B5"/>
              <w:bottom w:val="nil"/>
              <w:right w:val="single" w:sz="18" w:space="0" w:color="2E74B5"/>
            </w:tcBorders>
            <w:shd w:val="clear" w:color="auto" w:fill="auto"/>
          </w:tcPr>
          <w:p w:rsidR="003B24D8" w:rsidRPr="0047618A" w:rsidRDefault="003B24D8" w:rsidP="003B24D8">
            <w:pPr>
              <w:spacing w:before="60" w:after="20"/>
              <w:rPr>
                <w:rFonts w:ascii="Verdana" w:hAnsi="Verdana"/>
                <w:sz w:val="20"/>
                <w:szCs w:val="20"/>
              </w:rPr>
            </w:pPr>
          </w:p>
        </w:tc>
      </w:tr>
      <w:tr w:rsidR="005E4656"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5E4656" w:rsidRPr="0047618A" w:rsidRDefault="005E4656" w:rsidP="005E4656">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5E4656" w:rsidRPr="0047618A" w:rsidRDefault="005E4656" w:rsidP="005E4656">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5E4656" w:rsidRPr="0047618A" w:rsidRDefault="005E4656" w:rsidP="005E4656">
            <w:pPr>
              <w:spacing w:before="60" w:after="20"/>
              <w:jc w:val="both"/>
              <w:rPr>
                <w:rFonts w:ascii="Verdana" w:hAnsi="Verdana"/>
                <w:sz w:val="20"/>
                <w:szCs w:val="20"/>
              </w:rPr>
            </w:pPr>
            <w:r w:rsidRPr="0047618A">
              <w:rPr>
                <w:rFonts w:ascii="Verdana" w:hAnsi="Verdana"/>
                <w:sz w:val="20"/>
                <w:szCs w:val="20"/>
              </w:rPr>
              <w:t>Съгласно чл. 3 от Директива 2000/36/ЕО:</w:t>
            </w:r>
          </w:p>
          <w:p w:rsidR="005E4656" w:rsidRPr="0047618A" w:rsidRDefault="005E4656" w:rsidP="005E4656">
            <w:pPr>
              <w:spacing w:before="60" w:after="20"/>
              <w:jc w:val="both"/>
              <w:rPr>
                <w:rFonts w:ascii="Verdana" w:hAnsi="Verdana"/>
                <w:sz w:val="20"/>
                <w:szCs w:val="20"/>
              </w:rPr>
            </w:pPr>
            <w:r w:rsidRPr="0047618A">
              <w:rPr>
                <w:rFonts w:ascii="Verdana" w:hAnsi="Verdana"/>
                <w:sz w:val="20"/>
                <w:szCs w:val="20"/>
              </w:rPr>
              <w:t>„Етикетирането на определените в приложение I, раздел А, точна 2, букви в) и г) и точки 3 4,5,8 и 9 какаови и шоколадови продукти трябва да указва съдържанието на общо сухо какаово вещество чрез включване на думите:</w:t>
            </w:r>
          </w:p>
          <w:p w:rsidR="005E4656" w:rsidRPr="0047618A" w:rsidRDefault="005E4656" w:rsidP="005E4656">
            <w:pPr>
              <w:spacing w:before="60" w:after="20"/>
              <w:jc w:val="both"/>
              <w:rPr>
                <w:rFonts w:ascii="Verdana" w:hAnsi="Verdana"/>
                <w:sz w:val="20"/>
                <w:szCs w:val="20"/>
              </w:rPr>
            </w:pPr>
            <w:r w:rsidRPr="0047618A">
              <w:rPr>
                <w:rFonts w:ascii="Verdana" w:hAnsi="Verdana"/>
                <w:sz w:val="20"/>
                <w:szCs w:val="20"/>
              </w:rPr>
              <w:t>„какао: минимум...%“.</w:t>
            </w:r>
          </w:p>
        </w:tc>
        <w:tc>
          <w:tcPr>
            <w:tcW w:w="1842" w:type="dxa"/>
            <w:tcBorders>
              <w:top w:val="nil"/>
              <w:left w:val="single" w:sz="18" w:space="0" w:color="2E74B5"/>
              <w:bottom w:val="nil"/>
              <w:right w:val="single" w:sz="18" w:space="0" w:color="2E74B5"/>
            </w:tcBorders>
            <w:shd w:val="clear" w:color="auto" w:fill="auto"/>
          </w:tcPr>
          <w:p w:rsidR="005E4656" w:rsidRPr="0047618A" w:rsidRDefault="005E4656" w:rsidP="005E4656">
            <w:pPr>
              <w:spacing w:before="60" w:after="20"/>
              <w:rPr>
                <w:rFonts w:ascii="Verdana" w:hAnsi="Verdana"/>
                <w:color w:val="FF0000"/>
                <w:sz w:val="20"/>
                <w:szCs w:val="20"/>
              </w:rPr>
            </w:pPr>
          </w:p>
        </w:tc>
        <w:tc>
          <w:tcPr>
            <w:tcW w:w="4964" w:type="dxa"/>
            <w:tcBorders>
              <w:top w:val="nil"/>
              <w:left w:val="single" w:sz="18" w:space="0" w:color="2E74B5"/>
              <w:bottom w:val="nil"/>
              <w:right w:val="single" w:sz="18" w:space="0" w:color="2E74B5"/>
            </w:tcBorders>
            <w:shd w:val="clear" w:color="auto" w:fill="auto"/>
          </w:tcPr>
          <w:p w:rsidR="005E4656" w:rsidRPr="0047618A" w:rsidRDefault="005E4656" w:rsidP="005E4656">
            <w:pPr>
              <w:spacing w:before="60" w:after="20"/>
              <w:rPr>
                <w:rFonts w:ascii="Verdana" w:hAnsi="Verdana"/>
                <w:sz w:val="20"/>
                <w:szCs w:val="20"/>
              </w:rPr>
            </w:pPr>
          </w:p>
        </w:tc>
      </w:tr>
      <w:tr w:rsidR="005E4656"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5E4656" w:rsidRPr="0047618A" w:rsidRDefault="005E4656" w:rsidP="005E4656">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5E4656" w:rsidRPr="0047618A" w:rsidRDefault="005E4656" w:rsidP="005E4656">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5E4656" w:rsidRPr="0047618A" w:rsidRDefault="007F1F58" w:rsidP="005E4656">
            <w:pPr>
              <w:spacing w:before="60" w:after="20"/>
              <w:jc w:val="both"/>
              <w:rPr>
                <w:rFonts w:ascii="Verdana" w:hAnsi="Verdana"/>
                <w:sz w:val="20"/>
                <w:szCs w:val="20"/>
              </w:rPr>
            </w:pPr>
            <w:r w:rsidRPr="0047618A">
              <w:rPr>
                <w:rFonts w:ascii="Verdana" w:hAnsi="Verdana"/>
                <w:sz w:val="20"/>
                <w:szCs w:val="20"/>
              </w:rPr>
              <w:t>В допълнение на гореизложеното, разминаването в двете формулировки създава предпоставки за:</w:t>
            </w:r>
          </w:p>
        </w:tc>
        <w:tc>
          <w:tcPr>
            <w:tcW w:w="1842" w:type="dxa"/>
            <w:tcBorders>
              <w:top w:val="nil"/>
              <w:left w:val="single" w:sz="18" w:space="0" w:color="2E74B5"/>
              <w:bottom w:val="nil"/>
              <w:right w:val="single" w:sz="18" w:space="0" w:color="2E74B5"/>
            </w:tcBorders>
            <w:shd w:val="clear" w:color="auto" w:fill="auto"/>
          </w:tcPr>
          <w:p w:rsidR="005E4656" w:rsidRPr="0047618A" w:rsidRDefault="005E4656" w:rsidP="005E4656">
            <w:pPr>
              <w:spacing w:before="60" w:after="20"/>
              <w:rPr>
                <w:rFonts w:ascii="Verdana" w:hAnsi="Verdana"/>
                <w:sz w:val="20"/>
                <w:szCs w:val="20"/>
              </w:rPr>
            </w:pPr>
          </w:p>
        </w:tc>
        <w:tc>
          <w:tcPr>
            <w:tcW w:w="4964" w:type="dxa"/>
            <w:tcBorders>
              <w:top w:val="nil"/>
              <w:left w:val="single" w:sz="18" w:space="0" w:color="2E74B5"/>
              <w:bottom w:val="nil"/>
              <w:right w:val="single" w:sz="18" w:space="0" w:color="2E74B5"/>
            </w:tcBorders>
            <w:shd w:val="clear" w:color="auto" w:fill="auto"/>
          </w:tcPr>
          <w:p w:rsidR="005E4656" w:rsidRPr="0047618A" w:rsidRDefault="005E4656" w:rsidP="005E4656">
            <w:pPr>
              <w:spacing w:before="60" w:after="20"/>
              <w:rPr>
                <w:rFonts w:ascii="Verdana" w:hAnsi="Verdana"/>
                <w:sz w:val="20"/>
                <w:szCs w:val="20"/>
              </w:rPr>
            </w:pPr>
          </w:p>
        </w:tc>
      </w:tr>
      <w:tr w:rsidR="007F1F58"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7F1F58" w:rsidRPr="0047618A" w:rsidRDefault="007F1F58" w:rsidP="007F1F58">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7F1F58" w:rsidRPr="0047618A" w:rsidRDefault="007F1F58" w:rsidP="007F1F5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7F1F58" w:rsidRPr="0047618A" w:rsidRDefault="007F1F58" w:rsidP="007F1F58">
            <w:pPr>
              <w:spacing w:before="60" w:after="20"/>
              <w:jc w:val="both"/>
              <w:rPr>
                <w:rFonts w:ascii="Verdana" w:hAnsi="Verdana"/>
                <w:sz w:val="20"/>
                <w:szCs w:val="20"/>
              </w:rPr>
            </w:pPr>
            <w:r w:rsidRPr="0047618A">
              <w:rPr>
                <w:rFonts w:ascii="Verdana" w:hAnsi="Verdana"/>
                <w:sz w:val="20"/>
                <w:szCs w:val="20"/>
              </w:rPr>
              <w:t xml:space="preserve">• </w:t>
            </w:r>
            <w:r w:rsidRPr="0047618A">
              <w:rPr>
                <w:rFonts w:ascii="Verdana" w:hAnsi="Verdana"/>
                <w:spacing w:val="-6"/>
                <w:sz w:val="20"/>
                <w:szCs w:val="20"/>
              </w:rPr>
              <w:t>несъответствие на предоставената информация на етикетите от страна на чуждестранни производители, които се позовават на изискванията на европейското законодателство, в случая Директива 2000/36/ЕО;</w:t>
            </w:r>
          </w:p>
        </w:tc>
        <w:tc>
          <w:tcPr>
            <w:tcW w:w="1842" w:type="dxa"/>
            <w:tcBorders>
              <w:top w:val="nil"/>
              <w:left w:val="single" w:sz="18" w:space="0" w:color="2E74B5"/>
              <w:bottom w:val="nil"/>
              <w:right w:val="single" w:sz="18" w:space="0" w:color="2E74B5"/>
            </w:tcBorders>
            <w:shd w:val="clear" w:color="auto" w:fill="auto"/>
          </w:tcPr>
          <w:p w:rsidR="007F1F58" w:rsidRPr="0047618A" w:rsidRDefault="007F1F58" w:rsidP="007F1F58">
            <w:pPr>
              <w:spacing w:before="60" w:after="20"/>
              <w:rPr>
                <w:rFonts w:ascii="Verdana" w:hAnsi="Verdana"/>
                <w:color w:val="FF0000"/>
                <w:sz w:val="20"/>
                <w:szCs w:val="20"/>
              </w:rPr>
            </w:pPr>
          </w:p>
        </w:tc>
        <w:tc>
          <w:tcPr>
            <w:tcW w:w="4964" w:type="dxa"/>
            <w:tcBorders>
              <w:top w:val="nil"/>
              <w:left w:val="single" w:sz="18" w:space="0" w:color="2E74B5"/>
              <w:bottom w:val="nil"/>
              <w:right w:val="single" w:sz="18" w:space="0" w:color="2E74B5"/>
            </w:tcBorders>
            <w:shd w:val="clear" w:color="auto" w:fill="auto"/>
          </w:tcPr>
          <w:p w:rsidR="007F1F58" w:rsidRPr="0047618A" w:rsidRDefault="007F1F58" w:rsidP="007F1F58">
            <w:pPr>
              <w:spacing w:before="60" w:after="20"/>
              <w:rPr>
                <w:rFonts w:ascii="Verdana" w:hAnsi="Verdana"/>
                <w:sz w:val="20"/>
                <w:szCs w:val="20"/>
              </w:rPr>
            </w:pPr>
          </w:p>
        </w:tc>
      </w:tr>
      <w:tr w:rsidR="007F1F58"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7F1F58" w:rsidRPr="0047618A" w:rsidRDefault="007F1F58" w:rsidP="007F1F58">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7F1F58" w:rsidRPr="0047618A" w:rsidRDefault="007F1F58" w:rsidP="007F1F58">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7F1F58" w:rsidRPr="0047618A" w:rsidRDefault="007F1F58" w:rsidP="007F1F58">
            <w:pPr>
              <w:spacing w:before="60" w:after="20"/>
              <w:jc w:val="both"/>
              <w:rPr>
                <w:rFonts w:ascii="Verdana" w:hAnsi="Verdana"/>
                <w:sz w:val="20"/>
                <w:szCs w:val="20"/>
              </w:rPr>
            </w:pPr>
            <w:r w:rsidRPr="0047618A">
              <w:rPr>
                <w:rFonts w:ascii="Verdana" w:hAnsi="Verdana"/>
                <w:sz w:val="20"/>
                <w:szCs w:val="20"/>
              </w:rPr>
              <w:t xml:space="preserve">• </w:t>
            </w:r>
            <w:r w:rsidRPr="0047618A">
              <w:rPr>
                <w:rFonts w:ascii="Verdana" w:hAnsi="Verdana"/>
                <w:spacing w:val="-4"/>
                <w:sz w:val="20"/>
                <w:szCs w:val="20"/>
              </w:rPr>
              <w:t>Затруднения на бизнеса, водещи до допълнителни административни тежести;</w:t>
            </w:r>
          </w:p>
        </w:tc>
        <w:tc>
          <w:tcPr>
            <w:tcW w:w="1842" w:type="dxa"/>
            <w:tcBorders>
              <w:top w:val="nil"/>
              <w:left w:val="single" w:sz="18" w:space="0" w:color="2E74B5"/>
              <w:bottom w:val="nil"/>
              <w:right w:val="single" w:sz="18" w:space="0" w:color="2E74B5"/>
            </w:tcBorders>
            <w:shd w:val="clear" w:color="auto" w:fill="auto"/>
          </w:tcPr>
          <w:p w:rsidR="007F1F58" w:rsidRPr="0047618A" w:rsidRDefault="007F1F58" w:rsidP="007F1F58">
            <w:pPr>
              <w:spacing w:before="60" w:after="20"/>
              <w:rPr>
                <w:rFonts w:ascii="Verdana" w:hAnsi="Verdana"/>
                <w:color w:val="FF0000"/>
                <w:sz w:val="20"/>
                <w:szCs w:val="20"/>
              </w:rPr>
            </w:pPr>
          </w:p>
        </w:tc>
        <w:tc>
          <w:tcPr>
            <w:tcW w:w="4964" w:type="dxa"/>
            <w:tcBorders>
              <w:top w:val="nil"/>
              <w:left w:val="single" w:sz="18" w:space="0" w:color="2E74B5"/>
              <w:bottom w:val="nil"/>
              <w:right w:val="single" w:sz="18" w:space="0" w:color="2E74B5"/>
            </w:tcBorders>
            <w:shd w:val="clear" w:color="auto" w:fill="auto"/>
          </w:tcPr>
          <w:p w:rsidR="007F1F58" w:rsidRPr="0047618A" w:rsidRDefault="007F1F58" w:rsidP="007F1F58">
            <w:pPr>
              <w:spacing w:before="60" w:after="20"/>
              <w:rPr>
                <w:rFonts w:ascii="Verdana" w:hAnsi="Verdana"/>
                <w:sz w:val="20"/>
                <w:szCs w:val="20"/>
              </w:rPr>
            </w:pPr>
          </w:p>
        </w:tc>
      </w:tr>
      <w:tr w:rsidR="009074A0"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9074A0" w:rsidRPr="0047618A" w:rsidRDefault="009074A0" w:rsidP="009074A0">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9074A0" w:rsidRPr="0047618A" w:rsidRDefault="009074A0" w:rsidP="009074A0">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9074A0" w:rsidRPr="0047618A" w:rsidRDefault="009074A0" w:rsidP="003C3718">
            <w:pPr>
              <w:spacing w:before="60" w:after="20"/>
              <w:jc w:val="both"/>
              <w:rPr>
                <w:rFonts w:ascii="Verdana" w:hAnsi="Verdana"/>
                <w:spacing w:val="-6"/>
                <w:sz w:val="20"/>
                <w:szCs w:val="20"/>
              </w:rPr>
            </w:pPr>
            <w:r w:rsidRPr="0047618A">
              <w:rPr>
                <w:rFonts w:ascii="Verdana" w:hAnsi="Verdana"/>
                <w:spacing w:val="-6"/>
                <w:sz w:val="20"/>
                <w:szCs w:val="20"/>
              </w:rPr>
              <w:t>•</w:t>
            </w:r>
            <w:r w:rsidR="003C3718">
              <w:rPr>
                <w:rFonts w:ascii="Verdana" w:hAnsi="Verdana"/>
                <w:spacing w:val="-6"/>
                <w:sz w:val="20"/>
                <w:szCs w:val="20"/>
              </w:rPr>
              <w:t xml:space="preserve"> </w:t>
            </w:r>
            <w:r w:rsidRPr="0047618A">
              <w:rPr>
                <w:rFonts w:ascii="Verdana" w:hAnsi="Verdana"/>
                <w:spacing w:val="-6"/>
                <w:sz w:val="20"/>
                <w:szCs w:val="20"/>
              </w:rPr>
              <w:t>Ограничение на Европейския пазар и неравнопоставеност на търговци/производители от ЕС-държави-членки и българските производители;</w:t>
            </w:r>
          </w:p>
        </w:tc>
        <w:tc>
          <w:tcPr>
            <w:tcW w:w="1842" w:type="dxa"/>
            <w:tcBorders>
              <w:top w:val="nil"/>
              <w:left w:val="single" w:sz="18" w:space="0" w:color="2E74B5"/>
              <w:bottom w:val="nil"/>
              <w:right w:val="single" w:sz="18" w:space="0" w:color="2E74B5"/>
            </w:tcBorders>
            <w:shd w:val="clear" w:color="auto" w:fill="auto"/>
          </w:tcPr>
          <w:p w:rsidR="009074A0" w:rsidRPr="0047618A" w:rsidRDefault="009074A0" w:rsidP="009074A0">
            <w:pPr>
              <w:spacing w:before="60" w:after="20"/>
              <w:rPr>
                <w:rFonts w:ascii="Verdana" w:hAnsi="Verdana"/>
                <w:color w:val="FF0000"/>
                <w:sz w:val="20"/>
                <w:szCs w:val="20"/>
              </w:rPr>
            </w:pPr>
          </w:p>
        </w:tc>
        <w:tc>
          <w:tcPr>
            <w:tcW w:w="4964" w:type="dxa"/>
            <w:tcBorders>
              <w:top w:val="nil"/>
              <w:left w:val="single" w:sz="18" w:space="0" w:color="2E74B5"/>
              <w:bottom w:val="nil"/>
              <w:right w:val="single" w:sz="18" w:space="0" w:color="2E74B5"/>
            </w:tcBorders>
            <w:shd w:val="clear" w:color="auto" w:fill="auto"/>
          </w:tcPr>
          <w:p w:rsidR="009074A0" w:rsidRPr="0047618A" w:rsidRDefault="009074A0" w:rsidP="009074A0">
            <w:pPr>
              <w:spacing w:before="60" w:after="20"/>
              <w:rPr>
                <w:rFonts w:ascii="Verdana" w:hAnsi="Verdana"/>
                <w:sz w:val="20"/>
                <w:szCs w:val="20"/>
              </w:rPr>
            </w:pPr>
          </w:p>
        </w:tc>
      </w:tr>
      <w:tr w:rsidR="00291587"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291587" w:rsidRPr="0047618A" w:rsidRDefault="00291587" w:rsidP="00291587">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291587" w:rsidRPr="0047618A" w:rsidRDefault="00291587" w:rsidP="00291587">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291587" w:rsidRPr="0047618A" w:rsidRDefault="00291587" w:rsidP="00291587">
            <w:pPr>
              <w:spacing w:before="60" w:after="20"/>
              <w:jc w:val="both"/>
              <w:rPr>
                <w:rFonts w:ascii="Verdana" w:hAnsi="Verdana"/>
                <w:sz w:val="20"/>
                <w:szCs w:val="20"/>
              </w:rPr>
            </w:pPr>
            <w:r w:rsidRPr="0047618A">
              <w:rPr>
                <w:rFonts w:ascii="Verdana" w:hAnsi="Verdana"/>
                <w:sz w:val="20"/>
                <w:szCs w:val="20"/>
              </w:rPr>
              <w:t xml:space="preserve">• Противоречие на българското законодателство с </w:t>
            </w:r>
            <w:r w:rsidRPr="0047618A">
              <w:rPr>
                <w:rFonts w:ascii="Verdana" w:hAnsi="Verdana"/>
                <w:sz w:val="20"/>
                <w:szCs w:val="20"/>
              </w:rPr>
              <w:lastRenderedPageBreak/>
              <w:t>Европейското;</w:t>
            </w:r>
          </w:p>
        </w:tc>
        <w:tc>
          <w:tcPr>
            <w:tcW w:w="1842" w:type="dxa"/>
            <w:tcBorders>
              <w:top w:val="nil"/>
              <w:left w:val="single" w:sz="18" w:space="0" w:color="2E74B5"/>
              <w:bottom w:val="nil"/>
              <w:right w:val="single" w:sz="18" w:space="0" w:color="2E74B5"/>
            </w:tcBorders>
            <w:shd w:val="clear" w:color="auto" w:fill="auto"/>
          </w:tcPr>
          <w:p w:rsidR="00291587" w:rsidRPr="0047618A" w:rsidRDefault="00291587" w:rsidP="00291587">
            <w:pPr>
              <w:spacing w:before="60" w:after="20"/>
              <w:rPr>
                <w:rFonts w:ascii="Verdana" w:hAnsi="Verdana"/>
                <w:color w:val="FF0000"/>
                <w:sz w:val="20"/>
                <w:szCs w:val="20"/>
              </w:rPr>
            </w:pPr>
          </w:p>
        </w:tc>
        <w:tc>
          <w:tcPr>
            <w:tcW w:w="4964" w:type="dxa"/>
            <w:tcBorders>
              <w:top w:val="nil"/>
              <w:left w:val="single" w:sz="18" w:space="0" w:color="2E74B5"/>
              <w:bottom w:val="nil"/>
              <w:right w:val="single" w:sz="18" w:space="0" w:color="2E74B5"/>
            </w:tcBorders>
            <w:shd w:val="clear" w:color="auto" w:fill="auto"/>
          </w:tcPr>
          <w:p w:rsidR="00291587" w:rsidRPr="0047618A" w:rsidRDefault="00291587" w:rsidP="00291587">
            <w:pPr>
              <w:spacing w:before="60" w:after="20"/>
              <w:rPr>
                <w:rFonts w:ascii="Verdana" w:hAnsi="Verdana"/>
                <w:sz w:val="20"/>
                <w:szCs w:val="20"/>
              </w:rPr>
            </w:pPr>
          </w:p>
        </w:tc>
      </w:tr>
      <w:tr w:rsidR="00291587" w:rsidRPr="0047618A" w:rsidTr="003D2931">
        <w:tc>
          <w:tcPr>
            <w:tcW w:w="622" w:type="dxa"/>
            <w:vMerge/>
            <w:tcBorders>
              <w:top w:val="single" w:sz="18" w:space="0" w:color="2E74B5"/>
              <w:left w:val="single" w:sz="18" w:space="0" w:color="2E74B5"/>
              <w:bottom w:val="nil"/>
              <w:right w:val="single" w:sz="18" w:space="0" w:color="2E74B5"/>
            </w:tcBorders>
            <w:shd w:val="clear" w:color="auto" w:fill="auto"/>
          </w:tcPr>
          <w:p w:rsidR="00291587" w:rsidRPr="0047618A" w:rsidRDefault="00291587" w:rsidP="00291587">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nil"/>
              <w:right w:val="single" w:sz="12" w:space="0" w:color="4F81BD" w:themeColor="accent1"/>
            </w:tcBorders>
            <w:shd w:val="clear" w:color="auto" w:fill="auto"/>
          </w:tcPr>
          <w:p w:rsidR="00291587" w:rsidRPr="0047618A" w:rsidRDefault="00291587" w:rsidP="00291587">
            <w:pPr>
              <w:spacing w:before="60" w:after="20"/>
              <w:rPr>
                <w:rFonts w:ascii="Tahoma" w:hAnsi="Tahoma" w:cs="Tahoma"/>
                <w:sz w:val="21"/>
                <w:szCs w:val="21"/>
              </w:rPr>
            </w:pPr>
          </w:p>
        </w:tc>
        <w:tc>
          <w:tcPr>
            <w:tcW w:w="5670" w:type="dxa"/>
            <w:tcBorders>
              <w:top w:val="nil"/>
              <w:left w:val="single" w:sz="12" w:space="0" w:color="4F81BD" w:themeColor="accent1"/>
              <w:bottom w:val="nil"/>
              <w:right w:val="single" w:sz="18" w:space="0" w:color="2E74B5"/>
            </w:tcBorders>
            <w:shd w:val="clear" w:color="auto" w:fill="auto"/>
          </w:tcPr>
          <w:p w:rsidR="00291587" w:rsidRPr="0047618A" w:rsidRDefault="00291587" w:rsidP="009A7C65">
            <w:pPr>
              <w:spacing w:before="60" w:after="20"/>
              <w:jc w:val="both"/>
              <w:rPr>
                <w:rFonts w:ascii="Verdana" w:hAnsi="Verdana"/>
                <w:sz w:val="20"/>
                <w:szCs w:val="20"/>
              </w:rPr>
            </w:pPr>
            <w:r w:rsidRPr="0047618A">
              <w:rPr>
                <w:rFonts w:ascii="Verdana" w:hAnsi="Verdana"/>
                <w:sz w:val="20"/>
                <w:szCs w:val="20"/>
              </w:rPr>
              <w:t>• Заблуда и объркване на потребителя.</w:t>
            </w:r>
          </w:p>
        </w:tc>
        <w:tc>
          <w:tcPr>
            <w:tcW w:w="1842" w:type="dxa"/>
            <w:tcBorders>
              <w:top w:val="nil"/>
              <w:left w:val="single" w:sz="18" w:space="0" w:color="2E74B5"/>
              <w:bottom w:val="nil"/>
              <w:right w:val="single" w:sz="18" w:space="0" w:color="2E74B5"/>
            </w:tcBorders>
            <w:shd w:val="clear" w:color="auto" w:fill="auto"/>
          </w:tcPr>
          <w:p w:rsidR="00291587" w:rsidRPr="0047618A" w:rsidRDefault="00291587" w:rsidP="00291587">
            <w:pPr>
              <w:spacing w:before="60" w:after="20"/>
              <w:rPr>
                <w:rFonts w:ascii="Verdana" w:hAnsi="Verdana"/>
                <w:color w:val="FF0000"/>
                <w:sz w:val="20"/>
                <w:szCs w:val="20"/>
              </w:rPr>
            </w:pPr>
          </w:p>
        </w:tc>
        <w:tc>
          <w:tcPr>
            <w:tcW w:w="4964" w:type="dxa"/>
            <w:tcBorders>
              <w:top w:val="nil"/>
              <w:left w:val="single" w:sz="18" w:space="0" w:color="2E74B5"/>
              <w:bottom w:val="nil"/>
              <w:right w:val="single" w:sz="18" w:space="0" w:color="2E74B5"/>
            </w:tcBorders>
            <w:shd w:val="clear" w:color="auto" w:fill="auto"/>
          </w:tcPr>
          <w:p w:rsidR="00291587" w:rsidRPr="0047618A" w:rsidRDefault="00291587" w:rsidP="00291587">
            <w:pPr>
              <w:spacing w:before="60" w:after="20"/>
              <w:rPr>
                <w:rFonts w:ascii="Verdana" w:hAnsi="Verdana"/>
                <w:sz w:val="20"/>
                <w:szCs w:val="20"/>
              </w:rPr>
            </w:pPr>
          </w:p>
        </w:tc>
      </w:tr>
      <w:tr w:rsidR="00FF2FAD" w:rsidRPr="0047618A" w:rsidTr="003D2931">
        <w:tc>
          <w:tcPr>
            <w:tcW w:w="622" w:type="dxa"/>
            <w:vMerge/>
            <w:tcBorders>
              <w:top w:val="single" w:sz="18" w:space="0" w:color="2E74B5"/>
              <w:left w:val="single" w:sz="18" w:space="0" w:color="2E74B5"/>
              <w:bottom w:val="single" w:sz="18" w:space="0" w:color="2E74B5"/>
              <w:right w:val="single" w:sz="18" w:space="0" w:color="2E74B5"/>
            </w:tcBorders>
            <w:shd w:val="clear" w:color="auto" w:fill="auto"/>
          </w:tcPr>
          <w:p w:rsidR="00FF2FAD" w:rsidRPr="0047618A" w:rsidRDefault="00FF2FAD" w:rsidP="00FF2FAD">
            <w:pPr>
              <w:pStyle w:val="ListParagraph"/>
              <w:numPr>
                <w:ilvl w:val="0"/>
                <w:numId w:val="7"/>
              </w:numPr>
              <w:tabs>
                <w:tab w:val="left" w:pos="192"/>
              </w:tabs>
              <w:spacing w:before="60" w:after="20"/>
              <w:jc w:val="center"/>
              <w:rPr>
                <w:rFonts w:ascii="Verdana" w:hAnsi="Verdana"/>
                <w:b/>
                <w:sz w:val="20"/>
                <w:szCs w:val="20"/>
              </w:rPr>
            </w:pPr>
          </w:p>
        </w:tc>
        <w:tc>
          <w:tcPr>
            <w:tcW w:w="2552" w:type="dxa"/>
            <w:vMerge/>
            <w:tcBorders>
              <w:top w:val="nil"/>
              <w:left w:val="single" w:sz="18" w:space="0" w:color="2E74B5"/>
              <w:bottom w:val="single" w:sz="18" w:space="0" w:color="2E74B5"/>
              <w:right w:val="single" w:sz="12" w:space="0" w:color="4F81BD" w:themeColor="accent1"/>
            </w:tcBorders>
            <w:shd w:val="clear" w:color="auto" w:fill="auto"/>
          </w:tcPr>
          <w:p w:rsidR="00FF2FAD" w:rsidRPr="0047618A" w:rsidRDefault="00FF2FAD" w:rsidP="00FF2FAD">
            <w:pPr>
              <w:spacing w:before="60" w:after="20"/>
              <w:rPr>
                <w:rFonts w:ascii="Tahoma" w:hAnsi="Tahoma" w:cs="Tahoma"/>
                <w:sz w:val="21"/>
                <w:szCs w:val="21"/>
              </w:rPr>
            </w:pPr>
          </w:p>
        </w:tc>
        <w:tc>
          <w:tcPr>
            <w:tcW w:w="5670" w:type="dxa"/>
            <w:tcBorders>
              <w:top w:val="nil"/>
              <w:left w:val="single" w:sz="12" w:space="0" w:color="4F81BD" w:themeColor="accent1"/>
              <w:bottom w:val="single" w:sz="18" w:space="0" w:color="2E74B5"/>
              <w:right w:val="single" w:sz="18" w:space="0" w:color="2E74B5"/>
            </w:tcBorders>
            <w:shd w:val="clear" w:color="auto" w:fill="auto"/>
          </w:tcPr>
          <w:p w:rsidR="00FF2FAD" w:rsidRPr="0047618A" w:rsidRDefault="00FF2FAD" w:rsidP="00FF2FAD">
            <w:pPr>
              <w:spacing w:before="60" w:after="20"/>
              <w:jc w:val="both"/>
              <w:rPr>
                <w:rFonts w:ascii="Verdana" w:hAnsi="Verdana"/>
                <w:sz w:val="20"/>
                <w:szCs w:val="20"/>
              </w:rPr>
            </w:pPr>
            <w:r w:rsidRPr="0047618A">
              <w:rPr>
                <w:rFonts w:ascii="Verdana" w:hAnsi="Verdana"/>
                <w:sz w:val="20"/>
                <w:szCs w:val="20"/>
              </w:rPr>
              <w:t>Макар разликата да е терминологична, с цел коректно хармонизиране на националното законодателство с приложимата европейска правна рамка, както и с цел коректно етикетиране на шоколадовите продукти, предлагаме и молим да приемете при бъдещото транспониране на правните норми на Директива 2000/36/ЕО от 23 юни 2000 година (посл. изм. 2016) в новата Наредба за изискванията към какаото и шоколадовите продукти да бъде хармонизирана с Европейското законодателство и да е изправена посочената техническа неточност, като се използват термините и задължителните изрази, посочени в Директива 2000/36/ЕО от 23 юни 2000 година (посл. изм. 2016).</w:t>
            </w:r>
          </w:p>
        </w:tc>
        <w:tc>
          <w:tcPr>
            <w:tcW w:w="1842" w:type="dxa"/>
            <w:tcBorders>
              <w:top w:val="nil"/>
              <w:left w:val="single" w:sz="18" w:space="0" w:color="2E74B5"/>
              <w:bottom w:val="single" w:sz="18" w:space="0" w:color="2E74B5"/>
              <w:right w:val="single" w:sz="18" w:space="0" w:color="2E74B5"/>
            </w:tcBorders>
            <w:shd w:val="clear" w:color="auto" w:fill="auto"/>
          </w:tcPr>
          <w:p w:rsidR="00FF2FAD" w:rsidRPr="0047618A" w:rsidRDefault="00FF2FAD" w:rsidP="00FF2FAD">
            <w:pPr>
              <w:spacing w:before="60" w:after="20"/>
              <w:rPr>
                <w:rFonts w:ascii="Verdana" w:hAnsi="Verdana"/>
                <w:color w:val="FF0000"/>
                <w:sz w:val="20"/>
                <w:szCs w:val="20"/>
              </w:rPr>
            </w:pPr>
            <w:r w:rsidRPr="0047618A">
              <w:rPr>
                <w:rFonts w:ascii="Verdana" w:hAnsi="Verdana"/>
                <w:sz w:val="20"/>
                <w:szCs w:val="20"/>
              </w:rPr>
              <w:t>Не се приема</w:t>
            </w:r>
          </w:p>
        </w:tc>
        <w:tc>
          <w:tcPr>
            <w:tcW w:w="4964" w:type="dxa"/>
            <w:tcBorders>
              <w:top w:val="nil"/>
              <w:left w:val="single" w:sz="18" w:space="0" w:color="2E74B5"/>
              <w:bottom w:val="single" w:sz="18" w:space="0" w:color="2E74B5"/>
              <w:right w:val="single" w:sz="18" w:space="0" w:color="2E74B5"/>
            </w:tcBorders>
            <w:shd w:val="clear" w:color="auto" w:fill="auto"/>
          </w:tcPr>
          <w:p w:rsidR="004D7E0D" w:rsidRPr="0047618A" w:rsidRDefault="004D7E0D" w:rsidP="003D2931">
            <w:pPr>
              <w:spacing w:before="40" w:after="20"/>
              <w:jc w:val="both"/>
              <w:rPr>
                <w:rFonts w:ascii="Verdana" w:hAnsi="Verdana"/>
                <w:sz w:val="20"/>
                <w:szCs w:val="20"/>
              </w:rPr>
            </w:pPr>
            <w:r w:rsidRPr="0047618A">
              <w:rPr>
                <w:rFonts w:ascii="Verdana" w:hAnsi="Verdana"/>
                <w:sz w:val="20"/>
                <w:szCs w:val="20"/>
              </w:rPr>
              <w:t xml:space="preserve">С проекта на наредба в националното законодателство се запазва транспонирането на Директива 2000/36/ЕО на Европейския парламент и на Съвета от 23 юни 2000 година относно какаовите и шоколадовите продукти, предназначени за консумация от човека. </w:t>
            </w:r>
          </w:p>
          <w:p w:rsidR="004D7E0D" w:rsidRPr="0047618A" w:rsidRDefault="004D7E0D" w:rsidP="003D2931">
            <w:pPr>
              <w:spacing w:before="40" w:after="20"/>
              <w:jc w:val="both"/>
              <w:rPr>
                <w:rFonts w:ascii="Verdana" w:hAnsi="Verdana"/>
                <w:sz w:val="20"/>
                <w:szCs w:val="20"/>
              </w:rPr>
            </w:pPr>
            <w:r w:rsidRPr="0047618A">
              <w:rPr>
                <w:rFonts w:ascii="Verdana" w:hAnsi="Verdana"/>
                <w:sz w:val="20"/>
                <w:szCs w:val="20"/>
              </w:rPr>
              <w:t>Посочената директива е въведена за първи път в българското законодателство през 2002 г. с Наредбата за изискванията към какаото и шоколадовите продукти, приета с Постановление № 251 на Министерския съвет от 2002 г. (обн., ДВ, бр. 107 от 2002 г.).</w:t>
            </w:r>
          </w:p>
          <w:p w:rsidR="00FF2FAD" w:rsidRPr="0047618A" w:rsidRDefault="004D7E0D" w:rsidP="003D2931">
            <w:pPr>
              <w:spacing w:before="40" w:after="20"/>
              <w:jc w:val="both"/>
              <w:rPr>
                <w:rFonts w:ascii="Verdana" w:hAnsi="Verdana"/>
                <w:sz w:val="20"/>
                <w:szCs w:val="20"/>
              </w:rPr>
            </w:pPr>
            <w:r w:rsidRPr="0047618A">
              <w:rPr>
                <w:rFonts w:ascii="Verdana" w:hAnsi="Verdana"/>
                <w:sz w:val="20"/>
                <w:szCs w:val="20"/>
              </w:rPr>
              <w:t xml:space="preserve">С проекта на нова Наредба за изискванията към какаото и шоколадовите продукти не се въвеждат различни от сега действащата наредба изисквания по отношение на техните  наименования, състав, характеристики и етикетиране, вкл. по отношение </w:t>
            </w:r>
            <w:r w:rsidR="00293DFF" w:rsidRPr="0047618A">
              <w:rPr>
                <w:rFonts w:ascii="Verdana" w:hAnsi="Verdana"/>
                <w:sz w:val="20"/>
                <w:szCs w:val="20"/>
              </w:rPr>
              <w:t xml:space="preserve">на </w:t>
            </w:r>
            <w:r w:rsidRPr="0047618A">
              <w:rPr>
                <w:rFonts w:ascii="Verdana" w:hAnsi="Verdana"/>
                <w:sz w:val="20"/>
                <w:szCs w:val="20"/>
              </w:rPr>
              <w:t>използваната терминология.</w:t>
            </w:r>
          </w:p>
          <w:p w:rsidR="00DA6176" w:rsidRPr="0047618A" w:rsidRDefault="007679B3" w:rsidP="003D2931">
            <w:pPr>
              <w:spacing w:before="40" w:after="20"/>
              <w:jc w:val="both"/>
              <w:rPr>
                <w:rFonts w:ascii="Verdana" w:hAnsi="Verdana"/>
                <w:sz w:val="20"/>
                <w:szCs w:val="20"/>
              </w:rPr>
            </w:pPr>
            <w:r w:rsidRPr="0047618A">
              <w:rPr>
                <w:rFonts w:ascii="Verdana" w:hAnsi="Verdana"/>
                <w:sz w:val="20"/>
                <w:szCs w:val="20"/>
              </w:rPr>
              <w:t xml:space="preserve">С чл. 15, т. 3 от проекта на наредба в българското законодателство се транспонират изискванията на  член 3, параграф </w:t>
            </w:r>
            <w:r w:rsidR="0050586D" w:rsidRPr="0047618A">
              <w:rPr>
                <w:rFonts w:ascii="Verdana" w:hAnsi="Verdana"/>
                <w:sz w:val="20"/>
                <w:szCs w:val="20"/>
              </w:rPr>
              <w:t xml:space="preserve">3 </w:t>
            </w:r>
            <w:r w:rsidRPr="0047618A">
              <w:rPr>
                <w:rFonts w:ascii="Verdana" w:hAnsi="Verdana"/>
                <w:sz w:val="20"/>
                <w:szCs w:val="20"/>
              </w:rPr>
              <w:t>от Директива 2000/36/ЕО.</w:t>
            </w:r>
            <w:r w:rsidR="0050586D" w:rsidRPr="0047618A">
              <w:rPr>
                <w:rFonts w:ascii="Verdana" w:hAnsi="Verdana"/>
                <w:sz w:val="20"/>
                <w:szCs w:val="20"/>
              </w:rPr>
              <w:t xml:space="preserve"> </w:t>
            </w:r>
            <w:r w:rsidR="004D7E0D" w:rsidRPr="0047618A">
              <w:rPr>
                <w:rFonts w:ascii="Verdana" w:hAnsi="Verdana"/>
                <w:sz w:val="20"/>
                <w:szCs w:val="20"/>
              </w:rPr>
              <w:t>Следва да се има предвид</w:t>
            </w:r>
            <w:r w:rsidR="005E3432" w:rsidRPr="0047618A">
              <w:rPr>
                <w:rFonts w:ascii="Verdana" w:hAnsi="Verdana"/>
                <w:sz w:val="20"/>
                <w:szCs w:val="20"/>
              </w:rPr>
              <w:t xml:space="preserve">, че </w:t>
            </w:r>
            <w:r w:rsidR="0000371C" w:rsidRPr="0047618A">
              <w:rPr>
                <w:rFonts w:ascii="Verdana" w:hAnsi="Verdana"/>
                <w:sz w:val="20"/>
                <w:szCs w:val="20"/>
              </w:rPr>
              <w:t xml:space="preserve">в българската езикова версия на </w:t>
            </w:r>
            <w:r w:rsidR="0050586D" w:rsidRPr="0047618A">
              <w:rPr>
                <w:rFonts w:ascii="Verdana" w:hAnsi="Verdana"/>
                <w:sz w:val="20"/>
                <w:szCs w:val="20"/>
              </w:rPr>
              <w:t xml:space="preserve">директивата, </w:t>
            </w:r>
            <w:r w:rsidR="00BA0202" w:rsidRPr="0047618A">
              <w:rPr>
                <w:rFonts w:ascii="Verdana" w:hAnsi="Verdana"/>
                <w:sz w:val="20"/>
                <w:szCs w:val="20"/>
              </w:rPr>
              <w:t xml:space="preserve">в текста на параграф 3 от член 3 </w:t>
            </w:r>
            <w:r w:rsidR="0000371C" w:rsidRPr="0047618A">
              <w:rPr>
                <w:rFonts w:ascii="Verdana" w:hAnsi="Verdana"/>
                <w:sz w:val="20"/>
                <w:szCs w:val="20"/>
              </w:rPr>
              <w:t xml:space="preserve">съществува </w:t>
            </w:r>
            <w:r w:rsidR="005E3432" w:rsidRPr="0047618A">
              <w:rPr>
                <w:rFonts w:ascii="Verdana" w:hAnsi="Verdana"/>
                <w:sz w:val="20"/>
                <w:szCs w:val="20"/>
              </w:rPr>
              <w:t>неточност</w:t>
            </w:r>
            <w:r w:rsidR="0000371C" w:rsidRPr="0047618A">
              <w:rPr>
                <w:rFonts w:ascii="Verdana" w:hAnsi="Verdana"/>
                <w:sz w:val="20"/>
                <w:szCs w:val="20"/>
              </w:rPr>
              <w:t xml:space="preserve"> </w:t>
            </w:r>
            <w:r w:rsidR="00B20C13" w:rsidRPr="0047618A">
              <w:rPr>
                <w:rFonts w:ascii="Verdana" w:hAnsi="Verdana"/>
                <w:sz w:val="20"/>
                <w:szCs w:val="20"/>
              </w:rPr>
              <w:t>относно използван</w:t>
            </w:r>
            <w:r w:rsidR="0050586D" w:rsidRPr="0047618A">
              <w:rPr>
                <w:rFonts w:ascii="Verdana" w:hAnsi="Verdana"/>
                <w:sz w:val="20"/>
                <w:szCs w:val="20"/>
              </w:rPr>
              <w:t>ата</w:t>
            </w:r>
            <w:r w:rsidR="00B20C13" w:rsidRPr="0047618A">
              <w:rPr>
                <w:rFonts w:ascii="Verdana" w:hAnsi="Verdana"/>
                <w:sz w:val="20"/>
                <w:szCs w:val="20"/>
              </w:rPr>
              <w:t xml:space="preserve"> термин</w:t>
            </w:r>
            <w:r w:rsidR="0050586D" w:rsidRPr="0047618A">
              <w:rPr>
                <w:rFonts w:ascii="Verdana" w:hAnsi="Verdana"/>
                <w:sz w:val="20"/>
                <w:szCs w:val="20"/>
              </w:rPr>
              <w:t xml:space="preserve">ология </w:t>
            </w:r>
            <w:r w:rsidR="00BA0202" w:rsidRPr="0047618A">
              <w:rPr>
                <w:rFonts w:ascii="Verdana" w:hAnsi="Verdana"/>
                <w:sz w:val="20"/>
                <w:szCs w:val="20"/>
              </w:rPr>
              <w:t xml:space="preserve">в израза </w:t>
            </w:r>
            <w:r w:rsidR="0050586D" w:rsidRPr="0047618A">
              <w:rPr>
                <w:rFonts w:ascii="Verdana" w:hAnsi="Verdana"/>
                <w:sz w:val="20"/>
                <w:szCs w:val="20"/>
              </w:rPr>
              <w:t>„какао: минимум…%“.</w:t>
            </w:r>
            <w:r w:rsidR="00535844" w:rsidRPr="0047618A">
              <w:rPr>
                <w:rFonts w:ascii="Verdana" w:hAnsi="Verdana"/>
                <w:sz w:val="20"/>
                <w:szCs w:val="20"/>
              </w:rPr>
              <w:t xml:space="preserve"> Съгласно английската езикова версия (основна (водеща) езикова версия</w:t>
            </w:r>
            <w:r w:rsidR="00C00B93" w:rsidRPr="0047618A">
              <w:rPr>
                <w:rFonts w:ascii="Verdana" w:hAnsi="Verdana"/>
                <w:sz w:val="20"/>
                <w:szCs w:val="20"/>
              </w:rPr>
              <w:t xml:space="preserve"> на директивата</w:t>
            </w:r>
            <w:r w:rsidR="00535844" w:rsidRPr="0047618A">
              <w:rPr>
                <w:rFonts w:ascii="Verdana" w:hAnsi="Verdana"/>
                <w:sz w:val="20"/>
                <w:szCs w:val="20"/>
              </w:rPr>
              <w:t xml:space="preserve">), </w:t>
            </w:r>
            <w:r w:rsidR="00535844" w:rsidRPr="0047618A">
              <w:rPr>
                <w:rFonts w:ascii="Verdana" w:hAnsi="Verdana"/>
                <w:sz w:val="20"/>
                <w:szCs w:val="20"/>
              </w:rPr>
              <w:lastRenderedPageBreak/>
              <w:t>аналогичният текст гласи:</w:t>
            </w:r>
            <w:r w:rsidR="00C00B93" w:rsidRPr="0047618A">
              <w:rPr>
                <w:rFonts w:ascii="Verdana" w:hAnsi="Verdana"/>
                <w:sz w:val="20"/>
                <w:szCs w:val="20"/>
              </w:rPr>
              <w:t xml:space="preserve"> ‘cocoa solids:… % minimum’.</w:t>
            </w:r>
            <w:r w:rsidR="00BA0202" w:rsidRPr="0047618A">
              <w:rPr>
                <w:rFonts w:ascii="Verdana" w:hAnsi="Verdana"/>
                <w:sz w:val="20"/>
                <w:szCs w:val="20"/>
              </w:rPr>
              <w:t xml:space="preserve"> Видно от цялостния прочит на член 3, параграфи 3 и 5 на директивата (както на български, така и на английски език), става ясно, че </w:t>
            </w:r>
            <w:r w:rsidR="003D497F" w:rsidRPr="0047618A">
              <w:rPr>
                <w:rFonts w:ascii="Verdana" w:hAnsi="Verdana"/>
                <w:sz w:val="20"/>
                <w:szCs w:val="20"/>
              </w:rPr>
              <w:t>изискванията в разпоредбите се отнасят за</w:t>
            </w:r>
            <w:r w:rsidR="003D497F" w:rsidRPr="0047618A">
              <w:t xml:space="preserve"> </w:t>
            </w:r>
            <w:r w:rsidR="003D497F" w:rsidRPr="0047618A">
              <w:rPr>
                <w:rFonts w:ascii="Verdana" w:hAnsi="Verdana"/>
                <w:sz w:val="20"/>
                <w:szCs w:val="20"/>
              </w:rPr>
              <w:t>съдържанието на „общото сухо какаово вещество“, а не за съдържанието на какао.</w:t>
            </w:r>
            <w:r w:rsidR="00131089" w:rsidRPr="0047618A">
              <w:rPr>
                <w:rFonts w:ascii="Verdana" w:hAnsi="Verdana"/>
                <w:sz w:val="20"/>
                <w:szCs w:val="20"/>
              </w:rPr>
              <w:t xml:space="preserve"> В Приложение I, част А, т. 2</w:t>
            </w:r>
            <w:r w:rsidR="00293DFF" w:rsidRPr="0047618A">
              <w:rPr>
                <w:rFonts w:ascii="Verdana" w:hAnsi="Verdana"/>
                <w:sz w:val="20"/>
                <w:szCs w:val="20"/>
              </w:rPr>
              <w:t xml:space="preserve">. </w:t>
            </w:r>
            <w:r w:rsidR="00131089" w:rsidRPr="0047618A">
              <w:rPr>
                <w:rFonts w:ascii="Verdana" w:hAnsi="Verdana"/>
                <w:sz w:val="20"/>
                <w:szCs w:val="20"/>
              </w:rPr>
              <w:t xml:space="preserve">а) на директивата, е дадено изрично определение на </w:t>
            </w:r>
            <w:r w:rsidR="000B3C69" w:rsidRPr="0047618A">
              <w:rPr>
                <w:rFonts w:ascii="Verdana" w:hAnsi="Verdana"/>
                <w:sz w:val="20"/>
                <w:szCs w:val="20"/>
              </w:rPr>
              <w:t>термина „к</w:t>
            </w:r>
            <w:r w:rsidR="00131089" w:rsidRPr="0047618A">
              <w:rPr>
                <w:rFonts w:ascii="Verdana" w:hAnsi="Verdana"/>
                <w:sz w:val="20"/>
                <w:szCs w:val="20"/>
              </w:rPr>
              <w:t>акао на прах, какао</w:t>
            </w:r>
            <w:r w:rsidR="000B3C69" w:rsidRPr="0047618A">
              <w:rPr>
                <w:rFonts w:ascii="Verdana" w:hAnsi="Verdana"/>
                <w:sz w:val="20"/>
                <w:szCs w:val="20"/>
              </w:rPr>
              <w:t xml:space="preserve">“, съгласно което това е </w:t>
            </w:r>
            <w:r w:rsidR="00131089" w:rsidRPr="0047618A">
              <w:rPr>
                <w:rFonts w:ascii="Verdana" w:hAnsi="Verdana"/>
                <w:sz w:val="20"/>
                <w:szCs w:val="20"/>
              </w:rPr>
              <w:t>продукт, който се получава от превръщането в прах на изчистени, обелени и изпечени какаови зърна, и който съдържа не по-малко от 20 % какаово масло, които се изчисляват спрямо теглото на сухото вещество, и не повече от 9 % вода.</w:t>
            </w:r>
            <w:r w:rsidR="00DA6176" w:rsidRPr="0047618A">
              <w:rPr>
                <w:rFonts w:ascii="Verdana" w:hAnsi="Verdana"/>
                <w:sz w:val="20"/>
                <w:szCs w:val="20"/>
              </w:rPr>
              <w:t xml:space="preserve"> Напълно идентичен текст се съдържа в чл. 3, ал. 1 от проекта на наредба, който транспонира цитиран</w:t>
            </w:r>
            <w:r w:rsidR="00D35E36" w:rsidRPr="0047618A">
              <w:rPr>
                <w:rFonts w:ascii="Verdana" w:hAnsi="Verdana"/>
                <w:sz w:val="20"/>
                <w:szCs w:val="20"/>
              </w:rPr>
              <w:t>ата</w:t>
            </w:r>
            <w:r w:rsidR="00DA6176" w:rsidRPr="0047618A">
              <w:rPr>
                <w:rFonts w:ascii="Verdana" w:hAnsi="Verdana"/>
                <w:sz w:val="20"/>
                <w:szCs w:val="20"/>
              </w:rPr>
              <w:t xml:space="preserve"> </w:t>
            </w:r>
            <w:r w:rsidR="00D35E36" w:rsidRPr="0047618A">
              <w:rPr>
                <w:rFonts w:ascii="Verdana" w:hAnsi="Verdana"/>
                <w:sz w:val="20"/>
                <w:szCs w:val="20"/>
              </w:rPr>
              <w:t>разпоредба</w:t>
            </w:r>
            <w:r w:rsidR="00DA6176" w:rsidRPr="0047618A">
              <w:rPr>
                <w:rFonts w:ascii="Verdana" w:hAnsi="Verdana"/>
                <w:sz w:val="20"/>
                <w:szCs w:val="20"/>
              </w:rPr>
              <w:t xml:space="preserve"> на директивата.</w:t>
            </w:r>
          </w:p>
          <w:p w:rsidR="00100CAE" w:rsidRPr="0047618A" w:rsidRDefault="00DA6176" w:rsidP="003D2931">
            <w:pPr>
              <w:spacing w:before="40" w:after="20"/>
              <w:jc w:val="both"/>
              <w:rPr>
                <w:rFonts w:ascii="Verdana" w:hAnsi="Verdana"/>
                <w:sz w:val="20"/>
                <w:szCs w:val="20"/>
              </w:rPr>
            </w:pPr>
            <w:r w:rsidRPr="0047618A">
              <w:rPr>
                <w:rFonts w:ascii="Verdana" w:hAnsi="Verdana"/>
                <w:sz w:val="20"/>
                <w:szCs w:val="20"/>
              </w:rPr>
              <w:t>О</w:t>
            </w:r>
            <w:r w:rsidR="00D83D2A" w:rsidRPr="0047618A">
              <w:rPr>
                <w:rFonts w:ascii="Verdana" w:hAnsi="Verdana"/>
                <w:sz w:val="20"/>
                <w:szCs w:val="20"/>
              </w:rPr>
              <w:t xml:space="preserve">т гореизложеното </w:t>
            </w:r>
            <w:r w:rsidRPr="0047618A">
              <w:rPr>
                <w:rFonts w:ascii="Verdana" w:hAnsi="Verdana"/>
                <w:sz w:val="20"/>
                <w:szCs w:val="20"/>
              </w:rPr>
              <w:t>е видно, че</w:t>
            </w:r>
            <w:r w:rsidR="00D83D2A" w:rsidRPr="0047618A">
              <w:rPr>
                <w:rFonts w:ascii="Verdana" w:hAnsi="Verdana"/>
                <w:sz w:val="20"/>
                <w:szCs w:val="20"/>
              </w:rPr>
              <w:t xml:space="preserve"> термините „сухо какаово вещество“ и „какао“ в директивата имат различно значение и се употребяват с различен смисъл. Аналогично на посоченото, в проекта на наредба термините „</w:t>
            </w:r>
            <w:r w:rsidR="00100CAE" w:rsidRPr="0047618A">
              <w:rPr>
                <w:rFonts w:ascii="Verdana" w:hAnsi="Verdana"/>
                <w:sz w:val="20"/>
                <w:szCs w:val="20"/>
              </w:rPr>
              <w:t xml:space="preserve">суха </w:t>
            </w:r>
            <w:r w:rsidR="00D83D2A" w:rsidRPr="0047618A">
              <w:rPr>
                <w:rFonts w:ascii="Verdana" w:hAnsi="Verdana"/>
                <w:sz w:val="20"/>
                <w:szCs w:val="20"/>
              </w:rPr>
              <w:t>какаова маса“ („сухо какаово вещество“) и „какао“, не са равнозначни помежду си и се употребяват с различен смисъл.</w:t>
            </w:r>
          </w:p>
          <w:p w:rsidR="004D7E0D" w:rsidRPr="0047618A" w:rsidRDefault="00100CAE" w:rsidP="003D2931">
            <w:pPr>
              <w:spacing w:before="40" w:after="20"/>
              <w:jc w:val="both"/>
              <w:rPr>
                <w:rFonts w:ascii="Verdana" w:hAnsi="Verdana"/>
                <w:sz w:val="20"/>
                <w:szCs w:val="20"/>
              </w:rPr>
            </w:pPr>
            <w:r w:rsidRPr="0047618A">
              <w:rPr>
                <w:rFonts w:ascii="Verdana" w:hAnsi="Verdana"/>
                <w:sz w:val="20"/>
                <w:szCs w:val="20"/>
              </w:rPr>
              <w:t xml:space="preserve">Несъответствията </w:t>
            </w:r>
            <w:r w:rsidR="00733827" w:rsidRPr="0047618A">
              <w:rPr>
                <w:rFonts w:ascii="Verdana" w:hAnsi="Verdana"/>
                <w:sz w:val="20"/>
                <w:szCs w:val="20"/>
              </w:rPr>
              <w:t xml:space="preserve">в българската езикова версия на Директива 2000/36/ЕО спрямо английската езикова версия и в частност – в член 3, параграф 3, са взети предвид още при първоначалното транспониране на директивата в българското законодателство през 2002 г. с Наредбата за изискванията </w:t>
            </w:r>
            <w:r w:rsidR="00733827" w:rsidRPr="0047618A">
              <w:rPr>
                <w:rFonts w:ascii="Verdana" w:hAnsi="Verdana"/>
                <w:sz w:val="20"/>
                <w:szCs w:val="20"/>
              </w:rPr>
              <w:lastRenderedPageBreak/>
              <w:t xml:space="preserve">към какаото и шоколадовите продукти, приета с Постановление № 251 на Министерския съвет от 2002 г. (обн., ДВ, бр. 107 от 2002 г.). </w:t>
            </w:r>
            <w:r w:rsidR="005C5B7B" w:rsidRPr="0047618A">
              <w:rPr>
                <w:rFonts w:ascii="Verdana" w:hAnsi="Verdana"/>
                <w:sz w:val="20"/>
                <w:szCs w:val="20"/>
              </w:rPr>
              <w:t>Предвид посоченото, визираните изисквания на европейското законодателство са правилно и точно въведени в националното, и в това отношение няма необходимост от извършване на промени с настоящия проект на нова наредба.</w:t>
            </w:r>
          </w:p>
        </w:tc>
      </w:tr>
    </w:tbl>
    <w:p w:rsidR="006C7A49" w:rsidRPr="0047618A" w:rsidRDefault="006C7A49" w:rsidP="00C17178">
      <w:pPr>
        <w:rPr>
          <w:rFonts w:ascii="Verdana" w:hAnsi="Verdana"/>
          <w:b/>
          <w:bCs/>
          <w:caps/>
          <w:color w:val="000000" w:themeColor="text1"/>
          <w:sz w:val="20"/>
          <w:szCs w:val="20"/>
        </w:rPr>
      </w:pPr>
    </w:p>
    <w:p w:rsidR="006C7A49" w:rsidRPr="0047618A" w:rsidRDefault="006C7A49" w:rsidP="00C17178">
      <w:pPr>
        <w:rPr>
          <w:rFonts w:ascii="Verdana" w:hAnsi="Verdana"/>
          <w:b/>
          <w:bCs/>
          <w:caps/>
          <w:color w:val="000000" w:themeColor="text1"/>
          <w:sz w:val="20"/>
          <w:szCs w:val="20"/>
        </w:rPr>
      </w:pPr>
    </w:p>
    <w:p w:rsidR="006C7A49" w:rsidRPr="0047618A" w:rsidRDefault="006C7A49" w:rsidP="00C17178">
      <w:pPr>
        <w:rPr>
          <w:rFonts w:ascii="Verdana" w:hAnsi="Verdana"/>
          <w:b/>
          <w:bCs/>
          <w:caps/>
          <w:color w:val="000000" w:themeColor="text1"/>
          <w:sz w:val="20"/>
          <w:szCs w:val="20"/>
        </w:rPr>
      </w:pPr>
    </w:p>
    <w:p w:rsidR="006C7A49" w:rsidRPr="0047618A" w:rsidRDefault="006C7A49" w:rsidP="00C17178">
      <w:pPr>
        <w:rPr>
          <w:rFonts w:ascii="Verdana" w:hAnsi="Verdana"/>
          <w:b/>
          <w:bCs/>
          <w:caps/>
          <w:color w:val="000000" w:themeColor="text1"/>
          <w:sz w:val="20"/>
          <w:szCs w:val="20"/>
        </w:rPr>
      </w:pPr>
    </w:p>
    <w:p w:rsidR="009A7C65" w:rsidRPr="0047618A" w:rsidRDefault="009A7C65" w:rsidP="00C17178">
      <w:pPr>
        <w:rPr>
          <w:rFonts w:ascii="Verdana" w:hAnsi="Verdana"/>
          <w:b/>
          <w:bCs/>
          <w:caps/>
          <w:color w:val="000000" w:themeColor="text1"/>
          <w:sz w:val="20"/>
          <w:szCs w:val="20"/>
        </w:rPr>
      </w:pPr>
    </w:p>
    <w:p w:rsidR="007D3D5B" w:rsidRPr="0047618A" w:rsidRDefault="007D3D5B" w:rsidP="00C17178">
      <w:pPr>
        <w:rPr>
          <w:rFonts w:ascii="Verdana" w:hAnsi="Verdana"/>
          <w:b/>
          <w:bCs/>
          <w:caps/>
          <w:color w:val="000000" w:themeColor="text1"/>
          <w:sz w:val="20"/>
          <w:szCs w:val="20"/>
        </w:rPr>
      </w:pPr>
      <w:bookmarkStart w:id="0" w:name="_GoBack"/>
      <w:bookmarkEnd w:id="0"/>
    </w:p>
    <w:sectPr w:rsidR="007D3D5B" w:rsidRPr="0047618A" w:rsidSect="005B38FA">
      <w:footerReference w:type="even" r:id="rId8"/>
      <w:footerReference w:type="defaul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57A" w:rsidRDefault="000C657A">
      <w:r>
        <w:separator/>
      </w:r>
    </w:p>
  </w:endnote>
  <w:endnote w:type="continuationSeparator" w:id="0">
    <w:p w:rsidR="000C657A" w:rsidRDefault="000C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509132"/>
      <w:docPartObj>
        <w:docPartGallery w:val="Page Numbers (Bottom of Page)"/>
        <w:docPartUnique/>
      </w:docPartObj>
    </w:sdtPr>
    <w:sdtEndPr>
      <w:rPr>
        <w:rFonts w:ascii="Verdana" w:hAnsi="Verdana"/>
        <w:noProof/>
        <w:sz w:val="16"/>
        <w:szCs w:val="20"/>
      </w:rPr>
    </w:sdtEndPr>
    <w:sdtContent>
      <w:p w:rsidR="00972F4C" w:rsidRPr="007C3768" w:rsidRDefault="00295C20" w:rsidP="00295C20">
        <w:pPr>
          <w:pStyle w:val="Footer"/>
          <w:jc w:val="right"/>
          <w:rPr>
            <w:rFonts w:ascii="Verdana" w:hAnsi="Verdana"/>
            <w:sz w:val="16"/>
            <w:szCs w:val="20"/>
          </w:rPr>
        </w:pPr>
        <w:r w:rsidRPr="007C3768">
          <w:rPr>
            <w:rFonts w:ascii="Verdana" w:hAnsi="Verdana"/>
            <w:sz w:val="16"/>
            <w:szCs w:val="20"/>
          </w:rPr>
          <w:fldChar w:fldCharType="begin"/>
        </w:r>
        <w:r w:rsidRPr="007C3768">
          <w:rPr>
            <w:rFonts w:ascii="Verdana" w:hAnsi="Verdana"/>
            <w:sz w:val="16"/>
            <w:szCs w:val="20"/>
          </w:rPr>
          <w:instrText xml:space="preserve"> PAGE   \* MERGEFORMAT </w:instrText>
        </w:r>
        <w:r w:rsidRPr="007C3768">
          <w:rPr>
            <w:rFonts w:ascii="Verdana" w:hAnsi="Verdana"/>
            <w:sz w:val="16"/>
            <w:szCs w:val="20"/>
          </w:rPr>
          <w:fldChar w:fldCharType="separate"/>
        </w:r>
        <w:r w:rsidR="008A35BE">
          <w:rPr>
            <w:rFonts w:ascii="Verdana" w:hAnsi="Verdana"/>
            <w:noProof/>
            <w:sz w:val="16"/>
            <w:szCs w:val="20"/>
          </w:rPr>
          <w:t>8</w:t>
        </w:r>
        <w:r w:rsidRPr="007C3768">
          <w:rPr>
            <w:rFonts w:ascii="Verdana" w:hAnsi="Verdana"/>
            <w:noProof/>
            <w:sz w:val="16"/>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57A" w:rsidRDefault="000C657A">
      <w:r>
        <w:separator/>
      </w:r>
    </w:p>
  </w:footnote>
  <w:footnote w:type="continuationSeparator" w:id="0">
    <w:p w:rsidR="000C657A" w:rsidRDefault="000C65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5D97"/>
    <w:multiLevelType w:val="multilevel"/>
    <w:tmpl w:val="FA16B3E6"/>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multilevel"/>
    <w:tmpl w:val="FA16B3E6"/>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DDB144A"/>
    <w:multiLevelType w:val="multilevel"/>
    <w:tmpl w:val="FA16B3E6"/>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71C"/>
    <w:rsid w:val="000042F6"/>
    <w:rsid w:val="0000470F"/>
    <w:rsid w:val="00005688"/>
    <w:rsid w:val="0000668A"/>
    <w:rsid w:val="000101A6"/>
    <w:rsid w:val="000115D5"/>
    <w:rsid w:val="00016086"/>
    <w:rsid w:val="000200AF"/>
    <w:rsid w:val="0002259F"/>
    <w:rsid w:val="00024421"/>
    <w:rsid w:val="00024543"/>
    <w:rsid w:val="0002544E"/>
    <w:rsid w:val="00025DD3"/>
    <w:rsid w:val="000279C9"/>
    <w:rsid w:val="00033183"/>
    <w:rsid w:val="00033409"/>
    <w:rsid w:val="00033713"/>
    <w:rsid w:val="000357B4"/>
    <w:rsid w:val="00044E65"/>
    <w:rsid w:val="0004610E"/>
    <w:rsid w:val="0005435E"/>
    <w:rsid w:val="0005470C"/>
    <w:rsid w:val="000572CA"/>
    <w:rsid w:val="0006091E"/>
    <w:rsid w:val="00062907"/>
    <w:rsid w:val="00062ADE"/>
    <w:rsid w:val="00062F02"/>
    <w:rsid w:val="00063E4B"/>
    <w:rsid w:val="000673CE"/>
    <w:rsid w:val="0007004B"/>
    <w:rsid w:val="000718C7"/>
    <w:rsid w:val="00075594"/>
    <w:rsid w:val="000761E7"/>
    <w:rsid w:val="0008079F"/>
    <w:rsid w:val="00082171"/>
    <w:rsid w:val="00084700"/>
    <w:rsid w:val="000902D1"/>
    <w:rsid w:val="00090401"/>
    <w:rsid w:val="000937D4"/>
    <w:rsid w:val="000953A8"/>
    <w:rsid w:val="00097783"/>
    <w:rsid w:val="000A08BE"/>
    <w:rsid w:val="000A1017"/>
    <w:rsid w:val="000A1E49"/>
    <w:rsid w:val="000A228F"/>
    <w:rsid w:val="000B298E"/>
    <w:rsid w:val="000B2B9B"/>
    <w:rsid w:val="000B2EB1"/>
    <w:rsid w:val="000B3C69"/>
    <w:rsid w:val="000B3D5F"/>
    <w:rsid w:val="000B6D57"/>
    <w:rsid w:val="000C00DF"/>
    <w:rsid w:val="000C46A7"/>
    <w:rsid w:val="000C5E61"/>
    <w:rsid w:val="000C657A"/>
    <w:rsid w:val="000D4198"/>
    <w:rsid w:val="000E3570"/>
    <w:rsid w:val="000F02C5"/>
    <w:rsid w:val="000F31C8"/>
    <w:rsid w:val="000F3490"/>
    <w:rsid w:val="00100CAE"/>
    <w:rsid w:val="0010687D"/>
    <w:rsid w:val="00110680"/>
    <w:rsid w:val="00112D8E"/>
    <w:rsid w:val="001143E4"/>
    <w:rsid w:val="0011484F"/>
    <w:rsid w:val="00115EDD"/>
    <w:rsid w:val="00120ABA"/>
    <w:rsid w:val="00131089"/>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7056"/>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236C6"/>
    <w:rsid w:val="00230E0E"/>
    <w:rsid w:val="00232F51"/>
    <w:rsid w:val="00233C04"/>
    <w:rsid w:val="002348DC"/>
    <w:rsid w:val="002369C8"/>
    <w:rsid w:val="0023721E"/>
    <w:rsid w:val="002375B3"/>
    <w:rsid w:val="00237A17"/>
    <w:rsid w:val="00241F4C"/>
    <w:rsid w:val="0024444A"/>
    <w:rsid w:val="002536A8"/>
    <w:rsid w:val="00257983"/>
    <w:rsid w:val="00260F55"/>
    <w:rsid w:val="002632C1"/>
    <w:rsid w:val="00263E76"/>
    <w:rsid w:val="002640E1"/>
    <w:rsid w:val="00265752"/>
    <w:rsid w:val="0027210E"/>
    <w:rsid w:val="00272EE3"/>
    <w:rsid w:val="00273219"/>
    <w:rsid w:val="00276C88"/>
    <w:rsid w:val="002804CF"/>
    <w:rsid w:val="00282A08"/>
    <w:rsid w:val="002900C5"/>
    <w:rsid w:val="00291587"/>
    <w:rsid w:val="00293CA6"/>
    <w:rsid w:val="00293DFF"/>
    <w:rsid w:val="0029482B"/>
    <w:rsid w:val="00295B2B"/>
    <w:rsid w:val="00295C20"/>
    <w:rsid w:val="002964C1"/>
    <w:rsid w:val="002A0706"/>
    <w:rsid w:val="002A0C5D"/>
    <w:rsid w:val="002A2219"/>
    <w:rsid w:val="002A3B76"/>
    <w:rsid w:val="002A59D9"/>
    <w:rsid w:val="002A5A11"/>
    <w:rsid w:val="002C03AF"/>
    <w:rsid w:val="002C5843"/>
    <w:rsid w:val="002C7F10"/>
    <w:rsid w:val="002D083C"/>
    <w:rsid w:val="002D2176"/>
    <w:rsid w:val="002D2583"/>
    <w:rsid w:val="002E537C"/>
    <w:rsid w:val="002E57D4"/>
    <w:rsid w:val="002E5E3F"/>
    <w:rsid w:val="002E6ADF"/>
    <w:rsid w:val="002F0752"/>
    <w:rsid w:val="002F7B2A"/>
    <w:rsid w:val="00300B99"/>
    <w:rsid w:val="00300D63"/>
    <w:rsid w:val="003039A5"/>
    <w:rsid w:val="00306298"/>
    <w:rsid w:val="0030788E"/>
    <w:rsid w:val="00312FB3"/>
    <w:rsid w:val="00314F63"/>
    <w:rsid w:val="003154C2"/>
    <w:rsid w:val="00316618"/>
    <w:rsid w:val="00321BD0"/>
    <w:rsid w:val="00326B58"/>
    <w:rsid w:val="003336CE"/>
    <w:rsid w:val="00333BD7"/>
    <w:rsid w:val="00334525"/>
    <w:rsid w:val="00346856"/>
    <w:rsid w:val="00351063"/>
    <w:rsid w:val="003640F0"/>
    <w:rsid w:val="0037191E"/>
    <w:rsid w:val="00377A96"/>
    <w:rsid w:val="00377FE2"/>
    <w:rsid w:val="00384B8B"/>
    <w:rsid w:val="00387130"/>
    <w:rsid w:val="00387162"/>
    <w:rsid w:val="00395655"/>
    <w:rsid w:val="003A060F"/>
    <w:rsid w:val="003B24D8"/>
    <w:rsid w:val="003C1F1E"/>
    <w:rsid w:val="003C3718"/>
    <w:rsid w:val="003C563D"/>
    <w:rsid w:val="003C5C7B"/>
    <w:rsid w:val="003D2931"/>
    <w:rsid w:val="003D497F"/>
    <w:rsid w:val="003D6231"/>
    <w:rsid w:val="003D6790"/>
    <w:rsid w:val="003E361D"/>
    <w:rsid w:val="003F2026"/>
    <w:rsid w:val="003F3728"/>
    <w:rsid w:val="003F7612"/>
    <w:rsid w:val="003F7CD4"/>
    <w:rsid w:val="00407815"/>
    <w:rsid w:val="00414F26"/>
    <w:rsid w:val="00415D7B"/>
    <w:rsid w:val="00417315"/>
    <w:rsid w:val="00420A7D"/>
    <w:rsid w:val="00420F8B"/>
    <w:rsid w:val="004229C5"/>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618A"/>
    <w:rsid w:val="00486A02"/>
    <w:rsid w:val="00487378"/>
    <w:rsid w:val="00487E51"/>
    <w:rsid w:val="00494B17"/>
    <w:rsid w:val="00496618"/>
    <w:rsid w:val="00497BC9"/>
    <w:rsid w:val="004A0649"/>
    <w:rsid w:val="004A0A82"/>
    <w:rsid w:val="004A207E"/>
    <w:rsid w:val="004A27CC"/>
    <w:rsid w:val="004A285F"/>
    <w:rsid w:val="004A55AC"/>
    <w:rsid w:val="004A5E2A"/>
    <w:rsid w:val="004A6AE4"/>
    <w:rsid w:val="004A70C4"/>
    <w:rsid w:val="004B2E13"/>
    <w:rsid w:val="004B3313"/>
    <w:rsid w:val="004B4FC8"/>
    <w:rsid w:val="004B5B51"/>
    <w:rsid w:val="004B735F"/>
    <w:rsid w:val="004C1080"/>
    <w:rsid w:val="004C2202"/>
    <w:rsid w:val="004C420B"/>
    <w:rsid w:val="004D24E9"/>
    <w:rsid w:val="004D3191"/>
    <w:rsid w:val="004D41A5"/>
    <w:rsid w:val="004D7E0D"/>
    <w:rsid w:val="004E0260"/>
    <w:rsid w:val="004E4897"/>
    <w:rsid w:val="004E6D10"/>
    <w:rsid w:val="004F11E6"/>
    <w:rsid w:val="004F17EA"/>
    <w:rsid w:val="004F2B1B"/>
    <w:rsid w:val="004F4B94"/>
    <w:rsid w:val="004F53A6"/>
    <w:rsid w:val="004F70FF"/>
    <w:rsid w:val="004F7953"/>
    <w:rsid w:val="0050084D"/>
    <w:rsid w:val="00501E0F"/>
    <w:rsid w:val="00501E65"/>
    <w:rsid w:val="0050577E"/>
    <w:rsid w:val="0050586D"/>
    <w:rsid w:val="0050754B"/>
    <w:rsid w:val="00507B53"/>
    <w:rsid w:val="005121ED"/>
    <w:rsid w:val="005130D6"/>
    <w:rsid w:val="00514AC6"/>
    <w:rsid w:val="00516F8D"/>
    <w:rsid w:val="00517A62"/>
    <w:rsid w:val="00520109"/>
    <w:rsid w:val="00520903"/>
    <w:rsid w:val="00522F73"/>
    <w:rsid w:val="0052467D"/>
    <w:rsid w:val="005260B9"/>
    <w:rsid w:val="00534E66"/>
    <w:rsid w:val="00535844"/>
    <w:rsid w:val="00540C53"/>
    <w:rsid w:val="005424B9"/>
    <w:rsid w:val="00543E05"/>
    <w:rsid w:val="005462B1"/>
    <w:rsid w:val="005531AA"/>
    <w:rsid w:val="00553376"/>
    <w:rsid w:val="00554B28"/>
    <w:rsid w:val="00554CC1"/>
    <w:rsid w:val="00563FA3"/>
    <w:rsid w:val="005644C8"/>
    <w:rsid w:val="00564E98"/>
    <w:rsid w:val="00567155"/>
    <w:rsid w:val="00583A7E"/>
    <w:rsid w:val="005913D0"/>
    <w:rsid w:val="00597D5D"/>
    <w:rsid w:val="005A338B"/>
    <w:rsid w:val="005A6C42"/>
    <w:rsid w:val="005B38FA"/>
    <w:rsid w:val="005C2DFD"/>
    <w:rsid w:val="005C43C6"/>
    <w:rsid w:val="005C5B7B"/>
    <w:rsid w:val="005D06F0"/>
    <w:rsid w:val="005D094A"/>
    <w:rsid w:val="005D276C"/>
    <w:rsid w:val="005D3B47"/>
    <w:rsid w:val="005D5B4B"/>
    <w:rsid w:val="005D72C5"/>
    <w:rsid w:val="005D733F"/>
    <w:rsid w:val="005E08BD"/>
    <w:rsid w:val="005E0F94"/>
    <w:rsid w:val="005E3432"/>
    <w:rsid w:val="005E36D5"/>
    <w:rsid w:val="005E4656"/>
    <w:rsid w:val="005E4874"/>
    <w:rsid w:val="005E4CF0"/>
    <w:rsid w:val="005F0C39"/>
    <w:rsid w:val="005F421E"/>
    <w:rsid w:val="0060094C"/>
    <w:rsid w:val="00600B63"/>
    <w:rsid w:val="006040E1"/>
    <w:rsid w:val="00604A61"/>
    <w:rsid w:val="00610231"/>
    <w:rsid w:val="00610C45"/>
    <w:rsid w:val="00617D55"/>
    <w:rsid w:val="006240D8"/>
    <w:rsid w:val="00626132"/>
    <w:rsid w:val="00634DDD"/>
    <w:rsid w:val="006361E3"/>
    <w:rsid w:val="0063730A"/>
    <w:rsid w:val="00642470"/>
    <w:rsid w:val="00642D90"/>
    <w:rsid w:val="00645DFC"/>
    <w:rsid w:val="00656642"/>
    <w:rsid w:val="006712A6"/>
    <w:rsid w:val="00671E4E"/>
    <w:rsid w:val="00674225"/>
    <w:rsid w:val="0067456E"/>
    <w:rsid w:val="00675133"/>
    <w:rsid w:val="006770B5"/>
    <w:rsid w:val="006802C1"/>
    <w:rsid w:val="00690FE6"/>
    <w:rsid w:val="00691BD4"/>
    <w:rsid w:val="00694141"/>
    <w:rsid w:val="006A512F"/>
    <w:rsid w:val="006B4070"/>
    <w:rsid w:val="006C4AA7"/>
    <w:rsid w:val="006C7A49"/>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5A3E"/>
    <w:rsid w:val="006F6420"/>
    <w:rsid w:val="00707A8E"/>
    <w:rsid w:val="00707F29"/>
    <w:rsid w:val="007109F5"/>
    <w:rsid w:val="0071354E"/>
    <w:rsid w:val="007160B3"/>
    <w:rsid w:val="00716B72"/>
    <w:rsid w:val="00717426"/>
    <w:rsid w:val="00720625"/>
    <w:rsid w:val="0072098B"/>
    <w:rsid w:val="00723D89"/>
    <w:rsid w:val="00731B88"/>
    <w:rsid w:val="00732B9A"/>
    <w:rsid w:val="00732DEB"/>
    <w:rsid w:val="00733827"/>
    <w:rsid w:val="00734402"/>
    <w:rsid w:val="007362EB"/>
    <w:rsid w:val="00736C03"/>
    <w:rsid w:val="00737BC4"/>
    <w:rsid w:val="00737D3E"/>
    <w:rsid w:val="007431DE"/>
    <w:rsid w:val="007516D1"/>
    <w:rsid w:val="00756290"/>
    <w:rsid w:val="00756A19"/>
    <w:rsid w:val="0075759F"/>
    <w:rsid w:val="0076108C"/>
    <w:rsid w:val="00761B5E"/>
    <w:rsid w:val="0076408A"/>
    <w:rsid w:val="00764E46"/>
    <w:rsid w:val="007679B3"/>
    <w:rsid w:val="00774BE7"/>
    <w:rsid w:val="00777754"/>
    <w:rsid w:val="007806DC"/>
    <w:rsid w:val="00781306"/>
    <w:rsid w:val="007836C8"/>
    <w:rsid w:val="007934F1"/>
    <w:rsid w:val="00794229"/>
    <w:rsid w:val="007A03C7"/>
    <w:rsid w:val="007B1141"/>
    <w:rsid w:val="007B24F7"/>
    <w:rsid w:val="007C3768"/>
    <w:rsid w:val="007C6C8E"/>
    <w:rsid w:val="007D3D5B"/>
    <w:rsid w:val="007D6B06"/>
    <w:rsid w:val="007D7CE1"/>
    <w:rsid w:val="007E249E"/>
    <w:rsid w:val="007E633B"/>
    <w:rsid w:val="007E6AD6"/>
    <w:rsid w:val="007F135A"/>
    <w:rsid w:val="007F1F58"/>
    <w:rsid w:val="0080232E"/>
    <w:rsid w:val="00802B95"/>
    <w:rsid w:val="00812789"/>
    <w:rsid w:val="00826F86"/>
    <w:rsid w:val="00831124"/>
    <w:rsid w:val="00831D3C"/>
    <w:rsid w:val="00831E9A"/>
    <w:rsid w:val="00833124"/>
    <w:rsid w:val="00842C8D"/>
    <w:rsid w:val="00844CC3"/>
    <w:rsid w:val="00845BC3"/>
    <w:rsid w:val="00846EBB"/>
    <w:rsid w:val="008476BF"/>
    <w:rsid w:val="008508D5"/>
    <w:rsid w:val="0085319B"/>
    <w:rsid w:val="00854E7C"/>
    <w:rsid w:val="00855317"/>
    <w:rsid w:val="00855962"/>
    <w:rsid w:val="00857601"/>
    <w:rsid w:val="00860FE7"/>
    <w:rsid w:val="00861CE5"/>
    <w:rsid w:val="0086226E"/>
    <w:rsid w:val="00864193"/>
    <w:rsid w:val="0086505F"/>
    <w:rsid w:val="00865EE3"/>
    <w:rsid w:val="0086600C"/>
    <w:rsid w:val="00872A86"/>
    <w:rsid w:val="00874481"/>
    <w:rsid w:val="00875D88"/>
    <w:rsid w:val="00883F72"/>
    <w:rsid w:val="00886F79"/>
    <w:rsid w:val="0089123B"/>
    <w:rsid w:val="00891BE7"/>
    <w:rsid w:val="00894946"/>
    <w:rsid w:val="008A00BC"/>
    <w:rsid w:val="008A1687"/>
    <w:rsid w:val="008A2DF5"/>
    <w:rsid w:val="008A35BE"/>
    <w:rsid w:val="008A52D8"/>
    <w:rsid w:val="008A5E27"/>
    <w:rsid w:val="008A721D"/>
    <w:rsid w:val="008B06E6"/>
    <w:rsid w:val="008C0503"/>
    <w:rsid w:val="008C4A55"/>
    <w:rsid w:val="008C5E5E"/>
    <w:rsid w:val="008D08F5"/>
    <w:rsid w:val="008D2350"/>
    <w:rsid w:val="008D4D0C"/>
    <w:rsid w:val="008D579B"/>
    <w:rsid w:val="008D583E"/>
    <w:rsid w:val="008D7657"/>
    <w:rsid w:val="008E1CC8"/>
    <w:rsid w:val="008E24D8"/>
    <w:rsid w:val="008E3AC0"/>
    <w:rsid w:val="008E6016"/>
    <w:rsid w:val="008E7705"/>
    <w:rsid w:val="008E77F4"/>
    <w:rsid w:val="008E7DF9"/>
    <w:rsid w:val="008E7E4D"/>
    <w:rsid w:val="008F009D"/>
    <w:rsid w:val="008F35DB"/>
    <w:rsid w:val="008F4969"/>
    <w:rsid w:val="008F6393"/>
    <w:rsid w:val="009011CA"/>
    <w:rsid w:val="00905EB8"/>
    <w:rsid w:val="00905F3A"/>
    <w:rsid w:val="009074A0"/>
    <w:rsid w:val="0090782D"/>
    <w:rsid w:val="0091523F"/>
    <w:rsid w:val="0091558A"/>
    <w:rsid w:val="00917058"/>
    <w:rsid w:val="00924F7D"/>
    <w:rsid w:val="009312BE"/>
    <w:rsid w:val="0094334A"/>
    <w:rsid w:val="00943E2F"/>
    <w:rsid w:val="00952D0A"/>
    <w:rsid w:val="00953FD7"/>
    <w:rsid w:val="009551F9"/>
    <w:rsid w:val="00956701"/>
    <w:rsid w:val="00963117"/>
    <w:rsid w:val="00963AE2"/>
    <w:rsid w:val="009650EA"/>
    <w:rsid w:val="00972F4C"/>
    <w:rsid w:val="00975F5E"/>
    <w:rsid w:val="00977612"/>
    <w:rsid w:val="009827FE"/>
    <w:rsid w:val="00983B09"/>
    <w:rsid w:val="00990860"/>
    <w:rsid w:val="00990FC4"/>
    <w:rsid w:val="0099513B"/>
    <w:rsid w:val="0099537B"/>
    <w:rsid w:val="00996B48"/>
    <w:rsid w:val="009A19C4"/>
    <w:rsid w:val="009A7C65"/>
    <w:rsid w:val="009B1744"/>
    <w:rsid w:val="009B1EE9"/>
    <w:rsid w:val="009B568A"/>
    <w:rsid w:val="009D04CA"/>
    <w:rsid w:val="009D0944"/>
    <w:rsid w:val="009D24CA"/>
    <w:rsid w:val="009D387F"/>
    <w:rsid w:val="009D6D2E"/>
    <w:rsid w:val="009D753B"/>
    <w:rsid w:val="009E0CEB"/>
    <w:rsid w:val="009E4D11"/>
    <w:rsid w:val="009E6C5E"/>
    <w:rsid w:val="009E7717"/>
    <w:rsid w:val="009E7FF1"/>
    <w:rsid w:val="00A02072"/>
    <w:rsid w:val="00A05271"/>
    <w:rsid w:val="00A11D46"/>
    <w:rsid w:val="00A163D9"/>
    <w:rsid w:val="00A23452"/>
    <w:rsid w:val="00A26499"/>
    <w:rsid w:val="00A27F81"/>
    <w:rsid w:val="00A30636"/>
    <w:rsid w:val="00A31338"/>
    <w:rsid w:val="00A32258"/>
    <w:rsid w:val="00A3356F"/>
    <w:rsid w:val="00A3568B"/>
    <w:rsid w:val="00A4509D"/>
    <w:rsid w:val="00A475E3"/>
    <w:rsid w:val="00A50CD4"/>
    <w:rsid w:val="00A53909"/>
    <w:rsid w:val="00A57A10"/>
    <w:rsid w:val="00A57F06"/>
    <w:rsid w:val="00A600FC"/>
    <w:rsid w:val="00A606F7"/>
    <w:rsid w:val="00A60884"/>
    <w:rsid w:val="00A610CB"/>
    <w:rsid w:val="00A643D6"/>
    <w:rsid w:val="00A64DC1"/>
    <w:rsid w:val="00A6623B"/>
    <w:rsid w:val="00A7058C"/>
    <w:rsid w:val="00A70B39"/>
    <w:rsid w:val="00A74D8A"/>
    <w:rsid w:val="00A85598"/>
    <w:rsid w:val="00A856B0"/>
    <w:rsid w:val="00A8607A"/>
    <w:rsid w:val="00A90530"/>
    <w:rsid w:val="00A917A9"/>
    <w:rsid w:val="00A91B63"/>
    <w:rsid w:val="00A94118"/>
    <w:rsid w:val="00A94B87"/>
    <w:rsid w:val="00A9750F"/>
    <w:rsid w:val="00AA18CB"/>
    <w:rsid w:val="00AA599A"/>
    <w:rsid w:val="00AA695D"/>
    <w:rsid w:val="00AB5812"/>
    <w:rsid w:val="00AB7845"/>
    <w:rsid w:val="00AC135D"/>
    <w:rsid w:val="00AC2072"/>
    <w:rsid w:val="00AC366F"/>
    <w:rsid w:val="00AC39A0"/>
    <w:rsid w:val="00AC7BF8"/>
    <w:rsid w:val="00AD3F9D"/>
    <w:rsid w:val="00AD4746"/>
    <w:rsid w:val="00AD5010"/>
    <w:rsid w:val="00AE20C4"/>
    <w:rsid w:val="00AE2731"/>
    <w:rsid w:val="00AE4C05"/>
    <w:rsid w:val="00AE686B"/>
    <w:rsid w:val="00AE6BE8"/>
    <w:rsid w:val="00AE6FA9"/>
    <w:rsid w:val="00AF2498"/>
    <w:rsid w:val="00B0691A"/>
    <w:rsid w:val="00B17C41"/>
    <w:rsid w:val="00B17FDB"/>
    <w:rsid w:val="00B20C13"/>
    <w:rsid w:val="00B24B51"/>
    <w:rsid w:val="00B31B92"/>
    <w:rsid w:val="00B320D9"/>
    <w:rsid w:val="00B321D4"/>
    <w:rsid w:val="00B330B9"/>
    <w:rsid w:val="00B330BC"/>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5830"/>
    <w:rsid w:val="00B87124"/>
    <w:rsid w:val="00B948D2"/>
    <w:rsid w:val="00BA0202"/>
    <w:rsid w:val="00BA478A"/>
    <w:rsid w:val="00BA66F5"/>
    <w:rsid w:val="00BA726F"/>
    <w:rsid w:val="00BD0FA0"/>
    <w:rsid w:val="00BD2B98"/>
    <w:rsid w:val="00BD7BD3"/>
    <w:rsid w:val="00BE0D0E"/>
    <w:rsid w:val="00BE395D"/>
    <w:rsid w:val="00BE42FE"/>
    <w:rsid w:val="00BE482D"/>
    <w:rsid w:val="00BF0159"/>
    <w:rsid w:val="00BF411B"/>
    <w:rsid w:val="00C00B93"/>
    <w:rsid w:val="00C03495"/>
    <w:rsid w:val="00C1385A"/>
    <w:rsid w:val="00C17178"/>
    <w:rsid w:val="00C2421A"/>
    <w:rsid w:val="00C2521D"/>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543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2D3"/>
    <w:rsid w:val="00D11E74"/>
    <w:rsid w:val="00D11FEB"/>
    <w:rsid w:val="00D144A4"/>
    <w:rsid w:val="00D17DC0"/>
    <w:rsid w:val="00D22435"/>
    <w:rsid w:val="00D23711"/>
    <w:rsid w:val="00D25823"/>
    <w:rsid w:val="00D2649F"/>
    <w:rsid w:val="00D33234"/>
    <w:rsid w:val="00D35E36"/>
    <w:rsid w:val="00D36CA4"/>
    <w:rsid w:val="00D37896"/>
    <w:rsid w:val="00D41A30"/>
    <w:rsid w:val="00D469E3"/>
    <w:rsid w:val="00D50EB5"/>
    <w:rsid w:val="00D532DC"/>
    <w:rsid w:val="00D63557"/>
    <w:rsid w:val="00D71C75"/>
    <w:rsid w:val="00D76AAD"/>
    <w:rsid w:val="00D76DCC"/>
    <w:rsid w:val="00D8109C"/>
    <w:rsid w:val="00D82A70"/>
    <w:rsid w:val="00D83702"/>
    <w:rsid w:val="00D838C4"/>
    <w:rsid w:val="00D83D2A"/>
    <w:rsid w:val="00D96DF5"/>
    <w:rsid w:val="00DA0F8B"/>
    <w:rsid w:val="00DA4C8E"/>
    <w:rsid w:val="00DA6176"/>
    <w:rsid w:val="00DA7323"/>
    <w:rsid w:val="00DB5EFB"/>
    <w:rsid w:val="00DB75E1"/>
    <w:rsid w:val="00DC24A9"/>
    <w:rsid w:val="00DC42DE"/>
    <w:rsid w:val="00DC60E2"/>
    <w:rsid w:val="00DD139E"/>
    <w:rsid w:val="00DD4DA6"/>
    <w:rsid w:val="00DD7AA4"/>
    <w:rsid w:val="00DE1C7B"/>
    <w:rsid w:val="00DE370C"/>
    <w:rsid w:val="00DE48BE"/>
    <w:rsid w:val="00DE5489"/>
    <w:rsid w:val="00DF4AC7"/>
    <w:rsid w:val="00DF568A"/>
    <w:rsid w:val="00DF5EF4"/>
    <w:rsid w:val="00DF6BD5"/>
    <w:rsid w:val="00E00230"/>
    <w:rsid w:val="00E00442"/>
    <w:rsid w:val="00E015B8"/>
    <w:rsid w:val="00E02445"/>
    <w:rsid w:val="00E02715"/>
    <w:rsid w:val="00E0521D"/>
    <w:rsid w:val="00E06B0A"/>
    <w:rsid w:val="00E074E3"/>
    <w:rsid w:val="00E13B7B"/>
    <w:rsid w:val="00E17D9D"/>
    <w:rsid w:val="00E2203D"/>
    <w:rsid w:val="00E220AD"/>
    <w:rsid w:val="00E222BB"/>
    <w:rsid w:val="00E26258"/>
    <w:rsid w:val="00E27FFC"/>
    <w:rsid w:val="00E33CB6"/>
    <w:rsid w:val="00E352D8"/>
    <w:rsid w:val="00E36D56"/>
    <w:rsid w:val="00E377AA"/>
    <w:rsid w:val="00E41613"/>
    <w:rsid w:val="00E41BB3"/>
    <w:rsid w:val="00E52B88"/>
    <w:rsid w:val="00E53B43"/>
    <w:rsid w:val="00E55296"/>
    <w:rsid w:val="00E61E3D"/>
    <w:rsid w:val="00E61F16"/>
    <w:rsid w:val="00E67755"/>
    <w:rsid w:val="00E678AC"/>
    <w:rsid w:val="00E72CDA"/>
    <w:rsid w:val="00E76BD1"/>
    <w:rsid w:val="00E76FE0"/>
    <w:rsid w:val="00E7793E"/>
    <w:rsid w:val="00E7794B"/>
    <w:rsid w:val="00E804F0"/>
    <w:rsid w:val="00E8474D"/>
    <w:rsid w:val="00E87046"/>
    <w:rsid w:val="00E9569E"/>
    <w:rsid w:val="00E96851"/>
    <w:rsid w:val="00EA151B"/>
    <w:rsid w:val="00EA3777"/>
    <w:rsid w:val="00EA759A"/>
    <w:rsid w:val="00EA7FE4"/>
    <w:rsid w:val="00EB06DD"/>
    <w:rsid w:val="00EB0E85"/>
    <w:rsid w:val="00EB648A"/>
    <w:rsid w:val="00EB6C95"/>
    <w:rsid w:val="00EB6E90"/>
    <w:rsid w:val="00EB71B3"/>
    <w:rsid w:val="00EC103F"/>
    <w:rsid w:val="00EC2608"/>
    <w:rsid w:val="00EC5DBC"/>
    <w:rsid w:val="00ED364A"/>
    <w:rsid w:val="00ED7690"/>
    <w:rsid w:val="00EE137A"/>
    <w:rsid w:val="00EE22E1"/>
    <w:rsid w:val="00EE70F7"/>
    <w:rsid w:val="00EF21BC"/>
    <w:rsid w:val="00EF3B04"/>
    <w:rsid w:val="00EF72B0"/>
    <w:rsid w:val="00F00C40"/>
    <w:rsid w:val="00F00CD5"/>
    <w:rsid w:val="00F03EE5"/>
    <w:rsid w:val="00F04A79"/>
    <w:rsid w:val="00F06310"/>
    <w:rsid w:val="00F12F9E"/>
    <w:rsid w:val="00F15297"/>
    <w:rsid w:val="00F20EFF"/>
    <w:rsid w:val="00F23427"/>
    <w:rsid w:val="00F27ED5"/>
    <w:rsid w:val="00F37946"/>
    <w:rsid w:val="00F37E2C"/>
    <w:rsid w:val="00F42C7D"/>
    <w:rsid w:val="00F43176"/>
    <w:rsid w:val="00F44CFD"/>
    <w:rsid w:val="00F456C2"/>
    <w:rsid w:val="00F51B36"/>
    <w:rsid w:val="00F521F4"/>
    <w:rsid w:val="00F5491A"/>
    <w:rsid w:val="00F54AC6"/>
    <w:rsid w:val="00F61E91"/>
    <w:rsid w:val="00F702A6"/>
    <w:rsid w:val="00F70DC2"/>
    <w:rsid w:val="00F72CEA"/>
    <w:rsid w:val="00F7694A"/>
    <w:rsid w:val="00F80CD3"/>
    <w:rsid w:val="00F80FDF"/>
    <w:rsid w:val="00F8787B"/>
    <w:rsid w:val="00F87E94"/>
    <w:rsid w:val="00F92145"/>
    <w:rsid w:val="00F93CB3"/>
    <w:rsid w:val="00F94C2A"/>
    <w:rsid w:val="00F97925"/>
    <w:rsid w:val="00F97DD0"/>
    <w:rsid w:val="00FA2196"/>
    <w:rsid w:val="00FA26A0"/>
    <w:rsid w:val="00FA2D8D"/>
    <w:rsid w:val="00FA3B4C"/>
    <w:rsid w:val="00FB0D80"/>
    <w:rsid w:val="00FB1992"/>
    <w:rsid w:val="00FB4BB4"/>
    <w:rsid w:val="00FB55BD"/>
    <w:rsid w:val="00FB67AE"/>
    <w:rsid w:val="00FC3975"/>
    <w:rsid w:val="00FD0C75"/>
    <w:rsid w:val="00FD2E83"/>
    <w:rsid w:val="00FD6185"/>
    <w:rsid w:val="00FE05A8"/>
    <w:rsid w:val="00FE49AA"/>
    <w:rsid w:val="00FE587E"/>
    <w:rsid w:val="00FF2D34"/>
    <w:rsid w:val="00FF2FAD"/>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0C0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3882505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0DBD0-CCE0-4512-B662-EA47A446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2020-05-20T10:25:00Z</dcterms:created>
  <dcterms:modified xsi:type="dcterms:W3CDTF">2021-10-20T06:03:00Z</dcterms:modified>
</cp:coreProperties>
</file>