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0C" w:rsidRDefault="0026620C">
      <w:pPr>
        <w:spacing w:line="384" w:lineRule="auto"/>
        <w:rPr>
          <w:rFonts w:ascii="Times New Roman" w:hAnsi="Times New Roman"/>
          <w:b/>
          <w:sz w:val="24"/>
          <w:szCs w:val="24"/>
          <w:lang w:val="bg-BG"/>
        </w:rPr>
      </w:pPr>
    </w:p>
    <w:p w:rsidR="0026620C" w:rsidRDefault="0026620C">
      <w:pPr>
        <w:spacing w:line="384" w:lineRule="auto"/>
        <w:rPr>
          <w:rFonts w:ascii="Times New Roman" w:hAnsi="Times New Roman"/>
          <w:b/>
          <w:sz w:val="24"/>
          <w:szCs w:val="24"/>
          <w:lang w:val="bg-BG"/>
        </w:rPr>
      </w:pPr>
    </w:p>
    <w:p w:rsidR="0026620C" w:rsidRDefault="0026620C">
      <w:pPr>
        <w:spacing w:line="384" w:lineRule="auto"/>
        <w:rPr>
          <w:rFonts w:ascii="Times New Roman" w:hAnsi="Times New Roman"/>
          <w:b/>
          <w:sz w:val="24"/>
          <w:szCs w:val="24"/>
          <w:lang w:val="bg-BG"/>
        </w:rPr>
      </w:pPr>
    </w:p>
    <w:p w:rsidR="0026620C" w:rsidRDefault="0086405E">
      <w:pPr>
        <w:spacing w:line="384" w:lineRule="auto"/>
        <w:rPr>
          <w:rFonts w:ascii="Times New Roman" w:hAnsi="Times New Roman"/>
          <w:b/>
          <w:sz w:val="24"/>
          <w:szCs w:val="24"/>
          <w:lang w:val="bg-BG"/>
        </w:rPr>
      </w:pPr>
      <w:r>
        <w:rPr>
          <w:rFonts w:ascii="Times New Roman" w:hAnsi="Times New Roman"/>
          <w:b/>
          <w:sz w:val="24"/>
          <w:szCs w:val="24"/>
          <w:lang w:val="bg-BG"/>
        </w:rPr>
        <w:t>ДО</w:t>
      </w:r>
    </w:p>
    <w:p w:rsidR="0026620C" w:rsidRDefault="0086405E">
      <w:pPr>
        <w:spacing w:line="384" w:lineRule="auto"/>
        <w:jc w:val="both"/>
        <w:outlineLvl w:val="0"/>
        <w:rPr>
          <w:rFonts w:ascii="Times New Roman" w:hAnsi="Times New Roman"/>
          <w:b/>
          <w:sz w:val="24"/>
          <w:szCs w:val="24"/>
          <w:lang w:val="bg-BG"/>
        </w:rPr>
      </w:pPr>
      <w:r>
        <w:rPr>
          <w:rFonts w:ascii="Times New Roman" w:hAnsi="Times New Roman"/>
          <w:b/>
          <w:sz w:val="24"/>
          <w:szCs w:val="24"/>
          <w:lang w:val="bg-BG"/>
        </w:rPr>
        <w:t>МИНИСТЕРСКИЯ СЪВЕТ</w:t>
      </w:r>
    </w:p>
    <w:p w:rsidR="0026620C" w:rsidRDefault="0086405E">
      <w:pPr>
        <w:spacing w:line="384" w:lineRule="auto"/>
        <w:jc w:val="both"/>
        <w:outlineLvl w:val="0"/>
        <w:rPr>
          <w:rFonts w:ascii="Times New Roman" w:hAnsi="Times New Roman"/>
          <w:b/>
          <w:sz w:val="24"/>
          <w:szCs w:val="24"/>
          <w:lang w:val="bg-BG"/>
        </w:rPr>
      </w:pPr>
      <w:r>
        <w:rPr>
          <w:rFonts w:ascii="Times New Roman" w:hAnsi="Times New Roman"/>
          <w:b/>
          <w:sz w:val="24"/>
          <w:szCs w:val="24"/>
          <w:lang w:val="bg-BG"/>
        </w:rPr>
        <w:t>НА РЕПУБЛИКА БЪЛГАРИЯ</w:t>
      </w:r>
    </w:p>
    <w:p w:rsidR="0026620C" w:rsidRDefault="0026620C">
      <w:pPr>
        <w:spacing w:line="384" w:lineRule="auto"/>
        <w:rPr>
          <w:rFonts w:ascii="Times New Roman" w:hAnsi="Times New Roman"/>
          <w:b/>
          <w:spacing w:val="60"/>
          <w:sz w:val="24"/>
          <w:szCs w:val="24"/>
          <w:lang w:val="bg-BG"/>
        </w:rPr>
      </w:pPr>
    </w:p>
    <w:p w:rsidR="0026620C" w:rsidRDefault="0026620C">
      <w:pPr>
        <w:spacing w:line="384" w:lineRule="auto"/>
        <w:rPr>
          <w:rFonts w:ascii="Times New Roman" w:hAnsi="Times New Roman"/>
          <w:b/>
          <w:spacing w:val="60"/>
          <w:sz w:val="24"/>
          <w:szCs w:val="24"/>
          <w:lang w:val="bg-BG"/>
        </w:rPr>
      </w:pPr>
    </w:p>
    <w:p w:rsidR="0026620C" w:rsidRDefault="0086405E">
      <w:pPr>
        <w:spacing w:line="384" w:lineRule="auto"/>
        <w:jc w:val="center"/>
        <w:rPr>
          <w:rFonts w:ascii="Times New Roman" w:hAnsi="Times New Roman"/>
          <w:b/>
          <w:spacing w:val="60"/>
          <w:sz w:val="28"/>
          <w:szCs w:val="28"/>
          <w:lang w:val="bg-BG"/>
        </w:rPr>
      </w:pPr>
      <w:r>
        <w:rPr>
          <w:rFonts w:ascii="Times New Roman" w:hAnsi="Times New Roman"/>
          <w:b/>
          <w:spacing w:val="60"/>
          <w:sz w:val="28"/>
          <w:szCs w:val="28"/>
          <w:lang w:val="bg-BG"/>
        </w:rPr>
        <w:t>ДОКЛАД</w:t>
      </w:r>
    </w:p>
    <w:p w:rsidR="0026620C" w:rsidRDefault="0086405E">
      <w:pPr>
        <w:spacing w:line="384" w:lineRule="auto"/>
        <w:jc w:val="center"/>
        <w:rPr>
          <w:rFonts w:ascii="Times New Roman" w:hAnsi="Times New Roman"/>
          <w:b/>
          <w:sz w:val="24"/>
          <w:szCs w:val="24"/>
          <w:lang w:val="bg-BG"/>
        </w:rPr>
      </w:pPr>
      <w:r>
        <w:rPr>
          <w:rFonts w:ascii="Times New Roman" w:hAnsi="Times New Roman"/>
          <w:b/>
          <w:sz w:val="24"/>
          <w:szCs w:val="24"/>
          <w:lang w:val="bg-BG"/>
        </w:rPr>
        <w:t>от проф. д-р Христо Бозуков – министър на земеделието, храните и горите</w:t>
      </w:r>
    </w:p>
    <w:p w:rsidR="0026620C" w:rsidRDefault="0026620C">
      <w:pPr>
        <w:spacing w:line="384" w:lineRule="auto"/>
        <w:rPr>
          <w:rFonts w:ascii="Times New Roman" w:hAnsi="Times New Roman"/>
          <w:b/>
          <w:sz w:val="24"/>
          <w:szCs w:val="24"/>
          <w:lang w:val="bg-BG"/>
        </w:rPr>
      </w:pPr>
    </w:p>
    <w:p w:rsidR="0026620C" w:rsidRDefault="0026620C">
      <w:pPr>
        <w:spacing w:line="384" w:lineRule="auto"/>
        <w:rPr>
          <w:rFonts w:ascii="Times New Roman" w:hAnsi="Times New Roman"/>
          <w:b/>
          <w:sz w:val="24"/>
          <w:szCs w:val="24"/>
          <w:lang w:val="bg-BG"/>
        </w:rPr>
      </w:pPr>
    </w:p>
    <w:p w:rsidR="0026620C" w:rsidRDefault="0086405E">
      <w:pPr>
        <w:spacing w:line="384" w:lineRule="auto"/>
        <w:ind w:left="1162" w:hanging="1162"/>
        <w:jc w:val="both"/>
        <w:rPr>
          <w:rFonts w:ascii="Times New Roman" w:hAnsi="Times New Roman"/>
          <w:color w:val="FF0000"/>
          <w:sz w:val="24"/>
          <w:szCs w:val="24"/>
          <w:lang w:val="bg-BG"/>
        </w:rPr>
      </w:pPr>
      <w:r>
        <w:rPr>
          <w:rFonts w:ascii="Times New Roman" w:hAnsi="Times New Roman"/>
          <w:b/>
          <w:sz w:val="24"/>
          <w:szCs w:val="24"/>
          <w:lang w:val="bg-BG"/>
        </w:rPr>
        <w:t>Относно:</w:t>
      </w:r>
      <w:r>
        <w:rPr>
          <w:rFonts w:ascii="Times New Roman" w:hAnsi="Times New Roman"/>
          <w:sz w:val="24"/>
          <w:szCs w:val="24"/>
          <w:lang w:val="bg-BG"/>
        </w:rPr>
        <w:t xml:space="preserve">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w:t>
      </w:r>
      <w:r>
        <w:rPr>
          <w:rFonts w:ascii="Times New Roman" w:hAnsi="Times New Roman"/>
          <w:sz w:val="24"/>
          <w:szCs w:val="24"/>
          <w:lang w:val="bg-BG"/>
        </w:rPr>
        <w:t>на Министерския съвет от 2016 г. (обн., ДВ, бр. 30 от 2016 г.)</w:t>
      </w:r>
    </w:p>
    <w:p w:rsidR="0026620C" w:rsidRDefault="0026620C">
      <w:pPr>
        <w:spacing w:line="384" w:lineRule="auto"/>
        <w:rPr>
          <w:rFonts w:ascii="Times New Roman" w:hAnsi="Times New Roman"/>
          <w:b/>
          <w:sz w:val="24"/>
          <w:szCs w:val="24"/>
          <w:lang w:val="bg-BG"/>
        </w:rPr>
      </w:pPr>
    </w:p>
    <w:p w:rsidR="0026620C" w:rsidRDefault="0026620C">
      <w:pPr>
        <w:spacing w:line="384" w:lineRule="auto"/>
        <w:rPr>
          <w:rFonts w:ascii="Times New Roman" w:hAnsi="Times New Roman"/>
          <w:b/>
          <w:sz w:val="24"/>
          <w:szCs w:val="24"/>
          <w:lang w:val="bg-BG"/>
        </w:rPr>
      </w:pPr>
    </w:p>
    <w:p w:rsidR="0026620C" w:rsidRDefault="0086405E">
      <w:pPr>
        <w:spacing w:line="384" w:lineRule="auto"/>
        <w:rPr>
          <w:rFonts w:ascii="Times New Roman" w:hAnsi="Times New Roman"/>
          <w:b/>
          <w:sz w:val="24"/>
          <w:szCs w:val="24"/>
          <w:lang w:val="bg-BG"/>
        </w:rPr>
      </w:pPr>
      <w:r>
        <w:rPr>
          <w:rFonts w:ascii="Times New Roman" w:hAnsi="Times New Roman"/>
          <w:b/>
          <w:sz w:val="24"/>
          <w:szCs w:val="24"/>
          <w:lang w:val="bg-BG"/>
        </w:rPr>
        <w:t>УВАЖАЕМИ ГОСПОДИН МИНИСТЪР-ПРЕДСЕДАТЕЛ,</w:t>
      </w:r>
    </w:p>
    <w:p w:rsidR="0026620C" w:rsidRDefault="0086405E">
      <w:pPr>
        <w:spacing w:after="120" w:line="384" w:lineRule="auto"/>
        <w:rPr>
          <w:rFonts w:ascii="Times New Roman" w:hAnsi="Times New Roman"/>
          <w:b/>
          <w:sz w:val="24"/>
          <w:szCs w:val="24"/>
          <w:lang w:val="bg-BG"/>
        </w:rPr>
      </w:pPr>
      <w:r>
        <w:rPr>
          <w:rFonts w:ascii="Times New Roman" w:hAnsi="Times New Roman"/>
          <w:b/>
          <w:sz w:val="24"/>
          <w:szCs w:val="24"/>
          <w:lang w:val="bg-BG"/>
        </w:rPr>
        <w:t>УВАЖАЕМИ ГОСПОЖИ И ГОСПОДА МИНИСТРИ,</w:t>
      </w:r>
    </w:p>
    <w:p w:rsidR="0026620C" w:rsidRDefault="0086405E">
      <w:pPr>
        <w:spacing w:line="384" w:lineRule="auto"/>
        <w:ind w:firstLine="709"/>
        <w:jc w:val="both"/>
        <w:rPr>
          <w:rFonts w:ascii="Times New Roman" w:hAnsi="Times New Roman"/>
          <w:sz w:val="24"/>
          <w:szCs w:val="24"/>
          <w:lang w:val="bg-BG" w:eastAsia="zh-CN"/>
        </w:rPr>
      </w:pPr>
      <w:r>
        <w:rPr>
          <w:rFonts w:ascii="Times New Roman" w:hAnsi="Times New Roman"/>
          <w:sz w:val="24"/>
          <w:szCs w:val="24"/>
          <w:lang w:val="bg-BG" w:eastAsia="zh-CN"/>
        </w:rPr>
        <w:t>На основание чл. 31, ал. 2 от Устройствения</w:t>
      </w:r>
      <w:r>
        <w:rPr>
          <w:rFonts w:ascii="Times New Roman" w:hAnsi="Times New Roman"/>
          <w:sz w:val="24"/>
          <w:szCs w:val="24"/>
          <w:lang w:val="bg-BG" w:eastAsia="zh-CN"/>
        </w:rPr>
        <w:t xml:space="preserve"> правилник на Министерския съвет и на неговата администрация, внасям за разглеждане от Министерския съвет проект на Постановление на Министерския съвет за изменение на Тарифата за определяне на цените, които се заплащат за изпълнението на мерките по програ</w:t>
      </w:r>
      <w:r>
        <w:rPr>
          <w:rFonts w:ascii="Times New Roman" w:hAnsi="Times New Roman"/>
          <w:sz w:val="24"/>
          <w:szCs w:val="24"/>
          <w:lang w:val="bg-BG" w:eastAsia="zh-CN"/>
        </w:rPr>
        <w:t>мата за профилактика, надзор, контрол и ликвидиране на болести по животните и зоонози, приета с Постановление № 78 на Министерския съвет от 2016 г. (обн., ДВ, бр. 30 от 2016 г.).</w:t>
      </w:r>
    </w:p>
    <w:p w:rsidR="0026620C" w:rsidRDefault="0026620C">
      <w:pPr>
        <w:spacing w:line="384" w:lineRule="auto"/>
        <w:ind w:firstLine="709"/>
        <w:jc w:val="both"/>
        <w:rPr>
          <w:rFonts w:ascii="Times New Roman" w:hAnsi="Times New Roman"/>
          <w:b/>
          <w:sz w:val="24"/>
          <w:szCs w:val="24"/>
          <w:lang w:val="bg-BG"/>
        </w:rPr>
      </w:pPr>
    </w:p>
    <w:p w:rsidR="0026620C" w:rsidRDefault="0086405E">
      <w:pPr>
        <w:spacing w:line="384" w:lineRule="auto"/>
        <w:ind w:firstLine="709"/>
        <w:jc w:val="both"/>
        <w:rPr>
          <w:rFonts w:ascii="Times New Roman" w:hAnsi="Times New Roman"/>
          <w:b/>
          <w:sz w:val="24"/>
          <w:szCs w:val="24"/>
          <w:lang w:val="bg-BG"/>
        </w:rPr>
      </w:pPr>
      <w:r>
        <w:rPr>
          <w:rFonts w:ascii="Times New Roman" w:hAnsi="Times New Roman"/>
          <w:b/>
          <w:sz w:val="24"/>
          <w:szCs w:val="24"/>
          <w:lang w:val="bg-BG"/>
        </w:rPr>
        <w:lastRenderedPageBreak/>
        <w:t>Причини, които налагат приемането на акта</w:t>
      </w:r>
    </w:p>
    <w:p w:rsidR="0026620C" w:rsidRDefault="0086405E">
      <w:pPr>
        <w:widowControl w:val="0"/>
        <w:overflowPunct/>
        <w:spacing w:line="384" w:lineRule="auto"/>
        <w:ind w:firstLine="709"/>
        <w:jc w:val="both"/>
        <w:textAlignment w:val="auto"/>
        <w:rPr>
          <w:rFonts w:ascii="Times New Roman" w:hAnsi="Times New Roman"/>
          <w:sz w:val="24"/>
          <w:szCs w:val="24"/>
          <w:lang w:val="bg-BG" w:eastAsia="bg-BG"/>
        </w:rPr>
      </w:pPr>
      <w:r>
        <w:rPr>
          <w:rFonts w:ascii="Times New Roman" w:hAnsi="Times New Roman"/>
          <w:sz w:val="24"/>
          <w:szCs w:val="24"/>
          <w:lang w:val="bg-BG" w:eastAsia="bg-BG"/>
        </w:rPr>
        <w:t>В съответствие с чл. 118 от Закона</w:t>
      </w:r>
      <w:r>
        <w:rPr>
          <w:rFonts w:ascii="Times New Roman" w:hAnsi="Times New Roman"/>
          <w:sz w:val="24"/>
          <w:szCs w:val="24"/>
          <w:lang w:val="bg-BG" w:eastAsia="bg-BG"/>
        </w:rPr>
        <w:t xml:space="preserve"> за ветеринарномедицинската дейност (ЗВД) Българската агенция по безопасност на храните (БАБХ) изготвя тригодишна национална програма за профилактика, надзор, контрол и ликвидиране на болестите по животните и зоонозите (НПБЖЗ). Програмата се одобрява от Ми</w:t>
      </w:r>
      <w:r>
        <w:rPr>
          <w:rFonts w:ascii="Times New Roman" w:hAnsi="Times New Roman"/>
          <w:sz w:val="24"/>
          <w:szCs w:val="24"/>
          <w:lang w:val="bg-BG" w:eastAsia="bg-BG"/>
        </w:rPr>
        <w:t xml:space="preserve">нистерския съвет и съдържа освен списък с болести, видове и брой животни, конкретни мерки и схемите за прилагането им, но и необходимите средства за изпълнението ѝ. </w:t>
      </w:r>
    </w:p>
    <w:p w:rsidR="0026620C" w:rsidRDefault="0086405E">
      <w:pPr>
        <w:widowControl w:val="0"/>
        <w:overflowPunct/>
        <w:spacing w:line="384" w:lineRule="auto"/>
        <w:ind w:firstLine="709"/>
        <w:jc w:val="both"/>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Съгласно чл. 46в от ЗВД цените, по които се заплаща изпълнението на мерките по </w:t>
      </w:r>
      <w:r>
        <w:rPr>
          <w:rFonts w:ascii="Times New Roman" w:hAnsi="Times New Roman"/>
          <w:sz w:val="24"/>
          <w:szCs w:val="24"/>
          <w:lang w:eastAsia="bg-BG"/>
        </w:rPr>
        <w:t>НПБЖЗ</w:t>
      </w:r>
      <w:r>
        <w:rPr>
          <w:rFonts w:ascii="Times New Roman" w:hAnsi="Times New Roman"/>
          <w:sz w:val="24"/>
          <w:szCs w:val="24"/>
          <w:lang w:val="bg-BG" w:eastAsia="bg-BG"/>
        </w:rPr>
        <w:t xml:space="preserve">, се </w:t>
      </w:r>
      <w:r>
        <w:rPr>
          <w:rFonts w:ascii="Times New Roman" w:hAnsi="Times New Roman"/>
          <w:sz w:val="24"/>
          <w:szCs w:val="24"/>
          <w:lang w:val="bg-BG" w:eastAsia="bg-BG"/>
        </w:rPr>
        <w:t>определят с тарифа, одобрена от Министерския съвет, по предложение на министъра на земеделието, храните и горите. Тарифата се обнародва в "Държавен вестник" и се публикува на интернет страницата на Министерството на земеделието, храните и горите (МЗХГ).</w:t>
      </w:r>
      <w:r>
        <w:t xml:space="preserve"> </w:t>
      </w:r>
      <w:r>
        <w:rPr>
          <w:rFonts w:ascii="Times New Roman" w:hAnsi="Times New Roman"/>
          <w:sz w:val="24"/>
          <w:szCs w:val="24"/>
          <w:lang w:val="bg-BG" w:eastAsia="bg-BG"/>
        </w:rPr>
        <w:t>Оп</w:t>
      </w:r>
      <w:r>
        <w:rPr>
          <w:rFonts w:ascii="Times New Roman" w:hAnsi="Times New Roman"/>
          <w:sz w:val="24"/>
          <w:szCs w:val="24"/>
          <w:lang w:val="bg-BG" w:eastAsia="bg-BG"/>
        </w:rPr>
        <w:t>ределените цени могат да бъдат променяни само съгласно индекса на инфлация, определен от Националния статистически институт (НСИ).</w:t>
      </w:r>
    </w:p>
    <w:p w:rsidR="0026620C" w:rsidRDefault="0086405E">
      <w:pPr>
        <w:widowControl w:val="0"/>
        <w:overflowPunct/>
        <w:spacing w:line="384" w:lineRule="auto"/>
        <w:ind w:firstLine="709"/>
        <w:jc w:val="both"/>
        <w:textAlignment w:val="auto"/>
        <w:rPr>
          <w:rFonts w:ascii="Times New Roman" w:hAnsi="Times New Roman"/>
          <w:sz w:val="24"/>
          <w:szCs w:val="24"/>
          <w:lang w:val="bg-BG" w:eastAsia="bg-BG"/>
        </w:rPr>
      </w:pPr>
      <w:r>
        <w:rPr>
          <w:rFonts w:ascii="Times New Roman" w:hAnsi="Times New Roman"/>
          <w:sz w:val="24"/>
          <w:szCs w:val="24"/>
          <w:lang w:val="bg-BG" w:eastAsia="bg-BG"/>
        </w:rPr>
        <w:t>С писма с рег. № 62-221/11.08.2021 г. и рег. № 62-221/01.10.2021 г. Българският ветеринарен съюз (БВС) отправя искане към МЗХ</w:t>
      </w:r>
      <w:r>
        <w:rPr>
          <w:rFonts w:ascii="Times New Roman" w:hAnsi="Times New Roman"/>
          <w:sz w:val="24"/>
          <w:szCs w:val="24"/>
          <w:lang w:val="bg-BG" w:eastAsia="bg-BG"/>
        </w:rPr>
        <w:t>Г за предприемане на действия за актуализация на действащата от 2016 г. тарифа с цел компенсиране на разходите за извършване на определените манипулации от ветеринарните лекари.</w:t>
      </w:r>
    </w:p>
    <w:p w:rsidR="0026620C" w:rsidRDefault="0086405E">
      <w:pPr>
        <w:widowControl w:val="0"/>
        <w:overflowPunct/>
        <w:spacing w:line="384" w:lineRule="auto"/>
        <w:ind w:firstLine="709"/>
        <w:jc w:val="both"/>
        <w:textAlignment w:val="auto"/>
        <w:rPr>
          <w:rFonts w:ascii="Times New Roman" w:hAnsi="Times New Roman"/>
          <w:sz w:val="24"/>
          <w:szCs w:val="24"/>
          <w:lang w:val="bg-BG" w:eastAsia="bg-BG"/>
        </w:rPr>
      </w:pPr>
      <w:r>
        <w:rPr>
          <w:rFonts w:ascii="Times New Roman" w:hAnsi="Times New Roman"/>
          <w:sz w:val="24"/>
          <w:szCs w:val="24"/>
          <w:lang w:val="bg-BG" w:eastAsia="bg-BG"/>
        </w:rPr>
        <w:t>Определените в тарифата, приета с Постановление на Министерски съвет (ПМС) № 7</w:t>
      </w:r>
      <w:r>
        <w:rPr>
          <w:rFonts w:ascii="Times New Roman" w:hAnsi="Times New Roman"/>
          <w:sz w:val="24"/>
          <w:szCs w:val="24"/>
          <w:lang w:val="bg-BG" w:eastAsia="bg-BG"/>
        </w:rPr>
        <w:t>8 от 12 април 2016 г., цени не са променяни до момента, а икономическите условия (преки и непреки разходи) участващи при определяне на цените през 2016 г. са значително променени към настоящият момент. Съгласно официално предоставена информацията с писмо с</w:t>
      </w:r>
      <w:r>
        <w:rPr>
          <w:rFonts w:ascii="Times New Roman" w:hAnsi="Times New Roman"/>
          <w:sz w:val="24"/>
          <w:szCs w:val="24"/>
          <w:lang w:val="bg-BG" w:eastAsia="bg-BG"/>
        </w:rPr>
        <w:t xml:space="preserve"> рег. № 20-161/04.10.2021 г. от Националния статистически институт (НСИ) индексът на потребителските цени (ИПЦ) за август 2021 спрямо април 2016 г. е 114.3%, т.е. инфлацията е 14.3%.</w:t>
      </w:r>
    </w:p>
    <w:p w:rsidR="0026620C" w:rsidRDefault="0026620C">
      <w:pPr>
        <w:pStyle w:val="NormalWeb"/>
        <w:shd w:val="clear" w:color="auto" w:fill="FFFFFF"/>
        <w:spacing w:before="0" w:beforeAutospacing="0" w:after="0" w:afterAutospacing="0" w:line="384" w:lineRule="auto"/>
        <w:ind w:firstLine="709"/>
        <w:jc w:val="both"/>
        <w:rPr>
          <w:b/>
        </w:rPr>
      </w:pPr>
    </w:p>
    <w:p w:rsidR="0026620C" w:rsidRDefault="0086405E">
      <w:pPr>
        <w:spacing w:line="384" w:lineRule="auto"/>
        <w:ind w:firstLine="709"/>
        <w:jc w:val="both"/>
        <w:rPr>
          <w:rFonts w:ascii="Times New Roman" w:hAnsi="Times New Roman"/>
          <w:b/>
          <w:sz w:val="24"/>
          <w:szCs w:val="24"/>
          <w:lang w:val="bg-BG"/>
        </w:rPr>
      </w:pPr>
      <w:r>
        <w:rPr>
          <w:rFonts w:ascii="Times New Roman" w:hAnsi="Times New Roman"/>
          <w:b/>
          <w:sz w:val="24"/>
          <w:szCs w:val="24"/>
          <w:lang w:val="bg-BG"/>
        </w:rPr>
        <w:t>Цели</w:t>
      </w:r>
    </w:p>
    <w:p w:rsidR="0026620C" w:rsidRDefault="0086405E">
      <w:pPr>
        <w:overflowPunct/>
        <w:autoSpaceDE/>
        <w:autoSpaceDN/>
        <w:adjustRightInd/>
        <w:spacing w:line="384" w:lineRule="auto"/>
        <w:ind w:firstLine="720"/>
        <w:jc w:val="both"/>
        <w:textAlignment w:val="auto"/>
        <w:rPr>
          <w:rFonts w:ascii="Times New Roman" w:hAnsi="Times New Roman"/>
          <w:sz w:val="24"/>
          <w:szCs w:val="24"/>
          <w:lang w:val="bg-BG"/>
        </w:rPr>
      </w:pPr>
      <w:r>
        <w:rPr>
          <w:rFonts w:ascii="Times New Roman" w:hAnsi="Times New Roman"/>
          <w:sz w:val="24"/>
          <w:szCs w:val="24"/>
          <w:lang w:val="bg-BG"/>
        </w:rPr>
        <w:t>Гарантиране здравния статус на отглежданите селскостопански животни</w:t>
      </w:r>
      <w:r>
        <w:rPr>
          <w:rFonts w:ascii="Times New Roman" w:hAnsi="Times New Roman"/>
          <w:sz w:val="24"/>
          <w:szCs w:val="24"/>
          <w:lang w:val="bg-BG"/>
        </w:rPr>
        <w:t xml:space="preserve"> и продуктите добити от тях и спазване на изискванията на европейското законодателство в областта на здравеопазване на животните за изпълнение на програми за надзор и ранно откриване на определени заболявания. Осигуряването на здравния статус на отглеждани</w:t>
      </w:r>
      <w:r>
        <w:rPr>
          <w:rFonts w:ascii="Times New Roman" w:hAnsi="Times New Roman"/>
          <w:sz w:val="24"/>
          <w:szCs w:val="24"/>
          <w:lang w:val="bg-BG"/>
        </w:rPr>
        <w:t xml:space="preserve">те селскостопански животни допринася за свободната търговия с живи животни и продукти добити от тях в рамките на Европейския съюз (ЕС). </w:t>
      </w:r>
    </w:p>
    <w:p w:rsidR="0026620C" w:rsidRDefault="0026620C">
      <w:pPr>
        <w:overflowPunct/>
        <w:autoSpaceDE/>
        <w:autoSpaceDN/>
        <w:adjustRightInd/>
        <w:spacing w:line="384" w:lineRule="auto"/>
        <w:ind w:firstLine="720"/>
        <w:jc w:val="both"/>
        <w:textAlignment w:val="auto"/>
        <w:rPr>
          <w:rFonts w:ascii="Times New Roman" w:hAnsi="Times New Roman"/>
          <w:sz w:val="24"/>
          <w:szCs w:val="24"/>
          <w:lang w:val="bg-BG"/>
        </w:rPr>
      </w:pPr>
    </w:p>
    <w:p w:rsidR="0026620C" w:rsidRDefault="0086405E">
      <w:pPr>
        <w:overflowPunct/>
        <w:autoSpaceDE/>
        <w:autoSpaceDN/>
        <w:adjustRightInd/>
        <w:spacing w:line="384" w:lineRule="auto"/>
        <w:ind w:firstLine="720"/>
        <w:jc w:val="both"/>
        <w:textAlignment w:val="auto"/>
        <w:rPr>
          <w:rFonts w:ascii="Times New Roman" w:hAnsi="Times New Roman"/>
          <w:sz w:val="24"/>
          <w:szCs w:val="24"/>
          <w:lang w:val="bg-BG"/>
        </w:rPr>
      </w:pPr>
      <w:r>
        <w:rPr>
          <w:rFonts w:ascii="Times New Roman" w:hAnsi="Times New Roman"/>
          <w:sz w:val="24"/>
          <w:szCs w:val="24"/>
          <w:lang w:val="bg-BG"/>
        </w:rPr>
        <w:lastRenderedPageBreak/>
        <w:t xml:space="preserve">Тарифата определя стойността на услугите, които предоставят ветеринарните лекари, включващи извършването на отделните </w:t>
      </w:r>
      <w:r>
        <w:rPr>
          <w:rFonts w:ascii="Times New Roman" w:hAnsi="Times New Roman"/>
          <w:sz w:val="24"/>
          <w:szCs w:val="24"/>
          <w:lang w:val="bg-BG"/>
        </w:rPr>
        <w:t xml:space="preserve">мероприятия по видове, съгласно </w:t>
      </w:r>
      <w:r>
        <w:rPr>
          <w:rFonts w:ascii="Times New Roman" w:hAnsi="Times New Roman"/>
          <w:sz w:val="24"/>
          <w:szCs w:val="24"/>
          <w:lang w:eastAsia="bg-BG"/>
        </w:rPr>
        <w:t>НПБЖЗ</w:t>
      </w:r>
      <w:r>
        <w:rPr>
          <w:rFonts w:ascii="Times New Roman" w:hAnsi="Times New Roman"/>
          <w:sz w:val="24"/>
          <w:szCs w:val="24"/>
          <w:lang w:val="bg-BG"/>
        </w:rPr>
        <w:t xml:space="preserve">  – извършване на ваксинации на животни, вземане на проби от животни, алергични изследвания на животни, вземане на проби от мозъчен ствол за трансмисивни спонгиформни енцефалопатии (ТСЕ), прегледи на пчелни семейства, к</w:t>
      </w:r>
      <w:r>
        <w:rPr>
          <w:rFonts w:ascii="Times New Roman" w:hAnsi="Times New Roman"/>
          <w:sz w:val="24"/>
          <w:szCs w:val="24"/>
          <w:lang w:val="bg-BG"/>
        </w:rPr>
        <w:t xml:space="preserve">линични обследвания на животновъдни обекти, и въвеждане на данните във Интегрираната информационна система с данни за идентифицираните животни и за животновъдните обекти (ВетИС), които се извършват от ветеринарни лекари. </w:t>
      </w:r>
    </w:p>
    <w:p w:rsidR="0026620C" w:rsidRDefault="0026620C">
      <w:pPr>
        <w:spacing w:line="384" w:lineRule="auto"/>
        <w:jc w:val="both"/>
        <w:rPr>
          <w:rFonts w:ascii="Times New Roman" w:hAnsi="Times New Roman"/>
          <w:sz w:val="24"/>
          <w:szCs w:val="24"/>
          <w:lang w:val="bg-BG"/>
        </w:rPr>
      </w:pPr>
    </w:p>
    <w:p w:rsidR="0026620C" w:rsidRDefault="0086405E">
      <w:pPr>
        <w:spacing w:line="384" w:lineRule="auto"/>
        <w:ind w:firstLine="709"/>
        <w:jc w:val="both"/>
        <w:rPr>
          <w:rFonts w:ascii="Times New Roman" w:hAnsi="Times New Roman"/>
          <w:b/>
          <w:color w:val="000000"/>
          <w:sz w:val="24"/>
          <w:szCs w:val="24"/>
          <w:shd w:val="clear" w:color="auto" w:fill="FEFEFE"/>
          <w:lang w:val="bg-BG"/>
        </w:rPr>
      </w:pPr>
      <w:r>
        <w:rPr>
          <w:rFonts w:ascii="Times New Roman" w:hAnsi="Times New Roman"/>
          <w:b/>
          <w:color w:val="000000"/>
          <w:sz w:val="24"/>
          <w:szCs w:val="24"/>
          <w:shd w:val="clear" w:color="auto" w:fill="FEFEFE"/>
          <w:lang w:val="bg-BG"/>
        </w:rPr>
        <w:t>Финансови и други средства, необх</w:t>
      </w:r>
      <w:r>
        <w:rPr>
          <w:rFonts w:ascii="Times New Roman" w:hAnsi="Times New Roman"/>
          <w:b/>
          <w:color w:val="000000"/>
          <w:sz w:val="24"/>
          <w:szCs w:val="24"/>
          <w:shd w:val="clear" w:color="auto" w:fill="FEFEFE"/>
          <w:lang w:val="bg-BG"/>
        </w:rPr>
        <w:t>одими за прилагането на новата уредба</w:t>
      </w:r>
    </w:p>
    <w:p w:rsidR="0026620C" w:rsidRDefault="0086405E">
      <w:pPr>
        <w:spacing w:line="384" w:lineRule="auto"/>
        <w:ind w:firstLine="709"/>
        <w:jc w:val="both"/>
        <w:rPr>
          <w:rFonts w:ascii="Times New Roman" w:hAnsi="Times New Roman"/>
          <w:sz w:val="24"/>
          <w:szCs w:val="24"/>
          <w:lang w:val="bg-BG"/>
        </w:rPr>
      </w:pPr>
      <w:r>
        <w:rPr>
          <w:rFonts w:ascii="Times New Roman" w:hAnsi="Times New Roman"/>
          <w:sz w:val="24"/>
          <w:szCs w:val="24"/>
          <w:lang w:val="bg-BG"/>
        </w:rPr>
        <w:t>Изменението на цените определени в Тарифата няма да окаже въздействие върху малките и средни предприятия, поради факта, че стойността на услугите се заплаща по схема за държавна помощ „Помощ за компенсиране разходите н</w:t>
      </w:r>
      <w:r>
        <w:rPr>
          <w:rFonts w:ascii="Times New Roman" w:hAnsi="Times New Roman"/>
          <w:sz w:val="24"/>
          <w:szCs w:val="24"/>
          <w:lang w:val="bg-BG"/>
        </w:rPr>
        <w:t xml:space="preserve">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 нотифицирана пред Европейската комисия под номер SA42240 (2015/XA). </w:t>
      </w:r>
    </w:p>
    <w:p w:rsidR="0026620C" w:rsidRDefault="0086405E">
      <w:pPr>
        <w:spacing w:line="384" w:lineRule="auto"/>
        <w:ind w:firstLine="709"/>
        <w:jc w:val="both"/>
        <w:rPr>
          <w:rFonts w:ascii="Times New Roman" w:hAnsi="Times New Roman"/>
          <w:sz w:val="24"/>
          <w:szCs w:val="24"/>
          <w:lang w:val="bg-BG"/>
        </w:rPr>
      </w:pPr>
      <w:r>
        <w:rPr>
          <w:rFonts w:ascii="Times New Roman" w:hAnsi="Times New Roman"/>
          <w:sz w:val="24"/>
          <w:szCs w:val="24"/>
          <w:lang w:val="bg-BG"/>
        </w:rPr>
        <w:t>Предложеният проект на акт не вод</w:t>
      </w:r>
      <w:r>
        <w:rPr>
          <w:rFonts w:ascii="Times New Roman" w:hAnsi="Times New Roman"/>
          <w:sz w:val="24"/>
          <w:szCs w:val="24"/>
          <w:lang w:val="bg-BG"/>
        </w:rPr>
        <w:t xml:space="preserve">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26620C" w:rsidRDefault="0086405E">
      <w:pPr>
        <w:spacing w:line="384" w:lineRule="auto"/>
        <w:ind w:firstLine="709"/>
        <w:jc w:val="both"/>
        <w:rPr>
          <w:rFonts w:ascii="Times New Roman" w:hAnsi="Times New Roman"/>
          <w:sz w:val="24"/>
          <w:szCs w:val="24"/>
          <w:lang w:val="bg-BG"/>
        </w:rPr>
      </w:pPr>
      <w:r>
        <w:rPr>
          <w:rFonts w:ascii="Times New Roman" w:hAnsi="Times New Roman"/>
          <w:sz w:val="24"/>
          <w:szCs w:val="24"/>
          <w:lang w:val="bg-BG"/>
        </w:rPr>
        <w:t>Не са необходими допълнителни разходи/трансфери и д</w:t>
      </w:r>
      <w:r>
        <w:rPr>
          <w:rFonts w:ascii="Times New Roman" w:hAnsi="Times New Roman"/>
          <w:sz w:val="24"/>
          <w:szCs w:val="24"/>
          <w:lang w:val="bg-BG"/>
        </w:rPr>
        <w:t xml:space="preserve">руги плащания по бюджета на Министерството на земеделието, храните и горите. </w:t>
      </w:r>
    </w:p>
    <w:p w:rsidR="0026620C" w:rsidRDefault="0086405E">
      <w:pPr>
        <w:spacing w:line="384" w:lineRule="auto"/>
        <w:ind w:firstLine="709"/>
        <w:jc w:val="both"/>
        <w:rPr>
          <w:rFonts w:ascii="Times New Roman" w:hAnsi="Times New Roman"/>
          <w:sz w:val="24"/>
          <w:szCs w:val="24"/>
          <w:lang w:val="bg-BG"/>
        </w:rPr>
      </w:pPr>
      <w:r>
        <w:rPr>
          <w:rFonts w:ascii="Times New Roman" w:hAnsi="Times New Roman"/>
          <w:sz w:val="24"/>
          <w:szCs w:val="24"/>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26620C" w:rsidRDefault="0026620C">
      <w:pPr>
        <w:spacing w:line="384" w:lineRule="auto"/>
        <w:ind w:firstLine="709"/>
        <w:jc w:val="both"/>
        <w:rPr>
          <w:rFonts w:ascii="Times New Roman" w:hAnsi="Times New Roman"/>
          <w:b/>
          <w:sz w:val="24"/>
          <w:szCs w:val="24"/>
          <w:lang w:val="bg-BG"/>
        </w:rPr>
      </w:pPr>
    </w:p>
    <w:p w:rsidR="0026620C" w:rsidRDefault="0086405E">
      <w:pPr>
        <w:spacing w:line="384" w:lineRule="auto"/>
        <w:ind w:firstLine="709"/>
        <w:jc w:val="both"/>
        <w:rPr>
          <w:rFonts w:ascii="Times New Roman" w:hAnsi="Times New Roman"/>
          <w:b/>
          <w:sz w:val="24"/>
          <w:szCs w:val="24"/>
          <w:lang w:val="bg-BG"/>
        </w:rPr>
      </w:pPr>
      <w:r>
        <w:rPr>
          <w:rFonts w:ascii="Times New Roman" w:hAnsi="Times New Roman"/>
          <w:b/>
          <w:sz w:val="24"/>
          <w:szCs w:val="24"/>
          <w:lang w:val="bg-BG"/>
        </w:rPr>
        <w:t>Очаквани резултати от прилагането на акта</w:t>
      </w:r>
    </w:p>
    <w:p w:rsidR="0026620C" w:rsidRDefault="0086405E">
      <w:pPr>
        <w:overflowPunct/>
        <w:autoSpaceDE/>
        <w:autoSpaceDN/>
        <w:adjustRightInd/>
        <w:spacing w:line="384" w:lineRule="auto"/>
        <w:ind w:firstLine="720"/>
        <w:jc w:val="both"/>
        <w:textAlignment w:val="auto"/>
        <w:rPr>
          <w:rFonts w:ascii="Times New Roman" w:hAnsi="Times New Roman"/>
          <w:b/>
          <w:sz w:val="24"/>
          <w:szCs w:val="24"/>
          <w:lang w:val="bg-BG"/>
        </w:rPr>
      </w:pPr>
      <w:r>
        <w:rPr>
          <w:rFonts w:ascii="Times New Roman" w:hAnsi="Times New Roman"/>
          <w:sz w:val="24"/>
          <w:szCs w:val="24"/>
          <w:lang w:val="bg-BG"/>
        </w:rPr>
        <w:t xml:space="preserve">С </w:t>
      </w:r>
      <w:r>
        <w:rPr>
          <w:rFonts w:ascii="Times New Roman" w:hAnsi="Times New Roman"/>
          <w:sz w:val="24"/>
          <w:szCs w:val="24"/>
          <w:lang w:val="bg-BG"/>
        </w:rPr>
        <w:t>предложеният вариант ще се постигне гарантиране здравния статус на отглежданите селскостопански животни и продуктите добити от тях и спазване на изискванията на европейското законодателство в областта на здравеопазване на животните за изпълнение на програм</w:t>
      </w:r>
      <w:r>
        <w:rPr>
          <w:rFonts w:ascii="Times New Roman" w:hAnsi="Times New Roman"/>
          <w:sz w:val="24"/>
          <w:szCs w:val="24"/>
          <w:lang w:val="bg-BG"/>
        </w:rPr>
        <w:t>и за надзор и ранно откриване на определени заболявания. Осигуряването на здравния статус на отглежданите селскостопански животни допринася за свободната търговия с живи животни и продукти добити от тях в рамките на Европейския съюз.</w:t>
      </w:r>
      <w:r>
        <w:rPr>
          <w:rFonts w:ascii="Times New Roman" w:hAnsi="Times New Roman"/>
          <w:b/>
          <w:sz w:val="24"/>
          <w:szCs w:val="24"/>
          <w:lang w:val="bg-BG"/>
        </w:rPr>
        <w:t xml:space="preserve"> </w:t>
      </w:r>
    </w:p>
    <w:p w:rsidR="0026620C" w:rsidRDefault="0026620C">
      <w:pPr>
        <w:spacing w:line="384" w:lineRule="auto"/>
        <w:ind w:firstLine="709"/>
        <w:jc w:val="both"/>
        <w:rPr>
          <w:rFonts w:ascii="Times New Roman" w:hAnsi="Times New Roman"/>
          <w:b/>
          <w:sz w:val="24"/>
          <w:szCs w:val="24"/>
          <w:lang w:val="bg-BG"/>
        </w:rPr>
      </w:pPr>
    </w:p>
    <w:p w:rsidR="0026620C" w:rsidRDefault="0086405E">
      <w:pPr>
        <w:spacing w:line="384" w:lineRule="auto"/>
        <w:ind w:firstLine="709"/>
        <w:jc w:val="both"/>
        <w:rPr>
          <w:rFonts w:ascii="Times New Roman" w:hAnsi="Times New Roman"/>
          <w:b/>
          <w:sz w:val="24"/>
          <w:szCs w:val="24"/>
          <w:lang w:val="bg-BG"/>
        </w:rPr>
      </w:pPr>
      <w:r>
        <w:rPr>
          <w:rFonts w:ascii="Times New Roman" w:hAnsi="Times New Roman"/>
          <w:b/>
          <w:sz w:val="24"/>
          <w:szCs w:val="24"/>
          <w:lang w:val="bg-BG"/>
        </w:rPr>
        <w:lastRenderedPageBreak/>
        <w:t>Анализ за съответств</w:t>
      </w:r>
      <w:r>
        <w:rPr>
          <w:rFonts w:ascii="Times New Roman" w:hAnsi="Times New Roman"/>
          <w:b/>
          <w:sz w:val="24"/>
          <w:szCs w:val="24"/>
          <w:lang w:val="bg-BG"/>
        </w:rPr>
        <w:t>ие с правото на Европейския съюз</w:t>
      </w:r>
    </w:p>
    <w:p w:rsidR="0026620C" w:rsidRDefault="0086405E">
      <w:pPr>
        <w:spacing w:line="384" w:lineRule="auto"/>
        <w:ind w:firstLine="709"/>
        <w:jc w:val="both"/>
        <w:rPr>
          <w:rFonts w:ascii="Times New Roman" w:hAnsi="Times New Roman"/>
          <w:sz w:val="24"/>
          <w:szCs w:val="24"/>
          <w:lang w:val="bg-BG"/>
        </w:rPr>
      </w:pPr>
      <w:r>
        <w:rPr>
          <w:rFonts w:ascii="Times New Roman" w:hAnsi="Times New Roman"/>
          <w:sz w:val="24"/>
          <w:szCs w:val="24"/>
          <w:lang w:val="bg-BG"/>
        </w:rPr>
        <w:t>С проекта не се транспонират актове на институции на Европейския съюз, поради което не е изготвена и приложена таблица за съответствието с правото на Европейския съюз.</w:t>
      </w:r>
    </w:p>
    <w:p w:rsidR="0026620C" w:rsidRDefault="0026620C">
      <w:pPr>
        <w:spacing w:line="384" w:lineRule="auto"/>
        <w:ind w:firstLine="709"/>
        <w:jc w:val="both"/>
        <w:rPr>
          <w:rFonts w:ascii="Times New Roman" w:hAnsi="Times New Roman"/>
          <w:b/>
          <w:sz w:val="24"/>
          <w:szCs w:val="24"/>
          <w:shd w:val="clear" w:color="auto" w:fill="FEFEFE"/>
          <w:lang w:val="bg-BG"/>
        </w:rPr>
      </w:pPr>
    </w:p>
    <w:p w:rsidR="0026620C" w:rsidRDefault="0086405E">
      <w:pPr>
        <w:spacing w:line="384" w:lineRule="auto"/>
        <w:ind w:firstLine="709"/>
        <w:jc w:val="both"/>
        <w:rPr>
          <w:rFonts w:ascii="Times New Roman" w:hAnsi="Times New Roman"/>
          <w:b/>
          <w:color w:val="000000"/>
          <w:sz w:val="24"/>
          <w:szCs w:val="24"/>
          <w:shd w:val="clear" w:color="auto" w:fill="FEFEFE"/>
          <w:lang w:val="bg-BG"/>
        </w:rPr>
      </w:pPr>
      <w:r>
        <w:rPr>
          <w:rFonts w:ascii="Times New Roman" w:hAnsi="Times New Roman"/>
          <w:b/>
          <w:color w:val="000000"/>
          <w:sz w:val="24"/>
          <w:szCs w:val="24"/>
          <w:shd w:val="clear" w:color="auto" w:fill="FEFEFE"/>
          <w:lang w:val="bg-BG"/>
        </w:rPr>
        <w:t>Информация за проведените обществени консултации</w:t>
      </w:r>
    </w:p>
    <w:p w:rsidR="0026620C" w:rsidRDefault="0086405E">
      <w:pPr>
        <w:overflowPunct/>
        <w:spacing w:line="384" w:lineRule="auto"/>
        <w:ind w:firstLine="709"/>
        <w:jc w:val="both"/>
        <w:textAlignment w:val="auto"/>
        <w:rPr>
          <w:rFonts w:ascii="Times New Roman" w:hAnsi="Times New Roman"/>
          <w:sz w:val="24"/>
          <w:szCs w:val="24"/>
          <w:lang w:val="bg-BG" w:eastAsia="zh-CN"/>
        </w:rPr>
      </w:pPr>
      <w:r>
        <w:rPr>
          <w:rFonts w:ascii="Times New Roman" w:hAnsi="Times New Roman"/>
          <w:sz w:val="24"/>
          <w:szCs w:val="24"/>
          <w:lang w:val="bg-BG" w:eastAsia="zh-CN"/>
        </w:rPr>
        <w:t>Съгласно чл. 26, ал. 3 и 4 от Закона за нормативните актове проектът на постановление, проектът на доклад, частичната предварителната оценка на въздействието и становището на дирекция „Модернизация на администрацията“ в Министерския съвет са публикувани на</w:t>
      </w:r>
      <w:r>
        <w:rPr>
          <w:rFonts w:ascii="Times New Roman" w:hAnsi="Times New Roman"/>
          <w:sz w:val="24"/>
          <w:szCs w:val="24"/>
          <w:lang w:val="bg-BG" w:eastAsia="zh-CN"/>
        </w:rPr>
        <w:t xml:space="preserve">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26620C" w:rsidRDefault="0086405E">
      <w:pPr>
        <w:overflowPunct/>
        <w:autoSpaceDE/>
        <w:autoSpaceDN/>
        <w:adjustRightInd/>
        <w:spacing w:line="384" w:lineRule="auto"/>
        <w:ind w:firstLine="709"/>
        <w:jc w:val="both"/>
        <w:textAlignment w:val="auto"/>
        <w:rPr>
          <w:rFonts w:ascii="Times New Roman" w:hAnsi="Times New Roman"/>
          <w:sz w:val="24"/>
          <w:szCs w:val="24"/>
          <w:lang w:val="bg-BG"/>
        </w:rPr>
      </w:pPr>
      <w:r>
        <w:rPr>
          <w:rFonts w:ascii="Times New Roman" w:hAnsi="Times New Roman"/>
          <w:sz w:val="24"/>
          <w:szCs w:val="24"/>
          <w:lang w:val="bg-BG"/>
        </w:rPr>
        <w:t>В съответствие с чл. 26, ал. 5 от Закона за нормативните актове справката за отразяване на постъпили</w:t>
      </w:r>
      <w:r>
        <w:rPr>
          <w:rFonts w:ascii="Times New Roman" w:hAnsi="Times New Roman"/>
          <w:sz w:val="24"/>
          <w:szCs w:val="24"/>
          <w:lang w:val="bg-BG"/>
        </w:rPr>
        <w:t xml:space="preserve">те предложения и становища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 </w:t>
      </w:r>
    </w:p>
    <w:p w:rsidR="0026620C" w:rsidRDefault="0086405E">
      <w:pPr>
        <w:overflowPunct/>
        <w:autoSpaceDE/>
        <w:autoSpaceDN/>
        <w:adjustRightInd/>
        <w:spacing w:line="384" w:lineRule="auto"/>
        <w:ind w:firstLine="709"/>
        <w:jc w:val="both"/>
        <w:textAlignment w:val="auto"/>
        <w:rPr>
          <w:rFonts w:ascii="Times New Roman" w:hAnsi="Times New Roman"/>
          <w:sz w:val="24"/>
          <w:szCs w:val="24"/>
          <w:lang w:val="bg-BG"/>
        </w:rPr>
      </w:pPr>
      <w:r>
        <w:rPr>
          <w:rFonts w:ascii="Times New Roman" w:hAnsi="Times New Roman"/>
          <w:sz w:val="24"/>
          <w:szCs w:val="24"/>
          <w:lang w:val="bg-BG"/>
        </w:rPr>
        <w:t>Проектът на Пос</w:t>
      </w:r>
      <w:r>
        <w:rPr>
          <w:rFonts w:ascii="Times New Roman" w:hAnsi="Times New Roman"/>
          <w:sz w:val="24"/>
          <w:szCs w:val="24"/>
          <w:lang w:val="bg-BG"/>
        </w:rPr>
        <w:t>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на М</w:t>
      </w:r>
      <w:r>
        <w:rPr>
          <w:rFonts w:ascii="Times New Roman" w:hAnsi="Times New Roman"/>
          <w:sz w:val="24"/>
          <w:szCs w:val="24"/>
          <w:lang w:val="bg-BG"/>
        </w:rPr>
        <w:t>инистерския съвет от 2016 г. 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26620C" w:rsidRDefault="0026620C">
      <w:pPr>
        <w:spacing w:line="384" w:lineRule="auto"/>
        <w:rPr>
          <w:rFonts w:ascii="Times New Roman" w:hAnsi="Times New Roman"/>
          <w:b/>
          <w:sz w:val="24"/>
          <w:szCs w:val="24"/>
          <w:lang w:val="bg-BG"/>
        </w:rPr>
      </w:pPr>
    </w:p>
    <w:p w:rsidR="0026620C" w:rsidRDefault="0086405E">
      <w:pPr>
        <w:spacing w:line="384" w:lineRule="auto"/>
        <w:rPr>
          <w:rFonts w:ascii="Times New Roman" w:hAnsi="Times New Roman"/>
          <w:b/>
          <w:sz w:val="24"/>
          <w:szCs w:val="24"/>
          <w:lang w:val="bg-BG"/>
        </w:rPr>
      </w:pPr>
      <w:r>
        <w:rPr>
          <w:rFonts w:ascii="Times New Roman" w:hAnsi="Times New Roman"/>
          <w:b/>
          <w:sz w:val="24"/>
          <w:szCs w:val="24"/>
          <w:lang w:val="bg-BG"/>
        </w:rPr>
        <w:t>УВАЖАЕМИ ГОСПОДИН МИНИСТЪР-ПРЕДСЕД</w:t>
      </w:r>
      <w:r>
        <w:rPr>
          <w:rFonts w:ascii="Times New Roman" w:hAnsi="Times New Roman"/>
          <w:b/>
          <w:sz w:val="24"/>
          <w:szCs w:val="24"/>
          <w:lang w:val="bg-BG"/>
        </w:rPr>
        <w:t>АТЕЛ,</w:t>
      </w:r>
    </w:p>
    <w:p w:rsidR="0026620C" w:rsidRDefault="0086405E">
      <w:pPr>
        <w:spacing w:after="120" w:line="384" w:lineRule="auto"/>
        <w:rPr>
          <w:rFonts w:ascii="Times New Roman" w:hAnsi="Times New Roman"/>
          <w:b/>
          <w:sz w:val="24"/>
          <w:szCs w:val="24"/>
          <w:lang w:val="bg-BG"/>
        </w:rPr>
      </w:pPr>
      <w:r>
        <w:rPr>
          <w:rFonts w:ascii="Times New Roman" w:hAnsi="Times New Roman"/>
          <w:b/>
          <w:sz w:val="24"/>
          <w:szCs w:val="24"/>
          <w:lang w:val="bg-BG"/>
        </w:rPr>
        <w:t>УВАЖАЕМИ ГОСПОЖИ И ГОСПОДА МИНИСТРИ,</w:t>
      </w:r>
    </w:p>
    <w:p w:rsidR="0026620C" w:rsidRDefault="0086405E">
      <w:pPr>
        <w:widowControl w:val="0"/>
        <w:overflowPunct/>
        <w:spacing w:line="384" w:lineRule="auto"/>
        <w:ind w:firstLine="709"/>
        <w:jc w:val="both"/>
        <w:textAlignment w:val="auto"/>
        <w:rPr>
          <w:rFonts w:ascii="Times New Roman" w:hAnsi="Times New Roman"/>
          <w:spacing w:val="2"/>
          <w:sz w:val="24"/>
          <w:szCs w:val="24"/>
          <w:lang w:val="bg-BG" w:eastAsia="zh-CN"/>
        </w:rPr>
      </w:pPr>
      <w:r>
        <w:rPr>
          <w:rFonts w:ascii="Times New Roman" w:hAnsi="Times New Roman"/>
          <w:spacing w:val="2"/>
          <w:sz w:val="24"/>
          <w:szCs w:val="24"/>
          <w:lang w:val="bg-BG" w:eastAsia="zh-CN"/>
        </w:rPr>
        <w:t xml:space="preserve">Във връзка с гореизложеното и на основание </w:t>
      </w:r>
      <w:r>
        <w:rPr>
          <w:rFonts w:ascii="Times New Roman" w:hAnsi="Times New Roman"/>
          <w:bCs/>
          <w:spacing w:val="2"/>
          <w:sz w:val="24"/>
          <w:szCs w:val="24"/>
          <w:shd w:val="clear" w:color="auto" w:fill="FEFEFE"/>
          <w:lang w:val="bg-BG"/>
        </w:rPr>
        <w:t>чл. 46в, ал. 2 от Закона за ветеринарномедицинската дейност</w:t>
      </w:r>
      <w:r>
        <w:rPr>
          <w:rFonts w:ascii="Times New Roman" w:hAnsi="Times New Roman"/>
          <w:spacing w:val="2"/>
          <w:sz w:val="24"/>
          <w:szCs w:val="24"/>
          <w:lang w:val="bg-BG" w:eastAsia="zh-CN"/>
        </w:rPr>
        <w:t xml:space="preserve"> и чл. 8, ал. 2 от Устройствения</w:t>
      </w:r>
      <w:r>
        <w:rPr>
          <w:rFonts w:ascii="Times New Roman" w:hAnsi="Times New Roman"/>
          <w:spacing w:val="2"/>
          <w:sz w:val="24"/>
          <w:szCs w:val="24"/>
          <w:lang w:val="bg-BG" w:eastAsia="zh-CN"/>
        </w:rPr>
        <w:t xml:space="preserve"> правилник на Министерският съвет и на неговата администрация предлагам Министерският съвет да приеме приложения проект на Постановление. </w:t>
      </w:r>
    </w:p>
    <w:p w:rsidR="0026620C" w:rsidRDefault="0086405E">
      <w:pPr>
        <w:widowControl w:val="0"/>
        <w:overflowPunct/>
        <w:spacing w:line="384" w:lineRule="auto"/>
        <w:ind w:firstLine="709"/>
        <w:jc w:val="both"/>
        <w:textAlignment w:val="auto"/>
        <w:rPr>
          <w:rFonts w:ascii="Times New Roman" w:hAnsi="Times New Roman"/>
          <w:spacing w:val="2"/>
          <w:sz w:val="24"/>
          <w:szCs w:val="24"/>
          <w:lang w:val="bg-BG" w:eastAsia="zh-CN"/>
        </w:rPr>
      </w:pPr>
      <w:r>
        <w:rPr>
          <w:rFonts w:ascii="Times New Roman" w:hAnsi="Times New Roman"/>
          <w:spacing w:val="2"/>
          <w:sz w:val="24"/>
          <w:szCs w:val="24"/>
          <w:lang w:val="bg-BG" w:eastAsia="zh-CN"/>
        </w:rPr>
        <w:br w:type="page"/>
      </w:r>
    </w:p>
    <w:tbl>
      <w:tblPr>
        <w:tblW w:w="8654" w:type="dxa"/>
        <w:tblInd w:w="668" w:type="dxa"/>
        <w:tblLook w:val="01E0" w:firstRow="1" w:lastRow="1" w:firstColumn="1" w:lastColumn="1" w:noHBand="0" w:noVBand="0"/>
      </w:tblPr>
      <w:tblGrid>
        <w:gridCol w:w="1781"/>
        <w:gridCol w:w="6873"/>
      </w:tblGrid>
      <w:tr w:rsidR="0026620C">
        <w:tc>
          <w:tcPr>
            <w:tcW w:w="1781" w:type="dxa"/>
          </w:tcPr>
          <w:p w:rsidR="0026620C" w:rsidRDefault="0086405E">
            <w:pPr>
              <w:spacing w:line="360" w:lineRule="auto"/>
              <w:rPr>
                <w:rFonts w:ascii="Times New Roman" w:hAnsi="Times New Roman"/>
                <w:b/>
                <w:bCs/>
                <w:sz w:val="24"/>
                <w:szCs w:val="24"/>
                <w:lang w:val="bg-BG"/>
              </w:rPr>
            </w:pPr>
            <w:r>
              <w:rPr>
                <w:rFonts w:ascii="Times New Roman" w:hAnsi="Times New Roman"/>
                <w:b/>
                <w:bCs/>
                <w:sz w:val="24"/>
                <w:szCs w:val="24"/>
                <w:lang w:val="bg-BG"/>
              </w:rPr>
              <w:lastRenderedPageBreak/>
              <w:t xml:space="preserve">Приложение: </w:t>
            </w:r>
          </w:p>
        </w:tc>
        <w:tc>
          <w:tcPr>
            <w:tcW w:w="6873" w:type="dxa"/>
          </w:tcPr>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Проект 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w:t>
            </w:r>
            <w:r>
              <w:rPr>
                <w:sz w:val="24"/>
                <w:szCs w:val="24"/>
                <w:lang w:val="bg-BG"/>
              </w:rPr>
              <w:t xml:space="preserve">ние № 78 на Министерския съвет от 2016 г. (обн., ДВ, бр. 30 от 2016 г.); </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 xml:space="preserve">Частична предварителна оценка на въздействието; </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pacing w:val="-6"/>
                <w:sz w:val="24"/>
                <w:szCs w:val="24"/>
                <w:lang w:val="bg-BG"/>
              </w:rPr>
              <w:t>Становище на дирекция „Модернизация</w:t>
            </w:r>
            <w:r>
              <w:rPr>
                <w:sz w:val="24"/>
                <w:szCs w:val="24"/>
                <w:lang w:val="bg-BG"/>
              </w:rPr>
              <w:t xml:space="preserve"> на администрацията” на Министерския съвет;</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Финансова обосновка;</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Справка за отразяване на становищ</w:t>
            </w:r>
            <w:r>
              <w:rPr>
                <w:sz w:val="24"/>
                <w:szCs w:val="24"/>
                <w:lang w:val="bg-BG"/>
              </w:rPr>
              <w:t>ата, постъпили по реда на чл. 32 – 34 от УПМСНА;</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Постъпили становища по реда на чл. 32 – 34 от УПМСНА;</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 xml:space="preserve">Справка за отразяване на постъпилите предложения и становища от проведената обществена консултация; </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Постъпили предложения и становища от проведената общ</w:t>
            </w:r>
            <w:r>
              <w:rPr>
                <w:sz w:val="24"/>
                <w:szCs w:val="24"/>
                <w:lang w:val="bg-BG"/>
              </w:rPr>
              <w:t>ествена консултация;</w:t>
            </w:r>
          </w:p>
          <w:p w:rsidR="0026620C" w:rsidRDefault="0086405E">
            <w:pPr>
              <w:pStyle w:val="ListParagraph"/>
              <w:numPr>
                <w:ilvl w:val="0"/>
                <w:numId w:val="33"/>
              </w:numPr>
              <w:overflowPunct/>
              <w:autoSpaceDE/>
              <w:autoSpaceDN/>
              <w:adjustRightInd/>
              <w:spacing w:line="360" w:lineRule="auto"/>
              <w:contextualSpacing w:val="0"/>
              <w:jc w:val="both"/>
              <w:textAlignment w:val="auto"/>
              <w:rPr>
                <w:sz w:val="24"/>
                <w:szCs w:val="24"/>
                <w:lang w:val="bg-BG"/>
              </w:rPr>
            </w:pPr>
            <w:r>
              <w:rPr>
                <w:sz w:val="24"/>
                <w:szCs w:val="24"/>
                <w:lang w:val="bg-BG"/>
              </w:rPr>
              <w:t>Проект на съобщение за средствата за масово осведомяване.</w:t>
            </w:r>
          </w:p>
        </w:tc>
      </w:tr>
    </w:tbl>
    <w:p w:rsidR="0026620C" w:rsidRDefault="0026620C">
      <w:pPr>
        <w:spacing w:line="384" w:lineRule="auto"/>
        <w:jc w:val="both"/>
        <w:rPr>
          <w:rFonts w:ascii="Times New Roman" w:eastAsia="PMingLiU" w:hAnsi="Times New Roman"/>
          <w:bCs/>
          <w:sz w:val="24"/>
          <w:szCs w:val="24"/>
          <w:lang w:val="bg-BG"/>
        </w:rPr>
      </w:pPr>
    </w:p>
    <w:p w:rsidR="0026620C" w:rsidRDefault="0026620C">
      <w:pPr>
        <w:spacing w:line="384" w:lineRule="auto"/>
        <w:jc w:val="both"/>
        <w:rPr>
          <w:rFonts w:ascii="Times New Roman" w:eastAsia="PMingLiU" w:hAnsi="Times New Roman"/>
          <w:bCs/>
          <w:sz w:val="24"/>
          <w:szCs w:val="24"/>
          <w:lang w:val="bg-BG"/>
        </w:rPr>
      </w:pPr>
    </w:p>
    <w:p w:rsidR="0026620C" w:rsidRDefault="0086405E">
      <w:pPr>
        <w:spacing w:line="384" w:lineRule="auto"/>
        <w:jc w:val="both"/>
        <w:rPr>
          <w:rFonts w:ascii="Times New Roman" w:eastAsia="PMingLiU" w:hAnsi="Times New Roman"/>
          <w:bCs/>
          <w:sz w:val="24"/>
          <w:szCs w:val="24"/>
          <w:lang w:val="bg-BG"/>
        </w:rPr>
      </w:pPr>
      <w:r>
        <w:rPr>
          <w:rFonts w:ascii="Times New Roman" w:eastAsia="PMingLiU" w:hAnsi="Times New Roman"/>
          <w:bCs/>
          <w:sz w:val="24"/>
          <w:szCs w:val="24"/>
          <w:lang w:val="bg-BG"/>
        </w:rPr>
        <w:t>С уважение,</w:t>
      </w:r>
    </w:p>
    <w:p w:rsidR="0026620C" w:rsidRDefault="0026620C">
      <w:pPr>
        <w:spacing w:line="384" w:lineRule="auto"/>
        <w:jc w:val="both"/>
        <w:rPr>
          <w:rFonts w:ascii="Times New Roman" w:eastAsia="PMingLiU" w:hAnsi="Times New Roman"/>
          <w:bCs/>
          <w:sz w:val="24"/>
          <w:szCs w:val="24"/>
          <w:lang w:val="bg-BG"/>
        </w:rPr>
      </w:pPr>
    </w:p>
    <w:p w:rsidR="0026620C" w:rsidRDefault="0026620C">
      <w:pPr>
        <w:spacing w:line="384" w:lineRule="auto"/>
        <w:jc w:val="both"/>
        <w:rPr>
          <w:rFonts w:ascii="Times New Roman" w:eastAsia="PMingLiU" w:hAnsi="Times New Roman"/>
          <w:bCs/>
          <w:sz w:val="24"/>
          <w:szCs w:val="24"/>
          <w:lang w:val="bg-BG"/>
        </w:rPr>
      </w:pPr>
    </w:p>
    <w:p w:rsidR="0026620C" w:rsidRDefault="0086405E">
      <w:pPr>
        <w:spacing w:line="384" w:lineRule="auto"/>
        <w:jc w:val="both"/>
        <w:rPr>
          <w:rFonts w:ascii="Times New Roman" w:eastAsia="PMingLiU" w:hAnsi="Times New Roman"/>
          <w:b/>
          <w:bCs/>
          <w:sz w:val="24"/>
          <w:szCs w:val="24"/>
          <w:lang w:val="bg-BG"/>
        </w:rPr>
      </w:pPr>
      <w:r>
        <w:rPr>
          <w:rFonts w:ascii="Times New Roman" w:eastAsia="PMingLiU" w:hAnsi="Times New Roman"/>
          <w:b/>
          <w:bCs/>
          <w:sz w:val="24"/>
          <w:szCs w:val="24"/>
          <w:lang w:val="bg-BG"/>
        </w:rPr>
        <w:t>ПРОФ. Д-Р ХРИСТО БОЗУКОВ</w:t>
      </w:r>
    </w:p>
    <w:p w:rsidR="0026620C" w:rsidRDefault="0086405E">
      <w:pPr>
        <w:tabs>
          <w:tab w:val="left" w:pos="0"/>
        </w:tabs>
        <w:spacing w:line="384" w:lineRule="auto"/>
        <w:jc w:val="both"/>
        <w:outlineLvl w:val="0"/>
        <w:rPr>
          <w:rFonts w:ascii="Times New Roman" w:eastAsia="PMingLiU" w:hAnsi="Times New Roman"/>
          <w:i/>
          <w:iCs/>
          <w:sz w:val="24"/>
          <w:szCs w:val="24"/>
          <w:lang w:val="bg-BG"/>
        </w:rPr>
      </w:pPr>
      <w:r>
        <w:rPr>
          <w:rFonts w:ascii="Times New Roman" w:eastAsia="PMingLiU" w:hAnsi="Times New Roman"/>
          <w:i/>
          <w:iCs/>
          <w:sz w:val="24"/>
          <w:szCs w:val="24"/>
          <w:lang w:val="bg-BG"/>
        </w:rPr>
        <w:t xml:space="preserve">Министър </w:t>
      </w:r>
    </w:p>
    <w:p w:rsidR="0026620C" w:rsidRDefault="0026620C">
      <w:pPr>
        <w:overflowPunct/>
        <w:autoSpaceDE/>
        <w:autoSpaceDN/>
        <w:adjustRightInd/>
        <w:spacing w:line="360" w:lineRule="auto"/>
        <w:textAlignment w:val="auto"/>
        <w:rPr>
          <w:rFonts w:ascii="Times New Roman" w:hAnsi="Times New Roman"/>
          <w:smallCaps/>
          <w:sz w:val="24"/>
          <w:szCs w:val="24"/>
          <w:lang w:val="bg-BG" w:eastAsia="bg-BG"/>
        </w:rPr>
      </w:pPr>
      <w:bookmarkStart w:id="0" w:name="_GoBack"/>
      <w:bookmarkEnd w:id="0"/>
    </w:p>
    <w:sectPr w:rsidR="0026620C">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0C" w:rsidRDefault="0086405E">
      <w:r>
        <w:separator/>
      </w:r>
    </w:p>
  </w:endnote>
  <w:endnote w:type="continuationSeparator" w:id="0">
    <w:p w:rsidR="0026620C" w:rsidRDefault="0086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0C" w:rsidRDefault="00864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620C" w:rsidRDefault="00266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0C" w:rsidRDefault="0086405E">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Pr>
        <w:rFonts w:ascii="Verdana" w:hAnsi="Verdana"/>
        <w:noProof/>
        <w:sz w:val="16"/>
        <w:szCs w:val="16"/>
      </w:rPr>
      <w:t>5</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0C" w:rsidRDefault="0086405E">
      <w:r>
        <w:separator/>
      </w:r>
    </w:p>
  </w:footnote>
  <w:footnote w:type="continuationSeparator" w:id="0">
    <w:p w:rsidR="0026620C" w:rsidRDefault="0086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0C" w:rsidRDefault="0086405E">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simplePos x="0" y="0"/>
          <wp:positionH relativeFrom="column">
            <wp:posOffset>2345055</wp:posOffset>
          </wp:positionH>
          <wp:positionV relativeFrom="paragraph">
            <wp:posOffset>69215</wp:posOffset>
          </wp:positionV>
          <wp:extent cx="1223645" cy="1214755"/>
          <wp:effectExtent l="0" t="0" r="0" b="444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26620C" w:rsidRDefault="0026620C">
    <w:pPr>
      <w:pStyle w:val="Heading1"/>
      <w:framePr w:w="0" w:hRule="auto" w:wrap="auto" w:vAnchor="margin" w:hAnchor="text" w:xAlign="left" w:yAlign="inline"/>
      <w:rPr>
        <w:rFonts w:ascii="Platinum Bg" w:hAnsi="Platinum Bg"/>
        <w:spacing w:val="40"/>
        <w:sz w:val="40"/>
        <w:szCs w:val="40"/>
      </w:rPr>
    </w:pPr>
  </w:p>
  <w:p w:rsidR="0026620C" w:rsidRDefault="0026620C">
    <w:pPr>
      <w:pStyle w:val="Heading1"/>
      <w:framePr w:w="0" w:hRule="auto" w:wrap="auto" w:vAnchor="margin" w:hAnchor="text" w:xAlign="left" w:yAlign="inline"/>
      <w:rPr>
        <w:rFonts w:ascii="Platinum Bg" w:hAnsi="Platinum Bg"/>
        <w:spacing w:val="40"/>
        <w:sz w:val="40"/>
        <w:szCs w:val="40"/>
      </w:rPr>
    </w:pPr>
  </w:p>
  <w:p w:rsidR="0026620C" w:rsidRDefault="0026620C">
    <w:pPr>
      <w:pStyle w:val="Heading1"/>
      <w:framePr w:w="0" w:hRule="auto" w:wrap="auto" w:vAnchor="margin" w:hAnchor="text" w:xAlign="left" w:yAlign="inline"/>
      <w:rPr>
        <w:rFonts w:ascii="Platinum Bg" w:hAnsi="Platinum Bg"/>
        <w:spacing w:val="40"/>
        <w:sz w:val="40"/>
        <w:szCs w:val="40"/>
      </w:rPr>
    </w:pPr>
  </w:p>
  <w:p w:rsidR="0026620C" w:rsidRDefault="0026620C">
    <w:pPr>
      <w:pStyle w:val="Heading1"/>
      <w:framePr w:w="0" w:hRule="auto" w:wrap="auto" w:vAnchor="margin" w:hAnchor="text" w:xAlign="left" w:yAlign="inline"/>
      <w:rPr>
        <w:rFonts w:ascii="Platinum Bg" w:hAnsi="Platinum Bg"/>
        <w:b w:val="0"/>
        <w:spacing w:val="40"/>
        <w:sz w:val="36"/>
        <w:szCs w:val="36"/>
      </w:rPr>
    </w:pPr>
  </w:p>
  <w:p w:rsidR="0026620C" w:rsidRDefault="0026620C">
    <w:pPr>
      <w:pStyle w:val="Heading1"/>
      <w:framePr w:w="0" w:hRule="auto" w:wrap="auto" w:vAnchor="margin" w:hAnchor="text" w:xAlign="left" w:yAlign="inline"/>
      <w:rPr>
        <w:rFonts w:ascii="Platinum Bg" w:hAnsi="Platinum Bg"/>
        <w:b w:val="0"/>
        <w:spacing w:val="40"/>
        <w:sz w:val="36"/>
        <w:szCs w:val="36"/>
        <w:lang w:val="bg-BG"/>
      </w:rPr>
    </w:pPr>
  </w:p>
  <w:p w:rsidR="0026620C" w:rsidRDefault="0086405E">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26620C" w:rsidRDefault="0086405E">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Pr>
        <w:noProof/>
      </w:rPr>
      <mc:AlternateContent>
        <mc:Choice Requires="wps">
          <w:drawing>
            <wp:anchor distT="4294967294" distB="4294967294" distL="114300" distR="114300" simplePos="0" relativeHeight="251658240" behindDoc="0" locked="0" layoutInCell="0" allowOverlap="1">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00C6"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15:restartNumberingAfterBreak="0">
    <w:nsid w:val="5C980A77"/>
    <w:multiLevelType w:val="multilevel"/>
    <w:tmpl w:val="374CE8AE"/>
    <w:lvl w:ilvl="0">
      <w:start w:val="1"/>
      <w:numFmt w:val="decimal"/>
      <w:suff w:val="space"/>
      <w:lvlText w:val="%1."/>
      <w:lvlJc w:val="right"/>
      <w:pPr>
        <w:ind w:left="340" w:firstLine="0"/>
      </w:pPr>
      <w:rPr>
        <w:rFonts w:ascii="Times New Roman" w:hAnsi="Times New Roman" w:hint="default"/>
        <w:b w:val="0"/>
        <w:i w:val="0"/>
        <w:sz w:val="24"/>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0C"/>
    <w:rsid w:val="0026620C"/>
    <w:rsid w:val="0086405E"/>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18DE26-CD94-4D5A-B911-1C66F2CD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hAnsi="Arial"/>
      <w:lang w:val="en-US"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E464-62CA-4B44-A20D-27CF61F1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1223</Words>
  <Characters>6973</Characters>
  <Application>Microsoft Office Word</Application>
  <DocSecurity>0</DocSecurity>
  <Lines>58</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Evstatiy Evstatiev</cp:lastModifiedBy>
  <cp:revision>28</cp:revision>
  <cp:lastPrinted>2021-10-13T12:29:00Z</cp:lastPrinted>
  <dcterms:created xsi:type="dcterms:W3CDTF">2021-08-05T07:37:00Z</dcterms:created>
  <dcterms:modified xsi:type="dcterms:W3CDTF">2021-10-22T09:27:00Z</dcterms:modified>
</cp:coreProperties>
</file>