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9134"/>
      </w:tblGrid>
      <w:tr w:rsidR="000F673B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673B" w:rsidRDefault="000F673B" w:rsidP="000F673B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КОНСУЛТАЦИОНЕН ДОКУМЕНТ</w:t>
            </w:r>
          </w:p>
        </w:tc>
      </w:tr>
      <w:tr w:rsidR="000F673B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1. ОСНОВНА ИНФОРМАЦИЯ ЗА КОНСУЛТАЦИЯТА</w:t>
            </w:r>
          </w:p>
        </w:tc>
      </w:tr>
      <w:tr w:rsidR="000F673B" w:rsidTr="006171D3">
        <w:trPr>
          <w:trHeight w:val="60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1.1.</w:t>
            </w:r>
          </w:p>
        </w:tc>
        <w:tc>
          <w:tcPr>
            <w:tcW w:w="9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Въведение:</w:t>
            </w:r>
          </w:p>
          <w:p w:rsidR="000F673B" w:rsidRDefault="000F673B" w:rsidP="000F673B">
            <w:pPr>
              <w:tabs>
                <w:tab w:val="left" w:pos="885"/>
              </w:tabs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Министерството на земеделието, храните и горите (МЗХГ) организира обществена консултация по реда на Глава втора, Раздел V от Наредбата за обхвата и методологията за извършване на оценка на въздействието по концепция на нов Закон за ветеринарномедицинската дейност (ЗВД).</w:t>
            </w:r>
          </w:p>
          <w:p w:rsidR="000F673B" w:rsidRDefault="000F673B" w:rsidP="000F673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Законопроектът ще бъде изготвен </w:t>
            </w:r>
            <w:r>
              <w:rPr>
                <w:rFonts w:ascii="Times New Roman" w:eastAsia="+mn-ea" w:hAnsi="Times New Roman"/>
                <w:kern w:val="24"/>
                <w:szCs w:val="24"/>
                <w:lang w:val="bg-BG"/>
              </w:rPr>
              <w:t>в рамките 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eastAsia="+mn-ea" w:hAnsi="Times New Roman"/>
                <w:kern w:val="24"/>
                <w:szCs w:val="24"/>
                <w:lang w:val="bg-BG"/>
              </w:rPr>
              <w:t>Програмата за пригодност и резултатност на регулаторната рамка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eastAsia="+mn-ea" w:hAnsi="Times New Roman"/>
                <w:kern w:val="24"/>
                <w:szCs w:val="24"/>
                <w:lang w:val="bg-BG"/>
              </w:rPr>
              <w:t xml:space="preserve">(REFIT)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на Комисията за по-добро регулиране – опростена и по-лесна за разбиране нормативна уредба, която да допринесе за очакваните ползи за гражданите и бизнес операторите, като в същото време ще намали административната тежест и свързаните с нея разходи. </w:t>
            </w:r>
          </w:p>
          <w:p w:rsidR="000F673B" w:rsidRDefault="000F673B" w:rsidP="000F673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Законопроектът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има за цел да бъдат хармонизирани с националното законодателство изискванията на предложения пакет от нормативни актове на институции на Европейския съюз (ЕС), отнасящи се до Правото на Европейския съюз по отношение на агрохранителната верига и за 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защитата на здравето на хората и животните и ветеринарните лекарствени продукти (ВЛП). </w:t>
            </w:r>
          </w:p>
          <w:p w:rsidR="000F673B" w:rsidRDefault="000F673B" w:rsidP="000F673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Създаването на </w:t>
            </w:r>
            <w:r>
              <w:rPr>
                <w:rFonts w:ascii="Times New Roman" w:hAnsi="Times New Roman"/>
                <w:szCs w:val="24"/>
                <w:lang w:val="bg-BG"/>
              </w:rPr>
              <w:t>модерна и съвременна правна рамка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 ще осигури прилагане на правото на ЕС и въвеждане на национални мерки в областта на агрохранителната верига, чрез хармонизация на националната ветеринарномедицинска нормативна уредба. С ефективното ѝ правоприлагане ще се гарантира по най-добрия начин продоволствената сигурност в Република България и 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>осъществяването на официалните ни ангажименти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 като държава членка  на ЕС за постигането на</w:t>
            </w:r>
            <w:r>
              <w:rPr>
                <w:rFonts w:ascii="Times New Roman" w:eastAsia="+mn-ea" w:hAnsi="Times New Roman"/>
                <w:kern w:val="24"/>
                <w:szCs w:val="24"/>
                <w:lang w:val="bg-BG"/>
              </w:rPr>
              <w:t xml:space="preserve"> един от основните принципи за създаването му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– </w:t>
            </w:r>
            <w:r>
              <w:rPr>
                <w:rFonts w:ascii="Times New Roman" w:eastAsia="+mn-ea" w:hAnsi="Times New Roman"/>
                <w:kern w:val="24"/>
                <w:szCs w:val="24"/>
                <w:lang w:val="bg-BG"/>
              </w:rPr>
              <w:t>свободно движение на животни и животински продукти на територията на Европейския съюз.</w:t>
            </w:r>
          </w:p>
        </w:tc>
      </w:tr>
      <w:tr w:rsidR="000F673B" w:rsidTr="006171D3">
        <w:trPr>
          <w:trHeight w:val="60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1.2.</w:t>
            </w:r>
          </w:p>
        </w:tc>
        <w:tc>
          <w:tcPr>
            <w:tcW w:w="9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Цели на консултацията:</w:t>
            </w: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Чрез обществената консултация се канят всички заинтересовани страни да дадат предложения и коментари по концепцията на нов ЗВД, която има за цел да представи основните направления на бъдещите нормативни предложения за реформа в областта на обществените отношения, свързани с ветеринарномедицинските въпроси, болестите по животните, зоонозите и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ВЛП.</w:t>
            </w:r>
          </w:p>
        </w:tc>
      </w:tr>
      <w:tr w:rsidR="000F673B" w:rsidTr="006171D3">
        <w:trPr>
          <w:trHeight w:val="60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1.3.</w:t>
            </w:r>
          </w:p>
        </w:tc>
        <w:tc>
          <w:tcPr>
            <w:tcW w:w="9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Консултационен процес:</w:t>
            </w:r>
          </w:p>
          <w:p w:rsidR="000F673B" w:rsidRDefault="000F673B" w:rsidP="000F673B">
            <w:pPr>
              <w:widowControl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Настоящите консултации са част от работата по изготвяне на цялостна предварителна оценка на въздействието и ще приключат най-късно на етапа на оценка и сравнение на вариантите по количествено и качествено измерение на всички значителни икономически и/или социални, и/или екологични въздействия. </w:t>
            </w:r>
          </w:p>
          <w:p w:rsidR="000F673B" w:rsidRDefault="000F673B" w:rsidP="000F673B">
            <w:pPr>
              <w:widowControl w:val="0"/>
              <w:tabs>
                <w:tab w:val="left" w:pos="88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contextualSpacing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Консултациите не заместват обществените консултации по реда на чл. 26 от Закона за нормативни актове, съгласно който в процеса по изработване на проект на нормативен акт се провеждат обществени консултации с гражданите и юридическите лица.</w:t>
            </w: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Обществената консултация се открива за 30 дни.</w:t>
            </w: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Консултационният документ ще бъде публикуван на Портала за обществени консултации и на страницата на Министерството на земеделието, храните и горите.</w:t>
            </w:r>
          </w:p>
        </w:tc>
      </w:tr>
      <w:tr w:rsidR="000F673B" w:rsidTr="006171D3">
        <w:trPr>
          <w:trHeight w:val="60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1.4.</w:t>
            </w:r>
          </w:p>
        </w:tc>
        <w:tc>
          <w:tcPr>
            <w:tcW w:w="9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Относими документи и нормативни актове:</w:t>
            </w:r>
          </w:p>
          <w:p w:rsidR="000F673B" w:rsidRDefault="000F673B" w:rsidP="00716A7E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Основните закони, които уреждат обществените отношения, свързани с ветеринарномедицинските въпроси, болестите по животните, зоонозите и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ВЛП са Закона за ветеринарномедицинската дейност и Закона за управление на агрохранителната верига и подзаконовите нормативни </w:t>
            </w:r>
            <w:r w:rsidR="00716A7E">
              <w:rPr>
                <w:rFonts w:ascii="Times New Roman" w:hAnsi="Times New Roman"/>
                <w:szCs w:val="24"/>
                <w:lang w:val="bg-BG"/>
              </w:rPr>
              <w:t>актове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към тях. </w:t>
            </w:r>
          </w:p>
        </w:tc>
      </w:tr>
      <w:tr w:rsidR="000F673B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2. ОПИСАНИЕ НА ПРЕДЛОЖЕНИЕТО</w:t>
            </w:r>
          </w:p>
          <w:p w:rsidR="000F673B" w:rsidRDefault="000F673B" w:rsidP="000F673B">
            <w:pPr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Целта на новият ЗВД е да се изготви рационална и модерна правна рамка, с която да се създаде нова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>национална ветеринарномедицинска</w:t>
            </w: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 нормативна уредба. Тя ще </w:t>
            </w:r>
            <w:r>
              <w:rPr>
                <w:rFonts w:ascii="Times New Roman" w:hAnsi="Times New Roman"/>
                <w:szCs w:val="24"/>
                <w:lang w:val="bg-BG"/>
              </w:rPr>
              <w:t>регулира обществените отношения, свързани с ветеринарномедицинските въпроси, болестите по животните, зоонозите и ВЛП. Чрез нея</w:t>
            </w: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 ще се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повиши </w:t>
            </w:r>
            <w:r>
              <w:rPr>
                <w:rFonts w:ascii="Times New Roman" w:eastAsiaTheme="minorHAnsi" w:hAnsi="Times New Roman"/>
                <w:bCs/>
                <w:szCs w:val="24"/>
                <w:lang w:val="bg-BG"/>
              </w:rPr>
              <w:t>защитата на здравето на хората и животните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и ще се осигури правилно прилагане на </w:t>
            </w:r>
            <w:r>
              <w:rPr>
                <w:rFonts w:ascii="Times New Roman" w:hAnsi="Times New Roman"/>
                <w:szCs w:val="24"/>
                <w:lang w:val="bg-BG"/>
              </w:rPr>
              <w:t>предложения пакет от актове на европейското право, отнасящи се до нормативни актове на институции на ЕС по агрохранителната верига.</w:t>
            </w:r>
          </w:p>
          <w:p w:rsidR="000F673B" w:rsidRDefault="000F673B" w:rsidP="000F673B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="Calibri" w:hAnsi="Times New Roman"/>
                <w:szCs w:val="24"/>
                <w:lang w:val="bg-BG" w:eastAsia="en-GB"/>
              </w:rPr>
            </w:pP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С </w:t>
            </w:r>
            <w:r>
              <w:rPr>
                <w:rFonts w:ascii="Times New Roman" w:eastAsiaTheme="minorHAnsi" w:hAnsi="Times New Roman"/>
                <w:szCs w:val="24"/>
                <w:shd w:val="clear" w:color="auto" w:fill="FFFFFF"/>
                <w:lang w:val="bg-BG"/>
              </w:rPr>
              <w:t xml:space="preserve">Регламент </w:t>
            </w: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(ЕС) 2016/429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(OВ L 84, 31.3.2016 г.) </w:t>
            </w: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се регламентират </w:t>
            </w:r>
            <w:r>
              <w:rPr>
                <w:rFonts w:ascii="Times New Roman" w:eastAsiaTheme="minorHAnsi" w:hAnsi="Times New Roman"/>
                <w:szCs w:val="24"/>
                <w:shd w:val="clear" w:color="auto" w:fill="FFFFFF"/>
                <w:lang w:val="bg-BG"/>
              </w:rPr>
              <w:t>правила за профилактика и контрол на болестите по животните, които се предават на животните или на хората</w:t>
            </w: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. </w:t>
            </w:r>
            <w:r>
              <w:rPr>
                <w:rFonts w:ascii="Times New Roman" w:eastAsia="Calibri" w:hAnsi="Times New Roman"/>
                <w:szCs w:val="24"/>
                <w:lang w:val="bg-BG" w:eastAsia="en-GB"/>
              </w:rPr>
              <w:t>Регламентът има за цел подобряване на ранното откриване и контрол на болестите по животните, включително нововъзникващи заболявания, като поставя акцент на политиката за предотвратяване на появата на болести, вместо да се налага да ги контролира и ликвидира.</w:t>
            </w:r>
          </w:p>
          <w:p w:rsidR="000F673B" w:rsidRDefault="000F673B" w:rsidP="000F673B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b/>
                <w:szCs w:val="24"/>
                <w:lang w:val="bg-BG" w:eastAsia="en-GB"/>
              </w:rPr>
            </w:pP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Предвидено е да се въведат критерии и стандарти, на които следва да отговарят Университетските ветеринарни болници с клиники, които са създадени с цел обучение на студенти, провеждане на профилиращи специализации, курсове по клинична ветеринарна </w:t>
            </w: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lastRenderedPageBreak/>
              <w:t xml:space="preserve">медицина и развиване на научна и развойна дейност. Задължително условие за регистрацията на този тип заведения е те да се регистрират към университети, факултети и научни организации и в тях да работят хабилитирани лица. </w:t>
            </w:r>
          </w:p>
          <w:p w:rsidR="000F673B" w:rsidRDefault="000F673B" w:rsidP="000F673B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b/>
                <w:szCs w:val="24"/>
                <w:lang w:val="bg-BG" w:eastAsia="en-GB"/>
              </w:rPr>
            </w:pP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По отношение на административното регулиране, което засяга въпросите, отнасящи се до режима на обектите, в които ще се отглеждат животни ще се променя като обособяват два – регистрационен и одобрителен. С цел намаляване на административната тежест за животновъдните обекти тип „лични стопанства“, където се отглеждат животни за лични нужди няма да се изисква проверка на място от страна на контролния орган и такъв обект ще се регистрира само чрез подаване на заявление от съответния оператор без такса. </w:t>
            </w:r>
          </w:p>
          <w:p w:rsidR="000F673B" w:rsidRDefault="000F673B" w:rsidP="000F673B">
            <w:pPr>
              <w:tabs>
                <w:tab w:val="center" w:pos="709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>
              <w:rPr>
                <w:rFonts w:ascii="Times New Roman" w:eastAsiaTheme="minorHAnsi" w:hAnsi="Times New Roman"/>
                <w:szCs w:val="24"/>
                <w:lang w:val="bg-BG" w:eastAsia="en-GB"/>
              </w:rPr>
              <w:tab/>
              <w:t xml:space="preserve">За получаване на одобрение на останалите животновъдни обекти, независимо от вида на животните, които ще се отглеждат и капацитета им, освен предварително изпратени документи, ще се изисква извършване на проверка на място за съответствие на всички ветеринарномедицински изисквания в посочената сграда от оператора за пълна проследимост на дейността на обекта. </w:t>
            </w:r>
          </w:p>
          <w:p w:rsidR="000F673B" w:rsidRDefault="000F673B" w:rsidP="000F673B">
            <w:pPr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/>
              </w:rPr>
            </w:pP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Предвид бързия растеж на търговията от разстояние на домашни любимци с неясен произход и здравен статус ще се регламентират специфични изисквания към такъв вид търговия, както и критерии за осъществяването на ефективен контрол чрез средства за комуникация от разстояние при спазване на Закона за защита на потребителите, Закона за електронната търговия и на подзаконовите нормативни актове по прилагането им. </w:t>
            </w:r>
          </w:p>
          <w:p w:rsidR="000F673B" w:rsidRDefault="000F673B" w:rsidP="000F673B">
            <w:pPr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/>
              </w:rPr>
            </w:pPr>
            <w:r>
              <w:rPr>
                <w:rFonts w:ascii="Times New Roman" w:eastAsiaTheme="minorHAnsi" w:hAnsi="Times New Roman"/>
                <w:szCs w:val="24"/>
                <w:lang w:val="bg-BG"/>
              </w:rPr>
              <w:t xml:space="preserve">Предвижда се доставчикът на услуги на търговия от разстояние на домашни любимци, управляващ средство за комуникация от разстояние, да се регистрира по определена процедура, като регистрацията да е безсрочна, но да подлежи на заличаване при определени обстоятелства. </w:t>
            </w:r>
          </w:p>
          <w:p w:rsidR="000F673B" w:rsidRDefault="000F673B" w:rsidP="000F673B">
            <w:pPr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 xml:space="preserve">С цел подобряване процесите на събиране на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страничните животински продукти (СЖП), добити от лични стопанства се обсъжда възможността за изграждане на </w:t>
            </w: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 xml:space="preserve">събирателни пунктове за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събиране на умрели животни, отглеждани в лични стопанства и СЖП, в резултат от клане, </w:t>
            </w: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 xml:space="preserve">предназначено за лично домашно потребление от населените места във всяка община. За всички собственици на такива животновъдни обекти ще отпадне задължението да търсят начин за тяхното унищожаване и обезвреждане. С регламентацията на кое точно място ще се събират посочените СЖП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ще намалят случаите на </w:t>
            </w: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>безконтролното им изхвърляне навсякъде и ще се повиши ангажираността на обществото за опазването на околната среда, тъй като всеки пункт ще бъде одобряван съгласно съответните критерии.</w:t>
            </w:r>
          </w:p>
          <w:p w:rsidR="000F673B" w:rsidRDefault="000F673B" w:rsidP="00A75A5B">
            <w:pPr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В проектът се предвижда процедура за регистрация, както и определяне на изисквания към гробищни паркове за домашни любимци. </w:t>
            </w:r>
          </w:p>
          <w:p w:rsidR="000F673B" w:rsidRPr="00CC1260" w:rsidRDefault="000F673B" w:rsidP="00A75A5B">
            <w:pPr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CC1260">
              <w:rPr>
                <w:rFonts w:ascii="Times New Roman" w:eastAsiaTheme="minorHAnsi" w:hAnsi="Times New Roman"/>
                <w:szCs w:val="24"/>
                <w:lang w:val="bg-BG"/>
              </w:rPr>
              <w:t>Регламент (ЕС) 2019/6</w:t>
            </w:r>
            <w:r w:rsidRPr="00CC1260">
              <w:rPr>
                <w:rFonts w:ascii="Times New Roman" w:eastAsia="Calibri" w:hAnsi="Times New Roman"/>
                <w:b/>
                <w:szCs w:val="24"/>
                <w:vertAlign w:val="superscript"/>
                <w:lang w:val="bg-BG"/>
              </w:rPr>
              <w:t xml:space="preserve"> </w:t>
            </w:r>
            <w:r w:rsidRPr="00CC1260">
              <w:rPr>
                <w:rFonts w:ascii="Times New Roman" w:eastAsiaTheme="minorHAnsi" w:hAnsi="Times New Roman"/>
                <w:szCs w:val="24"/>
                <w:lang w:val="bg-BG"/>
              </w:rPr>
              <w:t>на Европейския парламент и на Съвета от 11 декември 2018 година относно ветеринарните лекарствени продукти и за отмяна на Директива 2001/82/ЕО</w:t>
            </w:r>
            <w:r w:rsidRPr="00CC1260">
              <w:rPr>
                <w:rFonts w:ascii="Times New Roman" w:hAnsi="Times New Roman"/>
                <w:szCs w:val="24"/>
                <w:lang w:val="bg-BG" w:eastAsia="bg-BG"/>
              </w:rPr>
              <w:t xml:space="preserve"> (OВ L 4, 7.1.2019 г.) (Регламент (ЕС) 2019/6) предопределя необходимостта от събиране на данни за </w:t>
            </w:r>
            <w:r w:rsidRPr="00CC1260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продажба и употреба на антимикробни ВЛП относно постигане целта на Европейския зелен пакт за намаляване на продажбите на антимикробни средства, предназначени за селскостопанските животни и за използване в аквакултурите с 50 % в срок до 2030 г. Заложените цели са обвързани с новата правна и финансова рамка на Общата селскостопанска политика за следващия програмен период: 2021 – 2027 г.</w:t>
            </w:r>
          </w:p>
          <w:p w:rsidR="000F673B" w:rsidRPr="00E1319F" w:rsidRDefault="000F673B" w:rsidP="000F673B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Ще се определи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процедура и за търговия с ВЛП от разстояние 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 xml:space="preserve">само на продукти, за които не се изисква ветеринарна рецепта, но </w:t>
            </w: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 xml:space="preserve">отговарят на изискванията на 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Регламент (ЕС) 2019/6 </w:t>
            </w:r>
            <w:r>
              <w:rPr>
                <w:rFonts w:ascii="Times New Roman" w:eastAsia="Calibri" w:hAnsi="Times New Roman"/>
                <w:szCs w:val="24"/>
                <w:shd w:val="clear" w:color="auto" w:fill="FFFFFF"/>
                <w:lang w:val="bg-BG"/>
              </w:rPr>
              <w:t xml:space="preserve">и приложимото право на държавата членка, в която ВЛП се продават на дребно.    Определени са изискванията за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пускане на пазара, движение в рамките на Европейския съюз и въвеждане в съюза на ВЛП,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EFEFE"/>
                <w:lang w:val="bg-BG"/>
              </w:rPr>
              <w:t xml:space="preserve">инвитро диагностични ветеринарномедицински </w:t>
            </w:r>
            <w:r w:rsidRPr="00E1319F">
              <w:rPr>
                <w:rFonts w:ascii="Times New Roman" w:hAnsi="Times New Roman"/>
                <w:color w:val="000000"/>
                <w:szCs w:val="24"/>
                <w:shd w:val="clear" w:color="auto" w:fill="FEFEFE"/>
                <w:lang w:val="bg-BG"/>
              </w:rPr>
              <w:t>средства</w:t>
            </w: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 и козметични ветеринарни средства.</w:t>
            </w:r>
          </w:p>
          <w:p w:rsidR="000F673B" w:rsidRDefault="000F673B" w:rsidP="000F673B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Предвижда се </w:t>
            </w:r>
            <w:r w:rsidRPr="00E1319F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вноса, търговията, съхранението, употребата и </w:t>
            </w: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предлагането на пазара на козметични ветеринарни средства да се </w:t>
            </w:r>
            <w:r w:rsidRPr="00E1319F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извършва, само след издаден валиден сертификат за търговия.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</w:t>
            </w:r>
          </w:p>
        </w:tc>
      </w:tr>
      <w:tr w:rsidR="000F673B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28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ВЪПРОСИ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ЗА ОБСЪЖДАНЕ</w:t>
            </w:r>
          </w:p>
          <w:p w:rsidR="000F673B" w:rsidRDefault="000F673B" w:rsidP="000F673B">
            <w:pPr>
              <w:pStyle w:val="ListParagraph"/>
              <w:widowControl w:val="0"/>
              <w:tabs>
                <w:tab w:val="left" w:pos="318"/>
              </w:tabs>
              <w:spacing w:after="0" w:line="360" w:lineRule="auto"/>
              <w:ind w:left="57" w:right="5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коментари по основните направления, посочени в концепцията.</w:t>
            </w:r>
          </w:p>
          <w:p w:rsidR="000F673B" w:rsidRPr="00E1319F" w:rsidRDefault="000F673B" w:rsidP="000F673B">
            <w:pPr>
              <w:pStyle w:val="ListParagraph"/>
              <w:widowControl w:val="0"/>
              <w:tabs>
                <w:tab w:val="left" w:pos="318"/>
              </w:tabs>
              <w:spacing w:after="0" w:line="360" w:lineRule="auto"/>
              <w:ind w:left="57" w:right="5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за допълнителни въпроси, </w:t>
            </w:r>
            <w:r w:rsidRPr="00E1319F">
              <w:rPr>
                <w:rFonts w:ascii="Times New Roman" w:hAnsi="Times New Roman" w:cs="Times New Roman"/>
                <w:sz w:val="24"/>
                <w:szCs w:val="24"/>
              </w:rPr>
              <w:t>които следва да намерят решение в новия ЗВД:</w:t>
            </w:r>
          </w:p>
          <w:p w:rsidR="000F673B" w:rsidRPr="00E1319F" w:rsidRDefault="000F673B" w:rsidP="000F673B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szCs w:val="24"/>
                <w:shd w:val="clear" w:color="auto" w:fill="FFFFFF"/>
                <w:lang w:val="bg-BG" w:eastAsia="bg-BG"/>
              </w:rPr>
            </w:pPr>
            <w:r w:rsidRPr="00E1319F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3.1. Разглеждане на</w:t>
            </w:r>
            <w:r w:rsidRPr="00E1319F">
              <w:rPr>
                <w:rFonts w:ascii="Times New Roman" w:eastAsia="Calibri" w:hAnsi="Times New Roman"/>
                <w:b/>
                <w:szCs w:val="24"/>
                <w:lang w:val="bg-BG"/>
              </w:rPr>
              <w:t xml:space="preserve"> възможност  за </w:t>
            </w:r>
            <w:r w:rsidRPr="00E1319F">
              <w:rPr>
                <w:rFonts w:ascii="Times New Roman" w:hAnsi="Times New Roman"/>
                <w:b/>
                <w:szCs w:val="24"/>
                <w:lang w:val="bg-BG"/>
              </w:rPr>
              <w:t>регистрация на групова ветеринарномедицинска практика.</w:t>
            </w:r>
          </w:p>
          <w:p w:rsidR="000F673B" w:rsidRPr="00E1319F" w:rsidRDefault="000F673B" w:rsidP="000F673B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1319F">
              <w:rPr>
                <w:rFonts w:ascii="Times New Roman" w:hAnsi="Times New Roman"/>
                <w:szCs w:val="24"/>
                <w:lang w:val="bg-BG" w:eastAsia="bg-BG"/>
              </w:rPr>
              <w:t xml:space="preserve">Ще се въведе възможност за </w:t>
            </w: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регистрация на групова ветеринарномедицинска практика. Собственик на ветеринарномедицинско заведение може да бъде физическо или юридическо лице, а управител на групова ветеринарномедицинска практика може да е само ветеринарен лекар, избран на общо </w:t>
            </w:r>
            <w:r w:rsidRPr="00E1319F">
              <w:rPr>
                <w:rFonts w:ascii="Times New Roman" w:eastAsia="Calibri" w:hAnsi="Times New Roman"/>
                <w:szCs w:val="24"/>
                <w:lang w:val="bg-BG"/>
              </w:rPr>
              <w:t>ѝ</w:t>
            </w: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 събрание. Изборът на управителя трябва да се удостовери</w:t>
            </w:r>
            <w:r w:rsidRPr="00E1319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1319F">
              <w:rPr>
                <w:rFonts w:ascii="Times New Roman" w:hAnsi="Times New Roman"/>
                <w:szCs w:val="24"/>
                <w:lang w:val="bg-BG"/>
              </w:rPr>
              <w:t>с протокол от общото събрание подписан от всички участващи в практиката.</w:t>
            </w:r>
          </w:p>
          <w:p w:rsidR="000F673B" w:rsidRPr="00E1319F" w:rsidRDefault="000F673B" w:rsidP="000F673B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1319F">
              <w:rPr>
                <w:rFonts w:ascii="Times New Roman" w:hAnsi="Times New Roman"/>
                <w:szCs w:val="24"/>
                <w:lang w:val="bg-BG"/>
              </w:rPr>
              <w:t xml:space="preserve">За регистрация на групова ветеринарна практика, управителят на практиката ще подава заявление до директора на Областна дирекция по безопасност на храните, на територията, на която се намира практиката. </w:t>
            </w:r>
          </w:p>
          <w:p w:rsidR="000F673B" w:rsidRPr="00E1319F" w:rsidRDefault="000F673B" w:rsidP="000F673B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>Предвидено е и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зискванията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за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групови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те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ветеринарномедицински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практики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да бъдат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определ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ени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с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наредб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а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на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министъра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на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земеделието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,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храните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и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  <w:r w:rsidRPr="00E1319F">
              <w:rPr>
                <w:rFonts w:ascii="Times New Roman" w:hAnsi="Times New Roman" w:hint="eastAsia"/>
                <w:szCs w:val="24"/>
                <w:lang w:val="bg-BG" w:eastAsia="zh-TW"/>
              </w:rPr>
              <w:t>горите</w:t>
            </w: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>.</w:t>
            </w:r>
          </w:p>
          <w:p w:rsidR="000F673B" w:rsidRDefault="000F673B" w:rsidP="000F673B">
            <w:pPr>
              <w:suppressAutoHyphens w:val="0"/>
              <w:spacing w:line="360" w:lineRule="auto"/>
              <w:ind w:firstLine="851"/>
              <w:jc w:val="both"/>
              <w:rPr>
                <w:rFonts w:ascii="Times New Roman" w:hAnsi="Times New Roman"/>
                <w:szCs w:val="24"/>
                <w:lang w:val="bg-BG" w:eastAsia="zh-TW"/>
              </w:rPr>
            </w:pPr>
            <w:r w:rsidRPr="00E1319F">
              <w:rPr>
                <w:rFonts w:ascii="Times New Roman" w:hAnsi="Times New Roman"/>
                <w:szCs w:val="24"/>
                <w:lang w:val="bg-BG" w:eastAsia="zh-TW"/>
              </w:rPr>
              <w:t>Ветеринарните лекари, които упражняват ветеринарномедицинска практика във ветеринарномедицинско заведение или групова ветеринарномедицинска практика както и до момента ще трябва да имат личен щемпел по образец, утвърден от изпълнителния директор на БАБХ и Български ветеринарен съюз.</w:t>
            </w:r>
            <w:r>
              <w:rPr>
                <w:rFonts w:ascii="Times New Roman" w:hAnsi="Times New Roman"/>
                <w:szCs w:val="24"/>
                <w:lang w:val="bg-BG" w:eastAsia="zh-TW"/>
              </w:rPr>
              <w:t xml:space="preserve"> </w:t>
            </w:r>
          </w:p>
          <w:p w:rsidR="000F673B" w:rsidRDefault="000F673B" w:rsidP="000F673B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szCs w:val="24"/>
                <w:shd w:val="clear" w:color="auto" w:fill="FFFFFF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3.2. Разглеждане на</w:t>
            </w:r>
            <w:r>
              <w:rPr>
                <w:rFonts w:ascii="Times New Roman" w:eastAsia="Calibri" w:hAnsi="Times New Roman"/>
                <w:b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  <w:lang w:val="bg-BG" w:eastAsia="bg-BG"/>
              </w:rPr>
              <w:t xml:space="preserve">въвеждане на забрана за отглеждане на животни за добив на ценни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  <w:lang w:val="bg-BG" w:eastAsia="bg-BG"/>
              </w:rPr>
              <w:lastRenderedPageBreak/>
              <w:t>кожи.</w:t>
            </w:r>
          </w:p>
          <w:p w:rsidR="000F673B" w:rsidRDefault="000F673B" w:rsidP="000F673B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szCs w:val="24"/>
                <w:shd w:val="clear" w:color="auto" w:fill="FFFFFF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През последните няколко години в Народно събрание са постъпили законопроекти за изменение и допълнение на ЗВД, свързани с въвеждането на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bg-BG" w:eastAsia="bg-BG"/>
              </w:rPr>
              <w:t xml:space="preserve">забрана за отглеждане на животни за добив на ценни кожи на територията на страната. В тази връзка през 2017 г. Центърът за оценка на риска по хранителната верига (ЦОРХВ) организира и проведе кръгла маса със заинтересованите страни и изготви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Научно становище</w:t>
            </w:r>
            <w:r>
              <w:rPr>
                <w:rFonts w:ascii="Times New Roman" w:eastAsia="Calibri" w:hAnsi="Times New Roman"/>
                <w:szCs w:val="24"/>
                <w:vertAlign w:val="superscript"/>
                <w:lang w:val="bg-BG"/>
              </w:rPr>
              <w:footnoteReference w:id="1"/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за оценка на риска чрез анализ на информация, свързана с отглеждането на американска норка за ценни кожи в животновъдни обекти на територията на Република България (актуализирано няколко пъти до момента) с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bg-BG" w:eastAsia="bg-BG"/>
              </w:rPr>
              <w:t>ъгласно, което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е разгледано контролираното отглеждане на американска норка и са оценени някои основни рискове</w:t>
            </w:r>
            <w:r>
              <w:rPr>
                <w:rFonts w:ascii="Times New Roman" w:eastAsia="Calibri" w:hAnsi="Times New Roman"/>
                <w:szCs w:val="24"/>
                <w:vertAlign w:val="superscript"/>
                <w:lang w:val="bg-BG"/>
              </w:rPr>
              <w:footnoteReference w:id="2"/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</w:p>
          <w:p w:rsidR="000F673B" w:rsidRDefault="000F673B" w:rsidP="000F673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Риск от навлизане и разпространение на популацията в околната среда от фермите за норки – много вероятен и това става много бързо;</w:t>
            </w:r>
          </w:p>
          <w:p w:rsidR="000F673B" w:rsidRDefault="000F673B" w:rsidP="000F673B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Риск от трайно установяване на устойчиви популации на американска норка в природата на Република България – много вероятен; </w:t>
            </w:r>
          </w:p>
          <w:p w:rsidR="000F673B" w:rsidRDefault="000F673B" w:rsidP="000F673B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Риск от разпространение на популацията на американска норка в нови райони – много вероятен и видът ще продължи да се разпространява и бързо да колонизира райони, които все още са останали незаети;</w:t>
            </w:r>
          </w:p>
          <w:p w:rsidR="000F673B" w:rsidRDefault="000F673B" w:rsidP="000F673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Риск от замърсяване на околната среда;</w:t>
            </w:r>
          </w:p>
          <w:p w:rsidR="000F673B" w:rsidRDefault="000F673B" w:rsidP="000F673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Риск за общественото здраве и здравето на животните, по отношение на заболявания, в това число и зоонози, от които боледува и пренася американската норка и които могат да представляват риск за здравето на хората, селскостопанските и дивите животни;</w:t>
            </w:r>
          </w:p>
          <w:p w:rsidR="000F673B" w:rsidRDefault="000F673B" w:rsidP="000F673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Риск за благосъстоянието на норките, отглеждани във ферми, тъй като те са диви животни.</w:t>
            </w:r>
          </w:p>
          <w:p w:rsidR="000F673B" w:rsidRDefault="000F673B" w:rsidP="00580F1D">
            <w:pPr>
              <w:shd w:val="clear" w:color="auto" w:fill="FFFFFF"/>
              <w:suppressAutoHyphens w:val="0"/>
              <w:spacing w:line="360" w:lineRule="auto"/>
              <w:ind w:left="57" w:right="57" w:firstLine="708"/>
              <w:contextualSpacing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Пълна забрана за отглеждане на животни за ценни кожи в ЕС са въвели: Великобритания (през 2000 г., в сила от 2003 г.), Австрия (от 2004 г.), Нидерландия (от 1995 г. за лисици, от 1997 г. за чинчили, забраната за норки ще влезе в сила през 2024 г.), Словения (в сила от 2015 г.), Хърватия (в сила от 2017 г.) и Чехия (в сила от 2019 г.). В Унгария са разрешени само фермите за чинчили и зайци. В Испания предстои фермите за норки да бъдат затворени. Списъкът на държавите членки, забранили производството на ценни кожи, междувременно се е разширил с Люксембург и Белгия (последните 17 ферми за норки във Фландрия ще бъдат закрити през </w:t>
            </w:r>
            <w:r w:rsidR="006171D3">
              <w:rPr>
                <w:rFonts w:ascii="Times New Roman" w:hAnsi="Times New Roman"/>
                <w:szCs w:val="24"/>
                <w:lang w:val="bg-BG" w:eastAsia="bg-BG"/>
              </w:rPr>
              <w:t xml:space="preserve">      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2023 г.). Извън ЕС, забрана за отглеждане на животни за ценните им кожи е въведена в Сърбия,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Босна и Херцеговина и Северна Македония. Страни като Германия, Швеция и Швейцария възприемат друг подход: не забраняват пряко дейността на фермите, но въвеждат много високи изисквания за отглеждане на животните. Така, въпреки че в Германия новите изисквания за хуманно отношение към животните влизат в сила през 2022 г., още през април 2019 г. е затворила последната останала ферма за ценни кожи. В Япония последната ферма за ценни кожи е закрита през 2016 г. Към настоящият момент действащи ферми за отглеждане на норки има в Дания, Франция, Гърция, Италия, Литва, Нидерландия, Испания, Швеция, Полша и Латвия.</w:t>
            </w:r>
          </w:p>
        </w:tc>
      </w:tr>
      <w:tr w:rsidR="000F673B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4. ДОКУМЕНТИ, СЪПЪТСТВАЩИ КОНСУЛТАЦИЯТА</w:t>
            </w:r>
          </w:p>
          <w:p w:rsidR="000F673B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Въпросник 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относно оценка на въздействието върху малките и средни предприятия на проекта на </w:t>
            </w:r>
            <w:r>
              <w:rPr>
                <w:rFonts w:ascii="Times New Roman" w:hAnsi="Times New Roman"/>
                <w:szCs w:val="24"/>
                <w:lang w:val="bg-BG"/>
              </w:rPr>
              <w:t>нов ЗВД.</w:t>
            </w:r>
          </w:p>
        </w:tc>
      </w:tr>
    </w:tbl>
    <w:p w:rsidR="0054018F" w:rsidRDefault="0054018F">
      <w:pPr>
        <w:rPr>
          <w:rFonts w:ascii="Times New Roman" w:hAnsi="Times New Roman"/>
          <w:szCs w:val="24"/>
          <w:lang w:val="bg-BG"/>
        </w:rPr>
      </w:pPr>
    </w:p>
    <w:p w:rsidR="0054018F" w:rsidRDefault="0054018F">
      <w:pPr>
        <w:rPr>
          <w:rFonts w:ascii="Times New Roman" w:hAnsi="Times New Roman"/>
          <w:szCs w:val="24"/>
          <w:lang w:val="bg-BG"/>
        </w:rPr>
      </w:pPr>
    </w:p>
    <w:p w:rsidR="0054018F" w:rsidRDefault="0054018F">
      <w:pPr>
        <w:spacing w:line="360" w:lineRule="auto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sectPr w:rsidR="0054018F">
      <w:footerReference w:type="default" r:id="rId8"/>
      <w:footerReference w:type="first" r:id="rId9"/>
      <w:pgSz w:w="11906" w:h="16838" w:code="9"/>
      <w:pgMar w:top="1134" w:right="1134" w:bottom="454" w:left="1701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C8" w:rsidRDefault="007F26C8">
      <w:r>
        <w:separator/>
      </w:r>
    </w:p>
  </w:endnote>
  <w:endnote w:type="continuationSeparator" w:id="0">
    <w:p w:rsidR="007F26C8" w:rsidRDefault="007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6788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4018F" w:rsidRDefault="004D49A8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E31340">
          <w:rPr>
            <w:rFonts w:ascii="Times New Roman" w:hAnsi="Times New Roman"/>
            <w:noProof/>
            <w:sz w:val="20"/>
          </w:rPr>
          <w:t>6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8F" w:rsidRDefault="0054018F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C8" w:rsidRDefault="007F26C8">
      <w:r>
        <w:separator/>
      </w:r>
    </w:p>
  </w:footnote>
  <w:footnote w:type="continuationSeparator" w:id="0">
    <w:p w:rsidR="007F26C8" w:rsidRDefault="007F26C8">
      <w:r>
        <w:continuationSeparator/>
      </w:r>
    </w:p>
  </w:footnote>
  <w:footnote w:id="1">
    <w:p w:rsidR="000F673B" w:rsidRDefault="000F673B" w:rsidP="000F673B">
      <w:pPr>
        <w:pStyle w:val="FootnoteText"/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Verdana" w:eastAsia="Wingdings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hyperlink r:id="rId1" w:history="1">
        <w:r>
          <w:rPr>
            <w:rStyle w:val="Hyperlink"/>
            <w:rFonts w:ascii="Verdana" w:hAnsi="Verdana"/>
            <w:sz w:val="16"/>
            <w:szCs w:val="16"/>
          </w:rPr>
          <w:t>https://corhv.government.bg/files/%D0%A1%D1%82%D0%B0%D0%BD%D0%BE%D0%B2%D0%B8%D1%89%D0%B0%20%D0%B8%20%D0%BE%D1%86%D0%B5%D0%BD%D0%BA%D0%B0%20%D0%BD%D0%B0%20%D1%80%D0%B8%D1%81%D0%BA%D0%B0/02_%D0%97%D0%B4%D1%80%D0%B0%D0%B2%D0%B5%20%D0%BD%D0%B0%20%D0%B6%D0%B8%D0%B2%D0%BE%D1%82%D0%BD%D0%B8%D1%82%D0%B5%20%D0%B8%20%D1%85%D1%83%D0%BC%D0%B0%D0%BD%D0%BD%D0%BE%20%D0%BE%D1%82%D0%BD%D0%BE%D1%88%D0%B5%D0%BD%D0%B8%D0%B5%20%D0%BA%D1%8A%D0%BC%20%D1%82%D1%8F%D1%85/2017_09_27_SCIENTIFIC_OPINION-RISK-ASSESSMENT-MINK-FARM-BULGARIA_Georgiev_all.pdf</w:t>
        </w:r>
      </w:hyperlink>
      <w:r>
        <w:rPr>
          <w:rFonts w:ascii="Verdana" w:hAnsi="Verdana"/>
          <w:sz w:val="16"/>
          <w:szCs w:val="16"/>
        </w:rPr>
        <w:t xml:space="preserve"> </w:t>
      </w:r>
    </w:p>
  </w:footnote>
  <w:footnote w:id="2">
    <w:p w:rsidR="000F673B" w:rsidRDefault="000F673B" w:rsidP="000F673B">
      <w:pPr>
        <w:pStyle w:val="FootnoteText"/>
        <w:jc w:val="both"/>
      </w:pPr>
      <w:r>
        <w:rPr>
          <w:rStyle w:val="FootnoteReference"/>
          <w:rFonts w:ascii="Verdana" w:eastAsia="Wingdings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hyperlink r:id="rId2" w:history="1">
        <w:r>
          <w:rPr>
            <w:rStyle w:val="Hyperlink"/>
            <w:rFonts w:ascii="Verdana" w:hAnsi="Verdana"/>
            <w:sz w:val="16"/>
            <w:szCs w:val="16"/>
          </w:rPr>
          <w:t>https://corhv.government.bg/files/2020_02_10_Aktualizirano_Stanovishte_CORHV_norki_fermi-last.pdf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E8"/>
    <w:multiLevelType w:val="multilevel"/>
    <w:tmpl w:val="D33AF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C6468"/>
    <w:multiLevelType w:val="hybridMultilevel"/>
    <w:tmpl w:val="9092D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12E"/>
    <w:multiLevelType w:val="hybridMultilevel"/>
    <w:tmpl w:val="90CEBA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105"/>
    <w:multiLevelType w:val="hybridMultilevel"/>
    <w:tmpl w:val="1BE441AE"/>
    <w:lvl w:ilvl="0" w:tplc="3DBE26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34FBC"/>
    <w:multiLevelType w:val="hybridMultilevel"/>
    <w:tmpl w:val="10B8E120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460B5"/>
    <w:multiLevelType w:val="hybridMultilevel"/>
    <w:tmpl w:val="E26AA1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7AE"/>
    <w:multiLevelType w:val="multilevel"/>
    <w:tmpl w:val="22160DA0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22CFE"/>
    <w:multiLevelType w:val="hybridMultilevel"/>
    <w:tmpl w:val="50DC98C2"/>
    <w:lvl w:ilvl="0" w:tplc="4F341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2D29CC"/>
    <w:multiLevelType w:val="multilevel"/>
    <w:tmpl w:val="86E20ED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F278BD"/>
    <w:multiLevelType w:val="multilevel"/>
    <w:tmpl w:val="97A2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2B1B94"/>
    <w:multiLevelType w:val="multilevel"/>
    <w:tmpl w:val="4AA6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1C609C0"/>
    <w:multiLevelType w:val="multilevel"/>
    <w:tmpl w:val="DE18F238"/>
    <w:lvl w:ilvl="0">
      <w:start w:val="1"/>
      <w:numFmt w:val="bullet"/>
      <w:suff w:val="space"/>
      <w:lvlText w:val="-"/>
      <w:lvlJc w:val="left"/>
      <w:pPr>
        <w:ind w:left="510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8F"/>
    <w:rsid w:val="000F673B"/>
    <w:rsid w:val="00146A2B"/>
    <w:rsid w:val="002469E4"/>
    <w:rsid w:val="004D49A8"/>
    <w:rsid w:val="00507488"/>
    <w:rsid w:val="0054018F"/>
    <w:rsid w:val="00580F1D"/>
    <w:rsid w:val="00594059"/>
    <w:rsid w:val="005B2892"/>
    <w:rsid w:val="005E14BF"/>
    <w:rsid w:val="006171D3"/>
    <w:rsid w:val="0071475D"/>
    <w:rsid w:val="00716A7E"/>
    <w:rsid w:val="007F26C8"/>
    <w:rsid w:val="008A0B38"/>
    <w:rsid w:val="00A75A5B"/>
    <w:rsid w:val="00A8097A"/>
    <w:rsid w:val="00B9425B"/>
    <w:rsid w:val="00CC1260"/>
    <w:rsid w:val="00CD4862"/>
    <w:rsid w:val="00CF0411"/>
    <w:rsid w:val="00D16EE3"/>
    <w:rsid w:val="00E1319F"/>
    <w:rsid w:val="00E31340"/>
    <w:rsid w:val="00F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5669B-15EC-4B97-809B-5835FD6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BodyTextVerdana11ptTegn">
    <w:name w:val="Style Body Text + Verdana 11 pt Tegn Знак"/>
    <w:rPr>
      <w:rFonts w:ascii="Verdana" w:hAnsi="Verdana"/>
      <w:sz w:val="22"/>
      <w:szCs w:val="22"/>
      <w:lang w:val="en-CA" w:eastAsia="en-US" w:bidi="ar-SA"/>
    </w:rPr>
  </w:style>
  <w:style w:type="character" w:customStyle="1" w:styleId="CharChar">
    <w:name w:val="Знак Знак Знак Знак Знак Char Char"/>
    <w:locked/>
    <w:rPr>
      <w:sz w:val="24"/>
      <w:szCs w:val="24"/>
      <w:lang w:val="en-US" w:eastAsia="bg-BG" w:bidi="ar-SA"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longdesc">
    <w:name w:val="long_desc"/>
    <w:basedOn w:val="DefaultParagraphFont"/>
  </w:style>
  <w:style w:type="character" w:customStyle="1" w:styleId="samedocreference">
    <w:name w:val="samedocreference"/>
    <w:basedOn w:val="DefaultParagraphFont"/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rPr>
      <w:b/>
      <w:bCs/>
      <w:color w:val="0086C6"/>
    </w:rPr>
  </w:style>
  <w:style w:type="character" w:customStyle="1" w:styleId="FontStyle26">
    <w:name w:val="Font Style26"/>
    <w:rPr>
      <w:rFonts w:ascii="Times New Roman" w:hAnsi="Times New Roman" w:cs="Times New Roman"/>
      <w:sz w:val="22"/>
      <w:szCs w:val="22"/>
    </w:rPr>
  </w:style>
  <w:style w:type="character" w:customStyle="1" w:styleId="ala2">
    <w:name w:val="al_a2"/>
    <w:rPr>
      <w:vanish w:val="0"/>
    </w:rPr>
  </w:style>
  <w:style w:type="character" w:styleId="Strong">
    <w:name w:val="Strong"/>
    <w:qFormat/>
    <w:rPr>
      <w:b/>
      <w:bCs/>
    </w:rPr>
  </w:style>
  <w:style w:type="character" w:customStyle="1" w:styleId="BodyTextIndentChar">
    <w:name w:val="Body Text Indent Char"/>
    <w:link w:val="TextBodyIndent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HTMLPreformattedChar">
    <w:name w:val="HTML Preformatted Char"/>
    <w:link w:val="HTMLPreformatted"/>
    <w:locked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Pr>
      <w:rFonts w:ascii="Hebar" w:hAnsi="Hebar"/>
      <w:sz w:val="24"/>
      <w:lang w:val="en-GB" w:eastAsia="en-US" w:bidi="ar-SA"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81">
    <w:name w:val="RTF_Num 8 1"/>
    <w:rPr>
      <w:rFonts w:cs="Times New Roman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cs="Times New Roman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</w:rPr>
  </w:style>
  <w:style w:type="character" w:customStyle="1" w:styleId="RTFNum135">
    <w:name w:val="RTF_Num 13 5"/>
    <w:rPr>
      <w:rFonts w:cs="Times New Roman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RTFNum141">
    <w:name w:val="RTF_Num 14 1"/>
    <w:rPr>
      <w:rFonts w:cs="Times New Roman"/>
    </w:rPr>
  </w:style>
  <w:style w:type="character" w:customStyle="1" w:styleId="RTFNum142">
    <w:name w:val="RTF_Num 14 2"/>
    <w:rPr>
      <w:rFonts w:cs="Times New Roman"/>
    </w:rPr>
  </w:style>
  <w:style w:type="character" w:customStyle="1" w:styleId="RTFNum143">
    <w:name w:val="RTF_Num 14 3"/>
    <w:rPr>
      <w:rFonts w:cs="Times New Roman"/>
    </w:rPr>
  </w:style>
  <w:style w:type="character" w:customStyle="1" w:styleId="RTFNum144">
    <w:name w:val="RTF_Num 14 4"/>
    <w:rPr>
      <w:rFonts w:cs="Times New Roman"/>
    </w:rPr>
  </w:style>
  <w:style w:type="character" w:customStyle="1" w:styleId="RTFNum145">
    <w:name w:val="RTF_Num 14 5"/>
    <w:rPr>
      <w:rFonts w:cs="Times New Roman"/>
    </w:rPr>
  </w:style>
  <w:style w:type="character" w:customStyle="1" w:styleId="RTFNum146">
    <w:name w:val="RTF_Num 14 6"/>
    <w:rPr>
      <w:rFonts w:cs="Times New Roman"/>
    </w:rPr>
  </w:style>
  <w:style w:type="character" w:customStyle="1" w:styleId="RTFNum147">
    <w:name w:val="RTF_Num 14 7"/>
    <w:rPr>
      <w:rFonts w:cs="Times New Roman"/>
    </w:rPr>
  </w:style>
  <w:style w:type="character" w:customStyle="1" w:styleId="RTFNum148">
    <w:name w:val="RTF_Num 14 8"/>
    <w:rPr>
      <w:rFonts w:cs="Times New Roman"/>
    </w:rPr>
  </w:style>
  <w:style w:type="character" w:customStyle="1" w:styleId="RTFNum149">
    <w:name w:val="RTF_Num 14 9"/>
    <w:rPr>
      <w:rFonts w:cs="Times New Roman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cs="Times New Roman"/>
    </w:rPr>
  </w:style>
  <w:style w:type="character" w:customStyle="1" w:styleId="RTFNum162">
    <w:name w:val="RTF_Num 16 2"/>
    <w:rPr>
      <w:rFonts w:cs="Times New Roman"/>
    </w:rPr>
  </w:style>
  <w:style w:type="character" w:customStyle="1" w:styleId="RTFNum163">
    <w:name w:val="RTF_Num 16 3"/>
    <w:rPr>
      <w:rFonts w:ascii="Symbol" w:eastAsia="Symbol" w:hAnsi="Symbol" w:cs="Symbol"/>
    </w:rPr>
  </w:style>
  <w:style w:type="character" w:customStyle="1" w:styleId="RTFNum164">
    <w:name w:val="RTF_Num 16 4"/>
    <w:rPr>
      <w:rFonts w:cs="Times New Roman"/>
    </w:rPr>
  </w:style>
  <w:style w:type="character" w:customStyle="1" w:styleId="RTFNum165">
    <w:name w:val="RTF_Num 16 5"/>
    <w:rPr>
      <w:rFonts w:cs="Times New Roman"/>
    </w:rPr>
  </w:style>
  <w:style w:type="character" w:customStyle="1" w:styleId="RTFNum166">
    <w:name w:val="RTF_Num 16 6"/>
    <w:rPr>
      <w:rFonts w:cs="Times New Roman"/>
    </w:rPr>
  </w:style>
  <w:style w:type="character" w:customStyle="1" w:styleId="RTFNum167">
    <w:name w:val="RTF_Num 16 7"/>
    <w:rPr>
      <w:rFonts w:cs="Times New Roman"/>
    </w:rPr>
  </w:style>
  <w:style w:type="character" w:customStyle="1" w:styleId="RTFNum168">
    <w:name w:val="RTF_Num 16 8"/>
    <w:rPr>
      <w:rFonts w:cs="Times New Roman"/>
    </w:rPr>
  </w:style>
  <w:style w:type="character" w:customStyle="1" w:styleId="RTFNum169">
    <w:name w:val="RTF_Num 16 9"/>
    <w:rPr>
      <w:rFonts w:cs="Times New Roman"/>
    </w:rPr>
  </w:style>
  <w:style w:type="character" w:customStyle="1" w:styleId="RTFNum171">
    <w:name w:val="RTF_Num 17 1"/>
    <w:rPr>
      <w:rFonts w:cs="Times New Roman"/>
    </w:rPr>
  </w:style>
  <w:style w:type="character" w:customStyle="1" w:styleId="RTFNum172">
    <w:name w:val="RTF_Num 17 2"/>
    <w:rPr>
      <w:rFonts w:cs="Times New Roman"/>
    </w:rPr>
  </w:style>
  <w:style w:type="character" w:customStyle="1" w:styleId="RTFNum173">
    <w:name w:val="RTF_Num 17 3"/>
    <w:rPr>
      <w:rFonts w:cs="Times New Roman"/>
    </w:rPr>
  </w:style>
  <w:style w:type="character" w:customStyle="1" w:styleId="RTFNum174">
    <w:name w:val="RTF_Num 17 4"/>
    <w:rPr>
      <w:rFonts w:cs="Times New Roman"/>
    </w:rPr>
  </w:style>
  <w:style w:type="character" w:customStyle="1" w:styleId="RTFNum175">
    <w:name w:val="RTF_Num 17 5"/>
    <w:rPr>
      <w:rFonts w:cs="Times New Roman"/>
    </w:rPr>
  </w:style>
  <w:style w:type="character" w:customStyle="1" w:styleId="RTFNum176">
    <w:name w:val="RTF_Num 17 6"/>
    <w:rPr>
      <w:rFonts w:cs="Times New Roman"/>
    </w:rPr>
  </w:style>
  <w:style w:type="character" w:customStyle="1" w:styleId="RTFNum177">
    <w:name w:val="RTF_Num 17 7"/>
    <w:rPr>
      <w:rFonts w:cs="Times New Roman"/>
    </w:rPr>
  </w:style>
  <w:style w:type="character" w:customStyle="1" w:styleId="RTFNum178">
    <w:name w:val="RTF_Num 17 8"/>
    <w:rPr>
      <w:rFonts w:cs="Times New Roman"/>
    </w:rPr>
  </w:style>
  <w:style w:type="character" w:customStyle="1" w:styleId="RTFNum179">
    <w:name w:val="RTF_Num 17 9"/>
    <w:rPr>
      <w:rFonts w:cs="Times New Roman"/>
    </w:rPr>
  </w:style>
  <w:style w:type="character" w:customStyle="1" w:styleId="RTFNum181">
    <w:name w:val="RTF_Num 18 1"/>
    <w:rPr>
      <w:rFonts w:cs="Times New Roman"/>
    </w:rPr>
  </w:style>
  <w:style w:type="character" w:customStyle="1" w:styleId="RTFNum182">
    <w:name w:val="RTF_Num 18 2"/>
    <w:rPr>
      <w:rFonts w:cs="Times New Roman"/>
    </w:rPr>
  </w:style>
  <w:style w:type="character" w:customStyle="1" w:styleId="RTFNum183">
    <w:name w:val="RTF_Num 18 3"/>
    <w:rPr>
      <w:rFonts w:cs="Times New Roman"/>
    </w:rPr>
  </w:style>
  <w:style w:type="character" w:customStyle="1" w:styleId="RTFNum184">
    <w:name w:val="RTF_Num 18 4"/>
    <w:rPr>
      <w:rFonts w:cs="Times New Roman"/>
    </w:rPr>
  </w:style>
  <w:style w:type="character" w:customStyle="1" w:styleId="RTFNum185">
    <w:name w:val="RTF_Num 18 5"/>
    <w:rPr>
      <w:rFonts w:cs="Times New Roman"/>
    </w:rPr>
  </w:style>
  <w:style w:type="character" w:customStyle="1" w:styleId="RTFNum186">
    <w:name w:val="RTF_Num 18 6"/>
    <w:rPr>
      <w:rFonts w:cs="Times New Roman"/>
    </w:rPr>
  </w:style>
  <w:style w:type="character" w:customStyle="1" w:styleId="RTFNum187">
    <w:name w:val="RTF_Num 18 7"/>
    <w:rPr>
      <w:rFonts w:cs="Times New Roman"/>
    </w:rPr>
  </w:style>
  <w:style w:type="character" w:customStyle="1" w:styleId="RTFNum188">
    <w:name w:val="RTF_Num 18 8"/>
    <w:rPr>
      <w:rFonts w:cs="Times New Roman"/>
    </w:rPr>
  </w:style>
  <w:style w:type="character" w:customStyle="1" w:styleId="RTFNum189">
    <w:name w:val="RTF_Num 18 9"/>
    <w:rPr>
      <w:rFonts w:cs="Times New Roman"/>
    </w:rPr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Pr>
      <w:rFonts w:ascii="Arial" w:eastAsia="Arial" w:hAnsi="Arial" w:cs="Arial"/>
      <w:color w:val="00000A"/>
      <w:sz w:val="20"/>
      <w:szCs w:val="20"/>
    </w:rPr>
  </w:style>
  <w:style w:type="character" w:customStyle="1" w:styleId="PlainTextChar">
    <w:name w:val="Plain Text Char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Hebar" w:hAnsi="Hebar"/>
      <w:lang w:val="en-GB" w:eastAsia="en-US" w:bidi="ar-SA"/>
    </w:rPr>
  </w:style>
  <w:style w:type="character" w:customStyle="1" w:styleId="CommentSubjectChar">
    <w:name w:val="Comment Subject Char"/>
    <w:link w:val="CommentSubject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FootnoteTextChar">
    <w:name w:val="Footnote Text Char"/>
    <w:link w:val="FootnoteText"/>
    <w:rPr>
      <w:lang w:val="bg-BG" w:eastAsia="en-GB" w:bidi="ar-SA"/>
    </w:rPr>
  </w:style>
  <w:style w:type="character" w:customStyle="1" w:styleId="Heading1Char">
    <w:name w:val="Heading 1 Char"/>
    <w:link w:val="Heading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Pr>
      <w:vertAlign w:val="superscript"/>
    </w:rPr>
  </w:style>
  <w:style w:type="character" w:customStyle="1" w:styleId="samedocreference1">
    <w:name w:val="samedocreference1"/>
    <w:rPr>
      <w:i w:val="0"/>
      <w:iCs w:val="0"/>
      <w:color w:val="8B000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eastAsia="Times New Roman" w:cs="Times New Roman"/>
      <w:color w:val="00000A"/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Body">
    <w:name w:val="Text Body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List">
    <w:name w:val="List"/>
    <w:basedOn w:val="TextBody"/>
    <w:pPr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pPr>
      <w:widowControl w:val="0"/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pPr>
      <w:widowControl w:val="0"/>
      <w:suppressLineNumber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CharChar0">
    <w:name w:val="Char Char Знак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</w:rPr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customStyle="1" w:styleId="TextBodyIndent">
    <w:name w:val="Text Body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Style">
    <w:name w:val="Style"/>
    <w:pPr>
      <w:suppressAutoHyphens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firstline">
    <w:name w:val="firstline"/>
    <w:basedOn w:val="Normal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pPr>
      <w:spacing w:after="280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aliases w:val="List1,List Paragraph11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paragraph" w:customStyle="1" w:styleId="Contents1">
    <w:name w:val="Contents 1"/>
    <w:basedOn w:val="Normal"/>
    <w:next w:val="Normal"/>
    <w:autoRedefine/>
    <w:semiHidden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spacing w:val="-32"/>
      <w:szCs w:val="24"/>
      <w:lang w:val="en-CA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pPr>
      <w:widowControl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m">
    <w:name w:val="m"/>
    <w:basedOn w:val="Normal"/>
    <w:pPr>
      <w:spacing w:after="280"/>
    </w:pPr>
    <w:rPr>
      <w:rFonts w:ascii="Times New Roman" w:hAnsi="Times New Roman"/>
      <w:szCs w:val="24"/>
      <w:lang w:val="bg-BG" w:eastAsia="bg-BG"/>
    </w:rPr>
  </w:style>
  <w:style w:type="paragraph" w:customStyle="1" w:styleId="CM1">
    <w:name w:val="CM1"/>
    <w:basedOn w:val="Normal"/>
    <w:next w:val="Normal"/>
    <w:rPr>
      <w:rFonts w:ascii="EUAlbertina" w:hAnsi="EUAlbertina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IATableText">
    <w:name w:val="IATableText"/>
    <w:basedOn w:val="Normal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semiHidden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link w:val="CommentSubjectChar"/>
    <w:pPr>
      <w:widowControl w:val="0"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lang w:val="bg-BG" w:eastAsia="en-GB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HeaderChar">
    <w:name w:val="Header Char"/>
    <w:aliases w:val=" Знак Char"/>
    <w:basedOn w:val="DefaultParagraphFont"/>
    <w:link w:val="Header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rhv.government.bg/files/2020_02_10_Aktualizirano_Stanovishte_CORHV_norki_fermi-last.pdf" TargetMode="External"/><Relationship Id="rId1" Type="http://schemas.openxmlformats.org/officeDocument/2006/relationships/hyperlink" Target="https://corhv.government.bg/files/%D0%A1%D1%82%D0%B0%D0%BD%D0%BE%D0%B2%D0%B8%D1%89%D0%B0%20%D0%B8%20%D0%BE%D1%86%D0%B5%D0%BD%D0%BA%D0%B0%20%D0%BD%D0%B0%20%D1%80%D0%B8%D1%81%D0%BA%D0%B0/02_%D0%97%D0%B4%D1%80%D0%B0%D0%B2%D0%B5%20%D0%BD%D0%B0%20%D0%B6%D0%B8%D0%B2%D0%BE%D1%82%D0%BD%D0%B8%D1%82%D0%B5%20%D0%B8%20%D1%85%D1%83%D0%BC%D0%B0%D0%BD%D0%BD%D0%BE%20%D0%BE%D1%82%D0%BD%D0%BE%D1%88%D0%B5%D0%BD%D0%B8%D0%B5%20%D0%BA%D1%8A%D0%BC%20%D1%82%D1%8F%D1%85/2017_09_27_SCIENTIFIC_OPINION-RISK-ASSESSMENT-MINK-FARM-BULGARIA_Georgiev_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878B-29B6-4FDC-90C0-9D498793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rrankova</dc:creator>
  <cp:lastModifiedBy>Velichka Kurteva</cp:lastModifiedBy>
  <cp:revision>4</cp:revision>
  <cp:lastPrinted>2021-10-11T10:27:00Z</cp:lastPrinted>
  <dcterms:created xsi:type="dcterms:W3CDTF">2021-10-11T11:37:00Z</dcterms:created>
  <dcterms:modified xsi:type="dcterms:W3CDTF">2021-10-15T12:07:00Z</dcterms:modified>
  <dc:language>en-US</dc:language>
</cp:coreProperties>
</file>