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AE130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1AD903C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7E5109D7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F382EE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2A7D2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A32D6A" w14:textId="27B8F9BA" w:rsidR="007410C8" w:rsidRP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410C8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7410C8">
        <w:rPr>
          <w:rFonts w:ascii="Times New Roman" w:hAnsi="Times New Roman"/>
          <w:b/>
          <w:sz w:val="24"/>
          <w:szCs w:val="24"/>
        </w:rPr>
        <w:t xml:space="preserve"> плащане</w:t>
      </w:r>
    </w:p>
    <w:p w14:paraId="484B0CC1" w14:textId="77777777" w:rsidR="000454F5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3AB68" w14:textId="6DE71299" w:rsidR="000454F5" w:rsidRPr="00657CB7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657CB7">
        <w:rPr>
          <w:rFonts w:ascii="Times New Roman" w:hAnsi="Times New Roman"/>
          <w:b/>
          <w:sz w:val="24"/>
          <w:szCs w:val="24"/>
        </w:rPr>
        <w:t xml:space="preserve"> плащане</w:t>
      </w:r>
      <w:r>
        <w:rPr>
          <w:rFonts w:ascii="Times New Roman" w:hAnsi="Times New Roman"/>
          <w:b/>
          <w:sz w:val="24"/>
          <w:szCs w:val="24"/>
        </w:rPr>
        <w:t xml:space="preserve"> – съгласно Приложение № 2 към </w:t>
      </w:r>
      <w:r w:rsidRPr="000454F5">
        <w:rPr>
          <w:rFonts w:ascii="Times New Roman" w:hAnsi="Times New Roman"/>
          <w:b/>
          <w:sz w:val="24"/>
          <w:szCs w:val="24"/>
        </w:rPr>
        <w:t>Наредба № 4 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463DD" w14:textId="77777777" w:rsidR="000454F5" w:rsidRDefault="000454F5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945C52" w14:textId="003DE986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  <w:bookmarkStart w:id="0" w:name="_GoBack"/>
      <w:bookmarkEnd w:id="0"/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 подават лично от бенефициента на помощта.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8A6390" w:rsidRPr="00657CB7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структурни и инвестиционни фондове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73FB2C3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>ад 50% от обема на планираните за преработка селскостопански продукти са произведени в земеделското стопанство на кандидата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6F1D5A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765101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2C39A45" w14:textId="033C7B8C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50213EC" w14:textId="3BE0CF9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BC309D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фитосанитарните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3C4609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FB9B1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финансов лизинг).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AAB9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заверенo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Пълно банково извлечение от деня на извършване на плащането, доказващо плащане от страна на бенефициента на помощта,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заверенo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63F8B420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>) и/или декларация по образец (Приложение № 15)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657CB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657CB7">
        <w:rPr>
          <w:rFonts w:ascii="Times New Roman" w:hAnsi="Times New Roman" w:cs="Times New Roman"/>
          <w:sz w:val="24"/>
          <w:szCs w:val="24"/>
        </w:rPr>
        <w:t>13.2, т. 11</w:t>
      </w:r>
      <w:r w:rsidR="0094111A" w:rsidRPr="00657CB7">
        <w:rPr>
          <w:rFonts w:ascii="Times New Roman" w:hAnsi="Times New Roman" w:cs="Times New Roman"/>
          <w:sz w:val="24"/>
          <w:szCs w:val="24"/>
        </w:rPr>
        <w:t>,</w:t>
      </w:r>
      <w:r w:rsidR="00906470" w:rsidRPr="00657CB7">
        <w:rPr>
          <w:rFonts w:ascii="Times New Roman" w:hAnsi="Times New Roman" w:cs="Times New Roman"/>
          <w:sz w:val="24"/>
          <w:szCs w:val="24"/>
        </w:rPr>
        <w:t xml:space="preserve"> т. 12 </w:t>
      </w:r>
      <w:r w:rsidR="0094111A" w:rsidRPr="00657CB7">
        <w:rPr>
          <w:rFonts w:ascii="Times New Roman" w:hAnsi="Times New Roman" w:cs="Times New Roman"/>
          <w:sz w:val="24"/>
          <w:szCs w:val="24"/>
        </w:rPr>
        <w:t xml:space="preserve">и т. 13 </w:t>
      </w:r>
      <w:r w:rsidR="001013AD" w:rsidRPr="00657CB7">
        <w:rPr>
          <w:rFonts w:ascii="Times New Roman" w:hAnsi="Times New Roman" w:cs="Times New Roman"/>
          <w:sz w:val="24"/>
          <w:szCs w:val="24"/>
        </w:rPr>
        <w:t>от Условията за кандидатстване.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F25BC89" w14:textId="77777777" w:rsidR="00F65FE0" w:rsidRPr="00657CB7" w:rsidRDefault="00F65FE0" w:rsidP="00657CB7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38B0DD98" w:rsidR="00AC30DF" w:rsidRPr="00657CB7" w:rsidRDefault="00F65FE0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lastRenderedPageBreak/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при кандидатстване за окончателно плащане.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EFF1DD5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3B0A425" w14:textId="0D9CB517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“.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7777777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lastRenderedPageBreak/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6.1. Документ, доказващ достигането на съответствието с международно признати стандарти.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7D70D907" w14:textId="5309196E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7</w:t>
      </w:r>
      <w:r w:rsidR="004E0E1C"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="004E0E1C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E0E1C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E0E1C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E0E1C" w:rsidRPr="00657CB7">
        <w:rPr>
          <w:rFonts w:ascii="Times New Roman" w:hAnsi="Times New Roman"/>
          <w:sz w:val="24"/>
          <w:szCs w:val="24"/>
        </w:rPr>
        <w:t>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</w:p>
    <w:p w14:paraId="7DFC6B13" w14:textId="69EC3FB8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4754AC" w:rsidRPr="00657CB7">
        <w:rPr>
          <w:rFonts w:ascii="Times New Roman" w:hAnsi="Times New Roman"/>
          <w:b/>
          <w:sz w:val="24"/>
          <w:szCs w:val="24"/>
          <w:highlight w:val="white"/>
          <w:shd w:val="clear" w:color="auto" w:fill="FEFEFE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култури"</w:t>
      </w:r>
      <w:r w:rsidRPr="00657CB7">
        <w:rPr>
          <w:rFonts w:ascii="Times New Roman" w:hAnsi="Times New Roman"/>
          <w:b/>
          <w:sz w:val="24"/>
          <w:szCs w:val="24"/>
        </w:rPr>
        <w:t>.</w:t>
      </w:r>
    </w:p>
    <w:p w14:paraId="637FE96A" w14:textId="1F95C7C4" w:rsidR="008D7E70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-</w:t>
      </w:r>
      <w:r w:rsidR="008D7E70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8D7E70" w:rsidRPr="00657CB7">
        <w:rPr>
          <w:rFonts w:ascii="Times New Roman" w:hAnsi="Times New Roman"/>
          <w:sz w:val="24"/>
          <w:szCs w:val="24"/>
        </w:rPr>
        <w:t xml:space="preserve">количества и цени на суровините за първа прогнозна година от изпълнение на бизнес плана (важи в случаите, когато не се предвижда преработка на </w:t>
      </w:r>
      <w:r w:rsidR="0019457F" w:rsidRPr="00657CB7">
        <w:rPr>
          <w:rFonts w:ascii="Times New Roman" w:hAnsi="Times New Roman"/>
          <w:sz w:val="24"/>
          <w:szCs w:val="24"/>
        </w:rPr>
        <w:t xml:space="preserve">собствена земеделска продукция) </w:t>
      </w:r>
      <w:r w:rsidR="008D7E70" w:rsidRPr="00657CB7">
        <w:rPr>
          <w:rFonts w:ascii="Times New Roman" w:hAnsi="Times New Roman"/>
          <w:sz w:val="24"/>
          <w:szCs w:val="24"/>
        </w:rPr>
        <w:t xml:space="preserve">и/или декларация от бенефициента с описани вид и количества на суровините (важи в случаите, когато се предвижда преработка на собствена земеделска продукция) като доказателство, че </w:t>
      </w:r>
      <w:r w:rsidR="008D7E70" w:rsidRPr="00657CB7">
        <w:rPr>
          <w:rFonts w:ascii="Times New Roman" w:hAnsi="Times New Roman"/>
          <w:b/>
          <w:sz w:val="24"/>
          <w:szCs w:val="24"/>
        </w:rPr>
        <w:t>над 75 % от обема на преработваните суровини са от растителен или животински произход, попадащи в обхвата на чувствителните сектори</w:t>
      </w:r>
      <w:r w:rsidR="008D7E70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8D7E7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8D7E7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8D7E7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8D7E70" w:rsidRPr="00657CB7">
        <w:rPr>
          <w:rFonts w:ascii="Times New Roman" w:hAnsi="Times New Roman"/>
          <w:sz w:val="24"/>
          <w:szCs w:val="24"/>
        </w:rPr>
        <w:t>“.</w:t>
      </w:r>
    </w:p>
    <w:p w14:paraId="329D8A7C" w14:textId="77777777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за признати групи/организации на производители декларация се представя от всеки един член.</w:t>
      </w:r>
      <w:r w:rsidR="00E6655B"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29D0AAD0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4.1.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E43DEE9" w14:textId="68D19C39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лице, получило разрешение съгласно чл. 18, ал. 1 ЗПООПЗПЕС.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6466EC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“, и/или </w:t>
      </w:r>
    </w:p>
    <w:p w14:paraId="7713B3DB" w14:textId="2E30EA1C" w:rsidR="00653A50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“, и/или</w:t>
      </w:r>
    </w:p>
    <w:p w14:paraId="25920087" w14:textId="305069EC" w:rsidR="008E35AD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D4D39" w:rsidRPr="002D4D39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</w:t>
      </w:r>
      <w:r w:rsidR="002D4D39">
        <w:rPr>
          <w:rFonts w:ascii="Times New Roman" w:hAnsi="Times New Roman"/>
          <w:sz w:val="24"/>
        </w:rPr>
        <w:t xml:space="preserve"> - в</w:t>
      </w:r>
      <w:r>
        <w:rPr>
          <w:rFonts w:ascii="Times New Roman" w:hAnsi="Times New Roman"/>
          <w:sz w:val="24"/>
        </w:rPr>
        <w:t xml:space="preserve"> случаите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на заявени разходи по т. 20 от Условията за кандид</w:t>
      </w:r>
      <w:r w:rsidR="002D4D3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тстване</w:t>
      </w:r>
      <w:r w:rsidR="002D4D39">
        <w:rPr>
          <w:rFonts w:ascii="Times New Roman" w:hAnsi="Times New Roman"/>
          <w:sz w:val="24"/>
        </w:rPr>
        <w:t>.</w:t>
      </w:r>
    </w:p>
    <w:p w14:paraId="49E7DF48" w14:textId="0D3FBB0D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53A50" w:rsidRPr="00657CB7">
        <w:rPr>
          <w:rFonts w:ascii="Times New Roman" w:hAnsi="Times New Roman"/>
          <w:sz w:val="24"/>
          <w:szCs w:val="24"/>
        </w:rPr>
        <w:t>. Приемно-предавателни протоколи,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“, и/или</w:t>
      </w:r>
    </w:p>
    <w:p w14:paraId="5F6D9769" w14:textId="60F798A5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653A50"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8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F8336" w14:textId="77777777" w:rsidR="002B1273" w:rsidRDefault="002B1273" w:rsidP="001878D5">
      <w:pPr>
        <w:spacing w:after="0" w:line="240" w:lineRule="auto"/>
      </w:pPr>
      <w:r>
        <w:separator/>
      </w:r>
    </w:p>
  </w:endnote>
  <w:endnote w:type="continuationSeparator" w:id="0">
    <w:p w14:paraId="37C628A9" w14:textId="77777777" w:rsidR="002B1273" w:rsidRDefault="002B1273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B3A0D" w14:textId="77777777" w:rsidR="002B1273" w:rsidRDefault="002B1273" w:rsidP="001878D5">
      <w:pPr>
        <w:spacing w:after="0" w:line="240" w:lineRule="auto"/>
      </w:pPr>
      <w:r>
        <w:separator/>
      </w:r>
    </w:p>
  </w:footnote>
  <w:footnote w:type="continuationSeparator" w:id="0">
    <w:p w14:paraId="23883486" w14:textId="77777777" w:rsidR="002B1273" w:rsidRDefault="002B1273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73875" w14:textId="77777777" w:rsidR="001878D5" w:rsidRDefault="001878D5">
    <w:pPr>
      <w:pStyle w:val="Header"/>
    </w:pPr>
    <w:r>
      <w:rPr>
        <w:noProof/>
        <w:lang w:eastAsia="bg-BG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eastAsia="bg-BG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milia Valentinova Yancheva-Radeva">
    <w15:presenceInfo w15:providerId="None" w15:userId="Emilia Valentinova Yancheva-Rad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2749C"/>
    <w:rsid w:val="000454F5"/>
    <w:rsid w:val="00057485"/>
    <w:rsid w:val="00085C2B"/>
    <w:rsid w:val="000A3E7C"/>
    <w:rsid w:val="000B3BE2"/>
    <w:rsid w:val="000C49C5"/>
    <w:rsid w:val="001013AD"/>
    <w:rsid w:val="0012773A"/>
    <w:rsid w:val="00156F37"/>
    <w:rsid w:val="001878D5"/>
    <w:rsid w:val="0019457F"/>
    <w:rsid w:val="0020071F"/>
    <w:rsid w:val="00246DC6"/>
    <w:rsid w:val="00263886"/>
    <w:rsid w:val="002676C0"/>
    <w:rsid w:val="002B1273"/>
    <w:rsid w:val="002C1ACB"/>
    <w:rsid w:val="002D4D39"/>
    <w:rsid w:val="0031305B"/>
    <w:rsid w:val="0031519A"/>
    <w:rsid w:val="00315E8A"/>
    <w:rsid w:val="003229AC"/>
    <w:rsid w:val="00365BDB"/>
    <w:rsid w:val="00370D60"/>
    <w:rsid w:val="00393D8B"/>
    <w:rsid w:val="003A1B14"/>
    <w:rsid w:val="003C550D"/>
    <w:rsid w:val="003D2872"/>
    <w:rsid w:val="0040430C"/>
    <w:rsid w:val="00473391"/>
    <w:rsid w:val="004754AC"/>
    <w:rsid w:val="004A6BA6"/>
    <w:rsid w:val="004B6A99"/>
    <w:rsid w:val="004D28FC"/>
    <w:rsid w:val="004E0E1C"/>
    <w:rsid w:val="0050182B"/>
    <w:rsid w:val="005100C0"/>
    <w:rsid w:val="0052518A"/>
    <w:rsid w:val="005427A9"/>
    <w:rsid w:val="005502D5"/>
    <w:rsid w:val="00553CD5"/>
    <w:rsid w:val="005732FE"/>
    <w:rsid w:val="005F1979"/>
    <w:rsid w:val="005F49E9"/>
    <w:rsid w:val="005F7B42"/>
    <w:rsid w:val="006162C2"/>
    <w:rsid w:val="006304F3"/>
    <w:rsid w:val="00652037"/>
    <w:rsid w:val="00653A50"/>
    <w:rsid w:val="006572E8"/>
    <w:rsid w:val="00657CB7"/>
    <w:rsid w:val="006B0B68"/>
    <w:rsid w:val="006F7B3E"/>
    <w:rsid w:val="007410C8"/>
    <w:rsid w:val="0077639C"/>
    <w:rsid w:val="00790A34"/>
    <w:rsid w:val="007B1E42"/>
    <w:rsid w:val="007F174E"/>
    <w:rsid w:val="00863DE4"/>
    <w:rsid w:val="00880D67"/>
    <w:rsid w:val="0088441D"/>
    <w:rsid w:val="008A6390"/>
    <w:rsid w:val="008B0636"/>
    <w:rsid w:val="008B0949"/>
    <w:rsid w:val="008C7F97"/>
    <w:rsid w:val="008D7E70"/>
    <w:rsid w:val="008E35AD"/>
    <w:rsid w:val="008F343A"/>
    <w:rsid w:val="008F6009"/>
    <w:rsid w:val="00906470"/>
    <w:rsid w:val="0092137F"/>
    <w:rsid w:val="00936242"/>
    <w:rsid w:val="0094111A"/>
    <w:rsid w:val="009448E8"/>
    <w:rsid w:val="00984C5D"/>
    <w:rsid w:val="009A16C2"/>
    <w:rsid w:val="009E6638"/>
    <w:rsid w:val="00A0570E"/>
    <w:rsid w:val="00A60068"/>
    <w:rsid w:val="00A6596B"/>
    <w:rsid w:val="00A81C44"/>
    <w:rsid w:val="00AC30DF"/>
    <w:rsid w:val="00AE33B9"/>
    <w:rsid w:val="00B05BA7"/>
    <w:rsid w:val="00B0674A"/>
    <w:rsid w:val="00B27432"/>
    <w:rsid w:val="00B275F4"/>
    <w:rsid w:val="00BA2B06"/>
    <w:rsid w:val="00BB5BB3"/>
    <w:rsid w:val="00BC2F9A"/>
    <w:rsid w:val="00BD3EF2"/>
    <w:rsid w:val="00BE41C1"/>
    <w:rsid w:val="00BE5447"/>
    <w:rsid w:val="00C204D7"/>
    <w:rsid w:val="00C2665C"/>
    <w:rsid w:val="00C70CB6"/>
    <w:rsid w:val="00CB12C5"/>
    <w:rsid w:val="00CC5B53"/>
    <w:rsid w:val="00CC7CF4"/>
    <w:rsid w:val="00CD5593"/>
    <w:rsid w:val="00CF04AF"/>
    <w:rsid w:val="00D6415B"/>
    <w:rsid w:val="00D65C47"/>
    <w:rsid w:val="00D9630A"/>
    <w:rsid w:val="00E069A5"/>
    <w:rsid w:val="00E13CFD"/>
    <w:rsid w:val="00E63797"/>
    <w:rsid w:val="00E6655B"/>
    <w:rsid w:val="00E831B1"/>
    <w:rsid w:val="00EC46D6"/>
    <w:rsid w:val="00F30BBB"/>
    <w:rsid w:val="00F65FE0"/>
    <w:rsid w:val="00F858AB"/>
    <w:rsid w:val="00F916A7"/>
    <w:rsid w:val="00F967B3"/>
    <w:rsid w:val="00FA3A2D"/>
    <w:rsid w:val="00FE1086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D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MZHG</cp:lastModifiedBy>
  <cp:revision>4</cp:revision>
  <dcterms:created xsi:type="dcterms:W3CDTF">2021-06-28T11:27:00Z</dcterms:created>
  <dcterms:modified xsi:type="dcterms:W3CDTF">2021-07-01T14:00:00Z</dcterms:modified>
</cp:coreProperties>
</file>