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32" w:rsidRDefault="007C7532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Verdana" w:hAnsi="Verdana" w:cs="Verdana"/>
          <w:sz w:val="20"/>
          <w:szCs w:val="20"/>
        </w:rPr>
      </w:pPr>
      <w:bookmarkStart w:id="0" w:name="_gjdgxs" w:colFirst="0" w:colLast="0"/>
      <w:bookmarkEnd w:id="0"/>
    </w:p>
    <w:p w:rsidR="007C7532" w:rsidRDefault="007C7532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7C7532" w:rsidRDefault="007C7532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7C7532" w:rsidRDefault="00CC637A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</w:t>
      </w:r>
    </w:p>
    <w:p w:rsidR="007C7532" w:rsidRDefault="00CC637A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 г.</w:t>
      </w:r>
    </w:p>
    <w:p w:rsidR="007C7532" w:rsidRDefault="007C7532">
      <w:pPr>
        <w:tabs>
          <w:tab w:val="left" w:pos="5400"/>
          <w:tab w:val="left" w:pos="5580"/>
        </w:tabs>
        <w:spacing w:after="0" w:line="360" w:lineRule="auto"/>
        <w:ind w:left="4956"/>
        <w:rPr>
          <w:rFonts w:ascii="Verdana" w:eastAsia="Verdana" w:hAnsi="Verdana" w:cs="Verdana"/>
          <w:b/>
          <w:sz w:val="20"/>
          <w:szCs w:val="20"/>
        </w:rPr>
      </w:pPr>
    </w:p>
    <w:p w:rsidR="007C7532" w:rsidRDefault="007C7532">
      <w:pPr>
        <w:tabs>
          <w:tab w:val="left" w:pos="5400"/>
          <w:tab w:val="left" w:pos="5580"/>
        </w:tabs>
        <w:spacing w:after="0" w:line="360" w:lineRule="auto"/>
        <w:ind w:left="4956"/>
        <w:rPr>
          <w:rFonts w:ascii="Verdana" w:eastAsia="Verdana" w:hAnsi="Verdana" w:cs="Verdana"/>
          <w:b/>
          <w:sz w:val="20"/>
          <w:szCs w:val="20"/>
        </w:rPr>
      </w:pPr>
    </w:p>
    <w:p w:rsidR="007C7532" w:rsidRDefault="007C7532">
      <w:pPr>
        <w:tabs>
          <w:tab w:val="left" w:pos="5400"/>
          <w:tab w:val="left" w:pos="5580"/>
        </w:tabs>
        <w:spacing w:after="0" w:line="360" w:lineRule="auto"/>
        <w:ind w:left="4956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9464" w:type="dxa"/>
        <w:tblLayout w:type="fixed"/>
        <w:tblLook w:val="0400" w:firstRow="0" w:lastRow="0" w:firstColumn="0" w:lastColumn="0" w:noHBand="0" w:noVBand="1"/>
      </w:tblPr>
      <w:tblGrid>
        <w:gridCol w:w="4503"/>
        <w:gridCol w:w="4961"/>
      </w:tblGrid>
      <w:tr w:rsidR="007C7532">
        <w:tc>
          <w:tcPr>
            <w:tcW w:w="4503" w:type="dxa"/>
            <w:shd w:val="clear" w:color="auto" w:fill="auto"/>
          </w:tcPr>
          <w:p w:rsidR="007C7532" w:rsidRDefault="00CC637A">
            <w:pPr>
              <w:widowControl w:val="0"/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7C7532" w:rsidRDefault="00CC637A">
            <w:pPr>
              <w:widowControl w:val="0"/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ДО</w:t>
            </w:r>
          </w:p>
          <w:p w:rsidR="007C7532" w:rsidRDefault="00CC637A">
            <w:pPr>
              <w:widowControl w:val="0"/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МИНИСТЪРА НА ЗЕМЕДЕЛИЕТО, ХРАНИТЕ И ГОРИТЕ</w:t>
            </w:r>
          </w:p>
          <w:p w:rsidR="007C7532" w:rsidRDefault="00CC637A">
            <w:pPr>
              <w:widowControl w:val="0"/>
              <w:spacing w:after="0" w:line="360" w:lineRule="auto"/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ПРОФ. Д-Р ХРИСТО БОЗУКОВ</w:t>
            </w:r>
          </w:p>
        </w:tc>
        <w:tc>
          <w:tcPr>
            <w:tcW w:w="4961" w:type="dxa"/>
            <w:shd w:val="clear" w:color="auto" w:fill="auto"/>
          </w:tcPr>
          <w:p w:rsidR="007C7532" w:rsidRDefault="00CC637A">
            <w:pPr>
              <w:widowControl w:val="0"/>
              <w:spacing w:after="0" w:line="36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ОДОБРИЛ,</w:t>
            </w:r>
          </w:p>
          <w:p w:rsidR="007C7532" w:rsidRDefault="00CC637A">
            <w:pPr>
              <w:widowControl w:val="0"/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МИНИСТЪР НА ЗЕМЕДЕЛИЕТО, </w:t>
            </w:r>
          </w:p>
          <w:p w:rsidR="007C7532" w:rsidRDefault="00CC637A">
            <w:pPr>
              <w:widowControl w:val="0"/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ХРАНИТЕ И ГОРИТЕ:</w:t>
            </w:r>
          </w:p>
          <w:p w:rsidR="007C7532" w:rsidRDefault="00CC637A">
            <w:pPr>
              <w:widowControl w:val="0"/>
              <w:spacing w:after="0" w:line="360" w:lineRule="auto"/>
              <w:ind w:left="1361"/>
              <w:jc w:val="right"/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ПРОФ. Д-Р ХРИСТО БОЗУКОВ</w:t>
            </w:r>
          </w:p>
          <w:p w:rsidR="007C7532" w:rsidRDefault="007C7532">
            <w:pPr>
              <w:widowControl w:val="0"/>
              <w:shd w:val="clear" w:color="auto" w:fill="FFFFFF"/>
              <w:tabs>
                <w:tab w:val="left" w:pos="3802"/>
              </w:tabs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7C7532" w:rsidRDefault="007C7532">
      <w:pPr>
        <w:keepNext/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C7532" w:rsidRDefault="007C7532">
      <w:pPr>
        <w:keepNext/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C7532" w:rsidRDefault="007C7532">
      <w:pPr>
        <w:keepNext/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C7532" w:rsidRDefault="00CC637A">
      <w:pPr>
        <w:keepNext/>
        <w:spacing w:after="0"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ДОКЛАД</w:t>
      </w:r>
    </w:p>
    <w:p w:rsidR="007C7532" w:rsidRDefault="00CC637A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от Явор Гечев – заместник-министър на земеделието, храните и горите</w:t>
      </w:r>
    </w:p>
    <w:p w:rsidR="007C7532" w:rsidRDefault="007C7532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Default="007C7532">
      <w:pPr>
        <w:spacing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7532" w:rsidRDefault="007C7532">
      <w:pPr>
        <w:spacing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7532" w:rsidRDefault="00CC637A">
      <w:pPr>
        <w:spacing w:after="0" w:line="360" w:lineRule="auto"/>
        <w:ind w:left="1134" w:hanging="113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Относно:</w:t>
      </w:r>
      <w:r>
        <w:rPr>
          <w:rFonts w:ascii="Verdana" w:eastAsia="Verdana" w:hAnsi="Verdana" w:cs="Verdana"/>
          <w:sz w:val="20"/>
          <w:szCs w:val="20"/>
        </w:rPr>
        <w:t xml:space="preserve"> Проект на Наредба за изменение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>
        <w:rPr>
          <w:rFonts w:ascii="Verdana" w:eastAsia="Verdana" w:hAnsi="Verdana" w:cs="Verdana"/>
          <w:sz w:val="20"/>
          <w:szCs w:val="20"/>
        </w:rPr>
        <w:t>-винарския сектор за периода 2019 – 2023 г.</w:t>
      </w:r>
    </w:p>
    <w:p w:rsidR="007C7532" w:rsidRDefault="007C7532">
      <w:pPr>
        <w:spacing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10B9F" w:rsidRDefault="00310B9F">
      <w:pPr>
        <w:spacing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10B9F" w:rsidRDefault="00310B9F">
      <w:pPr>
        <w:spacing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7532" w:rsidRDefault="00CC637A">
      <w:pPr>
        <w:spacing w:after="12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УВАЖАЕМИ ГОСПОДИН БОЗУКОВ,</w:t>
      </w: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На основание чл. 56, ал. 3 от Закона за прилагане на Общата организация на пазарите на земеделски продукти на Европейския съюз, внасям за одобряване проект на Наредба за изменение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лозаро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-винарския сектор за периода 2019 – 2023 г.</w:t>
      </w:r>
    </w:p>
    <w:p w:rsidR="007C7532" w:rsidRDefault="007C75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Причини, които налагат приемането на акта</w:t>
      </w:r>
    </w:p>
    <w:p w:rsidR="007C7532" w:rsidRDefault="00CC637A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На 16 юни 2021 г. се проведе заседание на Постоянната работна група за решаване на въпроси в сектор „Вино“. Работната група е създадена на основание </w:t>
      </w:r>
      <w:r>
        <w:rPr>
          <w:rFonts w:ascii="Verdana" w:eastAsia="Verdana" w:hAnsi="Verdana" w:cs="Verdana"/>
          <w:sz w:val="20"/>
          <w:szCs w:val="20"/>
        </w:rPr>
        <w:br/>
        <w:t xml:space="preserve">чл. 4, ал. 1 от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-винарския сектор за периода 2019 – 2023 г. </w:t>
      </w:r>
      <w:r w:rsidR="00E432AC" w:rsidRPr="00E432AC">
        <w:rPr>
          <w:rFonts w:ascii="Verdana" w:eastAsia="Verdana" w:hAnsi="Verdana" w:cs="Verdana"/>
          <w:sz w:val="20"/>
          <w:szCs w:val="20"/>
        </w:rPr>
        <w:t>(</w:t>
      </w:r>
      <w:proofErr w:type="spellStart"/>
      <w:r w:rsidR="00E432AC" w:rsidRPr="00E432AC">
        <w:rPr>
          <w:rFonts w:ascii="Verdana" w:eastAsia="Verdana" w:hAnsi="Verdana" w:cs="Verdana"/>
          <w:sz w:val="20"/>
          <w:szCs w:val="20"/>
        </w:rPr>
        <w:t>обн</w:t>
      </w:r>
      <w:proofErr w:type="spellEnd"/>
      <w:r w:rsidR="00E432AC" w:rsidRPr="00E432AC">
        <w:rPr>
          <w:rFonts w:ascii="Verdana" w:eastAsia="Verdana" w:hAnsi="Verdana" w:cs="Verdana"/>
          <w:sz w:val="20"/>
          <w:szCs w:val="20"/>
        </w:rPr>
        <w:t>., ДВ, бр. 93 от 2018 г.)</w:t>
      </w:r>
      <w:r w:rsidR="00E432AC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със Заповед № РД09-322/25.03.2020 г. на министъра на земеделието, храните и горите. Членовете на работната група и участниците в заседанието – представители на </w:t>
      </w:r>
      <w:proofErr w:type="spellStart"/>
      <w:r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>
        <w:rPr>
          <w:rFonts w:ascii="Verdana" w:eastAsia="Verdana" w:hAnsi="Verdana" w:cs="Verdana"/>
          <w:sz w:val="20"/>
          <w:szCs w:val="20"/>
        </w:rPr>
        <w:t>-винарския сектор, взеха решение</w:t>
      </w:r>
      <w:r w:rsidR="001776BB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през 2021 г. да бъдат открити два приема по мярка „Преструктуриране и конверсия на лозя“. В резултат на това решение на 28 юни 2021 г. на електронната страница на Д</w:t>
      </w:r>
      <w:r w:rsidR="00E432AC">
        <w:rPr>
          <w:rFonts w:ascii="Verdana" w:eastAsia="Verdana" w:hAnsi="Verdana" w:cs="Verdana"/>
          <w:sz w:val="20"/>
          <w:szCs w:val="20"/>
        </w:rPr>
        <w:t xml:space="preserve">ържавен </w:t>
      </w:r>
      <w:r>
        <w:rPr>
          <w:rFonts w:ascii="Verdana" w:eastAsia="Verdana" w:hAnsi="Verdana" w:cs="Verdana"/>
          <w:sz w:val="20"/>
          <w:szCs w:val="20"/>
        </w:rPr>
        <w:t>Ф</w:t>
      </w:r>
      <w:r w:rsidR="00E432AC">
        <w:rPr>
          <w:rFonts w:ascii="Verdana" w:eastAsia="Verdana" w:hAnsi="Verdana" w:cs="Verdana"/>
          <w:sz w:val="20"/>
          <w:szCs w:val="20"/>
        </w:rPr>
        <w:t>онд</w:t>
      </w:r>
      <w:r>
        <w:rPr>
          <w:rFonts w:ascii="Verdana" w:eastAsia="Verdana" w:hAnsi="Verdana" w:cs="Verdana"/>
          <w:sz w:val="20"/>
          <w:szCs w:val="20"/>
        </w:rPr>
        <w:t xml:space="preserve"> „Земеделие“ </w:t>
      </w:r>
      <w:r w:rsidR="00E432AC">
        <w:rPr>
          <w:rFonts w:ascii="Verdana" w:eastAsia="Verdana" w:hAnsi="Verdana" w:cs="Verdana"/>
          <w:sz w:val="20"/>
          <w:szCs w:val="20"/>
        </w:rPr>
        <w:t xml:space="preserve">(ДФЗ) </w:t>
      </w:r>
      <w:r>
        <w:rPr>
          <w:rFonts w:ascii="Verdana" w:eastAsia="Verdana" w:hAnsi="Verdana" w:cs="Verdana"/>
          <w:sz w:val="20"/>
          <w:szCs w:val="20"/>
        </w:rPr>
        <w:t xml:space="preserve">е публикувана Заповед № 03-РД/1916 на заместник изпълнителния директор на ДФЗ, с която се отваря прием в периода 29 юли – 4 август и Заповед № 03-РД/1917, с която се определя период за втори прием в периода 30 юли – 12 август. </w:t>
      </w:r>
    </w:p>
    <w:p w:rsidR="007C7532" w:rsidRDefault="00CC637A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По първия прием ще се приемат заявления за предоставяне на финансово подпомагане по мярката, които предвиждат авансово изплащане на помощта през финансова 2021 г. и краен срок за изпълнение на дейностите през финансова 2022 г. По втория прием ще се приемат заявления за предоставяне на финансово подпомагане с авансово изплащане на помощта през финансова 2022 г. и краен срок за изпълнение на дейностите през финансови 2022 г. и 2023 г. За да могат одобрените проекти от двата приема да се възползват от увеличения размер на подпомагането (заради пандемията от COVID-19 участието на Съюза във финансирането е до 90% от допустимите разходи) е необходимо договорите за предоставяне на финансовата помощ да бъдат сключени в рамките на финансо</w:t>
      </w:r>
      <w:r w:rsidR="001776BB">
        <w:rPr>
          <w:rFonts w:ascii="Verdana" w:eastAsia="Verdana" w:hAnsi="Verdana" w:cs="Verdana"/>
          <w:sz w:val="20"/>
          <w:szCs w:val="20"/>
        </w:rPr>
        <w:t>ва 2021 година</w:t>
      </w:r>
      <w:r>
        <w:rPr>
          <w:rFonts w:ascii="Verdana" w:eastAsia="Verdana" w:hAnsi="Verdana" w:cs="Verdana"/>
          <w:sz w:val="20"/>
          <w:szCs w:val="20"/>
        </w:rPr>
        <w:t>. Предвид обявените периоди за прием и разполагаемото време до края на финансовата година се налага изменение на наредбата, с което да бъдат определени сроковете за подаване на заявления за авансово плащане и по двата приема. Действащата разпоредба, която определя този срок, не обхваща хипотезата, в която ще попаднат кандидатите по двата приема, за които следва да бъдат определени два отделни срока, в зависимост по кой прием ще кандидатстват за подпомагане и в рамките на коя финансова година ще им бъде изплатена помощта авансово.</w:t>
      </w:r>
    </w:p>
    <w:p w:rsidR="007C7532" w:rsidRDefault="007C7532" w:rsidP="00177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Цели </w:t>
      </w:r>
    </w:p>
    <w:p w:rsidR="007C7532" w:rsidRDefault="00CC637A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С изменението на наредбата ще се осигури регулация по отношение на сроковете за подаване на заявления за авансово изплащане на помощта по мярка „Преструктуриране и конверсия на лозя“ от кандидатите по приемите през 2021 г. Определянето на отделен срок за всеки от двата приема отговаря на нуждите от осигуряване на времеви ресурс, в който кандидатите и администрацията могат да изпълнят своите задължения, така че прилагането на мярката да бъде в съответствие с всички законови изисквания. </w:t>
      </w:r>
      <w:proofErr w:type="spellStart"/>
      <w:r>
        <w:rPr>
          <w:rFonts w:ascii="Verdana" w:eastAsia="Verdana" w:hAnsi="Verdana" w:cs="Verdana"/>
          <w:sz w:val="20"/>
          <w:szCs w:val="20"/>
        </w:rPr>
        <w:t>Бенефициерите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да има възможност да учредят съответната банкова гаранция (задължителен изискуем документ, при заявяване на </w:t>
      </w:r>
      <w:r>
        <w:rPr>
          <w:rFonts w:ascii="Verdana" w:eastAsia="Verdana" w:hAnsi="Verdana" w:cs="Verdana"/>
          <w:sz w:val="20"/>
          <w:szCs w:val="20"/>
        </w:rPr>
        <w:lastRenderedPageBreak/>
        <w:t>авансово плащане на помощта), а администрацията да обработи документите и да изплати авансовите плащания.</w:t>
      </w:r>
    </w:p>
    <w:p w:rsidR="007C7532" w:rsidRDefault="00CC637A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С проекта на наредба се предвижда и отпадане на изискването заповедта на министъра на земе</w:t>
      </w:r>
      <w:r w:rsidR="0070429E">
        <w:rPr>
          <w:rFonts w:ascii="Verdana" w:eastAsia="Verdana" w:hAnsi="Verdana" w:cs="Verdana"/>
          <w:sz w:val="20"/>
          <w:szCs w:val="20"/>
        </w:rPr>
        <w:t>де</w:t>
      </w:r>
      <w:r>
        <w:rPr>
          <w:rFonts w:ascii="Verdana" w:eastAsia="Verdana" w:hAnsi="Verdana" w:cs="Verdana"/>
          <w:sz w:val="20"/>
          <w:szCs w:val="20"/>
        </w:rPr>
        <w:t>лието, храните и горите за утвърждаване на пределните цени на отделните операции от дейностите по мярка "Преструктуриране и конверсия на лозя" да се актуализира на период от две години. Преценката за необходимостта от пре</w:t>
      </w:r>
      <w:r w:rsidR="0037135D">
        <w:rPr>
          <w:rFonts w:ascii="Verdana" w:eastAsia="Verdana" w:hAnsi="Verdana" w:cs="Verdana"/>
          <w:sz w:val="20"/>
          <w:szCs w:val="20"/>
        </w:rPr>
        <w:t xml:space="preserve">разглеждане на пределните цени </w:t>
      </w:r>
      <w:r>
        <w:rPr>
          <w:rFonts w:ascii="Verdana" w:eastAsia="Verdana" w:hAnsi="Verdana" w:cs="Verdana"/>
          <w:sz w:val="20"/>
          <w:szCs w:val="20"/>
        </w:rPr>
        <w:t>попада във функционалните правомощия на Постоянната работна група за решаване на въпроси в сектор "Вино" и това обез</w:t>
      </w:r>
      <w:r w:rsidR="0070429E">
        <w:rPr>
          <w:rFonts w:ascii="Verdana" w:eastAsia="Verdana" w:hAnsi="Verdana" w:cs="Verdana"/>
          <w:sz w:val="20"/>
          <w:szCs w:val="20"/>
        </w:rPr>
        <w:t>с</w:t>
      </w:r>
      <w:r>
        <w:rPr>
          <w:rFonts w:ascii="Verdana" w:eastAsia="Verdana" w:hAnsi="Verdana" w:cs="Verdana"/>
          <w:sz w:val="20"/>
          <w:szCs w:val="20"/>
        </w:rPr>
        <w:t xml:space="preserve">мисля наличието на нормативно задължение за актуализиране на заповедта. </w:t>
      </w:r>
    </w:p>
    <w:p w:rsidR="007C7532" w:rsidRDefault="007C75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Финансови и други средства, необходими за прилагането на новата уредба</w:t>
      </w:r>
    </w:p>
    <w:p w:rsidR="007C7532" w:rsidRDefault="00CC637A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Приемането на проекта на акт не води до въздействие върху държавния бюджет. За приемането на проекта на акт не са необходими допълнителни разходи/трансфери и други плащания. Не се предвиждат допълнителни разходи и за нейните адресати. Финансирането по мярка „Преструктуриране и конверсия на лозя“ ще бъде в рамките на бюджета по националната програма.</w:t>
      </w:r>
    </w:p>
    <w:p w:rsidR="007C7532" w:rsidRDefault="007C7532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Очаквани резултати от прилагането на акта</w:t>
      </w: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Измененията в наредбата са насочени към определянето на нормативни срокове за подаване на заявления за авансово изплащане на помощта по мярка „Преструктуриране и конверсия на лозя“.</w:t>
      </w: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Потенциално заинтересовани страни от приемането на наредбата са всички регистрирани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гроздопроизводители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в страната, които желаят да кандидатстват по мярката през 2021 г.</w:t>
      </w:r>
    </w:p>
    <w:p w:rsidR="007C7532" w:rsidRDefault="007C75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7C7532" w:rsidRDefault="00CC637A">
      <w:pP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Анализ за съответствие с правото на Европейския съюз</w:t>
      </w:r>
    </w:p>
    <w:p w:rsidR="007C7532" w:rsidRDefault="00CC637A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Проектът на Наредба </w:t>
      </w:r>
      <w:r>
        <w:rPr>
          <w:rFonts w:ascii="Verdana" w:eastAsia="Verdana" w:hAnsi="Verdana" w:cs="Verdana"/>
          <w:sz w:val="20"/>
          <w:szCs w:val="20"/>
          <w:shd w:val="clear" w:color="auto" w:fill="FEFEFE"/>
        </w:rPr>
        <w:t>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7C7532" w:rsidRDefault="007C7532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Информация за проведените обществени консултации</w:t>
      </w:r>
    </w:p>
    <w:p w:rsidR="007C7532" w:rsidRDefault="00CC637A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7C7532" w:rsidRDefault="00CC637A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 изпълнение на 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310B9F" w:rsidRDefault="00CC637A" w:rsidP="00310B9F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310B9F" w:rsidRDefault="00310B9F" w:rsidP="00310B9F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Default="00CC637A" w:rsidP="00310B9F">
      <w:pPr>
        <w:spacing w:after="0" w:line="36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УВАЖАЕМИ ГОСПОДИН БОЗУКОВ,</w:t>
      </w:r>
    </w:p>
    <w:p w:rsidR="007C7532" w:rsidRDefault="00CC637A">
      <w:pPr>
        <w:widowControl w:val="0"/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Във връзка с гореизложеното и на основание чл. 56, ал. 3 от Закона за прилагане на Общата организация на пазарите на земеделски продукти на Европейския съюз, предлагам да одобрите Наредбата за изменение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-винарския сектор за периода 2019 – 2023 г. </w:t>
      </w:r>
    </w:p>
    <w:p w:rsidR="007C7532" w:rsidRDefault="007C7532">
      <w:pPr>
        <w:widowControl w:val="0"/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8404" w:type="dxa"/>
        <w:tblInd w:w="668" w:type="dxa"/>
        <w:tblLayout w:type="fixed"/>
        <w:tblLook w:val="0000" w:firstRow="0" w:lastRow="0" w:firstColumn="0" w:lastColumn="0" w:noHBand="0" w:noVBand="0"/>
      </w:tblPr>
      <w:tblGrid>
        <w:gridCol w:w="1850"/>
        <w:gridCol w:w="6554"/>
      </w:tblGrid>
      <w:tr w:rsidR="007C7532">
        <w:tc>
          <w:tcPr>
            <w:tcW w:w="1850" w:type="dxa"/>
          </w:tcPr>
          <w:p w:rsidR="007C7532" w:rsidRDefault="00CC637A">
            <w:pPr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Приложениe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554" w:type="dxa"/>
          </w:tcPr>
          <w:p w:rsidR="007C7532" w:rsidRDefault="00CC637A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Наредба за изменение на Наредба № 6 от 2018 г. за условията и реда за предоставяне на финансова помощ по Национална програма за подпомагане на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лозаро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-винарския сектор за периода 2019 – 2023 г.;</w:t>
            </w:r>
          </w:p>
          <w:p w:rsidR="007C7532" w:rsidRDefault="00CC637A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Справка за отразяване на постъпилите становища;</w:t>
            </w:r>
          </w:p>
          <w:p w:rsidR="007C7532" w:rsidRDefault="00CC637A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Постъпили становища;</w:t>
            </w:r>
          </w:p>
          <w:p w:rsidR="007C7532" w:rsidRDefault="00CC637A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Справка за отразяване на получените предложения и становища от проведе</w:t>
            </w:r>
            <w:bookmarkStart w:id="1" w:name="_GoBack"/>
            <w:bookmarkEnd w:id="1"/>
            <w:r>
              <w:rPr>
                <w:rFonts w:ascii="Verdana" w:eastAsia="Verdana" w:hAnsi="Verdana" w:cs="Verdana"/>
                <w:sz w:val="20"/>
                <w:szCs w:val="20"/>
              </w:rPr>
              <w:t>ната обществена консултация;</w:t>
            </w:r>
          </w:p>
          <w:p w:rsidR="007C7532" w:rsidRDefault="00CC637A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Получени предложения и становища от проведената обществена консултация.</w:t>
            </w:r>
          </w:p>
        </w:tc>
      </w:tr>
    </w:tbl>
    <w:p w:rsidR="007C7532" w:rsidRDefault="007C7532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Default="00CC637A">
      <w:pPr>
        <w:spacing w:after="0" w:line="360" w:lineRule="auto"/>
        <w:ind w:right="-46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С уважение,</w:t>
      </w:r>
    </w:p>
    <w:p w:rsidR="007C7532" w:rsidRDefault="007C7532">
      <w:pPr>
        <w:spacing w:after="0" w:line="360" w:lineRule="auto"/>
        <w:ind w:right="-468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</w:p>
    <w:p w:rsidR="007C7532" w:rsidRDefault="007C7532">
      <w:pPr>
        <w:spacing w:after="0" w:line="360" w:lineRule="auto"/>
        <w:ind w:right="-468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</w:p>
    <w:p w:rsidR="007C7532" w:rsidRDefault="00CC637A">
      <w:pPr>
        <w:spacing w:after="0" w:line="360" w:lineRule="auto"/>
        <w:ind w:right="-468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ЯВОР ГЕЧЕВ</w:t>
      </w:r>
    </w:p>
    <w:p w:rsidR="007C7532" w:rsidRDefault="00CC637A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z w:val="20"/>
          <w:szCs w:val="20"/>
        </w:rPr>
        <w:t>Заместник-министър</w:t>
      </w:r>
    </w:p>
    <w:p w:rsidR="007C7532" w:rsidRDefault="007C7532">
      <w:pPr>
        <w:spacing w:after="0" w:line="360" w:lineRule="auto"/>
        <w:rPr>
          <w:smallCaps/>
          <w:sz w:val="20"/>
          <w:szCs w:val="20"/>
        </w:rPr>
      </w:pPr>
    </w:p>
    <w:p w:rsidR="007C7532" w:rsidRDefault="007C7532">
      <w:pPr>
        <w:spacing w:after="0" w:line="360" w:lineRule="auto"/>
        <w:rPr>
          <w:smallCaps/>
          <w:sz w:val="20"/>
          <w:szCs w:val="20"/>
        </w:rPr>
      </w:pPr>
    </w:p>
    <w:p w:rsidR="007C7532" w:rsidRDefault="007C7532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Default="007C7532">
      <w:pPr>
        <w:spacing w:after="0" w:line="360" w:lineRule="auto"/>
        <w:rPr>
          <w:smallCaps/>
          <w:sz w:val="20"/>
          <w:szCs w:val="20"/>
        </w:rPr>
      </w:pPr>
    </w:p>
    <w:p w:rsidR="007C7532" w:rsidRDefault="007C7532">
      <w:pPr>
        <w:spacing w:after="0" w:line="360" w:lineRule="auto"/>
        <w:rPr>
          <w:smallCaps/>
          <w:sz w:val="20"/>
          <w:szCs w:val="20"/>
        </w:rPr>
      </w:pPr>
    </w:p>
    <w:sectPr w:rsidR="007C7532" w:rsidSect="001776BB">
      <w:footerReference w:type="default" r:id="rId7"/>
      <w:headerReference w:type="first" r:id="rId8"/>
      <w:pgSz w:w="11907" w:h="16840"/>
      <w:pgMar w:top="900" w:right="1134" w:bottom="720" w:left="1701" w:header="709" w:footer="62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60" w:rsidRDefault="00997760">
      <w:pPr>
        <w:spacing w:after="0" w:line="240" w:lineRule="auto"/>
      </w:pPr>
      <w:r>
        <w:separator/>
      </w:r>
    </w:p>
  </w:endnote>
  <w:endnote w:type="continuationSeparator" w:id="0">
    <w:p w:rsidR="00997760" w:rsidRDefault="0099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32" w:rsidRDefault="00CC63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1067F"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60" w:rsidRDefault="00997760">
      <w:pPr>
        <w:spacing w:after="0" w:line="240" w:lineRule="auto"/>
      </w:pPr>
      <w:r>
        <w:separator/>
      </w:r>
    </w:p>
  </w:footnote>
  <w:footnote w:type="continuationSeparator" w:id="0">
    <w:p w:rsidR="00997760" w:rsidRDefault="0099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32" w:rsidRDefault="00CC637A">
    <w:pPr>
      <w:widowControl w:val="0"/>
      <w:spacing w:after="0" w:line="360" w:lineRule="auto"/>
      <w:ind w:firstLine="720"/>
      <w:jc w:val="both"/>
      <w:rPr>
        <w:rFonts w:ascii="Verdana" w:eastAsia="Verdana" w:hAnsi="Verdana" w:cs="Verdana"/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 wp14:anchorId="1FB249F6" wp14:editId="15CC2295">
          <wp:simplePos x="0" y="0"/>
          <wp:positionH relativeFrom="column">
            <wp:posOffset>2265045</wp:posOffset>
          </wp:positionH>
          <wp:positionV relativeFrom="paragraph">
            <wp:posOffset>-92709</wp:posOffset>
          </wp:positionV>
          <wp:extent cx="1189355" cy="118808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1188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7532" w:rsidRDefault="007C7532">
    <w:pPr>
      <w:widowControl w:val="0"/>
      <w:spacing w:after="0" w:line="360" w:lineRule="auto"/>
      <w:ind w:firstLine="720"/>
      <w:jc w:val="both"/>
      <w:rPr>
        <w:rFonts w:ascii="Verdana" w:eastAsia="Verdana" w:hAnsi="Verdana" w:cs="Verdana"/>
        <w:sz w:val="20"/>
        <w:szCs w:val="20"/>
      </w:rPr>
    </w:pPr>
  </w:p>
  <w:p w:rsidR="007C7532" w:rsidRDefault="007C7532">
    <w:pPr>
      <w:widowControl w:val="0"/>
      <w:spacing w:after="0" w:line="360" w:lineRule="auto"/>
      <w:ind w:firstLine="720"/>
      <w:jc w:val="both"/>
      <w:rPr>
        <w:rFonts w:ascii="Verdana" w:eastAsia="Verdana" w:hAnsi="Verdana" w:cs="Verdana"/>
        <w:sz w:val="20"/>
        <w:szCs w:val="20"/>
      </w:rPr>
    </w:pPr>
  </w:p>
  <w:p w:rsidR="007C7532" w:rsidRDefault="007C7532">
    <w:pPr>
      <w:widowControl w:val="0"/>
      <w:spacing w:after="0" w:line="360" w:lineRule="auto"/>
      <w:ind w:firstLine="720"/>
      <w:jc w:val="both"/>
      <w:rPr>
        <w:rFonts w:ascii="Verdana" w:eastAsia="Verdana" w:hAnsi="Verdana" w:cs="Verdana"/>
        <w:sz w:val="20"/>
        <w:szCs w:val="20"/>
      </w:rPr>
    </w:pPr>
  </w:p>
  <w:p w:rsidR="007C7532" w:rsidRDefault="007C7532">
    <w:pPr>
      <w:widowControl w:val="0"/>
      <w:spacing w:after="0" w:line="360" w:lineRule="auto"/>
      <w:ind w:firstLine="720"/>
      <w:jc w:val="both"/>
      <w:rPr>
        <w:rFonts w:ascii="Verdana" w:eastAsia="Verdana" w:hAnsi="Verdana" w:cs="Verdana"/>
        <w:sz w:val="20"/>
        <w:szCs w:val="20"/>
      </w:rPr>
    </w:pPr>
  </w:p>
  <w:p w:rsidR="007C7532" w:rsidRDefault="00CC637A">
    <w:pPr>
      <w:keepNext/>
      <w:spacing w:before="120" w:after="0" w:line="240" w:lineRule="auto"/>
      <w:jc w:val="center"/>
      <w:rPr>
        <w:rFonts w:ascii="Platinum Bg" w:eastAsia="Platinum Bg" w:hAnsi="Platinum Bg" w:cs="Platinum Bg"/>
        <w:sz w:val="36"/>
        <w:szCs w:val="36"/>
      </w:rPr>
    </w:pPr>
    <w:r>
      <w:rPr>
        <w:rFonts w:ascii="Platinum Bg" w:eastAsia="Platinum Bg" w:hAnsi="Platinum Bg" w:cs="Platinum Bg"/>
        <w:sz w:val="36"/>
        <w:szCs w:val="36"/>
      </w:rPr>
      <w:t>РЕПУБЛИКА БЪЛГАРИЯ</w:t>
    </w:r>
  </w:p>
  <w:p w:rsidR="007C7532" w:rsidRDefault="00CC637A">
    <w:pPr>
      <w:widowControl w:val="0"/>
      <w:pBdr>
        <w:bottom w:val="single" w:sz="4" w:space="1" w:color="000000"/>
      </w:pBdr>
      <w:spacing w:after="0" w:line="360" w:lineRule="auto"/>
      <w:jc w:val="center"/>
      <w:rPr>
        <w:rFonts w:ascii="Timok" w:eastAsia="Timok" w:hAnsi="Timok" w:cs="Timok"/>
        <w:sz w:val="32"/>
        <w:szCs w:val="32"/>
      </w:rPr>
    </w:pPr>
    <w:r>
      <w:rPr>
        <w:rFonts w:ascii="Platinum Bg" w:eastAsia="Platinum Bg" w:hAnsi="Platinum Bg" w:cs="Platinum Bg"/>
        <w:sz w:val="32"/>
        <w:szCs w:val="32"/>
      </w:rPr>
      <w:t>Заместник-министър на земеделието, храните и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207"/>
    <w:multiLevelType w:val="multilevel"/>
    <w:tmpl w:val="FBEC2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32"/>
    <w:rsid w:val="001776BB"/>
    <w:rsid w:val="001C21A3"/>
    <w:rsid w:val="00310B9F"/>
    <w:rsid w:val="0037135D"/>
    <w:rsid w:val="00404FC6"/>
    <w:rsid w:val="0070429E"/>
    <w:rsid w:val="007C7532"/>
    <w:rsid w:val="007F7AD3"/>
    <w:rsid w:val="0081067F"/>
    <w:rsid w:val="00997760"/>
    <w:rsid w:val="00CA77EB"/>
    <w:rsid w:val="00CC637A"/>
    <w:rsid w:val="00E432AC"/>
    <w:rsid w:val="00EE3D74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28BFA-C0A8-4A7C-BC41-D96580FB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BB"/>
  </w:style>
  <w:style w:type="paragraph" w:styleId="Footer">
    <w:name w:val="footer"/>
    <w:basedOn w:val="Normal"/>
    <w:link w:val="Foot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Petya Ivanova</cp:lastModifiedBy>
  <cp:revision>3</cp:revision>
  <dcterms:created xsi:type="dcterms:W3CDTF">2021-07-01T10:07:00Z</dcterms:created>
  <dcterms:modified xsi:type="dcterms:W3CDTF">2021-07-01T13:02:00Z</dcterms:modified>
</cp:coreProperties>
</file>