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591" w:rsidRPr="00B2614B" w:rsidRDefault="00A42591" w:rsidP="00682A6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bg-BG"/>
        </w:rPr>
      </w:pPr>
    </w:p>
    <w:p w:rsidR="00A42591" w:rsidRPr="00B2614B" w:rsidRDefault="00A42591" w:rsidP="00682A6B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B2614B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Приложение № </w:t>
      </w:r>
      <w:r w:rsidR="00BF7791" w:rsidRPr="00B2614B">
        <w:rPr>
          <w:rFonts w:ascii="Times New Roman" w:hAnsi="Times New Roman" w:cs="Times New Roman"/>
          <w:b/>
          <w:sz w:val="24"/>
          <w:szCs w:val="24"/>
        </w:rPr>
        <w:t>1</w:t>
      </w:r>
    </w:p>
    <w:p w:rsidR="00A42591" w:rsidRPr="00B2614B" w:rsidRDefault="00621F00" w:rsidP="00682A6B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B2614B">
        <w:rPr>
          <w:rFonts w:ascii="Times New Roman" w:hAnsi="Times New Roman" w:cs="Times New Roman"/>
          <w:b/>
          <w:sz w:val="24"/>
          <w:szCs w:val="24"/>
          <w:lang w:val="bg-BG"/>
        </w:rPr>
        <w:t>Към Условия за кандидатстване</w:t>
      </w:r>
    </w:p>
    <w:p w:rsidR="00621F00" w:rsidRPr="00B2614B" w:rsidRDefault="008D0206" w:rsidP="008D0206">
      <w:pPr>
        <w:tabs>
          <w:tab w:val="left" w:pos="4283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bg-BG"/>
        </w:rPr>
      </w:pPr>
      <w:r w:rsidRPr="00B2614B">
        <w:rPr>
          <w:rFonts w:ascii="Times New Roman" w:hAnsi="Times New Roman" w:cs="Times New Roman"/>
          <w:sz w:val="24"/>
          <w:szCs w:val="24"/>
          <w:lang w:val="bg-BG"/>
        </w:rPr>
        <w:tab/>
      </w:r>
    </w:p>
    <w:p w:rsidR="00621F00" w:rsidRPr="00B2614B" w:rsidRDefault="00621F00" w:rsidP="00682A6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bg-BG"/>
        </w:rPr>
      </w:pPr>
    </w:p>
    <w:p w:rsidR="00A42591" w:rsidRPr="00B2614B" w:rsidRDefault="00CE7F55" w:rsidP="008D0206">
      <w:pPr>
        <w:spacing w:after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B2614B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Списък на инвестиционни разходи, допринасящи към </w:t>
      </w:r>
      <w:r w:rsidR="004418BA" w:rsidRPr="00B2614B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изпълнение на </w:t>
      </w:r>
      <w:r w:rsidRPr="00B2614B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целите на Инструмента NGEU</w:t>
      </w:r>
    </w:p>
    <w:p w:rsidR="008D0206" w:rsidRPr="00B2614B" w:rsidRDefault="008D0206" w:rsidP="005A711F">
      <w:pPr>
        <w:numPr>
          <w:ilvl w:val="0"/>
          <w:numId w:val="1"/>
        </w:numPr>
        <w:shd w:val="clear" w:color="auto" w:fill="76923C" w:themeFill="accent3" w:themeFillShade="BF"/>
        <w:spacing w:after="120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lang w:val="bg-BG"/>
        </w:rPr>
      </w:pPr>
      <w:r w:rsidRPr="00B2614B">
        <w:rPr>
          <w:rFonts w:ascii="Times New Roman" w:eastAsiaTheme="minorEastAsia" w:hAnsi="Times New Roman" w:cs="Times New Roman"/>
          <w:b/>
          <w:sz w:val="24"/>
          <w:szCs w:val="24"/>
          <w:lang w:val="bg-BG"/>
        </w:rPr>
        <w:t xml:space="preserve">Критерии за оценка №4.3 </w:t>
      </w:r>
    </w:p>
    <w:p w:rsidR="008D0206" w:rsidRPr="00B2614B" w:rsidRDefault="008D0206" w:rsidP="005A711F">
      <w:pPr>
        <w:shd w:val="clear" w:color="auto" w:fill="76923C" w:themeFill="accent3" w:themeFillShade="BF"/>
        <w:spacing w:after="120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</w:pPr>
      <w:r w:rsidRPr="00B2614B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„Проектни предложения с инвестиции и дейности, осигуряващи опазване на компонентите на околната среда, включително ВЕИ“*</w:t>
      </w:r>
    </w:p>
    <w:p w:rsidR="008D0206" w:rsidRPr="00B2614B" w:rsidRDefault="008D0206" w:rsidP="008D0206">
      <w:pPr>
        <w:numPr>
          <w:ilvl w:val="1"/>
          <w:numId w:val="1"/>
        </w:numPr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Строителство и/или обновяване на недвижима собственост, използвана за опазване на водите от замърсяване с нитрати от земеделски източници </w:t>
      </w:r>
      <w:r w:rsidR="008927F6" w:rsidRPr="00B2614B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B2614B">
        <w:rPr>
          <w:rFonts w:eastAsiaTheme="minorEastAsia"/>
          <w:i/>
          <w:sz w:val="24"/>
          <w:szCs w:val="24"/>
          <w:lang w:val="bg-BG"/>
        </w:rPr>
        <w:t xml:space="preserve"> </w:t>
      </w:r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торохранилище/площадки за съхранение и компостиране на оборски тор (твърда фракция), торова яма, лагуна, пластичен балон (течна фракция), торов канал, </w:t>
      </w:r>
      <w:r w:rsidR="008927F6" w:rsidRPr="00B2614B">
        <w:rPr>
          <w:rFonts w:ascii="Times New Roman" w:eastAsiaTheme="minorEastAsia" w:hAnsi="Times New Roman" w:cs="Times New Roman"/>
          <w:sz w:val="24"/>
          <w:szCs w:val="24"/>
        </w:rPr>
        <w:t xml:space="preserve">скарови подове, </w:t>
      </w:r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>помпа за гъсти течности, сепаратор за отделяне на твърда от течна фракция, платформа за сепаратор, тръбни линии за отвеждане на течна фракция, хомогенизатор за течен оборски тор, силажна яма</w:t>
      </w:r>
      <w:r w:rsidR="008927F6" w:rsidRPr="00B2614B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 w:rsidR="008927F6"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>скреперни системи за почистване на оборски тор</w:t>
      </w:r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>.</w:t>
      </w:r>
    </w:p>
    <w:p w:rsidR="008D0206" w:rsidRPr="00B2614B" w:rsidRDefault="008D0206" w:rsidP="008D0206">
      <w:pPr>
        <w:numPr>
          <w:ilvl w:val="1"/>
          <w:numId w:val="1"/>
        </w:numPr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Изграждане/модернизиране/оборудване на съоръжения за съхраняване на животински и растителен торов отпадък - площадки и/или съоръжения за оползотворяване и преработка на растителен и животински отпадък/биомаса, в т.ч. </w:t>
      </w:r>
      <w:proofErr w:type="spellStart"/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компостиране</w:t>
      </w:r>
      <w:proofErr w:type="spellEnd"/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</w:t>
      </w:r>
      <w:proofErr w:type="spellStart"/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пелетизиране</w:t>
      </w:r>
      <w:proofErr w:type="spellEnd"/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; изграждане на площадка за естествено пречистване на течната фракция;</w:t>
      </w:r>
    </w:p>
    <w:p w:rsidR="008D0206" w:rsidRPr="00B2614B" w:rsidRDefault="008D0206" w:rsidP="008D0206">
      <w:pPr>
        <w:numPr>
          <w:ilvl w:val="1"/>
          <w:numId w:val="1"/>
        </w:numPr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Изграждане/модернизиране/оборудване на съоръжения за съхраняване на минерални торове, необходими за производствената дейност на стопанството;</w:t>
      </w:r>
    </w:p>
    <w:p w:rsidR="008D0206" w:rsidRPr="00B2614B" w:rsidRDefault="008D0206" w:rsidP="008D0206">
      <w:pPr>
        <w:numPr>
          <w:ilvl w:val="1"/>
          <w:numId w:val="1"/>
        </w:numPr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Изграждане/модернизиране/оборудване на съоръжения за съхраняване на отпадни води от процеса на силажиране, включително инсталации за пречистване на отпадъчни </w:t>
      </w:r>
      <w:r w:rsidR="007B6669" w:rsidRPr="00B2614B">
        <w:rPr>
          <w:rFonts w:ascii="Times New Roman" w:eastAsia="Times New Roman" w:hAnsi="Times New Roman" w:cs="Times New Roman"/>
          <w:sz w:val="24"/>
          <w:szCs w:val="24"/>
        </w:rPr>
        <w:t xml:space="preserve">и входящи </w:t>
      </w: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води в производството и маркетинга;</w:t>
      </w:r>
    </w:p>
    <w:p w:rsidR="008D0206" w:rsidRPr="00B2614B" w:rsidRDefault="008D0206" w:rsidP="008D0206">
      <w:pPr>
        <w:numPr>
          <w:ilvl w:val="1"/>
          <w:numId w:val="1"/>
        </w:numPr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Изграждане на инсталации за ВЕИ за производство на енергия за собствено потребление, включително такива използващи биомаса.</w:t>
      </w:r>
    </w:p>
    <w:p w:rsidR="008D0206" w:rsidRPr="00B2614B" w:rsidRDefault="008D0206" w:rsidP="008D0206">
      <w:pPr>
        <w:numPr>
          <w:ilvl w:val="1"/>
          <w:numId w:val="1"/>
        </w:numPr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Инвестиции в съоръжения и оборудване, позволяващи преработката на отпадъчни суровини от селскостопански продукти използвани за собствено потребление</w:t>
      </w:r>
      <w:r w:rsidR="00B55038"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, включително тороразпръскващи ремаркета и цистерни за течна торова маса</w:t>
      </w: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8D0206" w:rsidRPr="00B2614B" w:rsidRDefault="008D0206" w:rsidP="008D0206">
      <w:pPr>
        <w:numPr>
          <w:ilvl w:val="1"/>
          <w:numId w:val="1"/>
        </w:numPr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Инвестиции в</w:t>
      </w:r>
      <w:r w:rsidR="00EC01D2" w:rsidRPr="00B2614B">
        <w:rPr>
          <w:b/>
          <w:bCs/>
          <w:lang w:val="bg-BG"/>
        </w:rPr>
        <w:t xml:space="preserve"> </w:t>
      </w:r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прикачни, сменяеми машини за минимални, частични, </w:t>
      </w:r>
      <w:proofErr w:type="spellStart"/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ивични</w:t>
      </w:r>
      <w:proofErr w:type="spellEnd"/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и други обработки на почвата, спомагащи опазване на природните ресурси </w:t>
      </w:r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lastRenderedPageBreak/>
        <w:t xml:space="preserve">(опазване на почвата от ерозия, задържане на въглерода в почвата, както и подобряване на почвеното плодородие) </w:t>
      </w:r>
      <w:r w:rsidR="007B6669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–</w:t>
      </w:r>
      <w:r w:rsidR="007B6669" w:rsidRPr="00B2614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мулчираща</w:t>
      </w:r>
      <w:proofErr w:type="spellEnd"/>
      <w:r w:rsidR="007B6669" w:rsidRPr="00B2614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техника (</w:t>
      </w:r>
      <w:proofErr w:type="spellStart"/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сечки</w:t>
      </w:r>
      <w:proofErr w:type="spellEnd"/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, </w:t>
      </w:r>
      <w:proofErr w:type="spellStart"/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ножов</w:t>
      </w:r>
      <w:proofErr w:type="spellEnd"/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валяк, </w:t>
      </w:r>
      <w:proofErr w:type="spellStart"/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шредери</w:t>
      </w:r>
      <w:proofErr w:type="spellEnd"/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, </w:t>
      </w:r>
      <w:proofErr w:type="spellStart"/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мулчери</w:t>
      </w:r>
      <w:proofErr w:type="spellEnd"/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и други);</w:t>
      </w:r>
      <w:r w:rsidR="00E45F0E" w:rsidRPr="00B2614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почвообработваща техника - дискови брани, иглени брани, култиватори за минимални, частични или ивични обработки и други машини</w:t>
      </w:r>
      <w:r w:rsidR="00E45F0E" w:rsidRPr="00B2614B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спомагащи за опазване на компонентите на околната среда</w:t>
      </w:r>
      <w:r w:rsidR="00E45F0E" w:rsidRPr="00B2614B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включително и задържане на въглерода в почвата.</w:t>
      </w:r>
    </w:p>
    <w:p w:rsidR="008D0206" w:rsidRPr="00B2614B" w:rsidRDefault="008D0206" w:rsidP="008D0206">
      <w:pPr>
        <w:spacing w:after="120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8D0206" w:rsidRPr="00B2614B" w:rsidRDefault="008D0206" w:rsidP="005A711F">
      <w:pPr>
        <w:numPr>
          <w:ilvl w:val="0"/>
          <w:numId w:val="1"/>
        </w:numPr>
        <w:shd w:val="clear" w:color="auto" w:fill="76923C" w:themeFill="accent3" w:themeFillShade="BF"/>
        <w:spacing w:after="120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lang w:val="bg-BG"/>
        </w:rPr>
      </w:pPr>
      <w:r w:rsidRPr="00B2614B">
        <w:rPr>
          <w:rFonts w:ascii="Times New Roman" w:eastAsiaTheme="minorEastAsia" w:hAnsi="Times New Roman" w:cs="Times New Roman"/>
          <w:b/>
          <w:sz w:val="24"/>
          <w:szCs w:val="24"/>
          <w:lang w:val="bg-BG"/>
        </w:rPr>
        <w:t xml:space="preserve">Критерии за оценка №4.4 </w:t>
      </w:r>
    </w:p>
    <w:p w:rsidR="008D0206" w:rsidRPr="00B2614B" w:rsidRDefault="008D0206" w:rsidP="005A711F">
      <w:pPr>
        <w:shd w:val="clear" w:color="auto" w:fill="76923C" w:themeFill="accent3" w:themeFillShade="BF"/>
        <w:spacing w:after="120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</w:pPr>
      <w:r w:rsidRPr="00B2614B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„Проектни предложения с инвестиции в иновативни за стопанството технологии, като - иновативни производствени технологии, цифрови технологии за производство и организация в селското стопанство, автоматизиране на работните процеси в селскостопанското производство, включително подходи приложени чрез Европейското партньорство за иновации“**</w:t>
      </w:r>
    </w:p>
    <w:p w:rsidR="008D0206" w:rsidRPr="00B2614B" w:rsidRDefault="008D0206" w:rsidP="008D0206">
      <w:pPr>
        <w:spacing w:after="120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8D0206" w:rsidRPr="00B2614B" w:rsidRDefault="008D0206" w:rsidP="008D0206">
      <w:pPr>
        <w:numPr>
          <w:ilvl w:val="1"/>
          <w:numId w:val="1"/>
        </w:numPr>
        <w:shd w:val="clear" w:color="auto" w:fill="D9D9D9" w:themeFill="background1" w:themeFillShade="D9"/>
        <w:spacing w:after="1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B2614B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Ефективно използване на ресурсите, включително прецизно и интелигентно земеделие, иновации*;</w:t>
      </w:r>
    </w:p>
    <w:p w:rsidR="008D0206" w:rsidRPr="00B2614B" w:rsidRDefault="008D0206" w:rsidP="008D0206">
      <w:pPr>
        <w:numPr>
          <w:ilvl w:val="2"/>
          <w:numId w:val="1"/>
        </w:numPr>
        <w:spacing w:after="120"/>
        <w:ind w:left="284" w:firstLine="76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bg-BG"/>
        </w:rPr>
      </w:pPr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>Инвестиции в системи и оборудване /включващи софтуер и хардуер/ за събиране, обработка и анализ на данни и информация от различните фази по отглеждане, производство, съхранение и продажба на селскостопански продукти /животински и растителни</w:t>
      </w:r>
      <w:r w:rsidR="00E45F0E" w:rsidRPr="00B2614B">
        <w:rPr>
          <w:rFonts w:ascii="Times New Roman" w:eastAsiaTheme="minorEastAsia" w:hAnsi="Times New Roman" w:cs="Times New Roman"/>
          <w:sz w:val="24"/>
          <w:szCs w:val="24"/>
        </w:rPr>
        <w:t>/</w:t>
      </w:r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- системите и оборудването трябва да се използват за събиране, обработка и анализ</w:t>
      </w:r>
      <w:r w:rsidR="00AC6610" w:rsidRPr="00B2614B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 w:rsidR="00AC6610"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>отдалечен контрол, управление и мониторинг</w:t>
      </w:r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на данни за поливни норми, торови норми, състояние на почвата и културите, добиви, здравословно състояние на животните</w:t>
      </w:r>
      <w:r w:rsidR="005A1226"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>, вкл. при отглеждане на пчелни семейства</w:t>
      </w:r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>, норми на хранене, продуктивност и други пряко свързани с произвеждания селскостопански продукт – система за идентификация на животни, навигационни системи, GPS устройства, контролери, датчици и уреди за контрол, дронове, метеорологични станции и датчици</w:t>
      </w:r>
      <w:r w:rsidR="00E45F0E" w:rsidRPr="00B2614B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и др. със сходно предназначение.</w:t>
      </w:r>
    </w:p>
    <w:p w:rsidR="008D0206" w:rsidRPr="00B2614B" w:rsidRDefault="008D0206" w:rsidP="008D0206">
      <w:pPr>
        <w:numPr>
          <w:ilvl w:val="2"/>
          <w:numId w:val="1"/>
        </w:numPr>
        <w:spacing w:after="120"/>
        <w:ind w:left="284" w:firstLine="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Инвестиции в цифрови устройства и оборудване за внедряване в различни видове земеделска техника, които подобряват процеса по отглеждане на селскостопанските култури и намаляват обема на използваните торове, препарати и други ресурси използвани в производството </w:t>
      </w:r>
      <w:r w:rsidRPr="00B2614B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- </w:t>
      </w:r>
      <w:r w:rsidRPr="00B2614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GPS устройства, автоматични управления, контролери, датчици и уреди за контрол на пръскането, торенето, обработките, торове и ПРЗ в почвите, за контрол и управление на обработките на почвата и др. със сходно предназначение.</w:t>
      </w:r>
    </w:p>
    <w:p w:rsidR="008D0206" w:rsidRPr="00B2614B" w:rsidRDefault="008D0206" w:rsidP="008D0206">
      <w:pPr>
        <w:numPr>
          <w:ilvl w:val="2"/>
          <w:numId w:val="1"/>
        </w:numPr>
        <w:spacing w:after="120"/>
        <w:ind w:left="284" w:firstLine="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 xml:space="preserve">Инвестиции в системи и оборудване за водовземни съоръжения, включително кладенци и съоръжения за съхранение на вода, както и закупуване на техническо оборудване за тяхната експлоатация, включително нови тръбопроводи, системи за капково напояване, инсталации за дъждуване, </w:t>
      </w:r>
      <w:proofErr w:type="spellStart"/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пивоти</w:t>
      </w:r>
      <w:proofErr w:type="spellEnd"/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, помпени станции, техники/съоръжения за съхраняване/опазване на водата</w:t>
      </w:r>
      <w:r w:rsidR="002F0FBA" w:rsidRPr="00B2614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2F0FBA"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генератори, водни помпи, филтърни възли</w:t>
      </w: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;</w:t>
      </w:r>
    </w:p>
    <w:p w:rsidR="008D0206" w:rsidRPr="00B2614B" w:rsidRDefault="008D0206" w:rsidP="008D0206">
      <w:pPr>
        <w:numPr>
          <w:ilvl w:val="2"/>
          <w:numId w:val="1"/>
        </w:numPr>
        <w:spacing w:after="120"/>
        <w:ind w:left="284" w:firstLine="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Инвестиции, които подпомагат внедряването в земеделското стопанство на иновативни решения, изпълнявани от оперативни групи с подкрепата на Европейското партньорство за иновации /ЕПИ/ (чл.56 от Регламент 1305/2013) и публикувани на  </w:t>
      </w:r>
      <w:hyperlink r:id="rId8" w:history="1">
        <w:r w:rsidRPr="00B2614B">
          <w:rPr>
            <w:rFonts w:ascii="Times New Roman" w:eastAsia="Times New Roman" w:hAnsi="Times New Roman" w:cs="Times New Roman"/>
            <w:b/>
            <w:sz w:val="24"/>
            <w:szCs w:val="24"/>
            <w:u w:val="single"/>
            <w:lang w:val="bg-BG"/>
          </w:rPr>
          <w:t>https://ec.europa.eu/eip/agriculture/en</w:t>
        </w:r>
      </w:hyperlink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както и инвестиции, за които </w:t>
      </w:r>
      <w:proofErr w:type="spellStart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>има</w:t>
      </w:r>
      <w:proofErr w:type="spellEnd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>издаден</w:t>
      </w:r>
      <w:proofErr w:type="spellEnd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>документ</w:t>
      </w:r>
      <w:proofErr w:type="spellEnd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>ползван</w:t>
      </w:r>
      <w:proofErr w:type="spellEnd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>патент</w:t>
      </w:r>
      <w:proofErr w:type="spellEnd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по смисъла на Закона за патентите и регистрацията на полезните модели</w:t>
      </w:r>
      <w:r w:rsidR="005A1226"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136C26"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и същият е издаден преди</w:t>
      </w:r>
      <w:r w:rsidR="005A1226"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не – повече от две години преди датата на подаване на проектното предложение</w:t>
      </w: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8D0206" w:rsidRPr="00B2614B" w:rsidRDefault="008D0206" w:rsidP="008D0206">
      <w:pPr>
        <w:spacing w:after="120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8D0206" w:rsidRPr="00B2614B" w:rsidRDefault="008D0206" w:rsidP="008D0206">
      <w:pPr>
        <w:numPr>
          <w:ilvl w:val="1"/>
          <w:numId w:val="1"/>
        </w:numPr>
        <w:shd w:val="clear" w:color="auto" w:fill="D9D9D9" w:themeFill="background1" w:themeFillShade="D9"/>
        <w:spacing w:after="1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B2614B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Цифровизация и модернизация на производствените машини и оборудване;</w:t>
      </w:r>
    </w:p>
    <w:p w:rsidR="008D0206" w:rsidRPr="00B2614B" w:rsidRDefault="008D0206" w:rsidP="008D0206">
      <w:pPr>
        <w:numPr>
          <w:ilvl w:val="2"/>
          <w:numId w:val="1"/>
        </w:numPr>
        <w:spacing w:after="120"/>
        <w:ind w:left="284" w:firstLine="76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bg-BG"/>
        </w:rPr>
      </w:pPr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>Инвестиции свързани с изграждане/модернизиране/оборудване в земеделското стопанство на автоматизирани/роботизирани системи използвани в отделните фази по отглеждане на животни / хранене, доене</w:t>
      </w:r>
      <w:r w:rsidR="007B6669" w:rsidRPr="00B2614B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 w:rsidR="007B6669"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>поене, почистване, дезинфекция</w:t>
      </w:r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и др./, вкл. прилежащ към тях софтуер. Автоматизирани и/или роботизирани системи използвани в отделните фази по отглеждане на животни при отглеждане, хранене</w:t>
      </w:r>
      <w:r w:rsidR="005A1226"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>, вкл. пчелни семейства</w:t>
      </w:r>
      <w:r w:rsidR="006C6535"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>, поене</w:t>
      </w:r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и доене – системи за автоматизирано/роботизирано хранене, системи за автоматизирано/роботизирано доене, доилни зали, доилни съоръжения, системи за идентификация, системи за управление и наблюдение на стадото</w:t>
      </w:r>
      <w:r w:rsidR="005A1226"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или пчелина</w:t>
      </w:r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>, електропластири, дронове, системи и софтуер за управление на доенето и др. със сходно предназначение.</w:t>
      </w:r>
      <w:r w:rsidRPr="00B2614B">
        <w:rPr>
          <w:rFonts w:ascii="Times New Roman" w:eastAsiaTheme="minorEastAsia" w:hAnsi="Times New Roman" w:cs="Times New Roman"/>
          <w:i/>
          <w:sz w:val="24"/>
          <w:szCs w:val="24"/>
          <w:lang w:val="bg-BG"/>
        </w:rPr>
        <w:t xml:space="preserve"> </w:t>
      </w:r>
    </w:p>
    <w:p w:rsidR="008D0206" w:rsidRPr="00B2614B" w:rsidRDefault="008D0206" w:rsidP="008D0206">
      <w:pPr>
        <w:numPr>
          <w:ilvl w:val="2"/>
          <w:numId w:val="1"/>
        </w:numPr>
        <w:spacing w:after="120"/>
        <w:ind w:left="284" w:firstLine="76"/>
        <w:contextualSpacing/>
        <w:jc w:val="both"/>
        <w:rPr>
          <w:rFonts w:ascii="Times New Roman" w:eastAsiaTheme="minorEastAsia" w:hAnsi="Times New Roman" w:cs="Times New Roman"/>
          <w:lang w:val="bg-BG"/>
        </w:rPr>
      </w:pP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Инвестиции свързани с изграждане/модернизиране/оборудване</w:t>
      </w:r>
      <w:r w:rsidRPr="00B2614B">
        <w:rPr>
          <w:rFonts w:ascii="Times New Roman" w:eastAsiaTheme="minorEastAsia" w:hAnsi="Times New Roman" w:cs="Times New Roman"/>
          <w:lang w:val="bg-BG"/>
        </w:rPr>
        <w:t xml:space="preserve"> </w:t>
      </w: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в земеделското стопанство на автоматизирани/роботизирани системи използвани в отделните фази /по отглеждане </w:t>
      </w:r>
      <w:r w:rsidR="008927F6" w:rsidRPr="00B2614B">
        <w:rPr>
          <w:rFonts w:ascii="Times New Roman" w:eastAsia="Times New Roman" w:hAnsi="Times New Roman" w:cs="Times New Roman"/>
          <w:sz w:val="24"/>
          <w:szCs w:val="24"/>
        </w:rPr>
        <w:t xml:space="preserve">и прибиране </w:t>
      </w: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на селскостопанските култури/, като напояване, торене, превенция от неблагоприятни метеорологични явления /слани, градушки и др./, превенция от болести и неприятели и др. вкл. прилежащ към тях софтуер</w:t>
      </w:r>
      <w:r w:rsidRPr="00B2614B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 - </w:t>
      </w: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GPS устройства,</w:t>
      </w:r>
      <w:r w:rsidRPr="00B2614B">
        <w:rPr>
          <w:rFonts w:ascii="Times New Roman" w:eastAsiaTheme="minorEastAsia" w:hAnsi="Times New Roman" w:cs="Times New Roman"/>
          <w:lang w:val="bg-BG"/>
        </w:rPr>
        <w:t xml:space="preserve"> </w:t>
      </w: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метеорологични станции, автоматични управления, контролери, датчици и уреди за контрол, </w:t>
      </w:r>
      <w:r w:rsidRPr="00B2614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съоръжения и оборудване за превенция от слани, градушки, слънцезащитни системи, системи за защита от вредители, и др. със сходно предназначение.</w:t>
      </w:r>
      <w:r w:rsidR="00B55038" w:rsidRPr="00B2614B">
        <w:rPr>
          <w:lang w:val="bg-BG"/>
        </w:rPr>
        <w:t xml:space="preserve"> </w:t>
      </w:r>
      <w:r w:rsidR="00B55038" w:rsidRPr="00B2614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Оранжерии с електронно управление на микроклимата, прецизно дигитално </w:t>
      </w:r>
      <w:r w:rsidR="00B55038" w:rsidRPr="00B2614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>напояване, торене, растителна защита за производство на плодове и зеленчуци с високо качество.</w:t>
      </w:r>
    </w:p>
    <w:p w:rsidR="008D0206" w:rsidRPr="00B2614B" w:rsidRDefault="008D0206" w:rsidP="008D0206">
      <w:pPr>
        <w:numPr>
          <w:ilvl w:val="2"/>
          <w:numId w:val="1"/>
        </w:numPr>
        <w:spacing w:after="120"/>
        <w:ind w:left="284" w:firstLine="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Инвестиции свързани с изграждане/модернизиране/оборудване в земеделското стопанство на автоматизирани системи и съоръжения за подготовка на продукцията за продажба, които се използват за една или комбинация от дейности, свързани с почистването, подготовката за съхранение, съхранението, сортирането, маркирането и опаковането селскостопански  продукти, вкл. прилежащ към тях софтуер - съоръжения и оборудване за съхранение на продукцията - камери за охлаждане, системи за автоматизирано складиране, както и </w:t>
      </w:r>
      <w:proofErr w:type="spellStart"/>
      <w:r w:rsidR="002F0FBA" w:rsidRPr="00B2614B">
        <w:rPr>
          <w:rFonts w:ascii="Times New Roman" w:eastAsia="Times New Roman" w:hAnsi="Times New Roman" w:cs="Times New Roman"/>
          <w:sz w:val="24"/>
          <w:szCs w:val="24"/>
        </w:rPr>
        <w:t>машини</w:t>
      </w:r>
      <w:proofErr w:type="spellEnd"/>
      <w:r w:rsidR="002F0FBA" w:rsidRPr="00B2614B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2F0FBA" w:rsidRPr="00B2614B">
        <w:rPr>
          <w:rFonts w:ascii="Times New Roman" w:eastAsia="Times New Roman" w:hAnsi="Times New Roman" w:cs="Times New Roman"/>
          <w:sz w:val="24"/>
          <w:szCs w:val="24"/>
        </w:rPr>
        <w:t>оборудване</w:t>
      </w:r>
      <w:proofErr w:type="spellEnd"/>
      <w:r w:rsidR="002F0FBA" w:rsidRPr="00B26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за измиване, сортиране и пакетиране на готова </w:t>
      </w:r>
      <w:r w:rsidR="002F0FBA"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продукция</w:t>
      </w: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др. със сходно предназначение.</w:t>
      </w:r>
    </w:p>
    <w:p w:rsidR="008D0206" w:rsidRPr="00B2614B" w:rsidRDefault="008D0206" w:rsidP="008D0206">
      <w:pPr>
        <w:numPr>
          <w:ilvl w:val="2"/>
          <w:numId w:val="1"/>
        </w:numPr>
        <w:spacing w:after="120"/>
        <w:ind w:left="284" w:firstLine="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bookmarkStart w:id="0" w:name="_GoBack"/>
      <w:bookmarkEnd w:id="0"/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Инвестиции в специфично оборудване и/или апаратура в земеделското стопанство, която автоматизира, допълва или модернизира съществуващи в практиката машини, съоръжения, оборудване,  апаратура, земеделска техника и сменяема прикачна техника, чрез които се подобрява процеса по производство и съхранение на селскостопански продукти, включително отглеждане на селскостопанските култури и животни - GPS устройства, контролери, датчици и уреди за контрол, дронове, мобилни устройства и др. със сходно предназначение. Инвестиции в  сменяема прикачна техника, които се използват за селскостопанско производство чрез принципите за ефективно консервационно земеделие – култиватори и брани за частични обработки на почвата, сеялки за директна и прецизна сеитба и др. съпътстващи функции, торовнасящи машини за прецизно торене; пръскачки за прецизно внасяне на торове, стрипер хедери.</w:t>
      </w:r>
      <w:r w:rsidR="00EC01D2" w:rsidRPr="00B2614B">
        <w:rPr>
          <w:b/>
          <w:bCs/>
          <w:lang w:val="bg-BG"/>
        </w:rPr>
        <w:t xml:space="preserve"> </w:t>
      </w:r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Сеялки за директна сеитба, дигитализирани сеялки за прeцизна сеитба, сменяеми, прикачни пръскачки и торовнасящи машини за пр</w:t>
      </w:r>
      <w:r w:rsidR="004D45C3" w:rsidRPr="00B2614B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цизно торене и пръскане,  адаптери, приспособления и стрипер хедери и други машини спомагащи за внедряване на иновации и иновативни технологии</w:t>
      </w:r>
      <w:r w:rsidR="007B6669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,</w:t>
      </w:r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опазващи компонентите на околната среда, в това число и чрез цифровизаци</w:t>
      </w:r>
      <w:r w:rsidR="007B6669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я</w:t>
      </w:r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и автоматизаци</w:t>
      </w:r>
      <w:r w:rsidR="007B6669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я</w:t>
      </w:r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.</w:t>
      </w:r>
    </w:p>
    <w:p w:rsidR="008D0206" w:rsidRPr="00B2614B" w:rsidRDefault="008D0206" w:rsidP="008D0206">
      <w:pPr>
        <w:numPr>
          <w:ilvl w:val="2"/>
          <w:numId w:val="1"/>
        </w:numPr>
        <w:spacing w:after="120"/>
        <w:ind w:left="284" w:firstLine="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Инвестиции, които подпомагат внедряването в земеделското стопанство на иновативни решения, изпълнявани от оперативни групи с подкрепата на Европейското партньорство за иновации /ЕПИ/ (чл.56 от Регламент 1305/2013) и публикувани на  </w:t>
      </w:r>
      <w:hyperlink r:id="rId9" w:history="1">
        <w:r w:rsidRPr="00B2614B">
          <w:rPr>
            <w:rFonts w:ascii="Times New Roman" w:eastAsia="Times New Roman" w:hAnsi="Times New Roman" w:cs="Times New Roman"/>
            <w:b/>
            <w:sz w:val="24"/>
            <w:szCs w:val="24"/>
            <w:u w:val="single"/>
            <w:lang w:val="bg-BG"/>
          </w:rPr>
          <w:t>https://ec.europa.eu/eip/agriculture/en</w:t>
        </w:r>
      </w:hyperlink>
      <w:r w:rsidRPr="00B2614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>,</w:t>
      </w:r>
      <w:r w:rsidRPr="00B2614B"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  <w:t xml:space="preserve"> </w:t>
      </w: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както и инвестиции, за които </w:t>
      </w:r>
      <w:proofErr w:type="spellStart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>има</w:t>
      </w:r>
      <w:proofErr w:type="spellEnd"/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издаден </w:t>
      </w:r>
      <w:proofErr w:type="spellStart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>документ</w:t>
      </w:r>
      <w:proofErr w:type="spellEnd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>ползван</w:t>
      </w:r>
      <w:proofErr w:type="spellEnd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>патент</w:t>
      </w:r>
      <w:proofErr w:type="spellEnd"/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по смисъла на Закона за патентите и регистрацията на полезните модели</w:t>
      </w:r>
      <w:r w:rsidR="005A1226"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същият е издаден преди не – повече от две години преди датата на подаване на проектното предложение.</w:t>
      </w:r>
    </w:p>
    <w:p w:rsidR="008D0206" w:rsidRPr="00B2614B" w:rsidRDefault="008D0206" w:rsidP="008D0206">
      <w:pPr>
        <w:spacing w:after="120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8D0206" w:rsidRPr="00B2614B" w:rsidRDefault="008D0206" w:rsidP="008D0206">
      <w:pPr>
        <w:spacing w:after="120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8D0206" w:rsidRPr="00B2614B" w:rsidRDefault="008D0206" w:rsidP="008D0206">
      <w:pPr>
        <w:shd w:val="clear" w:color="auto" w:fill="D9D9D9" w:themeFill="background1" w:themeFillShade="D9"/>
        <w:spacing w:after="120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B2614B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lastRenderedPageBreak/>
        <w:t>ВАЖНО</w:t>
      </w:r>
    </w:p>
    <w:p w:rsidR="008D0206" w:rsidRPr="00B2614B" w:rsidRDefault="008D0206" w:rsidP="008D0206">
      <w:pPr>
        <w:shd w:val="clear" w:color="auto" w:fill="D9D9D9" w:themeFill="background1" w:themeFillShade="D9"/>
        <w:spacing w:after="120"/>
        <w:ind w:left="36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</w:pPr>
      <w:r w:rsidRPr="00B2614B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*Към критерий за оценка №4.4 не се отнасят инвестициите, които попадат в обхвата на критерий за оценка №4.3 „Проектни предложения с инвестиции и дейности, осигуряващи опазване на компонентите на околната среда, включително ВЕИ“.</w:t>
      </w:r>
    </w:p>
    <w:p w:rsidR="008D0206" w:rsidRPr="00B2614B" w:rsidRDefault="008D0206" w:rsidP="008D0206">
      <w:pPr>
        <w:shd w:val="clear" w:color="auto" w:fill="D9D9D9" w:themeFill="background1" w:themeFillShade="D9"/>
        <w:spacing w:after="120"/>
        <w:ind w:left="36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</w:pPr>
    </w:p>
    <w:p w:rsidR="008D0206" w:rsidRPr="00B2614B" w:rsidRDefault="008D0206" w:rsidP="008D0206">
      <w:pPr>
        <w:shd w:val="clear" w:color="auto" w:fill="D9D9D9" w:themeFill="background1" w:themeFillShade="D9"/>
        <w:spacing w:after="120"/>
        <w:ind w:left="360"/>
        <w:contextualSpacing/>
        <w:jc w:val="both"/>
        <w:rPr>
          <w:rFonts w:eastAsiaTheme="minorEastAsia"/>
          <w:lang w:val="en-GB"/>
        </w:rPr>
      </w:pPr>
      <w:r w:rsidRPr="00B2614B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 xml:space="preserve">**Към критерий за оценка №4.4 </w:t>
      </w:r>
      <w:r w:rsidR="004E07B2" w:rsidRPr="00B2614B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 xml:space="preserve">не </w:t>
      </w:r>
      <w:r w:rsidRPr="00B2614B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се отнасят инвестициите, които попадат в обхвата на критерий за оценка №4.2.</w:t>
      </w:r>
    </w:p>
    <w:p w:rsidR="00146586" w:rsidRPr="00B2614B" w:rsidRDefault="00146586" w:rsidP="008D0206">
      <w:pPr>
        <w:spacing w:after="120"/>
        <w:rPr>
          <w:rFonts w:ascii="Times New Roman" w:hAnsi="Times New Roman" w:cs="Times New Roman"/>
          <w:lang w:val="bg-BG"/>
        </w:rPr>
      </w:pPr>
    </w:p>
    <w:sectPr w:rsidR="00146586" w:rsidRPr="00B2614B" w:rsidSect="008D0206">
      <w:headerReference w:type="default" r:id="rId10"/>
      <w:pgSz w:w="12240" w:h="15840"/>
      <w:pgMar w:top="2127" w:right="1417" w:bottom="1417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0782" w:rsidRDefault="00880782" w:rsidP="00034CD0">
      <w:pPr>
        <w:spacing w:after="0" w:line="240" w:lineRule="auto"/>
      </w:pPr>
      <w:r>
        <w:separator/>
      </w:r>
    </w:p>
  </w:endnote>
  <w:endnote w:type="continuationSeparator" w:id="0">
    <w:p w:rsidR="00880782" w:rsidRDefault="00880782" w:rsidP="00034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0782" w:rsidRDefault="00880782" w:rsidP="00034CD0">
      <w:pPr>
        <w:spacing w:after="0" w:line="240" w:lineRule="auto"/>
      </w:pPr>
      <w:r>
        <w:separator/>
      </w:r>
    </w:p>
  </w:footnote>
  <w:footnote w:type="continuationSeparator" w:id="0">
    <w:p w:rsidR="00880782" w:rsidRDefault="00880782" w:rsidP="00034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CD0" w:rsidRDefault="00034CD0" w:rsidP="00034CD0">
    <w:pPr>
      <w:pStyle w:val="Header"/>
      <w:tabs>
        <w:tab w:val="clear" w:pos="4536"/>
        <w:tab w:val="clear" w:pos="9072"/>
      </w:tabs>
      <w:ind w:right="-2"/>
      <w:jc w:val="center"/>
      <w:rPr>
        <w:rFonts w:ascii="Times New Roman" w:eastAsiaTheme="majorEastAsia" w:hAnsi="Times New Roman" w:cstheme="majorBidi"/>
        <w:b/>
        <w:bCs/>
        <w:sz w:val="20"/>
        <w:szCs w:val="20"/>
      </w:rPr>
    </w:pPr>
    <w:r>
      <w:rPr>
        <w:noProof/>
        <w:lang w:val="bg-BG" w:eastAsia="bg-BG"/>
      </w:rPr>
      <w:drawing>
        <wp:inline distT="0" distB="0" distL="0" distR="0" wp14:anchorId="53413BA5" wp14:editId="089A1704">
          <wp:extent cx="790042" cy="694944"/>
          <wp:effectExtent l="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541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bg-BG"/>
      </w:rPr>
      <w:tab/>
    </w:r>
    <w:r>
      <w:rPr>
        <w:noProof/>
        <w:lang w:eastAsia="bg-BG"/>
      </w:rPr>
      <w:tab/>
    </w:r>
    <w:r>
      <w:rPr>
        <w:noProof/>
        <w:lang w:eastAsia="bg-BG"/>
      </w:rPr>
      <w:tab/>
    </w:r>
    <w:r>
      <w:rPr>
        <w:noProof/>
        <w:lang w:eastAsia="bg-BG"/>
      </w:rPr>
      <w:tab/>
    </w:r>
    <w:r w:rsidRPr="00C21856">
      <w:rPr>
        <w:noProof/>
        <w:sz w:val="20"/>
        <w:szCs w:val="20"/>
        <w:lang w:val="bg-BG" w:eastAsia="bg-BG"/>
      </w:rPr>
      <w:drawing>
        <wp:inline distT="0" distB="0" distL="0" distR="0" wp14:anchorId="1A71A16A" wp14:editId="144A1263">
          <wp:extent cx="1236269" cy="700656"/>
          <wp:effectExtent l="0" t="0" r="2540" b="4445"/>
          <wp:docPr id="2" name="Picture 2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6269" cy="700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bg-BG"/>
      </w:rPr>
      <w:tab/>
    </w:r>
    <w:r>
      <w:rPr>
        <w:noProof/>
        <w:lang w:eastAsia="bg-BG"/>
      </w:rPr>
      <w:tab/>
    </w:r>
    <w:r>
      <w:rPr>
        <w:noProof/>
        <w:lang w:eastAsia="bg-BG"/>
      </w:rPr>
      <w:tab/>
    </w:r>
    <w:r>
      <w:rPr>
        <w:noProof/>
        <w:lang w:eastAsia="bg-BG"/>
      </w:rPr>
      <w:tab/>
    </w:r>
    <w:r w:rsidRPr="007477D3">
      <w:rPr>
        <w:noProof/>
        <w:lang w:val="bg-BG" w:eastAsia="bg-BG"/>
      </w:rPr>
      <w:drawing>
        <wp:inline distT="0" distB="0" distL="0" distR="0" wp14:anchorId="78B02040" wp14:editId="17D2319C">
          <wp:extent cx="648335" cy="627380"/>
          <wp:effectExtent l="0" t="0" r="0" b="1270"/>
          <wp:docPr id="3" name="Picture 3" descr="C:\Users\ibotseva\Pictures\ПРСРmin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botseva\Pictures\ПРСРmin7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335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0C5DF0"/>
    <w:multiLevelType w:val="multilevel"/>
    <w:tmpl w:val="CCF8BA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591"/>
    <w:rsid w:val="00034CD0"/>
    <w:rsid w:val="000E43B5"/>
    <w:rsid w:val="000E694D"/>
    <w:rsid w:val="00124F20"/>
    <w:rsid w:val="00136C26"/>
    <w:rsid w:val="00146586"/>
    <w:rsid w:val="001B70A7"/>
    <w:rsid w:val="00272EEF"/>
    <w:rsid w:val="002A6D9D"/>
    <w:rsid w:val="002F0FBA"/>
    <w:rsid w:val="003946F9"/>
    <w:rsid w:val="00417E59"/>
    <w:rsid w:val="004418BA"/>
    <w:rsid w:val="004679F6"/>
    <w:rsid w:val="004D45C3"/>
    <w:rsid w:val="004E07B2"/>
    <w:rsid w:val="005A1226"/>
    <w:rsid w:val="005A390B"/>
    <w:rsid w:val="005A711F"/>
    <w:rsid w:val="005E1B51"/>
    <w:rsid w:val="005E5969"/>
    <w:rsid w:val="00621F00"/>
    <w:rsid w:val="00682A6B"/>
    <w:rsid w:val="006A3353"/>
    <w:rsid w:val="006B490D"/>
    <w:rsid w:val="006C6535"/>
    <w:rsid w:val="00713329"/>
    <w:rsid w:val="007233EC"/>
    <w:rsid w:val="00740D71"/>
    <w:rsid w:val="007B6669"/>
    <w:rsid w:val="00880782"/>
    <w:rsid w:val="008927F6"/>
    <w:rsid w:val="008D0206"/>
    <w:rsid w:val="008D4636"/>
    <w:rsid w:val="00A42591"/>
    <w:rsid w:val="00A65AC6"/>
    <w:rsid w:val="00AC6610"/>
    <w:rsid w:val="00B2614B"/>
    <w:rsid w:val="00B46E42"/>
    <w:rsid w:val="00B55038"/>
    <w:rsid w:val="00B56355"/>
    <w:rsid w:val="00BF1774"/>
    <w:rsid w:val="00BF7791"/>
    <w:rsid w:val="00C57E44"/>
    <w:rsid w:val="00CE7F55"/>
    <w:rsid w:val="00D16927"/>
    <w:rsid w:val="00D209BA"/>
    <w:rsid w:val="00D639F7"/>
    <w:rsid w:val="00E45F0E"/>
    <w:rsid w:val="00E91661"/>
    <w:rsid w:val="00EC01D2"/>
    <w:rsid w:val="00F0117D"/>
    <w:rsid w:val="00F64CBB"/>
    <w:rsid w:val="00FB4ACE"/>
    <w:rsid w:val="00FD0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0C2644B8-AAA4-4ED8-8CF1-C528BC95A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4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4CD0"/>
  </w:style>
  <w:style w:type="paragraph" w:styleId="Footer">
    <w:name w:val="footer"/>
    <w:basedOn w:val="Normal"/>
    <w:link w:val="FooterChar"/>
    <w:uiPriority w:val="99"/>
    <w:unhideWhenUsed/>
    <w:rsid w:val="00034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4CD0"/>
  </w:style>
  <w:style w:type="paragraph" w:styleId="BalloonText">
    <w:name w:val="Balloon Text"/>
    <w:basedOn w:val="Normal"/>
    <w:link w:val="BalloonTextChar"/>
    <w:uiPriority w:val="99"/>
    <w:semiHidden/>
    <w:unhideWhenUsed/>
    <w:rsid w:val="008D02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2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1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eip/agriculture/e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c.europa.eu/eip/agriculture/en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F7B2D-3C22-43C1-A9A8-AFC867CA6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1415</Words>
  <Characters>8072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n0ak95</Company>
  <LinksUpToDate>false</LinksUpToDate>
  <CharactersWithSpaces>9469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n0ak95</dc:creator>
  <cp:lastModifiedBy>Iskra Botseva</cp:lastModifiedBy>
  <cp:revision>6</cp:revision>
  <dcterms:created xsi:type="dcterms:W3CDTF">2021-04-12T14:49:00Z</dcterms:created>
  <dcterms:modified xsi:type="dcterms:W3CDTF">2021-04-12T14:50:00Z</dcterms:modified>
</cp:coreProperties>
</file>