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5B0BCB80"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9047A5" w:rsidRPr="009047A5">
        <w:rPr>
          <w:rFonts w:ascii="Times New Roman" w:hAnsi="Times New Roman"/>
        </w:rPr>
        <w:t xml:space="preserve"> </w:t>
      </w:r>
      <w:r w:rsidR="009047A5">
        <w:rPr>
          <w:rFonts w:ascii="Times New Roman" w:hAnsi="Times New Roman"/>
        </w:rPr>
        <w:t>Изисква се само ако не е осигурен на ДФЗ-РА достъп до данните за съдимост</w:t>
      </w:r>
      <w:r w:rsidR="009047A5">
        <w:rPr>
          <w:rFonts w:ascii="Times New Roman" w:hAnsi="Times New Roman"/>
          <w:sz w:val="24"/>
          <w:szCs w:val="24"/>
          <w:lang w:val="en-US" w:eastAsia="bg-BG"/>
        </w:rPr>
        <w:t>.</w:t>
      </w:r>
    </w:p>
    <w:p w14:paraId="6C0C84DE" w14:textId="7E74D18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62964E5A"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B48CE1A"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73179B80"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6BB5787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2BDAFD3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B300EC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DB4ABAF"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272B30EB"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5F6E3F02"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2374118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32B50054"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60EBFAEB" w14:textId="77777777" w:rsidR="00D815DB" w:rsidRDefault="00D815DB" w:rsidP="00D815DB">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75185E38"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lastRenderedPageBreak/>
        <w:t>1</w:t>
      </w:r>
      <w:r w:rsidR="00D815DB">
        <w:rPr>
          <w:rFonts w:ascii="Times New Roman" w:hAnsi="Times New Roman"/>
          <w:sz w:val="24"/>
          <w:szCs w:val="24"/>
          <w:lang w:val="en-US" w:eastAsia="bg-BG"/>
        </w:rPr>
        <w:t>7</w:t>
      </w:r>
      <w:r w:rsidR="00B22D61"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2A13DEFA"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D815DB">
        <w:rPr>
          <w:rFonts w:ascii="Times New Roman" w:hAnsi="Times New Roman"/>
          <w:sz w:val="24"/>
          <w:szCs w:val="24"/>
          <w:lang w:val="en-US" w:eastAsia="bg-BG"/>
        </w:rPr>
        <w:t>8</w:t>
      </w:r>
      <w:r w:rsidR="00B22D61"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47098E64"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D815DB">
        <w:rPr>
          <w:rFonts w:ascii="Times New Roman" w:hAnsi="Times New Roman"/>
          <w:sz w:val="24"/>
          <w:szCs w:val="24"/>
          <w:lang w:val="en-US" w:eastAsia="bg-BG"/>
        </w:rPr>
        <w:t>9</w:t>
      </w:r>
      <w:r w:rsidR="00B22D61"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176ED90F" w:rsidR="00B22D61" w:rsidRPr="006D62BD" w:rsidRDefault="00D815DB"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4E0EFB01"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1</w:t>
      </w:r>
      <w:r w:rsidR="00B22D61"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7E71C66F"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2</w:t>
      </w:r>
      <w:r w:rsidR="00B22D61" w:rsidRPr="006D62BD">
        <w:rPr>
          <w:rFonts w:ascii="Times New Roman" w:hAnsi="Times New Roman"/>
          <w:sz w:val="24"/>
          <w:szCs w:val="24"/>
          <w:lang w:eastAsia="bg-BG"/>
        </w:rPr>
        <w:t>. Форма за наблюдение (Приложение № 6).</w:t>
      </w:r>
    </w:p>
    <w:p w14:paraId="2594C4BC" w14:textId="5A76682B"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D815DB">
        <w:rPr>
          <w:rFonts w:ascii="Times New Roman" w:hAnsi="Times New Roman"/>
          <w:sz w:val="24"/>
          <w:szCs w:val="24"/>
          <w:lang w:val="en-US" w:eastAsia="bg-BG"/>
        </w:rPr>
        <w:t>3</w:t>
      </w:r>
      <w:r w:rsidR="00B22D61" w:rsidRPr="006D62BD">
        <w:rPr>
          <w:rFonts w:ascii="Times New Roman" w:hAnsi="Times New Roman"/>
          <w:sz w:val="24"/>
          <w:szCs w:val="24"/>
          <w:lang w:eastAsia="bg-BG"/>
        </w:rPr>
        <w:t>. Удостоверение от органите на Изпълнителна агенция „Главна инспекция по труда</w:t>
      </w:r>
      <w:proofErr w:type="gramStart"/>
      <w:r w:rsidR="00B22D61" w:rsidRPr="006D62BD">
        <w:rPr>
          <w:rFonts w:ascii="Times New Roman" w:hAnsi="Times New Roman"/>
          <w:sz w:val="24"/>
          <w:szCs w:val="24"/>
          <w:lang w:eastAsia="bg-BG"/>
        </w:rPr>
        <w:t>“ във</w:t>
      </w:r>
      <w:proofErr w:type="gramEnd"/>
      <w:r w:rsidR="00B22D61"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14:paraId="574C15F2" w14:textId="5B9A3E27"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4</w:t>
      </w:r>
      <w:r w:rsidR="00B22D61"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48AB0DCA"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5</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6BBB434E" w:rsidR="00B22D61" w:rsidRPr="006D62BD" w:rsidRDefault="00A078AE"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6</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2" w:history="1">
        <w:r w:rsidR="00B22D61"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6F9E578D"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7</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838E750"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D815DB">
        <w:rPr>
          <w:rFonts w:ascii="Times New Roman" w:hAnsi="Times New Roman"/>
          <w:sz w:val="24"/>
          <w:szCs w:val="24"/>
          <w:lang w:val="en-US" w:eastAsia="bg-BG"/>
        </w:rPr>
        <w:t>8</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66DD8273"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w:t>
      </w:r>
      <w:r w:rsidR="00D815DB">
        <w:rPr>
          <w:rFonts w:ascii="Times New Roman" w:hAnsi="Times New Roman"/>
          <w:sz w:val="24"/>
          <w:szCs w:val="24"/>
          <w:lang w:val="en-US" w:eastAsia="bg-BG"/>
        </w:rPr>
        <w:t>9</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6D4E4100" w:rsidR="00B22D61" w:rsidRPr="006D62BD" w:rsidRDefault="00D815DB"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lastRenderedPageBreak/>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4ABC0AA"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1</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56ACD940"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2</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8"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58C32833" w:rsidR="00B22D61" w:rsidRPr="006D62BD"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3</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 xml:space="preserve">приложимо).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19006176" w:rsidR="00B22D61" w:rsidRDefault="00A078AE"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D815DB">
        <w:rPr>
          <w:rFonts w:ascii="Times New Roman" w:hAnsi="Times New Roman"/>
          <w:sz w:val="24"/>
          <w:szCs w:val="24"/>
          <w:lang w:val="en-US" w:eastAsia="bg-BG"/>
        </w:rPr>
        <w:t>4</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435E9930" w:rsidR="00B22D61" w:rsidRPr="004D2F8F" w:rsidRDefault="00A078AE"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w:t>
      </w:r>
      <w:r w:rsidR="00D815DB">
        <w:rPr>
          <w:rStyle w:val="p"/>
          <w:rFonts w:ascii="Times New Roman" w:hAnsi="Times New Roman"/>
          <w:color w:val="000000"/>
          <w:sz w:val="24"/>
          <w:szCs w:val="24"/>
          <w:lang w:val="en-US"/>
        </w:rPr>
        <w:t>5</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9" w:anchor="чл83_ал3');" w:history="1">
        <w:r w:rsidR="00B22D61" w:rsidRPr="00CF75BB">
          <w:rPr>
            <w:rStyle w:val="Hyperlink"/>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20"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4BDFA671" w14:textId="4DA15C73" w:rsidR="00B22D61" w:rsidRPr="00CF75BB" w:rsidRDefault="00B22D61" w:rsidP="0086549F">
      <w:pPr>
        <w:jc w:val="both"/>
        <w:rPr>
          <w:rStyle w:val="p"/>
          <w:rFonts w:ascii="Times New Roman" w:hAnsi="Times New Roman"/>
          <w:color w:val="000000"/>
          <w:sz w:val="24"/>
          <w:szCs w:val="24"/>
        </w:rPr>
      </w:pPr>
      <w:r w:rsidRPr="00CF75BB">
        <w:rPr>
          <w:rStyle w:val="p"/>
          <w:rFonts w:ascii="Times New Roman" w:hAnsi="Times New Roman"/>
          <w:color w:val="000000"/>
          <w:sz w:val="24"/>
          <w:szCs w:val="24"/>
        </w:rPr>
        <w:t>3</w:t>
      </w:r>
      <w:r w:rsidR="00D815DB">
        <w:rPr>
          <w:rStyle w:val="p"/>
          <w:rFonts w:ascii="Times New Roman" w:hAnsi="Times New Roman"/>
          <w:color w:val="000000"/>
          <w:sz w:val="24"/>
          <w:szCs w:val="24"/>
          <w:lang w:val="en-US"/>
        </w:rPr>
        <w:t>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Pr="00CF75BB">
          <w:rPr>
            <w:rStyle w:val="Hyperlink"/>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2"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5E0115D7" w14:textId="4BB383CE" w:rsidR="00B22D61" w:rsidRPr="006D62BD" w:rsidRDefault="00A078AE" w:rsidP="006D62BD">
      <w:pPr>
        <w:spacing w:line="276" w:lineRule="auto"/>
        <w:jc w:val="both"/>
        <w:rPr>
          <w:rFonts w:ascii="Times New Roman" w:hAnsi="Times New Roman"/>
          <w:sz w:val="24"/>
          <w:szCs w:val="24"/>
          <w:lang w:eastAsia="bg-BG"/>
        </w:rPr>
      </w:pPr>
      <w:r>
        <w:rPr>
          <w:rFonts w:ascii="Times New Roman" w:hAnsi="Times New Roman"/>
          <w:sz w:val="24"/>
          <w:szCs w:val="24"/>
          <w:lang w:eastAsia="bg-BG"/>
        </w:rPr>
        <w:t>3</w:t>
      </w:r>
      <w:r w:rsidR="00D815DB">
        <w:rPr>
          <w:rFonts w:ascii="Times New Roman" w:hAnsi="Times New Roman"/>
          <w:sz w:val="24"/>
          <w:szCs w:val="24"/>
          <w:lang w:val="en-US" w:eastAsia="bg-BG"/>
        </w:rPr>
        <w:t>7</w:t>
      </w:r>
      <w:r w:rsidR="00B22D61">
        <w:rPr>
          <w:rFonts w:ascii="Times New Roman" w:hAnsi="Times New Roman"/>
          <w:sz w:val="24"/>
          <w:szCs w:val="24"/>
          <w:lang w:eastAsia="bg-BG"/>
        </w:rPr>
        <w:t xml:space="preserve">. </w:t>
      </w:r>
      <w:r w:rsidR="00BF5B49" w:rsidRPr="00BF5B49">
        <w:rPr>
          <w:rFonts w:ascii="Times New Roman" w:hAnsi="Times New Roman"/>
          <w:sz w:val="24"/>
          <w:szCs w:val="24"/>
          <w:lang w:eastAsia="bg-BG"/>
        </w:rPr>
        <w:t>Сертификат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bookmarkStart w:id="1" w:name="_GoBack"/>
      <w:bookmarkEnd w:id="1"/>
    </w:p>
    <w:p w14:paraId="15A62200" w14:textId="77777777" w:rsidR="00B22D61" w:rsidRDefault="00B22D61" w:rsidP="002A63AF">
      <w:pPr>
        <w:jc w:val="both"/>
        <w:rPr>
          <w:rStyle w:val="p"/>
          <w:rFonts w:ascii="Times New Roman" w:hAnsi="Times New Roman"/>
          <w:color w:val="000000"/>
          <w:sz w:val="24"/>
          <w:szCs w:val="24"/>
        </w:rPr>
      </w:pPr>
    </w:p>
    <w:p w14:paraId="2173138C" w14:textId="249080B4"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0E6BDA98"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C26A4B">
        <w:rPr>
          <w:rFonts w:ascii="Times New Roman" w:hAnsi="Times New Roman"/>
          <w:sz w:val="24"/>
          <w:szCs w:val="24"/>
          <w:lang w:eastAsia="bg-BG"/>
        </w:rPr>
        <w:t xml:space="preserve">подаване на искането за плащане до </w:t>
      </w:r>
      <w:r w:rsidR="00C26A4B"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5AADB203"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C26A4B">
        <w:rPr>
          <w:rFonts w:ascii="Times New Roman" w:hAnsi="Times New Roman"/>
          <w:sz w:val="24"/>
          <w:szCs w:val="24"/>
          <w:lang w:eastAsia="bg-BG"/>
        </w:rPr>
        <w:t xml:space="preserve">подаване на искането за плащане до </w:t>
      </w:r>
      <w:r w:rsidR="00C26A4B"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sectPr w:rsidR="00B22D61" w:rsidRPr="00BA1386" w:rsidSect="009047A5">
      <w:headerReference w:type="even" r:id="rId23"/>
      <w:headerReference w:type="default" r:id="rId24"/>
      <w:footerReference w:type="even" r:id="rId25"/>
      <w:footerReference w:type="default" r:id="rId26"/>
      <w:headerReference w:type="first" r:id="rId27"/>
      <w:footerReference w:type="first" r:id="rId28"/>
      <w:pgSz w:w="11906" w:h="16838"/>
      <w:pgMar w:top="1110"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F82CA" w14:textId="77777777" w:rsidR="009F31B8" w:rsidRDefault="009F31B8" w:rsidP="001D059F">
      <w:pPr>
        <w:spacing w:after="0" w:line="240" w:lineRule="auto"/>
      </w:pPr>
      <w:r>
        <w:separator/>
      </w:r>
    </w:p>
  </w:endnote>
  <w:endnote w:type="continuationSeparator" w:id="0">
    <w:p w14:paraId="5C2EDAD1" w14:textId="77777777" w:rsidR="009F31B8" w:rsidRDefault="009F31B8"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BCB25" w14:textId="77777777" w:rsidR="00BF5B49" w:rsidRDefault="00BF5B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3E9D2" w14:textId="77777777" w:rsidR="00BF5B49" w:rsidRDefault="00BF5B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0E377" w14:textId="77777777" w:rsidR="00BF5B49" w:rsidRDefault="00BF5B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DF92A" w14:textId="77777777" w:rsidR="009F31B8" w:rsidRDefault="009F31B8" w:rsidP="001D059F">
      <w:pPr>
        <w:spacing w:after="0" w:line="240" w:lineRule="auto"/>
      </w:pPr>
      <w:r>
        <w:separator/>
      </w:r>
    </w:p>
  </w:footnote>
  <w:footnote w:type="continuationSeparator" w:id="0">
    <w:p w14:paraId="67B94379" w14:textId="77777777" w:rsidR="009F31B8" w:rsidRDefault="009F31B8"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CC948" w14:textId="0A1DCE42" w:rsidR="00BF5B49" w:rsidRDefault="00BF5B49">
    <w:pPr>
      <w:pStyle w:val="Header"/>
    </w:pPr>
    <w:r>
      <w:rPr>
        <w:noProof/>
      </w:rPr>
      <w:pict w14:anchorId="7CC0C3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40704" o:spid="_x0000_s2050" type="#_x0000_t136" style="position:absolute;margin-left:0;margin-top:0;width:466.25pt;height:233.1pt;rotation:315;z-index:-2;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29F5E" w14:textId="1B7DADC2" w:rsidR="00BF5B49" w:rsidRDefault="00BF5B49">
    <w:pPr>
      <w:pStyle w:val="Header"/>
    </w:pPr>
    <w:r>
      <w:rPr>
        <w:noProof/>
      </w:rPr>
      <w:pict w14:anchorId="73EE63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40705" o:spid="_x0000_s2051" type="#_x0000_t136" style="position:absolute;margin-left:0;margin-top:0;width:466.25pt;height:233.1pt;rotation:315;z-index:-1;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43840" w14:textId="0D54D44D" w:rsidR="00BF5B49" w:rsidRDefault="00BF5B49">
    <w:pPr>
      <w:pStyle w:val="Header"/>
    </w:pPr>
    <w:r>
      <w:rPr>
        <w:noProof/>
      </w:rPr>
      <w:pict w14:anchorId="4B3D64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40703" o:spid="_x0000_s2049" type="#_x0000_t136" style="position:absolute;margin-left:0;margin-top:0;width:466.25pt;height:233.1pt;rotation:315;z-index:-3;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115CF7"/>
    <w:rsid w:val="00164157"/>
    <w:rsid w:val="001D059F"/>
    <w:rsid w:val="001E6972"/>
    <w:rsid w:val="00200FE9"/>
    <w:rsid w:val="00201DC8"/>
    <w:rsid w:val="0022101D"/>
    <w:rsid w:val="002602D8"/>
    <w:rsid w:val="002A63AF"/>
    <w:rsid w:val="002C5741"/>
    <w:rsid w:val="002C75E1"/>
    <w:rsid w:val="00307D99"/>
    <w:rsid w:val="00317BE1"/>
    <w:rsid w:val="0038189D"/>
    <w:rsid w:val="003A44B0"/>
    <w:rsid w:val="00417E77"/>
    <w:rsid w:val="004328A7"/>
    <w:rsid w:val="00450B07"/>
    <w:rsid w:val="0047494C"/>
    <w:rsid w:val="00484448"/>
    <w:rsid w:val="00497464"/>
    <w:rsid w:val="004A4DCB"/>
    <w:rsid w:val="004B63AB"/>
    <w:rsid w:val="004C7649"/>
    <w:rsid w:val="004D2F8F"/>
    <w:rsid w:val="004E5025"/>
    <w:rsid w:val="00534FD1"/>
    <w:rsid w:val="00544E8C"/>
    <w:rsid w:val="005846A9"/>
    <w:rsid w:val="005C5C17"/>
    <w:rsid w:val="00671D7C"/>
    <w:rsid w:val="00676225"/>
    <w:rsid w:val="00680CE3"/>
    <w:rsid w:val="006B6267"/>
    <w:rsid w:val="006B6452"/>
    <w:rsid w:val="006D62BD"/>
    <w:rsid w:val="0075032A"/>
    <w:rsid w:val="0076340B"/>
    <w:rsid w:val="00796281"/>
    <w:rsid w:val="007D7E5B"/>
    <w:rsid w:val="0086549F"/>
    <w:rsid w:val="00865D7E"/>
    <w:rsid w:val="008F0171"/>
    <w:rsid w:val="009047A5"/>
    <w:rsid w:val="0097468F"/>
    <w:rsid w:val="009E6794"/>
    <w:rsid w:val="009F31B8"/>
    <w:rsid w:val="00A078AE"/>
    <w:rsid w:val="00AB219C"/>
    <w:rsid w:val="00AC1AB4"/>
    <w:rsid w:val="00AD73D6"/>
    <w:rsid w:val="00AF4DFF"/>
    <w:rsid w:val="00B00183"/>
    <w:rsid w:val="00B22D61"/>
    <w:rsid w:val="00B90233"/>
    <w:rsid w:val="00BA1386"/>
    <w:rsid w:val="00BE226F"/>
    <w:rsid w:val="00BF5015"/>
    <w:rsid w:val="00BF5B49"/>
    <w:rsid w:val="00C02647"/>
    <w:rsid w:val="00C105BF"/>
    <w:rsid w:val="00C26A4B"/>
    <w:rsid w:val="00C93EDE"/>
    <w:rsid w:val="00CC6D6C"/>
    <w:rsid w:val="00CF75BB"/>
    <w:rsid w:val="00D40950"/>
    <w:rsid w:val="00D40F63"/>
    <w:rsid w:val="00D546E6"/>
    <w:rsid w:val="00D815DB"/>
    <w:rsid w:val="00D87ECA"/>
    <w:rsid w:val="00D90678"/>
    <w:rsid w:val="00DF27DC"/>
    <w:rsid w:val="00E13B40"/>
    <w:rsid w:val="00E22126"/>
    <w:rsid w:val="00E52232"/>
    <w:rsid w:val="00F1277A"/>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18</cp:revision>
  <cp:lastPrinted>2018-03-08T16:13:00Z</cp:lastPrinted>
  <dcterms:created xsi:type="dcterms:W3CDTF">2018-02-05T14:25:00Z</dcterms:created>
  <dcterms:modified xsi:type="dcterms:W3CDTF">2021-04-02T11:50:00Z</dcterms:modified>
</cp:coreProperties>
</file>