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E33B1" w14:textId="77777777" w:rsidR="00690865" w:rsidRPr="001C2889" w:rsidRDefault="00690865" w:rsidP="00690865">
      <w:pPr>
        <w:spacing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1C2889">
        <w:rPr>
          <w:rFonts w:ascii="Verdana" w:hAnsi="Verdana"/>
          <w:noProof/>
          <w:sz w:val="20"/>
          <w:lang w:eastAsia="en-US"/>
        </w:rPr>
        <w:drawing>
          <wp:anchor distT="0" distB="0" distL="114300" distR="114300" simplePos="0" relativeHeight="251658752" behindDoc="1" locked="0" layoutInCell="1" allowOverlap="1" wp14:anchorId="1CEDA91A" wp14:editId="647D0F87">
            <wp:simplePos x="0" y="0"/>
            <wp:positionH relativeFrom="column">
              <wp:posOffset>2324917</wp:posOffset>
            </wp:positionH>
            <wp:positionV relativeFrom="paragraph">
              <wp:posOffset>-323945</wp:posOffset>
            </wp:positionV>
            <wp:extent cx="1195432" cy="1187355"/>
            <wp:effectExtent l="0" t="0" r="5080" b="0"/>
            <wp:wrapNone/>
            <wp:docPr id="3" name="Picture 3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432" cy="118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1B42F" w14:textId="77777777" w:rsidR="00690865" w:rsidRPr="001C2889" w:rsidRDefault="00690865" w:rsidP="00690865">
      <w:pPr>
        <w:spacing w:line="360" w:lineRule="auto"/>
        <w:ind w:firstLine="720"/>
        <w:jc w:val="both"/>
        <w:rPr>
          <w:rFonts w:ascii="Verdana" w:hAnsi="Verdana"/>
          <w:sz w:val="20"/>
          <w:lang w:val="bg-BG"/>
        </w:rPr>
      </w:pPr>
    </w:p>
    <w:p w14:paraId="512A79B1" w14:textId="77777777" w:rsidR="00690865" w:rsidRPr="001C2889" w:rsidRDefault="00690865" w:rsidP="00690865">
      <w:pPr>
        <w:spacing w:line="360" w:lineRule="auto"/>
        <w:ind w:firstLine="720"/>
        <w:jc w:val="both"/>
        <w:rPr>
          <w:rFonts w:ascii="Verdana" w:hAnsi="Verdana"/>
          <w:sz w:val="20"/>
          <w:lang w:val="bg-BG"/>
        </w:rPr>
      </w:pPr>
    </w:p>
    <w:p w14:paraId="658B6207" w14:textId="77777777" w:rsidR="00690865" w:rsidRPr="001C2889" w:rsidRDefault="00690865" w:rsidP="00690865">
      <w:pPr>
        <w:spacing w:line="360" w:lineRule="auto"/>
        <w:rPr>
          <w:rFonts w:ascii="Verdana" w:hAnsi="Verdana"/>
          <w:sz w:val="20"/>
          <w:lang w:val="bg-BG"/>
        </w:rPr>
      </w:pPr>
    </w:p>
    <w:p w14:paraId="2F3C8182" w14:textId="77777777" w:rsidR="00690865" w:rsidRPr="001C2889" w:rsidRDefault="00690865" w:rsidP="00690865">
      <w:pPr>
        <w:pStyle w:val="Heading1"/>
        <w:ind w:firstLine="0"/>
        <w:jc w:val="center"/>
        <w:rPr>
          <w:rFonts w:ascii="Verdana" w:hAnsi="Verdana"/>
          <w:spacing w:val="40"/>
          <w:sz w:val="26"/>
          <w:szCs w:val="26"/>
        </w:rPr>
      </w:pPr>
      <w:r w:rsidRPr="001C2889">
        <w:rPr>
          <w:rFonts w:ascii="Verdana" w:hAnsi="Verdana"/>
          <w:spacing w:val="40"/>
          <w:sz w:val="26"/>
          <w:szCs w:val="26"/>
        </w:rPr>
        <w:t>РЕПУБЛИКА БЪЛГАРИЯ</w:t>
      </w:r>
    </w:p>
    <w:p w14:paraId="3F411F55" w14:textId="77777777" w:rsidR="00690865" w:rsidRPr="001C2889" w:rsidRDefault="00690865" w:rsidP="00690865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b/>
          <w:sz w:val="26"/>
          <w:szCs w:val="26"/>
          <w:lang w:val="bg-BG"/>
        </w:rPr>
      </w:pPr>
      <w:r w:rsidRPr="001C2889">
        <w:rPr>
          <w:rFonts w:ascii="Verdana" w:hAnsi="Verdana"/>
          <w:b/>
          <w:spacing w:val="40"/>
          <w:sz w:val="26"/>
          <w:szCs w:val="26"/>
          <w:lang w:val="bg-BG"/>
        </w:rPr>
        <w:t>Министър на земеделието, храните и горите</w:t>
      </w:r>
    </w:p>
    <w:p w14:paraId="405BE82E" w14:textId="77777777" w:rsidR="00690865" w:rsidRPr="001C2889" w:rsidRDefault="00690865" w:rsidP="009763FB">
      <w:pPr>
        <w:spacing w:line="360" w:lineRule="auto"/>
        <w:jc w:val="both"/>
        <w:outlineLvl w:val="0"/>
        <w:rPr>
          <w:rFonts w:ascii="Verdana" w:hAnsi="Verdana"/>
          <w:b/>
          <w:sz w:val="20"/>
          <w:lang w:val="bg-BG"/>
        </w:rPr>
      </w:pPr>
    </w:p>
    <w:p w14:paraId="20E7008F" w14:textId="77777777" w:rsidR="00690865" w:rsidRPr="001C2889" w:rsidRDefault="00690865" w:rsidP="009763FB">
      <w:pPr>
        <w:spacing w:line="360" w:lineRule="auto"/>
        <w:jc w:val="both"/>
        <w:outlineLvl w:val="0"/>
        <w:rPr>
          <w:rFonts w:ascii="Verdana" w:hAnsi="Verdana"/>
          <w:b/>
          <w:sz w:val="20"/>
          <w:lang w:val="bg-BG"/>
        </w:rPr>
      </w:pPr>
    </w:p>
    <w:p w14:paraId="160D60D4" w14:textId="77777777" w:rsidR="001C2889" w:rsidRDefault="001C2889" w:rsidP="009763FB">
      <w:pPr>
        <w:spacing w:line="360" w:lineRule="auto"/>
        <w:jc w:val="both"/>
        <w:outlineLvl w:val="0"/>
        <w:rPr>
          <w:rFonts w:ascii="Verdana" w:hAnsi="Verdana"/>
          <w:b/>
          <w:sz w:val="20"/>
          <w:lang w:val="bg-BG"/>
        </w:rPr>
      </w:pPr>
    </w:p>
    <w:p w14:paraId="6940B353" w14:textId="54DF5003" w:rsidR="00690865" w:rsidRPr="001C2889" w:rsidRDefault="00690865" w:rsidP="009763FB">
      <w:pPr>
        <w:spacing w:line="360" w:lineRule="auto"/>
        <w:jc w:val="both"/>
        <w:outlineLvl w:val="0"/>
        <w:rPr>
          <w:rFonts w:ascii="Verdana" w:hAnsi="Verdana"/>
          <w:b/>
          <w:sz w:val="20"/>
          <w:lang w:val="bg-BG"/>
        </w:rPr>
      </w:pPr>
      <w:r w:rsidRPr="001C2889">
        <w:rPr>
          <w:rFonts w:ascii="Verdana" w:hAnsi="Verdana"/>
          <w:b/>
          <w:sz w:val="20"/>
          <w:lang w:val="bg-BG"/>
        </w:rPr>
        <w:t>ДО</w:t>
      </w:r>
    </w:p>
    <w:p w14:paraId="722C7421" w14:textId="77777777" w:rsidR="00690865" w:rsidRPr="001C2889" w:rsidRDefault="00690865" w:rsidP="009763FB">
      <w:pPr>
        <w:spacing w:line="360" w:lineRule="auto"/>
        <w:jc w:val="both"/>
        <w:outlineLvl w:val="0"/>
        <w:rPr>
          <w:rFonts w:ascii="Verdana" w:hAnsi="Verdana"/>
          <w:b/>
          <w:sz w:val="20"/>
          <w:lang w:val="bg-BG"/>
        </w:rPr>
      </w:pPr>
      <w:r w:rsidRPr="001C2889">
        <w:rPr>
          <w:rFonts w:ascii="Verdana" w:hAnsi="Verdana"/>
          <w:b/>
          <w:sz w:val="20"/>
          <w:lang w:val="bg-BG"/>
        </w:rPr>
        <w:t>МИНИСТЕРСКИЯ СЪВЕТ</w:t>
      </w:r>
    </w:p>
    <w:p w14:paraId="2E70154B" w14:textId="77777777" w:rsidR="00690865" w:rsidRPr="001C2889" w:rsidRDefault="00690865" w:rsidP="009763FB">
      <w:pPr>
        <w:spacing w:line="360" w:lineRule="auto"/>
        <w:jc w:val="both"/>
        <w:outlineLvl w:val="0"/>
        <w:rPr>
          <w:rFonts w:ascii="Verdana" w:hAnsi="Verdana"/>
          <w:b/>
          <w:sz w:val="20"/>
          <w:lang w:val="bg-BG"/>
        </w:rPr>
      </w:pPr>
      <w:r w:rsidRPr="001C2889">
        <w:rPr>
          <w:rFonts w:ascii="Verdana" w:hAnsi="Verdana"/>
          <w:b/>
          <w:sz w:val="20"/>
          <w:lang w:val="bg-BG"/>
        </w:rPr>
        <w:t>НА РЕПУБЛИКА БЪЛГАРИЯ</w:t>
      </w:r>
    </w:p>
    <w:p w14:paraId="24745697" w14:textId="5174D13A" w:rsidR="002B61D4" w:rsidRPr="001C2889" w:rsidRDefault="002B61D4" w:rsidP="009763FB">
      <w:pPr>
        <w:spacing w:line="360" w:lineRule="auto"/>
        <w:jc w:val="both"/>
        <w:outlineLvl w:val="0"/>
        <w:rPr>
          <w:rFonts w:ascii="Verdana" w:hAnsi="Verdana"/>
          <w:b/>
          <w:sz w:val="20"/>
          <w:lang w:val="bg-BG"/>
        </w:rPr>
      </w:pPr>
    </w:p>
    <w:p w14:paraId="146B93BF" w14:textId="0C197251" w:rsidR="0011528F" w:rsidRPr="001C2889" w:rsidRDefault="0011528F" w:rsidP="009763FB">
      <w:pPr>
        <w:spacing w:line="360" w:lineRule="auto"/>
        <w:jc w:val="both"/>
        <w:outlineLvl w:val="0"/>
        <w:rPr>
          <w:rFonts w:ascii="Verdana" w:hAnsi="Verdana"/>
          <w:b/>
          <w:sz w:val="20"/>
          <w:lang w:val="bg-BG"/>
        </w:rPr>
      </w:pPr>
    </w:p>
    <w:p w14:paraId="474354D5" w14:textId="77777777" w:rsidR="009763FB" w:rsidRPr="001C2889" w:rsidRDefault="009763FB" w:rsidP="009763FB">
      <w:pPr>
        <w:spacing w:line="360" w:lineRule="auto"/>
        <w:jc w:val="both"/>
        <w:outlineLvl w:val="0"/>
        <w:rPr>
          <w:rFonts w:ascii="Verdana" w:hAnsi="Verdana"/>
          <w:b/>
          <w:sz w:val="20"/>
          <w:lang w:val="bg-BG"/>
        </w:rPr>
      </w:pPr>
    </w:p>
    <w:p w14:paraId="7A514E7D" w14:textId="77777777" w:rsidR="00690865" w:rsidRPr="001C2889" w:rsidRDefault="00690865" w:rsidP="009763FB">
      <w:pPr>
        <w:spacing w:line="360" w:lineRule="auto"/>
        <w:jc w:val="center"/>
        <w:outlineLvl w:val="0"/>
        <w:rPr>
          <w:rFonts w:ascii="Verdana" w:hAnsi="Verdana"/>
          <w:b/>
          <w:spacing w:val="44"/>
          <w:sz w:val="28"/>
          <w:szCs w:val="28"/>
          <w:lang w:val="bg-BG"/>
        </w:rPr>
      </w:pPr>
      <w:r w:rsidRPr="001C2889">
        <w:rPr>
          <w:rFonts w:ascii="Verdana" w:hAnsi="Verdana"/>
          <w:b/>
          <w:spacing w:val="44"/>
          <w:sz w:val="28"/>
          <w:szCs w:val="28"/>
          <w:lang w:val="bg-BG"/>
        </w:rPr>
        <w:t>ДОКЛАД</w:t>
      </w:r>
    </w:p>
    <w:p w14:paraId="1C3D11C4" w14:textId="77777777" w:rsidR="00690865" w:rsidRPr="001C2889" w:rsidRDefault="00690865" w:rsidP="009763FB">
      <w:pPr>
        <w:widowControl w:val="0"/>
        <w:autoSpaceDE w:val="0"/>
        <w:spacing w:line="360" w:lineRule="auto"/>
        <w:jc w:val="center"/>
        <w:rPr>
          <w:rFonts w:ascii="Verdana" w:hAnsi="Verdana"/>
          <w:b/>
          <w:smallCaps/>
          <w:sz w:val="20"/>
          <w:lang w:val="bg-BG" w:eastAsia="bg-BG"/>
        </w:rPr>
      </w:pPr>
      <w:r w:rsidRPr="001C2889">
        <w:rPr>
          <w:rFonts w:ascii="Verdana" w:hAnsi="Verdana"/>
          <w:b/>
          <w:smallCaps/>
          <w:sz w:val="20"/>
          <w:lang w:val="bg-BG" w:eastAsia="bg-BG"/>
        </w:rPr>
        <w:t>от Десислава Танева – министър на земеделието, храните и горите</w:t>
      </w:r>
    </w:p>
    <w:p w14:paraId="4BF03F47" w14:textId="77777777" w:rsidR="003F6847" w:rsidRPr="001C2889" w:rsidRDefault="003F6847" w:rsidP="009763FB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</w:p>
    <w:p w14:paraId="6BA69F80" w14:textId="3EF99180" w:rsidR="00E11E34" w:rsidRDefault="00E11E34" w:rsidP="009763FB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</w:p>
    <w:p w14:paraId="074FB8CA" w14:textId="77777777" w:rsidR="001C2889" w:rsidRPr="001C2889" w:rsidRDefault="001C2889" w:rsidP="009763FB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</w:p>
    <w:p w14:paraId="1B64ABFB" w14:textId="77777777" w:rsidR="009763FB" w:rsidRPr="001C2889" w:rsidRDefault="009763FB" w:rsidP="009763FB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</w:p>
    <w:p w14:paraId="485EB6EA" w14:textId="2DAA9278" w:rsidR="0011528F" w:rsidRPr="001C2889" w:rsidRDefault="009F7300" w:rsidP="009763FB">
      <w:pPr>
        <w:widowControl w:val="0"/>
        <w:autoSpaceDE w:val="0"/>
        <w:autoSpaceDN w:val="0"/>
        <w:adjustRightInd w:val="0"/>
        <w:spacing w:line="360" w:lineRule="auto"/>
        <w:ind w:left="1276" w:hanging="1276"/>
        <w:jc w:val="both"/>
        <w:rPr>
          <w:rFonts w:ascii="Verdana" w:hAnsi="Verdana"/>
          <w:strike/>
          <w:sz w:val="20"/>
          <w:lang w:val="bg-BG"/>
        </w:rPr>
      </w:pPr>
      <w:r w:rsidRPr="001C2889">
        <w:rPr>
          <w:rFonts w:ascii="Verdana" w:hAnsi="Verdana"/>
          <w:b/>
          <w:bCs/>
          <w:sz w:val="20"/>
          <w:lang w:val="bg-BG" w:eastAsia="bg-BG"/>
        </w:rPr>
        <w:t>Относно</w:t>
      </w:r>
      <w:r w:rsidRPr="001C2889">
        <w:rPr>
          <w:rFonts w:ascii="Verdana" w:hAnsi="Verdana"/>
          <w:b/>
          <w:sz w:val="20"/>
          <w:lang w:val="bg-BG" w:eastAsia="bg-BG"/>
        </w:rPr>
        <w:t>:</w:t>
      </w:r>
      <w:r w:rsidR="00E55725" w:rsidRPr="001C2889">
        <w:rPr>
          <w:rFonts w:ascii="Verdana" w:hAnsi="Verdana"/>
          <w:sz w:val="20"/>
          <w:lang w:val="bg-BG"/>
        </w:rPr>
        <w:t xml:space="preserve"> </w:t>
      </w:r>
      <w:r w:rsidR="00983AC3" w:rsidRPr="001C2889">
        <w:rPr>
          <w:rFonts w:ascii="Verdana" w:hAnsi="Verdana"/>
          <w:sz w:val="20"/>
          <w:lang w:val="bg-BG"/>
        </w:rPr>
        <w:t xml:space="preserve">Проект на </w:t>
      </w:r>
      <w:r w:rsidR="00ED4A76" w:rsidRPr="001C2889">
        <w:rPr>
          <w:rFonts w:ascii="Verdana" w:hAnsi="Verdana"/>
          <w:sz w:val="20"/>
          <w:lang w:val="bg-BG"/>
        </w:rPr>
        <w:t xml:space="preserve">Постановление на Министерския съвет за изменение и допълнение на Постановление № 44 на Министерския съвет от 2010 г.  за определяне на зоните във въздушното пространство на Република България, в които се ограничава въздухоплаването </w:t>
      </w:r>
      <w:r w:rsidR="00604DBD" w:rsidRPr="001C2889">
        <w:rPr>
          <w:rFonts w:ascii="Verdana" w:hAnsi="Verdana"/>
          <w:sz w:val="20"/>
          <w:lang w:val="bg-BG"/>
        </w:rPr>
        <w:t>(</w:t>
      </w:r>
      <w:r w:rsidR="00CC260F" w:rsidRPr="001C2889">
        <w:rPr>
          <w:rFonts w:ascii="Verdana" w:hAnsi="Verdana"/>
          <w:sz w:val="20"/>
          <w:lang w:val="bg-BG"/>
        </w:rPr>
        <w:t>обн., ДВ, бр. 25 от 2010 г.; изм., бр. 32 от 2011 г., бр. 80 от 2012 г. и бр. 25 от 2018 г</w:t>
      </w:r>
      <w:r w:rsidR="00690865" w:rsidRPr="001C2889">
        <w:rPr>
          <w:rFonts w:ascii="Verdana" w:hAnsi="Verdana"/>
          <w:sz w:val="20"/>
          <w:lang w:val="bg-BG"/>
        </w:rPr>
        <w:t>.</w:t>
      </w:r>
      <w:r w:rsidR="00604DBD" w:rsidRPr="001C2889">
        <w:rPr>
          <w:rFonts w:ascii="Verdana" w:hAnsi="Verdana"/>
          <w:sz w:val="20"/>
          <w:lang w:val="bg-BG"/>
        </w:rPr>
        <w:t>)</w:t>
      </w:r>
    </w:p>
    <w:p w14:paraId="67ECC64D" w14:textId="3E8F3065" w:rsidR="003161AC" w:rsidRPr="001C2889" w:rsidRDefault="003161AC" w:rsidP="009763FB">
      <w:pPr>
        <w:spacing w:line="360" w:lineRule="auto"/>
        <w:ind w:firstLine="709"/>
        <w:outlineLvl w:val="0"/>
        <w:rPr>
          <w:rFonts w:ascii="Verdana" w:hAnsi="Verdana"/>
          <w:b/>
          <w:sz w:val="20"/>
          <w:lang w:val="bg-BG"/>
        </w:rPr>
      </w:pPr>
    </w:p>
    <w:p w14:paraId="1640615E" w14:textId="77777777" w:rsidR="009763FB" w:rsidRPr="001C2889" w:rsidRDefault="009763FB" w:rsidP="009763FB">
      <w:pPr>
        <w:spacing w:line="360" w:lineRule="auto"/>
        <w:ind w:firstLine="709"/>
        <w:outlineLvl w:val="0"/>
        <w:rPr>
          <w:rFonts w:ascii="Verdana" w:hAnsi="Verdana"/>
          <w:b/>
          <w:sz w:val="20"/>
          <w:lang w:val="bg-BG"/>
        </w:rPr>
      </w:pPr>
    </w:p>
    <w:p w14:paraId="5B7D294F" w14:textId="77777777" w:rsidR="00E11E34" w:rsidRPr="001C2889" w:rsidRDefault="00E11E34" w:rsidP="009763FB">
      <w:pPr>
        <w:spacing w:line="360" w:lineRule="auto"/>
        <w:ind w:firstLine="709"/>
        <w:outlineLvl w:val="0"/>
        <w:rPr>
          <w:rFonts w:ascii="Verdana" w:hAnsi="Verdana"/>
          <w:b/>
          <w:sz w:val="20"/>
          <w:lang w:val="bg-BG"/>
        </w:rPr>
      </w:pPr>
    </w:p>
    <w:p w14:paraId="601CB161" w14:textId="77777777" w:rsidR="001C2889" w:rsidRDefault="001C2889" w:rsidP="009763FB">
      <w:pPr>
        <w:spacing w:line="360" w:lineRule="auto"/>
        <w:outlineLvl w:val="0"/>
        <w:rPr>
          <w:rFonts w:ascii="Verdana" w:hAnsi="Verdana"/>
          <w:b/>
          <w:sz w:val="20"/>
          <w:lang w:val="bg-BG"/>
        </w:rPr>
      </w:pPr>
    </w:p>
    <w:p w14:paraId="01806DFD" w14:textId="61143AB2" w:rsidR="0086070B" w:rsidRPr="001C2889" w:rsidRDefault="0086070B" w:rsidP="009763FB">
      <w:pPr>
        <w:spacing w:line="360" w:lineRule="auto"/>
        <w:outlineLvl w:val="0"/>
        <w:rPr>
          <w:rFonts w:ascii="Verdana" w:hAnsi="Verdana"/>
          <w:b/>
          <w:sz w:val="20"/>
          <w:lang w:val="bg-BG"/>
        </w:rPr>
      </w:pPr>
      <w:r w:rsidRPr="001C2889">
        <w:rPr>
          <w:rFonts w:ascii="Verdana" w:hAnsi="Verdana"/>
          <w:b/>
          <w:sz w:val="20"/>
          <w:lang w:val="bg-BG"/>
        </w:rPr>
        <w:t>УВАЖАЕМИ ГОСПОДИН МИНИСТЪР-ПРЕДСЕДАТЕЛ,</w:t>
      </w:r>
    </w:p>
    <w:p w14:paraId="3708399C" w14:textId="77777777" w:rsidR="0086070B" w:rsidRPr="001C2889" w:rsidRDefault="0086070B" w:rsidP="009763FB">
      <w:pPr>
        <w:spacing w:after="120" w:line="360" w:lineRule="auto"/>
        <w:outlineLvl w:val="0"/>
        <w:rPr>
          <w:rFonts w:ascii="Verdana" w:hAnsi="Verdana"/>
          <w:b/>
          <w:sz w:val="20"/>
          <w:lang w:val="bg-BG"/>
        </w:rPr>
      </w:pPr>
      <w:r w:rsidRPr="001C2889">
        <w:rPr>
          <w:rFonts w:ascii="Verdana" w:hAnsi="Verdana"/>
          <w:b/>
          <w:sz w:val="20"/>
          <w:lang w:val="bg-BG"/>
        </w:rPr>
        <w:t>УВАЖАЕМИ ГОСПОЖИ И ГОСПОДА МИНИСТРИ,</w:t>
      </w:r>
    </w:p>
    <w:p w14:paraId="26E400AA" w14:textId="153C94F3" w:rsidR="00210E2E" w:rsidRPr="001C2889" w:rsidRDefault="009B247C" w:rsidP="009763FB">
      <w:pPr>
        <w:widowControl w:val="0"/>
        <w:autoSpaceDE w:val="0"/>
        <w:autoSpaceDN w:val="0"/>
        <w:adjustRightInd w:val="0"/>
        <w:spacing w:after="60"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1C2889">
        <w:rPr>
          <w:rFonts w:ascii="Verdana" w:hAnsi="Verdana"/>
          <w:sz w:val="20"/>
          <w:lang w:val="bg-BG"/>
        </w:rPr>
        <w:t>На основание чл.</w:t>
      </w:r>
      <w:r w:rsidR="001F4EF1" w:rsidRPr="001C2889">
        <w:rPr>
          <w:rFonts w:ascii="Verdana" w:hAnsi="Verdana"/>
          <w:sz w:val="20"/>
          <w:lang w:val="bg-BG"/>
        </w:rPr>
        <w:t xml:space="preserve"> </w:t>
      </w:r>
      <w:r w:rsidR="00507ABF" w:rsidRPr="001C2889">
        <w:rPr>
          <w:rFonts w:ascii="Verdana" w:hAnsi="Verdana"/>
          <w:sz w:val="20"/>
          <w:lang w:val="bg-BG"/>
        </w:rPr>
        <w:t>31</w:t>
      </w:r>
      <w:r w:rsidRPr="001C2889">
        <w:rPr>
          <w:rFonts w:ascii="Verdana" w:hAnsi="Verdana"/>
          <w:sz w:val="20"/>
          <w:lang w:val="bg-BG"/>
        </w:rPr>
        <w:t>, ал.</w:t>
      </w:r>
      <w:r w:rsidR="001F4EF1" w:rsidRPr="001C2889">
        <w:rPr>
          <w:rFonts w:ascii="Verdana" w:hAnsi="Verdana"/>
          <w:sz w:val="20"/>
          <w:lang w:val="bg-BG"/>
        </w:rPr>
        <w:t xml:space="preserve"> </w:t>
      </w:r>
      <w:r w:rsidR="0044228D" w:rsidRPr="001C2889">
        <w:rPr>
          <w:rFonts w:ascii="Verdana" w:hAnsi="Verdana"/>
          <w:sz w:val="20"/>
          <w:lang w:val="bg-BG"/>
        </w:rPr>
        <w:t xml:space="preserve">2 </w:t>
      </w:r>
      <w:r w:rsidRPr="001C2889">
        <w:rPr>
          <w:rFonts w:ascii="Verdana" w:hAnsi="Verdana"/>
          <w:sz w:val="20"/>
          <w:lang w:val="bg-BG"/>
        </w:rPr>
        <w:t>от Устройствения правилник на Министерския съвет и на неговата администрация</w:t>
      </w:r>
      <w:r w:rsidR="00741F4D" w:rsidRPr="001C2889">
        <w:rPr>
          <w:rFonts w:ascii="Verdana" w:hAnsi="Verdana"/>
          <w:sz w:val="20"/>
          <w:lang w:val="bg-BG"/>
        </w:rPr>
        <w:t>,</w:t>
      </w:r>
      <w:r w:rsidRPr="001C2889">
        <w:rPr>
          <w:rFonts w:ascii="Verdana" w:hAnsi="Verdana"/>
          <w:sz w:val="20"/>
          <w:lang w:val="bg-BG"/>
        </w:rPr>
        <w:t xml:space="preserve"> </w:t>
      </w:r>
      <w:r w:rsidR="00741F4D" w:rsidRPr="001C2889">
        <w:rPr>
          <w:rFonts w:ascii="Verdana" w:hAnsi="Verdana"/>
          <w:sz w:val="20"/>
          <w:lang w:val="bg-BG"/>
        </w:rPr>
        <w:t xml:space="preserve">внасям за разглеждане от Министерския съвет </w:t>
      </w:r>
      <w:r w:rsidR="000E55F4" w:rsidRPr="001C2889">
        <w:rPr>
          <w:rFonts w:ascii="Verdana" w:hAnsi="Verdana"/>
          <w:sz w:val="20"/>
          <w:lang w:val="bg-BG"/>
        </w:rPr>
        <w:t xml:space="preserve">проект на Постановление на Министерския съвет за </w:t>
      </w:r>
      <w:r w:rsidR="00386720" w:rsidRPr="001C2889">
        <w:rPr>
          <w:rFonts w:ascii="Verdana" w:hAnsi="Verdana"/>
          <w:sz w:val="20"/>
          <w:lang w:val="bg-BG"/>
        </w:rPr>
        <w:t>изменение и допълнение на Постановление № 44 на Министерския съвет от 2010 г.  за определяне на зоните във въздушното пространство на Република България, в които се ограничава въздухоплаването</w:t>
      </w:r>
      <w:r w:rsidR="00386720" w:rsidRPr="001C2889">
        <w:t xml:space="preserve"> </w:t>
      </w:r>
      <w:r w:rsidR="00386720" w:rsidRPr="001C2889">
        <w:rPr>
          <w:lang w:val="bg-BG"/>
        </w:rPr>
        <w:t>(</w:t>
      </w:r>
      <w:r w:rsidR="00386720" w:rsidRPr="001C2889">
        <w:rPr>
          <w:rFonts w:ascii="Verdana" w:hAnsi="Verdana"/>
          <w:sz w:val="20"/>
          <w:lang w:val="bg-BG"/>
        </w:rPr>
        <w:t>ПМС № 44 от 2010 г.)</w:t>
      </w:r>
    </w:p>
    <w:p w14:paraId="4A43C68F" w14:textId="77777777" w:rsidR="0020355B" w:rsidRPr="001C2889" w:rsidRDefault="0020355B" w:rsidP="009763FB">
      <w:pPr>
        <w:widowControl w:val="0"/>
        <w:autoSpaceDE w:val="0"/>
        <w:autoSpaceDN w:val="0"/>
        <w:adjustRightInd w:val="0"/>
        <w:spacing w:after="60" w:line="360" w:lineRule="auto"/>
        <w:ind w:firstLine="720"/>
        <w:jc w:val="both"/>
        <w:rPr>
          <w:rFonts w:ascii="Verdana" w:hAnsi="Verdana"/>
          <w:sz w:val="20"/>
          <w:lang w:val="bg-BG"/>
        </w:rPr>
      </w:pPr>
    </w:p>
    <w:p w14:paraId="13FA2EA9" w14:textId="77777777" w:rsidR="00D605CA" w:rsidRPr="001C2889" w:rsidRDefault="00D605CA" w:rsidP="009763FB">
      <w:pPr>
        <w:shd w:val="clear" w:color="auto" w:fill="FFFFFF"/>
        <w:tabs>
          <w:tab w:val="left" w:pos="993"/>
        </w:tabs>
        <w:spacing w:after="60" w:line="360" w:lineRule="auto"/>
        <w:ind w:firstLine="720"/>
        <w:jc w:val="both"/>
        <w:rPr>
          <w:rFonts w:ascii="Verdana" w:hAnsi="Verdana"/>
          <w:b/>
          <w:sz w:val="20"/>
          <w:lang w:val="bg-BG"/>
        </w:rPr>
      </w:pPr>
      <w:r w:rsidRPr="001C2889">
        <w:rPr>
          <w:rFonts w:ascii="Verdana" w:hAnsi="Verdana"/>
          <w:b/>
          <w:sz w:val="20"/>
          <w:lang w:val="bg-BG"/>
        </w:rPr>
        <w:lastRenderedPageBreak/>
        <w:t xml:space="preserve">Причини, които налагат приемането на </w:t>
      </w:r>
      <w:r w:rsidR="00387DED" w:rsidRPr="001C2889">
        <w:rPr>
          <w:rFonts w:ascii="Verdana" w:hAnsi="Verdana"/>
          <w:b/>
          <w:sz w:val="20"/>
          <w:lang w:val="bg-BG"/>
        </w:rPr>
        <w:t>акта</w:t>
      </w:r>
    </w:p>
    <w:p w14:paraId="6042EF78" w14:textId="187AFE84" w:rsidR="008C03FD" w:rsidRPr="001C2889" w:rsidRDefault="00253DC3" w:rsidP="009763FB">
      <w:pPr>
        <w:spacing w:after="60"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1C2889">
        <w:rPr>
          <w:rFonts w:ascii="Verdana" w:hAnsi="Verdana"/>
          <w:sz w:val="20"/>
          <w:lang w:val="bg-BG"/>
        </w:rPr>
        <w:t xml:space="preserve">С </w:t>
      </w:r>
      <w:r w:rsidR="00386720" w:rsidRPr="001C2889">
        <w:rPr>
          <w:rFonts w:ascii="Verdana" w:hAnsi="Verdana"/>
          <w:sz w:val="20"/>
          <w:lang w:val="bg-BG"/>
        </w:rPr>
        <w:t xml:space="preserve">ПМС № 44 от 2010 г. </w:t>
      </w:r>
      <w:r w:rsidRPr="001C2889">
        <w:rPr>
          <w:rFonts w:ascii="Verdana" w:hAnsi="Verdana"/>
          <w:sz w:val="20"/>
          <w:lang w:val="bg-BG"/>
        </w:rPr>
        <w:t>са определени забранените, ограничени и опасни зони във въздушното пространство на Република България, в които се</w:t>
      </w:r>
      <w:r w:rsidR="00084AEA" w:rsidRPr="001C2889">
        <w:rPr>
          <w:rFonts w:ascii="Verdana" w:hAnsi="Verdana"/>
          <w:sz w:val="20"/>
          <w:lang w:val="bg-BG"/>
        </w:rPr>
        <w:t xml:space="preserve"> ограничава въздухоплаването. Освен разширяване на обхвата на градозащитата </w:t>
      </w:r>
      <w:r w:rsidR="003A67A8" w:rsidRPr="001C2889">
        <w:rPr>
          <w:rFonts w:ascii="Verdana" w:hAnsi="Verdana"/>
          <w:sz w:val="20"/>
          <w:lang w:val="bg-BG"/>
        </w:rPr>
        <w:t>с</w:t>
      </w:r>
      <w:r w:rsidRPr="001C2889">
        <w:rPr>
          <w:rFonts w:ascii="Verdana" w:hAnsi="Verdana"/>
          <w:sz w:val="20"/>
          <w:lang w:val="bg-BG"/>
        </w:rPr>
        <w:t xml:space="preserve">тратегията за развитие на </w:t>
      </w:r>
      <w:r w:rsidR="00084AEA" w:rsidRPr="001C2889">
        <w:rPr>
          <w:rFonts w:ascii="Verdana" w:hAnsi="Verdana"/>
          <w:sz w:val="20"/>
          <w:lang w:val="bg-BG"/>
        </w:rPr>
        <w:t xml:space="preserve">системата за </w:t>
      </w:r>
      <w:r w:rsidRPr="001C2889">
        <w:rPr>
          <w:rFonts w:ascii="Verdana" w:hAnsi="Verdana"/>
          <w:sz w:val="20"/>
          <w:lang w:val="bg-BG"/>
        </w:rPr>
        <w:t xml:space="preserve">защитата от градушки </w:t>
      </w:r>
      <w:r w:rsidR="00084AEA" w:rsidRPr="001C2889">
        <w:rPr>
          <w:rFonts w:ascii="Verdana" w:hAnsi="Verdana"/>
          <w:sz w:val="20"/>
          <w:lang w:val="bg-BG"/>
        </w:rPr>
        <w:t xml:space="preserve">в Република България </w:t>
      </w:r>
      <w:r w:rsidRPr="001C2889">
        <w:rPr>
          <w:rFonts w:ascii="Verdana" w:hAnsi="Verdana"/>
          <w:sz w:val="20"/>
          <w:lang w:val="bg-BG"/>
        </w:rPr>
        <w:t>предвижда</w:t>
      </w:r>
      <w:r w:rsidR="003A67A8" w:rsidRPr="001C2889">
        <w:rPr>
          <w:rFonts w:ascii="Verdana" w:hAnsi="Verdana"/>
          <w:sz w:val="20"/>
          <w:lang w:val="bg-BG"/>
        </w:rPr>
        <w:t xml:space="preserve"> и повишаване на ефективността ѝ.</w:t>
      </w:r>
      <w:r w:rsidR="001E7BF6" w:rsidRPr="001C2889">
        <w:rPr>
          <w:rFonts w:ascii="Verdana" w:hAnsi="Verdana"/>
          <w:sz w:val="20"/>
          <w:lang w:val="bg-BG"/>
        </w:rPr>
        <w:t xml:space="preserve"> В тази връзка </w:t>
      </w:r>
      <w:r w:rsidR="008C03FD" w:rsidRPr="001C2889">
        <w:rPr>
          <w:rFonts w:ascii="Verdana" w:hAnsi="Verdana"/>
          <w:sz w:val="20"/>
          <w:lang w:val="bg-BG"/>
        </w:rPr>
        <w:t>е необходимо да бъдат извършени изменения, свързани с местоположението на две ракетни площадки, попадащи в обхвата на Регионална дирекция „Борба с градушките“ гр. Грамада, област Видин. Измененията се налагат поради необходимостта от намаляване на забранените сектори за стрелба в посока към държавната граница и по този начин да бъде оптимизирана противоградовата защита в района. Тъй като всяка площадка представлява център на опасна зона във въздушното пространство, е необходимо в тези зони въздухоплаването да бъде ограничавано при определени условия. Всички действащи към момента площадки от системата на противоградовата защита са с точно определени географски координати, които са подробно описани в ПМС № 44</w:t>
      </w:r>
      <w:r w:rsidR="00690865" w:rsidRPr="001C2889">
        <w:rPr>
          <w:rFonts w:ascii="Verdana" w:hAnsi="Verdana"/>
          <w:sz w:val="20"/>
          <w:lang w:val="bg-BG"/>
        </w:rPr>
        <w:t xml:space="preserve"> от </w:t>
      </w:r>
      <w:r w:rsidR="008C03FD" w:rsidRPr="001C2889">
        <w:rPr>
          <w:rFonts w:ascii="Verdana" w:hAnsi="Verdana"/>
          <w:sz w:val="20"/>
          <w:lang w:val="bg-BG"/>
        </w:rPr>
        <w:t>2010</w:t>
      </w:r>
      <w:r w:rsidR="00690865" w:rsidRPr="001C2889">
        <w:rPr>
          <w:rFonts w:ascii="Verdana" w:hAnsi="Verdana"/>
          <w:sz w:val="20"/>
          <w:lang w:val="bg-BG"/>
        </w:rPr>
        <w:t xml:space="preserve"> г</w:t>
      </w:r>
      <w:r w:rsidR="006344BE" w:rsidRPr="001C2889">
        <w:rPr>
          <w:rFonts w:ascii="Verdana" w:hAnsi="Verdana"/>
          <w:sz w:val="20"/>
          <w:lang w:val="bg-BG"/>
        </w:rPr>
        <w:t>.</w:t>
      </w:r>
      <w:r w:rsidR="00386720" w:rsidRPr="001C2889">
        <w:rPr>
          <w:rFonts w:ascii="Verdana" w:hAnsi="Verdana"/>
          <w:sz w:val="20"/>
          <w:lang w:val="bg-BG"/>
        </w:rPr>
        <w:t xml:space="preserve"> Промените</w:t>
      </w:r>
      <w:r w:rsidR="008C03FD" w:rsidRPr="001C2889">
        <w:rPr>
          <w:rFonts w:ascii="Verdana" w:hAnsi="Verdana"/>
          <w:sz w:val="20"/>
          <w:lang w:val="bg-BG"/>
        </w:rPr>
        <w:t xml:space="preserve"> на </w:t>
      </w:r>
      <w:r w:rsidR="00386720" w:rsidRPr="001C2889">
        <w:rPr>
          <w:rFonts w:ascii="Verdana" w:hAnsi="Verdana"/>
          <w:sz w:val="20"/>
          <w:lang w:val="bg-BG"/>
        </w:rPr>
        <w:t>цитирания</w:t>
      </w:r>
      <w:r w:rsidR="008C03FD" w:rsidRPr="001C2889">
        <w:rPr>
          <w:rFonts w:ascii="Verdana" w:hAnsi="Verdana"/>
          <w:sz w:val="20"/>
          <w:lang w:val="bg-BG"/>
        </w:rPr>
        <w:t xml:space="preserve"> нормативен акт, свързани с двете ракетни площадки, </w:t>
      </w:r>
      <w:r w:rsidR="00386720" w:rsidRPr="001C2889">
        <w:rPr>
          <w:rFonts w:ascii="Verdana" w:hAnsi="Verdana"/>
          <w:sz w:val="20"/>
          <w:lang w:val="bg-BG"/>
        </w:rPr>
        <w:t>включват следното:</w:t>
      </w:r>
      <w:r w:rsidR="00386720" w:rsidRPr="001C2889">
        <w:rPr>
          <w:rFonts w:ascii="Verdana" w:hAnsi="Verdana"/>
          <w:sz w:val="20"/>
          <w:highlight w:val="yellow"/>
          <w:lang w:val="bg-BG"/>
        </w:rPr>
        <w:t xml:space="preserve"> </w:t>
      </w:r>
    </w:p>
    <w:p w14:paraId="02E9BB3E" w14:textId="3348A312" w:rsidR="008C03FD" w:rsidRPr="001C2889" w:rsidRDefault="008C03FD" w:rsidP="009763FB">
      <w:pPr>
        <w:spacing w:after="60"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1C2889">
        <w:rPr>
          <w:rFonts w:ascii="Verdana" w:hAnsi="Verdana"/>
          <w:sz w:val="20"/>
          <w:lang w:val="bg-BG"/>
        </w:rPr>
        <w:t>1. Ракетна площадка, представляваща център на зона D 1523 съгласно чл. 3, ал. 1 от ПМС № 44</w:t>
      </w:r>
      <w:r w:rsidR="00690865" w:rsidRPr="001C2889">
        <w:rPr>
          <w:rFonts w:ascii="Verdana" w:hAnsi="Verdana"/>
          <w:sz w:val="20"/>
          <w:lang w:val="bg-BG"/>
        </w:rPr>
        <w:t xml:space="preserve"> от </w:t>
      </w:r>
      <w:r w:rsidRPr="001C2889">
        <w:rPr>
          <w:rFonts w:ascii="Verdana" w:hAnsi="Verdana"/>
          <w:sz w:val="20"/>
          <w:lang w:val="bg-BG"/>
        </w:rPr>
        <w:t>2010</w:t>
      </w:r>
      <w:r w:rsidR="00690865" w:rsidRPr="001C2889">
        <w:rPr>
          <w:rFonts w:ascii="Verdana" w:hAnsi="Verdana"/>
          <w:sz w:val="20"/>
          <w:lang w:val="bg-BG"/>
        </w:rPr>
        <w:t xml:space="preserve"> г.</w:t>
      </w:r>
      <w:r w:rsidRPr="001C2889">
        <w:rPr>
          <w:rFonts w:ascii="Verdana" w:hAnsi="Verdana"/>
          <w:sz w:val="20"/>
          <w:lang w:val="bg-BG"/>
        </w:rPr>
        <w:t xml:space="preserve">, следва да бъде преместена на ново място, като съответно на ред </w:t>
      </w:r>
      <w:r w:rsidR="00386720" w:rsidRPr="001C2889">
        <w:rPr>
          <w:rFonts w:ascii="Verdana" w:hAnsi="Verdana"/>
          <w:sz w:val="20"/>
          <w:lang w:val="bg-BG"/>
        </w:rPr>
        <w:t>„</w:t>
      </w:r>
      <w:r w:rsidRPr="001C2889">
        <w:rPr>
          <w:rFonts w:ascii="Verdana" w:hAnsi="Verdana"/>
          <w:sz w:val="20"/>
          <w:lang w:val="bg-BG"/>
        </w:rPr>
        <w:t>D 1523</w:t>
      </w:r>
      <w:r w:rsidR="00386720" w:rsidRPr="001C2889">
        <w:rPr>
          <w:rFonts w:ascii="Verdana" w:hAnsi="Verdana"/>
          <w:sz w:val="20"/>
          <w:lang w:val="bg-BG"/>
        </w:rPr>
        <w:t>“</w:t>
      </w:r>
      <w:r w:rsidRPr="001C2889">
        <w:rPr>
          <w:rFonts w:ascii="Verdana" w:hAnsi="Verdana"/>
          <w:sz w:val="20"/>
          <w:lang w:val="bg-BG"/>
        </w:rPr>
        <w:t xml:space="preserve"> от таблицата към чл. 3, ал. 1 от ПМС № 44</w:t>
      </w:r>
      <w:r w:rsidR="00690865" w:rsidRPr="001C2889">
        <w:rPr>
          <w:rFonts w:ascii="Verdana" w:hAnsi="Verdana"/>
          <w:sz w:val="20"/>
          <w:lang w:val="bg-BG"/>
        </w:rPr>
        <w:t xml:space="preserve"> от </w:t>
      </w:r>
      <w:r w:rsidRPr="001C2889">
        <w:rPr>
          <w:rFonts w:ascii="Verdana" w:hAnsi="Verdana"/>
          <w:sz w:val="20"/>
          <w:lang w:val="bg-BG"/>
        </w:rPr>
        <w:t>2010</w:t>
      </w:r>
      <w:r w:rsidR="00690865" w:rsidRPr="001C2889">
        <w:rPr>
          <w:rFonts w:ascii="Verdana" w:hAnsi="Verdana"/>
          <w:sz w:val="20"/>
          <w:lang w:val="bg-BG"/>
        </w:rPr>
        <w:t xml:space="preserve"> г.</w:t>
      </w:r>
      <w:r w:rsidRPr="001C2889">
        <w:rPr>
          <w:rFonts w:ascii="Verdana" w:hAnsi="Verdana"/>
          <w:sz w:val="20"/>
          <w:lang w:val="bg-BG"/>
        </w:rPr>
        <w:t xml:space="preserve"> трябва да бъдат записани новите координати на площадката, а именно – 44°00’56”СШ 022°50’48”ИД.</w:t>
      </w:r>
    </w:p>
    <w:p w14:paraId="5BC0FB89" w14:textId="322180C1" w:rsidR="008C03FD" w:rsidRPr="001C2889" w:rsidRDefault="008C03FD" w:rsidP="009763FB">
      <w:pPr>
        <w:spacing w:after="60"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1C2889">
        <w:rPr>
          <w:rFonts w:ascii="Verdana" w:hAnsi="Verdana"/>
          <w:sz w:val="20"/>
          <w:lang w:val="bg-BG"/>
        </w:rPr>
        <w:t>2. В близост до село Кутово, община Видин, област Видин се предвижда да бъде изградена нова ракетна площадка. Извършено е трасиране, означаване и координиране на имота. В тази връзка в таблицата към чл. 3, ал. 1 от ПМС № 44</w:t>
      </w:r>
      <w:r w:rsidR="00690865" w:rsidRPr="001C2889">
        <w:rPr>
          <w:rFonts w:ascii="Verdana" w:hAnsi="Verdana"/>
          <w:sz w:val="20"/>
          <w:lang w:val="bg-BG"/>
        </w:rPr>
        <w:t xml:space="preserve"> от </w:t>
      </w:r>
      <w:r w:rsidRPr="001C2889">
        <w:rPr>
          <w:rFonts w:ascii="Verdana" w:hAnsi="Verdana"/>
          <w:sz w:val="20"/>
          <w:lang w:val="bg-BG"/>
        </w:rPr>
        <w:t>2010</w:t>
      </w:r>
      <w:r w:rsidR="00690865" w:rsidRPr="001C2889">
        <w:rPr>
          <w:rFonts w:ascii="Verdana" w:hAnsi="Verdana"/>
          <w:sz w:val="20"/>
          <w:lang w:val="bg-BG"/>
        </w:rPr>
        <w:t xml:space="preserve"> г.</w:t>
      </w:r>
      <w:r w:rsidRPr="001C2889">
        <w:rPr>
          <w:rFonts w:ascii="Verdana" w:hAnsi="Verdana"/>
          <w:sz w:val="20"/>
          <w:lang w:val="bg-BG"/>
        </w:rPr>
        <w:t xml:space="preserve"> следва да бъде създаден нов ред </w:t>
      </w:r>
      <w:r w:rsidR="00386720" w:rsidRPr="001C2889">
        <w:rPr>
          <w:rFonts w:ascii="Verdana" w:hAnsi="Verdana"/>
          <w:sz w:val="20"/>
          <w:lang w:val="bg-BG"/>
        </w:rPr>
        <w:t>„</w:t>
      </w:r>
      <w:r w:rsidRPr="001C2889">
        <w:rPr>
          <w:rFonts w:ascii="Verdana" w:hAnsi="Verdana"/>
          <w:sz w:val="20"/>
          <w:lang w:val="bg-BG"/>
        </w:rPr>
        <w:t>D1524</w:t>
      </w:r>
      <w:r w:rsidR="00386720" w:rsidRPr="001C2889">
        <w:rPr>
          <w:rFonts w:ascii="Verdana" w:hAnsi="Verdana"/>
          <w:sz w:val="20"/>
          <w:lang w:val="bg-BG"/>
        </w:rPr>
        <w:t>“</w:t>
      </w:r>
      <w:r w:rsidRPr="001C2889">
        <w:rPr>
          <w:rFonts w:ascii="Verdana" w:hAnsi="Verdana"/>
          <w:sz w:val="20"/>
          <w:lang w:val="bg-BG"/>
        </w:rPr>
        <w:t xml:space="preserve"> с координати 44°01’33”СШ 022°59’50”ИД.</w:t>
      </w:r>
    </w:p>
    <w:p w14:paraId="697DD5AF" w14:textId="77777777" w:rsidR="00B500D0" w:rsidRPr="001C2889" w:rsidRDefault="00B500D0" w:rsidP="009763FB">
      <w:pPr>
        <w:spacing w:after="60" w:line="360" w:lineRule="auto"/>
        <w:ind w:firstLine="720"/>
        <w:jc w:val="both"/>
        <w:rPr>
          <w:rFonts w:ascii="Verdana" w:hAnsi="Verdana"/>
          <w:b/>
          <w:sz w:val="20"/>
          <w:lang w:val="bg-BG"/>
        </w:rPr>
      </w:pPr>
    </w:p>
    <w:p w14:paraId="2D232863" w14:textId="0419B80F" w:rsidR="00F21C0D" w:rsidRPr="001C2889" w:rsidRDefault="00D605CA" w:rsidP="009763FB">
      <w:pPr>
        <w:spacing w:after="60" w:line="360" w:lineRule="auto"/>
        <w:ind w:firstLine="720"/>
        <w:jc w:val="both"/>
        <w:rPr>
          <w:rFonts w:ascii="Verdana" w:hAnsi="Verdana"/>
          <w:b/>
          <w:sz w:val="20"/>
          <w:lang w:val="bg-BG"/>
        </w:rPr>
      </w:pPr>
      <w:r w:rsidRPr="001C2889">
        <w:rPr>
          <w:rFonts w:ascii="Verdana" w:hAnsi="Verdana"/>
          <w:b/>
          <w:sz w:val="20"/>
          <w:lang w:val="bg-BG"/>
        </w:rPr>
        <w:t>Цели</w:t>
      </w:r>
      <w:r w:rsidR="00DB09F0" w:rsidRPr="001C2889">
        <w:rPr>
          <w:rFonts w:ascii="Verdana" w:hAnsi="Verdana"/>
          <w:b/>
          <w:sz w:val="20"/>
          <w:lang w:val="bg-BG"/>
        </w:rPr>
        <w:t xml:space="preserve"> </w:t>
      </w:r>
    </w:p>
    <w:p w14:paraId="2449A854" w14:textId="62C3121A" w:rsidR="008B3ABA" w:rsidRPr="001C2889" w:rsidRDefault="00F21C0D" w:rsidP="009763FB">
      <w:pPr>
        <w:spacing w:after="60"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1C2889">
        <w:rPr>
          <w:rFonts w:ascii="Verdana" w:hAnsi="Verdana"/>
          <w:sz w:val="20"/>
          <w:lang w:val="bg-BG"/>
        </w:rPr>
        <w:t xml:space="preserve">Целта на внасянето за разглеждане от Министерския съвет на проекта на акт е </w:t>
      </w:r>
      <w:r w:rsidR="00370D1D" w:rsidRPr="001C2889">
        <w:rPr>
          <w:rFonts w:ascii="Verdana" w:hAnsi="Verdana"/>
          <w:sz w:val="20"/>
          <w:lang w:val="bg-BG"/>
        </w:rPr>
        <w:t>новите позиции на двете ракетни площадки да бъдат включени в списъка по чл. 3, ал. 1 от ПМС № 44</w:t>
      </w:r>
      <w:r w:rsidR="00690865" w:rsidRPr="001C2889">
        <w:rPr>
          <w:rFonts w:ascii="Verdana" w:hAnsi="Verdana"/>
          <w:sz w:val="20"/>
          <w:lang w:val="bg-BG"/>
        </w:rPr>
        <w:t xml:space="preserve"> от </w:t>
      </w:r>
      <w:r w:rsidR="00370D1D" w:rsidRPr="001C2889">
        <w:rPr>
          <w:rFonts w:ascii="Verdana" w:hAnsi="Verdana"/>
          <w:sz w:val="20"/>
          <w:lang w:val="bg-BG"/>
        </w:rPr>
        <w:t>2010</w:t>
      </w:r>
      <w:r w:rsidR="00690865" w:rsidRPr="001C2889">
        <w:rPr>
          <w:rFonts w:ascii="Verdana" w:hAnsi="Verdana"/>
          <w:sz w:val="20"/>
          <w:lang w:val="bg-BG"/>
        </w:rPr>
        <w:t xml:space="preserve"> г</w:t>
      </w:r>
      <w:r w:rsidR="00370D1D" w:rsidRPr="001C2889">
        <w:rPr>
          <w:rFonts w:ascii="Verdana" w:hAnsi="Verdana"/>
          <w:sz w:val="20"/>
          <w:lang w:val="bg-BG"/>
        </w:rPr>
        <w:t>. След изменението на ПМС № 44</w:t>
      </w:r>
      <w:r w:rsidR="00690865" w:rsidRPr="001C2889">
        <w:rPr>
          <w:rFonts w:ascii="Verdana" w:hAnsi="Verdana"/>
          <w:sz w:val="20"/>
          <w:lang w:val="bg-BG"/>
        </w:rPr>
        <w:t xml:space="preserve"> от </w:t>
      </w:r>
      <w:r w:rsidR="00370D1D" w:rsidRPr="001C2889">
        <w:rPr>
          <w:rFonts w:ascii="Verdana" w:hAnsi="Verdana"/>
          <w:sz w:val="20"/>
          <w:lang w:val="bg-BG"/>
        </w:rPr>
        <w:t xml:space="preserve">2010 </w:t>
      </w:r>
      <w:r w:rsidR="00690865" w:rsidRPr="001C2889">
        <w:rPr>
          <w:rFonts w:ascii="Verdana" w:hAnsi="Verdana"/>
          <w:sz w:val="20"/>
          <w:lang w:val="bg-BG"/>
        </w:rPr>
        <w:t xml:space="preserve">г. </w:t>
      </w:r>
      <w:r w:rsidR="00370D1D" w:rsidRPr="001C2889">
        <w:rPr>
          <w:rFonts w:ascii="Verdana" w:hAnsi="Verdana"/>
          <w:sz w:val="20"/>
          <w:lang w:val="bg-BG"/>
        </w:rPr>
        <w:t xml:space="preserve">тези нови координати трябва да бъдат вписани </w:t>
      </w:r>
      <w:r w:rsidR="005F5124" w:rsidRPr="001C2889">
        <w:rPr>
          <w:rFonts w:ascii="Verdana" w:hAnsi="Verdana"/>
          <w:sz w:val="20"/>
          <w:lang w:val="bg-BG"/>
        </w:rPr>
        <w:t xml:space="preserve">и </w:t>
      </w:r>
      <w:r w:rsidR="00370D1D" w:rsidRPr="001C2889">
        <w:rPr>
          <w:rFonts w:ascii="Verdana" w:hAnsi="Verdana"/>
          <w:sz w:val="20"/>
          <w:lang w:val="bg-BG"/>
        </w:rPr>
        <w:t>в ежегодния бюлетин Aeronau</w:t>
      </w:r>
      <w:r w:rsidR="00BC2570" w:rsidRPr="001C2889">
        <w:rPr>
          <w:rFonts w:ascii="Verdana" w:hAnsi="Verdana"/>
          <w:sz w:val="20"/>
          <w:lang w:val="bg-BG"/>
        </w:rPr>
        <w:t>tical Information Publication</w:t>
      </w:r>
      <w:r w:rsidR="00370D1D" w:rsidRPr="001C2889">
        <w:rPr>
          <w:rFonts w:ascii="Verdana" w:hAnsi="Verdana"/>
          <w:sz w:val="20"/>
          <w:lang w:val="bg-BG"/>
        </w:rPr>
        <w:t>, издаван от Международната организация за гражданска авиация.</w:t>
      </w:r>
      <w:r w:rsidR="005F5124" w:rsidRPr="001C2889">
        <w:rPr>
          <w:rFonts w:ascii="Verdana" w:hAnsi="Verdana"/>
          <w:sz w:val="20"/>
          <w:lang w:val="bg-BG"/>
        </w:rPr>
        <w:t xml:space="preserve"> По този начин двете площадки ще </w:t>
      </w:r>
      <w:r w:rsidR="008B3ABA" w:rsidRPr="001C2889">
        <w:rPr>
          <w:rFonts w:ascii="Verdana" w:hAnsi="Verdana"/>
          <w:sz w:val="20"/>
          <w:lang w:val="bg-BG"/>
        </w:rPr>
        <w:t>станат интегрирана ч</w:t>
      </w:r>
      <w:r w:rsidR="001C251E" w:rsidRPr="001C2889">
        <w:rPr>
          <w:rFonts w:ascii="Verdana" w:hAnsi="Verdana"/>
          <w:sz w:val="20"/>
          <w:lang w:val="bg-BG"/>
        </w:rPr>
        <w:t>аст от противоградовата защита,</w:t>
      </w:r>
      <w:r w:rsidR="008B3ABA" w:rsidRPr="001C2889">
        <w:rPr>
          <w:rFonts w:ascii="Verdana" w:hAnsi="Verdana"/>
          <w:sz w:val="20"/>
          <w:lang w:val="bg-BG"/>
        </w:rPr>
        <w:t xml:space="preserve"> ще</w:t>
      </w:r>
      <w:r w:rsidRPr="001C2889">
        <w:rPr>
          <w:rFonts w:ascii="Verdana" w:hAnsi="Verdana"/>
          <w:sz w:val="20"/>
          <w:lang w:val="bg-BG"/>
        </w:rPr>
        <w:t xml:space="preserve"> бъде осигурено ефективно провеждане на дейностите по защита от градушки</w:t>
      </w:r>
      <w:r w:rsidR="001C251E" w:rsidRPr="001C2889">
        <w:rPr>
          <w:rFonts w:ascii="Verdana" w:hAnsi="Verdana"/>
          <w:sz w:val="20"/>
          <w:lang w:val="bg-BG"/>
        </w:rPr>
        <w:t>, а също така ще бъде осигурена сигурност и безопасност на въздухоплаването.</w:t>
      </w:r>
    </w:p>
    <w:p w14:paraId="546E8BC9" w14:textId="77777777" w:rsidR="001C2889" w:rsidRDefault="001C2889" w:rsidP="009763FB">
      <w:pPr>
        <w:spacing w:after="60" w:line="360" w:lineRule="auto"/>
        <w:ind w:firstLine="720"/>
        <w:jc w:val="both"/>
        <w:rPr>
          <w:rFonts w:ascii="Verdana" w:hAnsi="Verdana"/>
          <w:b/>
          <w:sz w:val="20"/>
          <w:lang w:val="bg-BG"/>
        </w:rPr>
      </w:pPr>
    </w:p>
    <w:p w14:paraId="4F98F219" w14:textId="1DFB801D" w:rsidR="00D605CA" w:rsidRPr="001C2889" w:rsidRDefault="00D605CA" w:rsidP="009763FB">
      <w:pPr>
        <w:spacing w:after="60" w:line="360" w:lineRule="auto"/>
        <w:ind w:firstLine="720"/>
        <w:jc w:val="both"/>
        <w:rPr>
          <w:rFonts w:ascii="Verdana" w:hAnsi="Verdana"/>
          <w:b/>
          <w:sz w:val="20"/>
          <w:lang w:val="bg-BG"/>
        </w:rPr>
      </w:pPr>
      <w:r w:rsidRPr="001C2889">
        <w:rPr>
          <w:rFonts w:ascii="Verdana" w:hAnsi="Verdana"/>
          <w:b/>
          <w:sz w:val="20"/>
          <w:lang w:val="bg-BG"/>
        </w:rPr>
        <w:lastRenderedPageBreak/>
        <w:t xml:space="preserve">Финансови и други средства, </w:t>
      </w:r>
      <w:r w:rsidR="00387DED" w:rsidRPr="001C2889">
        <w:rPr>
          <w:rFonts w:ascii="Verdana" w:hAnsi="Verdana"/>
          <w:b/>
          <w:sz w:val="20"/>
          <w:lang w:val="bg-BG"/>
        </w:rPr>
        <w:t>необходими за прилагането на новата уредба</w:t>
      </w:r>
    </w:p>
    <w:p w14:paraId="398C8F23" w14:textId="49A248CF" w:rsidR="00D605CA" w:rsidRPr="001C2889" w:rsidRDefault="00D605CA" w:rsidP="009763FB">
      <w:pPr>
        <w:spacing w:after="60"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1C2889">
        <w:rPr>
          <w:rFonts w:ascii="Verdana" w:hAnsi="Verdana"/>
          <w:sz w:val="20"/>
          <w:lang w:val="bg-BG"/>
        </w:rPr>
        <w:t xml:space="preserve">Към проекта на </w:t>
      </w:r>
      <w:r w:rsidR="00B005E3" w:rsidRPr="001C2889">
        <w:rPr>
          <w:rFonts w:ascii="Verdana" w:hAnsi="Verdana"/>
          <w:sz w:val="20"/>
          <w:lang w:val="bg-BG"/>
        </w:rPr>
        <w:t>постановление</w:t>
      </w:r>
      <w:r w:rsidRPr="001C2889">
        <w:rPr>
          <w:rFonts w:ascii="Verdana" w:hAnsi="Verdana"/>
          <w:sz w:val="20"/>
          <w:lang w:val="bg-BG"/>
        </w:rPr>
        <w:t xml:space="preserve"> на Министерския съвет е приложена финансова обосновка за актове, които не водят до въздействие върху държавния бюджет, съгласно чл. 35, ал. 1, т. 4, буква „б“ от Устройствения правилник на Министерския съвет и на неговата администрация. За приемането на проекта на акт не са необходими допълнителни разходи/трансфери/други плащания по </w:t>
      </w:r>
      <w:r w:rsidR="008918A1" w:rsidRPr="001C2889">
        <w:rPr>
          <w:rFonts w:ascii="Verdana" w:hAnsi="Verdana"/>
          <w:sz w:val="20"/>
          <w:lang w:val="bg-BG"/>
        </w:rPr>
        <w:t>бюджет</w:t>
      </w:r>
      <w:r w:rsidRPr="001C2889">
        <w:rPr>
          <w:rFonts w:ascii="Verdana" w:hAnsi="Verdana"/>
          <w:sz w:val="20"/>
          <w:lang w:val="bg-BG"/>
        </w:rPr>
        <w:t xml:space="preserve"> на Министерството на земеделието, храните и горите</w:t>
      </w:r>
      <w:r w:rsidR="00387DED" w:rsidRPr="001C2889">
        <w:rPr>
          <w:rFonts w:ascii="Verdana" w:hAnsi="Verdana"/>
          <w:sz w:val="20"/>
          <w:lang w:val="bg-BG"/>
        </w:rPr>
        <w:t>.</w:t>
      </w:r>
      <w:r w:rsidRPr="001C2889">
        <w:rPr>
          <w:rFonts w:ascii="Verdana" w:hAnsi="Verdana"/>
          <w:sz w:val="20"/>
          <w:lang w:val="bg-BG"/>
        </w:rPr>
        <w:t xml:space="preserve"> </w:t>
      </w:r>
    </w:p>
    <w:p w14:paraId="605BF453" w14:textId="54CB5BD7" w:rsidR="006B01DC" w:rsidRPr="001C2889" w:rsidRDefault="00554913" w:rsidP="009763FB">
      <w:pPr>
        <w:spacing w:after="60"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1C2889">
        <w:rPr>
          <w:rFonts w:ascii="Verdana" w:hAnsi="Verdana"/>
          <w:sz w:val="20"/>
          <w:lang w:val="bg-BG"/>
        </w:rPr>
        <w:t>Проектът</w:t>
      </w:r>
      <w:r w:rsidR="006B01DC" w:rsidRPr="001C2889">
        <w:rPr>
          <w:rFonts w:ascii="Verdana" w:hAnsi="Verdana"/>
          <w:sz w:val="20"/>
          <w:lang w:val="bg-BG"/>
        </w:rPr>
        <w:t xml:space="preserve"> на акт не води до изменения в целевите стойности на показателите за изпълнение, в т.ч. ключовите индикатори. </w:t>
      </w:r>
    </w:p>
    <w:p w14:paraId="42B90059" w14:textId="77777777" w:rsidR="00F30E4D" w:rsidRPr="001C2889" w:rsidRDefault="00F30E4D" w:rsidP="009763FB">
      <w:pPr>
        <w:widowControl w:val="0"/>
        <w:autoSpaceDE w:val="0"/>
        <w:spacing w:after="60" w:line="360" w:lineRule="auto"/>
        <w:ind w:firstLine="720"/>
        <w:jc w:val="both"/>
        <w:rPr>
          <w:rFonts w:ascii="Verdana" w:hAnsi="Verdana"/>
          <w:b/>
          <w:sz w:val="20"/>
          <w:lang w:val="bg-BG"/>
        </w:rPr>
      </w:pPr>
    </w:p>
    <w:p w14:paraId="4E4F3B43" w14:textId="77777777" w:rsidR="00D605CA" w:rsidRPr="001C2889" w:rsidRDefault="00D605CA" w:rsidP="009763FB">
      <w:pPr>
        <w:widowControl w:val="0"/>
        <w:autoSpaceDE w:val="0"/>
        <w:spacing w:after="60" w:line="360" w:lineRule="auto"/>
        <w:ind w:firstLine="720"/>
        <w:jc w:val="both"/>
        <w:rPr>
          <w:rFonts w:ascii="Verdana" w:hAnsi="Verdana"/>
          <w:b/>
          <w:sz w:val="20"/>
          <w:lang w:val="bg-BG"/>
        </w:rPr>
      </w:pPr>
      <w:r w:rsidRPr="001C2889">
        <w:rPr>
          <w:rFonts w:ascii="Verdana" w:hAnsi="Verdana"/>
          <w:b/>
          <w:sz w:val="20"/>
          <w:lang w:val="bg-BG"/>
        </w:rPr>
        <w:t>Очаквани резултати от прилагането на акта</w:t>
      </w:r>
    </w:p>
    <w:p w14:paraId="50A14684" w14:textId="1E544598" w:rsidR="003770F3" w:rsidRPr="001C2889" w:rsidRDefault="00B451B1" w:rsidP="009763FB">
      <w:pPr>
        <w:widowControl w:val="0"/>
        <w:autoSpaceDE w:val="0"/>
        <w:spacing w:after="60"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1C2889">
        <w:rPr>
          <w:rFonts w:ascii="Verdana" w:hAnsi="Verdana"/>
          <w:sz w:val="20"/>
          <w:lang w:val="bg-BG"/>
        </w:rPr>
        <w:t xml:space="preserve">Очакваните резултати от прилагането на акта могат да бъдат разглеждани в две насоки </w:t>
      </w:r>
      <w:r w:rsidR="00154454" w:rsidRPr="001C2889">
        <w:rPr>
          <w:rFonts w:ascii="Verdana" w:hAnsi="Verdana"/>
          <w:sz w:val="20"/>
          <w:lang w:val="bg-BG"/>
        </w:rPr>
        <w:t>–</w:t>
      </w:r>
      <w:r w:rsidRPr="001C2889">
        <w:rPr>
          <w:rFonts w:ascii="Verdana" w:hAnsi="Verdana"/>
          <w:sz w:val="20"/>
          <w:lang w:val="bg-BG"/>
        </w:rPr>
        <w:t xml:space="preserve"> </w:t>
      </w:r>
      <w:r w:rsidR="00154454" w:rsidRPr="001C2889">
        <w:rPr>
          <w:rFonts w:ascii="Verdana" w:hAnsi="Verdana"/>
          <w:sz w:val="20"/>
          <w:lang w:val="bg-BG"/>
        </w:rPr>
        <w:t>от една страна с</w:t>
      </w:r>
      <w:r w:rsidR="00A83BD6" w:rsidRPr="001C2889">
        <w:rPr>
          <w:rFonts w:ascii="Verdana" w:hAnsi="Verdana"/>
          <w:sz w:val="20"/>
          <w:lang w:val="bg-BG"/>
        </w:rPr>
        <w:t>а</w:t>
      </w:r>
      <w:r w:rsidR="00154454" w:rsidRPr="001C2889">
        <w:rPr>
          <w:rFonts w:ascii="Verdana" w:hAnsi="Verdana"/>
          <w:sz w:val="20"/>
          <w:lang w:val="bg-BG"/>
        </w:rPr>
        <w:t xml:space="preserve"> тези, отнасящи се до</w:t>
      </w:r>
      <w:r w:rsidR="00A83BD6" w:rsidRPr="001C2889">
        <w:rPr>
          <w:rFonts w:ascii="Verdana" w:hAnsi="Verdana"/>
          <w:sz w:val="20"/>
          <w:lang w:val="bg-BG"/>
        </w:rPr>
        <w:t xml:space="preserve"> Изпълнител</w:t>
      </w:r>
      <w:r w:rsidR="00154454" w:rsidRPr="001C2889">
        <w:rPr>
          <w:rFonts w:ascii="Verdana" w:hAnsi="Verdana"/>
          <w:sz w:val="20"/>
          <w:lang w:val="bg-BG"/>
        </w:rPr>
        <w:t xml:space="preserve">на агенция „Борба с градушките“, а от друга страна са резултатите, засягащи </w:t>
      </w:r>
      <w:r w:rsidR="00210E2E" w:rsidRPr="001C2889">
        <w:rPr>
          <w:rFonts w:ascii="Verdana" w:hAnsi="Verdana"/>
          <w:sz w:val="20"/>
          <w:lang w:val="bg-BG"/>
        </w:rPr>
        <w:t>заин</w:t>
      </w:r>
      <w:r w:rsidR="00154454" w:rsidRPr="001C2889">
        <w:rPr>
          <w:rFonts w:ascii="Verdana" w:hAnsi="Verdana"/>
          <w:sz w:val="20"/>
          <w:lang w:val="bg-BG"/>
        </w:rPr>
        <w:t>т</w:t>
      </w:r>
      <w:r w:rsidR="00210E2E" w:rsidRPr="001C2889">
        <w:rPr>
          <w:rFonts w:ascii="Verdana" w:hAnsi="Verdana"/>
          <w:sz w:val="20"/>
          <w:lang w:val="bg-BG"/>
        </w:rPr>
        <w:t>е</w:t>
      </w:r>
      <w:r w:rsidR="00154454" w:rsidRPr="001C2889">
        <w:rPr>
          <w:rFonts w:ascii="Verdana" w:hAnsi="Verdana"/>
          <w:sz w:val="20"/>
          <w:lang w:val="bg-BG"/>
        </w:rPr>
        <w:t>ресованите</w:t>
      </w:r>
      <w:r w:rsidR="00210E2E" w:rsidRPr="001C2889">
        <w:rPr>
          <w:rFonts w:ascii="Verdana" w:hAnsi="Verdana"/>
          <w:sz w:val="20"/>
          <w:lang w:val="bg-BG"/>
        </w:rPr>
        <w:t xml:space="preserve"> </w:t>
      </w:r>
      <w:r w:rsidR="00154454" w:rsidRPr="001C2889">
        <w:rPr>
          <w:rFonts w:ascii="Verdana" w:hAnsi="Verdana"/>
          <w:sz w:val="20"/>
          <w:lang w:val="bg-BG"/>
        </w:rPr>
        <w:t xml:space="preserve">страни, а </w:t>
      </w:r>
      <w:r w:rsidR="00EB56F2" w:rsidRPr="001C2889">
        <w:rPr>
          <w:rFonts w:ascii="Verdana" w:hAnsi="Verdana"/>
          <w:sz w:val="20"/>
          <w:lang w:val="bg-BG"/>
        </w:rPr>
        <w:t xml:space="preserve">по-точно </w:t>
      </w:r>
      <w:r w:rsidR="00154454" w:rsidRPr="001C2889">
        <w:rPr>
          <w:rFonts w:ascii="Verdana" w:hAnsi="Verdana"/>
          <w:sz w:val="20"/>
          <w:lang w:val="bg-BG"/>
        </w:rPr>
        <w:t xml:space="preserve">земеделските </w:t>
      </w:r>
      <w:r w:rsidR="00210E2E" w:rsidRPr="001C2889">
        <w:rPr>
          <w:rFonts w:ascii="Verdana" w:hAnsi="Verdana"/>
          <w:sz w:val="20"/>
          <w:lang w:val="bg-BG"/>
        </w:rPr>
        <w:t>стопани</w:t>
      </w:r>
      <w:r w:rsidR="00154454" w:rsidRPr="001C2889">
        <w:rPr>
          <w:rFonts w:ascii="Verdana" w:hAnsi="Verdana"/>
          <w:sz w:val="20"/>
          <w:lang w:val="bg-BG"/>
        </w:rPr>
        <w:t xml:space="preserve">. </w:t>
      </w:r>
    </w:p>
    <w:p w14:paraId="561B133D" w14:textId="07CCB9F5" w:rsidR="00210E2E" w:rsidRPr="001C2889" w:rsidRDefault="00651EAF" w:rsidP="009763FB">
      <w:pPr>
        <w:widowControl w:val="0"/>
        <w:autoSpaceDE w:val="0"/>
        <w:spacing w:after="60"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1C2889">
        <w:rPr>
          <w:rFonts w:ascii="Verdana" w:hAnsi="Verdana"/>
          <w:sz w:val="20"/>
          <w:lang w:val="bg-BG"/>
        </w:rPr>
        <w:t>Относно резултатите, засяга</w:t>
      </w:r>
      <w:r w:rsidR="0030178C" w:rsidRPr="001C2889">
        <w:rPr>
          <w:rFonts w:ascii="Verdana" w:hAnsi="Verdana"/>
          <w:sz w:val="20"/>
          <w:lang w:val="bg-BG"/>
        </w:rPr>
        <w:t xml:space="preserve">щи Изпълнителна агенция „Борба с градушките“ </w:t>
      </w:r>
      <w:r w:rsidR="00A83BD6" w:rsidRPr="001C2889">
        <w:rPr>
          <w:rFonts w:ascii="Verdana" w:hAnsi="Verdana"/>
          <w:sz w:val="20"/>
          <w:lang w:val="bg-BG"/>
        </w:rPr>
        <w:t xml:space="preserve">– </w:t>
      </w:r>
      <w:r w:rsidR="00EB56F2" w:rsidRPr="001C2889">
        <w:rPr>
          <w:rFonts w:ascii="Verdana" w:hAnsi="Verdana"/>
          <w:sz w:val="20"/>
          <w:lang w:val="bg-BG"/>
        </w:rPr>
        <w:t>Ще бъде гарантирана сигурността и безопасността на въздухоплаването над територията на Република България след въвеждането в експлоатация на двете площадки в района на община Видин.</w:t>
      </w:r>
      <w:r w:rsidR="00BD79B7" w:rsidRPr="001C2889">
        <w:rPr>
          <w:rFonts w:ascii="Verdana" w:hAnsi="Verdana"/>
          <w:sz w:val="20"/>
          <w:lang w:val="bg-BG"/>
        </w:rPr>
        <w:t xml:space="preserve"> </w:t>
      </w:r>
      <w:r w:rsidR="00EB56F2" w:rsidRPr="001C2889">
        <w:rPr>
          <w:rFonts w:ascii="Verdana" w:hAnsi="Verdana"/>
          <w:sz w:val="20"/>
          <w:lang w:val="bg-BG"/>
        </w:rPr>
        <w:t>Ще бъде осигурена възможност за изпълнение на приоритетите на държавата по прилагане на комплексен подход за превенция и управление на рискове и кризи.</w:t>
      </w:r>
    </w:p>
    <w:p w14:paraId="67BDEA78" w14:textId="386E3301" w:rsidR="00B43802" w:rsidRPr="001C2889" w:rsidRDefault="000935DC" w:rsidP="009763FB">
      <w:pPr>
        <w:widowControl w:val="0"/>
        <w:autoSpaceDE w:val="0"/>
        <w:spacing w:after="60"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1C2889">
        <w:rPr>
          <w:rFonts w:ascii="Verdana" w:hAnsi="Verdana"/>
          <w:sz w:val="20"/>
          <w:lang w:val="bg-BG"/>
        </w:rPr>
        <w:t xml:space="preserve">Относно очакваните резултати, засягащи </w:t>
      </w:r>
      <w:r w:rsidR="0047663B" w:rsidRPr="001C2889">
        <w:rPr>
          <w:rFonts w:ascii="Verdana" w:hAnsi="Verdana"/>
          <w:sz w:val="20"/>
          <w:lang w:val="bg-BG"/>
        </w:rPr>
        <w:t xml:space="preserve">земеделските </w:t>
      </w:r>
      <w:r w:rsidR="00210E2E" w:rsidRPr="001C2889">
        <w:rPr>
          <w:rFonts w:ascii="Verdana" w:hAnsi="Verdana"/>
          <w:sz w:val="20"/>
          <w:lang w:val="bg-BG"/>
        </w:rPr>
        <w:t>стопани</w:t>
      </w:r>
      <w:r w:rsidR="0047663B" w:rsidRPr="001C2889">
        <w:rPr>
          <w:rFonts w:ascii="Verdana" w:hAnsi="Verdana"/>
          <w:sz w:val="20"/>
          <w:lang w:val="bg-BG"/>
        </w:rPr>
        <w:t xml:space="preserve"> – </w:t>
      </w:r>
      <w:r w:rsidRPr="001C2889">
        <w:rPr>
          <w:rFonts w:ascii="Verdana" w:hAnsi="Verdana"/>
          <w:sz w:val="20"/>
          <w:lang w:val="bg-BG"/>
        </w:rPr>
        <w:t xml:space="preserve">прилагането на акта ще </w:t>
      </w:r>
      <w:r w:rsidR="00BD79B7" w:rsidRPr="001C2889">
        <w:rPr>
          <w:rFonts w:ascii="Verdana" w:hAnsi="Verdana"/>
          <w:sz w:val="20"/>
          <w:lang w:val="bg-BG"/>
        </w:rPr>
        <w:t>повиши</w:t>
      </w:r>
      <w:r w:rsidRPr="001C2889">
        <w:rPr>
          <w:rFonts w:ascii="Verdana" w:hAnsi="Verdana"/>
          <w:sz w:val="20"/>
          <w:lang w:val="bg-BG"/>
        </w:rPr>
        <w:t xml:space="preserve"> </w:t>
      </w:r>
      <w:r w:rsidR="00210E2E" w:rsidRPr="001C2889">
        <w:rPr>
          <w:rFonts w:ascii="Verdana" w:hAnsi="Verdana"/>
          <w:sz w:val="20"/>
          <w:lang w:val="bg-BG"/>
        </w:rPr>
        <w:t>ефективн</w:t>
      </w:r>
      <w:r w:rsidR="00BD79B7" w:rsidRPr="001C2889">
        <w:rPr>
          <w:rFonts w:ascii="Verdana" w:hAnsi="Verdana"/>
          <w:sz w:val="20"/>
          <w:lang w:val="bg-BG"/>
        </w:rPr>
        <w:t>остта на</w:t>
      </w:r>
      <w:r w:rsidR="00210E2E" w:rsidRPr="001C2889">
        <w:rPr>
          <w:rFonts w:ascii="Verdana" w:hAnsi="Verdana"/>
          <w:sz w:val="20"/>
          <w:lang w:val="bg-BG"/>
        </w:rPr>
        <w:t xml:space="preserve"> защит</w:t>
      </w:r>
      <w:r w:rsidR="00BD79B7" w:rsidRPr="001C2889">
        <w:rPr>
          <w:rFonts w:ascii="Verdana" w:hAnsi="Verdana"/>
          <w:sz w:val="20"/>
          <w:lang w:val="bg-BG"/>
        </w:rPr>
        <w:t>ат</w:t>
      </w:r>
      <w:r w:rsidR="00210E2E" w:rsidRPr="001C2889">
        <w:rPr>
          <w:rFonts w:ascii="Verdana" w:hAnsi="Verdana"/>
          <w:sz w:val="20"/>
          <w:lang w:val="bg-BG"/>
        </w:rPr>
        <w:t xml:space="preserve">а от градушки на земеделски земи за района на </w:t>
      </w:r>
      <w:r w:rsidR="00BD79B7" w:rsidRPr="001C2889">
        <w:rPr>
          <w:rFonts w:ascii="Verdana" w:hAnsi="Verdana"/>
          <w:sz w:val="20"/>
          <w:lang w:val="bg-BG"/>
        </w:rPr>
        <w:t>община Видин.</w:t>
      </w:r>
    </w:p>
    <w:p w14:paraId="7BD8D93A" w14:textId="77777777" w:rsidR="00210E2E" w:rsidRPr="001C2889" w:rsidRDefault="00210E2E" w:rsidP="009763FB">
      <w:pPr>
        <w:widowControl w:val="0"/>
        <w:autoSpaceDE w:val="0"/>
        <w:spacing w:after="60" w:line="360" w:lineRule="auto"/>
        <w:ind w:firstLine="720"/>
        <w:jc w:val="both"/>
        <w:rPr>
          <w:rFonts w:ascii="Verdana" w:hAnsi="Verdana"/>
          <w:sz w:val="20"/>
          <w:lang w:val="bg-BG"/>
        </w:rPr>
      </w:pPr>
    </w:p>
    <w:p w14:paraId="49128BE4" w14:textId="77777777" w:rsidR="00D605CA" w:rsidRPr="001C2889" w:rsidRDefault="00D605CA" w:rsidP="009763FB">
      <w:pPr>
        <w:widowControl w:val="0"/>
        <w:autoSpaceDE w:val="0"/>
        <w:spacing w:after="60" w:line="360" w:lineRule="auto"/>
        <w:ind w:firstLine="720"/>
        <w:jc w:val="both"/>
        <w:rPr>
          <w:rFonts w:ascii="Verdana" w:hAnsi="Verdana"/>
          <w:b/>
          <w:sz w:val="20"/>
          <w:lang w:val="bg-BG"/>
        </w:rPr>
      </w:pPr>
      <w:r w:rsidRPr="001C2889">
        <w:rPr>
          <w:rFonts w:ascii="Verdana" w:hAnsi="Verdana"/>
          <w:b/>
          <w:sz w:val="20"/>
          <w:lang w:val="bg-BG"/>
        </w:rPr>
        <w:t>Анализ за съответствие с правото на Европейския съюз</w:t>
      </w:r>
    </w:p>
    <w:p w14:paraId="678D938D" w14:textId="04677943" w:rsidR="00D605CA" w:rsidRPr="001C2889" w:rsidRDefault="00B005E3" w:rsidP="009763FB">
      <w:pPr>
        <w:widowControl w:val="0"/>
        <w:autoSpaceDE w:val="0"/>
        <w:spacing w:after="60"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1C2889">
        <w:rPr>
          <w:rFonts w:ascii="Verdana" w:hAnsi="Verdana"/>
          <w:sz w:val="20"/>
          <w:lang w:val="bg-BG"/>
        </w:rPr>
        <w:t xml:space="preserve">С постановлението </w:t>
      </w:r>
      <w:r w:rsidR="00D605CA" w:rsidRPr="001C2889">
        <w:rPr>
          <w:rFonts w:ascii="Verdana" w:hAnsi="Verdana"/>
          <w:sz w:val="20"/>
          <w:lang w:val="bg-BG"/>
        </w:rPr>
        <w:t>не се транспонират актове на институции на Европейския съюз, поради което не е изготвена и приложена таблица на съответствието с правото на Европейския съюз.</w:t>
      </w:r>
    </w:p>
    <w:p w14:paraId="3D626D60" w14:textId="77777777" w:rsidR="00F30E4D" w:rsidRPr="001C2889" w:rsidRDefault="00F30E4D" w:rsidP="009763FB">
      <w:pPr>
        <w:widowControl w:val="0"/>
        <w:autoSpaceDE w:val="0"/>
        <w:spacing w:after="60" w:line="360" w:lineRule="auto"/>
        <w:ind w:firstLine="720"/>
        <w:jc w:val="both"/>
        <w:rPr>
          <w:rFonts w:ascii="Verdana" w:hAnsi="Verdana"/>
          <w:b/>
          <w:sz w:val="20"/>
          <w:lang w:val="bg-BG"/>
        </w:rPr>
      </w:pPr>
    </w:p>
    <w:p w14:paraId="040ADDF6" w14:textId="77777777" w:rsidR="00D605CA" w:rsidRPr="001C2889" w:rsidRDefault="00D605CA" w:rsidP="009763FB">
      <w:pPr>
        <w:widowControl w:val="0"/>
        <w:autoSpaceDE w:val="0"/>
        <w:spacing w:after="60" w:line="360" w:lineRule="auto"/>
        <w:ind w:firstLine="720"/>
        <w:jc w:val="both"/>
        <w:rPr>
          <w:rFonts w:ascii="Verdana" w:hAnsi="Verdana"/>
          <w:b/>
          <w:sz w:val="20"/>
          <w:lang w:val="bg-BG"/>
        </w:rPr>
      </w:pPr>
      <w:r w:rsidRPr="001C2889">
        <w:rPr>
          <w:rFonts w:ascii="Verdana" w:hAnsi="Verdana"/>
          <w:b/>
          <w:sz w:val="20"/>
          <w:lang w:val="bg-BG"/>
        </w:rPr>
        <w:t>Информация за проведените обществени консултации</w:t>
      </w:r>
    </w:p>
    <w:p w14:paraId="6A1D476A" w14:textId="5608583B" w:rsidR="00830DE3" w:rsidRPr="001C2889" w:rsidRDefault="00D605CA" w:rsidP="009763FB">
      <w:pPr>
        <w:widowControl w:val="0"/>
        <w:autoSpaceDE w:val="0"/>
        <w:spacing w:after="60"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1C2889">
        <w:rPr>
          <w:rFonts w:ascii="Verdana" w:hAnsi="Verdana"/>
          <w:sz w:val="20"/>
          <w:lang w:val="bg-BG"/>
        </w:rPr>
        <w:t xml:space="preserve">По проекта са проведени обществени консултации съгласно чл. 26, ал. 3 и 4 от Закона за нормативните актове, като проекта на </w:t>
      </w:r>
      <w:r w:rsidR="008C4698" w:rsidRPr="001C2889">
        <w:rPr>
          <w:rFonts w:ascii="Verdana" w:hAnsi="Verdana"/>
          <w:sz w:val="20"/>
          <w:lang w:val="bg-BG"/>
        </w:rPr>
        <w:t>п</w:t>
      </w:r>
      <w:r w:rsidR="00E253B1" w:rsidRPr="001C2889">
        <w:rPr>
          <w:rFonts w:ascii="Verdana" w:hAnsi="Verdana"/>
          <w:sz w:val="20"/>
          <w:lang w:val="bg-BG"/>
        </w:rPr>
        <w:t>остановление</w:t>
      </w:r>
      <w:r w:rsidRPr="001C2889">
        <w:rPr>
          <w:rFonts w:ascii="Verdana" w:hAnsi="Verdana"/>
          <w:sz w:val="20"/>
          <w:lang w:val="bg-BG"/>
        </w:rPr>
        <w:t xml:space="preserve">, </w:t>
      </w:r>
      <w:r w:rsidR="00055D17" w:rsidRPr="001C2889">
        <w:rPr>
          <w:rFonts w:ascii="Verdana" w:hAnsi="Verdana"/>
          <w:sz w:val="20"/>
          <w:lang w:val="bg-BG"/>
        </w:rPr>
        <w:t xml:space="preserve">доклада </w:t>
      </w:r>
      <w:r w:rsidR="00E253B1" w:rsidRPr="001C2889">
        <w:rPr>
          <w:rFonts w:ascii="Verdana" w:hAnsi="Verdana"/>
          <w:sz w:val="20"/>
          <w:lang w:val="bg-BG"/>
        </w:rPr>
        <w:t>(</w:t>
      </w:r>
      <w:r w:rsidRPr="001C2889">
        <w:rPr>
          <w:rFonts w:ascii="Verdana" w:hAnsi="Verdana"/>
          <w:sz w:val="20"/>
          <w:lang w:val="bg-BG"/>
        </w:rPr>
        <w:t>мотивите</w:t>
      </w:r>
      <w:r w:rsidR="00E253B1" w:rsidRPr="001C2889">
        <w:rPr>
          <w:rFonts w:ascii="Verdana" w:hAnsi="Verdana"/>
          <w:sz w:val="20"/>
          <w:lang w:val="bg-BG"/>
        </w:rPr>
        <w:t>)</w:t>
      </w:r>
      <w:r w:rsidRPr="001C2889">
        <w:rPr>
          <w:rFonts w:ascii="Verdana" w:hAnsi="Verdana"/>
          <w:sz w:val="20"/>
          <w:lang w:val="bg-BG"/>
        </w:rPr>
        <w:t xml:space="preserve"> към него, частичната предварителна оценка на въздействието и становището на дирекция „Модернизация на администрацията“ </w:t>
      </w:r>
      <w:r w:rsidR="00F30E4D" w:rsidRPr="001C2889">
        <w:rPr>
          <w:rFonts w:ascii="Verdana" w:hAnsi="Verdana"/>
          <w:sz w:val="20"/>
          <w:lang w:val="bg-BG"/>
        </w:rPr>
        <w:t>в</w:t>
      </w:r>
      <w:r w:rsidRPr="001C2889">
        <w:rPr>
          <w:rFonts w:ascii="Verdana" w:hAnsi="Verdana"/>
          <w:sz w:val="20"/>
          <w:lang w:val="bg-BG"/>
        </w:rPr>
        <w:t xml:space="preserve"> Министерския съвет по частичната предварителна оценка на въздействието са публикувани на интернет страницата на Министерството на земеделието, храните и горите и на Портала за </w:t>
      </w:r>
      <w:r w:rsidRPr="001C2889">
        <w:rPr>
          <w:rFonts w:ascii="Verdana" w:hAnsi="Verdana"/>
          <w:sz w:val="20"/>
          <w:lang w:val="bg-BG"/>
        </w:rPr>
        <w:lastRenderedPageBreak/>
        <w:t xml:space="preserve">обществени консултации, със срок за предложения и становища </w:t>
      </w:r>
      <w:r w:rsidR="00CA6907" w:rsidRPr="001C2889">
        <w:rPr>
          <w:rFonts w:ascii="Verdana" w:hAnsi="Verdana"/>
          <w:sz w:val="20"/>
          <w:lang w:val="bg-BG"/>
        </w:rPr>
        <w:t xml:space="preserve">14 дни поради следните мотиви: </w:t>
      </w:r>
    </w:p>
    <w:p w14:paraId="255D5142" w14:textId="4E99D612" w:rsidR="0051044A" w:rsidRPr="001C2889" w:rsidRDefault="00D866F0" w:rsidP="009763FB">
      <w:pPr>
        <w:pStyle w:val="BodyText"/>
        <w:spacing w:after="60"/>
        <w:ind w:firstLine="720"/>
        <w:rPr>
          <w:rFonts w:ascii="Verdana" w:hAnsi="Verdana"/>
          <w:sz w:val="20"/>
        </w:rPr>
      </w:pPr>
      <w:r w:rsidRPr="001C2889">
        <w:rPr>
          <w:rFonts w:ascii="Verdana" w:hAnsi="Verdana"/>
          <w:bCs/>
          <w:sz w:val="20"/>
        </w:rPr>
        <w:t xml:space="preserve">Всяка площадка представлява център на опасна зона във въздушното пространство на Република България. Действащите към момента площадки са с точно определени географски координати, които са подробно описани в Постановление № 44 на Министерски съвет от 2010 г. за определяне на зоните във въздушното пространство на Република България, в които се ограничава въздухоплаването. </w:t>
      </w:r>
      <w:r w:rsidR="00BC793B" w:rsidRPr="001C2889">
        <w:rPr>
          <w:rFonts w:ascii="Verdana" w:hAnsi="Verdana"/>
          <w:bCs/>
          <w:sz w:val="20"/>
        </w:rPr>
        <w:t>О</w:t>
      </w:r>
      <w:r w:rsidRPr="001C2889">
        <w:rPr>
          <w:rFonts w:ascii="Verdana" w:hAnsi="Verdana"/>
          <w:bCs/>
          <w:sz w:val="20"/>
        </w:rPr>
        <w:t>съществяване</w:t>
      </w:r>
      <w:r w:rsidR="00BC793B" w:rsidRPr="001C2889">
        <w:rPr>
          <w:rFonts w:ascii="Verdana" w:hAnsi="Verdana"/>
          <w:bCs/>
          <w:sz w:val="20"/>
        </w:rPr>
        <w:t>то</w:t>
      </w:r>
      <w:r w:rsidRPr="001C2889">
        <w:rPr>
          <w:rFonts w:ascii="Verdana" w:hAnsi="Verdana"/>
          <w:bCs/>
          <w:sz w:val="20"/>
        </w:rPr>
        <w:t xml:space="preserve"> на активни</w:t>
      </w:r>
      <w:r w:rsidR="00BC793B" w:rsidRPr="001C2889">
        <w:rPr>
          <w:rFonts w:ascii="Verdana" w:hAnsi="Verdana"/>
          <w:bCs/>
          <w:sz w:val="20"/>
        </w:rPr>
        <w:t>те</w:t>
      </w:r>
      <w:r w:rsidRPr="001C2889">
        <w:rPr>
          <w:rFonts w:ascii="Verdana" w:hAnsi="Verdana"/>
          <w:bCs/>
          <w:sz w:val="20"/>
        </w:rPr>
        <w:t xml:space="preserve"> въздействи</w:t>
      </w:r>
      <w:r w:rsidR="00BC793B" w:rsidRPr="001C2889">
        <w:rPr>
          <w:rFonts w:ascii="Verdana" w:hAnsi="Verdana"/>
          <w:bCs/>
          <w:sz w:val="20"/>
        </w:rPr>
        <w:t xml:space="preserve">я по противоградова защита се извършва при определени правила и </w:t>
      </w:r>
      <w:r w:rsidR="00CC3E25" w:rsidRPr="001C2889">
        <w:rPr>
          <w:rFonts w:ascii="Verdana" w:hAnsi="Verdana"/>
          <w:bCs/>
          <w:sz w:val="20"/>
        </w:rPr>
        <w:t xml:space="preserve">комуникация между всички институции, свързани с използването на въздушното пространство за граждански и военни цели. </w:t>
      </w:r>
      <w:r w:rsidR="002C6059" w:rsidRPr="001C2889">
        <w:rPr>
          <w:rFonts w:ascii="Verdana" w:hAnsi="Verdana"/>
          <w:bCs/>
          <w:sz w:val="20"/>
        </w:rPr>
        <w:t xml:space="preserve">Провеждането на стрелба с противоградови ракети се предхожда от получаване на разрешение от </w:t>
      </w:r>
      <w:r w:rsidR="00D91050" w:rsidRPr="001C2889">
        <w:rPr>
          <w:rFonts w:ascii="Verdana" w:hAnsi="Verdana"/>
          <w:bCs/>
          <w:sz w:val="20"/>
        </w:rPr>
        <w:t>Центъра за координиране използването на въздушното пространство</w:t>
      </w:r>
      <w:r w:rsidR="00B51B1A" w:rsidRPr="001C2889">
        <w:rPr>
          <w:rFonts w:ascii="Verdana" w:hAnsi="Verdana"/>
          <w:bCs/>
          <w:sz w:val="20"/>
        </w:rPr>
        <w:t xml:space="preserve"> непосредствено преди стрелбата са всяка конкретна площадка. </w:t>
      </w:r>
      <w:r w:rsidR="00E3797D" w:rsidRPr="001C2889">
        <w:rPr>
          <w:rFonts w:ascii="Verdana" w:hAnsi="Verdana"/>
          <w:bCs/>
          <w:sz w:val="20"/>
        </w:rPr>
        <w:t>В тази връзка</w:t>
      </w:r>
      <w:r w:rsidR="000121B0" w:rsidRPr="001C2889">
        <w:rPr>
          <w:rFonts w:ascii="Verdana" w:hAnsi="Verdana"/>
          <w:bCs/>
          <w:sz w:val="20"/>
        </w:rPr>
        <w:t xml:space="preserve"> всяка площадка следва да бъде вписана в </w:t>
      </w:r>
      <w:r w:rsidR="00E70EDA" w:rsidRPr="001C2889">
        <w:rPr>
          <w:rFonts w:ascii="Verdana" w:hAnsi="Verdana"/>
          <w:bCs/>
          <w:sz w:val="20"/>
        </w:rPr>
        <w:t>съответните нормативни актове на национално ниво</w:t>
      </w:r>
      <w:r w:rsidR="00721640" w:rsidRPr="001C2889">
        <w:rPr>
          <w:rFonts w:ascii="Verdana" w:hAnsi="Verdana"/>
          <w:bCs/>
          <w:sz w:val="20"/>
        </w:rPr>
        <w:t>,</w:t>
      </w:r>
      <w:r w:rsidR="00E70EDA" w:rsidRPr="001C2889">
        <w:rPr>
          <w:rFonts w:ascii="Verdana" w:hAnsi="Verdana"/>
          <w:bCs/>
          <w:sz w:val="20"/>
        </w:rPr>
        <w:t xml:space="preserve"> както и в </w:t>
      </w:r>
      <w:r w:rsidR="00E3797D" w:rsidRPr="001C2889">
        <w:rPr>
          <w:rFonts w:ascii="Verdana" w:hAnsi="Verdana"/>
          <w:bCs/>
          <w:sz w:val="20"/>
        </w:rPr>
        <w:t xml:space="preserve">международни </w:t>
      </w:r>
      <w:r w:rsidR="00C619B8" w:rsidRPr="001C2889">
        <w:rPr>
          <w:rFonts w:ascii="Verdana" w:hAnsi="Verdana"/>
          <w:bCs/>
          <w:sz w:val="20"/>
        </w:rPr>
        <w:t>документи, уреждащи регулация</w:t>
      </w:r>
      <w:r w:rsidR="00A4502B" w:rsidRPr="001C2889">
        <w:rPr>
          <w:rFonts w:ascii="Verdana" w:hAnsi="Verdana"/>
          <w:bCs/>
          <w:sz w:val="20"/>
        </w:rPr>
        <w:t>та</w:t>
      </w:r>
      <w:r w:rsidR="00C619B8" w:rsidRPr="001C2889">
        <w:rPr>
          <w:rFonts w:ascii="Verdana" w:hAnsi="Verdana"/>
          <w:bCs/>
          <w:sz w:val="20"/>
        </w:rPr>
        <w:t xml:space="preserve"> в отношенията в областта на въздухоплаването.</w:t>
      </w:r>
      <w:r w:rsidR="00721640" w:rsidRPr="001C2889">
        <w:rPr>
          <w:rFonts w:ascii="Verdana" w:hAnsi="Verdana"/>
          <w:bCs/>
          <w:sz w:val="20"/>
        </w:rPr>
        <w:t xml:space="preserve"> </w:t>
      </w:r>
      <w:r w:rsidR="0012118B" w:rsidRPr="001C2889">
        <w:rPr>
          <w:rFonts w:ascii="Verdana" w:hAnsi="Verdana"/>
          <w:bCs/>
          <w:sz w:val="20"/>
        </w:rPr>
        <w:t xml:space="preserve">Включването в списъка по чл. 3, ал. 1 на </w:t>
      </w:r>
      <w:r w:rsidR="000F1FBA" w:rsidRPr="001C2889">
        <w:rPr>
          <w:rFonts w:ascii="Verdana" w:hAnsi="Verdana"/>
          <w:bCs/>
          <w:sz w:val="20"/>
        </w:rPr>
        <w:t>ПМС № 44 от 2010 г.</w:t>
      </w:r>
      <w:r w:rsidR="006E0458" w:rsidRPr="001C2889">
        <w:rPr>
          <w:rFonts w:ascii="Verdana" w:hAnsi="Verdana"/>
          <w:bCs/>
          <w:sz w:val="20"/>
        </w:rPr>
        <w:t>,</w:t>
      </w:r>
      <w:r w:rsidR="000F1FBA" w:rsidRPr="001C2889">
        <w:rPr>
          <w:rFonts w:ascii="Verdana" w:hAnsi="Verdana"/>
          <w:bCs/>
          <w:sz w:val="20"/>
        </w:rPr>
        <w:t xml:space="preserve"> </w:t>
      </w:r>
      <w:r w:rsidR="0012118B" w:rsidRPr="001C2889">
        <w:rPr>
          <w:rFonts w:ascii="Verdana" w:hAnsi="Verdana"/>
          <w:bCs/>
          <w:sz w:val="20"/>
        </w:rPr>
        <w:t>а впоследствие  в ежегодния бюлетин Aeronautical Information Publication ще позволи</w:t>
      </w:r>
      <w:r w:rsidRPr="001C2889">
        <w:rPr>
          <w:rFonts w:ascii="Verdana" w:hAnsi="Verdana"/>
          <w:bCs/>
          <w:sz w:val="20"/>
        </w:rPr>
        <w:t xml:space="preserve"> </w:t>
      </w:r>
      <w:r w:rsidR="000F1FBA" w:rsidRPr="001C2889">
        <w:rPr>
          <w:rFonts w:ascii="Verdana" w:hAnsi="Verdana"/>
          <w:bCs/>
          <w:sz w:val="20"/>
        </w:rPr>
        <w:t xml:space="preserve">цитираните </w:t>
      </w:r>
      <w:r w:rsidR="0012118B" w:rsidRPr="001C2889">
        <w:rPr>
          <w:rFonts w:ascii="Verdana" w:hAnsi="Verdana"/>
          <w:bCs/>
          <w:sz w:val="20"/>
        </w:rPr>
        <w:t xml:space="preserve">по-горе ракетни площадки </w:t>
      </w:r>
      <w:r w:rsidRPr="001C2889">
        <w:rPr>
          <w:rFonts w:ascii="Verdana" w:hAnsi="Verdana"/>
          <w:bCs/>
          <w:sz w:val="20"/>
        </w:rPr>
        <w:t xml:space="preserve">да бъдат </w:t>
      </w:r>
      <w:r w:rsidR="00A0620B" w:rsidRPr="001C2889">
        <w:rPr>
          <w:rFonts w:ascii="Verdana" w:hAnsi="Verdana"/>
          <w:bCs/>
          <w:sz w:val="20"/>
        </w:rPr>
        <w:t>неразделна част от</w:t>
      </w:r>
      <w:r w:rsidR="00A4502B" w:rsidRPr="001C2889">
        <w:rPr>
          <w:rFonts w:ascii="Verdana" w:hAnsi="Verdana"/>
          <w:bCs/>
          <w:sz w:val="20"/>
        </w:rPr>
        <w:t xml:space="preserve"> </w:t>
      </w:r>
      <w:r w:rsidR="005A08BF" w:rsidRPr="001C2889">
        <w:rPr>
          <w:rFonts w:ascii="Verdana" w:hAnsi="Verdana"/>
          <w:bCs/>
          <w:sz w:val="20"/>
        </w:rPr>
        <w:t xml:space="preserve">системата на противоградовата защита </w:t>
      </w:r>
      <w:r w:rsidR="00A0620B" w:rsidRPr="001C2889">
        <w:rPr>
          <w:rFonts w:ascii="Verdana" w:hAnsi="Verdana"/>
          <w:bCs/>
          <w:sz w:val="20"/>
        </w:rPr>
        <w:t>през</w:t>
      </w:r>
      <w:r w:rsidRPr="001C2889">
        <w:rPr>
          <w:rFonts w:ascii="Verdana" w:hAnsi="Verdana"/>
          <w:bCs/>
          <w:sz w:val="20"/>
        </w:rPr>
        <w:t xml:space="preserve"> активния сезон по градозащита </w:t>
      </w:r>
      <w:r w:rsidR="00BD4855" w:rsidRPr="001C2889">
        <w:rPr>
          <w:rFonts w:ascii="Verdana" w:hAnsi="Verdana"/>
          <w:bCs/>
          <w:sz w:val="20"/>
        </w:rPr>
        <w:t>за 2021 г.</w:t>
      </w:r>
      <w:r w:rsidR="00016673" w:rsidRPr="001C2889">
        <w:rPr>
          <w:rFonts w:ascii="Verdana" w:hAnsi="Verdana"/>
          <w:bCs/>
          <w:sz w:val="20"/>
        </w:rPr>
        <w:t xml:space="preserve"> П</w:t>
      </w:r>
      <w:r w:rsidR="00BD4855" w:rsidRPr="001C2889">
        <w:rPr>
          <w:rFonts w:ascii="Verdana" w:hAnsi="Verdana"/>
          <w:bCs/>
          <w:sz w:val="20"/>
        </w:rPr>
        <w:t>ромяната на</w:t>
      </w:r>
      <w:r w:rsidR="000F1FBA" w:rsidRPr="001C2889">
        <w:t xml:space="preserve"> </w:t>
      </w:r>
      <w:r w:rsidR="000F1FBA" w:rsidRPr="001C2889">
        <w:rPr>
          <w:rFonts w:ascii="Verdana" w:hAnsi="Verdana"/>
          <w:bCs/>
          <w:sz w:val="20"/>
        </w:rPr>
        <w:t xml:space="preserve">ПМС № 44 от 2010 г. </w:t>
      </w:r>
      <w:r w:rsidR="00BD4855" w:rsidRPr="001C2889">
        <w:rPr>
          <w:rFonts w:ascii="Verdana" w:hAnsi="Verdana"/>
          <w:bCs/>
          <w:sz w:val="20"/>
        </w:rPr>
        <w:t xml:space="preserve"> </w:t>
      </w:r>
      <w:r w:rsidR="00016673" w:rsidRPr="001C2889">
        <w:rPr>
          <w:rFonts w:ascii="Verdana" w:hAnsi="Verdana"/>
          <w:bCs/>
          <w:sz w:val="20"/>
        </w:rPr>
        <w:t xml:space="preserve">е </w:t>
      </w:r>
      <w:r w:rsidRPr="001C2889">
        <w:rPr>
          <w:rFonts w:ascii="Verdana" w:hAnsi="Verdana"/>
          <w:bCs/>
          <w:sz w:val="20"/>
        </w:rPr>
        <w:t xml:space="preserve">необходимо да бъде извършена в максимално кратки срокове, тъй като след влизане в сила на тези изменения, те трябва да бъдат вписани в Aeronautical Information Publication, </w:t>
      </w:r>
      <w:r w:rsidR="00741248" w:rsidRPr="001C2889">
        <w:rPr>
          <w:rFonts w:ascii="Verdana" w:hAnsi="Verdana"/>
          <w:bCs/>
          <w:sz w:val="20"/>
        </w:rPr>
        <w:t>което от своя страна изисква допълнително време, а всяко закъснение води до на</w:t>
      </w:r>
      <w:r w:rsidR="003F6989" w:rsidRPr="001C2889">
        <w:rPr>
          <w:rFonts w:ascii="Verdana" w:hAnsi="Verdana"/>
          <w:bCs/>
          <w:sz w:val="20"/>
        </w:rPr>
        <w:t xml:space="preserve">маляване на ефективността </w:t>
      </w:r>
      <w:r w:rsidR="0051044A" w:rsidRPr="001C2889">
        <w:rPr>
          <w:rFonts w:ascii="Verdana" w:hAnsi="Verdana"/>
          <w:bCs/>
          <w:sz w:val="20"/>
        </w:rPr>
        <w:t>и</w:t>
      </w:r>
      <w:r w:rsidRPr="001C2889">
        <w:rPr>
          <w:rFonts w:ascii="Verdana" w:hAnsi="Verdana"/>
          <w:bCs/>
          <w:sz w:val="20"/>
        </w:rPr>
        <w:t xml:space="preserve"> компрометиране на противоградовата защита.</w:t>
      </w:r>
    </w:p>
    <w:p w14:paraId="4B2C05A9" w14:textId="4E410EC5" w:rsidR="001F0716" w:rsidRPr="001C2889" w:rsidRDefault="00DB09F0" w:rsidP="009763FB">
      <w:pPr>
        <w:widowControl w:val="0"/>
        <w:autoSpaceDE w:val="0"/>
        <w:spacing w:after="60"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1C2889">
        <w:rPr>
          <w:rFonts w:ascii="Verdana" w:hAnsi="Verdana"/>
          <w:sz w:val="20"/>
          <w:lang w:val="bg-BG"/>
        </w:rPr>
        <w:t>В тази връзка срокът за обществени консултации от 14 дни е оптималния възможен, за избягване на неблагоприятните</w:t>
      </w:r>
      <w:r w:rsidR="000C4AA5" w:rsidRPr="001C2889">
        <w:rPr>
          <w:rFonts w:ascii="Verdana" w:hAnsi="Verdana"/>
          <w:sz w:val="20"/>
          <w:lang w:val="bg-BG"/>
        </w:rPr>
        <w:t xml:space="preserve"> </w:t>
      </w:r>
      <w:r w:rsidRPr="001C2889">
        <w:rPr>
          <w:rFonts w:ascii="Verdana" w:hAnsi="Verdana"/>
          <w:sz w:val="20"/>
          <w:lang w:val="bg-BG"/>
        </w:rPr>
        <w:t>последици от забавяне на процеса на осигуряване на противоградова защита.</w:t>
      </w:r>
    </w:p>
    <w:p w14:paraId="288B251C" w14:textId="32181586" w:rsidR="0062644C" w:rsidRPr="001C2889" w:rsidRDefault="00D605CA" w:rsidP="00F93B89">
      <w:pPr>
        <w:autoSpaceDE w:val="0"/>
        <w:adjustRightInd w:val="0"/>
        <w:spacing w:after="60"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1C2889">
        <w:rPr>
          <w:rFonts w:ascii="Verdana" w:hAnsi="Verdana"/>
          <w:sz w:val="20"/>
          <w:lang w:val="bg-BG"/>
        </w:rPr>
        <w:t xml:space="preserve">В </w:t>
      </w:r>
      <w:r w:rsidR="00F30E4D" w:rsidRPr="001C2889">
        <w:rPr>
          <w:rFonts w:ascii="Verdana" w:hAnsi="Verdana"/>
          <w:sz w:val="20"/>
          <w:lang w:val="bg-BG"/>
        </w:rPr>
        <w:t>изпълнение на</w:t>
      </w:r>
      <w:r w:rsidRPr="001C2889">
        <w:rPr>
          <w:rFonts w:ascii="Verdana" w:hAnsi="Verdana"/>
          <w:sz w:val="20"/>
          <w:lang w:val="bg-BG"/>
        </w:rPr>
        <w:t xml:space="preserve"> чл. 26, ал. 5 от Закона за нормативните актове справката за постъпилите предложения и становища, заедно с обосновка за неприетите предложения в резултат на проведен</w:t>
      </w:r>
      <w:r w:rsidR="00F30E4D" w:rsidRPr="001C2889">
        <w:rPr>
          <w:rFonts w:ascii="Verdana" w:hAnsi="Verdana"/>
          <w:sz w:val="20"/>
          <w:lang w:val="bg-BG"/>
        </w:rPr>
        <w:t>ата</w:t>
      </w:r>
      <w:r w:rsidRPr="001C2889">
        <w:rPr>
          <w:rFonts w:ascii="Verdana" w:hAnsi="Verdana"/>
          <w:sz w:val="20"/>
          <w:lang w:val="bg-BG"/>
        </w:rPr>
        <w:t xml:space="preserve"> обществен</w:t>
      </w:r>
      <w:r w:rsidR="00F30E4D" w:rsidRPr="001C2889">
        <w:rPr>
          <w:rFonts w:ascii="Verdana" w:hAnsi="Verdana"/>
          <w:sz w:val="20"/>
          <w:lang w:val="bg-BG"/>
        </w:rPr>
        <w:t>а</w:t>
      </w:r>
      <w:r w:rsidRPr="001C2889">
        <w:rPr>
          <w:rFonts w:ascii="Verdana" w:hAnsi="Verdana"/>
          <w:sz w:val="20"/>
          <w:lang w:val="bg-BG"/>
        </w:rPr>
        <w:t xml:space="preserve"> консултаци</w:t>
      </w:r>
      <w:r w:rsidR="00F30E4D" w:rsidRPr="001C2889">
        <w:rPr>
          <w:rFonts w:ascii="Verdana" w:hAnsi="Verdana"/>
          <w:sz w:val="20"/>
          <w:lang w:val="bg-BG"/>
        </w:rPr>
        <w:t>я</w:t>
      </w:r>
      <w:r w:rsidRPr="001C2889">
        <w:rPr>
          <w:rFonts w:ascii="Verdana" w:hAnsi="Verdana"/>
          <w:sz w:val="20"/>
          <w:lang w:val="bg-BG"/>
        </w:rPr>
        <w:t xml:space="preserve"> е публикувана на интернет страницата на Министерството на земеделието, храните и горите и на Портала за обществени консултации. </w:t>
      </w:r>
    </w:p>
    <w:p w14:paraId="7A10FBE3" w14:textId="4B3DE389" w:rsidR="00D605CA" w:rsidRPr="001C2889" w:rsidRDefault="00D605CA" w:rsidP="009763FB">
      <w:pPr>
        <w:spacing w:after="60"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1C2889">
        <w:rPr>
          <w:rFonts w:ascii="Verdana" w:hAnsi="Verdana"/>
          <w:sz w:val="20"/>
          <w:lang w:val="bg-BG"/>
        </w:rPr>
        <w:t xml:space="preserve">Документите по проекта на </w:t>
      </w:r>
      <w:r w:rsidR="00E253B1" w:rsidRPr="001C2889">
        <w:rPr>
          <w:rFonts w:ascii="Verdana" w:hAnsi="Verdana"/>
          <w:sz w:val="20"/>
          <w:lang w:val="bg-BG"/>
        </w:rPr>
        <w:t>Постановление</w:t>
      </w:r>
      <w:r w:rsidRPr="001C2889">
        <w:rPr>
          <w:rFonts w:ascii="Verdana" w:hAnsi="Verdana"/>
          <w:sz w:val="20"/>
          <w:lang w:val="bg-BG"/>
        </w:rPr>
        <w:t xml:space="preserve"> на Министерския съвет са съгласувани по реда на чл. 32 от Устройствения правилник на Министерския съвет и на неговата администрация. Направените целесъобразни бележки и предложения са отразени. Приложена е справка за отразяване на постъпилите становища. </w:t>
      </w:r>
    </w:p>
    <w:p w14:paraId="204EEE44" w14:textId="77777777" w:rsidR="00F93B89" w:rsidRPr="001C2889" w:rsidRDefault="00F93B89" w:rsidP="009763FB">
      <w:pPr>
        <w:spacing w:after="60" w:line="360" w:lineRule="auto"/>
        <w:ind w:firstLine="720"/>
        <w:jc w:val="both"/>
        <w:rPr>
          <w:rFonts w:ascii="Verdana" w:hAnsi="Verdana"/>
          <w:sz w:val="20"/>
          <w:lang w:val="bg-BG"/>
        </w:rPr>
      </w:pPr>
    </w:p>
    <w:p w14:paraId="06C396E8" w14:textId="77777777" w:rsidR="001C2889" w:rsidRDefault="001C2889" w:rsidP="009763FB">
      <w:pPr>
        <w:widowControl w:val="0"/>
        <w:autoSpaceDE w:val="0"/>
        <w:spacing w:line="360" w:lineRule="auto"/>
        <w:rPr>
          <w:rFonts w:ascii="Verdana" w:hAnsi="Verdana"/>
          <w:b/>
          <w:bCs/>
          <w:sz w:val="20"/>
          <w:lang w:val="bg-BG" w:eastAsia="bg-BG"/>
        </w:rPr>
      </w:pPr>
    </w:p>
    <w:p w14:paraId="4029C66E" w14:textId="77777777" w:rsidR="001C2889" w:rsidRDefault="001C2889" w:rsidP="009763FB">
      <w:pPr>
        <w:widowControl w:val="0"/>
        <w:autoSpaceDE w:val="0"/>
        <w:spacing w:line="360" w:lineRule="auto"/>
        <w:rPr>
          <w:rFonts w:ascii="Verdana" w:hAnsi="Verdana"/>
          <w:b/>
          <w:bCs/>
          <w:sz w:val="20"/>
          <w:lang w:val="bg-BG" w:eastAsia="bg-BG"/>
        </w:rPr>
      </w:pPr>
    </w:p>
    <w:p w14:paraId="17F90104" w14:textId="2D375E4F" w:rsidR="00D605CA" w:rsidRPr="001C2889" w:rsidRDefault="00D605CA" w:rsidP="009763FB">
      <w:pPr>
        <w:widowControl w:val="0"/>
        <w:autoSpaceDE w:val="0"/>
        <w:spacing w:line="360" w:lineRule="auto"/>
        <w:rPr>
          <w:rFonts w:ascii="Verdana" w:hAnsi="Verdana"/>
          <w:b/>
          <w:bCs/>
          <w:sz w:val="20"/>
          <w:lang w:val="bg-BG" w:eastAsia="bg-BG"/>
        </w:rPr>
      </w:pPr>
      <w:r w:rsidRPr="001C2889">
        <w:rPr>
          <w:rFonts w:ascii="Verdana" w:hAnsi="Verdana"/>
          <w:b/>
          <w:bCs/>
          <w:sz w:val="20"/>
          <w:lang w:val="bg-BG" w:eastAsia="bg-BG"/>
        </w:rPr>
        <w:lastRenderedPageBreak/>
        <w:t>УВАЖАЕМИ ГОСПОДИН МИНИСТЪР-ПРЕДСЕДАТЕЛ,</w:t>
      </w:r>
    </w:p>
    <w:p w14:paraId="150D37F8" w14:textId="3728F412" w:rsidR="001276F1" w:rsidRPr="001C2889" w:rsidRDefault="00D605CA" w:rsidP="009763FB">
      <w:pPr>
        <w:widowControl w:val="0"/>
        <w:autoSpaceDE w:val="0"/>
        <w:spacing w:after="120" w:line="360" w:lineRule="auto"/>
        <w:rPr>
          <w:rFonts w:ascii="Verdana" w:hAnsi="Verdana"/>
          <w:b/>
          <w:bCs/>
          <w:sz w:val="20"/>
          <w:lang w:val="bg-BG" w:eastAsia="bg-BG"/>
        </w:rPr>
      </w:pPr>
      <w:r w:rsidRPr="001C2889">
        <w:rPr>
          <w:rFonts w:ascii="Verdana" w:hAnsi="Verdana"/>
          <w:b/>
          <w:bCs/>
          <w:sz w:val="20"/>
          <w:lang w:val="bg-BG" w:eastAsia="bg-BG"/>
        </w:rPr>
        <w:t>УВАЖАЕМИ ГОСПОЖИ И ГОСПОДА МИНИСТРИ,</w:t>
      </w:r>
    </w:p>
    <w:p w14:paraId="51D646C0" w14:textId="6DA3680E" w:rsidR="00F30E4D" w:rsidRPr="001C2889" w:rsidRDefault="00D605CA" w:rsidP="009763FB">
      <w:pPr>
        <w:spacing w:after="60" w:line="360" w:lineRule="auto"/>
        <w:ind w:firstLine="720"/>
        <w:jc w:val="both"/>
        <w:rPr>
          <w:rFonts w:ascii="Verdana" w:hAnsi="Verdana"/>
          <w:iCs/>
          <w:sz w:val="20"/>
          <w:lang w:val="bg-BG"/>
        </w:rPr>
      </w:pPr>
      <w:r w:rsidRPr="001C2889">
        <w:rPr>
          <w:rFonts w:ascii="Verdana" w:hAnsi="Verdana"/>
          <w:iCs/>
          <w:sz w:val="20"/>
          <w:lang w:val="bg-BG"/>
        </w:rPr>
        <w:t xml:space="preserve">Във връзка с гореизложеното и на основание </w:t>
      </w:r>
      <w:r w:rsidR="00DB09F0" w:rsidRPr="001C2889">
        <w:rPr>
          <w:rFonts w:ascii="Verdana" w:hAnsi="Verdana"/>
          <w:sz w:val="20"/>
          <w:lang w:val="bg-BG" w:eastAsia="bg-BG"/>
        </w:rPr>
        <w:t>чл. 8, ал. 1</w:t>
      </w:r>
      <w:r w:rsidRPr="001C2889">
        <w:rPr>
          <w:rFonts w:ascii="Verdana" w:hAnsi="Verdana"/>
          <w:sz w:val="20"/>
          <w:lang w:val="bg-BG" w:eastAsia="bg-BG"/>
        </w:rPr>
        <w:t xml:space="preserve"> </w:t>
      </w:r>
      <w:r w:rsidRPr="001C2889">
        <w:rPr>
          <w:rFonts w:ascii="Verdana" w:hAnsi="Verdana"/>
          <w:iCs/>
          <w:sz w:val="20"/>
          <w:lang w:val="bg-BG"/>
        </w:rPr>
        <w:t xml:space="preserve">от Устройствения правилник на Министерския съвет и на неговата администрация предлагам Министерският съвет да приеме приложения проект на </w:t>
      </w:r>
      <w:r w:rsidR="000E55F4" w:rsidRPr="001C2889">
        <w:rPr>
          <w:rFonts w:ascii="Verdana" w:hAnsi="Verdana"/>
          <w:iCs/>
          <w:sz w:val="20"/>
          <w:lang w:val="bg-BG"/>
        </w:rPr>
        <w:t>постановление</w:t>
      </w:r>
      <w:r w:rsidRPr="001C2889">
        <w:rPr>
          <w:rFonts w:ascii="Verdana" w:hAnsi="Verdana"/>
          <w:iCs/>
          <w:sz w:val="20"/>
          <w:lang w:val="bg-BG"/>
        </w:rPr>
        <w:t>.</w:t>
      </w:r>
    </w:p>
    <w:p w14:paraId="30DBD6E0" w14:textId="77777777" w:rsidR="009763FB" w:rsidRPr="001C2889" w:rsidRDefault="009763FB" w:rsidP="009763FB">
      <w:pPr>
        <w:spacing w:line="360" w:lineRule="auto"/>
        <w:ind w:firstLine="720"/>
        <w:jc w:val="both"/>
        <w:rPr>
          <w:rFonts w:ascii="Verdana" w:hAnsi="Verdana"/>
          <w:iCs/>
          <w:sz w:val="20"/>
          <w:lang w:val="bg-BG"/>
        </w:rPr>
      </w:pP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1"/>
        <w:gridCol w:w="6873"/>
      </w:tblGrid>
      <w:tr w:rsidR="001276F1" w:rsidRPr="001C2889" w14:paraId="6D3F7B13" w14:textId="77777777" w:rsidTr="008C4698">
        <w:tc>
          <w:tcPr>
            <w:tcW w:w="1781" w:type="dxa"/>
          </w:tcPr>
          <w:p w14:paraId="5434669D" w14:textId="77777777" w:rsidR="00D605CA" w:rsidRPr="001C2889" w:rsidRDefault="00D605CA" w:rsidP="000B7C3F">
            <w:pPr>
              <w:spacing w:line="360" w:lineRule="auto"/>
              <w:rPr>
                <w:rFonts w:ascii="Verdana" w:hAnsi="Verdana"/>
                <w:b/>
                <w:bCs/>
                <w:sz w:val="20"/>
                <w:lang w:val="bg-BG"/>
              </w:rPr>
            </w:pPr>
            <w:r w:rsidRPr="001C2889">
              <w:rPr>
                <w:rFonts w:ascii="Verdana" w:hAnsi="Verdana"/>
                <w:b/>
                <w:bCs/>
                <w:sz w:val="20"/>
                <w:lang w:val="bg-BG"/>
              </w:rPr>
              <w:t xml:space="preserve">Приложениe: </w:t>
            </w:r>
          </w:p>
        </w:tc>
        <w:tc>
          <w:tcPr>
            <w:tcW w:w="6873" w:type="dxa"/>
          </w:tcPr>
          <w:p w14:paraId="79516B46" w14:textId="77777777" w:rsidR="00D605CA" w:rsidRPr="001C2889" w:rsidRDefault="00D605CA" w:rsidP="000B7C3F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1C2889">
              <w:rPr>
                <w:rFonts w:cs="Times New Roman"/>
                <w:sz w:val="20"/>
                <w:szCs w:val="20"/>
              </w:rPr>
              <w:t xml:space="preserve">Проект на </w:t>
            </w:r>
            <w:r w:rsidR="00E253B1" w:rsidRPr="001C2889">
              <w:rPr>
                <w:rFonts w:cs="Times New Roman"/>
                <w:sz w:val="20"/>
                <w:szCs w:val="20"/>
              </w:rPr>
              <w:t>Постановление</w:t>
            </w:r>
            <w:r w:rsidRPr="001C2889">
              <w:rPr>
                <w:rFonts w:cs="Times New Roman"/>
                <w:sz w:val="20"/>
                <w:szCs w:val="20"/>
              </w:rPr>
              <w:t xml:space="preserve"> на Министерския съвет; </w:t>
            </w:r>
          </w:p>
          <w:p w14:paraId="438D5F41" w14:textId="77777777" w:rsidR="00D605CA" w:rsidRPr="001C2889" w:rsidRDefault="00D605CA" w:rsidP="000B7C3F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1C2889">
              <w:rPr>
                <w:rFonts w:cs="Times New Roman"/>
                <w:sz w:val="20"/>
                <w:szCs w:val="20"/>
              </w:rPr>
              <w:t xml:space="preserve">Частична предварителна оценка на въздействието; </w:t>
            </w:r>
          </w:p>
          <w:p w14:paraId="218C2026" w14:textId="77777777" w:rsidR="00D605CA" w:rsidRPr="001C2889" w:rsidRDefault="00D605CA" w:rsidP="000B7C3F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1C2889">
              <w:rPr>
                <w:rFonts w:cs="Times New Roman"/>
                <w:spacing w:val="-8"/>
                <w:sz w:val="20"/>
                <w:szCs w:val="20"/>
              </w:rPr>
              <w:t>Становище на дирекция „Модернизация на</w:t>
            </w:r>
            <w:r w:rsidRPr="001C2889">
              <w:rPr>
                <w:rFonts w:cs="Times New Roman"/>
                <w:sz w:val="20"/>
                <w:szCs w:val="20"/>
              </w:rPr>
              <w:t xml:space="preserve"> администрацията“ на Министерския съвет;</w:t>
            </w:r>
          </w:p>
          <w:p w14:paraId="17BA1BFD" w14:textId="77777777" w:rsidR="00D605CA" w:rsidRPr="001C2889" w:rsidRDefault="00D605CA" w:rsidP="000B7C3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C2889">
              <w:rPr>
                <w:rFonts w:cs="Times New Roman"/>
                <w:sz w:val="20"/>
                <w:szCs w:val="20"/>
              </w:rPr>
              <w:t>Финансова обосновка;</w:t>
            </w:r>
          </w:p>
          <w:p w14:paraId="59D065A4" w14:textId="77777777" w:rsidR="00D605CA" w:rsidRPr="001C2889" w:rsidRDefault="00D605CA" w:rsidP="000B7C3F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1C2889">
              <w:rPr>
                <w:rFonts w:cs="Times New Roman"/>
                <w:sz w:val="20"/>
                <w:szCs w:val="20"/>
              </w:rPr>
              <w:t>Справка за отразяване на постъпилите становища по реда на чл. 32 – 34 от УПМСНА;</w:t>
            </w:r>
          </w:p>
          <w:p w14:paraId="2AD82F47" w14:textId="77777777" w:rsidR="00D605CA" w:rsidRPr="001C2889" w:rsidRDefault="00D605CA" w:rsidP="000B7C3F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1C2889">
              <w:rPr>
                <w:rFonts w:cs="Times New Roman"/>
                <w:sz w:val="20"/>
                <w:szCs w:val="20"/>
              </w:rPr>
              <w:t>Постъпили становища;</w:t>
            </w:r>
          </w:p>
          <w:p w14:paraId="429A8372" w14:textId="77777777" w:rsidR="00D605CA" w:rsidRPr="001C2889" w:rsidRDefault="00D605CA" w:rsidP="000B7C3F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1C2889">
              <w:rPr>
                <w:rFonts w:cs="Times New Roman"/>
                <w:sz w:val="20"/>
                <w:szCs w:val="20"/>
              </w:rPr>
              <w:t>Справка за отразяване на предложенията и становищата от проведената обществена консултация;</w:t>
            </w:r>
          </w:p>
          <w:p w14:paraId="3CB17F49" w14:textId="77777777" w:rsidR="00D605CA" w:rsidRPr="001C2889" w:rsidRDefault="00D605CA" w:rsidP="000B7C3F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1C2889">
              <w:rPr>
                <w:rFonts w:cs="Times New Roman"/>
                <w:sz w:val="20"/>
                <w:szCs w:val="20"/>
              </w:rPr>
              <w:t>Предложения и становища</w:t>
            </w:r>
            <w:r w:rsidR="003B0E60" w:rsidRPr="001C2889">
              <w:rPr>
                <w:rFonts w:cs="Times New Roman"/>
                <w:sz w:val="20"/>
                <w:szCs w:val="20"/>
              </w:rPr>
              <w:t>,</w:t>
            </w:r>
            <w:r w:rsidRPr="001C2889">
              <w:rPr>
                <w:rFonts w:cs="Times New Roman"/>
                <w:sz w:val="20"/>
                <w:szCs w:val="20"/>
              </w:rPr>
              <w:t xml:space="preserve"> получени от проведената обществена консултация;</w:t>
            </w:r>
          </w:p>
          <w:p w14:paraId="006CE951" w14:textId="77777777" w:rsidR="00D605CA" w:rsidRPr="001C2889" w:rsidRDefault="00D605CA" w:rsidP="000B7C3F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1C2889">
              <w:rPr>
                <w:rFonts w:cs="Times New Roman"/>
                <w:spacing w:val="-8"/>
                <w:sz w:val="20"/>
                <w:szCs w:val="20"/>
              </w:rPr>
              <w:t>Проект на съобщение за средствата за масово</w:t>
            </w:r>
            <w:r w:rsidRPr="001C2889">
              <w:rPr>
                <w:rFonts w:cs="Times New Roman"/>
                <w:sz w:val="20"/>
                <w:szCs w:val="20"/>
              </w:rPr>
              <w:t xml:space="preserve"> осведомяване.</w:t>
            </w:r>
          </w:p>
        </w:tc>
      </w:tr>
    </w:tbl>
    <w:p w14:paraId="37618004" w14:textId="77777777" w:rsidR="00D605CA" w:rsidRPr="001C2889" w:rsidRDefault="00D605CA" w:rsidP="000B7C3F">
      <w:pPr>
        <w:widowControl w:val="0"/>
        <w:autoSpaceDE w:val="0"/>
        <w:spacing w:line="360" w:lineRule="auto"/>
        <w:rPr>
          <w:rFonts w:ascii="Verdana" w:hAnsi="Verdana"/>
          <w:b/>
          <w:bCs/>
          <w:caps/>
          <w:sz w:val="20"/>
          <w:lang w:val="bg-BG" w:eastAsia="bg-BG"/>
        </w:rPr>
      </w:pPr>
    </w:p>
    <w:p w14:paraId="621238D6" w14:textId="259F62CE" w:rsidR="00B94CAD" w:rsidRPr="001C2889" w:rsidRDefault="00B94CAD" w:rsidP="000B7C3F">
      <w:pPr>
        <w:widowControl w:val="0"/>
        <w:autoSpaceDE w:val="0"/>
        <w:spacing w:line="360" w:lineRule="auto"/>
        <w:rPr>
          <w:rFonts w:ascii="Verdana" w:hAnsi="Verdana"/>
          <w:b/>
          <w:bCs/>
          <w:caps/>
          <w:sz w:val="20"/>
          <w:lang w:val="bg-BG" w:eastAsia="bg-BG"/>
        </w:rPr>
      </w:pPr>
    </w:p>
    <w:p w14:paraId="6E9E4A35" w14:textId="5C202DD1" w:rsidR="0011528F" w:rsidRPr="001C2889" w:rsidRDefault="0011528F" w:rsidP="000B7C3F">
      <w:pPr>
        <w:widowControl w:val="0"/>
        <w:autoSpaceDE w:val="0"/>
        <w:spacing w:line="360" w:lineRule="auto"/>
        <w:rPr>
          <w:rFonts w:ascii="Verdana" w:hAnsi="Verdana"/>
          <w:b/>
          <w:bCs/>
          <w:caps/>
          <w:sz w:val="20"/>
          <w:lang w:val="bg-BG" w:eastAsia="bg-BG"/>
        </w:rPr>
      </w:pPr>
    </w:p>
    <w:p w14:paraId="598A81FE" w14:textId="77777777" w:rsidR="0011528F" w:rsidRPr="001C2889" w:rsidRDefault="0011528F" w:rsidP="000B7C3F">
      <w:pPr>
        <w:widowControl w:val="0"/>
        <w:autoSpaceDE w:val="0"/>
        <w:spacing w:line="360" w:lineRule="auto"/>
        <w:rPr>
          <w:rFonts w:ascii="Verdana" w:hAnsi="Verdana"/>
          <w:b/>
          <w:bCs/>
          <w:caps/>
          <w:sz w:val="20"/>
          <w:lang w:val="bg-BG" w:eastAsia="bg-BG"/>
        </w:rPr>
      </w:pPr>
    </w:p>
    <w:p w14:paraId="7DB5506B" w14:textId="77777777" w:rsidR="001276F1" w:rsidRPr="001C2889" w:rsidRDefault="001276F1" w:rsidP="000B7C3F">
      <w:pPr>
        <w:widowControl w:val="0"/>
        <w:autoSpaceDE w:val="0"/>
        <w:spacing w:line="360" w:lineRule="auto"/>
        <w:rPr>
          <w:rFonts w:ascii="Verdana" w:hAnsi="Verdana"/>
          <w:b/>
          <w:bCs/>
          <w:caps/>
          <w:sz w:val="20"/>
          <w:lang w:val="bg-BG" w:eastAsia="bg-BG"/>
        </w:rPr>
      </w:pPr>
    </w:p>
    <w:p w14:paraId="0CCB3DD3" w14:textId="77777777" w:rsidR="00C300BD" w:rsidRPr="001C2889" w:rsidRDefault="00C300BD" w:rsidP="00C300BD">
      <w:pPr>
        <w:widowControl w:val="0"/>
        <w:autoSpaceDE w:val="0"/>
        <w:spacing w:line="360" w:lineRule="auto"/>
        <w:rPr>
          <w:rFonts w:ascii="Verdana" w:hAnsi="Verdana"/>
          <w:b/>
          <w:bCs/>
          <w:caps/>
          <w:sz w:val="20"/>
          <w:lang w:val="bg-BG" w:eastAsia="bg-BG"/>
        </w:rPr>
      </w:pPr>
      <w:r w:rsidRPr="001C2889">
        <w:rPr>
          <w:rFonts w:ascii="Verdana" w:hAnsi="Verdana"/>
          <w:b/>
          <w:bCs/>
          <w:caps/>
          <w:sz w:val="20"/>
          <w:lang w:val="bg-BG" w:eastAsia="bg-BG"/>
        </w:rPr>
        <w:t>ДЕСИСЛАВА ТАНЕВА</w:t>
      </w:r>
    </w:p>
    <w:p w14:paraId="6C0F6E03" w14:textId="77777777" w:rsidR="00C300BD" w:rsidRPr="001C2889" w:rsidRDefault="00C300BD" w:rsidP="00C300BD">
      <w:pPr>
        <w:widowControl w:val="0"/>
        <w:autoSpaceDE w:val="0"/>
        <w:spacing w:line="360" w:lineRule="auto"/>
        <w:jc w:val="both"/>
        <w:rPr>
          <w:rFonts w:ascii="Verdana" w:hAnsi="Verdana"/>
          <w:bCs/>
          <w:i/>
          <w:iCs/>
          <w:sz w:val="20"/>
          <w:lang w:val="bg-BG" w:eastAsia="bg-BG"/>
        </w:rPr>
      </w:pPr>
      <w:r w:rsidRPr="001C2889">
        <w:rPr>
          <w:rFonts w:ascii="Verdana" w:hAnsi="Verdana"/>
          <w:bCs/>
          <w:i/>
          <w:iCs/>
          <w:sz w:val="20"/>
          <w:lang w:val="bg-BG" w:eastAsia="bg-BG"/>
        </w:rPr>
        <w:t>Министър на земеделието, храните и горите</w:t>
      </w:r>
    </w:p>
    <w:p w14:paraId="3C6033FE" w14:textId="77777777" w:rsidR="00C300BD" w:rsidRPr="001C2889" w:rsidRDefault="00C300BD" w:rsidP="00C300BD">
      <w:pPr>
        <w:tabs>
          <w:tab w:val="left" w:pos="0"/>
        </w:tabs>
        <w:jc w:val="both"/>
        <w:outlineLvl w:val="0"/>
        <w:rPr>
          <w:rFonts w:ascii="Verdana" w:hAnsi="Verdana"/>
          <w:smallCaps/>
          <w:sz w:val="18"/>
          <w:szCs w:val="16"/>
          <w:lang w:val="bg-BG"/>
        </w:rPr>
      </w:pPr>
    </w:p>
    <w:p w14:paraId="51B777A1" w14:textId="77777777" w:rsidR="00C300BD" w:rsidRPr="001C2889" w:rsidRDefault="00C300BD" w:rsidP="00C300BD">
      <w:pPr>
        <w:tabs>
          <w:tab w:val="left" w:pos="0"/>
        </w:tabs>
        <w:jc w:val="both"/>
        <w:outlineLvl w:val="0"/>
        <w:rPr>
          <w:rFonts w:ascii="Verdana" w:hAnsi="Verdana"/>
          <w:smallCaps/>
          <w:sz w:val="18"/>
          <w:szCs w:val="16"/>
          <w:lang w:val="bg-BG"/>
        </w:rPr>
      </w:pPr>
      <w:bookmarkStart w:id="0" w:name="_GoBack"/>
      <w:bookmarkEnd w:id="0"/>
    </w:p>
    <w:sectPr w:rsidR="00C300BD" w:rsidRPr="001C2889" w:rsidSect="001C2889">
      <w:footerReference w:type="even" r:id="rId9"/>
      <w:footerReference w:type="default" r:id="rId10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0F51A" w14:textId="77777777" w:rsidR="002C48E1" w:rsidRDefault="002C48E1">
      <w:r>
        <w:separator/>
      </w:r>
    </w:p>
  </w:endnote>
  <w:endnote w:type="continuationSeparator" w:id="0">
    <w:p w14:paraId="77E4BA1D" w14:textId="77777777" w:rsidR="002C48E1" w:rsidRDefault="002C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F3475" w14:textId="77777777" w:rsidR="00A5287B" w:rsidRDefault="00A528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11E5">
      <w:rPr>
        <w:rStyle w:val="PageNumber"/>
        <w:noProof/>
      </w:rPr>
      <w:t>3</w:t>
    </w:r>
    <w:r>
      <w:rPr>
        <w:rStyle w:val="PageNumber"/>
      </w:rPr>
      <w:fldChar w:fldCharType="end"/>
    </w:r>
  </w:p>
  <w:p w14:paraId="028C48E5" w14:textId="77777777" w:rsidR="00A5287B" w:rsidRDefault="00A528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580201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048A1938" w14:textId="47BD3A2C" w:rsidR="00A5287B" w:rsidRPr="0011528F" w:rsidRDefault="0011528F" w:rsidP="0011528F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11528F">
          <w:rPr>
            <w:rFonts w:ascii="Verdana" w:hAnsi="Verdana"/>
            <w:sz w:val="16"/>
            <w:szCs w:val="16"/>
          </w:rPr>
          <w:fldChar w:fldCharType="begin"/>
        </w:r>
        <w:r w:rsidRPr="0011528F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1528F">
          <w:rPr>
            <w:rFonts w:ascii="Verdana" w:hAnsi="Verdana"/>
            <w:sz w:val="16"/>
            <w:szCs w:val="16"/>
          </w:rPr>
          <w:fldChar w:fldCharType="separate"/>
        </w:r>
        <w:r w:rsidR="00C45045">
          <w:rPr>
            <w:rFonts w:ascii="Verdana" w:hAnsi="Verdana"/>
            <w:noProof/>
            <w:sz w:val="16"/>
            <w:szCs w:val="16"/>
          </w:rPr>
          <w:t>5</w:t>
        </w:r>
        <w:r w:rsidRPr="0011528F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770B7" w14:textId="77777777" w:rsidR="002C48E1" w:rsidRDefault="002C48E1">
      <w:r>
        <w:separator/>
      </w:r>
    </w:p>
  </w:footnote>
  <w:footnote w:type="continuationSeparator" w:id="0">
    <w:p w14:paraId="731C278E" w14:textId="77777777" w:rsidR="002C48E1" w:rsidRDefault="002C4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48F5"/>
    <w:multiLevelType w:val="hybridMultilevel"/>
    <w:tmpl w:val="9A58D11A"/>
    <w:lvl w:ilvl="0" w:tplc="339C77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E7284"/>
    <w:multiLevelType w:val="hybridMultilevel"/>
    <w:tmpl w:val="07325AF2"/>
    <w:lvl w:ilvl="0" w:tplc="9D58B38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E30DA"/>
    <w:multiLevelType w:val="hybridMultilevel"/>
    <w:tmpl w:val="8D5A5656"/>
    <w:lvl w:ilvl="0" w:tplc="3C563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6E76E7"/>
    <w:multiLevelType w:val="multilevel"/>
    <w:tmpl w:val="FCA608E0"/>
    <w:lvl w:ilvl="0">
      <w:start w:val="1"/>
      <w:numFmt w:val="decimal"/>
      <w:suff w:val="space"/>
      <w:lvlText w:val="%1."/>
      <w:lvlJc w:val="right"/>
      <w:pPr>
        <w:ind w:left="34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63"/>
    <w:rsid w:val="00002EFB"/>
    <w:rsid w:val="00003121"/>
    <w:rsid w:val="000073F2"/>
    <w:rsid w:val="0001018C"/>
    <w:rsid w:val="000121B0"/>
    <w:rsid w:val="00016673"/>
    <w:rsid w:val="000245BF"/>
    <w:rsid w:val="0003101E"/>
    <w:rsid w:val="00034090"/>
    <w:rsid w:val="000363EF"/>
    <w:rsid w:val="00042889"/>
    <w:rsid w:val="0004625B"/>
    <w:rsid w:val="00047495"/>
    <w:rsid w:val="000520F9"/>
    <w:rsid w:val="00054ACD"/>
    <w:rsid w:val="00055349"/>
    <w:rsid w:val="00055934"/>
    <w:rsid w:val="00055B56"/>
    <w:rsid w:val="00055D17"/>
    <w:rsid w:val="00063673"/>
    <w:rsid w:val="00070964"/>
    <w:rsid w:val="00084AEA"/>
    <w:rsid w:val="0008796D"/>
    <w:rsid w:val="000934E5"/>
    <w:rsid w:val="000935DC"/>
    <w:rsid w:val="00093CA0"/>
    <w:rsid w:val="000960E4"/>
    <w:rsid w:val="000A0CFC"/>
    <w:rsid w:val="000A5927"/>
    <w:rsid w:val="000A5CD4"/>
    <w:rsid w:val="000B1EA1"/>
    <w:rsid w:val="000B2585"/>
    <w:rsid w:val="000B7C3F"/>
    <w:rsid w:val="000B7CFC"/>
    <w:rsid w:val="000B7F49"/>
    <w:rsid w:val="000C4AA5"/>
    <w:rsid w:val="000C4F36"/>
    <w:rsid w:val="000C5127"/>
    <w:rsid w:val="000D05FA"/>
    <w:rsid w:val="000D5781"/>
    <w:rsid w:val="000D5F39"/>
    <w:rsid w:val="000E20ED"/>
    <w:rsid w:val="000E55F4"/>
    <w:rsid w:val="000F141D"/>
    <w:rsid w:val="000F1FBA"/>
    <w:rsid w:val="000F5B11"/>
    <w:rsid w:val="00105522"/>
    <w:rsid w:val="0011528F"/>
    <w:rsid w:val="0012118B"/>
    <w:rsid w:val="001240F9"/>
    <w:rsid w:val="00124B6A"/>
    <w:rsid w:val="00125000"/>
    <w:rsid w:val="001276F1"/>
    <w:rsid w:val="00133198"/>
    <w:rsid w:val="00137E96"/>
    <w:rsid w:val="001431CE"/>
    <w:rsid w:val="00154454"/>
    <w:rsid w:val="00155914"/>
    <w:rsid w:val="00163542"/>
    <w:rsid w:val="001648E7"/>
    <w:rsid w:val="001764F7"/>
    <w:rsid w:val="001807B2"/>
    <w:rsid w:val="001829AF"/>
    <w:rsid w:val="00184022"/>
    <w:rsid w:val="001851E1"/>
    <w:rsid w:val="0018531D"/>
    <w:rsid w:val="001910D4"/>
    <w:rsid w:val="0019217E"/>
    <w:rsid w:val="00195429"/>
    <w:rsid w:val="00196587"/>
    <w:rsid w:val="001A6746"/>
    <w:rsid w:val="001B4BFA"/>
    <w:rsid w:val="001C1422"/>
    <w:rsid w:val="001C251E"/>
    <w:rsid w:val="001C2889"/>
    <w:rsid w:val="001C2BFA"/>
    <w:rsid w:val="001D659E"/>
    <w:rsid w:val="001E7BF6"/>
    <w:rsid w:val="001F0716"/>
    <w:rsid w:val="001F405B"/>
    <w:rsid w:val="001F4EF1"/>
    <w:rsid w:val="00202C71"/>
    <w:rsid w:val="002031B9"/>
    <w:rsid w:val="0020355B"/>
    <w:rsid w:val="00210E2E"/>
    <w:rsid w:val="00223693"/>
    <w:rsid w:val="0022466F"/>
    <w:rsid w:val="00224831"/>
    <w:rsid w:val="0023008A"/>
    <w:rsid w:val="002335F0"/>
    <w:rsid w:val="00237A52"/>
    <w:rsid w:val="00240361"/>
    <w:rsid w:val="00242EBB"/>
    <w:rsid w:val="00245114"/>
    <w:rsid w:val="00252B4D"/>
    <w:rsid w:val="00253DC3"/>
    <w:rsid w:val="00261BEF"/>
    <w:rsid w:val="00261C0D"/>
    <w:rsid w:val="002761C7"/>
    <w:rsid w:val="00282E26"/>
    <w:rsid w:val="002876B7"/>
    <w:rsid w:val="00295FE9"/>
    <w:rsid w:val="002A2E9C"/>
    <w:rsid w:val="002A37D9"/>
    <w:rsid w:val="002B4225"/>
    <w:rsid w:val="002B61D4"/>
    <w:rsid w:val="002B786B"/>
    <w:rsid w:val="002C48E1"/>
    <w:rsid w:val="002C6059"/>
    <w:rsid w:val="002D2CA0"/>
    <w:rsid w:val="002E59C8"/>
    <w:rsid w:val="002E7EA8"/>
    <w:rsid w:val="002F1A68"/>
    <w:rsid w:val="002F4C15"/>
    <w:rsid w:val="0030178C"/>
    <w:rsid w:val="003040B0"/>
    <w:rsid w:val="0030473A"/>
    <w:rsid w:val="00307A19"/>
    <w:rsid w:val="0031120A"/>
    <w:rsid w:val="00312345"/>
    <w:rsid w:val="003161AC"/>
    <w:rsid w:val="00317307"/>
    <w:rsid w:val="00321551"/>
    <w:rsid w:val="003228E7"/>
    <w:rsid w:val="00324C5B"/>
    <w:rsid w:val="003277CF"/>
    <w:rsid w:val="00351B61"/>
    <w:rsid w:val="00354744"/>
    <w:rsid w:val="00355109"/>
    <w:rsid w:val="00365382"/>
    <w:rsid w:val="00365E95"/>
    <w:rsid w:val="003665C8"/>
    <w:rsid w:val="00366B2D"/>
    <w:rsid w:val="00370D1D"/>
    <w:rsid w:val="00373605"/>
    <w:rsid w:val="0037464A"/>
    <w:rsid w:val="0037661C"/>
    <w:rsid w:val="003770F3"/>
    <w:rsid w:val="00377B4C"/>
    <w:rsid w:val="00377EE1"/>
    <w:rsid w:val="00383FCA"/>
    <w:rsid w:val="00386720"/>
    <w:rsid w:val="00387DED"/>
    <w:rsid w:val="0039405B"/>
    <w:rsid w:val="00395B88"/>
    <w:rsid w:val="00396506"/>
    <w:rsid w:val="003A245E"/>
    <w:rsid w:val="003A67A8"/>
    <w:rsid w:val="003B0E60"/>
    <w:rsid w:val="003B1252"/>
    <w:rsid w:val="003B63BE"/>
    <w:rsid w:val="003B6A14"/>
    <w:rsid w:val="003C0F22"/>
    <w:rsid w:val="003E3480"/>
    <w:rsid w:val="003E6B57"/>
    <w:rsid w:val="003F2FD4"/>
    <w:rsid w:val="003F4DF5"/>
    <w:rsid w:val="003F6847"/>
    <w:rsid w:val="003F6989"/>
    <w:rsid w:val="0040231C"/>
    <w:rsid w:val="004049DE"/>
    <w:rsid w:val="00407BF5"/>
    <w:rsid w:val="0042205D"/>
    <w:rsid w:val="00427AA0"/>
    <w:rsid w:val="0043355D"/>
    <w:rsid w:val="0044228D"/>
    <w:rsid w:val="00450FE3"/>
    <w:rsid w:val="00451F87"/>
    <w:rsid w:val="004530C8"/>
    <w:rsid w:val="00456008"/>
    <w:rsid w:val="004568B6"/>
    <w:rsid w:val="0047663B"/>
    <w:rsid w:val="00476AE8"/>
    <w:rsid w:val="00480AEB"/>
    <w:rsid w:val="00480E37"/>
    <w:rsid w:val="004874BD"/>
    <w:rsid w:val="00491386"/>
    <w:rsid w:val="004923B3"/>
    <w:rsid w:val="00492DCB"/>
    <w:rsid w:val="00493BC4"/>
    <w:rsid w:val="004A3CDF"/>
    <w:rsid w:val="004C47B7"/>
    <w:rsid w:val="004C7783"/>
    <w:rsid w:val="004D073F"/>
    <w:rsid w:val="004E4F8C"/>
    <w:rsid w:val="004F722D"/>
    <w:rsid w:val="0050328A"/>
    <w:rsid w:val="00503DE9"/>
    <w:rsid w:val="00507ABF"/>
    <w:rsid w:val="0051044A"/>
    <w:rsid w:val="005121BC"/>
    <w:rsid w:val="0051388C"/>
    <w:rsid w:val="0054077B"/>
    <w:rsid w:val="0054683E"/>
    <w:rsid w:val="005505D6"/>
    <w:rsid w:val="00554913"/>
    <w:rsid w:val="00557A90"/>
    <w:rsid w:val="0057555D"/>
    <w:rsid w:val="0058525D"/>
    <w:rsid w:val="00585A6A"/>
    <w:rsid w:val="0058606D"/>
    <w:rsid w:val="0058705F"/>
    <w:rsid w:val="0059089F"/>
    <w:rsid w:val="0059176D"/>
    <w:rsid w:val="00592C11"/>
    <w:rsid w:val="005948C9"/>
    <w:rsid w:val="005958A4"/>
    <w:rsid w:val="00595E9D"/>
    <w:rsid w:val="005A08BF"/>
    <w:rsid w:val="005A58A8"/>
    <w:rsid w:val="005B2367"/>
    <w:rsid w:val="005B2D2C"/>
    <w:rsid w:val="005B364D"/>
    <w:rsid w:val="005B56F1"/>
    <w:rsid w:val="005C28BD"/>
    <w:rsid w:val="005C44C2"/>
    <w:rsid w:val="005C5534"/>
    <w:rsid w:val="005C6BD5"/>
    <w:rsid w:val="005C7DB7"/>
    <w:rsid w:val="005D1E80"/>
    <w:rsid w:val="005D345E"/>
    <w:rsid w:val="005D4A7B"/>
    <w:rsid w:val="005E4BC6"/>
    <w:rsid w:val="005E5187"/>
    <w:rsid w:val="005E7D47"/>
    <w:rsid w:val="005F5124"/>
    <w:rsid w:val="006043B0"/>
    <w:rsid w:val="00604DBD"/>
    <w:rsid w:val="006051ED"/>
    <w:rsid w:val="006114D0"/>
    <w:rsid w:val="0062204B"/>
    <w:rsid w:val="006225BC"/>
    <w:rsid w:val="00625C1D"/>
    <w:rsid w:val="0062644C"/>
    <w:rsid w:val="0063062C"/>
    <w:rsid w:val="006311A1"/>
    <w:rsid w:val="00632DF9"/>
    <w:rsid w:val="006344BE"/>
    <w:rsid w:val="00635CCF"/>
    <w:rsid w:val="00650ADB"/>
    <w:rsid w:val="00651EAF"/>
    <w:rsid w:val="00654D8C"/>
    <w:rsid w:val="00665251"/>
    <w:rsid w:val="006666A3"/>
    <w:rsid w:val="00667943"/>
    <w:rsid w:val="00671C21"/>
    <w:rsid w:val="00675C2C"/>
    <w:rsid w:val="00676FA5"/>
    <w:rsid w:val="006770A8"/>
    <w:rsid w:val="0068044D"/>
    <w:rsid w:val="00680E5B"/>
    <w:rsid w:val="006906F1"/>
    <w:rsid w:val="00690865"/>
    <w:rsid w:val="006922AD"/>
    <w:rsid w:val="00693836"/>
    <w:rsid w:val="0069709D"/>
    <w:rsid w:val="006A640E"/>
    <w:rsid w:val="006A6E7F"/>
    <w:rsid w:val="006B01DC"/>
    <w:rsid w:val="006B2D8F"/>
    <w:rsid w:val="006B446B"/>
    <w:rsid w:val="006B6132"/>
    <w:rsid w:val="006B70C3"/>
    <w:rsid w:val="006C6E6C"/>
    <w:rsid w:val="006D1AB6"/>
    <w:rsid w:val="006E03B3"/>
    <w:rsid w:val="006E0458"/>
    <w:rsid w:val="006F7E6F"/>
    <w:rsid w:val="00713B16"/>
    <w:rsid w:val="0071600F"/>
    <w:rsid w:val="00721640"/>
    <w:rsid w:val="007272D3"/>
    <w:rsid w:val="00727759"/>
    <w:rsid w:val="00731A14"/>
    <w:rsid w:val="00732F67"/>
    <w:rsid w:val="0073531C"/>
    <w:rsid w:val="00736659"/>
    <w:rsid w:val="00736E06"/>
    <w:rsid w:val="00741248"/>
    <w:rsid w:val="00741627"/>
    <w:rsid w:val="00741F4D"/>
    <w:rsid w:val="00743897"/>
    <w:rsid w:val="00744D64"/>
    <w:rsid w:val="0074798C"/>
    <w:rsid w:val="00750459"/>
    <w:rsid w:val="00753DAC"/>
    <w:rsid w:val="007564A7"/>
    <w:rsid w:val="00767DAA"/>
    <w:rsid w:val="0077037B"/>
    <w:rsid w:val="00770AB7"/>
    <w:rsid w:val="007747B1"/>
    <w:rsid w:val="00796C20"/>
    <w:rsid w:val="007A7021"/>
    <w:rsid w:val="007B31BA"/>
    <w:rsid w:val="007B4253"/>
    <w:rsid w:val="007B5DCF"/>
    <w:rsid w:val="007C13CB"/>
    <w:rsid w:val="007D6C1B"/>
    <w:rsid w:val="007F2E34"/>
    <w:rsid w:val="007F5532"/>
    <w:rsid w:val="007F5B98"/>
    <w:rsid w:val="007F7AA2"/>
    <w:rsid w:val="0080553A"/>
    <w:rsid w:val="00807489"/>
    <w:rsid w:val="008220F8"/>
    <w:rsid w:val="00822CF9"/>
    <w:rsid w:val="0082707A"/>
    <w:rsid w:val="00830DE3"/>
    <w:rsid w:val="0083493A"/>
    <w:rsid w:val="00852C11"/>
    <w:rsid w:val="0085689F"/>
    <w:rsid w:val="0086070B"/>
    <w:rsid w:val="00866DD7"/>
    <w:rsid w:val="00870C54"/>
    <w:rsid w:val="00872EF8"/>
    <w:rsid w:val="00881EE1"/>
    <w:rsid w:val="00881FC0"/>
    <w:rsid w:val="00883B83"/>
    <w:rsid w:val="008918A1"/>
    <w:rsid w:val="008B0FB5"/>
    <w:rsid w:val="008B3ABA"/>
    <w:rsid w:val="008B4E83"/>
    <w:rsid w:val="008B7A7A"/>
    <w:rsid w:val="008C03FD"/>
    <w:rsid w:val="008C16F8"/>
    <w:rsid w:val="008C4698"/>
    <w:rsid w:val="008D1CFD"/>
    <w:rsid w:val="008D2503"/>
    <w:rsid w:val="008D6BA2"/>
    <w:rsid w:val="008E4A3A"/>
    <w:rsid w:val="008E5B0E"/>
    <w:rsid w:val="008F27FB"/>
    <w:rsid w:val="008F29F5"/>
    <w:rsid w:val="008F3DAC"/>
    <w:rsid w:val="008F5CB6"/>
    <w:rsid w:val="00900AD1"/>
    <w:rsid w:val="00910C62"/>
    <w:rsid w:val="0091155C"/>
    <w:rsid w:val="00916E0C"/>
    <w:rsid w:val="00920836"/>
    <w:rsid w:val="0093556F"/>
    <w:rsid w:val="00941CA6"/>
    <w:rsid w:val="009428AD"/>
    <w:rsid w:val="009727EA"/>
    <w:rsid w:val="009732D2"/>
    <w:rsid w:val="009763FB"/>
    <w:rsid w:val="009807C8"/>
    <w:rsid w:val="00983AC3"/>
    <w:rsid w:val="00986098"/>
    <w:rsid w:val="0099799D"/>
    <w:rsid w:val="009A5FD4"/>
    <w:rsid w:val="009B247C"/>
    <w:rsid w:val="009C3039"/>
    <w:rsid w:val="009D1C36"/>
    <w:rsid w:val="009D2BD8"/>
    <w:rsid w:val="009D6E05"/>
    <w:rsid w:val="009D746E"/>
    <w:rsid w:val="009E70F3"/>
    <w:rsid w:val="009F088F"/>
    <w:rsid w:val="009F67EC"/>
    <w:rsid w:val="009F7300"/>
    <w:rsid w:val="009F7CF2"/>
    <w:rsid w:val="00A00B65"/>
    <w:rsid w:val="00A04FE9"/>
    <w:rsid w:val="00A0620B"/>
    <w:rsid w:val="00A26597"/>
    <w:rsid w:val="00A265E4"/>
    <w:rsid w:val="00A31941"/>
    <w:rsid w:val="00A41D48"/>
    <w:rsid w:val="00A43D50"/>
    <w:rsid w:val="00A4502B"/>
    <w:rsid w:val="00A521B9"/>
    <w:rsid w:val="00A5287B"/>
    <w:rsid w:val="00A6714E"/>
    <w:rsid w:val="00A67BBE"/>
    <w:rsid w:val="00A8114E"/>
    <w:rsid w:val="00A83BD6"/>
    <w:rsid w:val="00A84F7F"/>
    <w:rsid w:val="00A96A2A"/>
    <w:rsid w:val="00AA0A10"/>
    <w:rsid w:val="00AB77C6"/>
    <w:rsid w:val="00AC3884"/>
    <w:rsid w:val="00AD22CB"/>
    <w:rsid w:val="00AD2E0C"/>
    <w:rsid w:val="00AD33A7"/>
    <w:rsid w:val="00AD42F8"/>
    <w:rsid w:val="00AE08E6"/>
    <w:rsid w:val="00AE35E4"/>
    <w:rsid w:val="00AE77C8"/>
    <w:rsid w:val="00AF392B"/>
    <w:rsid w:val="00AF3D0E"/>
    <w:rsid w:val="00B005E3"/>
    <w:rsid w:val="00B01E38"/>
    <w:rsid w:val="00B05EA2"/>
    <w:rsid w:val="00B06100"/>
    <w:rsid w:val="00B062C7"/>
    <w:rsid w:val="00B06524"/>
    <w:rsid w:val="00B12837"/>
    <w:rsid w:val="00B13595"/>
    <w:rsid w:val="00B15007"/>
    <w:rsid w:val="00B17250"/>
    <w:rsid w:val="00B215C9"/>
    <w:rsid w:val="00B22580"/>
    <w:rsid w:val="00B23DDA"/>
    <w:rsid w:val="00B342F6"/>
    <w:rsid w:val="00B368A7"/>
    <w:rsid w:val="00B43802"/>
    <w:rsid w:val="00B451B1"/>
    <w:rsid w:val="00B45B02"/>
    <w:rsid w:val="00B500D0"/>
    <w:rsid w:val="00B50D9C"/>
    <w:rsid w:val="00B51B1A"/>
    <w:rsid w:val="00B52CF2"/>
    <w:rsid w:val="00B579BB"/>
    <w:rsid w:val="00B63287"/>
    <w:rsid w:val="00B76430"/>
    <w:rsid w:val="00B836C5"/>
    <w:rsid w:val="00B902A3"/>
    <w:rsid w:val="00B94BDF"/>
    <w:rsid w:val="00B94CAD"/>
    <w:rsid w:val="00B9764C"/>
    <w:rsid w:val="00BA60CD"/>
    <w:rsid w:val="00BB19AE"/>
    <w:rsid w:val="00BB2FF1"/>
    <w:rsid w:val="00BB5FCB"/>
    <w:rsid w:val="00BB7D2F"/>
    <w:rsid w:val="00BC2570"/>
    <w:rsid w:val="00BC2CBD"/>
    <w:rsid w:val="00BC3EEB"/>
    <w:rsid w:val="00BC5A99"/>
    <w:rsid w:val="00BC793B"/>
    <w:rsid w:val="00BD3169"/>
    <w:rsid w:val="00BD4325"/>
    <w:rsid w:val="00BD4855"/>
    <w:rsid w:val="00BD79B7"/>
    <w:rsid w:val="00BF445F"/>
    <w:rsid w:val="00BF578E"/>
    <w:rsid w:val="00C03D1D"/>
    <w:rsid w:val="00C069AC"/>
    <w:rsid w:val="00C22A3F"/>
    <w:rsid w:val="00C300BD"/>
    <w:rsid w:val="00C367BF"/>
    <w:rsid w:val="00C379A6"/>
    <w:rsid w:val="00C4275C"/>
    <w:rsid w:val="00C4404D"/>
    <w:rsid w:val="00C45045"/>
    <w:rsid w:val="00C45CED"/>
    <w:rsid w:val="00C46B8A"/>
    <w:rsid w:val="00C50FFB"/>
    <w:rsid w:val="00C523F5"/>
    <w:rsid w:val="00C607B2"/>
    <w:rsid w:val="00C619B8"/>
    <w:rsid w:val="00C62135"/>
    <w:rsid w:val="00C64B58"/>
    <w:rsid w:val="00C6537C"/>
    <w:rsid w:val="00C72500"/>
    <w:rsid w:val="00C72E2A"/>
    <w:rsid w:val="00C753C3"/>
    <w:rsid w:val="00C775D1"/>
    <w:rsid w:val="00C81CA8"/>
    <w:rsid w:val="00C859D4"/>
    <w:rsid w:val="00C9097E"/>
    <w:rsid w:val="00C914A6"/>
    <w:rsid w:val="00C9172C"/>
    <w:rsid w:val="00C96997"/>
    <w:rsid w:val="00C97ACC"/>
    <w:rsid w:val="00CA17AF"/>
    <w:rsid w:val="00CA2C36"/>
    <w:rsid w:val="00CA6907"/>
    <w:rsid w:val="00CA78F3"/>
    <w:rsid w:val="00CB25C4"/>
    <w:rsid w:val="00CC260F"/>
    <w:rsid w:val="00CC340D"/>
    <w:rsid w:val="00CC3E25"/>
    <w:rsid w:val="00CD0BE7"/>
    <w:rsid w:val="00CD7B6A"/>
    <w:rsid w:val="00CE0359"/>
    <w:rsid w:val="00CE1B04"/>
    <w:rsid w:val="00CE25E6"/>
    <w:rsid w:val="00CF0EC5"/>
    <w:rsid w:val="00CF155F"/>
    <w:rsid w:val="00D122ED"/>
    <w:rsid w:val="00D1313B"/>
    <w:rsid w:val="00D1531D"/>
    <w:rsid w:val="00D21596"/>
    <w:rsid w:val="00D21965"/>
    <w:rsid w:val="00D224E2"/>
    <w:rsid w:val="00D24E75"/>
    <w:rsid w:val="00D25FE9"/>
    <w:rsid w:val="00D26093"/>
    <w:rsid w:val="00D30A55"/>
    <w:rsid w:val="00D32C1D"/>
    <w:rsid w:val="00D35C06"/>
    <w:rsid w:val="00D411E5"/>
    <w:rsid w:val="00D5016B"/>
    <w:rsid w:val="00D605CA"/>
    <w:rsid w:val="00D66711"/>
    <w:rsid w:val="00D866F0"/>
    <w:rsid w:val="00D874E4"/>
    <w:rsid w:val="00D91050"/>
    <w:rsid w:val="00D9264B"/>
    <w:rsid w:val="00D948A2"/>
    <w:rsid w:val="00D94E18"/>
    <w:rsid w:val="00D9791E"/>
    <w:rsid w:val="00DB09F0"/>
    <w:rsid w:val="00DB5163"/>
    <w:rsid w:val="00DC2C24"/>
    <w:rsid w:val="00DC3589"/>
    <w:rsid w:val="00DC5733"/>
    <w:rsid w:val="00DD00E1"/>
    <w:rsid w:val="00DD4AB0"/>
    <w:rsid w:val="00DD55A9"/>
    <w:rsid w:val="00DE21A1"/>
    <w:rsid w:val="00DE25F4"/>
    <w:rsid w:val="00DE4B33"/>
    <w:rsid w:val="00DE7477"/>
    <w:rsid w:val="00DF1494"/>
    <w:rsid w:val="00E0018B"/>
    <w:rsid w:val="00E032E9"/>
    <w:rsid w:val="00E10E78"/>
    <w:rsid w:val="00E11E34"/>
    <w:rsid w:val="00E11F34"/>
    <w:rsid w:val="00E16A91"/>
    <w:rsid w:val="00E253B1"/>
    <w:rsid w:val="00E26F02"/>
    <w:rsid w:val="00E3218F"/>
    <w:rsid w:val="00E3797D"/>
    <w:rsid w:val="00E44F17"/>
    <w:rsid w:val="00E46FC0"/>
    <w:rsid w:val="00E52F51"/>
    <w:rsid w:val="00E55725"/>
    <w:rsid w:val="00E6292C"/>
    <w:rsid w:val="00E70EDA"/>
    <w:rsid w:val="00E711CB"/>
    <w:rsid w:val="00E72235"/>
    <w:rsid w:val="00E831A0"/>
    <w:rsid w:val="00E9001D"/>
    <w:rsid w:val="00E94E8B"/>
    <w:rsid w:val="00E95473"/>
    <w:rsid w:val="00E97FC1"/>
    <w:rsid w:val="00EA752A"/>
    <w:rsid w:val="00EB0065"/>
    <w:rsid w:val="00EB0653"/>
    <w:rsid w:val="00EB56F2"/>
    <w:rsid w:val="00EB7974"/>
    <w:rsid w:val="00ED0BE6"/>
    <w:rsid w:val="00ED0EED"/>
    <w:rsid w:val="00ED109E"/>
    <w:rsid w:val="00ED130B"/>
    <w:rsid w:val="00ED4A76"/>
    <w:rsid w:val="00ED7577"/>
    <w:rsid w:val="00EE0CB9"/>
    <w:rsid w:val="00EE1451"/>
    <w:rsid w:val="00EE40F1"/>
    <w:rsid w:val="00EE6745"/>
    <w:rsid w:val="00EE72F7"/>
    <w:rsid w:val="00EF49FD"/>
    <w:rsid w:val="00EF7100"/>
    <w:rsid w:val="00F14C16"/>
    <w:rsid w:val="00F16F9C"/>
    <w:rsid w:val="00F21C0D"/>
    <w:rsid w:val="00F239DF"/>
    <w:rsid w:val="00F26FBD"/>
    <w:rsid w:val="00F30E4D"/>
    <w:rsid w:val="00F328FA"/>
    <w:rsid w:val="00F35057"/>
    <w:rsid w:val="00F4012E"/>
    <w:rsid w:val="00F436C6"/>
    <w:rsid w:val="00F511CE"/>
    <w:rsid w:val="00F52A51"/>
    <w:rsid w:val="00F6136F"/>
    <w:rsid w:val="00F61561"/>
    <w:rsid w:val="00F652AA"/>
    <w:rsid w:val="00F67AE1"/>
    <w:rsid w:val="00F71ACD"/>
    <w:rsid w:val="00F73787"/>
    <w:rsid w:val="00F73968"/>
    <w:rsid w:val="00F746BA"/>
    <w:rsid w:val="00F8150D"/>
    <w:rsid w:val="00F81D94"/>
    <w:rsid w:val="00F832C3"/>
    <w:rsid w:val="00F93B89"/>
    <w:rsid w:val="00FA02E7"/>
    <w:rsid w:val="00FA3D41"/>
    <w:rsid w:val="00FA501F"/>
    <w:rsid w:val="00FB07D0"/>
    <w:rsid w:val="00FB6942"/>
    <w:rsid w:val="00FC263B"/>
    <w:rsid w:val="00FC3AE6"/>
    <w:rsid w:val="00FC63FD"/>
    <w:rsid w:val="00FD405D"/>
    <w:rsid w:val="00FD45F0"/>
    <w:rsid w:val="00FD6165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E584C"/>
  <w15:docId w15:val="{0AA9EDB1-F866-477C-A83C-5198D82D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720"/>
      <w:jc w:val="both"/>
      <w:outlineLvl w:val="0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framePr w:w="2601" w:h="2881" w:hSpace="180" w:wrap="auto" w:vAnchor="text" w:hAnchor="page" w:x="1441" w:y="367"/>
    </w:pPr>
    <w:rPr>
      <w:sz w:val="28"/>
      <w:lang w:val="bg-BG"/>
    </w:rPr>
  </w:style>
  <w:style w:type="paragraph" w:styleId="BodyText3">
    <w:name w:val="Body Text 3"/>
    <w:basedOn w:val="Normal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firstLine="720"/>
      <w:jc w:val="both"/>
    </w:pPr>
    <w:rPr>
      <w:sz w:val="28"/>
      <w:lang w:val="bg-BG"/>
    </w:rPr>
  </w:style>
  <w:style w:type="paragraph" w:styleId="BodyTextIndent3">
    <w:name w:val="Body Text Indent 3"/>
    <w:basedOn w:val="Normal"/>
    <w:pPr>
      <w:ind w:firstLine="720"/>
      <w:jc w:val="both"/>
    </w:pPr>
    <w:rPr>
      <w:b/>
      <w:sz w:val="28"/>
      <w:lang w:val="bg-BG"/>
    </w:rPr>
  </w:style>
  <w:style w:type="paragraph" w:styleId="Title">
    <w:name w:val="Title"/>
    <w:basedOn w:val="Normal"/>
    <w:qFormat/>
    <w:pPr>
      <w:jc w:val="center"/>
    </w:pPr>
    <w:rPr>
      <w:b/>
      <w:sz w:val="28"/>
      <w:lang w:val="bg-BG"/>
    </w:rPr>
  </w:style>
  <w:style w:type="paragraph" w:styleId="Caption">
    <w:name w:val="caption"/>
    <w:basedOn w:val="Normal"/>
    <w:next w:val="Normal"/>
    <w:qFormat/>
    <w:pPr>
      <w:jc w:val="center"/>
    </w:pPr>
    <w:rPr>
      <w:b/>
      <w:lang w:val="bg-BG"/>
    </w:rPr>
  </w:style>
  <w:style w:type="paragraph" w:styleId="PlainText">
    <w:name w:val="Plain Text"/>
    <w:basedOn w:val="Normal"/>
    <w:rPr>
      <w:rFonts w:ascii="Courier New" w:hAnsi="Courier New"/>
      <w:sz w:val="20"/>
      <w:lang w:val="bg-BG"/>
    </w:rPr>
  </w:style>
  <w:style w:type="paragraph" w:styleId="BalloonText">
    <w:name w:val="Balloon Text"/>
    <w:basedOn w:val="Normal"/>
    <w:semiHidden/>
    <w:rsid w:val="00650ADB"/>
    <w:rPr>
      <w:rFonts w:ascii="Tahoma" w:hAnsi="Tahoma" w:cs="Tahoma"/>
      <w:sz w:val="16"/>
      <w:szCs w:val="16"/>
    </w:rPr>
  </w:style>
  <w:style w:type="paragraph" w:customStyle="1" w:styleId="Style">
    <w:name w:val="Style"/>
    <w:rsid w:val="009B247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Char">
    <w:name w:val="Char Char Char Char"/>
    <w:basedOn w:val="Normal"/>
    <w:rsid w:val="009B247C"/>
    <w:pPr>
      <w:widowControl w:val="0"/>
      <w:tabs>
        <w:tab w:val="num" w:pos="360"/>
      </w:tabs>
      <w:jc w:val="both"/>
    </w:pPr>
    <w:rPr>
      <w:rFonts w:ascii="Arial" w:eastAsia="SimSun" w:hAnsi="Arial" w:cs="Arial"/>
      <w:kern w:val="2"/>
      <w:sz w:val="20"/>
      <w:szCs w:val="24"/>
    </w:rPr>
  </w:style>
  <w:style w:type="character" w:styleId="HTMLTypewriter">
    <w:name w:val="HTML Typewriter"/>
    <w:rsid w:val="004C7783"/>
    <w:rPr>
      <w:rFonts w:ascii="Courier New" w:eastAsia="Times New Roman" w:hAnsi="Courier New" w:cs="Courier New" w:hint="default"/>
      <w:sz w:val="20"/>
      <w:szCs w:val="20"/>
    </w:rPr>
  </w:style>
  <w:style w:type="paragraph" w:styleId="DocumentMap">
    <w:name w:val="Document Map"/>
    <w:basedOn w:val="Normal"/>
    <w:semiHidden/>
    <w:rsid w:val="004C7783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Char0">
    <w:name w:val="Знак Char Char Char Char"/>
    <w:basedOn w:val="Normal"/>
    <w:rsid w:val="0086070B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a">
    <w:name w:val="Знак Знак"/>
    <w:basedOn w:val="Normal"/>
    <w:rsid w:val="00E11F34"/>
    <w:rPr>
      <w:szCs w:val="24"/>
      <w:lang w:val="pl-PL" w:eastAsia="pl-PL"/>
    </w:rPr>
  </w:style>
  <w:style w:type="character" w:customStyle="1" w:styleId="search3">
    <w:name w:val="search3"/>
    <w:basedOn w:val="DefaultParagraphFont"/>
    <w:rsid w:val="00ED130B"/>
  </w:style>
  <w:style w:type="character" w:customStyle="1" w:styleId="search4">
    <w:name w:val="search4"/>
    <w:basedOn w:val="DefaultParagraphFont"/>
    <w:rsid w:val="00ED130B"/>
  </w:style>
  <w:style w:type="character" w:customStyle="1" w:styleId="newdocreference1">
    <w:name w:val="newdocreference1"/>
    <w:rsid w:val="00ED130B"/>
    <w:rPr>
      <w:i w:val="0"/>
      <w:iCs w:val="0"/>
      <w:color w:val="0000FF"/>
      <w:u w:val="single"/>
    </w:rPr>
  </w:style>
  <w:style w:type="character" w:styleId="Strong">
    <w:name w:val="Strong"/>
    <w:qFormat/>
    <w:rsid w:val="004049DE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605CA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Cs w:val="24"/>
      <w:lang w:val="bg-BG" w:eastAsia="bg-BG"/>
    </w:rPr>
  </w:style>
  <w:style w:type="paragraph" w:customStyle="1" w:styleId="TableParagraph">
    <w:name w:val="Table Paragraph"/>
    <w:basedOn w:val="Normal"/>
    <w:uiPriority w:val="1"/>
    <w:qFormat/>
    <w:rsid w:val="00D605CA"/>
    <w:pPr>
      <w:widowControl w:val="0"/>
      <w:autoSpaceDE w:val="0"/>
      <w:autoSpaceDN w:val="0"/>
      <w:ind w:left="124"/>
    </w:pPr>
    <w:rPr>
      <w:rFonts w:ascii="Liberation Serif" w:eastAsia="Liberation Serif" w:hAnsi="Liberation Serif" w:cs="Liberation Serif"/>
      <w:sz w:val="22"/>
      <w:szCs w:val="22"/>
      <w:lang w:val="bg-BG" w:eastAsia="en-US"/>
    </w:rPr>
  </w:style>
  <w:style w:type="character" w:styleId="CommentReference">
    <w:name w:val="annotation reference"/>
    <w:basedOn w:val="DefaultParagraphFont"/>
    <w:semiHidden/>
    <w:unhideWhenUsed/>
    <w:rsid w:val="00CA69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690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690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6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6907"/>
    <w:rPr>
      <w:b/>
      <w:bCs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1528F"/>
    <w:rPr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D866F0"/>
    <w:rPr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9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19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099">
                      <w:marLeft w:val="-1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A2C5D-2874-4974-9440-6FAD9A6C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ЗЕМЕДЕЛИЕТО,</vt:lpstr>
    </vt:vector>
  </TitlesOfParts>
  <Company>NFB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</dc:title>
  <dc:subject/>
  <dc:creator>fff</dc:creator>
  <cp:keywords/>
  <cp:lastModifiedBy>Petya Ivanova</cp:lastModifiedBy>
  <cp:revision>4</cp:revision>
  <cp:lastPrinted>2017-07-24T07:49:00Z</cp:lastPrinted>
  <dcterms:created xsi:type="dcterms:W3CDTF">2021-03-31T09:39:00Z</dcterms:created>
  <dcterms:modified xsi:type="dcterms:W3CDTF">2021-04-02T07:47:00Z</dcterms:modified>
</cp:coreProperties>
</file>