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D4F" w:rsidRDefault="00E21D4F" w:rsidP="00E21D4F">
      <w:pPr>
        <w:rPr>
          <w:rFonts w:ascii="Times New Roman" w:eastAsia="Times New Roman" w:hAnsi="Times New Roman" w:cs="Times New Roman"/>
          <w:b/>
          <w:sz w:val="24"/>
          <w:szCs w:val="24"/>
          <w:lang w:val="bg-BG" w:bidi="en-US"/>
        </w:rPr>
      </w:pPr>
      <w:r>
        <w:rPr>
          <w:b/>
          <w:noProof/>
          <w:sz w:val="16"/>
          <w:szCs w:val="16"/>
          <w:lang w:val="it-IT" w:eastAsia="it-IT"/>
        </w:rPr>
        <w:drawing>
          <wp:inline distT="0" distB="0" distL="0" distR="0" wp14:anchorId="15D8CD2C" wp14:editId="3943D5B2">
            <wp:extent cx="1428750" cy="685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28750" cy="685800"/>
                    </a:xfrm>
                    <a:prstGeom prst="rect">
                      <a:avLst/>
                    </a:prstGeom>
                    <a:noFill/>
                    <a:ln>
                      <a:noFill/>
                    </a:ln>
                  </pic:spPr>
                </pic:pic>
              </a:graphicData>
            </a:graphic>
          </wp:inline>
        </w:drawing>
      </w:r>
      <w:r>
        <w:rPr>
          <w:rFonts w:ascii="Times New Roman" w:eastAsia="Times New Roman" w:hAnsi="Times New Roman" w:cs="Times New Roman"/>
          <w:b/>
          <w:sz w:val="24"/>
          <w:szCs w:val="24"/>
          <w:lang w:val="bg-BG" w:bidi="en-US"/>
        </w:rPr>
        <w:t xml:space="preserve">                                </w:t>
      </w:r>
      <w:r w:rsidR="00A55D29">
        <w:rPr>
          <w:rFonts w:ascii="Times New Roman" w:eastAsia="Times New Roman" w:hAnsi="Times New Roman" w:cs="Times New Roman"/>
          <w:b/>
          <w:sz w:val="24"/>
          <w:szCs w:val="24"/>
          <w:lang w:bidi="en-US"/>
        </w:rPr>
        <w:t xml:space="preserve">                                                                                </w:t>
      </w:r>
      <w:r w:rsidR="00A82B04">
        <w:rPr>
          <w:rFonts w:ascii="Times New Roman" w:eastAsia="Times New Roman" w:hAnsi="Times New Roman" w:cs="Times New Roman"/>
          <w:b/>
          <w:sz w:val="24"/>
          <w:szCs w:val="24"/>
          <w:lang w:val="bg-BG" w:bidi="en-US"/>
        </w:rPr>
        <w:t xml:space="preserve">      </w:t>
      </w:r>
      <w:r w:rsidR="00A55D29">
        <w:rPr>
          <w:rFonts w:ascii="Times New Roman" w:eastAsia="Times New Roman" w:hAnsi="Times New Roman" w:cs="Times New Roman"/>
          <w:b/>
          <w:sz w:val="24"/>
          <w:szCs w:val="24"/>
          <w:lang w:bidi="en-US"/>
        </w:rPr>
        <w:t xml:space="preserve">              </w:t>
      </w:r>
      <w:r>
        <w:rPr>
          <w:rFonts w:ascii="Times New Roman" w:eastAsia="Times New Roman" w:hAnsi="Times New Roman" w:cs="Times New Roman"/>
          <w:b/>
          <w:sz w:val="24"/>
          <w:szCs w:val="24"/>
          <w:lang w:val="bg-BG" w:bidi="en-US"/>
        </w:rPr>
        <w:t xml:space="preserve">                               </w:t>
      </w:r>
      <w:r>
        <w:rPr>
          <w:b/>
          <w:noProof/>
          <w:sz w:val="16"/>
          <w:szCs w:val="16"/>
          <w:lang w:val="it-IT" w:eastAsia="it-IT"/>
        </w:rPr>
        <w:drawing>
          <wp:inline distT="0" distB="0" distL="0" distR="0" wp14:anchorId="7A69D6CA" wp14:editId="49620E60">
            <wp:extent cx="1047750" cy="6000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600075"/>
                    </a:xfrm>
                    <a:prstGeom prst="rect">
                      <a:avLst/>
                    </a:prstGeom>
                    <a:noFill/>
                    <a:ln>
                      <a:noFill/>
                    </a:ln>
                  </pic:spPr>
                </pic:pic>
              </a:graphicData>
            </a:graphic>
          </wp:inline>
        </w:drawing>
      </w:r>
    </w:p>
    <w:p w:rsidR="00E21D4F" w:rsidRPr="00A55D29" w:rsidRDefault="00E21D4F" w:rsidP="00E21D4F">
      <w:pPr>
        <w:spacing w:after="0" w:line="240" w:lineRule="auto"/>
        <w:rPr>
          <w:rFonts w:ascii="Times New Roman" w:eastAsia="Times New Roman" w:hAnsi="Times New Roman" w:cs="Times New Roman"/>
          <w:color w:val="17365D" w:themeColor="text2" w:themeShade="BF"/>
          <w:sz w:val="16"/>
          <w:szCs w:val="16"/>
          <w:lang w:bidi="en-US"/>
        </w:rPr>
      </w:pPr>
      <w:r w:rsidRPr="00A55D29">
        <w:rPr>
          <w:rFonts w:ascii="Times New Roman" w:eastAsia="Times New Roman" w:hAnsi="Times New Roman" w:cs="Times New Roman"/>
          <w:sz w:val="24"/>
          <w:szCs w:val="24"/>
          <w:lang w:val="bg-BG" w:bidi="en-US"/>
        </w:rPr>
        <w:t xml:space="preserve">                                                                                                           </w:t>
      </w:r>
      <w:r w:rsidR="00A55D29" w:rsidRPr="00A55D29">
        <w:rPr>
          <w:rFonts w:ascii="Times New Roman" w:eastAsia="Times New Roman" w:hAnsi="Times New Roman" w:cs="Times New Roman"/>
          <w:sz w:val="24"/>
          <w:szCs w:val="24"/>
          <w:lang w:bidi="en-US"/>
        </w:rPr>
        <w:t xml:space="preserve">                                                                                             </w:t>
      </w:r>
      <w:r w:rsidRPr="00A55D29">
        <w:rPr>
          <w:rFonts w:ascii="Times New Roman" w:eastAsia="Times New Roman" w:hAnsi="Times New Roman" w:cs="Times New Roman"/>
          <w:sz w:val="24"/>
          <w:szCs w:val="24"/>
          <w:lang w:val="bg-BG" w:bidi="en-US"/>
        </w:rPr>
        <w:t xml:space="preserve">   </w:t>
      </w:r>
      <w:r w:rsidRPr="00A55D29">
        <w:rPr>
          <w:rFonts w:ascii="Times New Roman" w:eastAsia="Times New Roman" w:hAnsi="Times New Roman" w:cs="Times New Roman"/>
          <w:color w:val="17365D" w:themeColor="text2" w:themeShade="BF"/>
          <w:sz w:val="16"/>
          <w:szCs w:val="16"/>
          <w:lang w:val="bg-BG" w:bidi="en-US"/>
        </w:rPr>
        <w:t>Европейски съюз</w:t>
      </w:r>
    </w:p>
    <w:p w:rsidR="00A55D29" w:rsidRPr="00A55D29" w:rsidRDefault="00FB1E0C" w:rsidP="00E21D4F">
      <w:pPr>
        <w:spacing w:after="0" w:line="240" w:lineRule="auto"/>
        <w:rPr>
          <w:rFonts w:ascii="Times New Roman" w:eastAsia="Times New Roman" w:hAnsi="Times New Roman" w:cs="Times New Roman"/>
          <w:sz w:val="24"/>
          <w:szCs w:val="24"/>
          <w:lang w:bidi="en-US"/>
        </w:rPr>
      </w:pPr>
      <w:r>
        <w:rPr>
          <w:rFonts w:ascii="Times New Roman" w:eastAsia="Times New Roman" w:hAnsi="Times New Roman" w:cs="Times New Roman"/>
          <w:sz w:val="24"/>
          <w:szCs w:val="24"/>
          <w:lang w:bidi="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Ред за подпис на Microsoft Office..." style="width:192pt;height:96pt">
            <v:imagedata r:id="rId9" o:title=""/>
            <o:lock v:ext="edit" ungrouping="t" rotation="t" cropping="t" verticies="t" text="t" grouping="t"/>
            <o:signatureline v:ext="edit" id="{B7C0F067-D08B-4C3B-8D54-838B48DD32CB}" provid="{00000000-0000-0000-0000-000000000000}" issignatureline="t"/>
          </v:shape>
        </w:pict>
      </w:r>
    </w:p>
    <w:p w:rsidR="00CF2427" w:rsidRDefault="00CF2427" w:rsidP="00A55D29">
      <w:pPr>
        <w:spacing w:after="0" w:line="240" w:lineRule="auto"/>
        <w:jc w:val="center"/>
        <w:rPr>
          <w:rFonts w:ascii="Times New Roman" w:eastAsia="Times New Roman" w:hAnsi="Times New Roman" w:cs="Times New Roman"/>
          <w:b/>
          <w:sz w:val="24"/>
          <w:szCs w:val="24"/>
          <w:lang w:val="bg-BG" w:bidi="en-US"/>
        </w:rPr>
      </w:pPr>
      <w:r>
        <w:rPr>
          <w:rFonts w:ascii="Times New Roman" w:eastAsia="Times New Roman" w:hAnsi="Times New Roman" w:cs="Times New Roman"/>
          <w:b/>
          <w:sz w:val="24"/>
          <w:szCs w:val="24"/>
          <w:lang w:bidi="en-US"/>
        </w:rPr>
        <w:t xml:space="preserve">                                         </w:t>
      </w:r>
      <w:r>
        <w:rPr>
          <w:rFonts w:ascii="Times New Roman" w:eastAsia="Times New Roman" w:hAnsi="Times New Roman" w:cs="Times New Roman"/>
          <w:b/>
          <w:sz w:val="24"/>
          <w:szCs w:val="24"/>
          <w:lang w:val="bg-BG" w:bidi="en-US"/>
        </w:rPr>
        <w:t xml:space="preserve">                                            </w:t>
      </w:r>
      <w:r>
        <w:rPr>
          <w:rFonts w:ascii="Times New Roman" w:eastAsia="Times New Roman" w:hAnsi="Times New Roman" w:cs="Times New Roman"/>
          <w:b/>
          <w:sz w:val="24"/>
          <w:szCs w:val="24"/>
          <w:lang w:bidi="en-US"/>
        </w:rPr>
        <w:t xml:space="preserve">Одобрил:               </w:t>
      </w:r>
    </w:p>
    <w:p w:rsidR="00CF2427" w:rsidRDefault="00CF2427" w:rsidP="00A55D29">
      <w:pPr>
        <w:spacing w:after="0" w:line="240" w:lineRule="auto"/>
        <w:jc w:val="center"/>
        <w:rPr>
          <w:rFonts w:ascii="Times New Roman" w:eastAsia="Times New Roman" w:hAnsi="Times New Roman" w:cs="Times New Roman"/>
          <w:b/>
          <w:sz w:val="24"/>
          <w:szCs w:val="24"/>
          <w:lang w:val="bg-BG" w:bidi="en-US"/>
        </w:rPr>
      </w:pPr>
      <w:r>
        <w:rPr>
          <w:rFonts w:ascii="Times New Roman" w:eastAsia="Times New Roman" w:hAnsi="Times New Roman" w:cs="Times New Roman"/>
          <w:b/>
          <w:sz w:val="24"/>
          <w:szCs w:val="24"/>
          <w:lang w:val="bg-BG" w:bidi="en-US"/>
        </w:rPr>
        <w:t xml:space="preserve">                                                </w:t>
      </w:r>
    </w:p>
    <w:p w:rsidR="00A55D29" w:rsidRDefault="00CF2427" w:rsidP="00A55D29">
      <w:pPr>
        <w:spacing w:after="0" w:line="240"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val="bg-BG" w:bidi="en-US"/>
        </w:rPr>
        <w:t xml:space="preserve">                                                       </w:t>
      </w:r>
      <w:r w:rsidR="00FB1E0C">
        <w:rPr>
          <w:rFonts w:ascii="Times New Roman" w:eastAsia="Times New Roman" w:hAnsi="Times New Roman" w:cs="Times New Roman"/>
          <w:b/>
          <w:sz w:val="24"/>
          <w:szCs w:val="24"/>
          <w:lang w:val="bg-BG" w:bidi="en-US"/>
        </w:rPr>
        <w:pict>
          <v:shape id="_x0000_i1026" type="#_x0000_t75" alt="Ред за подпис на Microsoft Office..." style="width:192pt;height:96pt">
            <v:imagedata r:id="rId10" o:title=""/>
            <o:lock v:ext="edit" ungrouping="t" rotation="t" cropping="t" verticies="t" text="t" grouping="t"/>
            <o:signatureline v:ext="edit" id="{BA1B841B-8F17-4D8A-834C-EDB4099A1379}" provid="{00000000-0000-0000-0000-000000000000}" o:suggestedsigner="Доц. д-р Янко Иванов" o:suggestedsigner2="Зам.-министър на МЗХГ" issignatureline="t"/>
          </v:shape>
        </w:pict>
      </w:r>
      <w:r>
        <w:rPr>
          <w:rFonts w:ascii="Times New Roman" w:eastAsia="Times New Roman" w:hAnsi="Times New Roman" w:cs="Times New Roman"/>
          <w:b/>
          <w:sz w:val="24"/>
          <w:szCs w:val="24"/>
          <w:lang w:bidi="en-US"/>
        </w:rPr>
        <w:t xml:space="preserve">                           </w:t>
      </w:r>
    </w:p>
    <w:p w:rsidR="00CF2427" w:rsidRDefault="00CF2427" w:rsidP="00A55D29">
      <w:pPr>
        <w:spacing w:after="0" w:line="240" w:lineRule="auto"/>
        <w:jc w:val="center"/>
        <w:rPr>
          <w:rFonts w:ascii="Times New Roman" w:eastAsia="Times New Roman" w:hAnsi="Times New Roman" w:cs="Times New Roman"/>
          <w:b/>
          <w:sz w:val="24"/>
          <w:szCs w:val="24"/>
          <w:lang w:val="bg-BG" w:bidi="en-US"/>
        </w:rPr>
      </w:pPr>
    </w:p>
    <w:p w:rsidR="00CF2427" w:rsidRPr="00CF2427" w:rsidRDefault="00CF2427" w:rsidP="00A55D29">
      <w:pPr>
        <w:spacing w:after="0" w:line="240" w:lineRule="auto"/>
        <w:jc w:val="center"/>
        <w:rPr>
          <w:rFonts w:ascii="Times New Roman" w:eastAsia="Times New Roman" w:hAnsi="Times New Roman" w:cs="Times New Roman"/>
          <w:b/>
          <w:sz w:val="24"/>
          <w:szCs w:val="24"/>
          <w:lang w:val="bg-BG" w:bidi="en-US"/>
        </w:rPr>
      </w:pP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ПРОТОКОЛ</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ОТ  ПРОВЕДЕНА ПИСМЕНА ПРОЦЕДУРА</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r w:rsidRPr="00A55D29">
        <w:rPr>
          <w:rFonts w:ascii="Times New Roman" w:eastAsia="Times New Roman" w:hAnsi="Times New Roman" w:cs="Times New Roman"/>
          <w:b/>
          <w:sz w:val="24"/>
          <w:szCs w:val="24"/>
          <w:lang w:val="bg-BG" w:bidi="en-US"/>
        </w:rPr>
        <w:t>НА КОМИТЕТА ПО НАБЛЮДЕНИЕ НА ПРСР  2014-2020 г.</w:t>
      </w:r>
    </w:p>
    <w:p w:rsidR="00A55D29" w:rsidRPr="00A55D29" w:rsidRDefault="00A55D29" w:rsidP="00A55D29">
      <w:pPr>
        <w:spacing w:after="0" w:line="240" w:lineRule="auto"/>
        <w:jc w:val="center"/>
        <w:rPr>
          <w:rFonts w:ascii="Times New Roman" w:eastAsia="Times New Roman" w:hAnsi="Times New Roman" w:cs="Times New Roman"/>
          <w:b/>
          <w:sz w:val="24"/>
          <w:szCs w:val="24"/>
          <w:lang w:val="bg-BG" w:bidi="en-US"/>
        </w:rPr>
      </w:pPr>
    </w:p>
    <w:p w:rsidR="00A55D29" w:rsidRPr="00A55D29" w:rsidRDefault="00A55D29" w:rsidP="00A55D29">
      <w:pPr>
        <w:spacing w:after="0" w:line="240" w:lineRule="auto"/>
        <w:jc w:val="center"/>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val="bg-BG" w:bidi="en-US"/>
        </w:rPr>
        <w:t>22.02.2021 - 25.02.2021 г., у</w:t>
      </w:r>
      <w:r w:rsidRPr="00A55D29">
        <w:rPr>
          <w:rFonts w:ascii="Times New Roman" w:eastAsia="Times New Roman" w:hAnsi="Times New Roman" w:cs="Times New Roman"/>
          <w:sz w:val="24"/>
          <w:szCs w:val="24"/>
          <w:lang w:val="bg-BG" w:bidi="en-US"/>
        </w:rPr>
        <w:t>дължена до 09.03.2021 г.</w:t>
      </w:r>
    </w:p>
    <w:p w:rsidR="00A55D29" w:rsidRPr="00A55D29" w:rsidRDefault="00A55D29" w:rsidP="00A55D29">
      <w:pPr>
        <w:spacing w:after="0" w:line="240" w:lineRule="auto"/>
        <w:jc w:val="center"/>
        <w:rPr>
          <w:rFonts w:ascii="Times New Roman" w:eastAsia="Times New Roman" w:hAnsi="Times New Roman" w:cs="Times New Roman"/>
          <w:sz w:val="24"/>
          <w:szCs w:val="24"/>
          <w:lang w:val="bg-BG" w:bidi="en-US"/>
        </w:rPr>
      </w:pPr>
    </w:p>
    <w:p w:rsidR="00A55D29" w:rsidRPr="00A55D29" w:rsidRDefault="00E13D5E" w:rsidP="00E13D5E">
      <w:pPr>
        <w:spacing w:after="0" w:line="240" w:lineRule="auto"/>
        <w:ind w:left="284" w:firstLine="567"/>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val="bg-BG" w:bidi="en-US"/>
        </w:rPr>
        <w:t xml:space="preserve">            </w:t>
      </w:r>
      <w:r w:rsidR="00A55D29" w:rsidRPr="00A55D29">
        <w:rPr>
          <w:rFonts w:ascii="Times New Roman" w:eastAsia="Times New Roman" w:hAnsi="Times New Roman" w:cs="Times New Roman"/>
          <w:sz w:val="24"/>
          <w:szCs w:val="24"/>
          <w:lang w:val="bg-BG" w:bidi="en-US"/>
        </w:rPr>
        <w:t>ФАКТОЛОГИЯ:</w:t>
      </w:r>
    </w:p>
    <w:p w:rsidR="00A55D29" w:rsidRPr="00A55D29" w:rsidRDefault="00A55D29" w:rsidP="00E13D5E">
      <w:pPr>
        <w:spacing w:after="0" w:line="240" w:lineRule="auto"/>
        <w:ind w:left="284" w:firstLine="567"/>
        <w:rPr>
          <w:rFonts w:ascii="Times New Roman" w:eastAsia="Times New Roman" w:hAnsi="Times New Roman" w:cs="Times New Roman"/>
          <w:sz w:val="24"/>
          <w:szCs w:val="24"/>
          <w:lang w:val="bg-BG" w:bidi="en-US"/>
        </w:rPr>
      </w:pP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tab/>
        <w:t>На 19.02.2021 г. се проведе 16 заседание на Комитета за наблюдение на Програмата за развитие на селските райони 2014-2020 г. (КН на ПРСР) чрез видеоконферентна връзка. Предвид невъзможността да се постигне квалифицирано мнозинство по т. 9 от дневния ред  „Предложение на УО на ПРСР за Индикативна годишна работна програма за 2021 година“, поради липса на кворум, Управляващият орган на ПРСР предложи тази точка от дневния ред да се разгледа и съгласува неприсъствено, чрез писмена процедура.</w:t>
      </w: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lastRenderedPageBreak/>
        <w:tab/>
      </w: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tab/>
        <w:t>Предвид Закона за изменение и допълнение на Закона за мерките и действията по време на извънредното положение  и продължаващата епидемична обстановка в страната и в съответствие с чл. 20, ал. 2 т. б)  и чл. 22, ал. 1  от Вътрешните правила за работа на Комитета за наблюдение на Програмата за развитие на селските райони (2014-2020), в периода 22.02.2021 - 25.02.2021  г. се проведе писмена съгласувателна процедура на Комитета за наблюдение на ПРСР 2014-2020 г. за разглеждане и съгласуване на:</w:t>
      </w: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t>•</w:t>
      </w:r>
      <w:r w:rsidRPr="00A55D29">
        <w:rPr>
          <w:rFonts w:ascii="Times New Roman" w:eastAsia="Times New Roman" w:hAnsi="Times New Roman" w:cs="Times New Roman"/>
          <w:sz w:val="24"/>
          <w:szCs w:val="24"/>
          <w:lang w:val="bg-BG" w:bidi="en-US"/>
        </w:rPr>
        <w:tab/>
        <w:t>предложението  на Управляващия орган за Индикативна годишна работна програма  на ПРСР (2014-2020) за 2021 година.</w:t>
      </w: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p>
    <w:p w:rsidR="00A55D29" w:rsidRDefault="002B50B1" w:rsidP="00E13D5E">
      <w:pPr>
        <w:spacing w:after="0" w:line="240" w:lineRule="auto"/>
        <w:ind w:left="284" w:firstLine="567"/>
        <w:jc w:val="both"/>
        <w:rPr>
          <w:rFonts w:ascii="Times New Roman" w:eastAsia="Times New Roman" w:hAnsi="Times New Roman" w:cs="Times New Roman"/>
          <w:sz w:val="24"/>
          <w:szCs w:val="24"/>
          <w:lang w:val="bg-BG" w:bidi="en-US"/>
        </w:rPr>
      </w:pPr>
      <w:r>
        <w:rPr>
          <w:rFonts w:ascii="Times New Roman" w:eastAsia="Times New Roman" w:hAnsi="Times New Roman" w:cs="Times New Roman"/>
          <w:sz w:val="24"/>
          <w:szCs w:val="24"/>
          <w:lang w:val="bg-BG" w:bidi="en-US"/>
        </w:rPr>
        <w:t>Съгласуване на предложеното  решение</w:t>
      </w:r>
      <w:r w:rsidR="00A55D29">
        <w:rPr>
          <w:rFonts w:ascii="Times New Roman" w:eastAsia="Times New Roman" w:hAnsi="Times New Roman" w:cs="Times New Roman"/>
          <w:sz w:val="24"/>
          <w:szCs w:val="24"/>
          <w:lang w:val="bg-BG" w:bidi="en-US"/>
        </w:rPr>
        <w:t xml:space="preserve"> от членове с право на </w:t>
      </w:r>
      <w:r>
        <w:rPr>
          <w:rFonts w:ascii="Times New Roman" w:eastAsia="Times New Roman" w:hAnsi="Times New Roman" w:cs="Times New Roman"/>
          <w:sz w:val="24"/>
          <w:szCs w:val="24"/>
          <w:lang w:val="bg-BG" w:bidi="en-US"/>
        </w:rPr>
        <w:t>глас бе получено</w:t>
      </w:r>
      <w:r w:rsidR="00A55D29" w:rsidRPr="00A55D29">
        <w:rPr>
          <w:rFonts w:ascii="Times New Roman" w:eastAsia="Times New Roman" w:hAnsi="Times New Roman" w:cs="Times New Roman"/>
          <w:sz w:val="24"/>
          <w:szCs w:val="24"/>
          <w:lang w:val="bg-BG" w:bidi="en-US"/>
        </w:rPr>
        <w:t>: от г-жа Лора Жебрил от ВВФ България;  г-жа Паолина Киркова- дирекция „Държавни помощи и реален сектор“ в МФ; г-жа Далила Факирова - ГД ОПОС МОСВ; Национално сдружение на общините в България;  г-н Станчо Ставрев – МИГ ТУНДЖА; Българска асоциация на малките и средни предприятия; Национална служба за съвети в земеделието.</w:t>
      </w:r>
    </w:p>
    <w:p w:rsidR="00A55D29"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p>
    <w:p w:rsid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t>Становища и гласуване против са получени от</w:t>
      </w:r>
      <w:r w:rsidR="00003864">
        <w:rPr>
          <w:rFonts w:ascii="Times New Roman" w:eastAsia="Times New Roman" w:hAnsi="Times New Roman" w:cs="Times New Roman"/>
          <w:sz w:val="24"/>
          <w:szCs w:val="24"/>
          <w:lang w:val="bg-BG" w:bidi="en-US"/>
        </w:rPr>
        <w:t xml:space="preserve"> следните членове с право на глас </w:t>
      </w:r>
      <w:r w:rsidRPr="00A55D29">
        <w:rPr>
          <w:rFonts w:ascii="Times New Roman" w:eastAsia="Times New Roman" w:hAnsi="Times New Roman" w:cs="Times New Roman"/>
          <w:sz w:val="24"/>
          <w:szCs w:val="24"/>
          <w:lang w:val="bg-BG" w:bidi="en-US"/>
        </w:rPr>
        <w:t>: г-н Явор Гечев - представител на „Асоциация на индустриалния капитал в България“, БАКЕП</w:t>
      </w:r>
      <w:r w:rsidR="002B50B1">
        <w:rPr>
          <w:rFonts w:ascii="Times New Roman" w:eastAsia="Times New Roman" w:hAnsi="Times New Roman" w:cs="Times New Roman"/>
          <w:sz w:val="24"/>
          <w:szCs w:val="24"/>
          <w:lang w:val="bg-BG" w:bidi="en-US"/>
        </w:rPr>
        <w:t xml:space="preserve"> </w:t>
      </w:r>
      <w:r w:rsidRPr="00A55D29">
        <w:rPr>
          <w:rFonts w:ascii="Times New Roman" w:eastAsia="Times New Roman" w:hAnsi="Times New Roman" w:cs="Times New Roman"/>
          <w:sz w:val="24"/>
          <w:szCs w:val="24"/>
          <w:lang w:val="bg-BG" w:bidi="en-US"/>
        </w:rPr>
        <w:t xml:space="preserve"> заедно с Регионална енергийна агенция Пазарджик</w:t>
      </w:r>
      <w:r w:rsidR="002B50B1">
        <w:rPr>
          <w:rFonts w:ascii="Times New Roman" w:eastAsia="Times New Roman" w:hAnsi="Times New Roman" w:cs="Times New Roman"/>
          <w:sz w:val="24"/>
          <w:szCs w:val="24"/>
          <w:lang w:val="bg-BG" w:bidi="en-US"/>
        </w:rPr>
        <w:t xml:space="preserve"> с предложено ИГРП</w:t>
      </w:r>
      <w:r w:rsidRPr="00A55D29">
        <w:rPr>
          <w:rFonts w:ascii="Times New Roman" w:eastAsia="Times New Roman" w:hAnsi="Times New Roman" w:cs="Times New Roman"/>
          <w:sz w:val="24"/>
          <w:szCs w:val="24"/>
          <w:lang w:val="bg-BG" w:bidi="en-US"/>
        </w:rPr>
        <w:t>, акад. Атанас Атанасов – БАН;</w:t>
      </w:r>
    </w:p>
    <w:p w:rsidR="00D71C6E" w:rsidRPr="00A55D29" w:rsidRDefault="00A55D29" w:rsidP="00E13D5E">
      <w:pPr>
        <w:spacing w:after="0" w:line="240" w:lineRule="auto"/>
        <w:ind w:left="284" w:firstLine="567"/>
        <w:jc w:val="both"/>
        <w:rPr>
          <w:rFonts w:ascii="Times New Roman" w:eastAsia="Times New Roman" w:hAnsi="Times New Roman" w:cs="Times New Roman"/>
          <w:sz w:val="24"/>
          <w:szCs w:val="24"/>
          <w:lang w:val="bg-BG" w:bidi="en-US"/>
        </w:rPr>
      </w:pPr>
      <w:r w:rsidRPr="00A55D29">
        <w:rPr>
          <w:rFonts w:ascii="Times New Roman" w:eastAsia="Times New Roman" w:hAnsi="Times New Roman" w:cs="Times New Roman"/>
          <w:sz w:val="24"/>
          <w:szCs w:val="24"/>
          <w:lang w:val="bg-BG" w:bidi="en-US"/>
        </w:rPr>
        <w:tab/>
      </w:r>
    </w:p>
    <w:p w:rsidR="00A55D29" w:rsidRPr="00A55D29" w:rsidRDefault="00A55D29" w:rsidP="00E13D5E">
      <w:pPr>
        <w:autoSpaceDE w:val="0"/>
        <w:autoSpaceDN w:val="0"/>
        <w:adjustRightInd w:val="0"/>
        <w:spacing w:after="0"/>
        <w:ind w:left="284" w:firstLine="567"/>
        <w:jc w:val="both"/>
        <w:rPr>
          <w:rFonts w:ascii="Times New Roman" w:eastAsia="Times New Roman" w:hAnsi="Times New Roman" w:cs="Times New Roman"/>
          <w:bCs/>
          <w:sz w:val="24"/>
          <w:szCs w:val="24"/>
          <w:lang w:val="bg-BG" w:eastAsia="bg-BG"/>
        </w:rPr>
      </w:pPr>
      <w:r w:rsidRPr="00A55D29">
        <w:rPr>
          <w:rFonts w:ascii="Times New Roman" w:eastAsia="Times New Roman" w:hAnsi="Times New Roman" w:cs="Times New Roman"/>
          <w:bCs/>
          <w:sz w:val="24"/>
          <w:szCs w:val="24"/>
          <w:lang w:val="bg-BG" w:eastAsia="bg-BG"/>
        </w:rPr>
        <w:tab/>
      </w:r>
    </w:p>
    <w:p w:rsidR="00A55D29" w:rsidRPr="00AB2611" w:rsidRDefault="002B50B1"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Съобразявайки се с получени</w:t>
      </w:r>
      <w:r w:rsidRPr="002B50B1">
        <w:rPr>
          <w:rFonts w:ascii="Times New Roman" w:eastAsia="Times New Roman" w:hAnsi="Times New Roman" w:cs="Times New Roman"/>
          <w:bCs/>
          <w:color w:val="000000"/>
          <w:sz w:val="24"/>
          <w:szCs w:val="24"/>
          <w:lang w:val="bg-BG"/>
        </w:rPr>
        <w:t xml:space="preserve"> от участниците в работата на КН становища </w:t>
      </w:r>
      <w:r>
        <w:rPr>
          <w:rFonts w:ascii="Times New Roman" w:eastAsia="Times New Roman" w:hAnsi="Times New Roman" w:cs="Times New Roman"/>
          <w:bCs/>
          <w:color w:val="000000"/>
          <w:sz w:val="24"/>
          <w:szCs w:val="24"/>
          <w:lang w:val="bg-BG"/>
        </w:rPr>
        <w:t xml:space="preserve">и препоръки </w:t>
      </w:r>
      <w:r w:rsidRPr="002B50B1">
        <w:rPr>
          <w:rFonts w:ascii="Times New Roman" w:eastAsia="Times New Roman" w:hAnsi="Times New Roman" w:cs="Times New Roman"/>
          <w:bCs/>
          <w:color w:val="000000"/>
          <w:sz w:val="24"/>
          <w:szCs w:val="24"/>
          <w:lang w:val="bg-BG"/>
        </w:rPr>
        <w:t xml:space="preserve">по материалите от писмената процедура, и съгласно чл. 17, </w:t>
      </w:r>
      <w:r>
        <w:rPr>
          <w:rFonts w:ascii="Times New Roman" w:eastAsia="Times New Roman" w:hAnsi="Times New Roman" w:cs="Times New Roman"/>
          <w:bCs/>
          <w:color w:val="000000"/>
          <w:sz w:val="24"/>
          <w:szCs w:val="24"/>
          <w:lang w:val="bg-BG"/>
        </w:rPr>
        <w:t xml:space="preserve">ал. 6 от ПМС № 79/2014 г., на </w:t>
      </w:r>
      <w:r w:rsidRPr="00FB7E26">
        <w:rPr>
          <w:rFonts w:ascii="Times New Roman" w:eastAsia="Times New Roman" w:hAnsi="Times New Roman" w:cs="Times New Roman"/>
          <w:bCs/>
          <w:color w:val="000000"/>
          <w:sz w:val="24"/>
          <w:szCs w:val="24"/>
          <w:u w:val="single"/>
          <w:lang w:val="bg-BG"/>
        </w:rPr>
        <w:t>04.03.</w:t>
      </w:r>
      <w:r w:rsidR="006F6F15" w:rsidRPr="00FB7E26">
        <w:rPr>
          <w:rFonts w:ascii="Times New Roman" w:eastAsia="Times New Roman" w:hAnsi="Times New Roman" w:cs="Times New Roman"/>
          <w:bCs/>
          <w:color w:val="000000"/>
          <w:sz w:val="24"/>
          <w:szCs w:val="24"/>
          <w:u w:val="single"/>
          <w:lang w:val="bg-BG"/>
        </w:rPr>
        <w:t>2021</w:t>
      </w:r>
      <w:r w:rsidRPr="00FB7E26">
        <w:rPr>
          <w:rFonts w:ascii="Times New Roman" w:eastAsia="Times New Roman" w:hAnsi="Times New Roman" w:cs="Times New Roman"/>
          <w:bCs/>
          <w:color w:val="000000"/>
          <w:sz w:val="24"/>
          <w:szCs w:val="24"/>
          <w:u w:val="single"/>
          <w:lang w:val="bg-BG"/>
        </w:rPr>
        <w:t xml:space="preserve"> г.</w:t>
      </w:r>
      <w:r>
        <w:rPr>
          <w:rFonts w:ascii="Times New Roman" w:eastAsia="Times New Roman" w:hAnsi="Times New Roman" w:cs="Times New Roman"/>
          <w:bCs/>
          <w:color w:val="000000"/>
          <w:sz w:val="24"/>
          <w:szCs w:val="24"/>
          <w:lang w:val="bg-BG"/>
        </w:rPr>
        <w:t xml:space="preserve"> УО на ПРСР 2014-2020 </w:t>
      </w:r>
      <w:r w:rsidRPr="002B50B1">
        <w:rPr>
          <w:rFonts w:ascii="Times New Roman" w:eastAsia="Times New Roman" w:hAnsi="Times New Roman" w:cs="Times New Roman"/>
          <w:bCs/>
          <w:color w:val="000000"/>
          <w:sz w:val="24"/>
          <w:szCs w:val="24"/>
          <w:lang w:val="bg-BG"/>
        </w:rPr>
        <w:t xml:space="preserve">изпрати на вниманието на Комитета </w:t>
      </w:r>
      <w:r>
        <w:rPr>
          <w:rFonts w:ascii="Times New Roman" w:eastAsia="Times New Roman" w:hAnsi="Times New Roman" w:cs="Times New Roman"/>
          <w:bCs/>
          <w:color w:val="000000"/>
          <w:sz w:val="24"/>
          <w:szCs w:val="24"/>
          <w:lang w:val="bg-BG"/>
        </w:rPr>
        <w:t>за наблюдение предложение за промяна в ИГРП за 2021 г. с удължаване</w:t>
      </w:r>
      <w:r w:rsidR="00A55D29" w:rsidRPr="00A55D29">
        <w:rPr>
          <w:rFonts w:ascii="Times New Roman" w:eastAsia="Times New Roman" w:hAnsi="Times New Roman" w:cs="Times New Roman"/>
          <w:bCs/>
          <w:color w:val="000000"/>
          <w:sz w:val="24"/>
          <w:szCs w:val="24"/>
          <w:lang w:val="bg-BG"/>
        </w:rPr>
        <w:t xml:space="preserve"> с 1 месец приема на проектни предложения по подмярка 6.1 "Създаване на стопанства на млади фермери", подмярка 6.3 „Стартова помощ за развитието на малки стопанства“ (ТПП) и подмярка 16.1 „Подкрепа за сформиране и функциониране на оперативни групи в рамк</w:t>
      </w:r>
      <w:r w:rsidR="00A55D29">
        <w:rPr>
          <w:rFonts w:ascii="Times New Roman" w:eastAsia="Times New Roman" w:hAnsi="Times New Roman" w:cs="Times New Roman"/>
          <w:bCs/>
          <w:color w:val="000000"/>
          <w:sz w:val="24"/>
          <w:szCs w:val="24"/>
          <w:lang w:val="bg-BG"/>
        </w:rPr>
        <w:t>ите на ЕПИ“ и съответно удължи</w:t>
      </w:r>
      <w:r w:rsidR="00A55D29" w:rsidRPr="00A55D29">
        <w:rPr>
          <w:rFonts w:ascii="Times New Roman" w:eastAsia="Times New Roman" w:hAnsi="Times New Roman" w:cs="Times New Roman"/>
          <w:bCs/>
          <w:color w:val="000000"/>
          <w:sz w:val="24"/>
          <w:szCs w:val="24"/>
          <w:lang w:val="bg-BG"/>
        </w:rPr>
        <w:t xml:space="preserve">  срока на писмената процедура до 09.03.2021 г. </w:t>
      </w:r>
    </w:p>
    <w:p w:rsidR="00AB2611" w:rsidRPr="00AB2611" w:rsidRDefault="00AB2611"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p>
    <w:p w:rsidR="00A55D29" w:rsidRDefault="00C935D7"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В периода на удъл</w:t>
      </w:r>
      <w:r w:rsidR="002B50B1">
        <w:rPr>
          <w:rFonts w:ascii="Times New Roman" w:eastAsia="Times New Roman" w:hAnsi="Times New Roman" w:cs="Times New Roman"/>
          <w:bCs/>
          <w:color w:val="000000"/>
          <w:sz w:val="24"/>
          <w:szCs w:val="24"/>
          <w:lang w:val="bg-BG"/>
        </w:rPr>
        <w:t>жения срок</w:t>
      </w:r>
      <w:r w:rsidR="006E354D">
        <w:rPr>
          <w:rFonts w:ascii="Times New Roman" w:eastAsia="Times New Roman" w:hAnsi="Times New Roman" w:cs="Times New Roman"/>
          <w:bCs/>
          <w:color w:val="000000"/>
          <w:sz w:val="24"/>
          <w:szCs w:val="24"/>
          <w:lang w:val="bg-BG"/>
        </w:rPr>
        <w:t xml:space="preserve">, </w:t>
      </w:r>
      <w:r>
        <w:rPr>
          <w:rFonts w:ascii="Times New Roman" w:eastAsia="Times New Roman" w:hAnsi="Times New Roman" w:cs="Times New Roman"/>
          <w:bCs/>
          <w:color w:val="000000"/>
          <w:sz w:val="24"/>
          <w:szCs w:val="24"/>
          <w:lang w:val="bg-BG"/>
        </w:rPr>
        <w:t>доц. д-р Младен Младенов, изпълнителен директор</w:t>
      </w:r>
      <w:r w:rsidR="006E354D">
        <w:rPr>
          <w:rFonts w:ascii="Times New Roman" w:eastAsia="Times New Roman" w:hAnsi="Times New Roman" w:cs="Times New Roman"/>
          <w:bCs/>
          <w:color w:val="000000"/>
          <w:sz w:val="24"/>
          <w:szCs w:val="24"/>
          <w:lang w:val="bg-BG"/>
        </w:rPr>
        <w:t xml:space="preserve"> на НССЗ</w:t>
      </w:r>
      <w:r w:rsidR="006E354D" w:rsidRPr="006E354D">
        <w:rPr>
          <w:rFonts w:ascii="Times New Roman" w:eastAsia="Calibri" w:hAnsi="Times New Roman" w:cs="Times New Roman"/>
          <w:sz w:val="24"/>
          <w:szCs w:val="24"/>
          <w:lang w:val="bg-BG"/>
        </w:rPr>
        <w:t xml:space="preserve"> </w:t>
      </w:r>
      <w:r w:rsidR="006E354D">
        <w:rPr>
          <w:rFonts w:ascii="Times New Roman" w:eastAsia="Calibri" w:hAnsi="Times New Roman" w:cs="Times New Roman"/>
          <w:sz w:val="24"/>
          <w:szCs w:val="24"/>
          <w:lang w:val="bg-BG"/>
        </w:rPr>
        <w:t xml:space="preserve">ни информира, </w:t>
      </w:r>
      <w:r w:rsidR="006E354D" w:rsidRPr="006E354D">
        <w:rPr>
          <w:rFonts w:ascii="Times New Roman" w:eastAsia="Calibri" w:hAnsi="Times New Roman" w:cs="Times New Roman"/>
          <w:sz w:val="24"/>
          <w:szCs w:val="24"/>
          <w:lang w:val="bg-BG"/>
        </w:rPr>
        <w:t>че Национална служба за съвети в земеделието, в качеството си на член на Комитета по</w:t>
      </w:r>
      <w:r w:rsidR="006E354D">
        <w:rPr>
          <w:rFonts w:ascii="Times New Roman" w:eastAsia="Calibri" w:hAnsi="Times New Roman" w:cs="Times New Roman"/>
          <w:sz w:val="24"/>
          <w:szCs w:val="24"/>
          <w:lang w:val="bg-BG"/>
        </w:rPr>
        <w:t xml:space="preserve"> наблюдение на ПРСР 2014-2020 г. </w:t>
      </w:r>
      <w:r w:rsidR="00732877">
        <w:rPr>
          <w:rFonts w:ascii="Times New Roman" w:eastAsia="Times New Roman" w:hAnsi="Times New Roman" w:cs="Times New Roman"/>
          <w:bCs/>
          <w:color w:val="000000"/>
          <w:sz w:val="24"/>
          <w:szCs w:val="24"/>
          <w:lang w:val="bg-BG"/>
        </w:rPr>
        <w:t>подкрепя</w:t>
      </w:r>
      <w:r w:rsidRPr="00C935D7">
        <w:rPr>
          <w:rFonts w:ascii="Times New Roman" w:eastAsia="Times New Roman" w:hAnsi="Times New Roman" w:cs="Times New Roman"/>
          <w:bCs/>
          <w:color w:val="000000"/>
          <w:sz w:val="24"/>
          <w:szCs w:val="24"/>
          <w:lang w:val="bg-BG"/>
        </w:rPr>
        <w:t xml:space="preserve"> и съгласува  предложената от Управляващият орган (УО) на ПРСР 2014-2020 г. промяна в Индикативната годишна работна програма на ПРСР 2014-2020  за 2021 година</w:t>
      </w:r>
      <w:r w:rsidR="002B50B1">
        <w:rPr>
          <w:rFonts w:ascii="Times New Roman" w:eastAsia="Times New Roman" w:hAnsi="Times New Roman" w:cs="Times New Roman"/>
          <w:bCs/>
          <w:color w:val="000000"/>
          <w:sz w:val="24"/>
          <w:szCs w:val="24"/>
          <w:lang w:val="bg-BG"/>
        </w:rPr>
        <w:t>,</w:t>
      </w:r>
      <w:r w:rsidRPr="00C935D7">
        <w:rPr>
          <w:rFonts w:ascii="Times New Roman" w:eastAsia="Times New Roman" w:hAnsi="Times New Roman" w:cs="Times New Roman"/>
          <w:bCs/>
          <w:color w:val="000000"/>
          <w:sz w:val="24"/>
          <w:szCs w:val="24"/>
          <w:lang w:val="bg-BG"/>
        </w:rPr>
        <w:t xml:space="preserve"> свързана с удължаване с 1 месец приема на проектни предложения по подмярка 6.1 "Създаване на стопанства на млади фермери",  подмярка 6.3 „Стартова помощ за развитието на малки стопанства“ (ТПП) и подмярка 16.1 „Подкрепа за сформиране и функциониране на оперативни групи в рамките на ЕПИ“</w:t>
      </w:r>
      <w:r w:rsidR="006E354D">
        <w:rPr>
          <w:rFonts w:ascii="Times New Roman" w:eastAsia="Times New Roman" w:hAnsi="Times New Roman" w:cs="Times New Roman"/>
          <w:bCs/>
          <w:color w:val="000000"/>
          <w:sz w:val="24"/>
          <w:szCs w:val="24"/>
          <w:lang w:val="bg-BG"/>
        </w:rPr>
        <w:t>.</w:t>
      </w:r>
    </w:p>
    <w:p w:rsidR="006E354D" w:rsidRDefault="006E354D"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p>
    <w:p w:rsidR="00003864" w:rsidRDefault="00C935D7"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Становище с гласуване против и предложение за ИГРП 2021 г е получено от БАКЕП.</w:t>
      </w:r>
    </w:p>
    <w:p w:rsidR="00003864" w:rsidRDefault="00003864"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p>
    <w:p w:rsidR="002B50B1" w:rsidRDefault="002B50B1"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r>
        <w:rPr>
          <w:rFonts w:ascii="Times New Roman" w:eastAsia="Times New Roman" w:hAnsi="Times New Roman" w:cs="Times New Roman"/>
          <w:bCs/>
          <w:color w:val="000000"/>
          <w:sz w:val="24"/>
          <w:szCs w:val="24"/>
          <w:lang w:val="bg-BG"/>
        </w:rPr>
        <w:t xml:space="preserve">Становищата </w:t>
      </w:r>
      <w:r w:rsidR="00003864">
        <w:rPr>
          <w:rFonts w:ascii="Times New Roman" w:eastAsia="Times New Roman" w:hAnsi="Times New Roman" w:cs="Times New Roman"/>
          <w:bCs/>
          <w:color w:val="000000"/>
          <w:sz w:val="24"/>
          <w:szCs w:val="24"/>
          <w:lang w:val="bg-BG"/>
        </w:rPr>
        <w:t xml:space="preserve">и тяхното отразяване са </w:t>
      </w:r>
      <w:r>
        <w:rPr>
          <w:rFonts w:ascii="Times New Roman" w:eastAsia="Times New Roman" w:hAnsi="Times New Roman" w:cs="Times New Roman"/>
          <w:bCs/>
          <w:color w:val="000000"/>
          <w:sz w:val="24"/>
          <w:szCs w:val="24"/>
          <w:lang w:val="bg-BG"/>
        </w:rPr>
        <w:t xml:space="preserve"> дадени</w:t>
      </w:r>
      <w:r w:rsidR="00003864">
        <w:rPr>
          <w:rFonts w:ascii="Times New Roman" w:eastAsia="Times New Roman" w:hAnsi="Times New Roman" w:cs="Times New Roman"/>
          <w:bCs/>
          <w:color w:val="000000"/>
          <w:sz w:val="24"/>
          <w:szCs w:val="24"/>
          <w:lang w:val="bg-BG"/>
        </w:rPr>
        <w:t xml:space="preserve"> в Приложение 2</w:t>
      </w:r>
      <w:r>
        <w:rPr>
          <w:rFonts w:ascii="Times New Roman" w:eastAsia="Times New Roman" w:hAnsi="Times New Roman" w:cs="Times New Roman"/>
          <w:bCs/>
          <w:color w:val="000000"/>
          <w:sz w:val="24"/>
          <w:szCs w:val="24"/>
          <w:lang w:val="bg-BG"/>
        </w:rPr>
        <w:t xml:space="preserve"> към настоящия протокол.</w:t>
      </w:r>
    </w:p>
    <w:p w:rsidR="00A55D29" w:rsidRPr="00A55D29" w:rsidRDefault="00A55D29" w:rsidP="00351B78">
      <w:pPr>
        <w:autoSpaceDE w:val="0"/>
        <w:autoSpaceDN w:val="0"/>
        <w:adjustRightInd w:val="0"/>
        <w:spacing w:after="0" w:line="240" w:lineRule="auto"/>
        <w:ind w:left="284" w:firstLine="567"/>
        <w:jc w:val="both"/>
        <w:rPr>
          <w:rFonts w:ascii="Times New Roman" w:eastAsia="Times New Roman" w:hAnsi="Times New Roman" w:cs="Times New Roman"/>
          <w:bCs/>
          <w:color w:val="000000"/>
          <w:sz w:val="24"/>
          <w:szCs w:val="24"/>
          <w:lang w:val="bg-BG"/>
        </w:rPr>
      </w:pPr>
    </w:p>
    <w:p w:rsidR="00A55D29" w:rsidRPr="00A55D29" w:rsidRDefault="00A55D29" w:rsidP="00351B78">
      <w:pPr>
        <w:spacing w:line="240" w:lineRule="auto"/>
        <w:ind w:left="284" w:firstLine="567"/>
        <w:jc w:val="both"/>
        <w:rPr>
          <w:rFonts w:ascii="Times New Roman" w:eastAsia="Times New Roman" w:hAnsi="Times New Roman" w:cs="Times New Roman"/>
          <w:bCs/>
          <w:color w:val="000000"/>
          <w:sz w:val="24"/>
          <w:szCs w:val="24"/>
          <w:lang w:val="bg-BG"/>
        </w:rPr>
      </w:pPr>
      <w:r w:rsidRPr="00A55D29">
        <w:rPr>
          <w:rFonts w:ascii="Times New Roman" w:eastAsia="Times New Roman" w:hAnsi="Times New Roman" w:cs="Times New Roman"/>
          <w:bCs/>
          <w:color w:val="000000"/>
          <w:sz w:val="24"/>
          <w:szCs w:val="24"/>
          <w:lang w:val="bg-BG"/>
        </w:rPr>
        <w:t>На основание горното</w:t>
      </w:r>
      <w:r w:rsidR="00003864">
        <w:rPr>
          <w:rFonts w:ascii="Times New Roman" w:eastAsia="Times New Roman" w:hAnsi="Times New Roman" w:cs="Times New Roman"/>
          <w:bCs/>
          <w:color w:val="000000"/>
          <w:sz w:val="24"/>
          <w:szCs w:val="24"/>
          <w:lang w:val="bg-BG"/>
        </w:rPr>
        <w:t xml:space="preserve"> и в съответствие с чл. 22, ал 4 </w:t>
      </w:r>
      <w:r w:rsidRPr="00A55D29">
        <w:rPr>
          <w:rFonts w:ascii="Times New Roman" w:eastAsia="Times New Roman" w:hAnsi="Times New Roman" w:cs="Times New Roman"/>
          <w:bCs/>
          <w:color w:val="000000"/>
          <w:sz w:val="24"/>
          <w:szCs w:val="24"/>
          <w:lang w:val="bg-BG"/>
        </w:rPr>
        <w:t>от Вътрешните  правила за работа на КН на ПРСР 2014-2020 г., като резултат от провед</w:t>
      </w:r>
      <w:r w:rsidR="0052768E">
        <w:rPr>
          <w:rFonts w:ascii="Times New Roman" w:eastAsia="Times New Roman" w:hAnsi="Times New Roman" w:cs="Times New Roman"/>
          <w:bCs/>
          <w:color w:val="000000"/>
          <w:sz w:val="24"/>
          <w:szCs w:val="24"/>
          <w:lang w:val="bg-BG"/>
        </w:rPr>
        <w:t>ената писмена процедура</w:t>
      </w:r>
      <w:r w:rsidR="0079774A">
        <w:rPr>
          <w:rFonts w:ascii="Times New Roman" w:eastAsia="Times New Roman" w:hAnsi="Times New Roman" w:cs="Times New Roman"/>
          <w:bCs/>
          <w:color w:val="000000"/>
          <w:sz w:val="24"/>
          <w:szCs w:val="24"/>
          <w:lang w:val="bg-BG"/>
        </w:rPr>
        <w:t>,</w:t>
      </w:r>
      <w:r w:rsidRPr="00A55D29">
        <w:rPr>
          <w:rFonts w:ascii="Times New Roman" w:eastAsia="Times New Roman" w:hAnsi="Times New Roman" w:cs="Times New Roman"/>
          <w:bCs/>
          <w:color w:val="000000"/>
          <w:sz w:val="24"/>
          <w:szCs w:val="24"/>
          <w:lang w:val="bg-BG"/>
        </w:rPr>
        <w:t xml:space="preserve"> КН</w:t>
      </w:r>
      <w:r w:rsidR="004D3B49">
        <w:rPr>
          <w:rFonts w:ascii="Times New Roman" w:eastAsia="Times New Roman" w:hAnsi="Times New Roman" w:cs="Times New Roman"/>
          <w:bCs/>
          <w:color w:val="000000"/>
          <w:sz w:val="24"/>
          <w:szCs w:val="24"/>
          <w:lang w:val="bg-BG"/>
        </w:rPr>
        <w:t xml:space="preserve"> </w:t>
      </w:r>
      <w:r w:rsidR="00BB74EB">
        <w:rPr>
          <w:rFonts w:ascii="Times New Roman" w:eastAsia="Times New Roman" w:hAnsi="Times New Roman" w:cs="Times New Roman"/>
          <w:bCs/>
          <w:color w:val="000000"/>
          <w:sz w:val="24"/>
          <w:szCs w:val="24"/>
          <w:lang w:val="bg-BG"/>
        </w:rPr>
        <w:t xml:space="preserve">на ПРСР </w:t>
      </w:r>
      <w:r w:rsidR="004D3B49" w:rsidRPr="00BB74EB">
        <w:rPr>
          <w:rFonts w:ascii="Times New Roman" w:eastAsia="Times New Roman" w:hAnsi="Times New Roman" w:cs="Times New Roman"/>
          <w:bCs/>
          <w:color w:val="000000"/>
          <w:sz w:val="24"/>
          <w:szCs w:val="24"/>
          <w:u w:val="single"/>
          <w:lang w:val="bg-BG"/>
        </w:rPr>
        <w:t>разгледа и съгласува</w:t>
      </w:r>
      <w:r w:rsidR="004D3B49">
        <w:rPr>
          <w:rFonts w:ascii="Times New Roman" w:eastAsia="Times New Roman" w:hAnsi="Times New Roman" w:cs="Times New Roman"/>
          <w:bCs/>
          <w:color w:val="000000"/>
          <w:sz w:val="24"/>
          <w:szCs w:val="24"/>
          <w:lang w:val="bg-BG"/>
        </w:rPr>
        <w:t xml:space="preserve"> предложението на УО на ПРСР за Индикативна годишна работна програма за 2021 г. и</w:t>
      </w:r>
      <w:r w:rsidRPr="00A55D29">
        <w:rPr>
          <w:rFonts w:ascii="Times New Roman" w:eastAsia="Times New Roman" w:hAnsi="Times New Roman" w:cs="Times New Roman"/>
          <w:bCs/>
          <w:color w:val="000000"/>
          <w:sz w:val="24"/>
          <w:szCs w:val="24"/>
          <w:lang w:val="bg-BG"/>
        </w:rPr>
        <w:t xml:space="preserve"> взе следното РЕШЕНИЕ: </w:t>
      </w:r>
    </w:p>
    <w:p w:rsidR="00CF2427" w:rsidRDefault="00CF2427"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CF2427" w:rsidRDefault="00CF2427"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p>
    <w:p w:rsidR="00A55D29" w:rsidRPr="00A55D29" w:rsidRDefault="00A55D29" w:rsidP="00351B78">
      <w:pPr>
        <w:autoSpaceDN w:val="0"/>
        <w:spacing w:before="60" w:after="0" w:line="240" w:lineRule="auto"/>
        <w:ind w:left="284" w:right="51" w:firstLine="567"/>
        <w:jc w:val="both"/>
        <w:rPr>
          <w:rFonts w:ascii="Times New Roman" w:eastAsia="Times New Roman" w:hAnsi="Times New Roman" w:cs="Times New Roman"/>
          <w:b/>
          <w:sz w:val="24"/>
          <w:szCs w:val="24"/>
          <w:lang w:val="bg-BG"/>
        </w:rPr>
      </w:pPr>
      <w:r w:rsidRPr="00A55D29">
        <w:rPr>
          <w:rFonts w:ascii="Times New Roman" w:eastAsia="Times New Roman" w:hAnsi="Times New Roman" w:cs="Times New Roman"/>
          <w:b/>
          <w:sz w:val="24"/>
          <w:szCs w:val="24"/>
          <w:lang w:val="bg-BG"/>
        </w:rPr>
        <w:t>РЕШЕНИЕ:</w:t>
      </w:r>
    </w:p>
    <w:p w:rsidR="00A55D29" w:rsidRDefault="00A55D29" w:rsidP="00351B78">
      <w:pPr>
        <w:autoSpaceDN w:val="0"/>
        <w:spacing w:after="120" w:line="240" w:lineRule="auto"/>
        <w:ind w:left="284" w:right="51" w:firstLine="567"/>
        <w:jc w:val="both"/>
        <w:rPr>
          <w:rFonts w:ascii="Times New Roman" w:eastAsia="Times New Roman" w:hAnsi="Times New Roman" w:cs="Times New Roman"/>
          <w:b/>
          <w:i/>
          <w:sz w:val="24"/>
          <w:szCs w:val="24"/>
          <w:lang w:val="bg-BG"/>
        </w:rPr>
      </w:pPr>
      <w:r w:rsidRPr="00351B78">
        <w:rPr>
          <w:rFonts w:ascii="Times New Roman" w:eastAsia="Times New Roman" w:hAnsi="Times New Roman" w:cs="Times New Roman"/>
          <w:b/>
          <w:i/>
          <w:sz w:val="24"/>
          <w:szCs w:val="24"/>
          <w:lang w:val="bg-BG"/>
        </w:rPr>
        <w:t>Комитетът з</w:t>
      </w:r>
      <w:r w:rsidR="00A207A6">
        <w:rPr>
          <w:rFonts w:ascii="Times New Roman" w:eastAsia="Times New Roman" w:hAnsi="Times New Roman" w:cs="Times New Roman"/>
          <w:b/>
          <w:i/>
          <w:sz w:val="24"/>
          <w:szCs w:val="24"/>
          <w:lang w:val="bg-BG"/>
        </w:rPr>
        <w:t xml:space="preserve">а наблюдение на ПРСР </w:t>
      </w:r>
      <w:r w:rsidR="00A207A6" w:rsidRPr="00A207A6">
        <w:rPr>
          <w:rFonts w:ascii="Times New Roman" w:eastAsia="Times New Roman" w:hAnsi="Times New Roman" w:cs="Times New Roman"/>
          <w:b/>
          <w:i/>
          <w:sz w:val="24"/>
          <w:szCs w:val="24"/>
          <w:lang w:val="bg-BG"/>
        </w:rPr>
        <w:t>(</w:t>
      </w:r>
      <w:r w:rsidR="00A207A6">
        <w:rPr>
          <w:rFonts w:ascii="Times New Roman" w:eastAsia="Times New Roman" w:hAnsi="Times New Roman" w:cs="Times New Roman"/>
          <w:b/>
          <w:i/>
          <w:sz w:val="24"/>
          <w:szCs w:val="24"/>
          <w:lang w:val="bg-BG"/>
        </w:rPr>
        <w:t>2014-2020</w:t>
      </w:r>
      <w:r w:rsidR="00A207A6" w:rsidRPr="00A207A6">
        <w:rPr>
          <w:rFonts w:ascii="Times New Roman" w:eastAsia="Times New Roman" w:hAnsi="Times New Roman" w:cs="Times New Roman"/>
          <w:b/>
          <w:i/>
          <w:sz w:val="24"/>
          <w:szCs w:val="24"/>
          <w:lang w:val="bg-BG"/>
        </w:rPr>
        <w:t>)</w:t>
      </w:r>
      <w:r w:rsidRPr="00351B78">
        <w:rPr>
          <w:rFonts w:ascii="Times New Roman" w:eastAsia="Times New Roman" w:hAnsi="Times New Roman" w:cs="Times New Roman"/>
          <w:b/>
          <w:i/>
          <w:sz w:val="24"/>
          <w:szCs w:val="24"/>
          <w:lang w:val="bg-BG"/>
        </w:rPr>
        <w:t xml:space="preserve"> одобрява предложе</w:t>
      </w:r>
      <w:r w:rsidR="00A207A6">
        <w:rPr>
          <w:rFonts w:ascii="Times New Roman" w:eastAsia="Times New Roman" w:hAnsi="Times New Roman" w:cs="Times New Roman"/>
          <w:b/>
          <w:i/>
          <w:sz w:val="24"/>
          <w:szCs w:val="24"/>
          <w:lang w:val="bg-BG"/>
        </w:rPr>
        <w:t xml:space="preserve">нието на УО на ПРСР </w:t>
      </w:r>
      <w:r w:rsidR="00A207A6" w:rsidRPr="00A207A6">
        <w:rPr>
          <w:rFonts w:ascii="Times New Roman" w:eastAsia="Times New Roman" w:hAnsi="Times New Roman" w:cs="Times New Roman"/>
          <w:b/>
          <w:i/>
          <w:sz w:val="24"/>
          <w:szCs w:val="24"/>
          <w:lang w:val="bg-BG"/>
        </w:rPr>
        <w:t>(</w:t>
      </w:r>
      <w:r w:rsidR="00A207A6">
        <w:rPr>
          <w:rFonts w:ascii="Times New Roman" w:eastAsia="Times New Roman" w:hAnsi="Times New Roman" w:cs="Times New Roman"/>
          <w:b/>
          <w:i/>
          <w:sz w:val="24"/>
          <w:szCs w:val="24"/>
          <w:lang w:val="bg-BG"/>
        </w:rPr>
        <w:t>2014-2020</w:t>
      </w:r>
      <w:r w:rsidR="00A207A6" w:rsidRPr="00A207A6">
        <w:rPr>
          <w:rFonts w:ascii="Times New Roman" w:eastAsia="Times New Roman" w:hAnsi="Times New Roman" w:cs="Times New Roman"/>
          <w:b/>
          <w:i/>
          <w:sz w:val="24"/>
          <w:szCs w:val="24"/>
          <w:lang w:val="bg-BG"/>
        </w:rPr>
        <w:t>)</w:t>
      </w:r>
      <w:r w:rsidRPr="00351B78">
        <w:rPr>
          <w:rFonts w:ascii="Times New Roman" w:eastAsia="Times New Roman" w:hAnsi="Times New Roman" w:cs="Times New Roman"/>
          <w:b/>
          <w:i/>
          <w:sz w:val="24"/>
          <w:szCs w:val="24"/>
          <w:lang w:val="bg-BG"/>
        </w:rPr>
        <w:t xml:space="preserve"> за Индикативна годишна работна програма на ПРСР</w:t>
      </w:r>
      <w:r w:rsidR="00A207A6" w:rsidRPr="00A207A6">
        <w:rPr>
          <w:rFonts w:ascii="Times New Roman" w:eastAsia="Times New Roman" w:hAnsi="Times New Roman" w:cs="Times New Roman"/>
          <w:b/>
          <w:i/>
          <w:sz w:val="24"/>
          <w:szCs w:val="24"/>
          <w:lang w:val="bg-BG"/>
        </w:rPr>
        <w:t xml:space="preserve"> </w:t>
      </w:r>
      <w:r w:rsidRPr="00351B78">
        <w:rPr>
          <w:rFonts w:ascii="Times New Roman" w:eastAsia="Times New Roman" w:hAnsi="Times New Roman" w:cs="Times New Roman"/>
          <w:b/>
          <w:i/>
          <w:sz w:val="24"/>
          <w:szCs w:val="24"/>
          <w:lang w:val="bg-BG"/>
        </w:rPr>
        <w:t xml:space="preserve">(2014-2020) за 2021 </w:t>
      </w:r>
      <w:r w:rsidR="00003864" w:rsidRPr="00351B78">
        <w:rPr>
          <w:rFonts w:ascii="Times New Roman" w:eastAsia="Times New Roman" w:hAnsi="Times New Roman" w:cs="Times New Roman"/>
          <w:b/>
          <w:i/>
          <w:sz w:val="24"/>
          <w:szCs w:val="24"/>
          <w:lang w:val="bg-BG"/>
        </w:rPr>
        <w:t>година, с направените изменения, съгласно Приложение 1.</w:t>
      </w:r>
    </w:p>
    <w:p w:rsidR="00A4581D" w:rsidRDefault="00A4581D" w:rsidP="00351B78">
      <w:pPr>
        <w:autoSpaceDN w:val="0"/>
        <w:spacing w:after="120" w:line="240" w:lineRule="auto"/>
        <w:ind w:left="284" w:right="51" w:firstLine="567"/>
        <w:jc w:val="both"/>
        <w:rPr>
          <w:rFonts w:ascii="Times New Roman" w:eastAsia="Times New Roman" w:hAnsi="Times New Roman" w:cs="Times New Roman"/>
          <w:b/>
          <w:i/>
          <w:sz w:val="24"/>
          <w:szCs w:val="24"/>
          <w:lang w:val="bg-BG"/>
        </w:rPr>
      </w:pPr>
    </w:p>
    <w:p w:rsidR="00A4581D" w:rsidRDefault="00A4581D" w:rsidP="00351B78">
      <w:pPr>
        <w:autoSpaceDN w:val="0"/>
        <w:spacing w:after="120" w:line="240" w:lineRule="auto"/>
        <w:ind w:left="284" w:right="51" w:firstLine="567"/>
        <w:jc w:val="both"/>
        <w:rPr>
          <w:rFonts w:ascii="Times New Roman" w:eastAsia="Times New Roman" w:hAnsi="Times New Roman" w:cs="Times New Roman"/>
          <w:b/>
          <w:i/>
          <w:sz w:val="24"/>
          <w:szCs w:val="24"/>
          <w:lang w:val="bg-BG"/>
        </w:rPr>
      </w:pPr>
    </w:p>
    <w:p w:rsidR="00A4581D" w:rsidRDefault="00A4581D" w:rsidP="00351B78">
      <w:pPr>
        <w:autoSpaceDN w:val="0"/>
        <w:spacing w:after="120" w:line="240" w:lineRule="auto"/>
        <w:ind w:left="284" w:right="51" w:firstLine="567"/>
        <w:jc w:val="both"/>
        <w:rPr>
          <w:rFonts w:ascii="Times New Roman" w:eastAsia="Times New Roman" w:hAnsi="Times New Roman" w:cs="Times New Roman"/>
          <w:b/>
          <w:i/>
          <w:sz w:val="24"/>
          <w:szCs w:val="24"/>
          <w:lang w:val="bg-BG"/>
        </w:rPr>
      </w:pPr>
    </w:p>
    <w:p w:rsidR="00A4581D" w:rsidRPr="00351B78" w:rsidRDefault="00A4581D" w:rsidP="00351B78">
      <w:pPr>
        <w:autoSpaceDN w:val="0"/>
        <w:spacing w:after="120" w:line="240" w:lineRule="auto"/>
        <w:ind w:left="284" w:right="51" w:firstLine="567"/>
        <w:jc w:val="both"/>
        <w:rPr>
          <w:rFonts w:ascii="Times New Roman" w:eastAsia="Times New Roman" w:hAnsi="Times New Roman" w:cs="Times New Roman"/>
          <w:b/>
          <w:bCs/>
          <w:color w:val="000000"/>
          <w:sz w:val="24"/>
          <w:szCs w:val="24"/>
          <w:lang w:val="bg-BG"/>
        </w:rPr>
      </w:pPr>
    </w:p>
    <w:p w:rsidR="00D71C6E" w:rsidRDefault="00D71C6E" w:rsidP="00351B78">
      <w:pPr>
        <w:spacing w:after="0" w:line="240" w:lineRule="auto"/>
        <w:ind w:left="284" w:firstLine="567"/>
        <w:rPr>
          <w:rFonts w:ascii="Times New Roman" w:eastAsia="Times New Roman" w:hAnsi="Times New Roman" w:cs="Times New Roman"/>
          <w:b/>
          <w:color w:val="17365D" w:themeColor="text2" w:themeShade="BF"/>
          <w:sz w:val="16"/>
          <w:szCs w:val="16"/>
          <w:lang w:val="bg-BG" w:bidi="en-US"/>
        </w:rPr>
      </w:pPr>
    </w:p>
    <w:p w:rsidR="00D71C6E" w:rsidRDefault="00D71C6E" w:rsidP="00351B78">
      <w:pPr>
        <w:spacing w:after="0" w:line="240" w:lineRule="auto"/>
        <w:ind w:left="284" w:firstLine="567"/>
        <w:rPr>
          <w:rFonts w:ascii="Times New Roman" w:eastAsia="Times New Roman" w:hAnsi="Times New Roman" w:cs="Times New Roman"/>
          <w:b/>
          <w:color w:val="17365D" w:themeColor="text2" w:themeShade="BF"/>
          <w:sz w:val="16"/>
          <w:szCs w:val="16"/>
          <w:lang w:val="bg-BG" w:bidi="en-US"/>
        </w:rPr>
      </w:pPr>
    </w:p>
    <w:p w:rsidR="00CF2427" w:rsidRPr="00CF2427" w:rsidRDefault="00CF2427" w:rsidP="00CF2427">
      <w:pPr>
        <w:spacing w:after="0" w:line="240" w:lineRule="auto"/>
        <w:ind w:left="284" w:firstLine="567"/>
        <w:jc w:val="right"/>
        <w:rPr>
          <w:rFonts w:ascii="Times New Roman" w:eastAsia="Times New Roman" w:hAnsi="Times New Roman" w:cs="Times New Roman"/>
          <w:b/>
          <w:color w:val="17365D" w:themeColor="text2" w:themeShade="BF"/>
          <w:sz w:val="24"/>
          <w:szCs w:val="24"/>
          <w:lang w:val="bg-BG" w:bidi="en-US"/>
        </w:rPr>
      </w:pPr>
      <w:r>
        <w:rPr>
          <w:rFonts w:ascii="Times New Roman" w:eastAsia="Times New Roman" w:hAnsi="Times New Roman" w:cs="Times New Roman"/>
          <w:b/>
          <w:sz w:val="24"/>
          <w:szCs w:val="24"/>
          <w:lang w:val="bg-BG" w:bidi="en-US"/>
        </w:rPr>
        <w:t>Приложение 1</w:t>
      </w:r>
    </w:p>
    <w:p w:rsidR="00CF2427" w:rsidRDefault="00CF2427"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CF2427" w:rsidRDefault="00CF2427"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CF2427" w:rsidRDefault="00CF2427"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CF2427" w:rsidRDefault="00CF2427"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003864" w:rsidRDefault="00003864"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E13D5E" w:rsidRDefault="00E13D5E" w:rsidP="00E13D5E">
      <w:pPr>
        <w:spacing w:after="0" w:line="240" w:lineRule="auto"/>
        <w:jc w:val="center"/>
        <w:rPr>
          <w:rFonts w:ascii="Times New Roman" w:eastAsia="Times New Roman" w:hAnsi="Times New Roman" w:cs="Times New Roman"/>
          <w:b/>
          <w:lang w:val="bg-BG" w:eastAsia="bg-BG"/>
        </w:rPr>
      </w:pPr>
      <w:r w:rsidRPr="00E13D5E">
        <w:rPr>
          <w:rFonts w:ascii="Times New Roman" w:eastAsia="Times New Roman" w:hAnsi="Times New Roman" w:cs="Times New Roman"/>
          <w:b/>
          <w:lang w:val="bg-BG" w:eastAsia="bg-BG"/>
        </w:rPr>
        <w:t>ИНДИКАТИВНА ГОДИШНА РАБОТНА ПРОГРАМА</w:t>
      </w:r>
    </w:p>
    <w:p w:rsidR="00CF2427" w:rsidRPr="00E13D5E" w:rsidRDefault="00CF2427" w:rsidP="00E13D5E">
      <w:pPr>
        <w:spacing w:after="0" w:line="240" w:lineRule="auto"/>
        <w:jc w:val="center"/>
        <w:rPr>
          <w:rFonts w:ascii="Times New Roman" w:eastAsia="Times New Roman" w:hAnsi="Times New Roman" w:cs="Times New Roman"/>
          <w:b/>
          <w:lang w:val="bg-BG" w:eastAsia="bg-BG"/>
        </w:rPr>
      </w:pPr>
    </w:p>
    <w:p w:rsidR="00FB1E0C" w:rsidRDefault="00E13D5E" w:rsidP="00E13D5E">
      <w:pPr>
        <w:spacing w:after="0" w:line="240" w:lineRule="auto"/>
        <w:jc w:val="center"/>
        <w:rPr>
          <w:lang w:val="bg-BG"/>
        </w:rPr>
      </w:pPr>
      <w:r w:rsidRPr="00E13D5E">
        <w:rPr>
          <w:rFonts w:ascii="Times New Roman" w:eastAsia="Times New Roman" w:hAnsi="Times New Roman" w:cs="Times New Roman"/>
          <w:b/>
          <w:lang w:val="bg-BG" w:eastAsia="bg-BG"/>
        </w:rPr>
        <w:t>ПРОГРАМА ЗА РАЗВИТИЕ НА СЕЛСКИТЕ РАЙОНИ ЗА ПЕРИОДА 2014-2020 Г.</w:t>
      </w:r>
      <w:r w:rsidR="00FB1E0C" w:rsidRPr="00FB1E0C">
        <w:rPr>
          <w:lang w:val="bg-BG"/>
        </w:rPr>
        <w:t xml:space="preserve"> </w:t>
      </w:r>
    </w:p>
    <w:p w:rsidR="00E13D5E" w:rsidRDefault="00FB1E0C" w:rsidP="00E13D5E">
      <w:pPr>
        <w:spacing w:after="0" w:line="240" w:lineRule="auto"/>
        <w:jc w:val="center"/>
        <w:rPr>
          <w:rFonts w:ascii="Times New Roman" w:eastAsia="Times New Roman" w:hAnsi="Times New Roman" w:cs="Times New Roman"/>
          <w:b/>
          <w:lang w:val="bg-BG" w:eastAsia="bg-BG"/>
        </w:rPr>
      </w:pPr>
      <w:bookmarkStart w:id="0" w:name="_GoBack"/>
      <w:bookmarkEnd w:id="0"/>
      <w:r w:rsidRPr="00FB1E0C">
        <w:rPr>
          <w:rFonts w:ascii="Times New Roman" w:eastAsia="Times New Roman" w:hAnsi="Times New Roman" w:cs="Times New Roman"/>
          <w:b/>
          <w:lang w:val="bg-BG" w:eastAsia="bg-BG"/>
        </w:rPr>
        <w:t>ЗА 2021 ГОДИНА</w:t>
      </w:r>
    </w:p>
    <w:p w:rsidR="00351B78" w:rsidRPr="00E13D5E" w:rsidRDefault="00351B78" w:rsidP="00E13D5E">
      <w:pPr>
        <w:spacing w:after="0" w:line="240" w:lineRule="auto"/>
        <w:jc w:val="center"/>
        <w:rPr>
          <w:rFonts w:ascii="Times New Roman" w:eastAsia="Times New Roman" w:hAnsi="Times New Roman" w:cs="Times New Roman"/>
          <w:b/>
          <w:lang w:val="bg-BG" w:eastAsia="bg-BG"/>
        </w:rPr>
      </w:pPr>
    </w:p>
    <w:p w:rsidR="00E13D5E" w:rsidRPr="00CF2427" w:rsidRDefault="00E13D5E" w:rsidP="00CF2427">
      <w:pPr>
        <w:spacing w:after="0" w:line="240" w:lineRule="auto"/>
        <w:jc w:val="center"/>
        <w:rPr>
          <w:rFonts w:ascii="Times New Roman" w:eastAsia="Times New Roman" w:hAnsi="Times New Roman" w:cs="Times New Roman"/>
          <w:b/>
          <w:lang w:val="bg-BG" w:eastAsia="bg-BG"/>
        </w:rPr>
      </w:pPr>
    </w:p>
    <w:tbl>
      <w:tblPr>
        <w:tblpPr w:leftFromText="141" w:rightFromText="141" w:vertAnchor="text" w:horzAnchor="margin" w:tblpY="-5"/>
        <w:tblW w:w="50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2" w:type="dxa"/>
          <w:right w:w="142" w:type="dxa"/>
        </w:tblCellMar>
        <w:tblLook w:val="01E0" w:firstRow="1" w:lastRow="1" w:firstColumn="1" w:lastColumn="1" w:noHBand="0" w:noVBand="0"/>
      </w:tblPr>
      <w:tblGrid>
        <w:gridCol w:w="306"/>
        <w:gridCol w:w="706"/>
        <w:gridCol w:w="1187"/>
        <w:gridCol w:w="862"/>
        <w:gridCol w:w="813"/>
        <w:gridCol w:w="949"/>
        <w:gridCol w:w="1546"/>
        <w:gridCol w:w="1287"/>
        <w:gridCol w:w="3463"/>
        <w:gridCol w:w="1028"/>
        <w:gridCol w:w="895"/>
        <w:gridCol w:w="852"/>
        <w:gridCol w:w="567"/>
        <w:gridCol w:w="567"/>
        <w:gridCol w:w="567"/>
        <w:gridCol w:w="988"/>
      </w:tblGrid>
      <w:tr w:rsidR="00F50EAE" w:rsidRPr="00FB1E0C" w:rsidTr="00F50EAE">
        <w:trPr>
          <w:trHeight w:val="20"/>
          <w:tblHeader/>
        </w:trPr>
        <w:tc>
          <w:tcPr>
            <w:tcW w:w="92" w:type="pct"/>
            <w:vMerge w:val="restart"/>
            <w:shd w:val="clear" w:color="auto" w:fill="D9D9D9"/>
            <w:vAlign w:val="center"/>
          </w:tcPr>
          <w:p w:rsidR="00F50EAE" w:rsidRPr="00E13D5E" w:rsidRDefault="00F50EAE" w:rsidP="00F50EAE">
            <w:pPr>
              <w:widowControl w:val="0"/>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 по ред</w:t>
            </w:r>
          </w:p>
        </w:tc>
        <w:tc>
          <w:tcPr>
            <w:tcW w:w="213"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Наименование на процедурата</w:t>
            </w:r>
          </w:p>
        </w:tc>
        <w:tc>
          <w:tcPr>
            <w:tcW w:w="358"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Цели на предоставяната БФП по процедурата</w:t>
            </w:r>
          </w:p>
        </w:tc>
        <w:tc>
          <w:tcPr>
            <w:tcW w:w="260"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Начин на провеждане на процедурата съгласно чл. 2 от ПМС № 162 от 2016 г.</w:t>
            </w:r>
          </w:p>
        </w:tc>
        <w:tc>
          <w:tcPr>
            <w:tcW w:w="245"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Извършване на предварителен подбор на концепции за проектни предложения</w:t>
            </w:r>
          </w:p>
        </w:tc>
        <w:tc>
          <w:tcPr>
            <w:tcW w:w="286"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Общ размер на БФП  по процедурата (в лв.)</w:t>
            </w:r>
          </w:p>
        </w:tc>
        <w:tc>
          <w:tcPr>
            <w:tcW w:w="466"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Допустими кандидати</w:t>
            </w:r>
          </w:p>
        </w:tc>
        <w:tc>
          <w:tcPr>
            <w:tcW w:w="388"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Примерни допустими дейности</w:t>
            </w:r>
          </w:p>
        </w:tc>
        <w:tc>
          <w:tcPr>
            <w:tcW w:w="1044"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Категории допустими разходи</w:t>
            </w:r>
          </w:p>
        </w:tc>
        <w:tc>
          <w:tcPr>
            <w:tcW w:w="310"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Максимален % на съ-финансиране</w:t>
            </w:r>
          </w:p>
        </w:tc>
        <w:tc>
          <w:tcPr>
            <w:tcW w:w="270" w:type="pct"/>
            <w:vMerge w:val="restart"/>
            <w:shd w:val="clear" w:color="auto" w:fill="D9D9D9"/>
            <w:vAlign w:val="center"/>
          </w:tcPr>
          <w:p w:rsidR="00F50EAE" w:rsidRPr="00E13D5E" w:rsidRDefault="00F50EAE" w:rsidP="00F50EAE">
            <w:pPr>
              <w:tabs>
                <w:tab w:val="left" w:pos="601"/>
              </w:tabs>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Дата на обявяване на процедурата</w:t>
            </w:r>
          </w:p>
        </w:tc>
        <w:tc>
          <w:tcPr>
            <w:tcW w:w="257" w:type="pct"/>
            <w:vMerge w:val="restar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Краен срок за подаване на проектни предложения</w:t>
            </w:r>
          </w:p>
        </w:tc>
        <w:tc>
          <w:tcPr>
            <w:tcW w:w="342" w:type="pct"/>
            <w:gridSpan w:val="2"/>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Представлява ли процедурата/част от нея:</w:t>
            </w:r>
          </w:p>
        </w:tc>
        <w:tc>
          <w:tcPr>
            <w:tcW w:w="469" w:type="pct"/>
            <w:gridSpan w:val="2"/>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Размер на допустимите разходи за проект (в лв.)</w:t>
            </w:r>
          </w:p>
        </w:tc>
      </w:tr>
      <w:tr w:rsidR="00F50EAE" w:rsidRPr="00E13D5E" w:rsidTr="00F50EAE">
        <w:trPr>
          <w:trHeight w:val="20"/>
          <w:tblHeader/>
        </w:trPr>
        <w:tc>
          <w:tcPr>
            <w:tcW w:w="92"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13"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358"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60"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45"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86"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466"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388"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1044"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310"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70"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257" w:type="pct"/>
            <w:vMerge/>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8"/>
                <w:szCs w:val="18"/>
                <w:lang w:val="bg-BG" w:eastAsia="bg-BG"/>
              </w:rPr>
            </w:pPr>
          </w:p>
        </w:tc>
        <w:tc>
          <w:tcPr>
            <w:tcW w:w="171" w:type="pc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държавна помощ</w:t>
            </w:r>
          </w:p>
        </w:tc>
        <w:tc>
          <w:tcPr>
            <w:tcW w:w="171" w:type="pc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минимална помощ</w:t>
            </w:r>
          </w:p>
        </w:tc>
        <w:tc>
          <w:tcPr>
            <w:tcW w:w="171" w:type="pc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минимален</w:t>
            </w:r>
          </w:p>
        </w:tc>
        <w:tc>
          <w:tcPr>
            <w:tcW w:w="298" w:type="pct"/>
            <w:shd w:val="clear" w:color="auto" w:fill="D9D9D9"/>
            <w:vAlign w:val="center"/>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максимален</w:t>
            </w:r>
          </w:p>
        </w:tc>
      </w:tr>
      <w:tr w:rsidR="00F50EAE" w:rsidRPr="00FB1E0C" w:rsidTr="00F50EAE">
        <w:trPr>
          <w:trHeight w:val="274"/>
        </w:trPr>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1</w:t>
            </w:r>
          </w:p>
        </w:tc>
        <w:tc>
          <w:tcPr>
            <w:tcW w:w="213"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1.2. „Демонстрационни дейности и действия по осведомяване“</w:t>
            </w:r>
          </w:p>
        </w:tc>
        <w:tc>
          <w:tcPr>
            <w:tcW w:w="35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Подпомагане на дейности по организирането и провеждането на демонстрационни дейности в областта на селското стопанство и горското стопанство.</w:t>
            </w:r>
          </w:p>
        </w:tc>
        <w:tc>
          <w:tcPr>
            <w:tcW w:w="26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15 000 000 евро</w:t>
            </w:r>
          </w:p>
        </w:tc>
        <w:tc>
          <w:tcPr>
            <w:tcW w:w="46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Бенефициенти по подмярката са организациите, които 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демонстрационни обекти от типа на учебно-опитни полета, изследователски опитни полета, учебни или изследователски лаборатории.</w:t>
            </w:r>
          </w:p>
        </w:tc>
        <w:tc>
          <w:tcPr>
            <w:tcW w:w="38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Дейности по организиране и провеждане на обучения, за демонстрационни дейности.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r w:rsidRPr="00E13D5E">
              <w:rPr>
                <w:rFonts w:ascii="Times New Roman" w:eastAsia="Times New Roman" w:hAnsi="Times New Roman" w:cs="Times New Roman"/>
                <w:sz w:val="24"/>
                <w:szCs w:val="24"/>
                <w:lang w:val="bg-BG" w:eastAsia="bg-BG"/>
              </w:rPr>
              <w:t xml:space="preserve"> </w:t>
            </w:r>
            <w:r w:rsidRPr="00E13D5E">
              <w:rPr>
                <w:rFonts w:ascii="Times New Roman" w:eastAsia="Times New Roman" w:hAnsi="Times New Roman" w:cs="Times New Roman"/>
                <w:sz w:val="16"/>
                <w:szCs w:val="16"/>
                <w:lang w:val="bg-BG" w:eastAsia="bg-BG"/>
              </w:rPr>
              <w:t>Необходимостта от инвестицията се обосновава съобразно условията на демонстрационния обект и темите на демонстрационните дейности</w:t>
            </w:r>
          </w:p>
        </w:tc>
        <w:tc>
          <w:tcPr>
            <w:tcW w:w="1044"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Бенефициентите по подмярката получават безвъзмездна помощ, която се отпуска под формата на стандартни разходи за извършването на различни демонстрационни дейности: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инвестиции.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Допустимите разходи по отношение на инвестициите трябва да отговарят на изискванията на чл. 45 от Регламент (ЕС) № 1305/2013.</w:t>
            </w:r>
          </w:p>
        </w:tc>
        <w:tc>
          <w:tcPr>
            <w:tcW w:w="31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100%</w:t>
            </w:r>
          </w:p>
        </w:tc>
        <w:tc>
          <w:tcPr>
            <w:tcW w:w="27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Март 2021</w:t>
            </w:r>
          </w:p>
        </w:tc>
        <w:tc>
          <w:tcPr>
            <w:tcW w:w="257"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Май 2021</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100 000 евро за разходи за инвестиции</w:t>
            </w:r>
          </w:p>
        </w:tc>
      </w:tr>
      <w:tr w:rsidR="00F50EAE" w:rsidRPr="00E13D5E" w:rsidTr="00F50EAE">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2</w:t>
            </w:r>
          </w:p>
        </w:tc>
        <w:tc>
          <w:tcPr>
            <w:tcW w:w="213"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2.2 „Създаване на консултантски услуги“</w:t>
            </w:r>
          </w:p>
        </w:tc>
        <w:tc>
          <w:tcPr>
            <w:tcW w:w="35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Дейностите по подмярката ще допринесат за удовлетворяване на идентифицираните в стратегията потребностите относно: </w:t>
            </w:r>
            <w:r w:rsidRPr="00E13D5E">
              <w:rPr>
                <w:rFonts w:ascii="Times New Roman" w:eastAsia="Times New Roman" w:hAnsi="Times New Roman" w:cs="Times New Roman"/>
                <w:sz w:val="16"/>
                <w:szCs w:val="16"/>
                <w:lang w:val="bg-BG" w:eastAsia="bg-BG"/>
              </w:rPr>
              <w:lastRenderedPageBreak/>
              <w:t>повишаване квалификацията и управленските умения на земеделските 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w:t>
            </w:r>
          </w:p>
        </w:tc>
        <w:tc>
          <w:tcPr>
            <w:tcW w:w="26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Процедура чрез подбор на проектни предложения</w:t>
            </w:r>
          </w:p>
        </w:tc>
        <w:tc>
          <w:tcPr>
            <w:tcW w:w="245"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6 000 000 евро</w:t>
            </w:r>
          </w:p>
        </w:tc>
        <w:tc>
          <w:tcPr>
            <w:tcW w:w="46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Национална служба за съвети в земеделието (НССЗ)</w:t>
            </w:r>
          </w:p>
        </w:tc>
        <w:tc>
          <w:tcPr>
            <w:tcW w:w="38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Подпомага се създаването в България на консултантски капацитет на общински ниво чрез разширяването на териториалния обхват на НССЗ </w:t>
            </w:r>
            <w:r w:rsidRPr="00E13D5E">
              <w:rPr>
                <w:rFonts w:ascii="Times New Roman" w:eastAsia="Times New Roman" w:hAnsi="Times New Roman" w:cs="Times New Roman"/>
                <w:sz w:val="16"/>
                <w:szCs w:val="16"/>
                <w:lang w:val="bg-BG" w:eastAsia="bg-BG"/>
              </w:rPr>
              <w:lastRenderedPageBreak/>
              <w:t>и създаване на мобилни общински центрове (офиси)  за консултантски услуги към НССЗ – до 50 общински центъра с по 2-ма съветници, отделно по 1  регионален координатор за районите на планиране  и 2 координатори на централно ниво.</w:t>
            </w:r>
          </w:p>
        </w:tc>
        <w:tc>
          <w:tcPr>
            <w:tcW w:w="1044"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Разходи за дълготрайни материални и нематериални активи стриктно свързани с мобилните общинските центрове; оперативни разходи свързани със създаването и функционирането на мобилните общинските центрове; разходи за служителите – съветници и координатори; разходи за информационни материали и за информационни мероприятия свързани с дейността на центровете.</w:t>
            </w:r>
          </w:p>
        </w:tc>
        <w:tc>
          <w:tcPr>
            <w:tcW w:w="31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80-100%</w:t>
            </w:r>
          </w:p>
        </w:tc>
        <w:tc>
          <w:tcPr>
            <w:tcW w:w="27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Февруари 2021</w:t>
            </w:r>
          </w:p>
        </w:tc>
        <w:tc>
          <w:tcPr>
            <w:tcW w:w="257"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Май 2021</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6 000 000 евро </w:t>
            </w:r>
          </w:p>
        </w:tc>
      </w:tr>
      <w:tr w:rsidR="00F50EAE" w:rsidRPr="00E13D5E" w:rsidTr="00F50EAE">
        <w:tc>
          <w:tcPr>
            <w:tcW w:w="92"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3.</w:t>
            </w:r>
          </w:p>
        </w:tc>
        <w:tc>
          <w:tcPr>
            <w:tcW w:w="213"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4.1 „Инвестиции в земеделски стопанства“ </w:t>
            </w:r>
          </w:p>
        </w:tc>
        <w:tc>
          <w:tcPr>
            <w:tcW w:w="35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Модернизиране на физическите активи на земеделски стопанства</w:t>
            </w:r>
          </w:p>
        </w:tc>
        <w:tc>
          <w:tcPr>
            <w:tcW w:w="260"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215 880 000 евро</w:t>
            </w:r>
          </w:p>
        </w:tc>
        <w:tc>
          <w:tcPr>
            <w:tcW w:w="466"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Регистрирани земеделски производители от най-малко 36 месеца, с</w:t>
            </w:r>
          </w:p>
          <w:p w:rsidR="00F50EAE" w:rsidRPr="00E13D5E" w:rsidRDefault="00F50EAE" w:rsidP="00F50EAE">
            <w:pPr>
              <w:spacing w:after="0" w:line="240" w:lineRule="auto"/>
              <w:ind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минимален  стандартен производствен обем на стопанството не по - малко от 8 000 евро; Признати групи и организации на производители</w:t>
            </w:r>
          </w:p>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Подпомагането по подмярката ще бъде насочено към модернизиране на земеделските стопанства </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Материални инвестиции </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Закупуване/придобиване, строителство или обновяване на сгради;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Закупуване и/или инсталиране на нови машини, съоръжения и оборудване;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Създаване и/или презасаждане на трайни насаждения</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Закупуване на земя, необходима за изграждане/модернизиране на сгради, помещения и други недвижими активи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Закупуване на специализирани земеделски транспортни средства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Рехабилитация на съществуващи и изграждане на нови съоръжения и оборудване за напояване,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Нематериални инвестиции: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tc>
        <w:tc>
          <w:tcPr>
            <w:tcW w:w="310"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35-85%</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Април</w:t>
            </w:r>
            <w:r w:rsidRPr="00E13D5E">
              <w:rPr>
                <w:rFonts w:ascii="Times New Roman" w:eastAsia="Times New Roman" w:hAnsi="Times New Roman" w:cs="Times New Roman"/>
                <w:sz w:val="16"/>
                <w:szCs w:val="16"/>
                <w:lang w:val="bg-BG" w:eastAsia="bg-BG"/>
              </w:rPr>
              <w:br/>
              <w:t>2021 г.</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Юни</w:t>
            </w:r>
            <w:r w:rsidRPr="00E13D5E">
              <w:rPr>
                <w:rFonts w:ascii="Times New Roman" w:eastAsia="Times New Roman" w:hAnsi="Times New Roman" w:cs="Times New Roman"/>
                <w:sz w:val="16"/>
                <w:szCs w:val="16"/>
                <w:lang w:val="bg-BG" w:eastAsia="bg-BG"/>
              </w:rPr>
              <w:br/>
              <w:t>2021 г.</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15 000 евро</w:t>
            </w:r>
          </w:p>
        </w:tc>
        <w:tc>
          <w:tcPr>
            <w:tcW w:w="29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1 500 000 евро</w:t>
            </w:r>
          </w:p>
        </w:tc>
      </w:tr>
      <w:tr w:rsidR="00F50EAE" w:rsidRPr="00E13D5E" w:rsidTr="00F50EAE">
        <w:tc>
          <w:tcPr>
            <w:tcW w:w="92"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4.</w:t>
            </w:r>
          </w:p>
        </w:tc>
        <w:tc>
          <w:tcPr>
            <w:tcW w:w="213"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4.2 </w:t>
            </w:r>
            <w:r w:rsidRPr="00E13D5E">
              <w:rPr>
                <w:rFonts w:ascii="Times New Roman" w:eastAsia="Times New Roman" w:hAnsi="Times New Roman" w:cs="Times New Roman"/>
                <w:b/>
                <w:sz w:val="16"/>
                <w:szCs w:val="16"/>
                <w:lang w:val="bg-BG" w:eastAsia="bg-BG"/>
              </w:rPr>
              <w:lastRenderedPageBreak/>
              <w:t>„Инвестиции в преработка/маркетинг на селскостопански продукти“</w:t>
            </w:r>
          </w:p>
        </w:tc>
        <w:tc>
          <w:tcPr>
            <w:tcW w:w="35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Модернизиране на физическите </w:t>
            </w:r>
            <w:r w:rsidRPr="00E13D5E">
              <w:rPr>
                <w:rFonts w:ascii="Times New Roman" w:eastAsia="Times New Roman" w:hAnsi="Times New Roman" w:cs="Times New Roman"/>
                <w:sz w:val="16"/>
                <w:szCs w:val="16"/>
                <w:lang w:val="bg-BG" w:eastAsia="bg-BG"/>
              </w:rPr>
              <w:lastRenderedPageBreak/>
              <w:t xml:space="preserve">активи на предприятията и земеделски производители преработващи земеделски продукти </w:t>
            </w:r>
          </w:p>
        </w:tc>
        <w:tc>
          <w:tcPr>
            <w:tcW w:w="260"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Подбор на проектни </w:t>
            </w:r>
            <w:r w:rsidRPr="00E13D5E">
              <w:rPr>
                <w:rFonts w:ascii="Times New Roman" w:eastAsia="Times New Roman" w:hAnsi="Times New Roman" w:cs="Times New Roman"/>
                <w:sz w:val="16"/>
                <w:szCs w:val="16"/>
                <w:lang w:val="bg-BG" w:eastAsia="bg-BG"/>
              </w:rPr>
              <w:lastRenderedPageBreak/>
              <w:t>предложе-ния</w:t>
            </w:r>
          </w:p>
        </w:tc>
        <w:tc>
          <w:tcPr>
            <w:tcW w:w="245"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Не</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w:t>
            </w:r>
            <w:r w:rsidRPr="00E13D5E">
              <w:rPr>
                <w:rFonts w:ascii="Times New Roman" w:eastAsia="Times New Roman" w:hAnsi="Times New Roman" w:cs="Times New Roman"/>
                <w:sz w:val="16"/>
                <w:szCs w:val="16"/>
                <w:lang w:val="bg-BG" w:eastAsia="bg-BG"/>
              </w:rPr>
              <w:lastRenderedPageBreak/>
              <w:t>ст на 197 956 861 евро</w:t>
            </w:r>
          </w:p>
        </w:tc>
        <w:tc>
          <w:tcPr>
            <w:tcW w:w="466"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Земеделски стопани; Признати групи или </w:t>
            </w:r>
            <w:r w:rsidRPr="00E13D5E">
              <w:rPr>
                <w:rFonts w:ascii="Times New Roman" w:eastAsia="Times New Roman" w:hAnsi="Times New Roman" w:cs="Times New Roman"/>
                <w:sz w:val="16"/>
                <w:szCs w:val="16"/>
                <w:lang w:val="bg-BG" w:eastAsia="bg-BG"/>
              </w:rPr>
              <w:lastRenderedPageBreak/>
              <w:t>организации на производители; Физически и юридически лица регистрирани по ТЗ</w:t>
            </w:r>
          </w:p>
          <w:p w:rsidR="00F50EAE" w:rsidRPr="00E13D5E" w:rsidDel="004B359D"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Кандидатите следва да са извършвали дейност от най-малко 36 месеца </w:t>
            </w:r>
          </w:p>
        </w:tc>
        <w:tc>
          <w:tcPr>
            <w:tcW w:w="388"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Подпомагането ще бъде насочено </w:t>
            </w:r>
            <w:r w:rsidRPr="00E13D5E">
              <w:rPr>
                <w:rFonts w:ascii="Times New Roman" w:eastAsia="Times New Roman" w:hAnsi="Times New Roman" w:cs="Times New Roman"/>
                <w:sz w:val="16"/>
                <w:szCs w:val="16"/>
                <w:lang w:val="bg-BG" w:eastAsia="bg-BG"/>
              </w:rPr>
              <w:lastRenderedPageBreak/>
              <w:t>към дейности по модернизиране на физическите активи на предприятията и земеделски производители преработващи селскостопански продукти</w:t>
            </w:r>
          </w:p>
        </w:tc>
        <w:tc>
          <w:tcPr>
            <w:tcW w:w="1044"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Материални инвестиции: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Разходи за изграждане, придобиване и </w:t>
            </w:r>
            <w:r w:rsidRPr="00E13D5E">
              <w:rPr>
                <w:rFonts w:ascii="Times New Roman" w:eastAsia="Times New Roman" w:hAnsi="Times New Roman" w:cs="Times New Roman"/>
                <w:sz w:val="16"/>
                <w:szCs w:val="16"/>
                <w:lang w:val="bg-BG" w:eastAsia="bg-BG"/>
              </w:rPr>
              <w:lastRenderedPageBreak/>
              <w:t>модернизиране на сгради и други недвижими активи необходими за производството и маркетинга;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енергийната ефективност и за подобряване и контрол на качеството и безопасността на суровините и храните;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изграждане и/или модернизиране на лаборатории за нуждите на предприятието;</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инвестиции за постигане на съответствие с новоприети стандарти;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закупуване на земя, необходима за изграждане/модернизиране на сгради, помещения и други недвижими активи предназначени за производствена дейност Нематериални инвестиции:.</w:t>
            </w:r>
          </w:p>
          <w:p w:rsidR="00F50EAE" w:rsidRPr="00E13D5E" w:rsidDel="004B359D"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tc>
        <w:tc>
          <w:tcPr>
            <w:tcW w:w="310" w:type="pct"/>
            <w:tcBorders>
              <w:top w:val="single" w:sz="4" w:space="0" w:color="auto"/>
              <w:left w:val="single" w:sz="4" w:space="0" w:color="auto"/>
              <w:bottom w:val="single" w:sz="4" w:space="0" w:color="auto"/>
              <w:right w:val="single" w:sz="4" w:space="0" w:color="auto"/>
            </w:tcBorders>
          </w:tcPr>
          <w:p w:rsidR="00F50EAE" w:rsidRPr="00E13D5E" w:rsidDel="003F25AB"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35-75%</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Април</w:t>
            </w:r>
            <w:r w:rsidRPr="00E13D5E">
              <w:rPr>
                <w:rFonts w:ascii="Times New Roman" w:eastAsia="Times New Roman" w:hAnsi="Times New Roman" w:cs="Times New Roman"/>
                <w:sz w:val="16"/>
                <w:szCs w:val="16"/>
                <w:lang w:val="bg-BG" w:eastAsia="bg-BG"/>
              </w:rPr>
              <w:br/>
              <w:t>2021 г.</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Юни</w:t>
            </w:r>
            <w:r w:rsidRPr="00E13D5E">
              <w:rPr>
                <w:rFonts w:ascii="Times New Roman" w:eastAsia="Times New Roman" w:hAnsi="Times New Roman" w:cs="Times New Roman"/>
                <w:sz w:val="16"/>
                <w:szCs w:val="16"/>
                <w:lang w:val="bg-BG" w:eastAsia="bg-BG"/>
              </w:rPr>
              <w:br/>
              <w:t>2021 г.</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Да</w:t>
            </w:r>
          </w:p>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Съгла</w:t>
            </w:r>
            <w:r w:rsidRPr="00E13D5E">
              <w:rPr>
                <w:rFonts w:ascii="Times New Roman" w:eastAsia="Times New Roman" w:hAnsi="Times New Roman" w:cs="Times New Roman"/>
                <w:sz w:val="16"/>
                <w:szCs w:val="16"/>
                <w:lang w:val="bg-BG" w:eastAsia="bg-BG"/>
              </w:rPr>
              <w:lastRenderedPageBreak/>
              <w:t>сно Регламент 702/2014 за крайни продукти извън Приложение 1 от ДФЕС</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Не</w:t>
            </w:r>
          </w:p>
        </w:tc>
        <w:tc>
          <w:tcPr>
            <w:tcW w:w="171" w:type="pct"/>
            <w:tcBorders>
              <w:top w:val="single" w:sz="4" w:space="0" w:color="auto"/>
              <w:left w:val="single" w:sz="4" w:space="0" w:color="auto"/>
              <w:bottom w:val="single" w:sz="4" w:space="0" w:color="auto"/>
              <w:right w:val="single" w:sz="4" w:space="0" w:color="auto"/>
            </w:tcBorders>
          </w:tcPr>
          <w:p w:rsidR="00F50EAE" w:rsidRPr="00E13D5E" w:rsidDel="003F25AB"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Левовата </w:t>
            </w:r>
            <w:r w:rsidRPr="00E13D5E">
              <w:rPr>
                <w:rFonts w:ascii="Times New Roman" w:eastAsia="Times New Roman" w:hAnsi="Times New Roman" w:cs="Times New Roman"/>
                <w:sz w:val="16"/>
                <w:szCs w:val="16"/>
                <w:lang w:val="bg-BG" w:eastAsia="bg-BG"/>
              </w:rPr>
              <w:lastRenderedPageBreak/>
              <w:t>равностойност на 15 000 евро</w:t>
            </w:r>
          </w:p>
        </w:tc>
        <w:tc>
          <w:tcPr>
            <w:tcW w:w="29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Левовата равностойно</w:t>
            </w:r>
            <w:r w:rsidRPr="00E13D5E">
              <w:rPr>
                <w:rFonts w:ascii="Times New Roman" w:eastAsia="Times New Roman" w:hAnsi="Times New Roman" w:cs="Times New Roman"/>
                <w:sz w:val="16"/>
                <w:szCs w:val="16"/>
                <w:lang w:val="bg-BG" w:eastAsia="bg-BG"/>
              </w:rPr>
              <w:lastRenderedPageBreak/>
              <w:t>ст на 3 000 000 евро</w:t>
            </w:r>
          </w:p>
        </w:tc>
      </w:tr>
      <w:tr w:rsidR="00F50EAE" w:rsidRPr="00FB1E0C" w:rsidTr="00F50EAE">
        <w:tc>
          <w:tcPr>
            <w:tcW w:w="92"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5.</w:t>
            </w:r>
          </w:p>
        </w:tc>
        <w:tc>
          <w:tcPr>
            <w:tcW w:w="213"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5.1 „Подкрепа за инвестиции в превантивни мерки, насочени към ограничаване на последствията от </w:t>
            </w:r>
            <w:r w:rsidRPr="00E13D5E">
              <w:rPr>
                <w:rFonts w:ascii="Times New Roman" w:eastAsia="Times New Roman" w:hAnsi="Times New Roman" w:cs="Times New Roman"/>
                <w:b/>
                <w:sz w:val="16"/>
                <w:szCs w:val="16"/>
                <w:lang w:val="bg-BG" w:eastAsia="bg-BG"/>
              </w:rPr>
              <w:lastRenderedPageBreak/>
              <w:t>вероятни природни бедствия, неблагоприятни климатични явления и катастрофични събития“</w:t>
            </w:r>
          </w:p>
        </w:tc>
        <w:tc>
          <w:tcPr>
            <w:tcW w:w="35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w:t>
            </w:r>
          </w:p>
        </w:tc>
        <w:tc>
          <w:tcPr>
            <w:tcW w:w="260"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12 000 000 евро</w:t>
            </w:r>
          </w:p>
        </w:tc>
        <w:tc>
          <w:tcPr>
            <w:tcW w:w="466"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Земеделски стопани отглеждащи свине, птици и дребни преживни животни</w:t>
            </w:r>
          </w:p>
        </w:tc>
        <w:tc>
          <w:tcPr>
            <w:tcW w:w="38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явления и катастрофични събития.</w:t>
            </w:r>
          </w:p>
        </w:tc>
        <w:tc>
          <w:tcPr>
            <w:tcW w:w="1044"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Разходи за закупуване на съоръжения и оборудване за дезинфекция; Разходи за закупуване на инсталации, оборудване за осигуряване на биосигурност и инфраструктура, в т. ч. помещения за персонала (например изграждане и оборудване на филтъра с душове, съблекални и т.н.) в стопанствата; Разходи за изграждане на огради или закупуване на преградни съоръжения; Разходи за изграждане или закупуване на съоръжения за съхранение на фуражи; Разходи за закупуване на оборудване и изграждане на места, свързани със съхранение на странични животински продукти, вкл. оборудване и съоръжения за инсинерация; Разходи за инсталации на оборудване, </w:t>
            </w:r>
            <w:r w:rsidRPr="00E13D5E">
              <w:rPr>
                <w:rFonts w:ascii="Times New Roman" w:eastAsia="Times New Roman" w:hAnsi="Times New Roman" w:cs="Times New Roman"/>
                <w:sz w:val="16"/>
                <w:szCs w:val="16"/>
                <w:lang w:val="bg-BG" w:eastAsia="bg-BG"/>
              </w:rPr>
              <w:lastRenderedPageBreak/>
              <w:t>включително разходите за монтаж и въвеждане в експлоатация на същите.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10"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50-70% </w:t>
            </w:r>
          </w:p>
        </w:tc>
        <w:tc>
          <w:tcPr>
            <w:tcW w:w="270"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Февруари 2021 г.</w:t>
            </w:r>
          </w:p>
        </w:tc>
        <w:tc>
          <w:tcPr>
            <w:tcW w:w="257" w:type="pct"/>
            <w:tcBorders>
              <w:top w:val="single" w:sz="4" w:space="0" w:color="auto"/>
              <w:left w:val="single" w:sz="4" w:space="0" w:color="auto"/>
              <w:bottom w:val="single" w:sz="4" w:space="0" w:color="auto"/>
              <w:right w:val="single" w:sz="4" w:space="0" w:color="auto"/>
            </w:tcBorders>
            <w:shd w:val="clear" w:color="auto" w:fill="FFFFFF" w:themeFill="background1"/>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Май 2021 г.</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15 000 лв.</w:t>
            </w:r>
          </w:p>
        </w:tc>
        <w:tc>
          <w:tcPr>
            <w:tcW w:w="298" w:type="pct"/>
            <w:tcBorders>
              <w:top w:val="single" w:sz="4" w:space="0" w:color="auto"/>
              <w:left w:val="single" w:sz="4" w:space="0" w:color="auto"/>
              <w:bottom w:val="single" w:sz="4" w:space="0" w:color="auto"/>
              <w:right w:val="single" w:sz="4" w:space="0" w:color="auto"/>
            </w:tcBorders>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Максималният размер на допустимите разходи за едно проектно предложение, представено от земеделски стопани е 2 933 700 лева за стопанства, в които се </w:t>
            </w:r>
            <w:r w:rsidRPr="00E13D5E">
              <w:rPr>
                <w:rFonts w:ascii="Times New Roman" w:eastAsia="Times New Roman" w:hAnsi="Times New Roman" w:cs="Times New Roman"/>
                <w:sz w:val="16"/>
                <w:szCs w:val="16"/>
                <w:lang w:val="bg-BG" w:eastAsia="bg-BG"/>
              </w:rPr>
              <w:lastRenderedPageBreak/>
              <w:t>отглеждат свине, 1 955 800 лв. - за стопанства в които се отглеждат птици и 391 160 лв. - за стопанства, в които се отглеждат дребни преживни животни.</w:t>
            </w:r>
          </w:p>
        </w:tc>
      </w:tr>
      <w:tr w:rsidR="00F50EAE" w:rsidRPr="00E13D5E" w:rsidTr="00F50EAE">
        <w:tc>
          <w:tcPr>
            <w:tcW w:w="92" w:type="pct"/>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6.</w:t>
            </w:r>
          </w:p>
        </w:tc>
        <w:tc>
          <w:tcPr>
            <w:tcW w:w="213" w:type="pct"/>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tc>
        <w:tc>
          <w:tcPr>
            <w:tcW w:w="358"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животните, както и превенция от опасни метеорологични явления - градушки .</w:t>
            </w:r>
          </w:p>
        </w:tc>
        <w:tc>
          <w:tcPr>
            <w:tcW w:w="260"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1 500 000 евро</w:t>
            </w:r>
          </w:p>
        </w:tc>
        <w:tc>
          <w:tcPr>
            <w:tcW w:w="466"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Българска агенция по безопасност на храните;</w:t>
            </w:r>
            <w:r w:rsidRPr="00E13D5E">
              <w:rPr>
                <w:rFonts w:ascii="Times New Roman" w:eastAsia="Times New Roman" w:hAnsi="Times New Roman" w:cs="Times New Roman"/>
                <w:sz w:val="16"/>
                <w:szCs w:val="16"/>
                <w:lang w:val="bg-BG" w:eastAsia="bg-BG"/>
              </w:rPr>
              <w:br/>
              <w:t>Изпълнителна агенция „Борба с градушките”;</w:t>
            </w:r>
            <w:r w:rsidRPr="00E13D5E">
              <w:rPr>
                <w:rFonts w:ascii="Times New Roman" w:eastAsia="Times New Roman" w:hAnsi="Times New Roman" w:cs="Times New Roman"/>
                <w:sz w:val="16"/>
                <w:szCs w:val="16"/>
                <w:lang w:val="bg-BG" w:eastAsia="bg-BG"/>
              </w:rPr>
              <w:br/>
              <w:t>Национален диагностичен научноизследователски ветеринарномедицински институт „Проф. д-р Г. Павлов“</w:t>
            </w:r>
          </w:p>
        </w:tc>
        <w:tc>
          <w:tcPr>
            <w:tcW w:w="388"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явления и катастрофични събития</w:t>
            </w:r>
          </w:p>
        </w:tc>
        <w:tc>
          <w:tcPr>
            <w:tcW w:w="1044"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закупуване на оборудване, инструменти и съоръжения за лаборатории; разходи за закупуване на специализирано мобилно оборудване за пренасяне на проби; разходи за инсталации, включително разходите за монтаж и въвеждане в експлоатация на лаборатории. Разходи за акредитация на лаборатории; разходи за закупуване на лицензи, придобиване и разработка на софтуер за лаборатории;</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 Изпълнителна агенция борба с градушките /ИАБГ/:</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строително – монтажни дейности свързани с изграждане на кули, използвани за монтаж на радарни станции, вкл. прилежаща инфраструктура към тях; Разходи за закупуване на радарни станции, вкл. оборудване за анализ и съхранение на бази данни; Разходи за закупуване на специализирани транспортни средства за превоз на противоградна техника и специфични товари; Разходи за инсталации, включително разходи за монтаж и въвеждане в експлоатация на радарни станции.</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закупуване на лицензи, придобиване и разработка на софтуер за противоградна защита</w:t>
            </w:r>
            <w:r w:rsidRPr="00E13D5E">
              <w:rPr>
                <w:rFonts w:ascii="Times New Roman" w:eastAsia="Times New Roman" w:hAnsi="Times New Roman" w:cs="Times New Roman"/>
                <w:sz w:val="16"/>
                <w:szCs w:val="16"/>
                <w:lang w:val="bg-BG" w:eastAsia="bg-BG"/>
              </w:rPr>
              <w:b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10"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80%</w:t>
            </w:r>
          </w:p>
        </w:tc>
        <w:tc>
          <w:tcPr>
            <w:tcW w:w="270"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Февруари 2021 г.</w:t>
            </w:r>
          </w:p>
        </w:tc>
        <w:tc>
          <w:tcPr>
            <w:tcW w:w="257"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Май 2021 г.</w:t>
            </w:r>
          </w:p>
        </w:tc>
        <w:tc>
          <w:tcPr>
            <w:tcW w:w="171"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15 000 лв.</w:t>
            </w:r>
          </w:p>
        </w:tc>
        <w:tc>
          <w:tcPr>
            <w:tcW w:w="298" w:type="pct"/>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1 222 375,00 лв.</w:t>
            </w:r>
          </w:p>
        </w:tc>
      </w:tr>
      <w:tr w:rsidR="00F50EAE" w:rsidRPr="00E13D5E" w:rsidTr="00F50EAE">
        <w:tc>
          <w:tcPr>
            <w:tcW w:w="92" w:type="pct"/>
          </w:tcPr>
          <w:p w:rsidR="00F50EAE" w:rsidRPr="00E13D5E" w:rsidRDefault="00F50EAE" w:rsidP="00F50EAE">
            <w:pPr>
              <w:spacing w:after="24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7.</w:t>
            </w:r>
          </w:p>
        </w:tc>
        <w:tc>
          <w:tcPr>
            <w:tcW w:w="213" w:type="pct"/>
          </w:tcPr>
          <w:p w:rsidR="00F50EAE" w:rsidRPr="00E13D5E" w:rsidRDefault="00F50EAE" w:rsidP="00F50EAE">
            <w:pPr>
              <w:spacing w:after="24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6.1 "Създаване на стопанства на </w:t>
            </w:r>
            <w:r w:rsidRPr="00E13D5E">
              <w:rPr>
                <w:rFonts w:ascii="Times New Roman" w:eastAsia="Times New Roman" w:hAnsi="Times New Roman" w:cs="Times New Roman"/>
                <w:b/>
                <w:sz w:val="16"/>
                <w:szCs w:val="16"/>
                <w:lang w:val="bg-BG" w:eastAsia="bg-BG"/>
              </w:rPr>
              <w:lastRenderedPageBreak/>
              <w:t>млади фермери"“</w:t>
            </w:r>
          </w:p>
        </w:tc>
        <w:tc>
          <w:tcPr>
            <w:tcW w:w="358"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Увеличаване на броя и дела на младите земеделски стопани; </w:t>
            </w:r>
          </w:p>
        </w:tc>
        <w:tc>
          <w:tcPr>
            <w:tcW w:w="260"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24 600 000 евро</w:t>
            </w:r>
          </w:p>
        </w:tc>
        <w:tc>
          <w:tcPr>
            <w:tcW w:w="466"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Земеделски стопани – физически лица,еднолични търговци, ЕООД</w:t>
            </w:r>
          </w:p>
        </w:tc>
        <w:tc>
          <w:tcPr>
            <w:tcW w:w="388"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Дейности за създаване и развитие на стопанства на млади земеделски </w:t>
            </w:r>
            <w:r w:rsidRPr="00E13D5E">
              <w:rPr>
                <w:rFonts w:ascii="Times New Roman" w:eastAsia="Times New Roman" w:hAnsi="Times New Roman" w:cs="Times New Roman"/>
                <w:sz w:val="16"/>
                <w:szCs w:val="16"/>
                <w:lang w:val="bg-BG" w:eastAsia="bg-BG"/>
              </w:rPr>
              <w:lastRenderedPageBreak/>
              <w:t>стопани</w:t>
            </w:r>
          </w:p>
        </w:tc>
        <w:tc>
          <w:tcPr>
            <w:tcW w:w="1044"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Разходи за създаване и развитие на стопанства на млади земеделски стопани, посочени в бизнес план</w:t>
            </w:r>
          </w:p>
        </w:tc>
        <w:tc>
          <w:tcPr>
            <w:tcW w:w="310"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70"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Септември</w:t>
            </w:r>
            <w:r w:rsidRPr="00E13D5E">
              <w:rPr>
                <w:rFonts w:ascii="Times New Roman" w:eastAsia="Times New Roman" w:hAnsi="Times New Roman" w:cs="Times New Roman"/>
                <w:sz w:val="16"/>
                <w:szCs w:val="16"/>
                <w:lang w:val="bg-BG" w:eastAsia="bg-BG"/>
              </w:rPr>
              <w:br/>
              <w:t>2021 г.</w:t>
            </w:r>
          </w:p>
        </w:tc>
        <w:tc>
          <w:tcPr>
            <w:tcW w:w="257"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Ноември</w:t>
            </w:r>
            <w:r w:rsidRPr="00E13D5E">
              <w:rPr>
                <w:rFonts w:ascii="Times New Roman" w:eastAsia="Times New Roman" w:hAnsi="Times New Roman" w:cs="Times New Roman"/>
                <w:sz w:val="16"/>
                <w:szCs w:val="16"/>
                <w:lang w:val="bg-BG" w:eastAsia="bg-BG"/>
              </w:rPr>
              <w:br/>
              <w:t>2021 г.</w:t>
            </w:r>
          </w:p>
        </w:tc>
        <w:tc>
          <w:tcPr>
            <w:tcW w:w="171"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25 000 евро</w:t>
            </w:r>
          </w:p>
        </w:tc>
      </w:tr>
      <w:tr w:rsidR="00F50EAE" w:rsidRPr="00E13D5E" w:rsidTr="00F50EAE">
        <w:tc>
          <w:tcPr>
            <w:tcW w:w="92" w:type="pct"/>
          </w:tcPr>
          <w:p w:rsidR="00F50EAE" w:rsidRPr="00E13D5E" w:rsidRDefault="00F50EAE" w:rsidP="00F50EAE">
            <w:pPr>
              <w:spacing w:after="24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8.</w:t>
            </w:r>
          </w:p>
        </w:tc>
        <w:tc>
          <w:tcPr>
            <w:tcW w:w="213" w:type="pct"/>
          </w:tcPr>
          <w:p w:rsidR="00F50EAE" w:rsidRPr="00E13D5E" w:rsidRDefault="00F50EAE" w:rsidP="00F50EAE">
            <w:pPr>
              <w:spacing w:after="24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6.3 „Стартова помощ за развитието на малки стопанства“ (ТПП)</w:t>
            </w:r>
          </w:p>
        </w:tc>
        <w:tc>
          <w:tcPr>
            <w:tcW w:w="358"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Икономическо развитие и укрепване на малките земеделски стопанства в устойчиви и жизнеспособни единици</w:t>
            </w:r>
          </w:p>
        </w:tc>
        <w:tc>
          <w:tcPr>
            <w:tcW w:w="260"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20 000 000 евро</w:t>
            </w:r>
          </w:p>
        </w:tc>
        <w:tc>
          <w:tcPr>
            <w:tcW w:w="466"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Регистрирани земеделски стопани отговарящи на определението за „малко земеделско стопанство“</w:t>
            </w:r>
          </w:p>
        </w:tc>
        <w:tc>
          <w:tcPr>
            <w:tcW w:w="388"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Дейности за развитие на малки земеделски стопанства </w:t>
            </w:r>
          </w:p>
        </w:tc>
        <w:tc>
          <w:tcPr>
            <w:tcW w:w="1044" w:type="pct"/>
            <w:vAlign w:val="center"/>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развитие на малки земеделски стопанства, посочени в бизнес план</w:t>
            </w:r>
          </w:p>
        </w:tc>
        <w:tc>
          <w:tcPr>
            <w:tcW w:w="310"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70"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Септември</w:t>
            </w:r>
            <w:r w:rsidRPr="00E13D5E">
              <w:rPr>
                <w:rFonts w:ascii="Times New Roman" w:eastAsia="Times New Roman" w:hAnsi="Times New Roman" w:cs="Times New Roman"/>
                <w:sz w:val="16"/>
                <w:szCs w:val="16"/>
                <w:lang w:val="bg-BG" w:eastAsia="bg-BG"/>
              </w:rPr>
              <w:br/>
              <w:t>2021 г.</w:t>
            </w:r>
          </w:p>
        </w:tc>
        <w:tc>
          <w:tcPr>
            <w:tcW w:w="257" w:type="pct"/>
            <w:shd w:val="clear" w:color="auto" w:fill="FFFFFF" w:themeFill="background1"/>
          </w:tcPr>
          <w:p w:rsidR="00F50EAE" w:rsidRPr="00E13D5E" w:rsidRDefault="00F50EAE" w:rsidP="00F50EAE">
            <w:pPr>
              <w:spacing w:after="24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Ноември</w:t>
            </w:r>
            <w:r w:rsidRPr="00E13D5E">
              <w:rPr>
                <w:rFonts w:ascii="Times New Roman" w:eastAsia="Times New Roman" w:hAnsi="Times New Roman" w:cs="Times New Roman"/>
                <w:sz w:val="16"/>
                <w:szCs w:val="16"/>
                <w:lang w:val="bg-BG" w:eastAsia="bg-BG"/>
              </w:rPr>
              <w:br/>
              <w:t>2021 г.</w:t>
            </w:r>
          </w:p>
        </w:tc>
        <w:tc>
          <w:tcPr>
            <w:tcW w:w="171"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vAlign w:val="center"/>
          </w:tcPr>
          <w:p w:rsidR="00F50EAE" w:rsidRPr="00E13D5E" w:rsidRDefault="00F50EAE" w:rsidP="00F50EAE">
            <w:pPr>
              <w:spacing w:after="24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15 000 евро</w:t>
            </w:r>
          </w:p>
        </w:tc>
      </w:tr>
      <w:tr w:rsidR="00F50EAE" w:rsidRPr="00E13D5E" w:rsidTr="00F50EAE">
        <w:tc>
          <w:tcPr>
            <w:tcW w:w="92"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eastAsia="bg-BG"/>
              </w:rPr>
              <w:t>9</w:t>
            </w:r>
            <w:r w:rsidRPr="00E13D5E">
              <w:rPr>
                <w:rFonts w:ascii="Times New Roman" w:eastAsia="Times New Roman" w:hAnsi="Times New Roman" w:cs="Times New Roman"/>
                <w:b/>
                <w:sz w:val="16"/>
                <w:szCs w:val="16"/>
                <w:lang w:val="bg-BG" w:eastAsia="bg-BG"/>
              </w:rPr>
              <w:t>.</w:t>
            </w:r>
          </w:p>
        </w:tc>
        <w:tc>
          <w:tcPr>
            <w:tcW w:w="213"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7.3 „Широколентова инфраструктура, включително нейното създаване, подобрение и разширение”</w:t>
            </w:r>
          </w:p>
        </w:tc>
        <w:tc>
          <w:tcPr>
            <w:tcW w:w="358"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Създаване на широколентова инфраструктура за достъп от следващо поколение и осигуряване на активно оборудване за свързаност към облак на електронно управление в бели и сиви зони</w:t>
            </w:r>
          </w:p>
        </w:tc>
        <w:tc>
          <w:tcPr>
            <w:tcW w:w="260"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42 000 000 евро</w:t>
            </w:r>
          </w:p>
        </w:tc>
        <w:tc>
          <w:tcPr>
            <w:tcW w:w="466"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Държавна агенция "Електронно управление"</w:t>
            </w:r>
          </w:p>
        </w:tc>
        <w:tc>
          <w:tcPr>
            <w:tcW w:w="388"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Инвестиции за създаване на широколентова инфраструктура</w:t>
            </w:r>
          </w:p>
        </w:tc>
        <w:tc>
          <w:tcPr>
            <w:tcW w:w="1044"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Изграждане на пасивна широколентова инфраструктура за достъп от ново поколение (напр. строителни дейности като канали, както и оптични кабели, стълбове, помещения);</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Закупуване и инсталиране на агрегиращо активно оборудване (напр. предаватели, рутери и комутатори, сървъри за контрол и управление);</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Нематериални инвестиции: придобиване или развитие на компютърен софтуер и придобиване на патенти, лицензи, авторски права, търговски марки;</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Общи разходи, свързани с изброените по-горе, например такси, хонорари на архитекти, инженери и консултанти, хонорари, свързани с консултации относно екологичната и икономическата устойчивост</w:t>
            </w:r>
          </w:p>
        </w:tc>
        <w:tc>
          <w:tcPr>
            <w:tcW w:w="310"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100 %</w:t>
            </w:r>
          </w:p>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Помощта по настоящите Насоки ще се предоставя съгласно националните и европейски правила в сферата на Държавните помощи, съобразно които Европейската комисия се произнася по съвместимостта на планираната държавна помощ, като до приемане на решението администраторът на помощ не я привежда в действие, респективно не може да се пристъпи към подписване на администрати</w:t>
            </w:r>
            <w:r w:rsidRPr="00E13D5E">
              <w:rPr>
                <w:rFonts w:ascii="Times New Roman" w:eastAsia="Times New Roman" w:hAnsi="Times New Roman" w:cs="Times New Roman"/>
                <w:sz w:val="16"/>
                <w:szCs w:val="16"/>
                <w:lang w:val="bg-BG" w:eastAsia="bg-BG"/>
              </w:rPr>
              <w:lastRenderedPageBreak/>
              <w:t>вен договор.</w:t>
            </w:r>
          </w:p>
        </w:tc>
        <w:tc>
          <w:tcPr>
            <w:tcW w:w="270"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Февруари 2021 г.</w:t>
            </w:r>
          </w:p>
        </w:tc>
        <w:tc>
          <w:tcPr>
            <w:tcW w:w="257"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Юни 2021 г.</w:t>
            </w:r>
          </w:p>
        </w:tc>
        <w:tc>
          <w:tcPr>
            <w:tcW w:w="171"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Да</w:t>
            </w:r>
          </w:p>
        </w:tc>
        <w:tc>
          <w:tcPr>
            <w:tcW w:w="171"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FFFFFF" w:themeFill="background1"/>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42 000 000 евро</w:t>
            </w:r>
          </w:p>
        </w:tc>
      </w:tr>
      <w:tr w:rsidR="00F50EAE" w:rsidRPr="00E13D5E" w:rsidTr="00F50EAE">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1</w:t>
            </w:r>
            <w:r w:rsidRPr="00E13D5E">
              <w:rPr>
                <w:rFonts w:ascii="Times New Roman" w:eastAsia="Times New Roman" w:hAnsi="Times New Roman" w:cs="Times New Roman"/>
                <w:b/>
                <w:sz w:val="16"/>
                <w:szCs w:val="16"/>
                <w:lang w:eastAsia="bg-BG"/>
              </w:rPr>
              <w:t>0</w:t>
            </w:r>
            <w:r w:rsidRPr="00E13D5E">
              <w:rPr>
                <w:rFonts w:ascii="Times New Roman" w:eastAsia="Times New Roman" w:hAnsi="Times New Roman" w:cs="Times New Roman"/>
                <w:b/>
                <w:sz w:val="16"/>
                <w:szCs w:val="16"/>
                <w:lang w:val="bg-BG" w:eastAsia="bg-BG"/>
              </w:rPr>
              <w:t>.</w:t>
            </w:r>
          </w:p>
        </w:tc>
        <w:tc>
          <w:tcPr>
            <w:tcW w:w="213"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16.1 „Подкрепа за сформиране и функциониране на оперативни групи в рамките на ЕПИ“</w:t>
            </w:r>
          </w:p>
        </w:tc>
        <w:tc>
          <w:tcPr>
            <w:tcW w:w="35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Подпомагането по процедурата е насочено към функциониране на оперативни групи, създадени за изпълнение на конкретен иновативен проект за постигане на целите на Европейското партньорство за иновации (ЕПИ) за селскостопанска производителност и устойчивост. посочени в член 56 на Регламент (ЕС) № 1305/2013</w:t>
            </w:r>
          </w:p>
        </w:tc>
        <w:tc>
          <w:tcPr>
            <w:tcW w:w="260"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6 500 000 евро</w:t>
            </w:r>
          </w:p>
        </w:tc>
        <w:tc>
          <w:tcPr>
            <w:tcW w:w="46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Оперативни групи, учредени като дружества по смисъла на чл. 357 - 364 от Закона за задълженията и договорите.</w:t>
            </w:r>
          </w:p>
        </w:tc>
        <w:tc>
          <w:tcPr>
            <w:tcW w:w="38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Дейности за функциониране на оперативната група, както следва: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а) Осъществяване на сътрудничеството във връзка с изпълнение на иновативния проект;</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б) Преки дейности за изпълнение на иновативния проект.</w:t>
            </w:r>
          </w:p>
        </w:tc>
        <w:tc>
          <w:tcPr>
            <w:tcW w:w="1044"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Текущи разходи за осъществяване на сътрудничеството във връзка с изпълнение на иновативния проект и преки разходи за изпълнение на иновативния проект</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tc>
        <w:tc>
          <w:tcPr>
            <w:tcW w:w="31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60-100%</w:t>
            </w:r>
          </w:p>
        </w:tc>
        <w:tc>
          <w:tcPr>
            <w:tcW w:w="27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Октомври 2021 г.</w:t>
            </w:r>
          </w:p>
        </w:tc>
        <w:tc>
          <w:tcPr>
            <w:tcW w:w="257"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Декември</w:t>
            </w:r>
            <w:r w:rsidRPr="00E13D5E">
              <w:rPr>
                <w:rFonts w:ascii="Times New Roman" w:eastAsia="Times New Roman" w:hAnsi="Times New Roman" w:cs="Times New Roman"/>
                <w:sz w:val="16"/>
                <w:szCs w:val="16"/>
                <w:lang w:val="bg-BG" w:eastAsia="bg-BG"/>
              </w:rPr>
              <w:br/>
              <w:t xml:space="preserve"> 2021 г</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450 000 евро</w:t>
            </w:r>
          </w:p>
        </w:tc>
      </w:tr>
      <w:tr w:rsidR="00F50EAE" w:rsidRPr="00E13D5E" w:rsidTr="00F50EAE">
        <w:trPr>
          <w:trHeight w:val="1381"/>
        </w:trPr>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eastAsia="bg-BG"/>
              </w:rPr>
            </w:pPr>
            <w:r w:rsidRPr="00E13D5E">
              <w:rPr>
                <w:rFonts w:ascii="Times New Roman" w:eastAsia="Times New Roman" w:hAnsi="Times New Roman" w:cs="Times New Roman"/>
                <w:b/>
                <w:sz w:val="16"/>
                <w:szCs w:val="16"/>
                <w:lang w:eastAsia="bg-BG"/>
              </w:rPr>
              <w:t>11.</w:t>
            </w:r>
          </w:p>
        </w:tc>
        <w:tc>
          <w:tcPr>
            <w:tcW w:w="213"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19.1 „Помощ за подготвителни дейности“ </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tc>
        <w:tc>
          <w:tcPr>
            <w:tcW w:w="358"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Подпомагане за малки  пилотни проекти на 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w:t>
            </w:r>
            <w:r w:rsidRPr="00E13D5E">
              <w:rPr>
                <w:rFonts w:ascii="Times New Roman" w:eastAsia="Times New Roman" w:hAnsi="Times New Roman" w:cs="Times New Roman"/>
                <w:sz w:val="16"/>
                <w:szCs w:val="16"/>
                <w:lang w:val="bg-BG" w:eastAsia="bg-BG"/>
              </w:rPr>
              <w:lastRenderedPageBreak/>
              <w:t>за финансиране стратегия за ВОМР през програмния период 2014 – 2020 г.</w:t>
            </w:r>
          </w:p>
        </w:tc>
        <w:tc>
          <w:tcPr>
            <w:tcW w:w="260"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Подбор на проектни предложения</w:t>
            </w:r>
          </w:p>
        </w:tc>
        <w:tc>
          <w:tcPr>
            <w:tcW w:w="245"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vAlign w:val="center"/>
          </w:tcPr>
          <w:p w:rsidR="00F50EAE" w:rsidRPr="00E13D5E" w:rsidRDefault="00F50EAE" w:rsidP="00F50EAE">
            <w:pPr>
              <w:spacing w:after="0" w:line="240" w:lineRule="auto"/>
              <w:ind w:left="-135" w:right="-82"/>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895 850 Евро</w:t>
            </w:r>
          </w:p>
        </w:tc>
        <w:tc>
          <w:tcPr>
            <w:tcW w:w="466"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388"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 дейности и събития, свързани с популяризиране на местната идентичност;</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2. материални и нематериални активи в интерес на местната общност;</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3. въвеждане на иновативни за местната общност дейности.</w:t>
            </w:r>
          </w:p>
        </w:tc>
        <w:tc>
          <w:tcPr>
            <w:tcW w:w="1044" w:type="pct"/>
            <w:shd w:val="clear" w:color="auto" w:fill="auto"/>
            <w:vAlign w:val="center"/>
          </w:tcPr>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w:t>
            </w:r>
          </w:p>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 дейности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p>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2. материални и нематериални активи в интерес на местната общност;</w:t>
            </w:r>
          </w:p>
          <w:p w:rsidR="00F50EAE" w:rsidRPr="00E13D5E" w:rsidRDefault="00F50EAE" w:rsidP="00F50EAE">
            <w:pPr>
              <w:spacing w:after="0" w:line="240" w:lineRule="auto"/>
              <w:ind w:left="-112" w:right="-108"/>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3. въвеждане на иновативни за местната общност дейности.</w:t>
            </w:r>
          </w:p>
        </w:tc>
        <w:tc>
          <w:tcPr>
            <w:tcW w:w="310"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100%</w:t>
            </w:r>
          </w:p>
        </w:tc>
        <w:tc>
          <w:tcPr>
            <w:tcW w:w="270"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Октомври 2020 г.</w:t>
            </w:r>
          </w:p>
        </w:tc>
        <w:tc>
          <w:tcPr>
            <w:tcW w:w="257"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Април</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 2021 г.</w:t>
            </w:r>
          </w:p>
        </w:tc>
        <w:tc>
          <w:tcPr>
            <w:tcW w:w="171" w:type="pct"/>
            <w:shd w:val="clear" w:color="auto" w:fill="auto"/>
            <w:vAlign w:val="center"/>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vAlign w:val="center"/>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171" w:type="pct"/>
            <w:shd w:val="clear" w:color="auto" w:fill="auto"/>
            <w:vAlign w:val="center"/>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auto"/>
            <w:vAlign w:val="center"/>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100 000 евро</w:t>
            </w:r>
          </w:p>
        </w:tc>
      </w:tr>
      <w:tr w:rsidR="00F50EAE" w:rsidRPr="00FB1E0C" w:rsidTr="00F50EAE">
        <w:trPr>
          <w:trHeight w:val="1381"/>
        </w:trPr>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12.</w:t>
            </w:r>
          </w:p>
        </w:tc>
        <w:tc>
          <w:tcPr>
            <w:tcW w:w="213"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 xml:space="preserve">Подмярка 19.1 „Помощ за подготвителни дейности“ </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tc>
        <w:tc>
          <w:tcPr>
            <w:tcW w:w="35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Подготовка на местните общности за прилагане на подхода ВОМР през програмен период 2021 – 2027 г.</w:t>
            </w:r>
          </w:p>
        </w:tc>
        <w:tc>
          <w:tcPr>
            <w:tcW w:w="260"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shd w:val="clear" w:color="auto" w:fill="auto"/>
            <w:vAlign w:val="center"/>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vAlign w:val="center"/>
          </w:tcPr>
          <w:p w:rsidR="00F50EAE" w:rsidRPr="00E13D5E" w:rsidRDefault="00F50EAE" w:rsidP="00F50EAE">
            <w:pPr>
              <w:spacing w:after="0" w:line="240" w:lineRule="auto"/>
              <w:ind w:left="-135" w:right="-82"/>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3 500 000 Евро</w:t>
            </w:r>
          </w:p>
        </w:tc>
        <w:tc>
          <w:tcPr>
            <w:tcW w:w="46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 Местни общности, които не са прилагали подхода ЛИДЕР/ВОМР в периоди 2007-2013 г. и 2014 – 2020 г. (не са изпълнявали подмерки 431-2, 431-1, 41, 19.1, 19.2 и 19.4 на  територията си).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 2. Местни инициативни групи или местни общности, прилагали подхода ЛИДЕР/ВОМР през програмни периоди 2007-2013 г. и 2014 – 2020 г. на територия или част от територия, за която се кандидатства, (изпълнявали са подмерки 431-2, 431-1, 41, 19.1, 19.2 и 19.4).</w:t>
            </w:r>
          </w:p>
        </w:tc>
        <w:tc>
          <w:tcPr>
            <w:tcW w:w="38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Безвъзмездната финансова помощ за подпомагане на подготвителни дейности, включващи изграждането на капацитет, обучението и създаването на мрежи с цел изготвяне и изпълнение на стратегия за Водено от общностите местно развитие, включва: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Обучение на местни заинтересовани страни;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Проучвания в съответната територия;</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Изготвяне на стратегия за Воденото от общностите местно развитие, включително консултации със заинтересованите страни за целите на подготовката на стратегията;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 xml:space="preserve">Дейности за координация на процеса, извършван от организацията, която кандидатства за подготвителни </w:t>
            </w:r>
            <w:r w:rsidRPr="00E13D5E">
              <w:rPr>
                <w:rFonts w:ascii="Times New Roman" w:eastAsia="Times New Roman" w:hAnsi="Times New Roman" w:cs="Times New Roman"/>
                <w:sz w:val="16"/>
                <w:szCs w:val="16"/>
                <w:lang w:val="bg-BG" w:eastAsia="bg-BG"/>
              </w:rPr>
              <w:lastRenderedPageBreak/>
              <w:t>дейности.</w:t>
            </w:r>
          </w:p>
        </w:tc>
        <w:tc>
          <w:tcPr>
            <w:tcW w:w="1044"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Разходите са свързани с изготвяне на стратегия за местно развитие: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Формиране и учредяване на публично-частно партньорство, в т.ч. разходи за правни услуги и консултации, нотариални и държавни такси, партньорски срещи;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Популяризиране на подхода ВОМР и процеса на разработка на СМР като разходи за подготовка и провеждане на информационни кампании, изготвяне и разпространение на информационни материали, подготовка и провеждане на информационни семинари, конференции и срещи, създаване и поддържане на електронна страница, публикации в местната преса;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Обучения за местните заинтересовани страни: екип на МИГ, местни лидери;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Проучвания и анализи на територията;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Разходи, свързани с подготовката на стратегия за водено от общностите местно развитие, вкл. разходи за консултиране и разходи за консултиране с местната общност във връзка с подготовката на стратегията;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w:t>
            </w:r>
            <w:r w:rsidRPr="00E13D5E">
              <w:rPr>
                <w:rFonts w:ascii="Times New Roman" w:eastAsia="Times New Roman" w:hAnsi="Times New Roman" w:cs="Times New Roman"/>
                <w:sz w:val="16"/>
                <w:szCs w:val="16"/>
                <w:lang w:val="bg-BG" w:eastAsia="bg-BG"/>
              </w:rPr>
              <w:tab/>
              <w:t>Административни разходи (оперативни разходи, разходи за възнаграждения и осигуровки и обезщетения за временна неработоспособност, дължими от работодателя, разходи за закупуване на офис техника, обзавеждане и оборудване, командировки, наем зали и др.).</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 </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tc>
        <w:tc>
          <w:tcPr>
            <w:tcW w:w="31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100%</w:t>
            </w:r>
          </w:p>
        </w:tc>
        <w:tc>
          <w:tcPr>
            <w:tcW w:w="27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Септември 2021 г.</w:t>
            </w:r>
          </w:p>
        </w:tc>
        <w:tc>
          <w:tcPr>
            <w:tcW w:w="257"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Декември 2021 г.</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Не </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Не </w:t>
            </w:r>
          </w:p>
        </w:tc>
        <w:tc>
          <w:tcPr>
            <w:tcW w:w="171"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Неприложимо</w:t>
            </w:r>
          </w:p>
        </w:tc>
        <w:tc>
          <w:tcPr>
            <w:tcW w:w="298" w:type="pct"/>
            <w:shd w:val="clear" w:color="auto" w:fill="auto"/>
          </w:tcPr>
          <w:p w:rsidR="00F50EAE" w:rsidRPr="00E13D5E" w:rsidRDefault="00F50EAE" w:rsidP="00F50EAE">
            <w:pPr>
              <w:numPr>
                <w:ilvl w:val="0"/>
                <w:numId w:val="10"/>
              </w:numPr>
              <w:tabs>
                <w:tab w:val="left" w:pos="83"/>
              </w:tabs>
              <w:spacing w:after="0" w:line="240" w:lineRule="auto"/>
              <w:ind w:left="-59" w:right="-85"/>
              <w:contextualSpacing/>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25 000 евро за общности, прилагали подхода ВОМР;</w:t>
            </w:r>
          </w:p>
          <w:p w:rsidR="00F50EAE" w:rsidRPr="00E13D5E" w:rsidRDefault="00F50EAE" w:rsidP="00F50EAE">
            <w:pPr>
              <w:numPr>
                <w:ilvl w:val="0"/>
                <w:numId w:val="10"/>
              </w:numPr>
              <w:tabs>
                <w:tab w:val="left" w:pos="83"/>
              </w:tabs>
              <w:spacing w:after="0" w:line="240" w:lineRule="auto"/>
              <w:ind w:left="-59" w:right="-85"/>
              <w:contextualSpacing/>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30 000 евро за общности, не прилагали подхода ВОМР.</w:t>
            </w:r>
          </w:p>
        </w:tc>
      </w:tr>
      <w:tr w:rsidR="00F50EAE" w:rsidRPr="00FB1E0C" w:rsidTr="00F50EAE">
        <w:tc>
          <w:tcPr>
            <w:tcW w:w="92" w:type="pct"/>
            <w:shd w:val="clear" w:color="auto" w:fill="auto"/>
          </w:tcPr>
          <w:p w:rsidR="00F50EAE" w:rsidRPr="00E13D5E" w:rsidRDefault="00F50EAE" w:rsidP="00F50EAE">
            <w:pPr>
              <w:spacing w:after="0" w:line="240" w:lineRule="auto"/>
              <w:ind w:left="-108"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lastRenderedPageBreak/>
              <w:t>13.</w:t>
            </w:r>
          </w:p>
        </w:tc>
        <w:tc>
          <w:tcPr>
            <w:tcW w:w="213"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b/>
                <w:sz w:val="16"/>
                <w:szCs w:val="16"/>
                <w:lang w:val="bg-BG" w:eastAsia="bg-BG"/>
              </w:rPr>
            </w:pPr>
            <w:r w:rsidRPr="00E13D5E">
              <w:rPr>
                <w:rFonts w:ascii="Times New Roman" w:eastAsia="Times New Roman" w:hAnsi="Times New Roman" w:cs="Times New Roman"/>
                <w:b/>
                <w:sz w:val="16"/>
                <w:szCs w:val="16"/>
                <w:lang w:val="bg-BG" w:eastAsia="bg-BG"/>
              </w:rPr>
              <w:t>Подмярка 19.3 „Подготовка и изпълнение на дейности за сътрудничество на местни инициативни групи“</w:t>
            </w:r>
          </w:p>
        </w:tc>
        <w:tc>
          <w:tcPr>
            <w:tcW w:w="35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Подпомагане на проекти за подготвителни дейности и на проекти за съвместни дейности, насочени към разработване и въвеждане в практиката на продукти, услуги, иновации и др. в селските райони, комбинирайки разнообразните възможности на селските райони и развитие на селски райони с добавена стойност;</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създаване на европейска идентичност в допълнение към местната, регионалната и националната идентичност.</w:t>
            </w:r>
          </w:p>
        </w:tc>
        <w:tc>
          <w:tcPr>
            <w:tcW w:w="26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Подбор на проектни предложения</w:t>
            </w:r>
          </w:p>
        </w:tc>
        <w:tc>
          <w:tcPr>
            <w:tcW w:w="245"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w:t>
            </w:r>
          </w:p>
        </w:tc>
        <w:tc>
          <w:tcPr>
            <w:tcW w:w="28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 2021 г.</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левовата равностойност на 4 477 401 евро</w:t>
            </w:r>
          </w:p>
        </w:tc>
        <w:tc>
          <w:tcPr>
            <w:tcW w:w="466"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Одобрени местни инициативни групи</w:t>
            </w:r>
          </w:p>
        </w:tc>
        <w:tc>
          <w:tcPr>
            <w:tcW w:w="388"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1. подготвителни дейности по проекти за междутериториално и транснационално сътрудничество</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2. дейности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w:t>
            </w:r>
          </w:p>
        </w:tc>
        <w:tc>
          <w:tcPr>
            <w:tcW w:w="1044"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 разработването на съвместен продукт/услуга, вкл. разходи за материални и нематериални инвестиции;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изследвания и пазарни проучвания, директно свързани със съвместното действие;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 реализирането на промоционални и маркетингови кампании;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 организирането на обучения, семинари, съвместни събития, срещи и т. н.;</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за публикации в медиите;</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със създаването и оперативната поддръжка на общи структури, създадени с цел изпълнение на проекта;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Координация на дейностите по проекта (разходи за допълнителен персонал, пътни разходи, разходи за нощувки и храна, хонорари за експерти, разходи за превод, разходи за комуникация и др.).</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със срещи с потенциални партньори;</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 организирането на заседания и мероприятия за планиране на дейностите по проекта;</w:t>
            </w:r>
          </w:p>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Разходи, свързани с разработването на проекта.</w:t>
            </w:r>
          </w:p>
        </w:tc>
        <w:tc>
          <w:tcPr>
            <w:tcW w:w="31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До 100%</w:t>
            </w:r>
          </w:p>
        </w:tc>
        <w:tc>
          <w:tcPr>
            <w:tcW w:w="270"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p>
        </w:tc>
        <w:tc>
          <w:tcPr>
            <w:tcW w:w="257" w:type="pct"/>
            <w:shd w:val="clear" w:color="auto" w:fill="auto"/>
          </w:tcPr>
          <w:p w:rsidR="00F50EAE" w:rsidRPr="00E13D5E" w:rsidRDefault="00F50EAE" w:rsidP="00F50EAE">
            <w:pPr>
              <w:spacing w:after="0" w:line="240" w:lineRule="auto"/>
              <w:ind w:left="-112" w:right="-108"/>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Съгласно Регламент (ЕС) 1305/2013, чл. 44, пар. 3 кандидатстването по подмярка 19.3 е текущо.</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Да</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Да</w:t>
            </w:r>
          </w:p>
        </w:tc>
        <w:tc>
          <w:tcPr>
            <w:tcW w:w="171"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Непр.</w:t>
            </w:r>
          </w:p>
        </w:tc>
        <w:tc>
          <w:tcPr>
            <w:tcW w:w="298" w:type="pct"/>
            <w:shd w:val="clear" w:color="auto" w:fill="auto"/>
          </w:tcPr>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 подготвителна помощ:</w:t>
            </w:r>
          </w:p>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10 000 евро за проекти за вътрешно териториално сътрудничество и на 25 000 евро за проекти за транснационално сътрудничество.</w:t>
            </w:r>
          </w:p>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p>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За изпълнение на проекти за сътрудничество:</w:t>
            </w:r>
          </w:p>
          <w:p w:rsidR="00F50EAE" w:rsidRPr="00E13D5E" w:rsidRDefault="00F50EAE" w:rsidP="00F50EAE">
            <w:pPr>
              <w:spacing w:after="0" w:line="240" w:lineRule="auto"/>
              <w:ind w:left="-108" w:right="-85"/>
              <w:jc w:val="center"/>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левовата равностойност на 100 000 евро за транснационално сътрудничество и на 50 000 евро за вътрешно териториално сътрудничество.</w:t>
            </w:r>
          </w:p>
        </w:tc>
      </w:tr>
    </w:tbl>
    <w:p w:rsidR="00E13D5E" w:rsidRPr="00E13D5E" w:rsidRDefault="00E13D5E" w:rsidP="00E13D5E">
      <w:pPr>
        <w:spacing w:after="0" w:line="240" w:lineRule="auto"/>
        <w:jc w:val="center"/>
        <w:rPr>
          <w:rFonts w:ascii="Times New Roman" w:eastAsia="Times New Roman" w:hAnsi="Times New Roman" w:cs="Times New Roman"/>
          <w:b/>
          <w:lang w:val="bg-BG" w:eastAsia="bg-BG"/>
        </w:rPr>
      </w:pPr>
    </w:p>
    <w:p w:rsidR="00E13D5E" w:rsidRPr="00E13D5E" w:rsidRDefault="00E13D5E" w:rsidP="00E13D5E">
      <w:pPr>
        <w:spacing w:after="0" w:line="240" w:lineRule="auto"/>
        <w:jc w:val="both"/>
        <w:rPr>
          <w:rFonts w:ascii="Times New Roman" w:eastAsia="Times New Roman" w:hAnsi="Times New Roman" w:cs="Times New Roman"/>
          <w:sz w:val="16"/>
          <w:szCs w:val="16"/>
          <w:lang w:val="bg-BG" w:eastAsia="bg-BG"/>
        </w:rPr>
      </w:pPr>
    </w:p>
    <w:p w:rsidR="00E13D5E" w:rsidRPr="00E13D5E" w:rsidRDefault="00E13D5E" w:rsidP="00E13D5E">
      <w:pPr>
        <w:spacing w:after="0" w:line="240" w:lineRule="auto"/>
        <w:jc w:val="both"/>
        <w:rPr>
          <w:rFonts w:ascii="Times New Roman" w:eastAsia="Times New Roman" w:hAnsi="Times New Roman" w:cs="Times New Roman"/>
          <w:sz w:val="16"/>
          <w:szCs w:val="16"/>
          <w:lang w:val="bg-BG" w:eastAsia="bg-BG"/>
        </w:rPr>
      </w:pPr>
    </w:p>
    <w:p w:rsidR="00E13D5E" w:rsidRPr="00E13D5E" w:rsidRDefault="00E13D5E" w:rsidP="00E13D5E">
      <w:pPr>
        <w:spacing w:after="0" w:line="240" w:lineRule="auto"/>
        <w:jc w:val="both"/>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lastRenderedPageBreak/>
        <w:t xml:space="preserve">* Приемите на заявления за подпомагане по мерки 10 „Агроекология и климат“, 11 „Биологично земеделие“, 12 „Плащания по „Натура 2000” и Рамковата директива за водите“, 13 „Плащания за райони, изправени пред природни или други специфични ограничения“, 14 „Хуманно отношение към животните“ и 21 „Извънредно временно подпомагане за земеделските стопани и малки и средни предприятия, които са особено засегнати от кризата, предизвикана от COVID-19“ от ПРСР 2014 – 2020 г. не се включват в ИГРП за 2021 г., тъй като редът и изискванията на ПМС № 162 от 2016 г. не са приложими за тях. </w:t>
      </w:r>
    </w:p>
    <w:p w:rsidR="00E13D5E" w:rsidRPr="00E13D5E" w:rsidRDefault="00E13D5E" w:rsidP="00E13D5E">
      <w:pPr>
        <w:spacing w:after="0" w:line="240" w:lineRule="auto"/>
        <w:jc w:val="both"/>
        <w:rPr>
          <w:rFonts w:ascii="Times New Roman" w:eastAsia="Times New Roman" w:hAnsi="Times New Roman" w:cs="Times New Roman"/>
          <w:sz w:val="16"/>
          <w:szCs w:val="16"/>
          <w:lang w:val="bg-BG" w:eastAsia="bg-BG"/>
        </w:rPr>
      </w:pPr>
      <w:r w:rsidRPr="00E13D5E">
        <w:rPr>
          <w:rFonts w:ascii="Times New Roman" w:eastAsia="Times New Roman" w:hAnsi="Times New Roman" w:cs="Times New Roman"/>
          <w:sz w:val="16"/>
          <w:szCs w:val="16"/>
          <w:lang w:val="bg-BG" w:eastAsia="bg-BG"/>
        </w:rPr>
        <w:t xml:space="preserve">Приемът на заявления по мерки 10, 11, 12 и 13 се извършва по реда на Наредба № 5 от 2009 г. за условията и реда за подаване на заявления по схеми и мерки за директни плащания, а приемът на заявления по мярка 14 се осъществява по реда на Наредба № 4 от 8 август 2017 г. за прилагане на Mярка 14 "Хуманно отношение към животните" от Програмата за развитие на селските райони за периода 2014 – 2020 г. </w:t>
      </w:r>
    </w:p>
    <w:p w:rsidR="00E13D5E" w:rsidRPr="00E13D5E" w:rsidRDefault="00E13D5E" w:rsidP="00E13D5E">
      <w:pPr>
        <w:spacing w:after="0" w:line="240" w:lineRule="auto"/>
        <w:jc w:val="both"/>
        <w:rPr>
          <w:rFonts w:ascii="Times New Roman" w:eastAsia="Times New Roman" w:hAnsi="Times New Roman" w:cs="Times New Roman"/>
          <w:b/>
          <w:lang w:val="bg-BG" w:eastAsia="bg-BG"/>
        </w:rPr>
      </w:pPr>
      <w:r w:rsidRPr="00E13D5E">
        <w:rPr>
          <w:rFonts w:ascii="Times New Roman" w:eastAsia="Times New Roman" w:hAnsi="Times New Roman" w:cs="Times New Roman"/>
          <w:sz w:val="16"/>
          <w:szCs w:val="16"/>
          <w:lang w:val="bg-BG" w:eastAsia="bg-BG"/>
        </w:rPr>
        <w:t>Приемът на заявления за подпомагане по мярка 21 „Извънредно временно подпомагане за земеделските стопани и малки и средни предприятия, които са особено засегнати от кризата, предизвикана от COVID-19“ се извършва по реда на  Наредба № 2 от 05.08.2020 г. и е с индикативна дата месец април 2021 г.</w:t>
      </w:r>
    </w:p>
    <w:p w:rsidR="00003864" w:rsidRPr="00E13D5E" w:rsidRDefault="00003864" w:rsidP="00E13D5E">
      <w:pPr>
        <w:spacing w:after="0" w:line="240" w:lineRule="auto"/>
        <w:ind w:left="426"/>
        <w:rPr>
          <w:rFonts w:ascii="Times New Roman" w:eastAsia="Times New Roman" w:hAnsi="Times New Roman" w:cs="Times New Roman"/>
          <w:b/>
          <w:color w:val="17365D" w:themeColor="text2" w:themeShade="BF"/>
          <w:lang w:val="bg-BG" w:bidi="en-US"/>
        </w:rPr>
      </w:pPr>
    </w:p>
    <w:p w:rsidR="00003864" w:rsidRDefault="00003864"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E13D5E" w:rsidRDefault="00E13D5E" w:rsidP="00E13D5E">
      <w:pPr>
        <w:spacing w:after="0" w:line="240" w:lineRule="auto"/>
        <w:jc w:val="both"/>
        <w:rPr>
          <w:rFonts w:ascii="Times New Roman" w:eastAsia="Times New Roman" w:hAnsi="Times New Roman" w:cs="Times New Roman"/>
          <w:b/>
          <w:color w:val="17365D" w:themeColor="text2" w:themeShade="BF"/>
          <w:sz w:val="16"/>
          <w:szCs w:val="16"/>
          <w:lang w:val="bg-BG" w:bidi="en-US"/>
        </w:rPr>
      </w:pPr>
    </w:p>
    <w:p w:rsidR="00003864" w:rsidRDefault="00003864" w:rsidP="00E13D5E">
      <w:pPr>
        <w:spacing w:after="0" w:line="240" w:lineRule="auto"/>
        <w:ind w:left="142" w:hanging="142"/>
        <w:jc w:val="both"/>
        <w:rPr>
          <w:rFonts w:ascii="Times New Roman" w:eastAsia="Times New Roman" w:hAnsi="Times New Roman" w:cs="Times New Roman"/>
          <w:b/>
          <w:color w:val="17365D" w:themeColor="text2" w:themeShade="BF"/>
          <w:sz w:val="16"/>
          <w:szCs w:val="16"/>
          <w:lang w:val="bg-BG" w:bidi="en-US"/>
        </w:rPr>
      </w:pPr>
    </w:p>
    <w:p w:rsidR="00003864" w:rsidRDefault="00003864" w:rsidP="002B50B1">
      <w:pPr>
        <w:spacing w:after="0" w:line="240" w:lineRule="auto"/>
        <w:jc w:val="right"/>
        <w:rPr>
          <w:rFonts w:ascii="Times New Roman" w:eastAsia="Times New Roman" w:hAnsi="Times New Roman" w:cs="Times New Roman"/>
          <w:b/>
          <w:color w:val="17365D" w:themeColor="text2" w:themeShade="BF"/>
          <w:sz w:val="16"/>
          <w:szCs w:val="16"/>
          <w:lang w:val="bg-BG" w:bidi="en-US"/>
        </w:rPr>
      </w:pPr>
    </w:p>
    <w:p w:rsidR="00D71C6E" w:rsidRPr="002B50B1" w:rsidRDefault="00003864" w:rsidP="002B50B1">
      <w:pPr>
        <w:spacing w:after="0" w:line="240" w:lineRule="auto"/>
        <w:jc w:val="right"/>
        <w:rPr>
          <w:rFonts w:ascii="Times New Roman" w:eastAsia="Times New Roman" w:hAnsi="Times New Roman" w:cs="Times New Roman"/>
          <w:b/>
          <w:color w:val="17365D" w:themeColor="text2" w:themeShade="BF"/>
          <w:sz w:val="24"/>
          <w:szCs w:val="24"/>
          <w:lang w:val="bg-BG" w:bidi="en-US"/>
        </w:rPr>
      </w:pPr>
      <w:r>
        <w:rPr>
          <w:rFonts w:ascii="Times New Roman" w:eastAsia="Times New Roman" w:hAnsi="Times New Roman" w:cs="Times New Roman"/>
          <w:b/>
          <w:sz w:val="24"/>
          <w:szCs w:val="24"/>
          <w:lang w:val="bg-BG" w:bidi="en-US"/>
        </w:rPr>
        <w:t>Приложение 2</w:t>
      </w:r>
    </w:p>
    <w:p w:rsidR="00D71C6E" w:rsidRDefault="00D71C6E" w:rsidP="00E21D4F">
      <w:pPr>
        <w:spacing w:after="0" w:line="240" w:lineRule="auto"/>
        <w:rPr>
          <w:rFonts w:ascii="Times New Roman" w:eastAsia="Times New Roman" w:hAnsi="Times New Roman" w:cs="Times New Roman"/>
          <w:b/>
          <w:color w:val="17365D" w:themeColor="text2" w:themeShade="BF"/>
          <w:sz w:val="16"/>
          <w:szCs w:val="16"/>
          <w:lang w:val="bg-BG" w:bidi="en-US"/>
        </w:rPr>
      </w:pPr>
    </w:p>
    <w:p w:rsidR="005C0439" w:rsidRDefault="00246757" w:rsidP="005C0439">
      <w:pPr>
        <w:jc w:val="center"/>
        <w:rPr>
          <w:rFonts w:ascii="Times New Roman" w:eastAsia="Times New Roman" w:hAnsi="Times New Roman" w:cs="Times New Roman"/>
          <w:b/>
          <w:sz w:val="24"/>
          <w:szCs w:val="24"/>
          <w:lang w:val="bg-BG" w:eastAsia="bg-BG"/>
        </w:rPr>
      </w:pPr>
      <w:r w:rsidRPr="002B4F59">
        <w:rPr>
          <w:rFonts w:ascii="Times New Roman" w:eastAsia="PMingLiU" w:hAnsi="Times New Roman" w:cs="Times New Roman"/>
          <w:color w:val="FFFFFF" w:themeColor="background1"/>
          <w:sz w:val="24"/>
          <w:szCs w:val="24"/>
          <w:lang w:val="bg-BG"/>
        </w:rPr>
        <w:t>Сне</w:t>
      </w:r>
      <w:r w:rsidR="005C0439" w:rsidRPr="005C0439">
        <w:rPr>
          <w:rFonts w:ascii="Times New Roman" w:eastAsia="Times New Roman" w:hAnsi="Times New Roman" w:cs="Times New Roman"/>
          <w:b/>
          <w:sz w:val="24"/>
          <w:szCs w:val="24"/>
          <w:lang w:val="bg-BG" w:eastAsia="bg-BG"/>
        </w:rPr>
        <w:t xml:space="preserve"> Справка за отразяване на становищата от участницит</w:t>
      </w:r>
      <w:r w:rsidR="002C1C90">
        <w:rPr>
          <w:rFonts w:ascii="Times New Roman" w:eastAsia="Times New Roman" w:hAnsi="Times New Roman" w:cs="Times New Roman"/>
          <w:b/>
          <w:sz w:val="24"/>
          <w:szCs w:val="24"/>
          <w:lang w:val="bg-BG" w:eastAsia="bg-BG"/>
        </w:rPr>
        <w:t>е в работата на КН на ПРСР 2014-</w:t>
      </w:r>
      <w:r w:rsidR="005C0439" w:rsidRPr="005C0439">
        <w:rPr>
          <w:rFonts w:ascii="Times New Roman" w:eastAsia="Times New Roman" w:hAnsi="Times New Roman" w:cs="Times New Roman"/>
          <w:b/>
          <w:sz w:val="24"/>
          <w:szCs w:val="24"/>
          <w:lang w:val="bg-BG" w:eastAsia="bg-BG"/>
        </w:rPr>
        <w:t>2020 г. по пи</w:t>
      </w:r>
      <w:r w:rsidR="00C935D7">
        <w:rPr>
          <w:rFonts w:ascii="Times New Roman" w:eastAsia="Times New Roman" w:hAnsi="Times New Roman" w:cs="Times New Roman"/>
          <w:b/>
          <w:sz w:val="24"/>
          <w:szCs w:val="24"/>
          <w:lang w:val="bg-BG" w:eastAsia="bg-BG"/>
        </w:rPr>
        <w:t>смената неприсъствена процедура</w:t>
      </w:r>
    </w:p>
    <w:p w:rsidR="005C0439" w:rsidRDefault="005C0439" w:rsidP="00E13D5E">
      <w:pPr>
        <w:spacing w:after="0" w:line="240" w:lineRule="auto"/>
        <w:ind w:left="567" w:hanging="567"/>
        <w:outlineLvl w:val="0"/>
        <w:rPr>
          <w:rFonts w:ascii="Times New Roman" w:eastAsia="PMingLiU" w:hAnsi="Times New Roman" w:cs="Times New Roman"/>
          <w:color w:val="FFFFFF" w:themeColor="background1"/>
          <w:sz w:val="24"/>
          <w:szCs w:val="24"/>
          <w:lang w:val="bg-BG"/>
        </w:rPr>
      </w:pPr>
    </w:p>
    <w:tbl>
      <w:tblPr>
        <w:tblStyle w:val="a6"/>
        <w:tblW w:w="14459" w:type="dxa"/>
        <w:tblInd w:w="675" w:type="dxa"/>
        <w:tblBorders>
          <w:bottom w:val="none" w:sz="0" w:space="0" w:color="auto"/>
        </w:tblBorders>
        <w:tblLook w:val="04A0" w:firstRow="1" w:lastRow="0" w:firstColumn="1" w:lastColumn="0" w:noHBand="0" w:noVBand="1"/>
      </w:tblPr>
      <w:tblGrid>
        <w:gridCol w:w="1769"/>
        <w:gridCol w:w="8590"/>
        <w:gridCol w:w="4100"/>
      </w:tblGrid>
      <w:tr w:rsidR="005C0439" w:rsidTr="00E13D5E">
        <w:tc>
          <w:tcPr>
            <w:tcW w:w="1628" w:type="dxa"/>
          </w:tcPr>
          <w:p w:rsidR="005C0439" w:rsidRDefault="005C0439" w:rsidP="005C0439">
            <w:pPr>
              <w:jc w:val="center"/>
            </w:pPr>
            <w:r w:rsidRPr="005C0439">
              <w:rPr>
                <w:rFonts w:ascii="Times New Roman" w:eastAsia="Times New Roman" w:hAnsi="Times New Roman" w:cs="Times New Roman"/>
                <w:b/>
                <w:sz w:val="24"/>
                <w:szCs w:val="24"/>
                <w:lang w:val="bg-BG" w:eastAsia="bg-BG"/>
              </w:rPr>
              <w:t>Изпратено от</w:t>
            </w:r>
          </w:p>
        </w:tc>
        <w:tc>
          <w:tcPr>
            <w:tcW w:w="8697" w:type="dxa"/>
          </w:tcPr>
          <w:p w:rsidR="00D64984" w:rsidRDefault="005C0439" w:rsidP="005C0439">
            <w:pPr>
              <w:jc w:val="center"/>
              <w:outlineLvl w:val="0"/>
              <w:rPr>
                <w:rFonts w:ascii="Times New Roman" w:eastAsia="Times New Roman" w:hAnsi="Times New Roman" w:cs="Times New Roman"/>
                <w:b/>
                <w:sz w:val="24"/>
                <w:szCs w:val="24"/>
                <w:lang w:val="bg-BG" w:eastAsia="bg-BG"/>
              </w:rPr>
            </w:pPr>
            <w:r w:rsidRPr="005C0439">
              <w:rPr>
                <w:rFonts w:ascii="Times New Roman" w:eastAsia="PMingLiU" w:hAnsi="Times New Roman" w:cs="Times New Roman"/>
                <w:color w:val="FFFFFF" w:themeColor="background1"/>
                <w:sz w:val="24"/>
                <w:szCs w:val="24"/>
                <w:lang w:val="bg-BG"/>
              </w:rPr>
              <w:t>С</w:t>
            </w:r>
            <w:r w:rsidRPr="005C0439">
              <w:rPr>
                <w:rFonts w:ascii="Times New Roman" w:eastAsia="Times New Roman" w:hAnsi="Times New Roman" w:cs="Times New Roman"/>
                <w:b/>
                <w:sz w:val="24"/>
                <w:szCs w:val="24"/>
                <w:lang w:val="bg-BG" w:eastAsia="bg-BG"/>
              </w:rPr>
              <w:t xml:space="preserve"> </w:t>
            </w:r>
            <w:r w:rsidR="00DE0AE2">
              <w:rPr>
                <w:rFonts w:ascii="Times New Roman" w:eastAsia="Times New Roman" w:hAnsi="Times New Roman" w:cs="Times New Roman"/>
                <w:b/>
                <w:sz w:val="24"/>
                <w:szCs w:val="24"/>
                <w:lang w:val="bg-BG" w:eastAsia="bg-BG"/>
              </w:rPr>
              <w:t>Становища</w:t>
            </w:r>
            <w:r>
              <w:rPr>
                <w:rFonts w:ascii="Times New Roman" w:eastAsia="Times New Roman" w:hAnsi="Times New Roman" w:cs="Times New Roman"/>
                <w:b/>
                <w:sz w:val="24"/>
                <w:szCs w:val="24"/>
                <w:lang w:val="bg-BG" w:eastAsia="bg-BG"/>
              </w:rPr>
              <w:t>, коментар</w:t>
            </w:r>
            <w:r w:rsidR="00DE0AE2">
              <w:rPr>
                <w:rFonts w:ascii="Times New Roman" w:eastAsia="Times New Roman" w:hAnsi="Times New Roman" w:cs="Times New Roman"/>
                <w:b/>
                <w:sz w:val="24"/>
                <w:szCs w:val="24"/>
                <w:lang w:val="bg-BG" w:eastAsia="bg-BG"/>
              </w:rPr>
              <w:t>и, препоръки</w:t>
            </w:r>
          </w:p>
          <w:p w:rsidR="005C0439" w:rsidRDefault="00C7189F" w:rsidP="005C0439">
            <w:pPr>
              <w:jc w:val="center"/>
              <w:outlineLvl w:val="0"/>
              <w:rPr>
                <w:rFonts w:ascii="Times New Roman" w:eastAsia="PMingLiU" w:hAnsi="Times New Roman" w:cs="Times New Roman"/>
                <w:color w:val="FFFFFF" w:themeColor="background1"/>
                <w:sz w:val="24"/>
                <w:szCs w:val="24"/>
                <w:lang w:val="bg-BG"/>
              </w:rPr>
            </w:pPr>
            <w:r>
              <w:rPr>
                <w:rFonts w:ascii="Times New Roman" w:eastAsia="Times New Roman" w:hAnsi="Times New Roman" w:cs="Times New Roman"/>
                <w:b/>
                <w:sz w:val="24"/>
                <w:szCs w:val="24"/>
                <w:lang w:val="bg-BG" w:eastAsia="bg-BG"/>
              </w:rPr>
              <w:t>по</w:t>
            </w:r>
            <w:r w:rsidR="00D64984">
              <w:rPr>
                <w:rFonts w:ascii="Times New Roman" w:eastAsia="Times New Roman" w:hAnsi="Times New Roman" w:cs="Times New Roman"/>
                <w:b/>
                <w:sz w:val="24"/>
                <w:szCs w:val="24"/>
                <w:lang w:val="bg-BG" w:eastAsia="bg-BG"/>
              </w:rPr>
              <w:t>лучен</w:t>
            </w:r>
            <w:r>
              <w:rPr>
                <w:rFonts w:ascii="Times New Roman" w:eastAsia="Times New Roman" w:hAnsi="Times New Roman" w:cs="Times New Roman"/>
                <w:b/>
                <w:sz w:val="24"/>
                <w:szCs w:val="24"/>
                <w:lang w:val="bg-BG" w:eastAsia="bg-BG"/>
              </w:rPr>
              <w:t>и</w:t>
            </w:r>
            <w:r w:rsidR="00D64984">
              <w:rPr>
                <w:rFonts w:ascii="Times New Roman" w:eastAsia="Times New Roman" w:hAnsi="Times New Roman" w:cs="Times New Roman"/>
                <w:b/>
                <w:sz w:val="24"/>
                <w:szCs w:val="24"/>
                <w:lang w:val="bg-BG" w:eastAsia="bg-BG"/>
              </w:rPr>
              <w:t xml:space="preserve"> </w:t>
            </w:r>
            <w:r w:rsidR="002F2D11">
              <w:rPr>
                <w:rFonts w:ascii="Times New Roman" w:eastAsia="Times New Roman" w:hAnsi="Times New Roman" w:cs="Times New Roman"/>
                <w:b/>
                <w:sz w:val="24"/>
                <w:szCs w:val="24"/>
                <w:lang w:val="bg-BG" w:eastAsia="bg-BG"/>
              </w:rPr>
              <w:t>до 25.02.2021</w:t>
            </w:r>
            <w:r>
              <w:rPr>
                <w:rFonts w:ascii="Times New Roman" w:eastAsia="Times New Roman" w:hAnsi="Times New Roman" w:cs="Times New Roman"/>
                <w:b/>
                <w:sz w:val="24"/>
                <w:szCs w:val="24"/>
                <w:lang w:val="bg-BG" w:eastAsia="bg-BG"/>
              </w:rPr>
              <w:t xml:space="preserve"> г.</w:t>
            </w:r>
            <w:r w:rsidR="00D90AFD">
              <w:rPr>
                <w:rFonts w:ascii="Times New Roman" w:eastAsia="PMingLiU" w:hAnsi="Times New Roman" w:cs="Times New Roman"/>
                <w:color w:val="FFFFFF" w:themeColor="background1"/>
                <w:sz w:val="24"/>
                <w:szCs w:val="24"/>
                <w:lang w:val="bg-BG"/>
              </w:rPr>
              <w:t>п</w:t>
            </w:r>
          </w:p>
        </w:tc>
        <w:tc>
          <w:tcPr>
            <w:tcW w:w="4134" w:type="dxa"/>
          </w:tcPr>
          <w:p w:rsidR="005C0439" w:rsidRDefault="005C0439" w:rsidP="005C0439">
            <w:pPr>
              <w:jc w:val="center"/>
              <w:outlineLvl w:val="0"/>
              <w:rPr>
                <w:rFonts w:ascii="Times New Roman" w:eastAsia="PMingLiU" w:hAnsi="Times New Roman" w:cs="Times New Roman"/>
                <w:color w:val="FFFFFF" w:themeColor="background1"/>
                <w:sz w:val="24"/>
                <w:szCs w:val="24"/>
                <w:lang w:val="bg-BG"/>
              </w:rPr>
            </w:pPr>
            <w:r w:rsidRPr="005C0439">
              <w:rPr>
                <w:rFonts w:ascii="Times New Roman" w:eastAsia="Times New Roman" w:hAnsi="Times New Roman" w:cs="Times New Roman"/>
                <w:b/>
                <w:sz w:val="24"/>
                <w:szCs w:val="24"/>
                <w:lang w:val="bg-BG" w:eastAsia="bg-BG"/>
              </w:rPr>
              <w:t>Отразяване на становището</w:t>
            </w:r>
          </w:p>
        </w:tc>
      </w:tr>
      <w:tr w:rsidR="005C0439" w:rsidRPr="00FB1E0C" w:rsidTr="00E13D5E">
        <w:tc>
          <w:tcPr>
            <w:tcW w:w="1628" w:type="dxa"/>
          </w:tcPr>
          <w:p w:rsidR="005C0439" w:rsidRPr="00B80C67" w:rsidRDefault="00D90AFD">
            <w:pPr>
              <w:rPr>
                <w:rFonts w:ascii="Times New Roman" w:hAnsi="Times New Roman" w:cs="Times New Roman"/>
                <w:sz w:val="24"/>
                <w:szCs w:val="24"/>
                <w:lang w:val="bg-BG"/>
              </w:rPr>
            </w:pPr>
            <w:r w:rsidRPr="00B80C67">
              <w:rPr>
                <w:rFonts w:ascii="Times New Roman" w:hAnsi="Times New Roman" w:cs="Times New Roman"/>
                <w:sz w:val="24"/>
                <w:szCs w:val="24"/>
                <w:lang w:val="bg-BG"/>
              </w:rPr>
              <w:t>Явор Гечев</w:t>
            </w:r>
          </w:p>
          <w:p w:rsidR="00D90AFD" w:rsidRPr="00D90AFD" w:rsidRDefault="00D90AFD">
            <w:pPr>
              <w:rPr>
                <w:rFonts w:ascii="Times New Roman" w:hAnsi="Times New Roman" w:cs="Times New Roman"/>
                <w:lang w:val="bg-BG"/>
              </w:rPr>
            </w:pPr>
            <w:r w:rsidRPr="00B80C67">
              <w:rPr>
                <w:rFonts w:ascii="Times New Roman" w:hAnsi="Times New Roman" w:cs="Times New Roman"/>
                <w:sz w:val="24"/>
                <w:szCs w:val="24"/>
                <w:lang w:val="bg-BG"/>
              </w:rPr>
              <w:t>представител на „Асоциация на индустриалния капитал в България“ член на  Комитета за наблюдение с право на глас</w:t>
            </w:r>
          </w:p>
        </w:tc>
        <w:tc>
          <w:tcPr>
            <w:tcW w:w="8697" w:type="dxa"/>
          </w:tcPr>
          <w:p w:rsidR="00D90AFD" w:rsidRPr="00DE0AE2" w:rsidRDefault="00D90AFD" w:rsidP="00D90AFD">
            <w:pPr>
              <w:jc w:val="both"/>
              <w:rPr>
                <w:rFonts w:ascii="Times New Roman" w:eastAsia="Times New Roman" w:hAnsi="Times New Roman" w:cs="Times New Roman"/>
                <w:lang w:val="bg-BG" w:eastAsia="bg-BG"/>
              </w:rPr>
            </w:pPr>
            <w:r w:rsidRPr="00DE0AE2">
              <w:rPr>
                <w:rFonts w:ascii="Times New Roman" w:eastAsia="Times New Roman" w:hAnsi="Times New Roman" w:cs="Times New Roman"/>
                <w:b/>
                <w:u w:val="single"/>
                <w:lang w:val="bg-BG" w:eastAsia="bg-BG"/>
              </w:rPr>
              <w:t>ГЛАСУВАМ ПРОТИВ</w:t>
            </w:r>
            <w:r w:rsidRPr="00DE0AE2">
              <w:rPr>
                <w:rFonts w:ascii="Times New Roman" w:eastAsia="Times New Roman" w:hAnsi="Times New Roman" w:cs="Times New Roman"/>
                <w:u w:val="single"/>
                <w:lang w:val="bg-BG" w:eastAsia="bg-BG"/>
              </w:rPr>
              <w:t xml:space="preserve"> </w:t>
            </w:r>
            <w:r w:rsidRPr="00DE0AE2">
              <w:rPr>
                <w:rFonts w:ascii="Times New Roman" w:eastAsia="Times New Roman" w:hAnsi="Times New Roman" w:cs="Times New Roman"/>
                <w:lang w:val="bg-BG" w:eastAsia="bg-BG"/>
              </w:rPr>
              <w:t>проект на решение на Комитетът за наблюдение на ПРСР 2014-2020 г. за одобрява предложението на УО на ПРСР 2014-2020 г. за Индикативна годишна работна програма на ПРСР(2014-2020) за 2021 година, като мотивите ми за това са следните:</w:t>
            </w:r>
          </w:p>
          <w:p w:rsidR="00D90AFD" w:rsidRPr="00DE0AE2" w:rsidRDefault="00D90AFD" w:rsidP="00D90AFD">
            <w:pPr>
              <w:jc w:val="both"/>
              <w:rPr>
                <w:rFonts w:ascii="Times New Roman" w:eastAsia="Times New Roman" w:hAnsi="Times New Roman" w:cs="Times New Roman"/>
                <w:lang w:val="bg-BG" w:eastAsia="bg-BG"/>
              </w:rPr>
            </w:pPr>
            <w:r w:rsidRPr="00DE0AE2">
              <w:rPr>
                <w:rFonts w:ascii="Times New Roman" w:eastAsia="Times New Roman" w:hAnsi="Times New Roman" w:cs="Times New Roman"/>
                <w:lang w:val="bg-BG" w:eastAsia="bg-BG"/>
              </w:rPr>
              <w:t>На 19.02.2021 г. се проведе 16 заседание на Комитета за наблюдение на Програмата за развитие на селските райони 2014-2020 г.. В процеса на работа на заседанието, от моя страна бяха направени множество предложения за гласуване, в това число бяха направени и предложения за гласуване на Индикативна годишна работна програма на ПРСР(2014-2020) за 2021 година, касаещи датите на обявяване на процедурите за началните и крайни срокове на прием на обсъжданите подмярки. Въпреки настойчивите ми предложения процедура по гласуване да включва и направените предложения за други дати на стартиране на приемите по подмярка 4.1 и 4.2 успоредно с предложенията предложени ни от УО, това не беше осъществено, което представлява пряко нарушение на правилата за взимане на решения на Комитета по наблюдение.</w:t>
            </w:r>
          </w:p>
          <w:p w:rsidR="00D90AFD" w:rsidRPr="00DE0AE2" w:rsidRDefault="00D90AFD" w:rsidP="00D90AFD">
            <w:pPr>
              <w:jc w:val="both"/>
              <w:rPr>
                <w:rFonts w:ascii="Times New Roman" w:eastAsia="Times New Roman" w:hAnsi="Times New Roman" w:cs="Times New Roman"/>
                <w:lang w:val="bg-BG" w:eastAsia="bg-BG"/>
              </w:rPr>
            </w:pPr>
            <w:r w:rsidRPr="00DE0AE2">
              <w:rPr>
                <w:rFonts w:ascii="Times New Roman" w:eastAsia="Times New Roman" w:hAnsi="Times New Roman" w:cs="Times New Roman"/>
                <w:lang w:val="bg-BG" w:eastAsia="bg-BG"/>
              </w:rPr>
              <w:t>Видно от така предложената Индикативна годишна работна програма на ПРСР(2014-2020) за 2021 година, част от сроковете за начален прием по отделни подмярки са в нарушение на сроковете визирани в ЗАКОН ЗА УПРАВЛЕНИЕ НА СРЕДСТВАТА ОТ ЕВРОПЕЙСКИТЕ СТРУКТУРНИ И ИНВЕСТИЦИОННИ ФОНДОВЕ.</w:t>
            </w:r>
          </w:p>
          <w:p w:rsidR="00D90AFD" w:rsidRPr="00DE0AE2" w:rsidRDefault="00D90AFD" w:rsidP="00D90AFD">
            <w:pPr>
              <w:jc w:val="both"/>
              <w:rPr>
                <w:rFonts w:ascii="Times New Roman" w:eastAsia="Times New Roman" w:hAnsi="Times New Roman" w:cs="Times New Roman"/>
                <w:lang w:val="bg-BG" w:eastAsia="bg-BG"/>
              </w:rPr>
            </w:pPr>
            <w:r w:rsidRPr="00DE0AE2">
              <w:rPr>
                <w:rFonts w:ascii="Times New Roman" w:eastAsia="Times New Roman" w:hAnsi="Times New Roman" w:cs="Times New Roman"/>
                <w:lang w:val="bg-BG" w:eastAsia="bg-BG"/>
              </w:rPr>
              <w:t xml:space="preserve">Предвид дадения кратък срок за излагане на становище, коментари/бележки и предложения от една страна и липсата на протокол от проведеното 16 заседание КН на ПРСР от друга, запазвам правото си да изразя по-подробно становище след предоставянето на протокола от проведеното заседание. </w:t>
            </w:r>
          </w:p>
          <w:p w:rsidR="00D90AFD" w:rsidRPr="00DE0AE2" w:rsidRDefault="00D90AFD" w:rsidP="00D90AFD">
            <w:pPr>
              <w:jc w:val="both"/>
              <w:rPr>
                <w:rFonts w:ascii="Times New Roman" w:eastAsia="Times New Roman" w:hAnsi="Times New Roman" w:cs="Times New Roman"/>
                <w:lang w:val="bg-BG" w:eastAsia="bg-BG"/>
              </w:rPr>
            </w:pPr>
            <w:r w:rsidRPr="00DE0AE2">
              <w:rPr>
                <w:rFonts w:ascii="Times New Roman" w:eastAsia="Times New Roman" w:hAnsi="Times New Roman" w:cs="Times New Roman"/>
                <w:lang w:val="bg-BG" w:eastAsia="bg-BG"/>
              </w:rPr>
              <w:lastRenderedPageBreak/>
              <w:t>Поради това, настоявам в най-кратък срок да бъде предоставен протокол от проведеното 16 заседание КН на ПРСР.</w:t>
            </w:r>
          </w:p>
          <w:p w:rsidR="005C0439" w:rsidRPr="00DE0AE2" w:rsidRDefault="00D90AFD" w:rsidP="00B80C67">
            <w:pPr>
              <w:outlineLvl w:val="0"/>
              <w:rPr>
                <w:rFonts w:ascii="Times New Roman" w:eastAsia="PMingLiU" w:hAnsi="Times New Roman" w:cs="Times New Roman"/>
                <w:color w:val="FFFFFF" w:themeColor="background1"/>
                <w:lang w:val="bg-BG"/>
              </w:rPr>
            </w:pPr>
            <w:r w:rsidRPr="00DE0AE2">
              <w:rPr>
                <w:rFonts w:ascii="Times New Roman" w:eastAsia="PMingLiU" w:hAnsi="Times New Roman" w:cs="Times New Roman"/>
                <w:color w:val="FFFFFF" w:themeColor="background1"/>
                <w:lang w:val="bg-BG"/>
              </w:rPr>
              <w:t xml:space="preserve">И </w:t>
            </w:r>
          </w:p>
        </w:tc>
        <w:tc>
          <w:tcPr>
            <w:tcW w:w="4134" w:type="dxa"/>
          </w:tcPr>
          <w:p w:rsidR="005C0439" w:rsidRPr="00DE0AE2" w:rsidRDefault="00430DC8" w:rsidP="00147122">
            <w:pPr>
              <w:outlineLvl w:val="0"/>
              <w:rPr>
                <w:rFonts w:ascii="Times New Roman" w:eastAsia="PMingLiU" w:hAnsi="Times New Roman" w:cs="Times New Roman"/>
                <w:lang w:val="bg-BG"/>
              </w:rPr>
            </w:pPr>
            <w:r w:rsidRPr="00DE0AE2">
              <w:rPr>
                <w:rFonts w:ascii="Times New Roman" w:eastAsia="PMingLiU" w:hAnsi="Times New Roman" w:cs="Times New Roman"/>
                <w:lang w:val="bg-BG"/>
              </w:rPr>
              <w:lastRenderedPageBreak/>
              <w:t>Не се приема.</w:t>
            </w:r>
          </w:p>
          <w:p w:rsidR="007A121D" w:rsidRPr="00DE0AE2" w:rsidRDefault="007A121D" w:rsidP="00147122">
            <w:pPr>
              <w:outlineLvl w:val="0"/>
              <w:rPr>
                <w:rFonts w:ascii="Times New Roman" w:eastAsia="PMingLiU" w:hAnsi="Times New Roman" w:cs="Times New Roman"/>
                <w:lang w:val="bg-BG"/>
              </w:rPr>
            </w:pPr>
            <w:r w:rsidRPr="00DE0AE2">
              <w:rPr>
                <w:rFonts w:ascii="Times New Roman" w:eastAsia="PMingLiU" w:hAnsi="Times New Roman" w:cs="Times New Roman"/>
                <w:lang w:val="bg-BG"/>
              </w:rPr>
              <w:t>Чл. 16 (9) от Вътрешните правила на КН гласи:„Мотивирани писмени предложения за промени в проекта на дневния ред могат да бъдат правени от всеки участник в работата на Комитета, най-късно 5 работни дни преди датата на заседанието. Кореспонденцията, свързана с дейността на Комитета, се адресира до председателя му. Предложенията за промени в дневния ред се гласуват от Комитета на съответното заседание.“</w:t>
            </w:r>
          </w:p>
          <w:p w:rsidR="00C6569C" w:rsidRPr="00DE0AE2" w:rsidRDefault="00430DC8" w:rsidP="00C6569C">
            <w:pPr>
              <w:outlineLvl w:val="0"/>
              <w:rPr>
                <w:rFonts w:ascii="Times New Roman" w:eastAsia="PMingLiU" w:hAnsi="Times New Roman" w:cs="Times New Roman"/>
                <w:b/>
                <w:u w:val="single"/>
                <w:lang w:val="bg-BG"/>
              </w:rPr>
            </w:pPr>
            <w:r w:rsidRPr="00DE0AE2">
              <w:rPr>
                <w:rFonts w:ascii="Times New Roman" w:eastAsia="PMingLiU" w:hAnsi="Times New Roman" w:cs="Times New Roman"/>
                <w:lang w:val="bg-BG"/>
              </w:rPr>
              <w:t>Писмени предложения по процедурата за гласуване, свързани с точка 9 от дневния ред на 16 заседание на КН на ПРСР не бяха получени</w:t>
            </w:r>
            <w:r w:rsidR="00C6569C" w:rsidRPr="00DE0AE2">
              <w:rPr>
                <w:rFonts w:ascii="Times New Roman" w:eastAsia="PMingLiU" w:hAnsi="Times New Roman" w:cs="Times New Roman"/>
                <w:lang w:val="bg-BG"/>
              </w:rPr>
              <w:t>.</w:t>
            </w:r>
            <w:r w:rsidR="007A121D" w:rsidRPr="002B50B1">
              <w:rPr>
                <w:lang w:val="bg-BG"/>
              </w:rPr>
              <w:t xml:space="preserve"> </w:t>
            </w:r>
            <w:r w:rsidR="007A121D" w:rsidRPr="00DE0AE2">
              <w:rPr>
                <w:rFonts w:ascii="Times New Roman" w:hAnsi="Times New Roman" w:cs="Times New Roman"/>
                <w:lang w:val="bg-BG"/>
              </w:rPr>
              <w:t>Освен това</w:t>
            </w:r>
            <w:r w:rsidR="007A121D" w:rsidRPr="00DE0AE2">
              <w:rPr>
                <w:lang w:val="bg-BG"/>
              </w:rPr>
              <w:t xml:space="preserve"> </w:t>
            </w:r>
            <w:r w:rsidR="007A121D" w:rsidRPr="00DE0AE2">
              <w:rPr>
                <w:rFonts w:ascii="Times New Roman" w:eastAsia="PMingLiU" w:hAnsi="Times New Roman" w:cs="Times New Roman"/>
                <w:lang w:val="bg-BG"/>
              </w:rPr>
              <w:t xml:space="preserve">предложението на УО по т. 9 </w:t>
            </w:r>
            <w:r w:rsidR="007A121D" w:rsidRPr="00DE0AE2">
              <w:rPr>
                <w:rFonts w:ascii="Times New Roman" w:eastAsia="PMingLiU" w:hAnsi="Times New Roman" w:cs="Times New Roman"/>
                <w:b/>
                <w:u w:val="single"/>
                <w:lang w:val="bg-BG"/>
              </w:rPr>
              <w:t>се съгласува с КН, а не се одобрява от КН.</w:t>
            </w:r>
          </w:p>
          <w:p w:rsidR="005E2F5B" w:rsidRPr="00DE0AE2" w:rsidRDefault="00140573" w:rsidP="005E2F5B">
            <w:pPr>
              <w:outlineLvl w:val="0"/>
              <w:rPr>
                <w:rFonts w:ascii="Times New Roman" w:eastAsia="PMingLiU" w:hAnsi="Times New Roman" w:cs="Times New Roman"/>
                <w:lang w:val="bg-BG"/>
              </w:rPr>
            </w:pPr>
            <w:r w:rsidRPr="00DE0AE2">
              <w:rPr>
                <w:rFonts w:ascii="Times New Roman" w:eastAsia="PMingLiU" w:hAnsi="Times New Roman" w:cs="Times New Roman"/>
                <w:lang w:val="bg-BG"/>
              </w:rPr>
              <w:t xml:space="preserve">Съгласно Вътрешните правила, </w:t>
            </w:r>
            <w:r w:rsidR="005E2F5B" w:rsidRPr="00DE0AE2">
              <w:rPr>
                <w:rFonts w:ascii="Times New Roman" w:eastAsia="PMingLiU" w:hAnsi="Times New Roman" w:cs="Times New Roman"/>
                <w:lang w:val="bg-BG"/>
              </w:rPr>
              <w:t xml:space="preserve">Председателят на Комитета има </w:t>
            </w:r>
            <w:r w:rsidR="005E2F5B" w:rsidRPr="00DE0AE2">
              <w:rPr>
                <w:rFonts w:ascii="Times New Roman" w:eastAsia="PMingLiU" w:hAnsi="Times New Roman" w:cs="Times New Roman"/>
                <w:lang w:val="bg-BG"/>
              </w:rPr>
              <w:lastRenderedPageBreak/>
              <w:t>следните функции и отговорности:</w:t>
            </w:r>
          </w:p>
          <w:p w:rsidR="005E2F5B" w:rsidRPr="002B50B1" w:rsidRDefault="005E2F5B" w:rsidP="005E2F5B">
            <w:pPr>
              <w:outlineLvl w:val="0"/>
              <w:rPr>
                <w:rFonts w:ascii="Times New Roman" w:eastAsia="PMingLiU" w:hAnsi="Times New Roman" w:cs="Times New Roman"/>
                <w:lang w:val="bg-BG"/>
              </w:rPr>
            </w:pPr>
            <w:r w:rsidRPr="00DE0AE2">
              <w:rPr>
                <w:rFonts w:ascii="Times New Roman" w:eastAsia="PMingLiU" w:hAnsi="Times New Roman" w:cs="Times New Roman"/>
                <w:lang w:val="bg-BG"/>
              </w:rPr>
              <w:t>1. организира и ръководи дейността на Комитета; ( вкл. кое да подложи на гласуване и кое не, особено когато няма предварително постъпило предложени</w:t>
            </w:r>
            <w:r w:rsidR="007A121D" w:rsidRPr="00DE0AE2">
              <w:rPr>
                <w:rFonts w:ascii="Times New Roman" w:eastAsia="PMingLiU" w:hAnsi="Times New Roman" w:cs="Times New Roman"/>
                <w:lang w:val="bg-BG"/>
              </w:rPr>
              <w:t>е</w:t>
            </w:r>
            <w:r w:rsidRPr="00DE0AE2">
              <w:rPr>
                <w:rFonts w:ascii="Times New Roman" w:eastAsia="PMingLiU" w:hAnsi="Times New Roman" w:cs="Times New Roman"/>
                <w:lang w:val="bg-BG"/>
              </w:rPr>
              <w:t xml:space="preserve"> за промяна в дневния ред.</w:t>
            </w:r>
            <w:r w:rsidR="007A121D" w:rsidRPr="002B50B1">
              <w:rPr>
                <w:rFonts w:ascii="Times New Roman" w:eastAsia="PMingLiU" w:hAnsi="Times New Roman" w:cs="Times New Roman"/>
                <w:lang w:val="bg-BG"/>
              </w:rPr>
              <w:t>)</w:t>
            </w:r>
          </w:p>
          <w:p w:rsidR="00430DC8" w:rsidRPr="00430DC8" w:rsidRDefault="00C6569C" w:rsidP="00C6569C">
            <w:pPr>
              <w:outlineLvl w:val="0"/>
              <w:rPr>
                <w:rFonts w:ascii="Times New Roman" w:eastAsia="PMingLiU" w:hAnsi="Times New Roman" w:cs="Times New Roman"/>
                <w:sz w:val="24"/>
                <w:szCs w:val="24"/>
                <w:lang w:val="bg-BG"/>
              </w:rPr>
            </w:pPr>
            <w:r w:rsidRPr="00DE0AE2">
              <w:rPr>
                <w:rFonts w:ascii="Times New Roman" w:eastAsia="PMingLiU" w:hAnsi="Times New Roman" w:cs="Times New Roman"/>
                <w:lang w:val="bg-BG"/>
              </w:rPr>
              <w:t xml:space="preserve">Протоколът от 16 заседание на КН на ПРСР ще бъде изпратен в рамките на нормативно определения срок. </w:t>
            </w:r>
          </w:p>
        </w:tc>
      </w:tr>
      <w:tr w:rsidR="005C0439" w:rsidRPr="00FB1E0C" w:rsidTr="00E13D5E">
        <w:tc>
          <w:tcPr>
            <w:tcW w:w="1628" w:type="dxa"/>
          </w:tcPr>
          <w:p w:rsidR="005C0439" w:rsidRPr="007A443C" w:rsidRDefault="002C7126">
            <w:pPr>
              <w:rPr>
                <w:rFonts w:ascii="Times New Roman" w:hAnsi="Times New Roman" w:cs="Times New Roman"/>
                <w:lang w:val="bg-BG"/>
              </w:rPr>
            </w:pPr>
            <w:r w:rsidRPr="007A443C">
              <w:rPr>
                <w:rFonts w:ascii="Times New Roman" w:hAnsi="Times New Roman" w:cs="Times New Roman"/>
                <w:lang w:val="bg-BG"/>
              </w:rPr>
              <w:lastRenderedPageBreak/>
              <w:t>БАКЕП заедно с Регионална енергийна агенция Пазарджик  -  членове на КН с право на  1 глас</w:t>
            </w:r>
          </w:p>
        </w:tc>
        <w:tc>
          <w:tcPr>
            <w:tcW w:w="8697" w:type="dxa"/>
          </w:tcPr>
          <w:p w:rsidR="004233D0" w:rsidRPr="00DE0AE2" w:rsidRDefault="004233D0" w:rsidP="004233D0">
            <w:pPr>
              <w:jc w:val="both"/>
              <w:rPr>
                <w:rFonts w:ascii="Times New Roman" w:eastAsia="Calibri" w:hAnsi="Times New Roman" w:cs="Times New Roman"/>
                <w:b/>
                <w:lang w:val="bg-BG"/>
              </w:rPr>
            </w:pPr>
            <w:r w:rsidRPr="00DE0AE2">
              <w:rPr>
                <w:rFonts w:ascii="Times New Roman" w:eastAsia="Calibri" w:hAnsi="Times New Roman" w:cs="Times New Roman"/>
                <w:lang w:val="bg-BG"/>
              </w:rPr>
              <w:t xml:space="preserve">Позицията на БАКЕП относно предложената ИГРП НА ПРСР (2014-2020) за 2021 година във връзка с писмена процедура на КН на ПРСР 2014-2020 г. е следната: </w:t>
            </w:r>
            <w:r w:rsidRPr="00DE0AE2">
              <w:rPr>
                <w:rFonts w:ascii="Times New Roman" w:eastAsia="Calibri" w:hAnsi="Times New Roman" w:cs="Times New Roman"/>
                <w:b/>
                <w:bCs/>
                <w:lang w:val="bg-BG"/>
              </w:rPr>
              <w:t>БАКЕП категорично е „против“ така предложената ИГРП за 2021 г., като мотивите ни за това са следните</w:t>
            </w:r>
            <w:r w:rsidRPr="00DE0AE2">
              <w:rPr>
                <w:rFonts w:ascii="Times New Roman" w:eastAsia="Calibri" w:hAnsi="Times New Roman" w:cs="Times New Roman"/>
                <w:lang w:val="bg-BG"/>
              </w:rPr>
              <w:t>:</w:t>
            </w:r>
          </w:p>
          <w:p w:rsidR="004233D0" w:rsidRPr="00DE0AE2" w:rsidRDefault="004233D0" w:rsidP="004233D0">
            <w:pPr>
              <w:jc w:val="both"/>
              <w:rPr>
                <w:rFonts w:ascii="Times New Roman" w:eastAsia="Calibri" w:hAnsi="Times New Roman" w:cs="Times New Roman"/>
                <w:b/>
                <w:lang w:val="bg-BG"/>
              </w:rPr>
            </w:pPr>
            <w:r w:rsidRPr="00DE0AE2">
              <w:rPr>
                <w:rFonts w:ascii="Times New Roman" w:eastAsia="Calibri" w:hAnsi="Times New Roman" w:cs="Times New Roman"/>
                <w:b/>
                <w:lang w:val="bg-BG"/>
              </w:rPr>
              <w:t>Настояваме категорично да се преосмислят периодите за прием, заложени в предложената ИГРП.</w:t>
            </w:r>
          </w:p>
          <w:p w:rsidR="004233D0" w:rsidRPr="00DE0AE2" w:rsidRDefault="004233D0" w:rsidP="004233D0">
            <w:pPr>
              <w:numPr>
                <w:ilvl w:val="1"/>
                <w:numId w:val="8"/>
              </w:numPr>
              <w:ind w:left="425" w:hanging="425"/>
              <w:jc w:val="both"/>
              <w:rPr>
                <w:rFonts w:ascii="Times New Roman" w:eastAsia="Calibri" w:hAnsi="Times New Roman" w:cs="Times New Roman"/>
                <w:lang w:val="bg-BG"/>
              </w:rPr>
            </w:pPr>
            <w:r w:rsidRPr="00DE0AE2">
              <w:rPr>
                <w:rFonts w:ascii="Times New Roman" w:eastAsia="Calibri" w:hAnsi="Times New Roman" w:cs="Times New Roman"/>
                <w:lang w:val="bg-BG"/>
              </w:rPr>
              <w:t xml:space="preserve">Обръщаме внимание, че планираните срокове за някои подмерките от само два месеца (при положение, че се отвори прием в началото и в края на посочените месеци за начало и край на приемите по процедурите) са незаконосъобразни.  Съгласно ПОСТАНОВЛЕНИЕ № 162 ОТ 5 ЮЛИ 2016г. Чл. 11. (3) „Срокът за подаване на проектни предложения </w:t>
            </w:r>
            <w:r w:rsidRPr="00DE0AE2">
              <w:rPr>
                <w:rFonts w:ascii="Times New Roman" w:eastAsia="Calibri" w:hAnsi="Times New Roman" w:cs="Times New Roman"/>
                <w:b/>
                <w:lang w:val="bg-BG"/>
              </w:rPr>
              <w:t>не може да бъде по-кратък от 90 дни</w:t>
            </w:r>
            <w:r w:rsidRPr="00DE0AE2">
              <w:rPr>
                <w:rFonts w:ascii="Times New Roman" w:eastAsia="Calibri" w:hAnsi="Times New Roman" w:cs="Times New Roman"/>
                <w:lang w:val="bg-BG"/>
              </w:rPr>
              <w:t xml:space="preserve">, а за инфраструктурни проекти - от 120 дни, когато съответната процедура не е била включена в публикуваната в срока по чл. 26, ал. 7 индикативна годишна работна програма или когато е извършено изменение на индикативната годишната работна програма, с което са променени....“ Съгласно Чл. 26. (7) „Съгласуваната от съответния комитет за наблюдение индикативна годишна работна програма се публикува за информация на интернет страницата на съответната програма и на портала по ал. 3 </w:t>
            </w:r>
            <w:r w:rsidRPr="00DE0AE2">
              <w:rPr>
                <w:rFonts w:ascii="Times New Roman" w:eastAsia="Calibri" w:hAnsi="Times New Roman" w:cs="Times New Roman"/>
                <w:b/>
                <w:lang w:val="bg-BG"/>
              </w:rPr>
              <w:t>не по-късно от 30 ноември всяка година</w:t>
            </w:r>
            <w:r w:rsidRPr="00DE0AE2">
              <w:rPr>
                <w:rFonts w:ascii="Times New Roman" w:eastAsia="Calibri" w:hAnsi="Times New Roman" w:cs="Times New Roman"/>
                <w:lang w:val="bg-BG"/>
              </w:rPr>
              <w:t>“. В указания срок – до 30.11.2020г. не е публикувана  и съгласувана от КН на ПРСР ИГРП за 2021г. по ПРСР. На тази база, приемът би трябвало да бъде минимум 90 дни за всички подмерки, а не както е предложено за някои подмерки в ИГРП за 2021 – 2 месеца.</w:t>
            </w:r>
          </w:p>
          <w:p w:rsidR="004233D0" w:rsidRPr="00DE0AE2" w:rsidRDefault="004233D0" w:rsidP="004233D0">
            <w:pPr>
              <w:numPr>
                <w:ilvl w:val="1"/>
                <w:numId w:val="8"/>
              </w:numPr>
              <w:ind w:left="425" w:hanging="425"/>
              <w:jc w:val="both"/>
              <w:rPr>
                <w:rFonts w:ascii="Times New Roman" w:eastAsia="Calibri" w:hAnsi="Times New Roman" w:cs="Times New Roman"/>
                <w:lang w:val="bg-BG"/>
              </w:rPr>
            </w:pPr>
            <w:r w:rsidRPr="00DE0AE2">
              <w:rPr>
                <w:rFonts w:ascii="Times New Roman" w:eastAsia="Calibri" w:hAnsi="Times New Roman" w:cs="Times New Roman"/>
                <w:lang w:val="bg-BG"/>
              </w:rPr>
              <w:t xml:space="preserve">В условия на епидемична ситуация, когато чисто организационно бизнесът работи с ограничения, когато служители се налагат да излизат в болнични или да се карантинират, когато за земеделските стопани ще тече кампанията по подаване на заявление по СЕПП, и когато администрацията и институциите работят с ограничени ресурси, </w:t>
            </w:r>
            <w:r w:rsidRPr="00DE0AE2">
              <w:rPr>
                <w:rFonts w:ascii="Times New Roman" w:eastAsia="Calibri" w:hAnsi="Times New Roman" w:cs="Times New Roman"/>
                <w:b/>
                <w:lang w:val="bg-BG"/>
              </w:rPr>
              <w:t>е недопустимо и некоректно</w:t>
            </w:r>
            <w:r w:rsidRPr="00DE0AE2">
              <w:rPr>
                <w:rFonts w:ascii="Times New Roman" w:eastAsia="Calibri" w:hAnsi="Times New Roman" w:cs="Times New Roman"/>
                <w:lang w:val="bg-BG"/>
              </w:rPr>
              <w:t xml:space="preserve"> </w:t>
            </w:r>
            <w:r w:rsidRPr="00DE0AE2">
              <w:rPr>
                <w:rFonts w:ascii="Times New Roman" w:eastAsia="Calibri" w:hAnsi="Times New Roman" w:cs="Times New Roman"/>
                <w:b/>
                <w:lang w:val="bg-BG"/>
              </w:rPr>
              <w:t>да се бърза с отварянето на приемите по подмерките без експертния анализ да налага това, и да се предлага срок за прием само от два месеца за някои от тях. В допълнение отварянето на приеми едновременно</w:t>
            </w:r>
            <w:r w:rsidRPr="00DE0AE2">
              <w:rPr>
                <w:rFonts w:ascii="Times New Roman" w:eastAsia="Calibri" w:hAnsi="Times New Roman" w:cs="Times New Roman"/>
                <w:lang w:val="bg-BG"/>
              </w:rPr>
              <w:t xml:space="preserve"> </w:t>
            </w:r>
            <w:r w:rsidRPr="00DE0AE2">
              <w:rPr>
                <w:rFonts w:ascii="Times New Roman" w:eastAsia="Calibri" w:hAnsi="Times New Roman" w:cs="Times New Roman"/>
                <w:b/>
                <w:bCs/>
                <w:lang w:val="bg-BG"/>
              </w:rPr>
              <w:t xml:space="preserve">за две от най-желаните от сектора </w:t>
            </w:r>
            <w:r w:rsidRPr="00DE0AE2">
              <w:rPr>
                <w:rFonts w:ascii="Times New Roman" w:eastAsia="Calibri" w:hAnsi="Times New Roman" w:cs="Times New Roman"/>
                <w:b/>
                <w:bCs/>
                <w:lang w:val="bg-BG"/>
              </w:rPr>
              <w:lastRenderedPageBreak/>
              <w:t>подмерки 4.1 и 4.2 е абсолютно необосновано от експертна и професионална гледна точка</w:t>
            </w:r>
            <w:r w:rsidRPr="00DE0AE2">
              <w:rPr>
                <w:rFonts w:ascii="Times New Roman" w:eastAsia="Calibri" w:hAnsi="Times New Roman" w:cs="Times New Roman"/>
                <w:lang w:val="bg-BG"/>
              </w:rPr>
              <w:t>.  От гледна точка на естеството на проектните предложения по 4.1 и 4.2 и целите, които ще се постигнат чрез тяхното изпълнение е необходимо достатъчно време за технологично проектиране, изготвяне на инвестиционни проекти по ЗУТ и др., за да се подготвят качествени проектните предложения. Според нас това би трябвало да е и целта на УО, за да се реализират ефективни и успешни проекти, чрез които да се постигнат заложените цели в ПРСР.</w:t>
            </w:r>
          </w:p>
          <w:p w:rsidR="004233D0" w:rsidRPr="00DE0AE2" w:rsidRDefault="004233D0" w:rsidP="004233D0">
            <w:pPr>
              <w:numPr>
                <w:ilvl w:val="1"/>
                <w:numId w:val="8"/>
              </w:numPr>
              <w:ind w:left="425" w:hanging="425"/>
              <w:jc w:val="both"/>
              <w:rPr>
                <w:rFonts w:ascii="Times New Roman" w:eastAsia="Calibri" w:hAnsi="Times New Roman" w:cs="Times New Roman"/>
                <w:lang w:val="bg-BG"/>
              </w:rPr>
            </w:pPr>
            <w:r w:rsidRPr="00DE0AE2">
              <w:rPr>
                <w:rFonts w:ascii="Times New Roman" w:eastAsia="Calibri" w:hAnsi="Times New Roman" w:cs="Times New Roman"/>
                <w:lang w:val="bg-BG"/>
              </w:rPr>
              <w:t>Приемът по 4.1 да се осъществи след излизане на резултатите от предходния прием по 4.1 от 2020г. Ако това не се случи, кандидатите по предходния прием по 4.1, няма да знаят дали да кандидатстват по планирания прием по 4.1 за 2021 г. Тази неяснота, допълнително ще затрудни ДФЗ при обработката на проектните предложения от двата приема, без да е приключила обработката на проектните предложения от предходния прием.</w:t>
            </w:r>
          </w:p>
          <w:p w:rsidR="004233D0" w:rsidRPr="00DE0AE2" w:rsidRDefault="004233D0" w:rsidP="004233D0">
            <w:pPr>
              <w:numPr>
                <w:ilvl w:val="1"/>
                <w:numId w:val="8"/>
              </w:numPr>
              <w:ind w:left="425" w:hanging="425"/>
              <w:jc w:val="both"/>
              <w:rPr>
                <w:rFonts w:ascii="Times New Roman" w:eastAsia="Calibri" w:hAnsi="Times New Roman" w:cs="Times New Roman"/>
                <w:lang w:val="bg-BG"/>
              </w:rPr>
            </w:pPr>
            <w:r w:rsidRPr="00DE0AE2">
              <w:rPr>
                <w:rFonts w:ascii="Times New Roman" w:eastAsia="Calibri" w:hAnsi="Times New Roman" w:cs="Times New Roman"/>
                <w:lang w:val="bg-BG"/>
              </w:rPr>
              <w:t>Не сме съгласни приемите по 4.1 и 4.2 да бъдат извършвани по едно и също време. Очакванията са, че по тези приеми с оглед на големите налични бюджети, ще бъдат подготвени и входирани много голям брой проектни предложения и по двете подмерки. ДФЗ няма да има физическата и експертна възможност да обработи в обозрими срокове големият брой проектни предложения по двата приема по 4.1 и 4.2. В същото време ще има земеделски производители, които ще искат да кандидатстват с проектни предложения и по 4.1 и 4.2. В този случай, те няма да имат възможност да подготвят качествено своите проектни предложения и по двете мерки едновременно. Нашето предложение е, приемите по 4.1 и 4.2 да не се застъпват, а след като свърши приема по едната подмярка да започне приема по другата подмярка. В същото време, с оглед на епидемичната обстановка в България и съпътстващите ограничения в тази връзка, както и предстоящите парламентарни избори в началото на април, се предполага, че администрацията и институциите, от които зависи подготовката на проектните предложения по 4.1 и 4.2, ще работят с ограничени ресурси. Това е предпоставка за удължаване на срока за подготовка на проектните предложение от страна на кандидатите по 4.1 и 4.2. Един от начините да се управлява този риск, е да не се бърза с отварянето на приемите по 4.1 и 4.2 и в никакъв случай, те да не се застъпват.</w:t>
            </w:r>
          </w:p>
          <w:p w:rsidR="004233D0" w:rsidRPr="00DE0AE2" w:rsidRDefault="004233D0" w:rsidP="004233D0">
            <w:pPr>
              <w:ind w:left="425"/>
              <w:jc w:val="both"/>
              <w:rPr>
                <w:rFonts w:ascii="Times New Roman" w:eastAsia="Calibri" w:hAnsi="Times New Roman" w:cs="Times New Roman"/>
                <w:lang w:val="bg-BG"/>
              </w:rPr>
            </w:pPr>
            <w:r w:rsidRPr="00DE0AE2">
              <w:rPr>
                <w:rFonts w:ascii="Times New Roman" w:eastAsia="Calibri" w:hAnsi="Times New Roman" w:cs="Times New Roman"/>
                <w:lang w:val="bg-BG"/>
              </w:rPr>
              <w:t>В допълнение, с оглед на цялата икономическа, епидемична и социална обстановка в страната, предлагаме срока на приемите по подмерки 4.1 и 4.2 да е шест месеца, ако се отвори прием едновременно по двете подмерки през април 2021 г., както е заложено в предложената ИГРП по ПРСР за 2021 г.</w:t>
            </w:r>
          </w:p>
          <w:p w:rsidR="005C0439" w:rsidRPr="00DE0AE2" w:rsidRDefault="004233D0" w:rsidP="004233D0">
            <w:pPr>
              <w:ind w:left="425"/>
              <w:jc w:val="both"/>
              <w:rPr>
                <w:rFonts w:ascii="Times New Roman" w:eastAsia="Calibri" w:hAnsi="Times New Roman" w:cs="Times New Roman"/>
                <w:lang w:val="bg-BG"/>
              </w:rPr>
            </w:pPr>
            <w:r w:rsidRPr="00DE0AE2">
              <w:rPr>
                <w:rFonts w:ascii="Times New Roman" w:eastAsia="Calibri" w:hAnsi="Times New Roman" w:cs="Times New Roman"/>
                <w:lang w:val="bg-BG"/>
              </w:rPr>
              <w:t xml:space="preserve">Не на последно място, по време на заседанието на КН от 19.02.2021 г. постъпиха предложения от членове на КН по ПРСР, в писмената процедура да се изпратят за гласуване не само варианта на УО, а и други варианти на ИГРП за 2021 г., което не </w:t>
            </w:r>
            <w:r w:rsidRPr="00DE0AE2">
              <w:rPr>
                <w:rFonts w:ascii="Times New Roman" w:eastAsia="Calibri" w:hAnsi="Times New Roman" w:cs="Times New Roman"/>
                <w:lang w:val="bg-BG"/>
              </w:rPr>
              <w:lastRenderedPageBreak/>
              <w:t>е направено.</w:t>
            </w:r>
          </w:p>
        </w:tc>
        <w:tc>
          <w:tcPr>
            <w:tcW w:w="4134" w:type="dxa"/>
          </w:tcPr>
          <w:p w:rsidR="009C4FE8" w:rsidRPr="002B50B1" w:rsidRDefault="00C6569C" w:rsidP="00147122">
            <w:pPr>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lastRenderedPageBreak/>
              <w:t xml:space="preserve">Предложенията се приемат частично. </w:t>
            </w:r>
          </w:p>
          <w:p w:rsidR="00C6569C" w:rsidRDefault="009C4FE8" w:rsidP="00147122">
            <w:pPr>
              <w:outlineLvl w:val="0"/>
              <w:rPr>
                <w:rFonts w:ascii="Times New Roman" w:eastAsia="PMingLiU" w:hAnsi="Times New Roman" w:cs="Times New Roman"/>
                <w:sz w:val="24"/>
                <w:szCs w:val="24"/>
                <w:lang w:val="bg-BG"/>
              </w:rPr>
            </w:pPr>
            <w:r w:rsidRPr="002B50B1">
              <w:rPr>
                <w:rFonts w:ascii="Times New Roman" w:eastAsia="PMingLiU" w:hAnsi="Times New Roman" w:cs="Times New Roman"/>
                <w:sz w:val="24"/>
                <w:szCs w:val="24"/>
                <w:lang w:val="bg-BG"/>
              </w:rPr>
              <w:t>В съответствие с изискванията на националното законодателство с</w:t>
            </w:r>
            <w:r w:rsidR="00C6569C">
              <w:rPr>
                <w:rFonts w:ascii="Times New Roman" w:eastAsia="PMingLiU" w:hAnsi="Times New Roman" w:cs="Times New Roman"/>
                <w:sz w:val="24"/>
                <w:szCs w:val="24"/>
                <w:lang w:val="bg-BG"/>
              </w:rPr>
              <w:t xml:space="preserve">рокът за прием </w:t>
            </w:r>
            <w:r w:rsidRPr="002B50B1">
              <w:rPr>
                <w:rFonts w:ascii="Times New Roman" w:eastAsia="PMingLiU" w:hAnsi="Times New Roman" w:cs="Times New Roman"/>
                <w:sz w:val="24"/>
                <w:szCs w:val="24"/>
                <w:lang w:val="bg-BG"/>
              </w:rPr>
              <w:t xml:space="preserve">на проектни предложения </w:t>
            </w:r>
            <w:r w:rsidR="00C6569C">
              <w:rPr>
                <w:rFonts w:ascii="Times New Roman" w:eastAsia="PMingLiU" w:hAnsi="Times New Roman" w:cs="Times New Roman"/>
                <w:sz w:val="24"/>
                <w:szCs w:val="24"/>
                <w:lang w:val="bg-BG"/>
              </w:rPr>
              <w:t>по подмерки 6.1</w:t>
            </w:r>
            <w:r w:rsidRPr="002B50B1">
              <w:rPr>
                <w:rFonts w:ascii="Times New Roman" w:eastAsia="PMingLiU" w:hAnsi="Times New Roman" w:cs="Times New Roman"/>
                <w:sz w:val="24"/>
                <w:szCs w:val="24"/>
                <w:lang w:val="bg-BG"/>
              </w:rPr>
              <w:t>,</w:t>
            </w:r>
            <w:r w:rsidR="00C6569C">
              <w:rPr>
                <w:rFonts w:ascii="Times New Roman" w:eastAsia="PMingLiU" w:hAnsi="Times New Roman" w:cs="Times New Roman"/>
                <w:sz w:val="24"/>
                <w:szCs w:val="24"/>
                <w:lang w:val="bg-BG"/>
              </w:rPr>
              <w:t xml:space="preserve"> 6.3 </w:t>
            </w:r>
            <w:r w:rsidRPr="002B50B1">
              <w:rPr>
                <w:rFonts w:ascii="Times New Roman" w:eastAsia="PMingLiU" w:hAnsi="Times New Roman" w:cs="Times New Roman"/>
                <w:sz w:val="24"/>
                <w:szCs w:val="24"/>
                <w:lang w:val="bg-BG"/>
              </w:rPr>
              <w:t xml:space="preserve">и 16.1 </w:t>
            </w:r>
            <w:r w:rsidR="00C6569C">
              <w:rPr>
                <w:rFonts w:ascii="Times New Roman" w:eastAsia="PMingLiU" w:hAnsi="Times New Roman" w:cs="Times New Roman"/>
                <w:sz w:val="24"/>
                <w:szCs w:val="24"/>
                <w:lang w:val="bg-BG"/>
              </w:rPr>
              <w:t>ще бъде удължен с 1 месец и н</w:t>
            </w:r>
            <w:r w:rsidR="001D13CC">
              <w:rPr>
                <w:rFonts w:ascii="Times New Roman" w:eastAsia="PMingLiU" w:hAnsi="Times New Roman" w:cs="Times New Roman"/>
                <w:sz w:val="24"/>
                <w:szCs w:val="24"/>
                <w:lang w:val="bg-BG"/>
              </w:rPr>
              <w:t>яма да бъде по-кратък от нормативно определения.</w:t>
            </w:r>
            <w:r w:rsidR="00C6569C">
              <w:rPr>
                <w:rFonts w:ascii="Times New Roman" w:eastAsia="PMingLiU" w:hAnsi="Times New Roman" w:cs="Times New Roman"/>
                <w:sz w:val="24"/>
                <w:szCs w:val="24"/>
                <w:lang w:val="bg-BG"/>
              </w:rPr>
              <w:t xml:space="preserve"> </w:t>
            </w:r>
          </w:p>
          <w:p w:rsidR="00C6569C" w:rsidRDefault="00C6569C" w:rsidP="00147122">
            <w:pPr>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 xml:space="preserve">Срокът </w:t>
            </w:r>
            <w:r w:rsidR="009C4FE8" w:rsidRPr="002B50B1">
              <w:rPr>
                <w:rFonts w:ascii="Times New Roman" w:eastAsia="PMingLiU" w:hAnsi="Times New Roman" w:cs="Times New Roman"/>
                <w:sz w:val="24"/>
                <w:szCs w:val="24"/>
                <w:lang w:val="bg-BG"/>
              </w:rPr>
              <w:t xml:space="preserve">за прием на проектни предложения </w:t>
            </w:r>
            <w:r w:rsidR="00140573">
              <w:rPr>
                <w:rFonts w:ascii="Times New Roman" w:eastAsia="PMingLiU" w:hAnsi="Times New Roman" w:cs="Times New Roman"/>
                <w:sz w:val="24"/>
                <w:szCs w:val="24"/>
                <w:lang w:val="bg-BG"/>
              </w:rPr>
              <w:t>по подмерки 4.1 и 4.2 е три</w:t>
            </w:r>
            <w:r>
              <w:rPr>
                <w:rFonts w:ascii="Times New Roman" w:eastAsia="PMingLiU" w:hAnsi="Times New Roman" w:cs="Times New Roman"/>
                <w:sz w:val="24"/>
                <w:szCs w:val="24"/>
                <w:lang w:val="bg-BG"/>
              </w:rPr>
              <w:t xml:space="preserve"> мес</w:t>
            </w:r>
            <w:r w:rsidR="00772A01">
              <w:rPr>
                <w:rFonts w:ascii="Times New Roman" w:eastAsia="PMingLiU" w:hAnsi="Times New Roman" w:cs="Times New Roman"/>
                <w:sz w:val="24"/>
                <w:szCs w:val="24"/>
                <w:lang w:val="bg-BG"/>
              </w:rPr>
              <w:t>еца и ще бъде спазен нормативно</w:t>
            </w:r>
            <w:r w:rsidR="00140573">
              <w:rPr>
                <w:rFonts w:ascii="Times New Roman" w:eastAsia="PMingLiU" w:hAnsi="Times New Roman" w:cs="Times New Roman"/>
                <w:sz w:val="24"/>
                <w:szCs w:val="24"/>
                <w:lang w:val="bg-BG"/>
              </w:rPr>
              <w:t xml:space="preserve"> определения</w:t>
            </w:r>
            <w:r>
              <w:rPr>
                <w:rFonts w:ascii="Times New Roman" w:eastAsia="PMingLiU" w:hAnsi="Times New Roman" w:cs="Times New Roman"/>
                <w:sz w:val="24"/>
                <w:szCs w:val="24"/>
                <w:lang w:val="bg-BG"/>
              </w:rPr>
              <w:t xml:space="preserve"> с</w:t>
            </w:r>
            <w:r w:rsidR="001D13CC">
              <w:rPr>
                <w:rFonts w:ascii="Times New Roman" w:eastAsia="PMingLiU" w:hAnsi="Times New Roman" w:cs="Times New Roman"/>
                <w:sz w:val="24"/>
                <w:szCs w:val="24"/>
                <w:lang w:val="bg-BG"/>
              </w:rPr>
              <w:t>рок.</w:t>
            </w:r>
          </w:p>
          <w:p w:rsidR="00C6569C" w:rsidRDefault="001D13CC" w:rsidP="00147122">
            <w:pPr>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Н</w:t>
            </w:r>
            <w:r w:rsidR="00C6569C">
              <w:rPr>
                <w:rFonts w:ascii="Times New Roman" w:eastAsia="PMingLiU" w:hAnsi="Times New Roman" w:cs="Times New Roman"/>
                <w:sz w:val="24"/>
                <w:szCs w:val="24"/>
                <w:lang w:val="bg-BG"/>
              </w:rPr>
              <w:t xml:space="preserve">е се приема </w:t>
            </w:r>
            <w:r w:rsidR="0082464C">
              <w:rPr>
                <w:rFonts w:ascii="Times New Roman" w:eastAsia="PMingLiU" w:hAnsi="Times New Roman" w:cs="Times New Roman"/>
                <w:sz w:val="24"/>
                <w:szCs w:val="24"/>
                <w:lang w:val="bg-BG"/>
              </w:rPr>
              <w:t>предложението за удължаване</w:t>
            </w:r>
            <w:r w:rsidR="00C6569C">
              <w:rPr>
                <w:rFonts w:ascii="Times New Roman" w:eastAsia="PMingLiU" w:hAnsi="Times New Roman" w:cs="Times New Roman"/>
                <w:sz w:val="24"/>
                <w:szCs w:val="24"/>
                <w:lang w:val="bg-BG"/>
              </w:rPr>
              <w:t xml:space="preserve"> на срока на прие</w:t>
            </w:r>
            <w:r w:rsidR="0082464C">
              <w:rPr>
                <w:rFonts w:ascii="Times New Roman" w:eastAsia="PMingLiU" w:hAnsi="Times New Roman" w:cs="Times New Roman"/>
                <w:sz w:val="24"/>
                <w:szCs w:val="24"/>
                <w:lang w:val="bg-BG"/>
              </w:rPr>
              <w:t>ма на някои подмерки,</w:t>
            </w:r>
            <w:r w:rsidR="00C6569C">
              <w:rPr>
                <w:rFonts w:ascii="Times New Roman" w:eastAsia="PMingLiU" w:hAnsi="Times New Roman" w:cs="Times New Roman"/>
                <w:sz w:val="24"/>
                <w:szCs w:val="24"/>
                <w:lang w:val="bg-BG"/>
              </w:rPr>
              <w:t xml:space="preserve"> с оглед на кратките срокове </w:t>
            </w:r>
            <w:r w:rsidR="0082464C">
              <w:rPr>
                <w:rFonts w:ascii="Times New Roman" w:eastAsia="PMingLiU" w:hAnsi="Times New Roman" w:cs="Times New Roman"/>
                <w:sz w:val="24"/>
                <w:szCs w:val="24"/>
                <w:lang w:val="bg-BG"/>
              </w:rPr>
              <w:t xml:space="preserve">за </w:t>
            </w:r>
            <w:r w:rsidR="009C4FE8" w:rsidRPr="002B50B1">
              <w:rPr>
                <w:rFonts w:ascii="Times New Roman" w:eastAsia="PMingLiU" w:hAnsi="Times New Roman" w:cs="Times New Roman"/>
                <w:sz w:val="24"/>
                <w:szCs w:val="24"/>
                <w:lang w:val="bg-BG"/>
              </w:rPr>
              <w:t xml:space="preserve">договаряне и </w:t>
            </w:r>
            <w:r w:rsidR="0082464C">
              <w:rPr>
                <w:rFonts w:ascii="Times New Roman" w:eastAsia="PMingLiU" w:hAnsi="Times New Roman" w:cs="Times New Roman"/>
                <w:sz w:val="24"/>
                <w:szCs w:val="24"/>
                <w:lang w:val="bg-BG"/>
              </w:rPr>
              <w:t xml:space="preserve">усвояване на </w:t>
            </w:r>
            <w:r w:rsidR="0082464C" w:rsidRPr="0082464C">
              <w:rPr>
                <w:rFonts w:ascii="Times New Roman" w:eastAsia="PMingLiU" w:hAnsi="Times New Roman" w:cs="Times New Roman"/>
                <w:sz w:val="24"/>
                <w:szCs w:val="24"/>
                <w:lang w:val="bg-BG"/>
              </w:rPr>
              <w:t>допълнителните ресурси от Инструмента за възстановяване на Европейския съюз.</w:t>
            </w: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147122">
            <w:pPr>
              <w:outlineLvl w:val="0"/>
              <w:rPr>
                <w:rFonts w:ascii="Times New Roman" w:eastAsia="PMingLiU" w:hAnsi="Times New Roman" w:cs="Times New Roman"/>
                <w:sz w:val="24"/>
                <w:szCs w:val="24"/>
                <w:lang w:val="bg-BG"/>
              </w:rPr>
            </w:pPr>
          </w:p>
          <w:p w:rsidR="00C6569C" w:rsidRDefault="00C6569C" w:rsidP="00C6569C">
            <w:pPr>
              <w:outlineLvl w:val="0"/>
              <w:rPr>
                <w:rFonts w:ascii="Times New Roman" w:eastAsia="PMingLiU" w:hAnsi="Times New Roman" w:cs="Times New Roman"/>
                <w:color w:val="FFFFFF" w:themeColor="background1"/>
                <w:sz w:val="24"/>
                <w:szCs w:val="24"/>
                <w:lang w:val="bg-BG"/>
              </w:rPr>
            </w:pPr>
          </w:p>
        </w:tc>
      </w:tr>
      <w:tr w:rsidR="00604340" w:rsidRPr="00FB1E0C" w:rsidTr="00E13D5E">
        <w:tc>
          <w:tcPr>
            <w:tcW w:w="1628" w:type="dxa"/>
          </w:tcPr>
          <w:p w:rsidR="00604340" w:rsidRPr="007A443C" w:rsidRDefault="00604340">
            <w:pPr>
              <w:rPr>
                <w:rFonts w:ascii="Times New Roman" w:hAnsi="Times New Roman" w:cs="Times New Roman"/>
                <w:lang w:val="bg-BG"/>
              </w:rPr>
            </w:pPr>
            <w:r w:rsidRPr="007A443C">
              <w:rPr>
                <w:rFonts w:ascii="Times New Roman" w:hAnsi="Times New Roman" w:cs="Times New Roman"/>
                <w:lang w:val="bg-BG"/>
              </w:rPr>
              <w:lastRenderedPageBreak/>
              <w:t>акад. Атанас Атанасов - БАН</w:t>
            </w:r>
          </w:p>
        </w:tc>
        <w:tc>
          <w:tcPr>
            <w:tcW w:w="8697" w:type="dxa"/>
          </w:tcPr>
          <w:p w:rsidR="00604340" w:rsidRPr="007A443C" w:rsidRDefault="00604340" w:rsidP="00604340">
            <w:pPr>
              <w:jc w:val="both"/>
              <w:rPr>
                <w:rFonts w:ascii="Times New Roman" w:eastAsia="Calibri" w:hAnsi="Times New Roman" w:cs="Times New Roman"/>
                <w:lang w:val="bg-BG"/>
              </w:rPr>
            </w:pPr>
            <w:r w:rsidRPr="007A443C">
              <w:rPr>
                <w:rFonts w:ascii="Times New Roman" w:eastAsia="Calibri" w:hAnsi="Times New Roman" w:cs="Times New Roman"/>
                <w:lang w:val="bg-BG"/>
              </w:rPr>
              <w:t>Споделям разбиранията на колегите от БАКЕП, които са ясно и добре аргументирани.</w:t>
            </w:r>
          </w:p>
          <w:p w:rsidR="00604340" w:rsidRPr="007A443C" w:rsidRDefault="00604340" w:rsidP="00604340">
            <w:pPr>
              <w:jc w:val="both"/>
              <w:rPr>
                <w:rFonts w:ascii="Times New Roman" w:eastAsia="Calibri" w:hAnsi="Times New Roman" w:cs="Times New Roman"/>
                <w:lang w:val="bg-BG"/>
              </w:rPr>
            </w:pPr>
          </w:p>
        </w:tc>
        <w:tc>
          <w:tcPr>
            <w:tcW w:w="4134" w:type="dxa"/>
          </w:tcPr>
          <w:p w:rsidR="00604340" w:rsidRDefault="00604340" w:rsidP="00147122">
            <w:pPr>
              <w:outlineLvl w:val="0"/>
              <w:rPr>
                <w:rFonts w:ascii="Times New Roman" w:eastAsia="PMingLiU" w:hAnsi="Times New Roman" w:cs="Times New Roman"/>
                <w:color w:val="FFFFFF" w:themeColor="background1"/>
                <w:sz w:val="24"/>
                <w:szCs w:val="24"/>
                <w:lang w:val="bg-BG"/>
              </w:rPr>
            </w:pPr>
          </w:p>
        </w:tc>
      </w:tr>
      <w:tr w:rsidR="00DE0AE2" w:rsidRPr="00FB1E0C" w:rsidTr="00E13D5E">
        <w:tc>
          <w:tcPr>
            <w:tcW w:w="14459" w:type="dxa"/>
            <w:gridSpan w:val="3"/>
          </w:tcPr>
          <w:p w:rsidR="00DE0AE2" w:rsidRDefault="00DE0AE2">
            <w:pPr>
              <w:rPr>
                <w:rFonts w:ascii="Times New Roman" w:hAnsi="Times New Roman" w:cs="Times New Roman"/>
                <w:lang w:val="bg-BG"/>
              </w:rPr>
            </w:pPr>
          </w:p>
          <w:p w:rsidR="00DE0AE2" w:rsidRPr="00DE0AE2" w:rsidRDefault="00DE0AE2" w:rsidP="00DE0AE2">
            <w:pPr>
              <w:jc w:val="center"/>
              <w:rPr>
                <w:rFonts w:ascii="Times New Roman" w:hAnsi="Times New Roman" w:cs="Times New Roman"/>
                <w:b/>
                <w:lang w:val="bg-BG"/>
              </w:rPr>
            </w:pPr>
            <w:r w:rsidRPr="00DE0AE2">
              <w:rPr>
                <w:rFonts w:ascii="Times New Roman" w:hAnsi="Times New Roman" w:cs="Times New Roman"/>
                <w:b/>
                <w:lang w:val="bg-BG"/>
              </w:rPr>
              <w:t>Становища, коментари, препоръки, получени след 25.02.2021 г.</w:t>
            </w:r>
          </w:p>
          <w:p w:rsidR="00DE0AE2" w:rsidRDefault="00DE0AE2" w:rsidP="00147122">
            <w:pPr>
              <w:outlineLvl w:val="0"/>
              <w:rPr>
                <w:rFonts w:ascii="Times New Roman" w:eastAsia="PMingLiU" w:hAnsi="Times New Roman" w:cs="Times New Roman"/>
                <w:color w:val="FFFFFF" w:themeColor="background1"/>
                <w:sz w:val="24"/>
                <w:szCs w:val="24"/>
                <w:lang w:val="bg-BG"/>
              </w:rPr>
            </w:pPr>
          </w:p>
        </w:tc>
      </w:tr>
      <w:tr w:rsidR="00EB7E89" w:rsidRPr="00FB1E0C" w:rsidTr="009802C7">
        <w:tc>
          <w:tcPr>
            <w:tcW w:w="1628" w:type="dxa"/>
          </w:tcPr>
          <w:p w:rsidR="00390B3C" w:rsidRPr="007A443C" w:rsidRDefault="00390B3C">
            <w:pPr>
              <w:rPr>
                <w:rFonts w:ascii="Times New Roman" w:hAnsi="Times New Roman" w:cs="Times New Roman"/>
                <w:lang w:val="bg-BG"/>
              </w:rPr>
            </w:pPr>
            <w:r w:rsidRPr="00390B3C">
              <w:rPr>
                <w:rFonts w:ascii="Times New Roman" w:hAnsi="Times New Roman" w:cs="Times New Roman"/>
                <w:lang w:val="bg-BG"/>
              </w:rPr>
              <w:t>БАКЕП</w:t>
            </w:r>
          </w:p>
        </w:tc>
        <w:tc>
          <w:tcPr>
            <w:tcW w:w="8697" w:type="dxa"/>
            <w:tcBorders>
              <w:bottom w:val="nil"/>
            </w:tcBorders>
          </w:tcPr>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Позицията на БАКЕП относно предложената ИГРП НА ПРСР (2014-2020) за 2021 година във връзка с писмена процедура на КН на ПРСР 2014-2020 г. е следната: БАКЕП категорично е „против“ така предложената ИГРП за 2021 г., като мотивите ни за това са следните:</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Настояваме категорично да се преосмислят периодите за прием, заложени в предложената ИГРП.</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1.1.</w:t>
            </w:r>
            <w:r w:rsidRPr="00390B3C">
              <w:rPr>
                <w:rFonts w:ascii="Times New Roman" w:eastAsia="Calibri" w:hAnsi="Times New Roman" w:cs="Times New Roman"/>
                <w:lang w:val="bg-BG"/>
              </w:rPr>
              <w:tab/>
              <w:t>Обръщаме внимание, че планираните срокове за някои подмерките от само два месеца (при положение, че се отвори прием в началото и в края на посочените месеци за начало и край на приемите по процедурите) са незаконосъобразни.  Съгласно ПОСТАНОВЛЕНИЕ № 162 ОТ 5 ЮЛИ 2016г. Чл. 11. (3) „Срокът за подаване на проектни предложения не може да бъде по-кратък от 90 дни, а за инфраструктурни проекти - от 120 дни, когато съответната процедура не е била включена в публикуваната в срока по чл. 26, ал. 7 индикативна годишна работна програма или когато е извършено изменение на индикативната годишната работна програма, с което са променени....“ Съгласно Чл. 26. (7) „Съгласуваната от съответния комитет за наблюдение индикативна годишна работна програма се публикува за информация на интернет страницата на съответната програма и на портала по ал. 3 не по-късно от 30 ноември всяка година“. В указания срок – до 30.11.2020г. не е публикувана  и съгласувана от КН на ПРСР ИГРП за 2021г. по ПРСР. На тази база, приемът би трябвало да бъде минимум 90 дни за всички подмерки, а не както е предложено за някои подмерки в ИГРП за 2021 – 2 месеца.</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1.2.</w:t>
            </w:r>
            <w:r w:rsidRPr="00390B3C">
              <w:rPr>
                <w:rFonts w:ascii="Times New Roman" w:eastAsia="Calibri" w:hAnsi="Times New Roman" w:cs="Times New Roman"/>
                <w:lang w:val="bg-BG"/>
              </w:rPr>
              <w:tab/>
              <w:t xml:space="preserve">В условия на епидемична ситуация, когато чисто организационно бизнесът работи с ограничения, когато служители се налагат да излизат в болнични или да се карантинират, когато за земеделските стопани ще тече кампанията по подаване на заявление по СЕПП, и когато администрацията и институциите работят с ограничени ресурси, е недопустимо и некоректно да се бърза с отварянето на приемите по подмерките без експертния анализ да налага това, и да се предлага срок за прием само от два месеца за някои от тях. В допълнение отварянето на приеми едновременно за две от най-желаните от сектора подмерки 4.1 и 4.2 е абсолютно необосновано от експертна и професионална гледна точка.  От гледна точка на естеството на проектните предложения по 4.1 и 4.2 и целите, които ще се постигнат чрез тяхното изпълнение е необходимо достатъчно време за технологично проектиране, изготвяне на </w:t>
            </w:r>
            <w:r w:rsidRPr="00390B3C">
              <w:rPr>
                <w:rFonts w:ascii="Times New Roman" w:eastAsia="Calibri" w:hAnsi="Times New Roman" w:cs="Times New Roman"/>
                <w:lang w:val="bg-BG"/>
              </w:rPr>
              <w:lastRenderedPageBreak/>
              <w:t>инвестиционни проекти по ЗУТ и др., за да се подготвят качествени проектните предложения. Според нас това би трябвало да е и целта на УО, за да се реализират ефективни и успешни проекти, чрез които да се постигнат заложените цели в ПРСР.</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1.3.</w:t>
            </w:r>
            <w:r w:rsidRPr="00390B3C">
              <w:rPr>
                <w:rFonts w:ascii="Times New Roman" w:eastAsia="Calibri" w:hAnsi="Times New Roman" w:cs="Times New Roman"/>
                <w:lang w:val="bg-BG"/>
              </w:rPr>
              <w:tab/>
              <w:t>Приемът по 4.1 да се осъществи след излизане на резултатите от предходния прием по 4.1 от 2020г. Ако това не се случи, кандидатите по предходния прием по 4.1, няма да знаят дали да кандидатстват по планирания прием по 4.1 за 2021 г. Тази неяснота, допълнително ще затрудни ДФЗ при обработката на проектните предложения от двата приема, без да е приключила обработката на проектните предложения от предходния прием.</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1.4.</w:t>
            </w:r>
            <w:r w:rsidRPr="00390B3C">
              <w:rPr>
                <w:rFonts w:ascii="Times New Roman" w:eastAsia="Calibri" w:hAnsi="Times New Roman" w:cs="Times New Roman"/>
                <w:lang w:val="bg-BG"/>
              </w:rPr>
              <w:tab/>
              <w:t>Не сме съгласни приемите по 4.1 и 4.2 да бъдат извършвани по едно и също време. Очакванията са, че по тези приеми с оглед на големите налични бюджети, ще бъдат подготвени и входирани много голям брой проектни предложения и по двете подмерки. ДФЗ няма да има физическата и експертна възможност да обработи в обозрими срокове големият брой проектни предложения по двата приема по 4.1 и 4.2. В същото време ще има земеделски производители, които ще искат да кандидатстват с проектни предложения и по 4.1 и 4.2. В този случай, те няма да имат възможност да подготвят качествено своите проектни предложения и по двете мерки едновременно. Нашето предложение е, приемите по 4.1 и 4.2 да не се застъпват, а след като свърши приема по едната подмярка да започне приема по другата подмярка. В същото време, с оглед на епидемичната обстановка в България и съпътстващите ограничения в тази връзка, както и предстоящите парламентарни избори в началото на април, се предполага, че администрацията и институциите, от които зависи подготовката на проектните предложения по 4.1 и 4.2, ще работят с ограничени ресурси. Това е предпоставка за удължаване на срока за подготовка на проектните предложение от страна на кандидатите по 4.1 и 4.2. Един от начините да се управлява този риск, е да не се бърза с отварянето на приемите по 4.1 и 4.2 и в никакъв случай, те да не се застъпват.</w:t>
            </w:r>
          </w:p>
          <w:p w:rsidR="00390B3C" w:rsidRP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В допълнение, с оглед на цялата икономическа, епидемична и социална обстановка в страната, предлагаме срока на приемите по подмерки 4.1 и 4.2 да е шест месеца, ако се отвори прием едновременно по двете подмерки през април 2021 г., както е заложено в предложената ИГРП по ПРСР за 2021 г.</w:t>
            </w:r>
          </w:p>
          <w:p w:rsidR="00390B3C" w:rsidRDefault="00390B3C" w:rsidP="00390B3C">
            <w:pPr>
              <w:jc w:val="both"/>
              <w:rPr>
                <w:rFonts w:ascii="Times New Roman" w:eastAsia="Calibri" w:hAnsi="Times New Roman" w:cs="Times New Roman"/>
                <w:lang w:val="bg-BG"/>
              </w:rPr>
            </w:pPr>
            <w:r w:rsidRPr="00390B3C">
              <w:rPr>
                <w:rFonts w:ascii="Times New Roman" w:eastAsia="Calibri" w:hAnsi="Times New Roman" w:cs="Times New Roman"/>
                <w:lang w:val="bg-BG"/>
              </w:rPr>
              <w:t>Не на последно място, по време на заседанието на КН от 19.02.2021 г. постъпиха предложения от членове на КН по ПРСР, в писмената процедура да се изпратят за гласуване не само варианта на УО, а и други варианти на ИГРП за 2021 г., което не е направено.</w:t>
            </w:r>
          </w:p>
          <w:p w:rsidR="00D64984" w:rsidRDefault="009802C7" w:rsidP="00390B3C">
            <w:pPr>
              <w:jc w:val="both"/>
              <w:rPr>
                <w:rFonts w:ascii="Times New Roman" w:eastAsia="Calibri" w:hAnsi="Times New Roman" w:cs="Times New Roman"/>
                <w:lang w:val="bg-BG"/>
              </w:rPr>
            </w:pPr>
            <w:r>
              <w:rPr>
                <w:rFonts w:ascii="Times New Roman" w:eastAsia="Calibri" w:hAnsi="Times New Roman" w:cs="Times New Roman"/>
                <w:lang w:val="bg-BG"/>
              </w:rPr>
              <w:t>В Приложение 3</w:t>
            </w:r>
            <w:r w:rsidR="00D64984">
              <w:rPr>
                <w:rFonts w:ascii="Times New Roman" w:eastAsia="Calibri" w:hAnsi="Times New Roman" w:cs="Times New Roman"/>
                <w:lang w:val="bg-BG"/>
              </w:rPr>
              <w:t xml:space="preserve"> е дадено предложението за ИГРП 2021 на БАКЕП.</w:t>
            </w:r>
          </w:p>
          <w:p w:rsidR="009802C7" w:rsidRPr="007A443C" w:rsidRDefault="009802C7" w:rsidP="00390B3C">
            <w:pPr>
              <w:jc w:val="both"/>
              <w:rPr>
                <w:rFonts w:ascii="Times New Roman" w:eastAsia="Calibri" w:hAnsi="Times New Roman" w:cs="Times New Roman"/>
                <w:lang w:val="bg-BG"/>
              </w:rPr>
            </w:pPr>
          </w:p>
        </w:tc>
        <w:tc>
          <w:tcPr>
            <w:tcW w:w="4134" w:type="dxa"/>
          </w:tcPr>
          <w:p w:rsidR="00390B3C" w:rsidRPr="00EB7E89" w:rsidRDefault="00390B3C" w:rsidP="00147122">
            <w:pPr>
              <w:outlineLvl w:val="0"/>
              <w:rPr>
                <w:rFonts w:ascii="Times New Roman" w:eastAsia="PMingLiU" w:hAnsi="Times New Roman" w:cs="Times New Roman"/>
                <w:sz w:val="24"/>
                <w:szCs w:val="24"/>
                <w:lang w:val="bg-BG"/>
              </w:rPr>
            </w:pPr>
          </w:p>
          <w:p w:rsidR="00EB7E89" w:rsidRPr="00EB7E89" w:rsidRDefault="00EB7E89" w:rsidP="00147122">
            <w:pPr>
              <w:outlineLvl w:val="0"/>
              <w:rPr>
                <w:rFonts w:ascii="Times New Roman" w:eastAsia="PMingLiU" w:hAnsi="Times New Roman" w:cs="Times New Roman"/>
                <w:sz w:val="24"/>
                <w:szCs w:val="24"/>
                <w:lang w:val="bg-BG"/>
              </w:rPr>
            </w:pPr>
          </w:p>
          <w:p w:rsidR="00EB7E89" w:rsidRPr="00EB7E89" w:rsidRDefault="00EB7E89" w:rsidP="00147122">
            <w:pPr>
              <w:outlineLvl w:val="0"/>
              <w:rPr>
                <w:rFonts w:ascii="Times New Roman" w:eastAsia="PMingLiU" w:hAnsi="Times New Roman" w:cs="Times New Roman"/>
                <w:sz w:val="24"/>
                <w:szCs w:val="24"/>
                <w:lang w:val="bg-BG"/>
              </w:rPr>
            </w:pPr>
          </w:p>
          <w:p w:rsidR="00EB7E89" w:rsidRDefault="00EB7E89" w:rsidP="00147122">
            <w:pPr>
              <w:outlineLvl w:val="0"/>
              <w:rPr>
                <w:rFonts w:ascii="Times New Roman" w:eastAsia="PMingLiU" w:hAnsi="Times New Roman" w:cs="Times New Roman"/>
                <w:sz w:val="24"/>
                <w:szCs w:val="24"/>
                <w:lang w:val="bg-BG"/>
              </w:rPr>
            </w:pPr>
          </w:p>
          <w:p w:rsidR="00EB7E89" w:rsidRDefault="00EB7E89" w:rsidP="00147122">
            <w:pPr>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Срокът за прием на всички мерки е минимум 3 месеца и няма да бъде по-кратък от нормативно приетия.</w:t>
            </w:r>
          </w:p>
          <w:p w:rsidR="00EB7E89" w:rsidRDefault="00EB7E89" w:rsidP="00147122">
            <w:pPr>
              <w:outlineLvl w:val="0"/>
              <w:rPr>
                <w:rFonts w:ascii="Times New Roman" w:eastAsia="PMingLiU" w:hAnsi="Times New Roman" w:cs="Times New Roman"/>
                <w:sz w:val="24"/>
                <w:szCs w:val="24"/>
                <w:lang w:val="bg-BG"/>
              </w:rPr>
            </w:pPr>
          </w:p>
          <w:p w:rsidR="00EB7E89" w:rsidRPr="00EB7E89" w:rsidRDefault="00EB7E89" w:rsidP="00EB7E89">
            <w:pPr>
              <w:rPr>
                <w:rFonts w:ascii="Times New Roman" w:eastAsia="PMingLiU" w:hAnsi="Times New Roman" w:cs="Times New Roman"/>
                <w:sz w:val="24"/>
                <w:szCs w:val="24"/>
                <w:lang w:val="bg-BG"/>
              </w:rPr>
            </w:pPr>
            <w:r w:rsidRPr="00EB7E89">
              <w:rPr>
                <w:rFonts w:ascii="Times New Roman" w:eastAsia="PMingLiU" w:hAnsi="Times New Roman" w:cs="Times New Roman"/>
                <w:sz w:val="24"/>
                <w:szCs w:val="24"/>
                <w:lang w:val="bg-BG"/>
              </w:rPr>
              <w:t>Не се приема предложението за удължаване на срока на приема на някои подмерки, с оглед на кратките срокове за договаряне и усвояване на допълнителните ресурси от Инструмента за възстановяване на Европейския съюз.</w:t>
            </w:r>
          </w:p>
          <w:p w:rsidR="00EB7E89" w:rsidRPr="00EB7E89" w:rsidRDefault="00EB7E89" w:rsidP="00147122">
            <w:pPr>
              <w:outlineLvl w:val="0"/>
              <w:rPr>
                <w:rFonts w:ascii="Times New Roman" w:eastAsia="PMingLiU" w:hAnsi="Times New Roman" w:cs="Times New Roman"/>
                <w:sz w:val="24"/>
                <w:szCs w:val="24"/>
                <w:lang w:val="bg-BG"/>
              </w:rPr>
            </w:pPr>
          </w:p>
        </w:tc>
      </w:tr>
    </w:tbl>
    <w:p w:rsidR="00E13D5E" w:rsidRPr="009802C7" w:rsidRDefault="00E13D5E" w:rsidP="009802C7">
      <w:pPr>
        <w:pBdr>
          <w:bottom w:val="single" w:sz="4" w:space="1" w:color="auto"/>
        </w:pBdr>
        <w:spacing w:after="0" w:line="240" w:lineRule="auto"/>
        <w:outlineLvl w:val="0"/>
        <w:rPr>
          <w:rFonts w:ascii="Times New Roman" w:eastAsia="PMingLiU" w:hAnsi="Times New Roman" w:cs="Times New Roman"/>
          <w:color w:val="FFFFFF" w:themeColor="background1"/>
          <w:sz w:val="24"/>
          <w:szCs w:val="24"/>
          <w:lang w:val="bg-BG"/>
        </w:rPr>
      </w:pPr>
    </w:p>
    <w:p w:rsidR="00E13D5E" w:rsidRDefault="00E13D5E" w:rsidP="00D64984">
      <w:pPr>
        <w:spacing w:after="0" w:line="240" w:lineRule="auto"/>
        <w:jc w:val="center"/>
        <w:outlineLvl w:val="0"/>
        <w:rPr>
          <w:rFonts w:ascii="Times New Roman" w:eastAsia="PMingLiU" w:hAnsi="Times New Roman" w:cs="Times New Roman"/>
          <w:sz w:val="24"/>
          <w:szCs w:val="24"/>
          <w:lang w:val="bg-BG"/>
        </w:rPr>
      </w:pPr>
    </w:p>
    <w:p w:rsidR="00D64984" w:rsidRPr="00AB2611" w:rsidRDefault="00D64984" w:rsidP="002E054A">
      <w:pPr>
        <w:spacing w:after="0" w:line="240" w:lineRule="auto"/>
        <w:jc w:val="right"/>
        <w:outlineLvl w:val="0"/>
        <w:rPr>
          <w:rFonts w:ascii="Times New Roman" w:eastAsia="PMingLiU" w:hAnsi="Times New Roman" w:cs="Times New Roman"/>
          <w:b/>
          <w:sz w:val="24"/>
          <w:szCs w:val="24"/>
          <w:lang w:val="bg-BG"/>
        </w:rPr>
      </w:pPr>
      <w:r w:rsidRPr="002E054A">
        <w:rPr>
          <w:rFonts w:ascii="Times New Roman" w:eastAsia="PMingLiU" w:hAnsi="Times New Roman" w:cs="Times New Roman"/>
          <w:b/>
          <w:sz w:val="24"/>
          <w:szCs w:val="24"/>
          <w:lang w:val="bg-BG"/>
        </w:rPr>
        <w:lastRenderedPageBreak/>
        <w:t>Приложение</w:t>
      </w:r>
      <w:r w:rsidR="0055641C" w:rsidRPr="002E054A">
        <w:rPr>
          <w:rFonts w:ascii="Times New Roman" w:eastAsia="PMingLiU" w:hAnsi="Times New Roman" w:cs="Times New Roman"/>
          <w:b/>
          <w:sz w:val="24"/>
          <w:szCs w:val="24"/>
          <w:lang w:val="bg-BG"/>
        </w:rPr>
        <w:t xml:space="preserve"> 3</w:t>
      </w:r>
    </w:p>
    <w:p w:rsidR="0055641C" w:rsidRDefault="0055641C" w:rsidP="00D64984">
      <w:pPr>
        <w:spacing w:after="0" w:line="240" w:lineRule="auto"/>
        <w:jc w:val="center"/>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t>Предложение на БАКЕП за</w:t>
      </w:r>
    </w:p>
    <w:p w:rsidR="00D64984" w:rsidRPr="00D64984" w:rsidRDefault="00D64984" w:rsidP="00D64984">
      <w:pPr>
        <w:spacing w:after="0" w:line="240" w:lineRule="auto"/>
        <w:jc w:val="center"/>
        <w:rPr>
          <w:rFonts w:ascii="Times New Roman" w:eastAsia="Times New Roman" w:hAnsi="Times New Roman" w:cs="Times New Roman"/>
          <w:b/>
          <w:lang w:val="bg-BG" w:eastAsia="bg-BG"/>
        </w:rPr>
      </w:pPr>
      <w:r w:rsidRPr="00D64984">
        <w:rPr>
          <w:rFonts w:ascii="Times New Roman" w:eastAsia="Times New Roman" w:hAnsi="Times New Roman" w:cs="Times New Roman"/>
          <w:b/>
          <w:lang w:val="bg-BG" w:eastAsia="bg-BG"/>
        </w:rPr>
        <w:t>ИНДИКАТИВНА ГОДИШНА РАБОТНА ПРОГРАМА</w:t>
      </w:r>
    </w:p>
    <w:p w:rsidR="00D64984" w:rsidRPr="00D64984" w:rsidRDefault="00D64984" w:rsidP="00D64984">
      <w:pPr>
        <w:spacing w:after="0" w:line="240" w:lineRule="auto"/>
        <w:jc w:val="center"/>
        <w:rPr>
          <w:rFonts w:ascii="Times New Roman" w:eastAsia="Times New Roman" w:hAnsi="Times New Roman" w:cs="Times New Roman"/>
          <w:b/>
          <w:lang w:val="bg-BG" w:eastAsia="bg-BG"/>
        </w:rPr>
      </w:pPr>
      <w:r w:rsidRPr="00D64984">
        <w:rPr>
          <w:rFonts w:ascii="Times New Roman" w:eastAsia="Times New Roman" w:hAnsi="Times New Roman" w:cs="Times New Roman"/>
          <w:b/>
          <w:lang w:val="bg-BG" w:eastAsia="bg-BG"/>
        </w:rPr>
        <w:t>ПРОГРАМА ЗА РАЗВИТИЕ НА СЕЛСКИТЕ РАЙОНИ ЗА ПЕРИОДА 2014-2020 Г.</w:t>
      </w:r>
    </w:p>
    <w:p w:rsidR="00D64984" w:rsidRPr="00D64984" w:rsidRDefault="00D64984" w:rsidP="00D64984">
      <w:pPr>
        <w:spacing w:after="0" w:line="240" w:lineRule="auto"/>
        <w:jc w:val="center"/>
        <w:rPr>
          <w:rFonts w:ascii="Times New Roman" w:eastAsia="Times New Roman" w:hAnsi="Times New Roman" w:cs="Times New Roman"/>
          <w:b/>
          <w:lang w:val="bg-BG" w:eastAsia="bg-BG"/>
        </w:rPr>
      </w:pPr>
      <w:r w:rsidRPr="00D64984">
        <w:rPr>
          <w:rFonts w:ascii="Times New Roman" w:eastAsia="Times New Roman" w:hAnsi="Times New Roman" w:cs="Times New Roman"/>
          <w:b/>
          <w:lang w:val="bg-BG" w:eastAsia="bg-BG"/>
        </w:rPr>
        <w:t>2021 ГОДИНА – Предложение от БАКЕП</w:t>
      </w:r>
    </w:p>
    <w:p w:rsidR="00D64984" w:rsidRPr="00D64984" w:rsidRDefault="00D64984" w:rsidP="00D64984">
      <w:pPr>
        <w:ind w:left="1134"/>
        <w:jc w:val="both"/>
        <w:rPr>
          <w:rFonts w:ascii="Calibri" w:eastAsia="Calibri" w:hAnsi="Calibri" w:cs="Calibri"/>
          <w:lang w:val="bg-BG"/>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42" w:type="dxa"/>
          <w:right w:w="142" w:type="dxa"/>
        </w:tblCellMar>
        <w:tblLook w:val="01E0" w:firstRow="1" w:lastRow="1" w:firstColumn="1" w:lastColumn="1" w:noHBand="0" w:noVBand="0"/>
      </w:tblPr>
      <w:tblGrid>
        <w:gridCol w:w="304"/>
        <w:gridCol w:w="1396"/>
        <w:gridCol w:w="1126"/>
        <w:gridCol w:w="850"/>
        <w:gridCol w:w="957"/>
        <w:gridCol w:w="897"/>
        <w:gridCol w:w="1424"/>
        <w:gridCol w:w="1273"/>
        <w:gridCol w:w="1600"/>
        <w:gridCol w:w="1040"/>
        <w:gridCol w:w="825"/>
        <w:gridCol w:w="1058"/>
        <w:gridCol w:w="805"/>
        <w:gridCol w:w="766"/>
        <w:gridCol w:w="894"/>
        <w:gridCol w:w="1056"/>
      </w:tblGrid>
      <w:tr w:rsidR="00D64984" w:rsidRPr="00D64984" w:rsidTr="00D64984">
        <w:trPr>
          <w:trHeight w:val="20"/>
          <w:tblHeader/>
        </w:trPr>
        <w:tc>
          <w:tcPr>
            <w:tcW w:w="100"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widowControl w:val="0"/>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по ред</w:t>
            </w:r>
          </w:p>
        </w:tc>
        <w:tc>
          <w:tcPr>
            <w:tcW w:w="28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Наименование на процедурата</w:t>
            </w:r>
          </w:p>
        </w:tc>
        <w:tc>
          <w:tcPr>
            <w:tcW w:w="38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Цели на предоставяната БФП по процедурата</w:t>
            </w:r>
          </w:p>
        </w:tc>
        <w:tc>
          <w:tcPr>
            <w:tcW w:w="246"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Начин на провеждане на процедурата съгласно чл. 2 от ПМС № 162 от 2016 г.</w:t>
            </w:r>
          </w:p>
        </w:tc>
        <w:tc>
          <w:tcPr>
            <w:tcW w:w="233"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Извършване на предварителен подбор на концепции за проектни предложения</w:t>
            </w:r>
          </w:p>
        </w:tc>
        <w:tc>
          <w:tcPr>
            <w:tcW w:w="27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Общ размер на </w:t>
            </w:r>
            <w:proofErr w:type="gramStart"/>
            <w:r w:rsidRPr="00D64984">
              <w:rPr>
                <w:rFonts w:ascii="Times New Roman" w:eastAsia="Times New Roman" w:hAnsi="Times New Roman" w:cs="Times New Roman"/>
                <w:b/>
                <w:sz w:val="16"/>
                <w:szCs w:val="16"/>
                <w:lang w:eastAsia="bg-BG"/>
              </w:rPr>
              <w:t>БФП  по</w:t>
            </w:r>
            <w:proofErr w:type="gramEnd"/>
            <w:r w:rsidRPr="00D64984">
              <w:rPr>
                <w:rFonts w:ascii="Times New Roman" w:eastAsia="Times New Roman" w:hAnsi="Times New Roman" w:cs="Times New Roman"/>
                <w:b/>
                <w:sz w:val="16"/>
                <w:szCs w:val="16"/>
                <w:lang w:eastAsia="bg-BG"/>
              </w:rPr>
              <w:t xml:space="preserve"> процедурата (в лв.)</w:t>
            </w:r>
          </w:p>
        </w:tc>
        <w:tc>
          <w:tcPr>
            <w:tcW w:w="442"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Допустими кандидати</w:t>
            </w:r>
          </w:p>
        </w:tc>
        <w:tc>
          <w:tcPr>
            <w:tcW w:w="369"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Примерни допустими дейности</w:t>
            </w:r>
          </w:p>
        </w:tc>
        <w:tc>
          <w:tcPr>
            <w:tcW w:w="994"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Категории допустими разходи</w:t>
            </w:r>
          </w:p>
        </w:tc>
        <w:tc>
          <w:tcPr>
            <w:tcW w:w="351"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Максимален % на съ-финансиране</w:t>
            </w:r>
          </w:p>
        </w:tc>
        <w:tc>
          <w:tcPr>
            <w:tcW w:w="19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tabs>
                <w:tab w:val="left" w:pos="601"/>
              </w:tabs>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Дата на обявяване на процедурата</w:t>
            </w:r>
          </w:p>
        </w:tc>
        <w:tc>
          <w:tcPr>
            <w:tcW w:w="207"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Краен срок за подаване на проектни предложения</w:t>
            </w:r>
          </w:p>
        </w:tc>
        <w:tc>
          <w:tcPr>
            <w:tcW w:w="300"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Представлява ли процедурата/част от нея:</w:t>
            </w:r>
          </w:p>
        </w:tc>
        <w:tc>
          <w:tcPr>
            <w:tcW w:w="626" w:type="pct"/>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Размер на допустимите разходи за проект (в лв.)</w:t>
            </w:r>
          </w:p>
        </w:tc>
      </w:tr>
      <w:tr w:rsidR="00D64984" w:rsidRPr="00D64984" w:rsidTr="00D64984">
        <w:trPr>
          <w:trHeight w:val="20"/>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rPr>
                <w:rFonts w:ascii="Times New Roman" w:eastAsia="Times New Roman" w:hAnsi="Times New Roman" w:cs="Times New Roman"/>
                <w:b/>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държавна помощ</w:t>
            </w:r>
          </w:p>
        </w:tc>
        <w:tc>
          <w:tcPr>
            <w:tcW w:w="140"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минимална помощ</w:t>
            </w:r>
          </w:p>
        </w:tc>
        <w:tc>
          <w:tcPr>
            <w:tcW w:w="19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минимален</w:t>
            </w:r>
          </w:p>
        </w:tc>
        <w:tc>
          <w:tcPr>
            <w:tcW w:w="433" w:type="pct"/>
            <w:tcBorders>
              <w:top w:val="single" w:sz="4" w:space="0" w:color="auto"/>
              <w:left w:val="single" w:sz="4" w:space="0" w:color="auto"/>
              <w:bottom w:val="single" w:sz="4" w:space="0" w:color="auto"/>
              <w:right w:val="single" w:sz="4" w:space="0" w:color="auto"/>
            </w:tcBorders>
            <w:shd w:val="clear" w:color="auto" w:fill="D9D9D9"/>
            <w:vAlign w:val="center"/>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максимален</w:t>
            </w:r>
          </w:p>
        </w:tc>
      </w:tr>
      <w:tr w:rsidR="00D64984" w:rsidRPr="00D64984" w:rsidTr="00D64984">
        <w:trPr>
          <w:trHeight w:val="274"/>
        </w:trPr>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1</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1.2. „Демонстрационни дейности и действия по осведомяване“</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Подпомагане на дейности по организирането и провеждането на демонстрационни дейности в областта на селското стопанство и горското стопанство.</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15 000 000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Бенефициенти по подмярката са организациите, които предоставят трансфер на знания чрез демонстрационни дейности. Организациите трябва да провеждат научно-изследователска дейност или образователна дейност в областта на селското или горското стопанство, или в областта на хранителните технологии. Организациите трябва да разполагат със собствени демонстрационни обекти от типа на учебно-опитни полета, изследователски опитни полета, учебни или изследователски </w:t>
            </w:r>
            <w:r w:rsidRPr="00D64984">
              <w:rPr>
                <w:rFonts w:ascii="Times New Roman" w:eastAsia="Times New Roman" w:hAnsi="Times New Roman" w:cs="Times New Roman"/>
                <w:sz w:val="16"/>
                <w:szCs w:val="16"/>
                <w:lang w:eastAsia="bg-BG"/>
              </w:rPr>
              <w:lastRenderedPageBreak/>
              <w:t>лаборатории.</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Дейности по организиране и провеждане на обучения, за демонстрационни дейности. Подпомагането по подмярката включва и разходи за инвестиции, които могат да включват разходи за закупуване или вземане на лизинг на нови машини и оборудване до пазарната цена на актива.</w:t>
            </w:r>
            <w:r w:rsidRPr="00D64984">
              <w:rPr>
                <w:rFonts w:ascii="Times New Roman" w:eastAsia="Times New Roman" w:hAnsi="Times New Roman" w:cs="Times New Roman"/>
                <w:sz w:val="24"/>
                <w:szCs w:val="24"/>
                <w:lang w:eastAsia="bg-BG"/>
              </w:rPr>
              <w:t xml:space="preserve"> </w:t>
            </w:r>
            <w:r w:rsidRPr="00D64984">
              <w:rPr>
                <w:rFonts w:ascii="Times New Roman" w:eastAsia="Times New Roman" w:hAnsi="Times New Roman" w:cs="Times New Roman"/>
                <w:sz w:val="16"/>
                <w:szCs w:val="16"/>
                <w:lang w:eastAsia="bg-BG"/>
              </w:rPr>
              <w:t>Необходимостта от инвестицията се обосновава съобразно условията на демонстрационния обект и темите на демонстрационните дейности</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Бенефициентите по подмярката получават безвъзмездна помощ, която се отпуска под формата на стандартни разходи за извършването на различни демонстрационни дейности: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инвестиции.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Допустимите разходи по отношение на инвестициите трябва да отговарят на изискванията на чл. 45 от Регламент (ЕС) № 1305/2013.</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100%</w:t>
            </w:r>
          </w:p>
        </w:tc>
        <w:tc>
          <w:tcPr>
            <w:tcW w:w="197"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Март 2021 – прием 90 дни</w:t>
            </w:r>
          </w:p>
        </w:tc>
        <w:tc>
          <w:tcPr>
            <w:tcW w:w="207"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100 000 евро за разходи за инвестиции</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2</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2.2 „Създаване на консултантски услуги“</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Дейностите по подмярката ще допринесат за удовлетворяване на идентифицираните в стратегията потребностите относно: повишаване квалификацията и управленските умения на земеделските производители; повишаване на тяхната осведоменост и подобряване на управлението на риска. Дейностите ще допринесат и за подобряване на капацитета на участниците в организацията за трансфера на знания и иновации и за облекчаване на достъпа на малките земеделски стопанства до съветнически услуги.</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Процедура чрез 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6 000 000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Национална служба за съвети в земеделието (НССЗ)</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Подпомага се създаването в България на консултантски капацитет на общински ниво чрез разширяването на териториалния обхват на НССЗ и създаване на мобилни общински центрове (офиси)  за консултантски услуги към НССЗ – до 50 общински центъра с по 2-ма съветници, отделно по 1  регионален координатор за районите на планиране  и 2 координатори на централно ниво.</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дълготрайни материални и нематериални активи стриктно свързани с мобилните общинските центрове; оперативни разходи свързани със създаването и функционирането на мобилните общинските центрове; разходи за служителите – съветници и координатори; разходи за информационни материали и за информационни мероприятия свързани с дейността на центровете.</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80-100%</w:t>
            </w:r>
          </w:p>
        </w:tc>
        <w:tc>
          <w:tcPr>
            <w:tcW w:w="197"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Февруари 2021 – прием 90 дни</w:t>
            </w:r>
          </w:p>
        </w:tc>
        <w:tc>
          <w:tcPr>
            <w:tcW w:w="207"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6 000 000 евро </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3.</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Подмярка 4.1 „Инвестиции в земеделски стопанства“ </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Модернизиране на физическите активи на земеделски стопанства</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215 880 000 евро</w:t>
            </w:r>
          </w:p>
        </w:tc>
        <w:tc>
          <w:tcPr>
            <w:tcW w:w="442"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Регистрирани земеделски производители от най-малко 36 месеца, с</w:t>
            </w:r>
          </w:p>
          <w:p w:rsidR="00D64984" w:rsidRPr="00D64984" w:rsidRDefault="00D64984" w:rsidP="00D64984">
            <w:pPr>
              <w:spacing w:after="0" w:line="240" w:lineRule="auto"/>
              <w:ind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минимален  стандартен производствен обем на стопанството не по - малко от 8 000 евро; Признати групи и организации на производители</w:t>
            </w:r>
          </w:p>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Подпомагането по подмярката ще бъде насочено към модернизиране на земеделските стопанства </w:t>
            </w:r>
          </w:p>
        </w:tc>
        <w:tc>
          <w:tcPr>
            <w:tcW w:w="9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Материални инвестиции </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Закупуване/придобиване, строителство или обновяване на сгради;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Закупуване и/или инсталиране на нови машини, съоръжения и оборудване;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Създаване и/или презасаждане на трайни насаждения</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Закупуване на земя, необходима за изграждане/модернизиране на сгради, помещения и други недвижими активи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Закупуване на специализирани земеделски транспортни средства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Рехабилитация на съществуващи и изграждане на нови съоръжения и оборудване за напояване,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Нематериални инвестиции: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w:t>
            </w:r>
            <w:r w:rsidRPr="00D64984">
              <w:rPr>
                <w:rFonts w:ascii="Times New Roman" w:eastAsia="Times New Roman" w:hAnsi="Times New Roman" w:cs="Times New Roman"/>
                <w:sz w:val="16"/>
                <w:szCs w:val="16"/>
                <w:lang w:eastAsia="bg-BG"/>
              </w:rPr>
              <w:lastRenderedPageBreak/>
              <w:t xml:space="preserve">проекти, проучвания за техническа осъществимост на проекта. </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35-85%</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Юни 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15 000 евро</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1 500 000 евро</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4.</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4.2 „Инвестиции в преработка/маркетинг на селскостопански продукти“</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Модернизиране на физическите активи на предприятията и земеделски производители преработващи земеделски продукти </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197 956 861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Земеделски стопани; Признати групи или организации на производители; Физически и юридически лица регистрирани по ТЗ</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Кандидатите следва да са извършвали дейност от най-малко 36 месеца </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Подпомагането ще бъде насочено към дейности по модернизиране на физическите активи на предприятията и земеделски производители преработващи селскостопански продукти</w:t>
            </w:r>
          </w:p>
        </w:tc>
        <w:tc>
          <w:tcPr>
            <w:tcW w:w="9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Материални инвестиции: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изграждане, придобиване и модернизиране на сгради и други недвижими активи необходими за производството и маркетинга;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Разходи за закупуване и инсталиране на нови машини и оборудване за подобряване на производствения процес и маркетинга в т.ч. за преработка, пакетиране, охлаждане, замразяване, сушене и съхраняване, за производство на нови продукти, въвеждане на нови технологии и процеси, за опазване на околната среда, за производство на енергия от възобновяеми енергийни източници, включително чрез преработка на растителна и животинска първична и вторична биомаса, за подобряване на </w:t>
            </w:r>
            <w:r w:rsidRPr="00D64984">
              <w:rPr>
                <w:rFonts w:ascii="Times New Roman" w:eastAsia="Times New Roman" w:hAnsi="Times New Roman" w:cs="Times New Roman"/>
                <w:sz w:val="16"/>
                <w:szCs w:val="16"/>
                <w:lang w:eastAsia="bg-BG"/>
              </w:rPr>
              <w:lastRenderedPageBreak/>
              <w:t>енергийната ефективност и за подобряване и контрол на качеството и безопасността на суровините и храните;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закупуване на специализирани транспортни средства, включително хладилни такива, за превоз на суровините и/или  на готовата продукция използвани и произвеждани от предприятието;</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изграждане и/или модернизиране на лаборатории за нуждите на предприятието;</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инвестиции за постигане на съответствие с новоприети стандарти;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Разходи закупуване на земя, необходима за изграждане/модернизиране на сгради, помещения и други недвижими активи предназначени за производствена дейност Нематериални </w:t>
            </w:r>
            <w:r w:rsidRPr="00D64984">
              <w:rPr>
                <w:rFonts w:ascii="Times New Roman" w:eastAsia="Times New Roman" w:hAnsi="Times New Roman" w:cs="Times New Roman"/>
                <w:sz w:val="16"/>
                <w:szCs w:val="16"/>
                <w:lang w:eastAsia="bg-BG"/>
              </w:rPr>
              <w:lastRenderedPageBreak/>
              <w:t>инвестиции</w:t>
            </w:r>
            <w:proofErr w:type="gramStart"/>
            <w:r w:rsidRPr="00D64984">
              <w:rPr>
                <w:rFonts w:ascii="Times New Roman" w:eastAsia="Times New Roman" w:hAnsi="Times New Roman" w:cs="Times New Roman"/>
                <w:sz w:val="16"/>
                <w:szCs w:val="16"/>
                <w:lang w:eastAsia="bg-BG"/>
              </w:rPr>
              <w:t>:.</w:t>
            </w:r>
            <w:proofErr w:type="gramEnd"/>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консултации за екологична и икономическа устойчивост на проекти, проучвания за техническа осъществимост на проекта. </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35-75%</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Аавгуст 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Да</w:t>
            </w:r>
          </w:p>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Съгласно Регламент 702/2014 за крайни продукти извън Приложение 1 от ДФЕС</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15 000 евро</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3 000 000 евро</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5.</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явления и катастрофични събития“</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Подпомагането по подмярката ще бъде насочено към превенция и ограничаване на възможностите за разпространението на епизоотии и масови заразни болести по селскостопанските животни</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12 000 000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Земеделски стопани отглеждащи свине, птици и дребни преживни животни</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явления и катастрофични събития.</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Разходи за закупуване на съоръжения и оборудване за дезинфекция; Разходи за закупуване на инсталации, оборудване за осигуряване на биосигурност и инфраструктура, в т. ч. помещения за персонала (например изграждане и оборудване на филтъра с душове, съблекални и т.н.) в стопанствата; Разходи за изграждане на огради или закупуване на преградни съоръжения; Разходи за изграждане или закупуване на съоръжения за </w:t>
            </w:r>
            <w:r w:rsidRPr="00D64984">
              <w:rPr>
                <w:rFonts w:ascii="Times New Roman" w:eastAsia="Times New Roman" w:hAnsi="Times New Roman" w:cs="Times New Roman"/>
                <w:sz w:val="16"/>
                <w:szCs w:val="16"/>
                <w:lang w:eastAsia="bg-BG"/>
              </w:rPr>
              <w:lastRenderedPageBreak/>
              <w:t xml:space="preserve">съхранение на фуражи; Разходи за закупуване на оборудване и изграждане на места, свързани със съхранение на странични животински продукти, вкл. </w:t>
            </w:r>
            <w:proofErr w:type="gramStart"/>
            <w:r w:rsidRPr="00D64984">
              <w:rPr>
                <w:rFonts w:ascii="Times New Roman" w:eastAsia="Times New Roman" w:hAnsi="Times New Roman" w:cs="Times New Roman"/>
                <w:sz w:val="16"/>
                <w:szCs w:val="16"/>
                <w:lang w:eastAsia="bg-BG"/>
              </w:rPr>
              <w:t>оборудване</w:t>
            </w:r>
            <w:proofErr w:type="gramEnd"/>
            <w:r w:rsidRPr="00D64984">
              <w:rPr>
                <w:rFonts w:ascii="Times New Roman" w:eastAsia="Times New Roman" w:hAnsi="Times New Roman" w:cs="Times New Roman"/>
                <w:sz w:val="16"/>
                <w:szCs w:val="16"/>
                <w:lang w:eastAsia="bg-BG"/>
              </w:rPr>
              <w:t xml:space="preserve"> и съоръжения за инсинерация; Разходи за инсталации на оборудване, включително разходите за монтаж и въвеждане в експлоатация на същите.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50-70% </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Февруари 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15 000 лв.</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Максималният размер на допустимите разходи за едно проектно предложение, представено от земеделски стопани е 2 933 700 лева за стопанства, в които се отглеждат свине, 1 955 800 лв. - </w:t>
            </w:r>
            <w:proofErr w:type="gramStart"/>
            <w:r w:rsidRPr="00D64984">
              <w:rPr>
                <w:rFonts w:ascii="Times New Roman" w:eastAsia="Times New Roman" w:hAnsi="Times New Roman" w:cs="Times New Roman"/>
                <w:sz w:val="16"/>
                <w:szCs w:val="16"/>
                <w:lang w:eastAsia="bg-BG"/>
              </w:rPr>
              <w:t>за</w:t>
            </w:r>
            <w:proofErr w:type="gramEnd"/>
            <w:r w:rsidRPr="00D64984">
              <w:rPr>
                <w:rFonts w:ascii="Times New Roman" w:eastAsia="Times New Roman" w:hAnsi="Times New Roman" w:cs="Times New Roman"/>
                <w:sz w:val="16"/>
                <w:szCs w:val="16"/>
                <w:lang w:eastAsia="bg-BG"/>
              </w:rPr>
              <w:t xml:space="preserve"> стопанства в които се отглеждат птици и 391 160 лв. - </w:t>
            </w:r>
            <w:proofErr w:type="gramStart"/>
            <w:r w:rsidRPr="00D64984">
              <w:rPr>
                <w:rFonts w:ascii="Times New Roman" w:eastAsia="Times New Roman" w:hAnsi="Times New Roman" w:cs="Times New Roman"/>
                <w:sz w:val="16"/>
                <w:szCs w:val="16"/>
                <w:lang w:eastAsia="bg-BG"/>
              </w:rPr>
              <w:t>за</w:t>
            </w:r>
            <w:proofErr w:type="gramEnd"/>
            <w:r w:rsidRPr="00D64984">
              <w:rPr>
                <w:rFonts w:ascii="Times New Roman" w:eastAsia="Times New Roman" w:hAnsi="Times New Roman" w:cs="Times New Roman"/>
                <w:sz w:val="16"/>
                <w:szCs w:val="16"/>
                <w:lang w:eastAsia="bg-BG"/>
              </w:rPr>
              <w:t xml:space="preserve"> стопанства, в които се отглеждат дребни преживни </w:t>
            </w:r>
            <w:r w:rsidRPr="00D64984">
              <w:rPr>
                <w:rFonts w:ascii="Times New Roman" w:eastAsia="Times New Roman" w:hAnsi="Times New Roman" w:cs="Times New Roman"/>
                <w:sz w:val="16"/>
                <w:szCs w:val="16"/>
                <w:lang w:eastAsia="bg-BG"/>
              </w:rPr>
              <w:lastRenderedPageBreak/>
              <w:t>животни.</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6.</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Подмярка 5.1 „Подкрепа за инвестиции в превантивни мерки, насочени към ограничаване на последствията от вероятни природни бедствия, неблагоприятни климатични </w:t>
            </w:r>
            <w:r w:rsidRPr="00D64984">
              <w:rPr>
                <w:rFonts w:ascii="Times New Roman" w:eastAsia="Times New Roman" w:hAnsi="Times New Roman" w:cs="Times New Roman"/>
                <w:b/>
                <w:sz w:val="16"/>
                <w:szCs w:val="16"/>
                <w:lang w:eastAsia="bg-BG"/>
              </w:rPr>
              <w:lastRenderedPageBreak/>
              <w:t>явления и катастрофични събития</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Подпомагането по подмярката ще бъде насочено към превенция и ограничаване на възможностите за разпространението на епизоотии и масови заразни </w:t>
            </w:r>
            <w:r w:rsidRPr="00D64984">
              <w:rPr>
                <w:rFonts w:ascii="Times New Roman" w:eastAsia="Times New Roman" w:hAnsi="Times New Roman" w:cs="Times New Roman"/>
                <w:sz w:val="16"/>
                <w:szCs w:val="16"/>
                <w:lang w:eastAsia="bg-BG"/>
              </w:rPr>
              <w:lastRenderedPageBreak/>
              <w:t xml:space="preserve">болести по селскостопанските животните, както и превенция от опасни метеорологични явления - </w:t>
            </w:r>
            <w:proofErr w:type="gramStart"/>
            <w:r w:rsidRPr="00D64984">
              <w:rPr>
                <w:rFonts w:ascii="Times New Roman" w:eastAsia="Times New Roman" w:hAnsi="Times New Roman" w:cs="Times New Roman"/>
                <w:sz w:val="16"/>
                <w:szCs w:val="16"/>
                <w:lang w:eastAsia="bg-BG"/>
              </w:rPr>
              <w:t>градушки .</w:t>
            </w:r>
            <w:proofErr w:type="gramEnd"/>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1 500 000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Българска агенция по безопасност на храните;</w:t>
            </w:r>
            <w:r w:rsidRPr="00D64984">
              <w:rPr>
                <w:rFonts w:ascii="Times New Roman" w:eastAsia="Times New Roman" w:hAnsi="Times New Roman" w:cs="Times New Roman"/>
                <w:sz w:val="16"/>
                <w:szCs w:val="16"/>
                <w:lang w:eastAsia="bg-BG"/>
              </w:rPr>
              <w:br/>
              <w:t>Изпълнителна агенция „Борба с градушките”;</w:t>
            </w:r>
            <w:r w:rsidRPr="00D64984">
              <w:rPr>
                <w:rFonts w:ascii="Times New Roman" w:eastAsia="Times New Roman" w:hAnsi="Times New Roman" w:cs="Times New Roman"/>
                <w:sz w:val="16"/>
                <w:szCs w:val="16"/>
                <w:lang w:eastAsia="bg-BG"/>
              </w:rPr>
              <w:br/>
              <w:t xml:space="preserve">Национален диагностичен научноизследователски ветеринарномедицински институт „Проф. д-р Г. </w:t>
            </w:r>
            <w:r w:rsidRPr="00D64984">
              <w:rPr>
                <w:rFonts w:ascii="Times New Roman" w:eastAsia="Times New Roman" w:hAnsi="Times New Roman" w:cs="Times New Roman"/>
                <w:sz w:val="16"/>
                <w:szCs w:val="16"/>
                <w:lang w:eastAsia="bg-BG"/>
              </w:rPr>
              <w:lastRenderedPageBreak/>
              <w:t>Павлов“</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По подмярката ще се подпомагат превантивни дейности, насочени към ограничаване на последствията от вероятни природни бедствия, неблагоприятни климатични </w:t>
            </w:r>
            <w:r w:rsidRPr="00D64984">
              <w:rPr>
                <w:rFonts w:ascii="Times New Roman" w:eastAsia="Times New Roman" w:hAnsi="Times New Roman" w:cs="Times New Roman"/>
                <w:sz w:val="16"/>
                <w:szCs w:val="16"/>
                <w:lang w:eastAsia="bg-BG"/>
              </w:rPr>
              <w:lastRenderedPageBreak/>
              <w:t>явления и катастрофични събития</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Разходи за закупуване на оборудване, инструменти и съоръжения за лаборатории; разходи за закупуване на специализирано мобилно оборудване за пренасяне на проби; разходи за инсталации, включително разходите за монтаж </w:t>
            </w:r>
            <w:r w:rsidRPr="00D64984">
              <w:rPr>
                <w:rFonts w:ascii="Times New Roman" w:eastAsia="Times New Roman" w:hAnsi="Times New Roman" w:cs="Times New Roman"/>
                <w:sz w:val="16"/>
                <w:szCs w:val="16"/>
                <w:lang w:eastAsia="bg-BG"/>
              </w:rPr>
              <w:lastRenderedPageBreak/>
              <w:t>и въвеждане в експлоатация на лаборатории. Разходи за акредитация на лаборатории; разходи за закупуване на лицензи, придобиване и разработка на софтуер за лаборатории;</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 Изпълнителна агенция борба с градушките /ИАБГ/:</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Разходи за строително – монтажни дейности свързани с изграждане на кули, използвани за монтаж на радарни станции, вкл. </w:t>
            </w:r>
            <w:proofErr w:type="gramStart"/>
            <w:r w:rsidRPr="00D64984">
              <w:rPr>
                <w:rFonts w:ascii="Times New Roman" w:eastAsia="Times New Roman" w:hAnsi="Times New Roman" w:cs="Times New Roman"/>
                <w:sz w:val="16"/>
                <w:szCs w:val="16"/>
                <w:lang w:eastAsia="bg-BG"/>
              </w:rPr>
              <w:t>прилежаща</w:t>
            </w:r>
            <w:proofErr w:type="gramEnd"/>
            <w:r w:rsidRPr="00D64984">
              <w:rPr>
                <w:rFonts w:ascii="Times New Roman" w:eastAsia="Times New Roman" w:hAnsi="Times New Roman" w:cs="Times New Roman"/>
                <w:sz w:val="16"/>
                <w:szCs w:val="16"/>
                <w:lang w:eastAsia="bg-BG"/>
              </w:rPr>
              <w:t xml:space="preserve"> инфраструктура към тях; Разходи за закупуване на радарни станции, вкл. </w:t>
            </w:r>
            <w:proofErr w:type="gramStart"/>
            <w:r w:rsidRPr="00D64984">
              <w:rPr>
                <w:rFonts w:ascii="Times New Roman" w:eastAsia="Times New Roman" w:hAnsi="Times New Roman" w:cs="Times New Roman"/>
                <w:sz w:val="16"/>
                <w:szCs w:val="16"/>
                <w:lang w:eastAsia="bg-BG"/>
              </w:rPr>
              <w:t>оборудване</w:t>
            </w:r>
            <w:proofErr w:type="gramEnd"/>
            <w:r w:rsidRPr="00D64984">
              <w:rPr>
                <w:rFonts w:ascii="Times New Roman" w:eastAsia="Times New Roman" w:hAnsi="Times New Roman" w:cs="Times New Roman"/>
                <w:sz w:val="16"/>
                <w:szCs w:val="16"/>
                <w:lang w:eastAsia="bg-BG"/>
              </w:rPr>
              <w:t xml:space="preserve"> за анализ и съхранение на бази данни; Разходи за закупуване на специализирани транспортни средства за превоз на противоградна техника и специфични товари; Разходи за инсталации, включително разходи за монтаж и въвеждане в експлоатация на радарни станции.</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Разходи за закупуване на лицензи, придобиване и разработка на софтуер за противоградна защита</w:t>
            </w:r>
            <w:r w:rsidRPr="00D64984">
              <w:rPr>
                <w:rFonts w:ascii="Times New Roman" w:eastAsia="Times New Roman" w:hAnsi="Times New Roman" w:cs="Times New Roman"/>
                <w:sz w:val="16"/>
                <w:szCs w:val="16"/>
                <w:lang w:eastAsia="bg-BG"/>
              </w:rPr>
              <w:br/>
              <w:t xml:space="preserve">Общи разходи свързани със съответния проект за предпроектни проучвания, такси, хонорари за архитекти, инженери и консултантски услуги. </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80%</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Февруари 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15 000 лв.</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1 222 375</w:t>
            </w:r>
            <w:proofErr w:type="gramStart"/>
            <w:r w:rsidRPr="00D64984">
              <w:rPr>
                <w:rFonts w:ascii="Times New Roman" w:eastAsia="Times New Roman" w:hAnsi="Times New Roman" w:cs="Times New Roman"/>
                <w:sz w:val="16"/>
                <w:szCs w:val="16"/>
                <w:lang w:eastAsia="bg-BG"/>
              </w:rPr>
              <w:t>,00</w:t>
            </w:r>
            <w:proofErr w:type="gramEnd"/>
            <w:r w:rsidRPr="00D64984">
              <w:rPr>
                <w:rFonts w:ascii="Times New Roman" w:eastAsia="Times New Roman" w:hAnsi="Times New Roman" w:cs="Times New Roman"/>
                <w:sz w:val="16"/>
                <w:szCs w:val="16"/>
                <w:lang w:eastAsia="bg-BG"/>
              </w:rPr>
              <w:t xml:space="preserve"> лв.</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7.</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6.1 "Създаване на стопанства на млади фермери"“</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Увеличаване на броя и дела на младите земеделски стопани; </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24 600 000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Земеделски стопани – физически лица,еднолични търговци, ЕООД</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Дейности за създаване и развитие на стопанства на млади земеделски стопани</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създаване и развитие на стопанства на млади земеделски стопани, посочени в бизнес план</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Септември</w:t>
            </w:r>
            <w:r w:rsidRPr="00D64984">
              <w:rPr>
                <w:rFonts w:ascii="Times New Roman" w:eastAsia="Times New Roman" w:hAnsi="Times New Roman" w:cs="Times New Roman"/>
                <w:sz w:val="16"/>
                <w:szCs w:val="16"/>
                <w:lang w:eastAsia="bg-BG"/>
              </w:rPr>
              <w:br/>
              <w:t>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25 000 евро</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8.</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6.3 „Стартова помощ за развитието на малки стопанства“ (ТПП)</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Икономическо развитие и укрепване на малките земеделски стопанства в устойчиви и жизнеспособни единици</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20 000 000 евро</w:t>
            </w:r>
          </w:p>
        </w:tc>
        <w:tc>
          <w:tcPr>
            <w:tcW w:w="442"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Регистрирани земеделски стопани отговарящи на определението за „малко земеделско стопанство“</w:t>
            </w:r>
          </w:p>
        </w:tc>
        <w:tc>
          <w:tcPr>
            <w:tcW w:w="369"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Дейности за развитие на малки земеделски стопанства </w:t>
            </w:r>
          </w:p>
        </w:tc>
        <w:tc>
          <w:tcPr>
            <w:tcW w:w="994"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развитие на малки земеделски стопанства, посочени в бизнес план</w:t>
            </w:r>
          </w:p>
        </w:tc>
        <w:tc>
          <w:tcPr>
            <w:tcW w:w="351"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Септември</w:t>
            </w:r>
            <w:r w:rsidRPr="00D64984">
              <w:rPr>
                <w:rFonts w:ascii="Times New Roman" w:eastAsia="Times New Roman" w:hAnsi="Times New Roman" w:cs="Times New Roman"/>
                <w:sz w:val="16"/>
                <w:szCs w:val="16"/>
                <w:lang w:eastAsia="bg-BG"/>
              </w:rPr>
              <w:br/>
              <w:t>2021 г. – прием 90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240" w:line="240" w:lineRule="auto"/>
              <w:ind w:left="-108"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24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15 000 евро</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9.</w:t>
            </w:r>
          </w:p>
        </w:tc>
        <w:tc>
          <w:tcPr>
            <w:tcW w:w="28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7.3 „Широколентова инфраструктура, включително нейното създаване, подобрение и разширение”</w:t>
            </w:r>
          </w:p>
        </w:tc>
        <w:tc>
          <w:tcPr>
            <w:tcW w:w="38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Създаване на широколентова инфраструктура за достъп от следващо поколение и осигуряване на </w:t>
            </w:r>
            <w:r w:rsidRPr="00D64984">
              <w:rPr>
                <w:rFonts w:ascii="Times New Roman" w:eastAsia="Times New Roman" w:hAnsi="Times New Roman" w:cs="Times New Roman"/>
                <w:sz w:val="16"/>
                <w:szCs w:val="16"/>
                <w:lang w:eastAsia="bg-BG"/>
              </w:rPr>
              <w:lastRenderedPageBreak/>
              <w:t>активно оборудване за свързаност към облак на електронно управление в бели и сиви зони</w:t>
            </w:r>
          </w:p>
        </w:tc>
        <w:tc>
          <w:tcPr>
            <w:tcW w:w="246"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42 000 000 евро</w:t>
            </w:r>
          </w:p>
        </w:tc>
        <w:tc>
          <w:tcPr>
            <w:tcW w:w="442"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Държавна агенция "Електронно управление"</w:t>
            </w:r>
          </w:p>
        </w:tc>
        <w:tc>
          <w:tcPr>
            <w:tcW w:w="369"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Инвестиции за създаване на широколентова инфраструктура</w:t>
            </w:r>
          </w:p>
        </w:tc>
        <w:tc>
          <w:tcPr>
            <w:tcW w:w="994"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Изграждане на пасивна широколентова инфраструктура за достъп от ново поколение (напр. строителни дейности като канали, както и </w:t>
            </w:r>
            <w:r w:rsidRPr="00D64984">
              <w:rPr>
                <w:rFonts w:ascii="Times New Roman" w:eastAsia="Times New Roman" w:hAnsi="Times New Roman" w:cs="Times New Roman"/>
                <w:sz w:val="16"/>
                <w:szCs w:val="16"/>
                <w:lang w:eastAsia="bg-BG"/>
              </w:rPr>
              <w:lastRenderedPageBreak/>
              <w:t>оптични кабели, стълбове, помещения);</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Закупуване и инсталиране на агрегиращо активно оборудване (напр. предаватели, рутери и комутатори, сървъри за контрол и управление);</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Нематериални инвестиции: придобиване или развитие на компютърен софтуер и придобиване на патенти, лицензи, авторски права, търговски марки;</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Общи разходи, свързани с изброените по-горе, например такси, хонорари на архитекти, инженери и консултанти, хонорари, свързани с консултации относно екологичната и икономическата устойчивост</w:t>
            </w:r>
          </w:p>
        </w:tc>
        <w:tc>
          <w:tcPr>
            <w:tcW w:w="351"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val="en-GB" w:eastAsia="bg-BG"/>
              </w:rPr>
            </w:pPr>
            <w:r w:rsidRPr="00D64984">
              <w:rPr>
                <w:rFonts w:ascii="Times New Roman" w:eastAsia="Times New Roman" w:hAnsi="Times New Roman" w:cs="Times New Roman"/>
                <w:sz w:val="16"/>
                <w:szCs w:val="16"/>
                <w:lang w:val="en-GB" w:eastAsia="bg-BG"/>
              </w:rPr>
              <w:lastRenderedPageBreak/>
              <w:t>100 %</w:t>
            </w:r>
          </w:p>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val="en-GB" w:eastAsia="bg-BG"/>
              </w:rPr>
            </w:pPr>
            <w:r w:rsidRPr="00D64984">
              <w:rPr>
                <w:rFonts w:ascii="Times New Roman" w:eastAsia="Times New Roman" w:hAnsi="Times New Roman" w:cs="Times New Roman"/>
                <w:sz w:val="16"/>
                <w:szCs w:val="16"/>
                <w:lang w:eastAsia="bg-BG"/>
              </w:rPr>
              <w:t xml:space="preserve">Помощта по настоящите Насоки ще се предоставя съгласно националните и европейски </w:t>
            </w:r>
            <w:r w:rsidRPr="00D64984">
              <w:rPr>
                <w:rFonts w:ascii="Times New Roman" w:eastAsia="Times New Roman" w:hAnsi="Times New Roman" w:cs="Times New Roman"/>
                <w:sz w:val="16"/>
                <w:szCs w:val="16"/>
                <w:lang w:eastAsia="bg-BG"/>
              </w:rPr>
              <w:lastRenderedPageBreak/>
              <w:t>правила в сферата на Държавните помощи, съобразно които Европейската комисия се произнася по съвместимостта на планираната държавна помощ, като до приемане на решението администраторът на помощ не я привежда в действие, респективно не може да се пристъпи към подписване на административен договор.</w:t>
            </w:r>
          </w:p>
        </w:tc>
        <w:tc>
          <w:tcPr>
            <w:tcW w:w="197"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Февруари 2021 г. – прием 180 дни</w:t>
            </w:r>
          </w:p>
        </w:tc>
        <w:tc>
          <w:tcPr>
            <w:tcW w:w="207" w:type="pct"/>
            <w:tcBorders>
              <w:top w:val="single" w:sz="4" w:space="0" w:color="auto"/>
              <w:left w:val="single" w:sz="4" w:space="0" w:color="auto"/>
              <w:bottom w:val="single" w:sz="4" w:space="0" w:color="auto"/>
              <w:right w:val="single" w:sz="4" w:space="0" w:color="auto"/>
            </w:tcBorders>
            <w:shd w:val="clear" w:color="auto" w:fill="FFFFFF" w:themeFill="background1"/>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Да</w:t>
            </w:r>
          </w:p>
        </w:tc>
        <w:tc>
          <w:tcPr>
            <w:tcW w:w="140"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shd w:val="clear" w:color="auto" w:fill="FFFFFF" w:themeFill="background1"/>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42 000 000 евро</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10.</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Подмярка 16.1 „Подкрепа за сформиране и функциониране на оперативни групи в рамките на ЕПИ“</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Подпомагането по процедурата е насочено към функциониране на оперативни групи, създадени за изпълнение на конкретен </w:t>
            </w:r>
            <w:r w:rsidRPr="00D64984">
              <w:rPr>
                <w:rFonts w:ascii="Times New Roman" w:eastAsia="Times New Roman" w:hAnsi="Times New Roman" w:cs="Times New Roman"/>
                <w:sz w:val="16"/>
                <w:szCs w:val="16"/>
                <w:lang w:eastAsia="bg-BG"/>
              </w:rPr>
              <w:lastRenderedPageBreak/>
              <w:t>иновативен проект за постигане на целите на Европейското партньорство за иновации (ЕПИ) за селскостопанска производителност и устойчивост. посочени в член 56 на Регламент (ЕС) № 1305/2013</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6 500 000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Оперативни групи, учредени като дружества по смисъла на чл. 357 - 364 от Закона за задълженията и договорите.</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Дейности за функциониране на оперативната група, както следва: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а) Осъществяване на сътрудничеството във връзка с </w:t>
            </w:r>
            <w:r w:rsidRPr="00D64984">
              <w:rPr>
                <w:rFonts w:ascii="Times New Roman" w:eastAsia="Times New Roman" w:hAnsi="Times New Roman" w:cs="Times New Roman"/>
                <w:sz w:val="16"/>
                <w:szCs w:val="16"/>
                <w:lang w:eastAsia="bg-BG"/>
              </w:rPr>
              <w:lastRenderedPageBreak/>
              <w:t>изпълнение на иновативния проект;</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б) Преки дейности за изпълнение на иновативния проект.</w:t>
            </w:r>
          </w:p>
        </w:tc>
        <w:tc>
          <w:tcPr>
            <w:tcW w:w="994"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Текущи разходи за осъществяване на сътрудничеството във връзка с изпълнение на иновативния проект и преки разходи за изпълнение на иновативния проект</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60-100%</w:t>
            </w:r>
          </w:p>
        </w:tc>
        <w:tc>
          <w:tcPr>
            <w:tcW w:w="197"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Октомври 2021 г. – прием 90 дни</w:t>
            </w:r>
          </w:p>
        </w:tc>
        <w:tc>
          <w:tcPr>
            <w:tcW w:w="207"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450 000 евро</w:t>
            </w:r>
          </w:p>
        </w:tc>
      </w:tr>
      <w:tr w:rsidR="00D64984" w:rsidRPr="00D64984" w:rsidTr="00D64984">
        <w:trPr>
          <w:trHeight w:val="1381"/>
        </w:trPr>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11.</w:t>
            </w:r>
          </w:p>
        </w:tc>
        <w:tc>
          <w:tcPr>
            <w:tcW w:w="282" w:type="pct"/>
            <w:tcBorders>
              <w:top w:val="single" w:sz="4" w:space="0" w:color="auto"/>
              <w:left w:val="single" w:sz="4" w:space="0" w:color="auto"/>
              <w:bottom w:val="single" w:sz="4" w:space="0" w:color="auto"/>
              <w:right w:val="single" w:sz="4" w:space="0" w:color="auto"/>
            </w:tcBorders>
            <w:vAlign w:val="center"/>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Подмярка 19.1 „Помощ за подготвителни дейности“ </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381"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Подпомагане за малки  пилотни проекти на 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w:t>
            </w:r>
            <w:r w:rsidRPr="00D64984">
              <w:rPr>
                <w:rFonts w:ascii="Times New Roman" w:eastAsia="Times New Roman" w:hAnsi="Times New Roman" w:cs="Times New Roman"/>
                <w:sz w:val="16"/>
                <w:szCs w:val="16"/>
                <w:lang w:eastAsia="bg-BG"/>
              </w:rPr>
              <w:lastRenderedPageBreak/>
              <w:t>2020 г., но нямат одобрена за финансиране стратегия за ВОМР през програмния период 2014 – 2020 г.</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35" w:right="-82"/>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895 850 Евро</w:t>
            </w:r>
          </w:p>
        </w:tc>
        <w:tc>
          <w:tcPr>
            <w:tcW w:w="442"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МИГ, преминали оценка за административно съответствие и допустимост по реда на Наредба № 22 от 2015 г. за прилагане на подмярка 19.2 „Прилагане на операции в рамките на стратегии за Водено от общностите местно развитие“ от ПРСР 2014 – 2020 г., но нямат одобрена за финансиране стратегия за ВОМР през програмния период 2014 – 2020 г.</w:t>
            </w:r>
          </w:p>
        </w:tc>
        <w:tc>
          <w:tcPr>
            <w:tcW w:w="369" w:type="pct"/>
            <w:tcBorders>
              <w:top w:val="single" w:sz="4" w:space="0" w:color="auto"/>
              <w:left w:val="single" w:sz="4" w:space="0" w:color="auto"/>
              <w:bottom w:val="single" w:sz="4" w:space="0" w:color="auto"/>
              <w:right w:val="single" w:sz="4" w:space="0" w:color="auto"/>
            </w:tcBorders>
            <w:vAlign w:val="center"/>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 дейности и събития, свързани с популяризиране на местната идентичност;</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2. материални и нематериални активи в интерес на местната общност;</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3. </w:t>
            </w:r>
            <w:proofErr w:type="gramStart"/>
            <w:r w:rsidRPr="00D64984">
              <w:rPr>
                <w:rFonts w:ascii="Times New Roman" w:eastAsia="Times New Roman" w:hAnsi="Times New Roman" w:cs="Times New Roman"/>
                <w:sz w:val="16"/>
                <w:szCs w:val="16"/>
                <w:lang w:eastAsia="bg-BG"/>
              </w:rPr>
              <w:t>въвеждане</w:t>
            </w:r>
            <w:proofErr w:type="gramEnd"/>
            <w:r w:rsidRPr="00D64984">
              <w:rPr>
                <w:rFonts w:ascii="Times New Roman" w:eastAsia="Times New Roman" w:hAnsi="Times New Roman" w:cs="Times New Roman"/>
                <w:sz w:val="16"/>
                <w:szCs w:val="16"/>
                <w:lang w:eastAsia="bg-BG"/>
              </w:rPr>
              <w:t xml:space="preserve"> на иновативни за местната общност дейности.</w:t>
            </w:r>
          </w:p>
        </w:tc>
        <w:tc>
          <w:tcPr>
            <w:tcW w:w="994"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w:t>
            </w:r>
          </w:p>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1. дейности и събития, свързани с популяризиране на местната идентичност, в това число за популяризиране на местни традиции, културно и историческо наследство, традиционни местни продукти и други;</w:t>
            </w:r>
          </w:p>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2. материални и нематериални активи в интерес на местната общност;</w:t>
            </w:r>
          </w:p>
          <w:p w:rsidR="00D64984" w:rsidRPr="00D64984" w:rsidRDefault="00D64984" w:rsidP="00D64984">
            <w:pPr>
              <w:spacing w:after="0" w:line="240" w:lineRule="auto"/>
              <w:ind w:left="-112" w:right="-108"/>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3. </w:t>
            </w:r>
            <w:proofErr w:type="gramStart"/>
            <w:r w:rsidRPr="00D64984">
              <w:rPr>
                <w:rFonts w:ascii="Times New Roman" w:eastAsia="Times New Roman" w:hAnsi="Times New Roman" w:cs="Times New Roman"/>
                <w:sz w:val="16"/>
                <w:szCs w:val="16"/>
                <w:lang w:eastAsia="bg-BG"/>
              </w:rPr>
              <w:t>въвеждане</w:t>
            </w:r>
            <w:proofErr w:type="gramEnd"/>
            <w:r w:rsidRPr="00D64984">
              <w:rPr>
                <w:rFonts w:ascii="Times New Roman" w:eastAsia="Times New Roman" w:hAnsi="Times New Roman" w:cs="Times New Roman"/>
                <w:sz w:val="16"/>
                <w:szCs w:val="16"/>
                <w:lang w:eastAsia="bg-BG"/>
              </w:rPr>
              <w:t xml:space="preserve"> на иновативни за местната общност дейности.</w:t>
            </w:r>
          </w:p>
        </w:tc>
        <w:tc>
          <w:tcPr>
            <w:tcW w:w="351"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100%</w:t>
            </w:r>
          </w:p>
        </w:tc>
        <w:tc>
          <w:tcPr>
            <w:tcW w:w="197"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Март 2021 г. – прием 90 дни</w:t>
            </w:r>
          </w:p>
        </w:tc>
        <w:tc>
          <w:tcPr>
            <w:tcW w:w="207" w:type="pct"/>
            <w:tcBorders>
              <w:top w:val="single" w:sz="4" w:space="0" w:color="auto"/>
              <w:left w:val="single" w:sz="4" w:space="0" w:color="auto"/>
              <w:bottom w:val="single" w:sz="4" w:space="0" w:color="auto"/>
              <w:right w:val="single" w:sz="4" w:space="0" w:color="auto"/>
            </w:tcBorders>
            <w:vAlign w:val="center"/>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40"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19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Левовата равностойност на 100 000 евро</w:t>
            </w:r>
          </w:p>
        </w:tc>
      </w:tr>
      <w:tr w:rsidR="00D64984" w:rsidRPr="00D64984" w:rsidTr="00D64984">
        <w:trPr>
          <w:trHeight w:val="1381"/>
        </w:trPr>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12.</w:t>
            </w:r>
          </w:p>
        </w:tc>
        <w:tc>
          <w:tcPr>
            <w:tcW w:w="282" w:type="pct"/>
            <w:tcBorders>
              <w:top w:val="single" w:sz="4" w:space="0" w:color="auto"/>
              <w:left w:val="single" w:sz="4" w:space="0" w:color="auto"/>
              <w:bottom w:val="single" w:sz="4" w:space="0" w:color="auto"/>
              <w:right w:val="single" w:sz="4" w:space="0" w:color="auto"/>
            </w:tcBorders>
            <w:vAlign w:val="center"/>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Подмярка 19.1 „Помощ за подготвителни дейности“ </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Подготовка на местните общности за прилагане на подхода ВОМР през програмен период 2021 – 2027 г.</w:t>
            </w:r>
          </w:p>
        </w:tc>
        <w:tc>
          <w:tcPr>
            <w:tcW w:w="246"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Подбор на проектни предложения</w:t>
            </w:r>
          </w:p>
        </w:tc>
        <w:tc>
          <w:tcPr>
            <w:tcW w:w="233"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w:t>
            </w:r>
          </w:p>
        </w:tc>
        <w:tc>
          <w:tcPr>
            <w:tcW w:w="272" w:type="pct"/>
            <w:tcBorders>
              <w:top w:val="single" w:sz="4" w:space="0" w:color="auto"/>
              <w:left w:val="single" w:sz="4" w:space="0" w:color="auto"/>
              <w:bottom w:val="single" w:sz="4" w:space="0" w:color="auto"/>
              <w:right w:val="single" w:sz="4" w:space="0" w:color="auto"/>
            </w:tcBorders>
            <w:vAlign w:val="center"/>
            <w:hideMark/>
          </w:tcPr>
          <w:p w:rsidR="00D64984" w:rsidRPr="00D64984" w:rsidRDefault="00D64984" w:rsidP="00D64984">
            <w:pPr>
              <w:spacing w:after="0" w:line="240" w:lineRule="auto"/>
              <w:ind w:left="-135" w:right="-82"/>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3 500 000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1. Местни общности, които не са прилагали подхода ЛИДЕР/ВОМР в периоди 2007-2013 г. и 2014 – 2020 г. (не са изпълнявали подмерки 431-2, 431-1, 41, 19.1, 19.2 и 19.4 </w:t>
            </w:r>
            <w:proofErr w:type="gramStart"/>
            <w:r w:rsidRPr="00D64984">
              <w:rPr>
                <w:rFonts w:ascii="Times New Roman" w:eastAsia="Times New Roman" w:hAnsi="Times New Roman" w:cs="Times New Roman"/>
                <w:sz w:val="16"/>
                <w:szCs w:val="16"/>
                <w:lang w:eastAsia="bg-BG"/>
              </w:rPr>
              <w:t>на  територията</w:t>
            </w:r>
            <w:proofErr w:type="gramEnd"/>
            <w:r w:rsidRPr="00D64984">
              <w:rPr>
                <w:rFonts w:ascii="Times New Roman" w:eastAsia="Times New Roman" w:hAnsi="Times New Roman" w:cs="Times New Roman"/>
                <w:sz w:val="16"/>
                <w:szCs w:val="16"/>
                <w:lang w:eastAsia="bg-BG"/>
              </w:rPr>
              <w:t xml:space="preserve"> си).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 2. Местни инициативни групи или местни общности, прилагали подхода ЛИДЕР/ВОМР през програмни периоди 2007-2013 г. и 2014 – 2020 г. на територия или част от територия, за която се кандидатства, (изпълнявали са подмерки 431-2, 431-1, 41, 19.1, 19.2 и 19.4).</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Безвъзмездната финансова помощ за подпомагане на подготвителни дейности, включващи изграждането на капацитет, обучението и създаването на мрежи с цел изготвяне и изпълнение на стратегия за Водено от общностите местно развитие, включва: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Обучение на местни заинтересовани страни;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Проучвания в съответната територия;</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 xml:space="preserve">Изготвяне на стратегия за Воденото от общностите местно развитие, включително консултации със </w:t>
            </w:r>
            <w:r w:rsidRPr="00D64984">
              <w:rPr>
                <w:rFonts w:ascii="Times New Roman" w:eastAsia="Times New Roman" w:hAnsi="Times New Roman" w:cs="Times New Roman"/>
                <w:sz w:val="16"/>
                <w:szCs w:val="16"/>
                <w:lang w:eastAsia="bg-BG"/>
              </w:rPr>
              <w:lastRenderedPageBreak/>
              <w:t>заинтересованите страни за целите на подготовката на стратегията;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Дейности за координация на процеса, извършван от организацията, която кандидатства за подготвителни дейности.</w:t>
            </w:r>
          </w:p>
        </w:tc>
        <w:tc>
          <w:tcPr>
            <w:tcW w:w="994"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Разходите са свързани с изготвяне на стратегия за местно развитие: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Формиране и учредяване на публично-частно партньорство, в т.ч. разходи за правни услуги и консултации, нотариални и държавни такси, партньорски срещи;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 xml:space="preserve">Популяризиране на подхода ВОМР и процеса на разработка на СМР като разходи за подготовка и провеждане на информационни кампании, изготвяне и разпространение на информационни материали, подготовка и провеждане на информационни семинари, конференции и срещи, създаване и поддържане на електронна страница, </w:t>
            </w:r>
            <w:r w:rsidRPr="00D64984">
              <w:rPr>
                <w:rFonts w:ascii="Times New Roman" w:eastAsia="Times New Roman" w:hAnsi="Times New Roman" w:cs="Times New Roman"/>
                <w:sz w:val="16"/>
                <w:szCs w:val="16"/>
                <w:lang w:eastAsia="bg-BG"/>
              </w:rPr>
              <w:lastRenderedPageBreak/>
              <w:t>публикации в местната преса;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Обучения за местните заинтересовани страни: екип на МИГ, местни лидери;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Проучвания и анализи на територията;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Разходи, свързани с подготовката на стратегия за водено от общностите местно развитие, вкл. разходи за консултиране и разходи за консултиране с местната общност във връзка с подготовката на стратегията;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w:t>
            </w:r>
            <w:r w:rsidRPr="00D64984">
              <w:rPr>
                <w:rFonts w:ascii="Times New Roman" w:eastAsia="Times New Roman" w:hAnsi="Times New Roman" w:cs="Times New Roman"/>
                <w:sz w:val="16"/>
                <w:szCs w:val="16"/>
                <w:lang w:eastAsia="bg-BG"/>
              </w:rPr>
              <w:tab/>
              <w:t>Административни разходи (оперативни разходи, разходи за възнаграждения и осигуровки и обезщетения за временна неработоспособност, дължими от работодателя, разходи за закупуване на офис техника, обзавеждане и оборудване, командировки, наем зали и др.).</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 </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До 100%</w:t>
            </w:r>
          </w:p>
        </w:tc>
        <w:tc>
          <w:tcPr>
            <w:tcW w:w="197"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Септември 2021 г. – прием 120 дни</w:t>
            </w:r>
          </w:p>
        </w:tc>
        <w:tc>
          <w:tcPr>
            <w:tcW w:w="207"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Не </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Не </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Неприложимо</w:t>
            </w:r>
          </w:p>
        </w:tc>
        <w:tc>
          <w:tcPr>
            <w:tcW w:w="4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numPr>
                <w:ilvl w:val="0"/>
                <w:numId w:val="9"/>
              </w:numPr>
              <w:tabs>
                <w:tab w:val="left" w:pos="83"/>
              </w:tabs>
              <w:spacing w:after="0" w:line="240" w:lineRule="auto"/>
              <w:ind w:left="-59" w:right="-85"/>
              <w:contextualSpacing/>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25 000 евро за общности, прилагали подхода ВОМР;</w:t>
            </w:r>
          </w:p>
          <w:p w:rsidR="00D64984" w:rsidRPr="00D64984" w:rsidRDefault="00D64984" w:rsidP="00D64984">
            <w:pPr>
              <w:numPr>
                <w:ilvl w:val="0"/>
                <w:numId w:val="9"/>
              </w:numPr>
              <w:tabs>
                <w:tab w:val="left" w:pos="83"/>
              </w:tabs>
              <w:spacing w:after="0" w:line="240" w:lineRule="auto"/>
              <w:ind w:left="-59" w:right="-85"/>
              <w:contextualSpacing/>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равностойност на 30 000 евро за общности, не прилагали подхода ВОМР.</w:t>
            </w:r>
          </w:p>
        </w:tc>
      </w:tr>
      <w:tr w:rsidR="00D64984" w:rsidRPr="00D64984" w:rsidTr="00D64984">
        <w:tc>
          <w:tcPr>
            <w:tcW w:w="10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lastRenderedPageBreak/>
              <w:t>13.</w:t>
            </w:r>
          </w:p>
        </w:tc>
        <w:tc>
          <w:tcPr>
            <w:tcW w:w="28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b/>
                <w:sz w:val="16"/>
                <w:szCs w:val="16"/>
                <w:lang w:eastAsia="bg-BG"/>
              </w:rPr>
            </w:pPr>
            <w:r w:rsidRPr="00D64984">
              <w:rPr>
                <w:rFonts w:ascii="Times New Roman" w:eastAsia="Times New Roman" w:hAnsi="Times New Roman" w:cs="Times New Roman"/>
                <w:b/>
                <w:sz w:val="16"/>
                <w:szCs w:val="16"/>
                <w:lang w:eastAsia="bg-BG"/>
              </w:rPr>
              <w:t xml:space="preserve">Подмярка 19.3 „Подготовка и изпълнение на </w:t>
            </w:r>
            <w:r w:rsidRPr="00D64984">
              <w:rPr>
                <w:rFonts w:ascii="Times New Roman" w:eastAsia="Times New Roman" w:hAnsi="Times New Roman" w:cs="Times New Roman"/>
                <w:b/>
                <w:sz w:val="16"/>
                <w:szCs w:val="16"/>
                <w:lang w:eastAsia="bg-BG"/>
              </w:rPr>
              <w:lastRenderedPageBreak/>
              <w:t>дейности за сътрудничество на местни инициативни групи“</w:t>
            </w:r>
          </w:p>
        </w:tc>
        <w:tc>
          <w:tcPr>
            <w:tcW w:w="38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Подпомагане на проекти за подготвителни </w:t>
            </w:r>
            <w:r w:rsidRPr="00D64984">
              <w:rPr>
                <w:rFonts w:ascii="Times New Roman" w:eastAsia="Times New Roman" w:hAnsi="Times New Roman" w:cs="Times New Roman"/>
                <w:sz w:val="16"/>
                <w:szCs w:val="16"/>
                <w:lang w:eastAsia="bg-BG"/>
              </w:rPr>
              <w:lastRenderedPageBreak/>
              <w:t>дейности и на проекти за съвместни дейности, насочени към разработване и въвеждане в практиката на продукти, услуги, иновации и др. в селските райони, комбинирайки разнообразните възможности на селските райони и развитие на селски райони с добавена стойност;</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roofErr w:type="gramStart"/>
            <w:r w:rsidRPr="00D64984">
              <w:rPr>
                <w:rFonts w:ascii="Times New Roman" w:eastAsia="Times New Roman" w:hAnsi="Times New Roman" w:cs="Times New Roman"/>
                <w:sz w:val="16"/>
                <w:szCs w:val="16"/>
                <w:lang w:eastAsia="bg-BG"/>
              </w:rPr>
              <w:t>създаване</w:t>
            </w:r>
            <w:proofErr w:type="gramEnd"/>
            <w:r w:rsidRPr="00D64984">
              <w:rPr>
                <w:rFonts w:ascii="Times New Roman" w:eastAsia="Times New Roman" w:hAnsi="Times New Roman" w:cs="Times New Roman"/>
                <w:sz w:val="16"/>
                <w:szCs w:val="16"/>
                <w:lang w:eastAsia="bg-BG"/>
              </w:rPr>
              <w:t xml:space="preserve"> на европейска идентичност в допълнение към местната, регионалната и националната идентичност.</w:t>
            </w:r>
          </w:p>
        </w:tc>
        <w:tc>
          <w:tcPr>
            <w:tcW w:w="246"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Подбор на проектни предложен</w:t>
            </w:r>
            <w:r w:rsidRPr="00D64984">
              <w:rPr>
                <w:rFonts w:ascii="Times New Roman" w:eastAsia="Times New Roman" w:hAnsi="Times New Roman" w:cs="Times New Roman"/>
                <w:sz w:val="16"/>
                <w:szCs w:val="16"/>
                <w:lang w:eastAsia="bg-BG"/>
              </w:rPr>
              <w:lastRenderedPageBreak/>
              <w:t>ия</w:t>
            </w:r>
          </w:p>
        </w:tc>
        <w:tc>
          <w:tcPr>
            <w:tcW w:w="23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Не</w:t>
            </w:r>
          </w:p>
        </w:tc>
        <w:tc>
          <w:tcPr>
            <w:tcW w:w="27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 2021 г.</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До левовата равностойн</w:t>
            </w:r>
            <w:r w:rsidRPr="00D64984">
              <w:rPr>
                <w:rFonts w:ascii="Times New Roman" w:eastAsia="Times New Roman" w:hAnsi="Times New Roman" w:cs="Times New Roman"/>
                <w:sz w:val="16"/>
                <w:szCs w:val="16"/>
                <w:lang w:eastAsia="bg-BG"/>
              </w:rPr>
              <w:lastRenderedPageBreak/>
              <w:t>ост на 4 477 401 евро</w:t>
            </w:r>
          </w:p>
        </w:tc>
        <w:tc>
          <w:tcPr>
            <w:tcW w:w="442"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Одобрени местни инициативни групи</w:t>
            </w:r>
          </w:p>
        </w:tc>
        <w:tc>
          <w:tcPr>
            <w:tcW w:w="369"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1. подготвителни дейности по проекти за </w:t>
            </w:r>
            <w:r w:rsidRPr="00D64984">
              <w:rPr>
                <w:rFonts w:ascii="Times New Roman" w:eastAsia="Times New Roman" w:hAnsi="Times New Roman" w:cs="Times New Roman"/>
                <w:sz w:val="16"/>
                <w:szCs w:val="16"/>
                <w:lang w:eastAsia="bg-BG"/>
              </w:rPr>
              <w:lastRenderedPageBreak/>
              <w:t>междутериториално и транснационално сътрудничество</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2. </w:t>
            </w:r>
            <w:proofErr w:type="gramStart"/>
            <w:r w:rsidRPr="00D64984">
              <w:rPr>
                <w:rFonts w:ascii="Times New Roman" w:eastAsia="Times New Roman" w:hAnsi="Times New Roman" w:cs="Times New Roman"/>
                <w:sz w:val="16"/>
                <w:szCs w:val="16"/>
                <w:lang w:eastAsia="bg-BG"/>
              </w:rPr>
              <w:t>дейности</w:t>
            </w:r>
            <w:proofErr w:type="gramEnd"/>
            <w:r w:rsidRPr="00D64984">
              <w:rPr>
                <w:rFonts w:ascii="Times New Roman" w:eastAsia="Times New Roman" w:hAnsi="Times New Roman" w:cs="Times New Roman"/>
                <w:sz w:val="16"/>
                <w:szCs w:val="16"/>
                <w:lang w:eastAsia="bg-BG"/>
              </w:rPr>
              <w:t xml:space="preserve"> за сътрудничество в рамките на Република България или проекти за сътрудничество между територии в две или повече държави членки или с територии в трети държави.</w:t>
            </w:r>
          </w:p>
        </w:tc>
        <w:tc>
          <w:tcPr>
            <w:tcW w:w="994"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 xml:space="preserve">Разходи, свързани с разработването на съвместен </w:t>
            </w:r>
            <w:r w:rsidRPr="00D64984">
              <w:rPr>
                <w:rFonts w:ascii="Times New Roman" w:eastAsia="Times New Roman" w:hAnsi="Times New Roman" w:cs="Times New Roman"/>
                <w:sz w:val="16"/>
                <w:szCs w:val="16"/>
                <w:lang w:eastAsia="bg-BG"/>
              </w:rPr>
              <w:lastRenderedPageBreak/>
              <w:t>продукт/услуга, вкл. разходи за материални и нематериални инвестиции;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изследвания и пазарни проучвания, директно свързани със съвместното действие;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свързани с реализирането на промоционални и маркетингови кампании;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свързани с организирането на обучения, семинари, съвместни събития, срещи и т. н.;</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за публикации в медиите;</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свързани със създаването и оперативната поддръжка на общи структури, създадени с цел изпълнение на проекта;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Координация на дейностите по проекта (разходи за допълнителен персонал, пътни разходи, разходи за нощувки и храна, хонорари за експерти, разходи за превод, разходи за комуникация и др.).</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Разходи, свързани със срещи с потенциални партньори;</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свързани с организирането на заседания и мероприятия за планиране на дейностите по проекта;</w:t>
            </w:r>
          </w:p>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Разходи, свързани с разработването на проекта.</w:t>
            </w:r>
          </w:p>
        </w:tc>
        <w:tc>
          <w:tcPr>
            <w:tcW w:w="351"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До 100%</w:t>
            </w:r>
          </w:p>
        </w:tc>
        <w:tc>
          <w:tcPr>
            <w:tcW w:w="197"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p>
        </w:tc>
        <w:tc>
          <w:tcPr>
            <w:tcW w:w="207"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12" w:right="-108"/>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 xml:space="preserve">Съгласно Регламент (ЕС) </w:t>
            </w:r>
            <w:r w:rsidRPr="00D64984">
              <w:rPr>
                <w:rFonts w:ascii="Times New Roman" w:eastAsia="Times New Roman" w:hAnsi="Times New Roman" w:cs="Times New Roman"/>
                <w:sz w:val="16"/>
                <w:szCs w:val="16"/>
                <w:lang w:eastAsia="bg-BG"/>
              </w:rPr>
              <w:lastRenderedPageBreak/>
              <w:t>1305/2013, чл. 44, пар. 3 кандидатстването по подмярка 19.3 е текущо.</w:t>
            </w:r>
          </w:p>
        </w:tc>
        <w:tc>
          <w:tcPr>
            <w:tcW w:w="16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lastRenderedPageBreak/>
              <w:t>Да</w:t>
            </w:r>
          </w:p>
        </w:tc>
        <w:tc>
          <w:tcPr>
            <w:tcW w:w="140"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Да</w:t>
            </w:r>
          </w:p>
        </w:tc>
        <w:tc>
          <w:tcPr>
            <w:tcW w:w="193" w:type="pct"/>
            <w:tcBorders>
              <w:top w:val="single" w:sz="4" w:space="0" w:color="auto"/>
              <w:left w:val="single" w:sz="4" w:space="0" w:color="auto"/>
              <w:bottom w:val="single" w:sz="4" w:space="0" w:color="auto"/>
              <w:right w:val="single" w:sz="4" w:space="0" w:color="auto"/>
            </w:tcBorders>
            <w:hideMark/>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Непр.</w:t>
            </w:r>
          </w:p>
        </w:tc>
        <w:tc>
          <w:tcPr>
            <w:tcW w:w="433" w:type="pct"/>
            <w:tcBorders>
              <w:top w:val="single" w:sz="4" w:space="0" w:color="auto"/>
              <w:left w:val="single" w:sz="4" w:space="0" w:color="auto"/>
              <w:bottom w:val="single" w:sz="4" w:space="0" w:color="auto"/>
              <w:right w:val="single" w:sz="4" w:space="0" w:color="auto"/>
            </w:tcBorders>
          </w:tcPr>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 подготвителна помощ:</w:t>
            </w:r>
          </w:p>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proofErr w:type="gramStart"/>
            <w:r w:rsidRPr="00D64984">
              <w:rPr>
                <w:rFonts w:ascii="Times New Roman" w:eastAsia="Times New Roman" w:hAnsi="Times New Roman" w:cs="Times New Roman"/>
                <w:sz w:val="16"/>
                <w:szCs w:val="16"/>
                <w:lang w:eastAsia="bg-BG"/>
              </w:rPr>
              <w:lastRenderedPageBreak/>
              <w:t>левовата</w:t>
            </w:r>
            <w:proofErr w:type="gramEnd"/>
            <w:r w:rsidRPr="00D64984">
              <w:rPr>
                <w:rFonts w:ascii="Times New Roman" w:eastAsia="Times New Roman" w:hAnsi="Times New Roman" w:cs="Times New Roman"/>
                <w:sz w:val="16"/>
                <w:szCs w:val="16"/>
                <w:lang w:eastAsia="bg-BG"/>
              </w:rPr>
              <w:t xml:space="preserve"> равностойност на 10 000 евро за проекти за вътрешно териториално сътрудничество и на 25 000 евро за проекти за транснационално сътрудничество.</w:t>
            </w:r>
          </w:p>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p>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r w:rsidRPr="00D64984">
              <w:rPr>
                <w:rFonts w:ascii="Times New Roman" w:eastAsia="Times New Roman" w:hAnsi="Times New Roman" w:cs="Times New Roman"/>
                <w:sz w:val="16"/>
                <w:szCs w:val="16"/>
                <w:lang w:eastAsia="bg-BG"/>
              </w:rPr>
              <w:t>За изпълнение на проекти за сътрудничество:</w:t>
            </w:r>
          </w:p>
          <w:p w:rsidR="00D64984" w:rsidRPr="00D64984" w:rsidRDefault="00D64984" w:rsidP="00D64984">
            <w:pPr>
              <w:spacing w:after="0" w:line="240" w:lineRule="auto"/>
              <w:ind w:left="-108" w:right="-85"/>
              <w:jc w:val="center"/>
              <w:rPr>
                <w:rFonts w:ascii="Times New Roman" w:eastAsia="Times New Roman" w:hAnsi="Times New Roman" w:cs="Times New Roman"/>
                <w:sz w:val="16"/>
                <w:szCs w:val="16"/>
                <w:lang w:eastAsia="bg-BG"/>
              </w:rPr>
            </w:pPr>
            <w:proofErr w:type="gramStart"/>
            <w:r w:rsidRPr="00D64984">
              <w:rPr>
                <w:rFonts w:ascii="Times New Roman" w:eastAsia="Times New Roman" w:hAnsi="Times New Roman" w:cs="Times New Roman"/>
                <w:sz w:val="16"/>
                <w:szCs w:val="16"/>
                <w:lang w:eastAsia="bg-BG"/>
              </w:rPr>
              <w:t>левовата</w:t>
            </w:r>
            <w:proofErr w:type="gramEnd"/>
            <w:r w:rsidRPr="00D64984">
              <w:rPr>
                <w:rFonts w:ascii="Times New Roman" w:eastAsia="Times New Roman" w:hAnsi="Times New Roman" w:cs="Times New Roman"/>
                <w:sz w:val="16"/>
                <w:szCs w:val="16"/>
                <w:lang w:eastAsia="bg-BG"/>
              </w:rPr>
              <w:t xml:space="preserve"> равностойност на 100 000 евро за транснационално сътрудничество и на 50 000 евро за вътрешно териториално сътрудничество.</w:t>
            </w:r>
          </w:p>
        </w:tc>
      </w:tr>
    </w:tbl>
    <w:p w:rsidR="00D64984" w:rsidRPr="00D64984" w:rsidRDefault="00D64984" w:rsidP="00D64984">
      <w:pPr>
        <w:ind w:left="1134"/>
        <w:jc w:val="both"/>
        <w:rPr>
          <w:rFonts w:ascii="Calibri" w:hAnsi="Calibri" w:cs="Calibri"/>
          <w:lang w:val="bg-BG"/>
        </w:rPr>
      </w:pPr>
    </w:p>
    <w:p w:rsidR="00D64984" w:rsidRPr="00D64984" w:rsidRDefault="00D64984" w:rsidP="00D64984">
      <w:pPr>
        <w:ind w:left="1134"/>
        <w:jc w:val="both"/>
        <w:rPr>
          <w:rFonts w:cs="Calibri"/>
          <w:lang w:val="bg-BG"/>
        </w:rPr>
      </w:pPr>
    </w:p>
    <w:p w:rsidR="00D64984" w:rsidRPr="00D64984" w:rsidRDefault="00D64984" w:rsidP="00D64984">
      <w:pPr>
        <w:ind w:left="1134"/>
        <w:jc w:val="both"/>
        <w:rPr>
          <w:rFonts w:cs="Calibri"/>
          <w:lang w:val="bg-BG"/>
        </w:rPr>
      </w:pPr>
    </w:p>
    <w:p w:rsidR="00D64984" w:rsidRPr="00D64984" w:rsidRDefault="00FB1E0C" w:rsidP="00D64984">
      <w:pPr>
        <w:spacing w:after="0" w:line="240" w:lineRule="auto"/>
        <w:outlineLvl w:val="0"/>
        <w:rPr>
          <w:rFonts w:ascii="Times New Roman" w:eastAsia="PMingLiU" w:hAnsi="Times New Roman" w:cs="Times New Roman"/>
          <w:sz w:val="24"/>
          <w:szCs w:val="24"/>
          <w:lang w:val="bg-BG"/>
        </w:rPr>
      </w:pPr>
      <w:r>
        <w:rPr>
          <w:rFonts w:ascii="Times New Roman" w:eastAsia="PMingLiU" w:hAnsi="Times New Roman" w:cs="Times New Roman"/>
          <w:sz w:val="24"/>
          <w:szCs w:val="24"/>
          <w:lang w:val="bg-BG"/>
        </w:rPr>
        <w:pict>
          <v:shape id="_x0000_i1027" type="#_x0000_t75" alt="Ред за подпис на Microsoft Office..." style="width:192pt;height:96pt">
            <v:imagedata r:id="rId11" o:title=""/>
            <o:lock v:ext="edit" ungrouping="t" rotation="t" cropping="t" verticies="t" text="t" grouping="t"/>
            <o:signatureline v:ext="edit" id="{6253D83E-1F88-4526-B983-575767E726E0}" provid="{00000000-0000-0000-0000-000000000000}" o:suggestedsigner="Елена Иванова" o:suggestedsigner2="Директор на дирекция РСР" issignatureline="t"/>
          </v:shape>
        </w:pict>
      </w:r>
    </w:p>
    <w:sectPr w:rsidR="00D64984" w:rsidRPr="00D64984" w:rsidSect="00D64984">
      <w:pgSz w:w="16838" w:h="11906" w:orient="landscape"/>
      <w:pgMar w:top="1418" w:right="567" w:bottom="720" w:left="284" w:header="709" w:footer="709"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C4A6A"/>
    <w:multiLevelType w:val="hybridMultilevel"/>
    <w:tmpl w:val="31306214"/>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1">
    <w:nsid w:val="076B3D01"/>
    <w:multiLevelType w:val="hybridMultilevel"/>
    <w:tmpl w:val="DDB29386"/>
    <w:lvl w:ilvl="0" w:tplc="04020001">
      <w:start w:val="1"/>
      <w:numFmt w:val="bullet"/>
      <w:lvlText w:val=""/>
      <w:lvlJc w:val="left"/>
      <w:pPr>
        <w:tabs>
          <w:tab w:val="num" w:pos="720"/>
        </w:tabs>
        <w:ind w:left="720" w:hanging="360"/>
      </w:pPr>
      <w:rPr>
        <w:rFonts w:ascii="Symbol" w:hAnsi="Symbol"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
    <w:nsid w:val="0C0B3C1C"/>
    <w:multiLevelType w:val="hybridMultilevel"/>
    <w:tmpl w:val="9F76E502"/>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F63015E"/>
    <w:multiLevelType w:val="hybridMultilevel"/>
    <w:tmpl w:val="3ED0148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11D07904"/>
    <w:multiLevelType w:val="multilevel"/>
    <w:tmpl w:val="64569BEA"/>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5">
    <w:nsid w:val="14827E8D"/>
    <w:multiLevelType w:val="hybridMultilevel"/>
    <w:tmpl w:val="B8D41E7E"/>
    <w:lvl w:ilvl="0" w:tplc="B3DA3E1A">
      <w:start w:val="1"/>
      <w:numFmt w:val="decimal"/>
      <w:lvlText w:val="%1."/>
      <w:lvlJc w:val="left"/>
      <w:pPr>
        <w:ind w:left="252" w:hanging="360"/>
      </w:pPr>
    </w:lvl>
    <w:lvl w:ilvl="1" w:tplc="08090019">
      <w:start w:val="1"/>
      <w:numFmt w:val="lowerLetter"/>
      <w:lvlText w:val="%2."/>
      <w:lvlJc w:val="left"/>
      <w:pPr>
        <w:ind w:left="972" w:hanging="360"/>
      </w:pPr>
    </w:lvl>
    <w:lvl w:ilvl="2" w:tplc="0809001B">
      <w:start w:val="1"/>
      <w:numFmt w:val="lowerRoman"/>
      <w:lvlText w:val="%3."/>
      <w:lvlJc w:val="right"/>
      <w:pPr>
        <w:ind w:left="1692" w:hanging="180"/>
      </w:pPr>
    </w:lvl>
    <w:lvl w:ilvl="3" w:tplc="0809000F">
      <w:start w:val="1"/>
      <w:numFmt w:val="decimal"/>
      <w:lvlText w:val="%4."/>
      <w:lvlJc w:val="left"/>
      <w:pPr>
        <w:ind w:left="2412" w:hanging="360"/>
      </w:pPr>
    </w:lvl>
    <w:lvl w:ilvl="4" w:tplc="08090019">
      <w:start w:val="1"/>
      <w:numFmt w:val="lowerLetter"/>
      <w:lvlText w:val="%5."/>
      <w:lvlJc w:val="left"/>
      <w:pPr>
        <w:ind w:left="3132" w:hanging="360"/>
      </w:pPr>
    </w:lvl>
    <w:lvl w:ilvl="5" w:tplc="0809001B">
      <w:start w:val="1"/>
      <w:numFmt w:val="lowerRoman"/>
      <w:lvlText w:val="%6."/>
      <w:lvlJc w:val="right"/>
      <w:pPr>
        <w:ind w:left="3852" w:hanging="180"/>
      </w:pPr>
    </w:lvl>
    <w:lvl w:ilvl="6" w:tplc="0809000F">
      <w:start w:val="1"/>
      <w:numFmt w:val="decimal"/>
      <w:lvlText w:val="%7."/>
      <w:lvlJc w:val="left"/>
      <w:pPr>
        <w:ind w:left="4572" w:hanging="360"/>
      </w:pPr>
    </w:lvl>
    <w:lvl w:ilvl="7" w:tplc="08090019">
      <w:start w:val="1"/>
      <w:numFmt w:val="lowerLetter"/>
      <w:lvlText w:val="%8."/>
      <w:lvlJc w:val="left"/>
      <w:pPr>
        <w:ind w:left="5292" w:hanging="360"/>
      </w:pPr>
    </w:lvl>
    <w:lvl w:ilvl="8" w:tplc="0809001B">
      <w:start w:val="1"/>
      <w:numFmt w:val="lowerRoman"/>
      <w:lvlText w:val="%9."/>
      <w:lvlJc w:val="right"/>
      <w:pPr>
        <w:ind w:left="6012" w:hanging="180"/>
      </w:pPr>
    </w:lvl>
  </w:abstractNum>
  <w:abstractNum w:abstractNumId="6">
    <w:nsid w:val="17997FFD"/>
    <w:multiLevelType w:val="hybridMultilevel"/>
    <w:tmpl w:val="D39229A4"/>
    <w:lvl w:ilvl="0" w:tplc="0402000F">
      <w:start w:val="1"/>
      <w:numFmt w:val="decimal"/>
      <w:lvlText w:val="%1."/>
      <w:lvlJc w:val="left"/>
      <w:pPr>
        <w:ind w:left="780" w:hanging="360"/>
      </w:pPr>
    </w:lvl>
    <w:lvl w:ilvl="1" w:tplc="04020019">
      <w:start w:val="1"/>
      <w:numFmt w:val="lowerLetter"/>
      <w:lvlText w:val="%2."/>
      <w:lvlJc w:val="left"/>
      <w:pPr>
        <w:ind w:left="1500" w:hanging="360"/>
      </w:pPr>
    </w:lvl>
    <w:lvl w:ilvl="2" w:tplc="0402001B">
      <w:start w:val="1"/>
      <w:numFmt w:val="lowerRoman"/>
      <w:lvlText w:val="%3."/>
      <w:lvlJc w:val="right"/>
      <w:pPr>
        <w:ind w:left="2220" w:hanging="180"/>
      </w:pPr>
    </w:lvl>
    <w:lvl w:ilvl="3" w:tplc="0402000F">
      <w:start w:val="1"/>
      <w:numFmt w:val="decimal"/>
      <w:lvlText w:val="%4."/>
      <w:lvlJc w:val="left"/>
      <w:pPr>
        <w:ind w:left="2940" w:hanging="360"/>
      </w:pPr>
    </w:lvl>
    <w:lvl w:ilvl="4" w:tplc="04020019">
      <w:start w:val="1"/>
      <w:numFmt w:val="lowerLetter"/>
      <w:lvlText w:val="%5."/>
      <w:lvlJc w:val="left"/>
      <w:pPr>
        <w:ind w:left="3660" w:hanging="360"/>
      </w:pPr>
    </w:lvl>
    <w:lvl w:ilvl="5" w:tplc="0402001B">
      <w:start w:val="1"/>
      <w:numFmt w:val="lowerRoman"/>
      <w:lvlText w:val="%6."/>
      <w:lvlJc w:val="right"/>
      <w:pPr>
        <w:ind w:left="4380" w:hanging="180"/>
      </w:pPr>
    </w:lvl>
    <w:lvl w:ilvl="6" w:tplc="0402000F">
      <w:start w:val="1"/>
      <w:numFmt w:val="decimal"/>
      <w:lvlText w:val="%7."/>
      <w:lvlJc w:val="left"/>
      <w:pPr>
        <w:ind w:left="5100" w:hanging="360"/>
      </w:pPr>
    </w:lvl>
    <w:lvl w:ilvl="7" w:tplc="04020019">
      <w:start w:val="1"/>
      <w:numFmt w:val="lowerLetter"/>
      <w:lvlText w:val="%8."/>
      <w:lvlJc w:val="left"/>
      <w:pPr>
        <w:ind w:left="5820" w:hanging="360"/>
      </w:pPr>
    </w:lvl>
    <w:lvl w:ilvl="8" w:tplc="0402001B">
      <w:start w:val="1"/>
      <w:numFmt w:val="lowerRoman"/>
      <w:lvlText w:val="%9."/>
      <w:lvlJc w:val="right"/>
      <w:pPr>
        <w:ind w:left="6540" w:hanging="180"/>
      </w:pPr>
    </w:lvl>
  </w:abstractNum>
  <w:abstractNum w:abstractNumId="7">
    <w:nsid w:val="4CE47A10"/>
    <w:multiLevelType w:val="hybridMultilevel"/>
    <w:tmpl w:val="ADAC29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F43"/>
    <w:rsid w:val="00003864"/>
    <w:rsid w:val="000304AF"/>
    <w:rsid w:val="00065366"/>
    <w:rsid w:val="00085FA7"/>
    <w:rsid w:val="000A3706"/>
    <w:rsid w:val="000C14D4"/>
    <w:rsid w:val="000D511D"/>
    <w:rsid w:val="000E1919"/>
    <w:rsid w:val="000E4296"/>
    <w:rsid w:val="00126260"/>
    <w:rsid w:val="00140573"/>
    <w:rsid w:val="0014562B"/>
    <w:rsid w:val="00147122"/>
    <w:rsid w:val="0017447E"/>
    <w:rsid w:val="0019669F"/>
    <w:rsid w:val="001A7F87"/>
    <w:rsid w:val="001D13CC"/>
    <w:rsid w:val="001E05AE"/>
    <w:rsid w:val="001E3985"/>
    <w:rsid w:val="00215DC2"/>
    <w:rsid w:val="00230141"/>
    <w:rsid w:val="00246757"/>
    <w:rsid w:val="002668C4"/>
    <w:rsid w:val="00286D5F"/>
    <w:rsid w:val="00290B64"/>
    <w:rsid w:val="002B0197"/>
    <w:rsid w:val="002B4F59"/>
    <w:rsid w:val="002B50B1"/>
    <w:rsid w:val="002C1C90"/>
    <w:rsid w:val="002C3A59"/>
    <w:rsid w:val="002C7126"/>
    <w:rsid w:val="002E054A"/>
    <w:rsid w:val="002F2D11"/>
    <w:rsid w:val="00351B78"/>
    <w:rsid w:val="00390B3C"/>
    <w:rsid w:val="003B1D4F"/>
    <w:rsid w:val="003C39FF"/>
    <w:rsid w:val="003C5545"/>
    <w:rsid w:val="00400D66"/>
    <w:rsid w:val="0042308C"/>
    <w:rsid w:val="004233D0"/>
    <w:rsid w:val="00430DC8"/>
    <w:rsid w:val="00465292"/>
    <w:rsid w:val="004D3B49"/>
    <w:rsid w:val="00517F5F"/>
    <w:rsid w:val="0052768E"/>
    <w:rsid w:val="00556012"/>
    <w:rsid w:val="0055641C"/>
    <w:rsid w:val="00572B14"/>
    <w:rsid w:val="00587497"/>
    <w:rsid w:val="005971A0"/>
    <w:rsid w:val="005A270C"/>
    <w:rsid w:val="005A323A"/>
    <w:rsid w:val="005C0439"/>
    <w:rsid w:val="005E2F5B"/>
    <w:rsid w:val="005F12C9"/>
    <w:rsid w:val="00604340"/>
    <w:rsid w:val="006343A0"/>
    <w:rsid w:val="00680371"/>
    <w:rsid w:val="006A4176"/>
    <w:rsid w:val="006B6A33"/>
    <w:rsid w:val="006E354D"/>
    <w:rsid w:val="006F6F15"/>
    <w:rsid w:val="00721B67"/>
    <w:rsid w:val="00724586"/>
    <w:rsid w:val="00732877"/>
    <w:rsid w:val="00772A01"/>
    <w:rsid w:val="00773F5C"/>
    <w:rsid w:val="0079774A"/>
    <w:rsid w:val="007A121D"/>
    <w:rsid w:val="007A443C"/>
    <w:rsid w:val="007F1F90"/>
    <w:rsid w:val="007F7F43"/>
    <w:rsid w:val="00803E67"/>
    <w:rsid w:val="00814DCF"/>
    <w:rsid w:val="0082464C"/>
    <w:rsid w:val="00876D4D"/>
    <w:rsid w:val="00890BD9"/>
    <w:rsid w:val="008A7948"/>
    <w:rsid w:val="008B7DB2"/>
    <w:rsid w:val="00971AF2"/>
    <w:rsid w:val="009802C7"/>
    <w:rsid w:val="009858A8"/>
    <w:rsid w:val="009C4FE8"/>
    <w:rsid w:val="009E3481"/>
    <w:rsid w:val="009F30D7"/>
    <w:rsid w:val="00A207A6"/>
    <w:rsid w:val="00A2437B"/>
    <w:rsid w:val="00A44C92"/>
    <w:rsid w:val="00A4581D"/>
    <w:rsid w:val="00A55D29"/>
    <w:rsid w:val="00A761B4"/>
    <w:rsid w:val="00A8151D"/>
    <w:rsid w:val="00A82B04"/>
    <w:rsid w:val="00A84ED4"/>
    <w:rsid w:val="00AB2611"/>
    <w:rsid w:val="00AE5B43"/>
    <w:rsid w:val="00B472E1"/>
    <w:rsid w:val="00B510E2"/>
    <w:rsid w:val="00B7375C"/>
    <w:rsid w:val="00B74D12"/>
    <w:rsid w:val="00B80C67"/>
    <w:rsid w:val="00BB74EB"/>
    <w:rsid w:val="00BC385E"/>
    <w:rsid w:val="00BD1785"/>
    <w:rsid w:val="00C117AB"/>
    <w:rsid w:val="00C5413B"/>
    <w:rsid w:val="00C6569C"/>
    <w:rsid w:val="00C7189F"/>
    <w:rsid w:val="00C935D7"/>
    <w:rsid w:val="00CC2B38"/>
    <w:rsid w:val="00CD7141"/>
    <w:rsid w:val="00CE13F6"/>
    <w:rsid w:val="00CF2427"/>
    <w:rsid w:val="00D05078"/>
    <w:rsid w:val="00D27555"/>
    <w:rsid w:val="00D64984"/>
    <w:rsid w:val="00D71C6E"/>
    <w:rsid w:val="00D71DE1"/>
    <w:rsid w:val="00D90AFD"/>
    <w:rsid w:val="00DA12DC"/>
    <w:rsid w:val="00DE0AE2"/>
    <w:rsid w:val="00E13D5E"/>
    <w:rsid w:val="00E21D4F"/>
    <w:rsid w:val="00E96CB9"/>
    <w:rsid w:val="00EB7E89"/>
    <w:rsid w:val="00F507CC"/>
    <w:rsid w:val="00F50EAE"/>
    <w:rsid w:val="00F70DF1"/>
    <w:rsid w:val="00FB1E0C"/>
    <w:rsid w:val="00FB7E26"/>
    <w:rsid w:val="00FD54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C9"/>
    <w:pPr>
      <w:ind w:left="720"/>
      <w:contextualSpacing/>
    </w:pPr>
  </w:style>
  <w:style w:type="paragraph" w:styleId="a4">
    <w:name w:val="Balloon Text"/>
    <w:basedOn w:val="a"/>
    <w:link w:val="a5"/>
    <w:uiPriority w:val="99"/>
    <w:semiHidden/>
    <w:unhideWhenUsed/>
    <w:rsid w:val="00E21D4F"/>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E21D4F"/>
    <w:rPr>
      <w:rFonts w:ascii="Tahoma" w:hAnsi="Tahoma" w:cs="Tahoma"/>
      <w:sz w:val="16"/>
      <w:szCs w:val="16"/>
    </w:rPr>
  </w:style>
  <w:style w:type="table" w:styleId="a6">
    <w:name w:val="Table Grid"/>
    <w:basedOn w:val="a1"/>
    <w:uiPriority w:val="59"/>
    <w:rsid w:val="005C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9669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F12C9"/>
    <w:pPr>
      <w:ind w:left="720"/>
      <w:contextualSpacing/>
    </w:pPr>
  </w:style>
  <w:style w:type="paragraph" w:styleId="a4">
    <w:name w:val="Balloon Text"/>
    <w:basedOn w:val="a"/>
    <w:link w:val="a5"/>
    <w:uiPriority w:val="99"/>
    <w:semiHidden/>
    <w:unhideWhenUsed/>
    <w:rsid w:val="00E21D4F"/>
    <w:pPr>
      <w:spacing w:after="0" w:line="240" w:lineRule="auto"/>
    </w:pPr>
    <w:rPr>
      <w:rFonts w:ascii="Tahoma" w:hAnsi="Tahoma" w:cs="Tahoma"/>
      <w:sz w:val="16"/>
      <w:szCs w:val="16"/>
    </w:rPr>
  </w:style>
  <w:style w:type="character" w:customStyle="1" w:styleId="a5">
    <w:name w:val="Изнесен текст Знак"/>
    <w:basedOn w:val="a0"/>
    <w:link w:val="a4"/>
    <w:uiPriority w:val="99"/>
    <w:semiHidden/>
    <w:rsid w:val="00E21D4F"/>
    <w:rPr>
      <w:rFonts w:ascii="Tahoma" w:hAnsi="Tahoma" w:cs="Tahoma"/>
      <w:sz w:val="16"/>
      <w:szCs w:val="16"/>
    </w:rPr>
  </w:style>
  <w:style w:type="table" w:styleId="a6">
    <w:name w:val="Table Grid"/>
    <w:basedOn w:val="a1"/>
    <w:uiPriority w:val="59"/>
    <w:rsid w:val="005C04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685441">
      <w:bodyDiv w:val="1"/>
      <w:marLeft w:val="0"/>
      <w:marRight w:val="0"/>
      <w:marTop w:val="0"/>
      <w:marBottom w:val="0"/>
      <w:divBdr>
        <w:top w:val="none" w:sz="0" w:space="0" w:color="auto"/>
        <w:left w:val="none" w:sz="0" w:space="0" w:color="auto"/>
        <w:bottom w:val="none" w:sz="0" w:space="0" w:color="auto"/>
        <w:right w:val="none" w:sz="0" w:space="0" w:color="auto"/>
      </w:divBdr>
    </w:div>
    <w:div w:id="140193165">
      <w:bodyDiv w:val="1"/>
      <w:marLeft w:val="0"/>
      <w:marRight w:val="0"/>
      <w:marTop w:val="0"/>
      <w:marBottom w:val="0"/>
      <w:divBdr>
        <w:top w:val="none" w:sz="0" w:space="0" w:color="auto"/>
        <w:left w:val="none" w:sz="0" w:space="0" w:color="auto"/>
        <w:bottom w:val="none" w:sz="0" w:space="0" w:color="auto"/>
        <w:right w:val="none" w:sz="0" w:space="0" w:color="auto"/>
      </w:divBdr>
    </w:div>
    <w:div w:id="200216537">
      <w:bodyDiv w:val="1"/>
      <w:marLeft w:val="0"/>
      <w:marRight w:val="0"/>
      <w:marTop w:val="0"/>
      <w:marBottom w:val="0"/>
      <w:divBdr>
        <w:top w:val="none" w:sz="0" w:space="0" w:color="auto"/>
        <w:left w:val="none" w:sz="0" w:space="0" w:color="auto"/>
        <w:bottom w:val="none" w:sz="0" w:space="0" w:color="auto"/>
        <w:right w:val="none" w:sz="0" w:space="0" w:color="auto"/>
      </w:divBdr>
    </w:div>
    <w:div w:id="564143730">
      <w:bodyDiv w:val="1"/>
      <w:marLeft w:val="0"/>
      <w:marRight w:val="0"/>
      <w:marTop w:val="0"/>
      <w:marBottom w:val="0"/>
      <w:divBdr>
        <w:top w:val="none" w:sz="0" w:space="0" w:color="auto"/>
        <w:left w:val="none" w:sz="0" w:space="0" w:color="auto"/>
        <w:bottom w:val="none" w:sz="0" w:space="0" w:color="auto"/>
        <w:right w:val="none" w:sz="0" w:space="0" w:color="auto"/>
      </w:divBdr>
    </w:div>
    <w:div w:id="666832582">
      <w:bodyDiv w:val="1"/>
      <w:marLeft w:val="0"/>
      <w:marRight w:val="0"/>
      <w:marTop w:val="0"/>
      <w:marBottom w:val="0"/>
      <w:divBdr>
        <w:top w:val="none" w:sz="0" w:space="0" w:color="auto"/>
        <w:left w:val="none" w:sz="0" w:space="0" w:color="auto"/>
        <w:bottom w:val="none" w:sz="0" w:space="0" w:color="auto"/>
        <w:right w:val="none" w:sz="0" w:space="0" w:color="auto"/>
      </w:divBdr>
    </w:div>
    <w:div w:id="796994809">
      <w:bodyDiv w:val="1"/>
      <w:marLeft w:val="0"/>
      <w:marRight w:val="0"/>
      <w:marTop w:val="0"/>
      <w:marBottom w:val="0"/>
      <w:divBdr>
        <w:top w:val="none" w:sz="0" w:space="0" w:color="auto"/>
        <w:left w:val="none" w:sz="0" w:space="0" w:color="auto"/>
        <w:bottom w:val="none" w:sz="0" w:space="0" w:color="auto"/>
        <w:right w:val="none" w:sz="0" w:space="0" w:color="auto"/>
      </w:divBdr>
    </w:div>
    <w:div w:id="839664048">
      <w:bodyDiv w:val="1"/>
      <w:marLeft w:val="0"/>
      <w:marRight w:val="0"/>
      <w:marTop w:val="0"/>
      <w:marBottom w:val="0"/>
      <w:divBdr>
        <w:top w:val="none" w:sz="0" w:space="0" w:color="auto"/>
        <w:left w:val="none" w:sz="0" w:space="0" w:color="auto"/>
        <w:bottom w:val="none" w:sz="0" w:space="0" w:color="auto"/>
        <w:right w:val="none" w:sz="0" w:space="0" w:color="auto"/>
      </w:divBdr>
    </w:div>
    <w:div w:id="1100297301">
      <w:bodyDiv w:val="1"/>
      <w:marLeft w:val="0"/>
      <w:marRight w:val="0"/>
      <w:marTop w:val="0"/>
      <w:marBottom w:val="0"/>
      <w:divBdr>
        <w:top w:val="none" w:sz="0" w:space="0" w:color="auto"/>
        <w:left w:val="none" w:sz="0" w:space="0" w:color="auto"/>
        <w:bottom w:val="none" w:sz="0" w:space="0" w:color="auto"/>
        <w:right w:val="none" w:sz="0" w:space="0" w:color="auto"/>
      </w:divBdr>
    </w:div>
    <w:div w:id="1671250770">
      <w:bodyDiv w:val="1"/>
      <w:marLeft w:val="0"/>
      <w:marRight w:val="0"/>
      <w:marTop w:val="0"/>
      <w:marBottom w:val="0"/>
      <w:divBdr>
        <w:top w:val="none" w:sz="0" w:space="0" w:color="auto"/>
        <w:left w:val="none" w:sz="0" w:space="0" w:color="auto"/>
        <w:bottom w:val="none" w:sz="0" w:space="0" w:color="auto"/>
        <w:right w:val="none" w:sz="0" w:space="0" w:color="auto"/>
      </w:divBdr>
    </w:div>
    <w:div w:id="207476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emf"/><Relationship Id="rId5" Type="http://schemas.openxmlformats.org/officeDocument/2006/relationships/settings" Target="settings.xml"/><Relationship Id="rId10"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F64FFC-4C68-4AF4-BA49-54DECE692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31</Pages>
  <Words>9403</Words>
  <Characters>53601</Characters>
  <Application>Microsoft Office Word</Application>
  <DocSecurity>0</DocSecurity>
  <Lines>446</Lines>
  <Paragraphs>125</Paragraphs>
  <ScaleCrop>false</ScaleCrop>
  <HeadingPairs>
    <vt:vector size="4" baseType="variant">
      <vt:variant>
        <vt:lpstr>Заглавие</vt:lpstr>
      </vt:variant>
      <vt:variant>
        <vt:i4>1</vt:i4>
      </vt:variant>
      <vt:variant>
        <vt:lpstr>Title</vt:lpstr>
      </vt:variant>
      <vt:variant>
        <vt:i4>1</vt:i4>
      </vt:variant>
    </vt:vector>
  </HeadingPairs>
  <TitlesOfParts>
    <vt:vector size="2" baseType="lpstr">
      <vt:lpstr/>
      <vt:lpstr/>
    </vt:vector>
  </TitlesOfParts>
  <Company>Grizli777</Company>
  <LinksUpToDate>false</LinksUpToDate>
  <CharactersWithSpaces>62879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Snezhana Grigorova</dc:creator>
  <cp:lastModifiedBy>PC</cp:lastModifiedBy>
  <cp:revision>2</cp:revision>
  <cp:lastPrinted>2020-02-10T08:23:00Z</cp:lastPrinted>
  <dcterms:created xsi:type="dcterms:W3CDTF">2021-03-23T14:19:00Z</dcterms:created>
  <dcterms:modified xsi:type="dcterms:W3CDTF">2021-03-23T14:19:00Z</dcterms:modified>
</cp:coreProperties>
</file>