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3D3" w:rsidRPr="00154E6A" w:rsidRDefault="002F53D3">
      <w:pPr>
        <w:spacing w:line="360" w:lineRule="auto"/>
        <w:rPr>
          <w:rFonts w:ascii="Verdana" w:hAnsi="Verdana"/>
          <w:b/>
          <w:lang w:val="bg-BG"/>
        </w:rPr>
      </w:pPr>
    </w:p>
    <w:p w:rsidR="009B0162" w:rsidRPr="00154E6A" w:rsidRDefault="009B0162">
      <w:pPr>
        <w:spacing w:line="360" w:lineRule="auto"/>
        <w:rPr>
          <w:rFonts w:ascii="Verdana" w:hAnsi="Verdana"/>
          <w:b/>
          <w:lang w:val="bg-BG"/>
        </w:rPr>
      </w:pPr>
    </w:p>
    <w:p w:rsidR="003F5B76" w:rsidRPr="00154E6A" w:rsidRDefault="005F3625">
      <w:pPr>
        <w:spacing w:line="360" w:lineRule="auto"/>
        <w:rPr>
          <w:rFonts w:ascii="Verdana" w:hAnsi="Verdana"/>
          <w:b/>
          <w:lang w:val="bg-BG"/>
        </w:rPr>
      </w:pPr>
      <w:r w:rsidRPr="00154E6A">
        <w:rPr>
          <w:rFonts w:ascii="Verdana" w:hAnsi="Verdana"/>
          <w:b/>
          <w:lang w:val="bg-BG"/>
        </w:rPr>
        <w:t>ДО</w:t>
      </w:r>
    </w:p>
    <w:p w:rsidR="003F5B76" w:rsidRPr="00154E6A" w:rsidRDefault="005F3625">
      <w:pPr>
        <w:spacing w:line="360" w:lineRule="auto"/>
        <w:jc w:val="both"/>
        <w:outlineLvl w:val="0"/>
        <w:rPr>
          <w:rFonts w:ascii="Verdana" w:hAnsi="Verdana"/>
          <w:b/>
          <w:lang w:val="bg-BG"/>
        </w:rPr>
      </w:pPr>
      <w:r w:rsidRPr="00154E6A">
        <w:rPr>
          <w:rFonts w:ascii="Verdana" w:hAnsi="Verdana"/>
          <w:b/>
          <w:lang w:val="bg-BG"/>
        </w:rPr>
        <w:t>МИНИСТЕРСКИЯ СЪВЕТ</w:t>
      </w:r>
    </w:p>
    <w:p w:rsidR="003F5B76" w:rsidRPr="00154E6A" w:rsidRDefault="005F3625">
      <w:pPr>
        <w:spacing w:line="360" w:lineRule="auto"/>
        <w:jc w:val="both"/>
        <w:outlineLvl w:val="0"/>
        <w:rPr>
          <w:rFonts w:ascii="Verdana" w:hAnsi="Verdana"/>
          <w:b/>
          <w:lang w:val="bg-BG"/>
        </w:rPr>
      </w:pPr>
      <w:r w:rsidRPr="00154E6A">
        <w:rPr>
          <w:rFonts w:ascii="Verdana" w:hAnsi="Verdana"/>
          <w:b/>
          <w:lang w:val="bg-BG"/>
        </w:rPr>
        <w:t>НА РЕПУБЛИКА БЪЛГАРИЯ</w:t>
      </w:r>
    </w:p>
    <w:p w:rsidR="003F5B76" w:rsidRPr="00154E6A" w:rsidRDefault="003F5B76">
      <w:pPr>
        <w:spacing w:line="360" w:lineRule="auto"/>
        <w:jc w:val="center"/>
        <w:rPr>
          <w:rFonts w:ascii="Verdana" w:hAnsi="Verdana"/>
          <w:b/>
          <w:spacing w:val="60"/>
          <w:lang w:val="bg-BG"/>
        </w:rPr>
      </w:pPr>
    </w:p>
    <w:p w:rsidR="002F53D3" w:rsidRPr="00154E6A" w:rsidRDefault="002F53D3">
      <w:pPr>
        <w:spacing w:line="360" w:lineRule="auto"/>
        <w:jc w:val="center"/>
        <w:rPr>
          <w:rFonts w:ascii="Verdana" w:hAnsi="Verdana"/>
          <w:b/>
          <w:spacing w:val="60"/>
          <w:lang w:val="bg-BG"/>
        </w:rPr>
      </w:pPr>
    </w:p>
    <w:p w:rsidR="009B0162" w:rsidRPr="00154E6A" w:rsidRDefault="009B0162">
      <w:pPr>
        <w:spacing w:line="360" w:lineRule="auto"/>
        <w:jc w:val="center"/>
        <w:rPr>
          <w:rFonts w:ascii="Verdana" w:hAnsi="Verdana"/>
          <w:b/>
          <w:spacing w:val="60"/>
          <w:sz w:val="24"/>
          <w:szCs w:val="24"/>
          <w:lang w:val="bg-BG"/>
        </w:rPr>
      </w:pPr>
    </w:p>
    <w:p w:rsidR="003F5B76" w:rsidRPr="00154E6A" w:rsidRDefault="005F3625">
      <w:pPr>
        <w:spacing w:line="360" w:lineRule="auto"/>
        <w:jc w:val="center"/>
        <w:rPr>
          <w:rFonts w:ascii="Verdana" w:hAnsi="Verdana"/>
          <w:b/>
          <w:spacing w:val="60"/>
          <w:sz w:val="24"/>
          <w:szCs w:val="24"/>
          <w:lang w:val="bg-BG"/>
        </w:rPr>
      </w:pPr>
      <w:r w:rsidRPr="00154E6A">
        <w:rPr>
          <w:rFonts w:ascii="Verdana" w:hAnsi="Verdana"/>
          <w:b/>
          <w:spacing w:val="60"/>
          <w:sz w:val="24"/>
          <w:szCs w:val="24"/>
          <w:lang w:val="bg-BG"/>
        </w:rPr>
        <w:t>ДОКЛАД</w:t>
      </w:r>
    </w:p>
    <w:p w:rsidR="003F5B76" w:rsidRPr="00154E6A" w:rsidRDefault="005F3625">
      <w:pPr>
        <w:spacing w:line="360" w:lineRule="auto"/>
        <w:jc w:val="center"/>
        <w:rPr>
          <w:rFonts w:ascii="Verdana" w:hAnsi="Verdana"/>
          <w:b/>
          <w:lang w:val="bg-BG"/>
        </w:rPr>
      </w:pPr>
      <w:r w:rsidRPr="00154E6A">
        <w:rPr>
          <w:rFonts w:ascii="Verdana" w:hAnsi="Verdana"/>
          <w:b/>
          <w:lang w:val="bg-BG"/>
        </w:rPr>
        <w:t>ОТ ДЕСИСЛАВА ТАНЕВА – МИНИСТЪР НА ЗЕМЕДЕЛИЕТО, ХРАНИТЕ И ГОРИТЕ</w:t>
      </w:r>
    </w:p>
    <w:p w:rsidR="003F5B76" w:rsidRPr="00154E6A" w:rsidRDefault="003F5B76">
      <w:pPr>
        <w:spacing w:line="360" w:lineRule="auto"/>
        <w:ind w:firstLine="567"/>
        <w:jc w:val="center"/>
        <w:rPr>
          <w:rFonts w:ascii="Verdana" w:hAnsi="Verdana"/>
          <w:b/>
          <w:lang w:val="bg-BG"/>
        </w:rPr>
      </w:pPr>
    </w:p>
    <w:p w:rsidR="003F5B76" w:rsidRPr="00154E6A" w:rsidRDefault="003F5B76">
      <w:pPr>
        <w:spacing w:line="360" w:lineRule="auto"/>
        <w:ind w:firstLine="567"/>
        <w:jc w:val="center"/>
        <w:rPr>
          <w:rFonts w:ascii="Verdana" w:hAnsi="Verdana"/>
          <w:b/>
          <w:lang w:val="bg-BG"/>
        </w:rPr>
      </w:pPr>
    </w:p>
    <w:p w:rsidR="009B0162" w:rsidRPr="00154E6A" w:rsidRDefault="009B0162">
      <w:pPr>
        <w:spacing w:line="360" w:lineRule="auto"/>
        <w:ind w:firstLine="567"/>
        <w:jc w:val="center"/>
        <w:rPr>
          <w:rFonts w:ascii="Verdana" w:hAnsi="Verdana"/>
          <w:b/>
          <w:lang w:val="bg-BG"/>
        </w:rPr>
      </w:pPr>
    </w:p>
    <w:p w:rsidR="003F5B76" w:rsidRPr="00154E6A" w:rsidRDefault="005F3625">
      <w:pPr>
        <w:spacing w:line="360" w:lineRule="auto"/>
        <w:ind w:left="1134" w:hanging="1134"/>
        <w:jc w:val="both"/>
        <w:rPr>
          <w:rFonts w:ascii="Verdana" w:hAnsi="Verdana"/>
          <w:lang w:val="bg-BG"/>
        </w:rPr>
      </w:pPr>
      <w:r w:rsidRPr="00154E6A">
        <w:rPr>
          <w:rFonts w:ascii="Verdana" w:hAnsi="Verdana"/>
          <w:b/>
          <w:lang w:val="bg-BG"/>
        </w:rPr>
        <w:t>Относно:</w:t>
      </w:r>
      <w:r w:rsidRPr="00154E6A">
        <w:rPr>
          <w:rFonts w:ascii="Verdana" w:hAnsi="Verdana"/>
          <w:lang w:val="bg-BG"/>
        </w:rPr>
        <w:t xml:space="preserve"> Проект на Постановление на Министерския съвет за приемане на Наредба за </w:t>
      </w:r>
      <w:r w:rsidR="001A7B68" w:rsidRPr="00154E6A">
        <w:rPr>
          <w:rFonts w:ascii="Verdana" w:hAnsi="Verdana"/>
          <w:lang w:val="bg-BG"/>
        </w:rPr>
        <w:t xml:space="preserve">хранителните добавки </w:t>
      </w:r>
    </w:p>
    <w:p w:rsidR="003F5B76" w:rsidRPr="00154E6A" w:rsidRDefault="003F5B76">
      <w:pPr>
        <w:spacing w:line="360" w:lineRule="auto"/>
        <w:ind w:firstLine="851"/>
        <w:jc w:val="both"/>
        <w:outlineLvl w:val="0"/>
        <w:rPr>
          <w:rFonts w:ascii="Verdana" w:hAnsi="Verdana"/>
          <w:b/>
          <w:lang w:val="bg-BG"/>
        </w:rPr>
      </w:pPr>
    </w:p>
    <w:p w:rsidR="003F5B76" w:rsidRPr="00154E6A" w:rsidRDefault="003F5B76">
      <w:pPr>
        <w:spacing w:line="360" w:lineRule="auto"/>
        <w:ind w:firstLine="851"/>
        <w:jc w:val="both"/>
        <w:outlineLvl w:val="0"/>
        <w:rPr>
          <w:rFonts w:ascii="Verdana" w:hAnsi="Verdana"/>
          <w:b/>
          <w:lang w:val="bg-BG"/>
        </w:rPr>
      </w:pPr>
    </w:p>
    <w:p w:rsidR="009B0162" w:rsidRPr="00154E6A" w:rsidRDefault="009B0162">
      <w:pPr>
        <w:spacing w:line="360" w:lineRule="auto"/>
        <w:ind w:firstLine="851"/>
        <w:jc w:val="both"/>
        <w:outlineLvl w:val="0"/>
        <w:rPr>
          <w:rFonts w:ascii="Verdana" w:hAnsi="Verdana"/>
          <w:b/>
          <w:lang w:val="bg-BG"/>
        </w:rPr>
      </w:pPr>
    </w:p>
    <w:p w:rsidR="003F5B76" w:rsidRPr="00154E6A" w:rsidRDefault="005F3625">
      <w:pPr>
        <w:spacing w:line="360" w:lineRule="auto"/>
        <w:rPr>
          <w:rFonts w:ascii="Verdana" w:hAnsi="Verdana"/>
          <w:b/>
          <w:lang w:val="bg-BG"/>
        </w:rPr>
      </w:pPr>
      <w:r w:rsidRPr="00154E6A">
        <w:rPr>
          <w:rFonts w:ascii="Verdana" w:hAnsi="Verdana"/>
          <w:b/>
          <w:lang w:val="bg-BG"/>
        </w:rPr>
        <w:t>УВАЖАЕМИ ГОСПОДИН МИНИСТЪР-ПРЕДСЕДАТЕЛ,</w:t>
      </w:r>
    </w:p>
    <w:p w:rsidR="003F5B76" w:rsidRPr="00154E6A" w:rsidRDefault="005F3625">
      <w:pPr>
        <w:spacing w:after="120" w:line="360" w:lineRule="auto"/>
        <w:rPr>
          <w:rFonts w:ascii="Verdana" w:hAnsi="Verdana"/>
          <w:b/>
          <w:lang w:val="bg-BG"/>
        </w:rPr>
      </w:pPr>
      <w:r w:rsidRPr="00154E6A">
        <w:rPr>
          <w:rFonts w:ascii="Verdana" w:hAnsi="Verdana"/>
          <w:b/>
          <w:lang w:val="bg-BG"/>
        </w:rPr>
        <w:t>УВАЖАЕМИ ГОСПОЖИ И ГОСПОДА МИНИСТРИ,</w:t>
      </w:r>
    </w:p>
    <w:p w:rsidR="003F5B76" w:rsidRPr="00154E6A" w:rsidRDefault="005F3625" w:rsidP="002F53D3">
      <w:pPr>
        <w:spacing w:line="360" w:lineRule="auto"/>
        <w:ind w:firstLine="709"/>
        <w:jc w:val="both"/>
        <w:rPr>
          <w:rFonts w:ascii="Verdana" w:hAnsi="Verdana"/>
          <w:b/>
          <w:lang w:val="bg-BG"/>
        </w:rPr>
      </w:pPr>
      <w:r w:rsidRPr="00154E6A">
        <w:rPr>
          <w:rFonts w:ascii="Verdana" w:hAnsi="Verdana" w:cs="Verdana"/>
          <w:lang w:val="bg-BG" w:eastAsia="zh-CN"/>
        </w:rPr>
        <w:t>На основание чл. 31, ал. 2 от Устройствения правилник на Министерския съвет и на неговата администрация, внасям за разглеждане от Министерския съвет проект на Постановление за приемане на Наредба за</w:t>
      </w:r>
      <w:r w:rsidR="001A7B68" w:rsidRPr="00154E6A">
        <w:rPr>
          <w:rFonts w:ascii="Verdana" w:hAnsi="Verdana" w:cs="Verdana"/>
          <w:lang w:val="bg-BG" w:eastAsia="zh-CN"/>
        </w:rPr>
        <w:t xml:space="preserve"> хранителните добавки</w:t>
      </w:r>
      <w:r w:rsidRPr="00154E6A">
        <w:rPr>
          <w:rFonts w:ascii="Verdana" w:hAnsi="Verdana" w:cs="Verdana"/>
          <w:lang w:val="bg-BG" w:eastAsia="zh-CN"/>
        </w:rPr>
        <w:t xml:space="preserve">. </w:t>
      </w:r>
    </w:p>
    <w:p w:rsidR="009B0162" w:rsidRPr="00154E6A" w:rsidRDefault="009B0162" w:rsidP="009B0162">
      <w:pPr>
        <w:spacing w:line="360" w:lineRule="auto"/>
        <w:ind w:firstLine="709"/>
        <w:jc w:val="both"/>
        <w:rPr>
          <w:rFonts w:ascii="Verdana" w:hAnsi="Verdana" w:cs="Verdana"/>
          <w:b/>
          <w:lang w:val="bg-BG"/>
        </w:rPr>
      </w:pPr>
    </w:p>
    <w:p w:rsidR="00EB278A" w:rsidRPr="00154E6A" w:rsidRDefault="00EB278A" w:rsidP="009B0162">
      <w:pPr>
        <w:spacing w:line="360" w:lineRule="auto"/>
        <w:ind w:firstLine="709"/>
        <w:jc w:val="both"/>
        <w:rPr>
          <w:rFonts w:ascii="Verdana" w:hAnsi="Verdana" w:cs="Verdana"/>
          <w:b/>
          <w:lang w:val="bg-BG"/>
        </w:rPr>
      </w:pPr>
      <w:r w:rsidRPr="00154E6A">
        <w:rPr>
          <w:rFonts w:ascii="Verdana" w:hAnsi="Verdana" w:cs="Verdana"/>
          <w:b/>
          <w:lang w:val="bg-BG"/>
        </w:rPr>
        <w:t>Причини, които налагат приемането на акта</w:t>
      </w:r>
    </w:p>
    <w:p w:rsidR="001A7B68" w:rsidRPr="00154E6A" w:rsidRDefault="001A7B68" w:rsidP="001A7B68">
      <w:pPr>
        <w:spacing w:line="360" w:lineRule="auto"/>
        <w:ind w:firstLine="709"/>
        <w:jc w:val="both"/>
        <w:rPr>
          <w:rFonts w:ascii="Verdana" w:hAnsi="Verdana"/>
          <w:lang w:val="bg-BG"/>
        </w:rPr>
      </w:pPr>
      <w:r w:rsidRPr="00154E6A">
        <w:rPr>
          <w:rFonts w:ascii="Verdana" w:hAnsi="Verdana"/>
          <w:bCs/>
          <w:lang w:val="bg-BG"/>
        </w:rPr>
        <w:t>В „Държавен вестник“ бр. 52 от 09.06.2020 г. е публикуван нов Закон за храните. Законът влиза в сила в деня на</w:t>
      </w:r>
      <w:r w:rsidRPr="00154E6A">
        <w:rPr>
          <w:rFonts w:ascii="Verdana" w:hAnsi="Verdana"/>
          <w:lang w:val="bg-BG"/>
        </w:rPr>
        <w:t xml:space="preserve"> обнародването му в „Държавен вестник</w:t>
      </w:r>
      <w:r w:rsidRPr="00154E6A">
        <w:rPr>
          <w:rFonts w:ascii="Verdana" w:hAnsi="Verdana"/>
          <w:bCs/>
          <w:lang w:val="bg-BG"/>
        </w:rPr>
        <w:t>”</w:t>
      </w:r>
      <w:r w:rsidRPr="00154E6A">
        <w:rPr>
          <w:rFonts w:ascii="Verdana" w:hAnsi="Verdana"/>
          <w:lang w:val="bg-BG"/>
        </w:rPr>
        <w:t>.</w:t>
      </w:r>
    </w:p>
    <w:p w:rsidR="001A7B68" w:rsidRPr="00154E6A" w:rsidRDefault="001A7B68" w:rsidP="001A7B68">
      <w:pPr>
        <w:spacing w:line="360" w:lineRule="auto"/>
        <w:ind w:firstLine="709"/>
        <w:jc w:val="both"/>
        <w:rPr>
          <w:rFonts w:ascii="Verdana" w:hAnsi="Verdana"/>
          <w:bCs/>
          <w:lang w:val="bg-BG"/>
        </w:rPr>
      </w:pPr>
      <w:r w:rsidRPr="00154E6A">
        <w:rPr>
          <w:rFonts w:ascii="Verdana" w:hAnsi="Verdana"/>
          <w:bCs/>
          <w:lang w:val="bg-BG"/>
        </w:rPr>
        <w:t xml:space="preserve">Съгласно § 8, ал. 1 от преходните и заключителни разпоредби на Закона за храните, подзаконовите нормативни актове по прилагането му се приемат, съответно издават, в 6-месечен срок от влизането на закона в сила, а съгласно ал. 3, до приемането, съответно издаването на актовете по ал. 1 се прилагат подзаконовите нормативни актове по прилагането на отменения Закон за храните, доколкото не противоречат на този закон. </w:t>
      </w:r>
    </w:p>
    <w:p w:rsidR="00EC3E42" w:rsidRPr="00154E6A" w:rsidRDefault="00EC3E42" w:rsidP="001A7B68">
      <w:pPr>
        <w:spacing w:line="360" w:lineRule="auto"/>
        <w:ind w:firstLine="709"/>
        <w:jc w:val="both"/>
        <w:rPr>
          <w:rFonts w:ascii="Verdana" w:hAnsi="Verdana"/>
          <w:bCs/>
          <w:lang w:val="bg-BG"/>
        </w:rPr>
      </w:pPr>
    </w:p>
    <w:p w:rsidR="00EC3E42" w:rsidRDefault="00EC3E42" w:rsidP="00EC3E42">
      <w:pPr>
        <w:spacing w:line="360" w:lineRule="auto"/>
        <w:ind w:firstLine="709"/>
        <w:jc w:val="both"/>
        <w:rPr>
          <w:rFonts w:ascii="Verdana" w:hAnsi="Verdana"/>
          <w:bCs/>
        </w:rPr>
      </w:pPr>
      <w:r w:rsidRPr="00154E6A">
        <w:rPr>
          <w:rFonts w:ascii="Verdana" w:hAnsi="Verdana"/>
          <w:bCs/>
          <w:lang w:val="bg-BG"/>
        </w:rPr>
        <w:lastRenderedPageBreak/>
        <w:t>Съгласно последното изменение на Закона за храните</w:t>
      </w:r>
      <w:r w:rsidR="009B55F4" w:rsidRPr="00154E6A">
        <w:rPr>
          <w:rFonts w:ascii="Verdana" w:hAnsi="Verdana"/>
          <w:bCs/>
          <w:lang w:val="bg-BG"/>
        </w:rPr>
        <w:t xml:space="preserve"> </w:t>
      </w:r>
      <w:r w:rsidRPr="00154E6A">
        <w:rPr>
          <w:rFonts w:ascii="Verdana" w:hAnsi="Verdana"/>
          <w:bCs/>
          <w:lang w:val="bg-BG"/>
        </w:rPr>
        <w:t xml:space="preserve">(обн., ДВ, бр. 13 от 2021 г.) е променена законовата делегация за наредбата за хранителните добавки. </w:t>
      </w:r>
    </w:p>
    <w:p w:rsidR="00067BCE" w:rsidRPr="00067BCE" w:rsidRDefault="00067BCE" w:rsidP="00067BCE">
      <w:pPr>
        <w:spacing w:line="360" w:lineRule="auto"/>
        <w:ind w:firstLine="709"/>
        <w:jc w:val="both"/>
        <w:rPr>
          <w:rFonts w:ascii="Verdana" w:hAnsi="Verdana"/>
          <w:bCs/>
          <w:iCs/>
          <w:lang w:val="bg-BG"/>
        </w:rPr>
      </w:pPr>
      <w:r w:rsidRPr="00067BCE">
        <w:rPr>
          <w:rFonts w:ascii="Verdana" w:hAnsi="Verdana"/>
          <w:bCs/>
          <w:iCs/>
          <w:lang w:val="bg-BG"/>
        </w:rPr>
        <w:t>Разпоредбата на чл. 81, ал. 1 от Закона за храните определя компетентност по отношение на новия нормативен акт за хранителните добавки за Министерския съвет.</w:t>
      </w:r>
    </w:p>
    <w:p w:rsidR="000E2A68" w:rsidRPr="00154E6A" w:rsidRDefault="000E2A68" w:rsidP="000E2A68">
      <w:pPr>
        <w:spacing w:line="360" w:lineRule="auto"/>
        <w:ind w:firstLine="709"/>
        <w:jc w:val="both"/>
        <w:rPr>
          <w:rFonts w:ascii="Verdana" w:hAnsi="Verdana"/>
          <w:bCs/>
          <w:lang w:val="bg-BG"/>
        </w:rPr>
      </w:pPr>
      <w:r w:rsidRPr="00154E6A">
        <w:rPr>
          <w:rFonts w:ascii="Verdana" w:hAnsi="Verdana"/>
          <w:bCs/>
          <w:lang w:val="bg-BG"/>
        </w:rPr>
        <w:t xml:space="preserve">Към настоящия момент е в сила и се прилага Наредба № 47 от 2004 г. за изискванията към хранителните добавки, издадена от министъра на здравеопазването </w:t>
      </w:r>
      <w:r w:rsidRPr="00154E6A">
        <w:rPr>
          <w:rFonts w:ascii="Verdana" w:hAnsi="Verdana"/>
          <w:bCs/>
          <w:iCs/>
          <w:lang w:val="bg-BG"/>
        </w:rPr>
        <w:t>(обн. ДВ, бр. 5 от 2005 г.)</w:t>
      </w:r>
      <w:r w:rsidR="002F5F15" w:rsidRPr="002F5F15">
        <w:t xml:space="preserve"> </w:t>
      </w:r>
      <w:r w:rsidR="002F5F15" w:rsidRPr="00A00D04">
        <w:rPr>
          <w:rFonts w:ascii="Verdana" w:hAnsi="Verdana"/>
          <w:lang w:val="bg-BG"/>
        </w:rPr>
        <w:t>(</w:t>
      </w:r>
      <w:r w:rsidR="002F5F15" w:rsidRPr="00A00D04">
        <w:rPr>
          <w:rFonts w:ascii="Verdana" w:hAnsi="Verdana"/>
          <w:bCs/>
          <w:iCs/>
          <w:lang w:val="bg-BG"/>
        </w:rPr>
        <w:t>Наредба № 47 от 2004 г</w:t>
      </w:r>
      <w:r w:rsidRPr="00A00D04">
        <w:rPr>
          <w:rFonts w:ascii="Verdana" w:hAnsi="Verdana"/>
          <w:bCs/>
          <w:lang w:val="bg-BG"/>
        </w:rPr>
        <w:t>.</w:t>
      </w:r>
      <w:r w:rsidR="002F5F15" w:rsidRPr="00A00D04">
        <w:rPr>
          <w:rFonts w:ascii="Verdana" w:hAnsi="Verdana"/>
          <w:bCs/>
          <w:lang w:val="bg-BG"/>
        </w:rPr>
        <w:t>)</w:t>
      </w:r>
      <w:r w:rsidRPr="00154E6A">
        <w:rPr>
          <w:rFonts w:ascii="Verdana" w:hAnsi="Verdana"/>
          <w:bCs/>
          <w:lang w:val="bg-BG"/>
        </w:rPr>
        <w:t xml:space="preserve"> Действащата Наредба № 47 от 2004 г. за изискванията към хранителните добавки следва да бъде отменена от министъра на здравеопазването.</w:t>
      </w:r>
    </w:p>
    <w:p w:rsidR="000E2A68" w:rsidRPr="00154E6A" w:rsidRDefault="000E2A68" w:rsidP="000E2A68">
      <w:pPr>
        <w:spacing w:line="360" w:lineRule="auto"/>
        <w:ind w:firstLine="709"/>
        <w:jc w:val="both"/>
        <w:rPr>
          <w:rFonts w:ascii="Verdana" w:hAnsi="Verdana"/>
          <w:bCs/>
          <w:iCs/>
          <w:lang w:val="bg-BG"/>
        </w:rPr>
      </w:pPr>
      <w:r w:rsidRPr="00154E6A">
        <w:rPr>
          <w:rFonts w:ascii="Verdana" w:hAnsi="Verdana"/>
          <w:bCs/>
          <w:iCs/>
          <w:lang w:val="bg-BG"/>
        </w:rPr>
        <w:t>В проекта на наредба, са направени редица промени и допълнения в сравнение със сега действащата Наредба № 47</w:t>
      </w:r>
      <w:r w:rsidR="006B0AD2">
        <w:rPr>
          <w:rFonts w:ascii="Verdana" w:hAnsi="Verdana"/>
          <w:bCs/>
          <w:iCs/>
          <w:lang w:val="bg-BG"/>
        </w:rPr>
        <w:t xml:space="preserve"> </w:t>
      </w:r>
      <w:r w:rsidR="006B0AD2" w:rsidRPr="00A00D04">
        <w:rPr>
          <w:rFonts w:ascii="Verdana" w:hAnsi="Verdana"/>
          <w:bCs/>
          <w:iCs/>
          <w:lang w:val="bg-BG"/>
        </w:rPr>
        <w:t>от 2004 г.</w:t>
      </w:r>
      <w:r w:rsidRPr="00154E6A">
        <w:rPr>
          <w:rFonts w:ascii="Verdana" w:hAnsi="Verdana"/>
          <w:bCs/>
          <w:iCs/>
          <w:lang w:val="bg-BG"/>
        </w:rPr>
        <w:t xml:space="preserve"> за изискванията към хранителните добавки, имащи за цел, както постигането на пълно и правилно транспониране в националното законодателство на изискванията на Директива 2002/46/ЕО на Европейския парламент и на Съвета от 10 юни 2002 година за сближаване на законодателствата на държавите-членки по отношение на добавките към храни (ОВ, L 183 от 12.07.2002 г.), така и осигуряването на съответствие с въведените със Закона за храните нови изисквания за регистрация на хранителните добавки при пускането им на пазара в страната и поддържането на публичен регистър за тях. </w:t>
      </w:r>
    </w:p>
    <w:p w:rsidR="003C72BA" w:rsidRPr="00154E6A" w:rsidRDefault="000E2A68" w:rsidP="003C72BA">
      <w:pPr>
        <w:spacing w:line="360" w:lineRule="auto"/>
        <w:ind w:firstLine="709"/>
        <w:jc w:val="both"/>
        <w:rPr>
          <w:rFonts w:ascii="Verdana" w:hAnsi="Verdana"/>
          <w:bCs/>
          <w:iCs/>
          <w:lang w:val="bg-BG"/>
        </w:rPr>
      </w:pPr>
      <w:r w:rsidRPr="00154E6A">
        <w:rPr>
          <w:rFonts w:ascii="Verdana" w:hAnsi="Verdana"/>
          <w:bCs/>
          <w:iCs/>
          <w:lang w:val="bg-BG"/>
        </w:rPr>
        <w:t>Много важни елементи от проекта на нова наредба са осъвременяването и доразвиването на съществуващите към момента национални изисквания по отношение на хранителните добавки, и по-конкретно:</w:t>
      </w:r>
    </w:p>
    <w:p w:rsidR="003C72BA" w:rsidRPr="00154E6A" w:rsidRDefault="003C72BA" w:rsidP="003C72BA">
      <w:pPr>
        <w:spacing w:line="360" w:lineRule="auto"/>
        <w:ind w:firstLine="709"/>
        <w:jc w:val="both"/>
        <w:rPr>
          <w:rFonts w:ascii="Verdana" w:hAnsi="Verdana"/>
          <w:bCs/>
          <w:iCs/>
          <w:lang w:val="bg-BG"/>
        </w:rPr>
      </w:pPr>
      <w:r w:rsidRPr="00154E6A">
        <w:rPr>
          <w:rFonts w:ascii="Verdana" w:hAnsi="Verdana"/>
          <w:bCs/>
          <w:iCs/>
          <w:lang w:val="bg-BG"/>
        </w:rPr>
        <w:t>-</w:t>
      </w:r>
      <w:r w:rsidR="00154E6A" w:rsidRPr="00154E6A">
        <w:rPr>
          <w:rFonts w:ascii="Verdana" w:hAnsi="Verdana"/>
          <w:bCs/>
          <w:iCs/>
          <w:lang w:val="bg-BG"/>
        </w:rPr>
        <w:t xml:space="preserve"> </w:t>
      </w:r>
      <w:r w:rsidR="000E2A68" w:rsidRPr="00154E6A">
        <w:rPr>
          <w:rFonts w:ascii="Verdana" w:hAnsi="Verdana"/>
          <w:bCs/>
          <w:iCs/>
          <w:lang w:val="bg-BG"/>
        </w:rPr>
        <w:t>осъвременяването и прецизирането на максимално допустимите количества витамини и минерали в хранителни добавки;</w:t>
      </w:r>
    </w:p>
    <w:p w:rsidR="003C72BA" w:rsidRPr="00154E6A" w:rsidRDefault="003C72BA" w:rsidP="003C72BA">
      <w:pPr>
        <w:spacing w:line="360" w:lineRule="auto"/>
        <w:ind w:firstLine="709"/>
        <w:jc w:val="both"/>
        <w:rPr>
          <w:rFonts w:ascii="Verdana" w:hAnsi="Verdana"/>
          <w:bCs/>
          <w:iCs/>
          <w:lang w:val="bg-BG"/>
        </w:rPr>
      </w:pPr>
      <w:r w:rsidRPr="00154E6A">
        <w:rPr>
          <w:rFonts w:ascii="Verdana" w:hAnsi="Verdana"/>
          <w:bCs/>
          <w:iCs/>
          <w:lang w:val="bg-BG"/>
        </w:rPr>
        <w:t>-</w:t>
      </w:r>
      <w:r w:rsidR="00154E6A" w:rsidRPr="00154E6A">
        <w:rPr>
          <w:rFonts w:ascii="Verdana" w:hAnsi="Verdana"/>
          <w:bCs/>
          <w:iCs/>
          <w:lang w:val="bg-BG"/>
        </w:rPr>
        <w:t xml:space="preserve"> </w:t>
      </w:r>
      <w:r w:rsidR="000E2A68" w:rsidRPr="00154E6A">
        <w:rPr>
          <w:rFonts w:ascii="Verdana" w:hAnsi="Verdana"/>
          <w:bCs/>
          <w:iCs/>
          <w:lang w:val="bg-BG"/>
        </w:rPr>
        <w:t>обвързването на разпоредби на наредбата относно дневния прием на вещества в хранителните добавки за определени групи от населението с изискванията на Наредба № 1 от 2018 г. за физиологичните норми за хранене на населението (обн., ДВ, бр. 11 от 2018 г.);</w:t>
      </w:r>
    </w:p>
    <w:p w:rsidR="003C72BA" w:rsidRPr="00154E6A" w:rsidRDefault="003C72BA" w:rsidP="003C72BA">
      <w:pPr>
        <w:spacing w:line="360" w:lineRule="auto"/>
        <w:ind w:firstLine="709"/>
        <w:jc w:val="both"/>
        <w:rPr>
          <w:rFonts w:ascii="Verdana" w:hAnsi="Verdana"/>
          <w:bCs/>
          <w:iCs/>
          <w:lang w:val="bg-BG"/>
        </w:rPr>
      </w:pPr>
      <w:r w:rsidRPr="00154E6A">
        <w:rPr>
          <w:rFonts w:ascii="Verdana" w:hAnsi="Verdana"/>
          <w:bCs/>
          <w:iCs/>
          <w:lang w:val="bg-BG"/>
        </w:rPr>
        <w:t>-</w:t>
      </w:r>
      <w:r w:rsidR="00154E6A" w:rsidRPr="00154E6A">
        <w:rPr>
          <w:rFonts w:ascii="Verdana" w:hAnsi="Verdana"/>
          <w:bCs/>
          <w:iCs/>
          <w:lang w:val="bg-BG"/>
        </w:rPr>
        <w:t xml:space="preserve"> </w:t>
      </w:r>
      <w:r w:rsidR="000E2A68" w:rsidRPr="00154E6A">
        <w:rPr>
          <w:rFonts w:ascii="Verdana" w:hAnsi="Verdana"/>
          <w:bCs/>
          <w:iCs/>
          <w:lang w:val="bg-BG"/>
        </w:rPr>
        <w:t>доразвиване и обвързване разпоредбите на наредбата относно растителните вещества, растителните препарати или комбинация от тях в хранителните добавки, с изискванията на Наредба № 5 от 2004 г. за изискванията, на които трябва да отговарят билкозаготвителните пунктове и складовете за билки (обн., ДВ, бр. 85 от 2004 г.)</w:t>
      </w:r>
      <w:r w:rsidR="00D00394" w:rsidRPr="00D00394">
        <w:t xml:space="preserve"> </w:t>
      </w:r>
      <w:r w:rsidR="00D00394" w:rsidRPr="00A00D04">
        <w:rPr>
          <w:lang w:val="bg-BG"/>
        </w:rPr>
        <w:t>(</w:t>
      </w:r>
      <w:r w:rsidR="00D00394" w:rsidRPr="00A00D04">
        <w:rPr>
          <w:rFonts w:ascii="Verdana" w:hAnsi="Verdana"/>
          <w:bCs/>
          <w:iCs/>
          <w:lang w:val="bg-BG"/>
        </w:rPr>
        <w:t>Наредба № 5 от 2004 г.)</w:t>
      </w:r>
      <w:r w:rsidR="000E2A68" w:rsidRPr="00154E6A">
        <w:rPr>
          <w:rFonts w:ascii="Verdana" w:hAnsi="Verdana"/>
          <w:bCs/>
          <w:iCs/>
          <w:lang w:val="bg-BG"/>
        </w:rPr>
        <w:t xml:space="preserve"> и Наредбата за реда за класифициране на растенията и веществата като наркотични, приета с Постановление № 293 на Министерския съвет от 2011 г. (обн., ДВ, бр. 87 от 2011 г.), и в частност – за забрана влагането в хранителни добавки на определени растителни вещества от растения, посочени в </w:t>
      </w:r>
      <w:r w:rsidR="000E2A68" w:rsidRPr="00D00394">
        <w:rPr>
          <w:rFonts w:ascii="Verdana" w:hAnsi="Verdana"/>
          <w:bCs/>
          <w:iCs/>
          <w:lang w:val="bg-BG"/>
        </w:rPr>
        <w:t>Наредба № 5</w:t>
      </w:r>
      <w:r w:rsidR="00D00394" w:rsidRPr="00D00394">
        <w:rPr>
          <w:rFonts w:ascii="Verdana" w:hAnsi="Verdana"/>
          <w:bCs/>
          <w:iCs/>
          <w:lang w:val="bg-BG"/>
        </w:rPr>
        <w:t xml:space="preserve"> </w:t>
      </w:r>
      <w:r w:rsidR="00D00394" w:rsidRPr="00A00D04">
        <w:rPr>
          <w:rFonts w:ascii="Verdana" w:hAnsi="Verdana"/>
          <w:bCs/>
          <w:iCs/>
          <w:lang w:val="bg-BG"/>
        </w:rPr>
        <w:t>от 2004 г.</w:t>
      </w:r>
      <w:r w:rsidR="000E2A68" w:rsidRPr="00154E6A">
        <w:rPr>
          <w:rFonts w:ascii="Verdana" w:hAnsi="Verdana"/>
          <w:bCs/>
          <w:iCs/>
          <w:lang w:val="bg-BG"/>
        </w:rPr>
        <w:t xml:space="preserve"> и Регламент (ЕО) № 1925/2006 на Европейския парламент и на Съвета от 20 декември 2006 година относно влагането </w:t>
      </w:r>
      <w:r w:rsidR="000E2A68" w:rsidRPr="00154E6A">
        <w:rPr>
          <w:rFonts w:ascii="Verdana" w:hAnsi="Verdana"/>
          <w:bCs/>
          <w:iCs/>
          <w:lang w:val="bg-BG"/>
        </w:rPr>
        <w:lastRenderedPageBreak/>
        <w:t xml:space="preserve">на витамини, минерали и някои други вещества в храните (ОВ, </w:t>
      </w:r>
      <w:r w:rsidR="00F36BD4" w:rsidRPr="00154E6A">
        <w:rPr>
          <w:rFonts w:ascii="Verdana" w:hAnsi="Verdana"/>
          <w:bCs/>
          <w:iCs/>
          <w:lang w:val="bg-BG"/>
        </w:rPr>
        <w:t xml:space="preserve">L 404 от 30.12.2006 г.), и/или </w:t>
      </w:r>
      <w:r w:rsidR="000E2A68" w:rsidRPr="00154E6A">
        <w:rPr>
          <w:rFonts w:ascii="Verdana" w:hAnsi="Verdana"/>
          <w:bCs/>
          <w:iCs/>
          <w:lang w:val="bg-BG"/>
        </w:rPr>
        <w:t>класифицирани като наркотични;</w:t>
      </w:r>
    </w:p>
    <w:p w:rsidR="000E2A68" w:rsidRPr="00154E6A" w:rsidRDefault="003C72BA" w:rsidP="003C72BA">
      <w:pPr>
        <w:spacing w:line="360" w:lineRule="auto"/>
        <w:ind w:firstLine="709"/>
        <w:jc w:val="both"/>
        <w:rPr>
          <w:rFonts w:ascii="Verdana" w:hAnsi="Verdana"/>
          <w:bCs/>
          <w:iCs/>
          <w:lang w:val="bg-BG"/>
        </w:rPr>
      </w:pPr>
      <w:r w:rsidRPr="00154E6A">
        <w:rPr>
          <w:rFonts w:ascii="Verdana" w:hAnsi="Verdana"/>
          <w:bCs/>
          <w:iCs/>
          <w:lang w:val="bg-BG"/>
        </w:rPr>
        <w:t>-</w:t>
      </w:r>
      <w:r w:rsidR="00154E6A">
        <w:rPr>
          <w:rFonts w:ascii="Verdana" w:hAnsi="Verdana"/>
          <w:bCs/>
          <w:iCs/>
          <w:lang w:val="bg-BG"/>
        </w:rPr>
        <w:t xml:space="preserve"> </w:t>
      </w:r>
      <w:r w:rsidR="000E2A68" w:rsidRPr="00154E6A">
        <w:rPr>
          <w:rFonts w:ascii="Verdana" w:hAnsi="Verdana"/>
          <w:bCs/>
          <w:iCs/>
          <w:lang w:val="bg-BG"/>
        </w:rPr>
        <w:t>създаване на нов раздел в наредбата относно веществата, които не могат да се влагат в хранителните добавки.</w:t>
      </w:r>
    </w:p>
    <w:p w:rsidR="000E2A68" w:rsidRPr="00154E6A" w:rsidRDefault="000E2A68" w:rsidP="000E2A68">
      <w:pPr>
        <w:spacing w:line="360" w:lineRule="auto"/>
        <w:ind w:firstLine="709"/>
        <w:jc w:val="both"/>
        <w:rPr>
          <w:rFonts w:ascii="Verdana" w:hAnsi="Verdana"/>
          <w:bCs/>
          <w:iCs/>
          <w:lang w:val="bg-BG"/>
        </w:rPr>
      </w:pPr>
      <w:r w:rsidRPr="00154E6A">
        <w:rPr>
          <w:rFonts w:ascii="Verdana" w:hAnsi="Verdana"/>
          <w:bCs/>
          <w:iCs/>
          <w:lang w:val="bg-BG"/>
        </w:rPr>
        <w:t>Въведени са нови разпоредби за взаимно признаване съгласно изискванията на Регламент (ЕС) № 2019/515</w:t>
      </w:r>
      <w:r w:rsidRPr="00154E6A">
        <w:rPr>
          <w:rFonts w:ascii="Verdana" w:hAnsi="Verdana"/>
          <w:bCs/>
          <w:lang w:val="bg-BG"/>
        </w:rPr>
        <w:t xml:space="preserve"> </w:t>
      </w:r>
      <w:r w:rsidRPr="00154E6A">
        <w:rPr>
          <w:rFonts w:ascii="Verdana" w:hAnsi="Verdana"/>
          <w:bCs/>
          <w:iCs/>
          <w:lang w:val="bg-BG"/>
        </w:rPr>
        <w:t>на Европейския парламент и на Съвета от 19 март 2019 година относно взаимното признаване на стоки, законно предлагани на пазара в друга държава членка, и за отмяна на Регламент (ЕО) № 764/2008 (ОВ, L 91 от 29.03.2019 г.), на хранителни добавки, които законно се предлагат на пазара в друга държава членка.</w:t>
      </w:r>
    </w:p>
    <w:p w:rsidR="00EC3E42" w:rsidRPr="00154E6A" w:rsidRDefault="00EC3E42" w:rsidP="00EC3E42">
      <w:pPr>
        <w:spacing w:line="360" w:lineRule="auto"/>
        <w:ind w:firstLine="709"/>
        <w:jc w:val="both"/>
        <w:rPr>
          <w:rFonts w:ascii="Verdana" w:hAnsi="Verdana"/>
          <w:lang w:val="bg-BG"/>
        </w:rPr>
      </w:pPr>
      <w:r w:rsidRPr="00154E6A">
        <w:rPr>
          <w:rFonts w:ascii="Verdana" w:hAnsi="Verdana"/>
          <w:lang w:val="bg-BG"/>
        </w:rPr>
        <w:t>Съгласно т. 12 от Плана за действие за 2021 г. с мерките, произтичащи от членството на Република България в Европейския съюз, е предвидено с Наредбата за хранителните добавки по чл. 81, ал. 1 от Закона за храните, да бъдат въведени в националното законодателство настъпилите промени в Директива 2002/46/EO с Регламент (EC) № 1161/2011 на Комисията от 14 ноември 2011 година за изменение на Директива 2002/46/ЕО на Европейския парламент и на Съвета, Регламент (ЕО) № 1925/2006 на Европейския парламент и на Съвета и Регламент (ЕО) № 953/2009 на Комисията по отношение на списъците с минерални вещества, които могат да бъдат влагани в храни (</w:t>
      </w:r>
      <w:r w:rsidRPr="00154E6A">
        <w:rPr>
          <w:rFonts w:ascii="Verdana" w:hAnsi="Verdana"/>
          <w:bCs/>
          <w:iCs/>
          <w:lang w:val="bg-BG"/>
        </w:rPr>
        <w:t>ОВ, L 296 от 15.11.2011 г.)</w:t>
      </w:r>
      <w:r w:rsidRPr="00154E6A">
        <w:rPr>
          <w:rFonts w:ascii="Verdana" w:hAnsi="Verdana"/>
          <w:lang w:val="bg-BG"/>
        </w:rPr>
        <w:t>, Регламент (EC) № 119/2014 на Комисията от 7 февруари 2014 година за изменение на Директива 2002/46/ЕО на Европейския парламент и на Съвета и Регламент (ЕО) № 1925/2006 на Европейския парламент и на Съвета по отношение на обогатени с хром дрожди, използвани за производството на хранителни добавки, и хромен (III) лакт</w:t>
      </w:r>
      <w:r w:rsidR="00D00394">
        <w:rPr>
          <w:rFonts w:ascii="Verdana" w:hAnsi="Verdana"/>
          <w:lang w:val="bg-BG"/>
        </w:rPr>
        <w:t xml:space="preserve">ат трихидрат за влагане в храни </w:t>
      </w:r>
      <w:r w:rsidRPr="00154E6A">
        <w:rPr>
          <w:rFonts w:ascii="Verdana" w:hAnsi="Verdana"/>
          <w:lang w:val="bg-BG"/>
        </w:rPr>
        <w:t>(</w:t>
      </w:r>
      <w:r w:rsidRPr="00154E6A">
        <w:rPr>
          <w:rFonts w:ascii="Verdana" w:hAnsi="Verdana"/>
          <w:bCs/>
          <w:iCs/>
          <w:lang w:val="bg-BG"/>
        </w:rPr>
        <w:t>ОВ, L 39 от 08.02.2014 г.)</w:t>
      </w:r>
      <w:r w:rsidRPr="00154E6A">
        <w:rPr>
          <w:rFonts w:ascii="Verdana" w:hAnsi="Verdana"/>
          <w:lang w:val="bg-BG"/>
        </w:rPr>
        <w:t>, Регламент (EC) № 414/2015 Регламент (ЕС) 2015/414 на Комисията от 12 март 2015 година за изменение на Директива 2002/46/ЕО на Европейския парламент и на Съвета по отношение на глюкозаминова сол на (6 S )-5-метилтетрахидрофолиева киселина, използвана за производството на хранителни добавки (</w:t>
      </w:r>
      <w:r w:rsidRPr="00154E6A">
        <w:rPr>
          <w:rFonts w:ascii="Verdana" w:hAnsi="Verdana"/>
          <w:bCs/>
          <w:iCs/>
          <w:lang w:val="bg-BG"/>
        </w:rPr>
        <w:t>ОВ, L 68 от 13.03.2015 г.)</w:t>
      </w:r>
      <w:r w:rsidRPr="00154E6A">
        <w:rPr>
          <w:rFonts w:ascii="Verdana" w:hAnsi="Verdana"/>
          <w:lang w:val="bg-BG"/>
        </w:rPr>
        <w:t xml:space="preserve"> и Регламент (EC) № 1203/2017 Регламент (ЕС) 2017/1203 на Комисията от 5 юли 2017 година за изменение на Директива 2002/46/ЕО на Европейския парламент и на Съвета и на Регламент (ЕО) № 1925/2006 на Европейския парламент и на Съвета по отношение на веществата органичен силиций (монометилсилантриол) и калциева сол на фосфорилирани олигозахариди (POs-Ca®), влагани в храните и използвани при производството на хранителни добавки (</w:t>
      </w:r>
      <w:r w:rsidRPr="00154E6A">
        <w:rPr>
          <w:rFonts w:ascii="Verdana" w:hAnsi="Verdana"/>
          <w:bCs/>
          <w:iCs/>
          <w:lang w:val="bg-BG"/>
        </w:rPr>
        <w:t>ОВ, L 173, 06.07.2017 г.)</w:t>
      </w:r>
      <w:r w:rsidRPr="00154E6A">
        <w:rPr>
          <w:rFonts w:ascii="Verdana" w:hAnsi="Verdana"/>
          <w:lang w:val="bg-BG"/>
        </w:rPr>
        <w:t>, като по този начин се премахват съществуващите още от 2011 г. несъответствия в националната нормативна уредба спрямо правото на ЕС.</w:t>
      </w:r>
    </w:p>
    <w:p w:rsidR="009B0162" w:rsidRPr="00154E6A" w:rsidRDefault="009B0162" w:rsidP="009B0162">
      <w:pPr>
        <w:spacing w:line="360" w:lineRule="auto"/>
        <w:ind w:firstLine="709"/>
        <w:jc w:val="both"/>
        <w:rPr>
          <w:rFonts w:ascii="Verdana" w:hAnsi="Verdana"/>
          <w:b/>
          <w:lang w:val="bg-BG"/>
        </w:rPr>
      </w:pPr>
    </w:p>
    <w:p w:rsidR="00CC6B92" w:rsidRPr="00154E6A" w:rsidRDefault="00CC6B92" w:rsidP="009B0162">
      <w:pPr>
        <w:spacing w:line="360" w:lineRule="auto"/>
        <w:ind w:firstLine="709"/>
        <w:jc w:val="both"/>
        <w:rPr>
          <w:rFonts w:ascii="Verdana" w:hAnsi="Verdana"/>
          <w:b/>
          <w:lang w:val="bg-BG"/>
        </w:rPr>
      </w:pPr>
      <w:r w:rsidRPr="00154E6A">
        <w:rPr>
          <w:rFonts w:ascii="Verdana" w:hAnsi="Verdana"/>
          <w:b/>
          <w:lang w:val="bg-BG"/>
        </w:rPr>
        <w:t>Цели</w:t>
      </w:r>
    </w:p>
    <w:p w:rsidR="00DD3BC7" w:rsidRPr="00154E6A" w:rsidRDefault="00DD3BC7" w:rsidP="00DD3BC7">
      <w:pPr>
        <w:spacing w:line="360" w:lineRule="auto"/>
        <w:ind w:firstLine="709"/>
        <w:jc w:val="both"/>
        <w:rPr>
          <w:rFonts w:ascii="Verdana" w:hAnsi="Verdana"/>
          <w:lang w:val="bg-BG"/>
        </w:rPr>
      </w:pPr>
      <w:r w:rsidRPr="00154E6A">
        <w:rPr>
          <w:rFonts w:ascii="Verdana" w:hAnsi="Verdana"/>
          <w:lang w:val="bg-BG"/>
        </w:rPr>
        <w:t xml:space="preserve">С проекта се определят: </w:t>
      </w:r>
    </w:p>
    <w:p w:rsidR="00DD3BC7" w:rsidRPr="00154E6A" w:rsidRDefault="00DD3BC7" w:rsidP="00DD3BC7">
      <w:pPr>
        <w:spacing w:line="360" w:lineRule="auto"/>
        <w:ind w:firstLine="709"/>
        <w:jc w:val="both"/>
        <w:rPr>
          <w:rFonts w:ascii="Verdana" w:hAnsi="Verdana"/>
          <w:lang w:val="bg-BG"/>
        </w:rPr>
      </w:pPr>
      <w:r w:rsidRPr="00154E6A">
        <w:rPr>
          <w:rFonts w:ascii="Verdana" w:hAnsi="Verdana"/>
          <w:lang w:val="bg-BG"/>
        </w:rPr>
        <w:lastRenderedPageBreak/>
        <w:t>- хранителните вещества (витамините и минералите), които могат да се влагат при производството на хранителни добавки;</w:t>
      </w:r>
    </w:p>
    <w:p w:rsidR="00DD3BC7" w:rsidRPr="00154E6A" w:rsidRDefault="00DD3BC7" w:rsidP="00DD3BC7">
      <w:pPr>
        <w:spacing w:line="360" w:lineRule="auto"/>
        <w:ind w:firstLine="709"/>
        <w:jc w:val="both"/>
        <w:rPr>
          <w:rFonts w:ascii="Verdana" w:hAnsi="Verdana"/>
          <w:lang w:val="bg-BG"/>
        </w:rPr>
      </w:pPr>
      <w:r w:rsidRPr="00154E6A">
        <w:rPr>
          <w:rFonts w:ascii="Verdana" w:hAnsi="Verdana"/>
          <w:lang w:val="bg-BG"/>
        </w:rPr>
        <w:t>- веществата с хранителен или физиологичен ефект, които могат да се влагат при производството на хранителни добавки;</w:t>
      </w:r>
    </w:p>
    <w:p w:rsidR="00DD3BC7" w:rsidRPr="00154E6A" w:rsidRDefault="00DD3BC7" w:rsidP="00DD3BC7">
      <w:pPr>
        <w:spacing w:line="360" w:lineRule="auto"/>
        <w:ind w:firstLine="709"/>
        <w:jc w:val="both"/>
        <w:rPr>
          <w:rFonts w:ascii="Verdana" w:hAnsi="Verdana"/>
          <w:lang w:val="bg-BG"/>
        </w:rPr>
      </w:pPr>
      <w:r w:rsidRPr="00154E6A">
        <w:rPr>
          <w:rFonts w:ascii="Verdana" w:hAnsi="Verdana"/>
          <w:lang w:val="bg-BG"/>
        </w:rPr>
        <w:t>- критериите за чистота на хранителните вещества, предназначени за влагане в хранителни добавки;</w:t>
      </w:r>
    </w:p>
    <w:p w:rsidR="00DD3BC7" w:rsidRPr="00154E6A" w:rsidRDefault="00DD3BC7" w:rsidP="00DD3BC7">
      <w:pPr>
        <w:spacing w:line="360" w:lineRule="auto"/>
        <w:ind w:firstLine="709"/>
        <w:jc w:val="both"/>
        <w:rPr>
          <w:rFonts w:ascii="Verdana" w:hAnsi="Verdana"/>
          <w:lang w:val="bg-BG"/>
        </w:rPr>
      </w:pPr>
      <w:r w:rsidRPr="00154E6A">
        <w:rPr>
          <w:rFonts w:ascii="Verdana" w:hAnsi="Verdana"/>
          <w:lang w:val="bg-BG"/>
        </w:rPr>
        <w:t>-информацията, която трябва да се отбелязва при етикетиране, представянето и рекламата на хранителни добавки;</w:t>
      </w:r>
    </w:p>
    <w:p w:rsidR="00DD3BC7" w:rsidRPr="00154E6A" w:rsidRDefault="00DD3BC7" w:rsidP="00DD3BC7">
      <w:pPr>
        <w:overflowPunct/>
        <w:autoSpaceDE/>
        <w:autoSpaceDN/>
        <w:adjustRightInd/>
        <w:spacing w:line="360" w:lineRule="auto"/>
        <w:ind w:firstLine="709"/>
        <w:contextualSpacing/>
        <w:jc w:val="both"/>
        <w:textAlignment w:val="auto"/>
        <w:rPr>
          <w:rFonts w:ascii="Verdana" w:eastAsiaTheme="minorHAnsi" w:hAnsi="Verdana" w:cstheme="minorBidi"/>
          <w:shd w:val="clear" w:color="auto" w:fill="FEFEFE"/>
          <w:lang w:val="bg-BG"/>
        </w:rPr>
      </w:pPr>
      <w:r w:rsidRPr="00154E6A">
        <w:rPr>
          <w:rFonts w:ascii="Verdana" w:eastAsiaTheme="minorHAnsi" w:hAnsi="Verdana" w:cstheme="minorBidi"/>
          <w:lang w:val="bg-BG"/>
        </w:rPr>
        <w:t xml:space="preserve">- </w:t>
      </w:r>
      <w:r w:rsidRPr="00154E6A">
        <w:rPr>
          <w:rFonts w:ascii="Verdana" w:eastAsiaTheme="minorHAnsi" w:hAnsi="Verdana" w:cstheme="minorBidi"/>
          <w:shd w:val="clear" w:color="auto" w:fill="FEFEFE"/>
          <w:lang w:val="bg-BG"/>
        </w:rPr>
        <w:t>растенията и частите от растения, които не могат да се влагат в хранителни добавки;</w:t>
      </w:r>
    </w:p>
    <w:p w:rsidR="00DD3BC7" w:rsidRPr="00154E6A" w:rsidRDefault="00DD3BC7" w:rsidP="00DD3BC7">
      <w:pPr>
        <w:spacing w:line="360" w:lineRule="auto"/>
        <w:ind w:firstLine="709"/>
        <w:jc w:val="both"/>
        <w:rPr>
          <w:rFonts w:ascii="Verdana" w:hAnsi="Verdana"/>
          <w:lang w:val="bg-BG"/>
        </w:rPr>
      </w:pPr>
      <w:r w:rsidRPr="00154E6A">
        <w:rPr>
          <w:rFonts w:ascii="Verdana" w:hAnsi="Verdana"/>
          <w:lang w:val="bg-BG"/>
        </w:rPr>
        <w:t>- веществата, които не могат да се влагат в хранителни добавки.</w:t>
      </w:r>
    </w:p>
    <w:p w:rsidR="00DD3BC7" w:rsidRPr="00154E6A" w:rsidRDefault="00DD3BC7" w:rsidP="00DD3BC7">
      <w:pPr>
        <w:spacing w:line="360" w:lineRule="auto"/>
        <w:ind w:firstLine="709"/>
        <w:jc w:val="both"/>
        <w:rPr>
          <w:rFonts w:ascii="Verdana" w:hAnsi="Verdana"/>
          <w:lang w:val="bg-BG"/>
        </w:rPr>
      </w:pPr>
      <w:r w:rsidRPr="00154E6A">
        <w:rPr>
          <w:rFonts w:ascii="Verdana" w:hAnsi="Verdana"/>
          <w:lang w:val="bg-BG"/>
        </w:rPr>
        <w:t>Наредбата се издава на основание чл. 81</w:t>
      </w:r>
      <w:r w:rsidR="00E57DC4" w:rsidRPr="00154E6A">
        <w:rPr>
          <w:rFonts w:ascii="Verdana" w:hAnsi="Verdana"/>
          <w:lang w:val="bg-BG"/>
        </w:rPr>
        <w:t>, ал</w:t>
      </w:r>
      <w:r w:rsidRPr="00154E6A">
        <w:rPr>
          <w:rFonts w:ascii="Verdana" w:hAnsi="Verdana"/>
          <w:lang w:val="bg-BG"/>
        </w:rPr>
        <w:t>. 1 от Закона за храните.</w:t>
      </w:r>
    </w:p>
    <w:p w:rsidR="009B0162" w:rsidRPr="00154E6A" w:rsidRDefault="009B0162" w:rsidP="009B0162">
      <w:pPr>
        <w:spacing w:line="360" w:lineRule="auto"/>
        <w:ind w:firstLine="709"/>
        <w:jc w:val="both"/>
        <w:rPr>
          <w:rFonts w:ascii="Verdana" w:hAnsi="Verdana"/>
          <w:b/>
          <w:lang w:val="bg-BG"/>
        </w:rPr>
      </w:pPr>
    </w:p>
    <w:p w:rsidR="00CC6B92" w:rsidRPr="00154E6A" w:rsidRDefault="00CC6B92" w:rsidP="009B0162">
      <w:pPr>
        <w:spacing w:line="360" w:lineRule="auto"/>
        <w:ind w:firstLine="709"/>
        <w:jc w:val="both"/>
        <w:rPr>
          <w:rFonts w:ascii="Verdana" w:hAnsi="Verdana"/>
          <w:b/>
          <w:lang w:val="bg-BG"/>
        </w:rPr>
      </w:pPr>
      <w:r w:rsidRPr="00154E6A">
        <w:rPr>
          <w:rFonts w:ascii="Verdana" w:hAnsi="Verdana"/>
          <w:b/>
          <w:lang w:val="bg-BG"/>
        </w:rPr>
        <w:t>Очаквани резултати от прилагането на акта</w:t>
      </w:r>
    </w:p>
    <w:p w:rsidR="002E148A" w:rsidRPr="00154E6A" w:rsidRDefault="0092688F" w:rsidP="002E148A">
      <w:pPr>
        <w:spacing w:line="360" w:lineRule="auto"/>
        <w:ind w:firstLine="709"/>
        <w:jc w:val="both"/>
        <w:rPr>
          <w:rFonts w:ascii="Verdana" w:hAnsi="Verdana"/>
          <w:lang w:val="bg-BG"/>
        </w:rPr>
      </w:pPr>
      <w:r w:rsidRPr="00154E6A">
        <w:rPr>
          <w:rFonts w:ascii="Verdana" w:hAnsi="Verdana"/>
          <w:lang w:val="bg-BG"/>
        </w:rPr>
        <w:t>Приемането на наредбата има за основна цел да подобри информираността на потребителите и възможностите за контрол върху безопасността и качеството на предлаганите на пазара хранителни добавки. При ефективното й прилагане може да се очаква по-добре информиран избор на потребителя, по-надежден контрол срещу подвеждащи практики за заблуда на потребителя и увеличаване на дела на качествените и ефективни продукти, предлагани на пазара. Това от своя страна ще окаже положително влияние върху опазването на общественото здраве.</w:t>
      </w:r>
    </w:p>
    <w:p w:rsidR="002E148A" w:rsidRPr="00154E6A" w:rsidRDefault="002E148A" w:rsidP="002E148A">
      <w:pPr>
        <w:spacing w:line="360" w:lineRule="auto"/>
        <w:ind w:firstLine="709"/>
        <w:jc w:val="both"/>
        <w:rPr>
          <w:rFonts w:ascii="Verdana" w:hAnsi="Verdana"/>
          <w:lang w:val="bg-BG"/>
        </w:rPr>
      </w:pPr>
      <w:r w:rsidRPr="00154E6A">
        <w:rPr>
          <w:rFonts w:ascii="Verdana" w:hAnsi="Verdana"/>
          <w:lang w:val="bg-BG"/>
        </w:rPr>
        <w:t>С приемането на проекта се създават условия за отстраняване на необоснованите пречки пред свободното движение на стоки с произход от други страни членки на ЕС, посредством взаимно признаване, при спазване изискванията на Регламент (ЕС) 2019/515 на Европейския парламент и на Съвета от 19 март 2019 година относно взаимното признаване на стоки, законно предлагани на пазара в друга държава членка, и за отмяна на Регламент (ЕО) № 764/2008.</w:t>
      </w:r>
    </w:p>
    <w:p w:rsidR="0092688F" w:rsidRPr="00154E6A" w:rsidRDefault="0092688F" w:rsidP="00DD3BC7">
      <w:pPr>
        <w:spacing w:line="360" w:lineRule="auto"/>
        <w:ind w:firstLine="709"/>
        <w:jc w:val="both"/>
        <w:rPr>
          <w:rFonts w:ascii="Verdana" w:hAnsi="Verdana"/>
          <w:lang w:val="bg-BG"/>
        </w:rPr>
      </w:pPr>
    </w:p>
    <w:p w:rsidR="00CC6B92" w:rsidRPr="00154E6A" w:rsidRDefault="00CC6B92" w:rsidP="009B0162">
      <w:pPr>
        <w:spacing w:line="360" w:lineRule="auto"/>
        <w:ind w:firstLine="709"/>
        <w:jc w:val="both"/>
        <w:rPr>
          <w:rFonts w:ascii="Verdana" w:hAnsi="Verdana"/>
          <w:b/>
          <w:lang w:val="bg-BG"/>
        </w:rPr>
      </w:pPr>
      <w:r w:rsidRPr="00154E6A">
        <w:rPr>
          <w:rFonts w:ascii="Verdana" w:hAnsi="Verdana"/>
          <w:b/>
          <w:lang w:val="bg-BG"/>
        </w:rPr>
        <w:t>Анализ за съответствие с правото на Европейския съюз</w:t>
      </w:r>
    </w:p>
    <w:p w:rsidR="00DD3BC7" w:rsidRPr="00154E6A" w:rsidRDefault="00DD3BC7" w:rsidP="00DD3BC7">
      <w:pPr>
        <w:spacing w:line="360" w:lineRule="auto"/>
        <w:ind w:firstLine="709"/>
        <w:jc w:val="both"/>
        <w:rPr>
          <w:rFonts w:ascii="Verdana" w:hAnsi="Verdana"/>
          <w:lang w:val="bg-BG"/>
        </w:rPr>
      </w:pPr>
      <w:r w:rsidRPr="00154E6A">
        <w:rPr>
          <w:rFonts w:ascii="Verdana" w:hAnsi="Verdana"/>
          <w:lang w:val="bg-BG"/>
        </w:rPr>
        <w:t>С наредбата се въвеждат разпоредбите на</w:t>
      </w:r>
      <w:r w:rsidRPr="00154E6A">
        <w:rPr>
          <w:rFonts w:ascii="Verdana" w:hAnsi="Verdana"/>
          <w:bCs/>
          <w:iCs/>
          <w:lang w:val="bg-BG"/>
        </w:rPr>
        <w:t xml:space="preserve"> Директива 2002/46/ЕО на Европейския парламент и на Съвета от 10 юни 2002 година за сближаване на законодателствата на държавите-членки по отношение на добавките към храни</w:t>
      </w:r>
      <w:r w:rsidRPr="00154E6A">
        <w:rPr>
          <w:rFonts w:ascii="Verdana" w:hAnsi="Verdana"/>
          <w:lang w:val="bg-BG"/>
        </w:rPr>
        <w:t xml:space="preserve">. </w:t>
      </w:r>
      <w:r w:rsidR="00D00394">
        <w:rPr>
          <w:rFonts w:ascii="Verdana" w:hAnsi="Verdana"/>
          <w:lang w:val="bg-BG"/>
        </w:rPr>
        <w:t xml:space="preserve">В тази </w:t>
      </w:r>
      <w:r w:rsidRPr="00154E6A">
        <w:rPr>
          <w:rFonts w:ascii="Verdana" w:hAnsi="Verdana"/>
          <w:lang w:val="bg-BG"/>
        </w:rPr>
        <w:t xml:space="preserve">връзка е приложена таблица на съответствието с правото на ЕС. </w:t>
      </w:r>
    </w:p>
    <w:p w:rsidR="00DD3BC7" w:rsidRPr="00154E6A" w:rsidRDefault="00DD3BC7" w:rsidP="00DD3BC7">
      <w:pPr>
        <w:spacing w:line="360" w:lineRule="auto"/>
        <w:ind w:firstLine="709"/>
        <w:jc w:val="both"/>
        <w:rPr>
          <w:rFonts w:ascii="Verdana" w:hAnsi="Verdana"/>
          <w:lang w:val="bg-BG"/>
        </w:rPr>
      </w:pPr>
      <w:r w:rsidRPr="00154E6A">
        <w:rPr>
          <w:rFonts w:ascii="Verdana" w:hAnsi="Verdana"/>
          <w:lang w:val="bg-BG"/>
        </w:rPr>
        <w:t>Проектът на наредба е нотифициран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(ОВ, L 241, 17.9.2015 г.).</w:t>
      </w:r>
    </w:p>
    <w:p w:rsidR="00D055E2" w:rsidRPr="00154E6A" w:rsidRDefault="00D055E2" w:rsidP="009A18FA">
      <w:pPr>
        <w:spacing w:line="360" w:lineRule="auto"/>
        <w:ind w:firstLine="709"/>
        <w:jc w:val="both"/>
        <w:rPr>
          <w:rFonts w:ascii="Verdana" w:hAnsi="Verdana"/>
          <w:lang w:val="bg-BG"/>
        </w:rPr>
      </w:pPr>
    </w:p>
    <w:p w:rsidR="0074318D" w:rsidRPr="00154E6A" w:rsidRDefault="0074318D" w:rsidP="009A18FA">
      <w:pPr>
        <w:spacing w:line="360" w:lineRule="auto"/>
        <w:ind w:firstLine="709"/>
        <w:jc w:val="both"/>
        <w:rPr>
          <w:rFonts w:ascii="Verdana" w:hAnsi="Verdana"/>
          <w:b/>
          <w:color w:val="000000"/>
          <w:shd w:val="clear" w:color="auto" w:fill="FEFEFE"/>
          <w:lang w:val="bg-BG"/>
        </w:rPr>
      </w:pPr>
      <w:r w:rsidRPr="00154E6A">
        <w:rPr>
          <w:rFonts w:ascii="Verdana" w:hAnsi="Verdana"/>
          <w:b/>
          <w:color w:val="000000"/>
          <w:shd w:val="clear" w:color="auto" w:fill="FEFEFE"/>
          <w:lang w:val="bg-BG"/>
        </w:rPr>
        <w:t xml:space="preserve">Финансови и други средства, необходими за прилагането на новата уредба </w:t>
      </w:r>
    </w:p>
    <w:p w:rsidR="00B9324E" w:rsidRPr="00154E6A" w:rsidRDefault="005F3625" w:rsidP="009A18FA">
      <w:pPr>
        <w:spacing w:after="120" w:line="360" w:lineRule="auto"/>
        <w:ind w:firstLine="709"/>
        <w:jc w:val="both"/>
        <w:rPr>
          <w:rFonts w:ascii="Verdana" w:hAnsi="Verdana" w:cs="Verdana"/>
          <w:lang w:val="bg-BG"/>
        </w:rPr>
      </w:pPr>
      <w:r w:rsidRPr="00154E6A">
        <w:rPr>
          <w:rFonts w:ascii="Verdana" w:hAnsi="Verdana" w:cs="Verdana"/>
          <w:lang w:val="bg-BG"/>
        </w:rPr>
        <w:lastRenderedPageBreak/>
        <w:t xml:space="preserve">Предложеният проект на акт не води до въздействие върху държавния бюджет, поради което е приложена финансова обосновка съгласно чл. 35, ал. 1, т. 4, буква „б“ от Устройствения правилник на Министерския съвет и на неговата администрация. </w:t>
      </w:r>
    </w:p>
    <w:p w:rsidR="00B9324E" w:rsidRPr="00154E6A" w:rsidRDefault="005F3625" w:rsidP="0060494C">
      <w:pPr>
        <w:spacing w:line="360" w:lineRule="auto"/>
        <w:ind w:firstLine="709"/>
        <w:jc w:val="both"/>
        <w:rPr>
          <w:rFonts w:ascii="Verdana" w:hAnsi="Verdana" w:cs="Verdana"/>
          <w:lang w:val="bg-BG"/>
        </w:rPr>
      </w:pPr>
      <w:r w:rsidRPr="00154E6A">
        <w:rPr>
          <w:rFonts w:ascii="Verdana" w:hAnsi="Verdana" w:cs="Verdana"/>
          <w:lang w:val="bg-BG"/>
        </w:rPr>
        <w:t xml:space="preserve">Не са </w:t>
      </w:r>
      <w:r w:rsidR="0074318D" w:rsidRPr="00154E6A">
        <w:rPr>
          <w:rFonts w:ascii="Verdana" w:hAnsi="Verdana" w:cs="Verdana"/>
          <w:lang w:val="bg-BG"/>
        </w:rPr>
        <w:t>необходими допълнителни разходи/</w:t>
      </w:r>
      <w:r w:rsidRPr="00154E6A">
        <w:rPr>
          <w:rFonts w:ascii="Verdana" w:hAnsi="Verdana" w:cs="Verdana"/>
          <w:lang w:val="bg-BG"/>
        </w:rPr>
        <w:t xml:space="preserve">трансфери </w:t>
      </w:r>
      <w:r w:rsidR="0074318D" w:rsidRPr="00154E6A">
        <w:rPr>
          <w:rFonts w:ascii="Verdana" w:hAnsi="Verdana" w:cs="Verdana"/>
          <w:lang w:val="bg-BG"/>
        </w:rPr>
        <w:t>и</w:t>
      </w:r>
      <w:r w:rsidRPr="00154E6A">
        <w:rPr>
          <w:rFonts w:ascii="Verdana" w:hAnsi="Verdana" w:cs="Verdana"/>
          <w:lang w:val="bg-BG"/>
        </w:rPr>
        <w:t xml:space="preserve"> други плащания по бюджета на Министерството на земед</w:t>
      </w:r>
      <w:r w:rsidR="00692B6C" w:rsidRPr="00154E6A">
        <w:rPr>
          <w:rFonts w:ascii="Verdana" w:hAnsi="Verdana" w:cs="Verdana"/>
          <w:lang w:val="bg-BG"/>
        </w:rPr>
        <w:t>елието, храните и горите за 2021</w:t>
      </w:r>
      <w:r w:rsidRPr="00154E6A">
        <w:rPr>
          <w:rFonts w:ascii="Verdana" w:hAnsi="Verdana" w:cs="Verdana"/>
          <w:lang w:val="bg-BG"/>
        </w:rPr>
        <w:t xml:space="preserve"> г. </w:t>
      </w:r>
    </w:p>
    <w:p w:rsidR="003F5B76" w:rsidRPr="00154E6A" w:rsidRDefault="001B5A90" w:rsidP="0060494C">
      <w:pPr>
        <w:spacing w:line="360" w:lineRule="auto"/>
        <w:ind w:firstLine="709"/>
        <w:jc w:val="both"/>
        <w:rPr>
          <w:rFonts w:ascii="Verdana" w:hAnsi="Verdana" w:cs="Verdana"/>
          <w:lang w:val="bg-BG"/>
        </w:rPr>
      </w:pPr>
      <w:r w:rsidRPr="00154E6A">
        <w:rPr>
          <w:rFonts w:ascii="Verdana" w:hAnsi="Verdana" w:cs="Verdana"/>
          <w:lang w:val="bg-BG"/>
        </w:rPr>
        <w:t>Проектът</w:t>
      </w:r>
      <w:r w:rsidR="005F3625" w:rsidRPr="00154E6A">
        <w:rPr>
          <w:rFonts w:ascii="Verdana" w:hAnsi="Verdana" w:cs="Verdana"/>
          <w:lang w:val="bg-BG"/>
        </w:rPr>
        <w:t xml:space="preserve"> на акт не води до изменения в целевите стойности на показателите за изпълнение, в т</w:t>
      </w:r>
      <w:r w:rsidR="002F53D3" w:rsidRPr="00154E6A">
        <w:rPr>
          <w:rFonts w:ascii="Verdana" w:hAnsi="Verdana" w:cs="Verdana"/>
          <w:lang w:val="bg-BG"/>
        </w:rPr>
        <w:t xml:space="preserve">ова </w:t>
      </w:r>
      <w:r w:rsidR="005F3625" w:rsidRPr="00154E6A">
        <w:rPr>
          <w:rFonts w:ascii="Verdana" w:hAnsi="Verdana" w:cs="Verdana"/>
          <w:lang w:val="bg-BG"/>
        </w:rPr>
        <w:t>ч</w:t>
      </w:r>
      <w:r w:rsidR="002F53D3" w:rsidRPr="00154E6A">
        <w:rPr>
          <w:rFonts w:ascii="Verdana" w:hAnsi="Verdana" w:cs="Verdana"/>
          <w:lang w:val="bg-BG"/>
        </w:rPr>
        <w:t>исло</w:t>
      </w:r>
      <w:r w:rsidR="005F3625" w:rsidRPr="00154E6A">
        <w:rPr>
          <w:rFonts w:ascii="Verdana" w:hAnsi="Verdana" w:cs="Verdana"/>
          <w:lang w:val="bg-BG"/>
        </w:rPr>
        <w:t xml:space="preserve"> ключовите индикатори. </w:t>
      </w:r>
    </w:p>
    <w:p w:rsidR="0060494C" w:rsidRPr="00154E6A" w:rsidRDefault="0060494C" w:rsidP="009A18FA">
      <w:pPr>
        <w:spacing w:line="360" w:lineRule="auto"/>
        <w:ind w:firstLine="709"/>
        <w:jc w:val="both"/>
        <w:rPr>
          <w:rFonts w:ascii="Verdana" w:hAnsi="Verdana"/>
          <w:b/>
          <w:color w:val="000000"/>
          <w:shd w:val="clear" w:color="auto" w:fill="FEFEFE"/>
          <w:lang w:val="bg-BG"/>
        </w:rPr>
      </w:pPr>
    </w:p>
    <w:p w:rsidR="0074318D" w:rsidRPr="00154E6A" w:rsidRDefault="0074318D" w:rsidP="009A18FA">
      <w:pPr>
        <w:spacing w:line="360" w:lineRule="auto"/>
        <w:ind w:firstLine="709"/>
        <w:jc w:val="both"/>
        <w:rPr>
          <w:rFonts w:ascii="Verdana" w:hAnsi="Verdana"/>
          <w:b/>
          <w:color w:val="000000"/>
          <w:shd w:val="clear" w:color="auto" w:fill="FEFEFE"/>
          <w:lang w:val="bg-BG"/>
        </w:rPr>
      </w:pPr>
      <w:r w:rsidRPr="00154E6A">
        <w:rPr>
          <w:rFonts w:ascii="Verdana" w:hAnsi="Verdana"/>
          <w:b/>
          <w:color w:val="000000"/>
          <w:shd w:val="clear" w:color="auto" w:fill="FEFEFE"/>
          <w:lang w:val="bg-BG"/>
        </w:rPr>
        <w:t>Информация за проведените обществени консултации</w:t>
      </w:r>
    </w:p>
    <w:p w:rsidR="003F5B76" w:rsidRPr="00154E6A" w:rsidRDefault="005F3625" w:rsidP="0060494C">
      <w:pPr>
        <w:overflowPunct/>
        <w:spacing w:line="360" w:lineRule="auto"/>
        <w:ind w:firstLine="709"/>
        <w:jc w:val="both"/>
        <w:textAlignment w:val="auto"/>
        <w:rPr>
          <w:rFonts w:ascii="Verdana" w:hAnsi="Verdana" w:cs="Verdana"/>
          <w:lang w:val="bg-BG" w:eastAsia="zh-CN"/>
        </w:rPr>
      </w:pPr>
      <w:r w:rsidRPr="00154E6A">
        <w:rPr>
          <w:rFonts w:ascii="Verdana" w:hAnsi="Verdana" w:cs="Verdana"/>
          <w:lang w:val="bg-BG" w:eastAsia="zh-CN"/>
        </w:rPr>
        <w:t xml:space="preserve">Съгласно чл. 26, ал. 3 и 4 от Закона за нормативните актове проектът на постановление, докладът към него, частичната предварителната оценка на въздействието и становището на дирекция „Модернизация на администрацията“ в администрацията на Министерския съвет са публикувани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 </w:t>
      </w:r>
    </w:p>
    <w:p w:rsidR="003F5B76" w:rsidRPr="00154E6A" w:rsidRDefault="005F3625" w:rsidP="0060494C">
      <w:pPr>
        <w:overflowPunct/>
        <w:autoSpaceDE/>
        <w:autoSpaceDN/>
        <w:adjustRightInd/>
        <w:spacing w:line="360" w:lineRule="auto"/>
        <w:ind w:firstLine="709"/>
        <w:jc w:val="both"/>
        <w:textAlignment w:val="auto"/>
        <w:rPr>
          <w:rFonts w:ascii="Verdana" w:hAnsi="Verdana" w:cs="Verdana"/>
          <w:lang w:val="bg-BG"/>
        </w:rPr>
      </w:pPr>
      <w:r w:rsidRPr="00154E6A">
        <w:rPr>
          <w:rFonts w:ascii="Verdana" w:hAnsi="Verdana" w:cs="Verdana"/>
          <w:lang w:val="bg-BG"/>
        </w:rPr>
        <w:t xml:space="preserve">В съответствие с чл. 26, ал. 5 от Закона за нормативните актове справката за постъпилите предложения заедно с обосновка за неприетите предложения в резултат на проведената обществена консултация е публикувана на интернет страницата на Министерството на земеделието, храните и горите и на Портала за обществени консултации. </w:t>
      </w:r>
    </w:p>
    <w:p w:rsidR="003F5B76" w:rsidRPr="00154E6A" w:rsidRDefault="005F3625" w:rsidP="0060494C">
      <w:pPr>
        <w:overflowPunct/>
        <w:autoSpaceDE/>
        <w:autoSpaceDN/>
        <w:adjustRightInd/>
        <w:spacing w:line="360" w:lineRule="auto"/>
        <w:ind w:firstLine="709"/>
        <w:jc w:val="both"/>
        <w:textAlignment w:val="auto"/>
        <w:rPr>
          <w:rFonts w:ascii="Verdana" w:hAnsi="Verdana" w:cs="Verdana"/>
          <w:lang w:val="bg-BG"/>
        </w:rPr>
      </w:pPr>
      <w:r w:rsidRPr="00154E6A">
        <w:rPr>
          <w:rFonts w:ascii="Verdana" w:hAnsi="Verdana" w:cs="Verdana"/>
          <w:lang w:val="bg-BG"/>
        </w:rPr>
        <w:t xml:space="preserve">Проектът на Постановление на Министерския съвет за приемане на Наредба за </w:t>
      </w:r>
      <w:r w:rsidR="00DD3BC7" w:rsidRPr="00154E6A">
        <w:rPr>
          <w:rFonts w:ascii="Verdana" w:hAnsi="Verdana" w:cs="Verdana"/>
          <w:lang w:val="bg-BG"/>
        </w:rPr>
        <w:t xml:space="preserve">хранителните добавки </w:t>
      </w:r>
      <w:r w:rsidRPr="00154E6A">
        <w:rPr>
          <w:rFonts w:ascii="Verdana" w:hAnsi="Verdana" w:cs="Verdana"/>
          <w:lang w:val="bg-BG"/>
        </w:rPr>
        <w:t>е съгласуван в съответствие с разпоредбите на чл. 32 от Устройствения правилник на Министерския съвет и на неговата администрация. Направените целесъобразни бележки и предложения са отразени.</w:t>
      </w:r>
    </w:p>
    <w:p w:rsidR="009B0162" w:rsidRPr="00154E6A" w:rsidRDefault="009B0162">
      <w:pPr>
        <w:spacing w:line="360" w:lineRule="auto"/>
        <w:rPr>
          <w:rFonts w:ascii="Verdana" w:hAnsi="Verdana"/>
          <w:b/>
          <w:lang w:val="bg-BG"/>
        </w:rPr>
      </w:pPr>
    </w:p>
    <w:p w:rsidR="003F5B76" w:rsidRPr="00154E6A" w:rsidRDefault="005F3625">
      <w:pPr>
        <w:spacing w:line="360" w:lineRule="auto"/>
        <w:rPr>
          <w:rFonts w:ascii="Verdana" w:hAnsi="Verdana"/>
          <w:b/>
          <w:lang w:val="bg-BG"/>
        </w:rPr>
      </w:pPr>
      <w:r w:rsidRPr="00154E6A">
        <w:rPr>
          <w:rFonts w:ascii="Verdana" w:hAnsi="Verdana"/>
          <w:b/>
          <w:lang w:val="bg-BG"/>
        </w:rPr>
        <w:t>УВАЖАЕМИ ГОСПОДИН МИНИСТЪР-ПРЕДСЕДАТЕЛ,</w:t>
      </w:r>
    </w:p>
    <w:p w:rsidR="003F5B76" w:rsidRPr="00154E6A" w:rsidRDefault="005F3625" w:rsidP="00734C3D">
      <w:pPr>
        <w:spacing w:line="360" w:lineRule="auto"/>
        <w:rPr>
          <w:rFonts w:ascii="Verdana" w:hAnsi="Verdana"/>
          <w:b/>
          <w:lang w:val="bg-BG"/>
        </w:rPr>
      </w:pPr>
      <w:r w:rsidRPr="00154E6A">
        <w:rPr>
          <w:rFonts w:ascii="Verdana" w:hAnsi="Verdana"/>
          <w:b/>
          <w:lang w:val="bg-BG"/>
        </w:rPr>
        <w:t>УВАЖАЕМИ ГОСПОЖИ И ГОСПОДА МИНИСТРИ,</w:t>
      </w:r>
    </w:p>
    <w:p w:rsidR="003F5B76" w:rsidRPr="00154E6A" w:rsidRDefault="005F3625" w:rsidP="009A18FA">
      <w:pPr>
        <w:widowControl w:val="0"/>
        <w:overflowPunct/>
        <w:spacing w:before="120" w:after="120" w:line="360" w:lineRule="auto"/>
        <w:ind w:firstLine="709"/>
        <w:jc w:val="both"/>
        <w:textAlignment w:val="auto"/>
        <w:rPr>
          <w:rFonts w:ascii="Verdana" w:hAnsi="Verdana" w:cs="Verdana"/>
          <w:strike/>
          <w:lang w:val="bg-BG" w:eastAsia="zh-CN"/>
        </w:rPr>
      </w:pPr>
      <w:r w:rsidRPr="00154E6A">
        <w:rPr>
          <w:rFonts w:ascii="Verdana" w:hAnsi="Verdana" w:cs="Verdana"/>
          <w:lang w:val="bg-BG" w:eastAsia="zh-CN"/>
        </w:rPr>
        <w:t>Във връзка с гореи</w:t>
      </w:r>
      <w:r w:rsidR="005750F9" w:rsidRPr="00154E6A">
        <w:rPr>
          <w:rFonts w:ascii="Verdana" w:hAnsi="Verdana" w:cs="Verdana"/>
          <w:lang w:val="bg-BG" w:eastAsia="zh-CN"/>
        </w:rPr>
        <w:t>зложеното и на основание чл.</w:t>
      </w:r>
      <w:r w:rsidR="00D74610" w:rsidRPr="00154E6A">
        <w:rPr>
          <w:rFonts w:ascii="Verdana" w:hAnsi="Verdana" w:cs="Verdana"/>
          <w:lang w:val="bg-BG" w:eastAsia="zh-CN"/>
        </w:rPr>
        <w:t xml:space="preserve"> </w:t>
      </w:r>
      <w:r w:rsidR="00DD3BC7" w:rsidRPr="00154E6A">
        <w:rPr>
          <w:rFonts w:ascii="Verdana" w:hAnsi="Verdana" w:cs="Verdana"/>
          <w:lang w:val="bg-BG" w:eastAsia="zh-CN"/>
        </w:rPr>
        <w:t>81, ал.1</w:t>
      </w:r>
      <w:r w:rsidRPr="00154E6A">
        <w:rPr>
          <w:rFonts w:ascii="Verdana" w:hAnsi="Verdana" w:cs="Verdana"/>
          <w:lang w:val="bg-BG" w:eastAsia="zh-CN"/>
        </w:rPr>
        <w:t xml:space="preserve"> от Закона за </w:t>
      </w:r>
      <w:r w:rsidR="00C8760D" w:rsidRPr="00154E6A">
        <w:rPr>
          <w:rFonts w:ascii="Verdana" w:hAnsi="Verdana" w:cs="Verdana"/>
          <w:lang w:val="bg-BG" w:eastAsia="zh-CN"/>
        </w:rPr>
        <w:t xml:space="preserve">храните </w:t>
      </w:r>
      <w:r w:rsidRPr="00154E6A">
        <w:rPr>
          <w:rFonts w:ascii="Verdana" w:hAnsi="Verdana" w:cs="Verdana"/>
          <w:lang w:val="bg-BG" w:eastAsia="zh-CN"/>
        </w:rPr>
        <w:t>и чл. 8, ал. 2 от Устройствения правилник на Министерският съвет и на неговата администрация предлагам Министерския</w:t>
      </w:r>
      <w:r w:rsidR="00D01474" w:rsidRPr="00154E6A">
        <w:rPr>
          <w:rFonts w:ascii="Verdana" w:hAnsi="Verdana" w:cs="Verdana"/>
          <w:lang w:val="bg-BG" w:eastAsia="zh-CN"/>
        </w:rPr>
        <w:t>т</w:t>
      </w:r>
      <w:r w:rsidRPr="00154E6A">
        <w:rPr>
          <w:rFonts w:ascii="Verdana" w:hAnsi="Verdana" w:cs="Verdana"/>
          <w:lang w:val="bg-BG" w:eastAsia="zh-CN"/>
        </w:rPr>
        <w:t xml:space="preserve"> съвет да приеме приложения проект на Постановление.  </w:t>
      </w:r>
    </w:p>
    <w:tbl>
      <w:tblPr>
        <w:tblW w:w="8654" w:type="dxa"/>
        <w:tblInd w:w="668" w:type="dxa"/>
        <w:tblLook w:val="01E0" w:firstRow="1" w:lastRow="1" w:firstColumn="1" w:lastColumn="1" w:noHBand="0" w:noVBand="0"/>
      </w:tblPr>
      <w:tblGrid>
        <w:gridCol w:w="1781"/>
        <w:gridCol w:w="6873"/>
      </w:tblGrid>
      <w:tr w:rsidR="003F5B76" w:rsidRPr="00154E6A" w:rsidTr="009B0162">
        <w:tc>
          <w:tcPr>
            <w:tcW w:w="1781" w:type="dxa"/>
          </w:tcPr>
          <w:p w:rsidR="003F5B76" w:rsidRPr="00154E6A" w:rsidRDefault="009B0162">
            <w:pPr>
              <w:spacing w:line="360" w:lineRule="auto"/>
              <w:rPr>
                <w:rFonts w:ascii="Verdana" w:hAnsi="Verdana"/>
                <w:b/>
                <w:bCs/>
                <w:lang w:val="bg-BG"/>
              </w:rPr>
            </w:pPr>
            <w:r w:rsidRPr="00154E6A">
              <w:rPr>
                <w:rFonts w:ascii="Verdana" w:hAnsi="Verdana"/>
                <w:b/>
                <w:bCs/>
                <w:lang w:val="bg-BG"/>
              </w:rPr>
              <w:t>Приложение</w:t>
            </w:r>
            <w:r w:rsidR="005F3625" w:rsidRPr="00154E6A">
              <w:rPr>
                <w:rFonts w:ascii="Verdana" w:hAnsi="Verdana"/>
                <w:b/>
                <w:bCs/>
                <w:lang w:val="bg-BG"/>
              </w:rPr>
              <w:t xml:space="preserve">: </w:t>
            </w:r>
          </w:p>
        </w:tc>
        <w:tc>
          <w:tcPr>
            <w:tcW w:w="6873" w:type="dxa"/>
          </w:tcPr>
          <w:p w:rsidR="003F5B76" w:rsidRPr="00CE2BF2"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sidRPr="00CE2BF2">
              <w:rPr>
                <w:rFonts w:ascii="Verdana" w:hAnsi="Verdana"/>
                <w:lang w:val="bg-BG"/>
              </w:rPr>
              <w:t>Проект на Постановление</w:t>
            </w:r>
            <w:r w:rsidR="00734C3D" w:rsidRPr="00CE2BF2">
              <w:rPr>
                <w:rFonts w:ascii="Verdana" w:hAnsi="Verdana"/>
                <w:lang w:val="bg-BG"/>
              </w:rPr>
              <w:t xml:space="preserve"> на Министерския съвет</w:t>
            </w:r>
            <w:r w:rsidRPr="00CE2BF2">
              <w:rPr>
                <w:rFonts w:ascii="Verdana" w:hAnsi="Verdana"/>
                <w:lang w:val="bg-BG"/>
              </w:rPr>
              <w:t xml:space="preserve">; </w:t>
            </w:r>
          </w:p>
          <w:p w:rsidR="003F5B76" w:rsidRPr="00CE2BF2"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sidRPr="00CE2BF2">
              <w:rPr>
                <w:rFonts w:ascii="Verdana" w:hAnsi="Verdana"/>
                <w:lang w:val="bg-BG"/>
              </w:rPr>
              <w:t>Проект на Наредба</w:t>
            </w:r>
            <w:r w:rsidR="00734C3D" w:rsidRPr="00CE2BF2">
              <w:rPr>
                <w:rFonts w:ascii="Verdana" w:hAnsi="Verdana"/>
                <w:lang w:val="bg-BG"/>
              </w:rPr>
              <w:t xml:space="preserve"> за</w:t>
            </w:r>
            <w:r w:rsidR="00DD3BC7" w:rsidRPr="00CE2BF2">
              <w:rPr>
                <w:rFonts w:ascii="Verdana" w:hAnsi="Verdana"/>
                <w:lang w:val="bg-BG"/>
              </w:rPr>
              <w:t xml:space="preserve"> хранителните добавки</w:t>
            </w:r>
            <w:r w:rsidRPr="00CE2BF2">
              <w:rPr>
                <w:rFonts w:ascii="Verdana" w:hAnsi="Verdana"/>
                <w:lang w:val="bg-BG"/>
              </w:rPr>
              <w:t xml:space="preserve">; </w:t>
            </w:r>
          </w:p>
          <w:p w:rsidR="003F5B76" w:rsidRPr="00CE2BF2"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sidRPr="00CE2BF2">
              <w:rPr>
                <w:rFonts w:ascii="Verdana" w:hAnsi="Verdana"/>
                <w:lang w:val="bg-BG"/>
              </w:rPr>
              <w:t xml:space="preserve">Частична предварителна оценка на въздействието; </w:t>
            </w:r>
          </w:p>
          <w:p w:rsidR="003F5B76" w:rsidRPr="00CE2BF2"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sidRPr="00CE2BF2">
              <w:rPr>
                <w:rFonts w:ascii="Verdana" w:hAnsi="Verdana"/>
                <w:spacing w:val="-6"/>
                <w:lang w:val="bg-BG"/>
              </w:rPr>
              <w:t>Становище на дирекция „М</w:t>
            </w:r>
            <w:r w:rsidR="00734C3D" w:rsidRPr="00CE2BF2">
              <w:rPr>
                <w:rFonts w:ascii="Verdana" w:hAnsi="Verdana"/>
                <w:spacing w:val="-6"/>
                <w:lang w:val="bg-BG"/>
              </w:rPr>
              <w:t>одернизация</w:t>
            </w:r>
            <w:r w:rsidR="00734C3D" w:rsidRPr="00CE2BF2">
              <w:rPr>
                <w:rFonts w:ascii="Verdana" w:hAnsi="Verdana"/>
                <w:lang w:val="bg-BG"/>
              </w:rPr>
              <w:t xml:space="preserve"> на администрацията</w:t>
            </w:r>
            <w:r w:rsidR="009B0162" w:rsidRPr="00CE2BF2">
              <w:rPr>
                <w:rFonts w:ascii="Verdana" w:hAnsi="Verdana"/>
                <w:lang w:val="bg-BG"/>
              </w:rPr>
              <w:t>“</w:t>
            </w:r>
            <w:r w:rsidR="00734C3D" w:rsidRPr="00CE2BF2">
              <w:rPr>
                <w:rFonts w:ascii="Verdana" w:hAnsi="Verdana"/>
                <w:lang w:val="bg-BG"/>
              </w:rPr>
              <w:t xml:space="preserve"> на Министерския съвет</w:t>
            </w:r>
            <w:r w:rsidRPr="00CE2BF2">
              <w:rPr>
                <w:rFonts w:ascii="Verdana" w:hAnsi="Verdana"/>
                <w:lang w:val="bg-BG"/>
              </w:rPr>
              <w:t>;</w:t>
            </w:r>
          </w:p>
          <w:p w:rsidR="00734C3D" w:rsidRPr="00CE2BF2" w:rsidRDefault="00734C3D">
            <w:pPr>
              <w:pStyle w:val="ListParagraph"/>
              <w:numPr>
                <w:ilvl w:val="0"/>
                <w:numId w:val="33"/>
              </w:numPr>
              <w:overflowPunct/>
              <w:autoSpaceDE/>
              <w:autoSpaceDN/>
              <w:adjustRightInd/>
              <w:spacing w:line="360" w:lineRule="auto"/>
              <w:jc w:val="both"/>
              <w:textAlignment w:val="auto"/>
              <w:rPr>
                <w:rFonts w:ascii="Verdana" w:hAnsi="Verdana"/>
                <w:lang w:val="bg-BG"/>
              </w:rPr>
            </w:pPr>
            <w:r w:rsidRPr="00CE2BF2">
              <w:rPr>
                <w:rFonts w:ascii="Verdana" w:hAnsi="Verdana"/>
                <w:lang w:val="bg-BG"/>
              </w:rPr>
              <w:t>Финансова обосновка;</w:t>
            </w:r>
          </w:p>
          <w:p w:rsidR="002F53D3" w:rsidRPr="00CE2BF2" w:rsidRDefault="00DD3BC7" w:rsidP="0038409B">
            <w:pPr>
              <w:pStyle w:val="ListParagraph"/>
              <w:numPr>
                <w:ilvl w:val="0"/>
                <w:numId w:val="33"/>
              </w:numPr>
              <w:overflowPunct/>
              <w:autoSpaceDE/>
              <w:autoSpaceDN/>
              <w:adjustRightInd/>
              <w:spacing w:line="360" w:lineRule="auto"/>
              <w:jc w:val="both"/>
              <w:textAlignment w:val="auto"/>
              <w:rPr>
                <w:rFonts w:ascii="Verdana" w:hAnsi="Verdana"/>
                <w:lang w:val="bg-BG"/>
              </w:rPr>
            </w:pPr>
            <w:r w:rsidRPr="00CE2BF2">
              <w:rPr>
                <w:rFonts w:ascii="Verdana" w:hAnsi="Verdana"/>
                <w:spacing w:val="-6"/>
                <w:lang w:val="bg-BG"/>
              </w:rPr>
              <w:t>Таблица</w:t>
            </w:r>
            <w:r w:rsidR="0038409B" w:rsidRPr="00CE2BF2">
              <w:rPr>
                <w:rFonts w:ascii="Verdana" w:hAnsi="Verdana"/>
                <w:spacing w:val="-6"/>
                <w:lang w:val="bg-BG"/>
              </w:rPr>
              <w:t xml:space="preserve"> на съответствието с правото на Европейския</w:t>
            </w:r>
            <w:r w:rsidR="0038409B" w:rsidRPr="00CE2BF2">
              <w:rPr>
                <w:rFonts w:ascii="Verdana" w:hAnsi="Verdana"/>
                <w:lang w:val="bg-BG"/>
              </w:rPr>
              <w:t xml:space="preserve"> съюз</w:t>
            </w:r>
            <w:r w:rsidR="002F53D3" w:rsidRPr="00CE2BF2">
              <w:rPr>
                <w:rFonts w:ascii="Verdana" w:hAnsi="Verdana"/>
                <w:lang w:val="bg-BG"/>
              </w:rPr>
              <w:t>;</w:t>
            </w:r>
          </w:p>
          <w:p w:rsidR="0038409B" w:rsidRPr="00CE2BF2" w:rsidRDefault="0038409B" w:rsidP="0038409B">
            <w:pPr>
              <w:pStyle w:val="ListParagraph"/>
              <w:numPr>
                <w:ilvl w:val="0"/>
                <w:numId w:val="33"/>
              </w:numPr>
              <w:overflowPunct/>
              <w:autoSpaceDE/>
              <w:autoSpaceDN/>
              <w:adjustRightInd/>
              <w:spacing w:line="360" w:lineRule="auto"/>
              <w:jc w:val="both"/>
              <w:textAlignment w:val="auto"/>
              <w:rPr>
                <w:rFonts w:ascii="Verdana" w:hAnsi="Verdana"/>
                <w:lang w:val="bg-BG"/>
              </w:rPr>
            </w:pPr>
            <w:r w:rsidRPr="00CE2BF2">
              <w:rPr>
                <w:rFonts w:ascii="Verdana" w:hAnsi="Verdana"/>
                <w:lang w:val="bg-BG"/>
              </w:rPr>
              <w:lastRenderedPageBreak/>
              <w:t>Становищ</w:t>
            </w:r>
            <w:r w:rsidR="00CE2BF2" w:rsidRPr="00CE2BF2">
              <w:rPr>
                <w:rFonts w:ascii="Verdana" w:hAnsi="Verdana"/>
                <w:lang w:val="bg-BG"/>
              </w:rPr>
              <w:t>е</w:t>
            </w:r>
            <w:r w:rsidRPr="00CE2BF2">
              <w:rPr>
                <w:rFonts w:ascii="Verdana" w:hAnsi="Verdana"/>
                <w:lang w:val="bg-BG"/>
              </w:rPr>
              <w:t xml:space="preserve"> на Работна група 1 „Свободно движение на стоки”;</w:t>
            </w:r>
          </w:p>
          <w:p w:rsidR="0038409B" w:rsidRPr="00CE2BF2" w:rsidRDefault="0038409B" w:rsidP="0038409B">
            <w:pPr>
              <w:pStyle w:val="ListParagraph"/>
              <w:numPr>
                <w:ilvl w:val="0"/>
                <w:numId w:val="33"/>
              </w:numPr>
              <w:overflowPunct/>
              <w:autoSpaceDE/>
              <w:autoSpaceDN/>
              <w:adjustRightInd/>
              <w:spacing w:line="360" w:lineRule="auto"/>
              <w:jc w:val="both"/>
              <w:textAlignment w:val="auto"/>
              <w:rPr>
                <w:rFonts w:ascii="Verdana" w:hAnsi="Verdana"/>
                <w:lang w:val="bg-BG"/>
              </w:rPr>
            </w:pPr>
            <w:r w:rsidRPr="00CE2BF2">
              <w:rPr>
                <w:rFonts w:ascii="Verdana" w:hAnsi="Verdana"/>
                <w:lang w:val="bg-BG"/>
              </w:rPr>
              <w:t>Становищ</w:t>
            </w:r>
            <w:r w:rsidR="00CE2BF2" w:rsidRPr="00CE2BF2">
              <w:rPr>
                <w:rFonts w:ascii="Verdana" w:hAnsi="Verdana"/>
                <w:lang w:val="bg-BG"/>
              </w:rPr>
              <w:t>е</w:t>
            </w:r>
            <w:r w:rsidRPr="00CE2BF2">
              <w:rPr>
                <w:rFonts w:ascii="Verdana" w:hAnsi="Verdana"/>
                <w:lang w:val="bg-BG"/>
              </w:rPr>
              <w:t xml:space="preserve"> на Работна група 7 „Земеделие”;</w:t>
            </w:r>
          </w:p>
          <w:p w:rsidR="003F5B76" w:rsidRPr="00CE2BF2"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sidRPr="00CE2BF2">
              <w:rPr>
                <w:rFonts w:ascii="Verdana" w:hAnsi="Verdana"/>
                <w:lang w:val="bg-BG"/>
              </w:rPr>
              <w:t>Справка за отразяване на постъпилите по реда на чл. 32 – 34 от УПМСНА становища;</w:t>
            </w:r>
          </w:p>
          <w:p w:rsidR="00734C3D" w:rsidRPr="00CE2BF2" w:rsidRDefault="00734C3D">
            <w:pPr>
              <w:pStyle w:val="ListParagraph"/>
              <w:numPr>
                <w:ilvl w:val="0"/>
                <w:numId w:val="33"/>
              </w:numPr>
              <w:overflowPunct/>
              <w:autoSpaceDE/>
              <w:autoSpaceDN/>
              <w:adjustRightInd/>
              <w:spacing w:line="360" w:lineRule="auto"/>
              <w:jc w:val="both"/>
              <w:textAlignment w:val="auto"/>
              <w:rPr>
                <w:rFonts w:ascii="Verdana" w:hAnsi="Verdana"/>
                <w:lang w:val="bg-BG"/>
              </w:rPr>
            </w:pPr>
            <w:r w:rsidRPr="00CE2BF2">
              <w:rPr>
                <w:rFonts w:ascii="Verdana" w:hAnsi="Verdana"/>
                <w:lang w:val="bg-BG"/>
              </w:rPr>
              <w:t>Постъпили становища;</w:t>
            </w:r>
          </w:p>
          <w:p w:rsidR="003F5B76" w:rsidRPr="00CE2BF2"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sidRPr="00CE2BF2">
              <w:rPr>
                <w:rFonts w:ascii="Verdana" w:hAnsi="Verdana"/>
                <w:lang w:val="bg-BG"/>
              </w:rPr>
              <w:t>Справка за</w:t>
            </w:r>
            <w:r w:rsidR="00734C3D" w:rsidRPr="00CE2BF2">
              <w:rPr>
                <w:rFonts w:ascii="Verdana" w:hAnsi="Verdana"/>
                <w:lang w:val="bg-BG"/>
              </w:rPr>
              <w:t xml:space="preserve"> получените предложения и становища от</w:t>
            </w:r>
            <w:r w:rsidRPr="00CE2BF2">
              <w:rPr>
                <w:rFonts w:ascii="Verdana" w:hAnsi="Verdana"/>
                <w:lang w:val="bg-BG"/>
              </w:rPr>
              <w:t xml:space="preserve"> </w:t>
            </w:r>
            <w:r w:rsidR="00734C3D" w:rsidRPr="00CE2BF2">
              <w:rPr>
                <w:rFonts w:ascii="Verdana" w:hAnsi="Verdana"/>
                <w:lang w:val="bg-BG"/>
              </w:rPr>
              <w:t>проведената обществена</w:t>
            </w:r>
            <w:r w:rsidRPr="00CE2BF2">
              <w:rPr>
                <w:rFonts w:ascii="Verdana" w:hAnsi="Verdana"/>
                <w:lang w:val="bg-BG"/>
              </w:rPr>
              <w:t xml:space="preserve"> консултация; </w:t>
            </w:r>
          </w:p>
          <w:p w:rsidR="003F5B76" w:rsidRPr="00CE2BF2" w:rsidRDefault="00734C3D">
            <w:pPr>
              <w:pStyle w:val="ListParagraph"/>
              <w:numPr>
                <w:ilvl w:val="0"/>
                <w:numId w:val="33"/>
              </w:numPr>
              <w:overflowPunct/>
              <w:autoSpaceDE/>
              <w:autoSpaceDN/>
              <w:adjustRightInd/>
              <w:spacing w:line="360" w:lineRule="auto"/>
              <w:jc w:val="both"/>
              <w:textAlignment w:val="auto"/>
              <w:rPr>
                <w:rFonts w:ascii="Verdana" w:hAnsi="Verdana"/>
                <w:lang w:val="bg-BG"/>
              </w:rPr>
            </w:pPr>
            <w:r w:rsidRPr="00CE2BF2">
              <w:rPr>
                <w:rFonts w:ascii="Verdana" w:hAnsi="Verdana"/>
                <w:lang w:val="bg-BG"/>
              </w:rPr>
              <w:t>Получени предложения и становища</w:t>
            </w:r>
            <w:r w:rsidR="005F3625" w:rsidRPr="00CE2BF2">
              <w:rPr>
                <w:rFonts w:ascii="Verdana" w:hAnsi="Verdana"/>
                <w:lang w:val="bg-BG"/>
              </w:rPr>
              <w:t>;</w:t>
            </w:r>
          </w:p>
          <w:p w:rsidR="003F5B76" w:rsidRPr="00CE2BF2"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sidRPr="00CE2BF2">
              <w:rPr>
                <w:rFonts w:ascii="Verdana" w:hAnsi="Verdana"/>
                <w:lang w:val="bg-BG"/>
              </w:rPr>
              <w:t>Проект на съобщение за средствата за масово осведомяване.</w:t>
            </w:r>
          </w:p>
        </w:tc>
      </w:tr>
    </w:tbl>
    <w:p w:rsidR="0060494C" w:rsidRPr="00154E6A" w:rsidRDefault="0060494C">
      <w:pPr>
        <w:spacing w:line="360" w:lineRule="auto"/>
        <w:jc w:val="both"/>
        <w:rPr>
          <w:rFonts w:ascii="Verdana" w:eastAsia="PMingLiU" w:hAnsi="Verdana" w:cs="Verdana"/>
          <w:b/>
          <w:bCs/>
          <w:lang w:val="bg-BG"/>
        </w:rPr>
      </w:pPr>
    </w:p>
    <w:p w:rsidR="00CE0AEA" w:rsidRPr="00154E6A" w:rsidRDefault="00CE0AEA">
      <w:pPr>
        <w:spacing w:line="360" w:lineRule="auto"/>
        <w:jc w:val="both"/>
        <w:rPr>
          <w:rFonts w:ascii="Verdana" w:eastAsia="PMingLiU" w:hAnsi="Verdana" w:cs="Verdana"/>
          <w:b/>
          <w:bCs/>
          <w:lang w:val="bg-BG"/>
        </w:rPr>
      </w:pPr>
    </w:p>
    <w:p w:rsidR="009B0162" w:rsidRPr="00154E6A" w:rsidRDefault="009B0162">
      <w:pPr>
        <w:spacing w:line="360" w:lineRule="auto"/>
        <w:jc w:val="both"/>
        <w:rPr>
          <w:rFonts w:ascii="Verdana" w:eastAsia="PMingLiU" w:hAnsi="Verdana" w:cs="Verdana"/>
          <w:b/>
          <w:bCs/>
          <w:lang w:val="bg-BG"/>
        </w:rPr>
      </w:pPr>
    </w:p>
    <w:p w:rsidR="00154E6A" w:rsidRDefault="00154E6A">
      <w:pPr>
        <w:spacing w:line="360" w:lineRule="auto"/>
        <w:jc w:val="both"/>
        <w:rPr>
          <w:rFonts w:ascii="Verdana" w:eastAsia="PMingLiU" w:hAnsi="Verdana" w:cs="Verdana"/>
          <w:b/>
          <w:bCs/>
          <w:lang w:val="bg-BG"/>
        </w:rPr>
      </w:pPr>
    </w:p>
    <w:p w:rsidR="00154E6A" w:rsidRDefault="00154E6A">
      <w:pPr>
        <w:spacing w:line="360" w:lineRule="auto"/>
        <w:jc w:val="both"/>
        <w:rPr>
          <w:rFonts w:ascii="Verdana" w:eastAsia="PMingLiU" w:hAnsi="Verdana" w:cs="Verdana"/>
          <w:b/>
          <w:bCs/>
          <w:lang w:val="bg-BG"/>
        </w:rPr>
      </w:pPr>
    </w:p>
    <w:p w:rsidR="003F5B76" w:rsidRPr="00154E6A" w:rsidRDefault="005F3625">
      <w:pPr>
        <w:spacing w:line="360" w:lineRule="auto"/>
        <w:jc w:val="both"/>
        <w:rPr>
          <w:rFonts w:ascii="Verdana" w:eastAsia="PMingLiU" w:hAnsi="Verdana" w:cs="Verdana"/>
          <w:b/>
          <w:bCs/>
          <w:lang w:val="bg-BG"/>
        </w:rPr>
      </w:pPr>
      <w:r w:rsidRPr="00154E6A">
        <w:rPr>
          <w:rFonts w:ascii="Verdana" w:eastAsia="PMingLiU" w:hAnsi="Verdana" w:cs="Verdana"/>
          <w:b/>
          <w:bCs/>
          <w:lang w:val="bg-BG"/>
        </w:rPr>
        <w:t>ДЕСИСЛАВА ТАНЕВА</w:t>
      </w:r>
    </w:p>
    <w:p w:rsidR="003F5B76" w:rsidRPr="00154E6A" w:rsidRDefault="005F3625" w:rsidP="00734C3D">
      <w:pPr>
        <w:tabs>
          <w:tab w:val="left" w:pos="0"/>
        </w:tabs>
        <w:spacing w:after="120" w:line="360" w:lineRule="auto"/>
        <w:jc w:val="both"/>
        <w:outlineLvl w:val="0"/>
        <w:rPr>
          <w:rFonts w:ascii="Verdana" w:eastAsia="PMingLiU" w:hAnsi="Verdana" w:cs="Verdana"/>
          <w:i/>
          <w:iCs/>
          <w:lang w:val="bg-BG"/>
        </w:rPr>
      </w:pPr>
      <w:r w:rsidRPr="00154E6A">
        <w:rPr>
          <w:rFonts w:ascii="Verdana" w:eastAsia="PMingLiU" w:hAnsi="Verdana" w:cs="Verdana"/>
          <w:i/>
          <w:iCs/>
          <w:lang w:val="bg-BG"/>
        </w:rPr>
        <w:t>Министър на земеделието, храните и горите</w:t>
      </w:r>
    </w:p>
    <w:p w:rsidR="009B0162" w:rsidRPr="00154E6A" w:rsidRDefault="009B0162" w:rsidP="00963C55">
      <w:pPr>
        <w:overflowPunct/>
        <w:autoSpaceDE/>
        <w:autoSpaceDN/>
        <w:adjustRightInd/>
        <w:textAlignment w:val="auto"/>
        <w:rPr>
          <w:rFonts w:ascii="Verdana" w:hAnsi="Verdana"/>
          <w:smallCaps/>
          <w:sz w:val="18"/>
          <w:szCs w:val="18"/>
          <w:lang w:val="bg-BG" w:eastAsia="bg-BG"/>
        </w:rPr>
      </w:pPr>
    </w:p>
    <w:p w:rsidR="0038409B" w:rsidRPr="00154E6A" w:rsidRDefault="0038409B" w:rsidP="00963C55">
      <w:pPr>
        <w:overflowPunct/>
        <w:autoSpaceDE/>
        <w:autoSpaceDN/>
        <w:adjustRightInd/>
        <w:textAlignment w:val="auto"/>
        <w:rPr>
          <w:rFonts w:ascii="Verdana" w:hAnsi="Verdana"/>
          <w:smallCaps/>
          <w:sz w:val="18"/>
          <w:szCs w:val="18"/>
          <w:lang w:val="bg-BG" w:eastAsia="bg-BG"/>
        </w:rPr>
      </w:pPr>
      <w:bookmarkStart w:id="0" w:name="_GoBack"/>
      <w:bookmarkEnd w:id="0"/>
    </w:p>
    <w:sectPr w:rsidR="0038409B" w:rsidRPr="00154E6A" w:rsidSect="00154E6A">
      <w:footerReference w:type="even" r:id="rId8"/>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BF2" w:rsidRDefault="00C97BF2">
      <w:r>
        <w:separator/>
      </w:r>
    </w:p>
  </w:endnote>
  <w:endnote w:type="continuationSeparator" w:id="0">
    <w:p w:rsidR="00C97BF2" w:rsidRDefault="00C9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Platinum Bg">
    <w:altName w:val="Times New Roman"/>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5F3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5B76" w:rsidRDefault="003F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5F3625">
    <w:pPr>
      <w:pStyle w:val="Footer"/>
      <w:jc w:val="right"/>
      <w:rPr>
        <w:rFonts w:ascii="Verdana" w:hAnsi="Verdana"/>
        <w:sz w:val="16"/>
        <w:szCs w:val="16"/>
        <w:lang w:val="bg-BG"/>
      </w:rPr>
    </w:pPr>
    <w:r>
      <w:rPr>
        <w:rFonts w:ascii="Verdana" w:hAnsi="Verdana"/>
        <w:sz w:val="16"/>
        <w:szCs w:val="16"/>
      </w:rPr>
      <w:fldChar w:fldCharType="begin"/>
    </w:r>
    <w:r>
      <w:rPr>
        <w:rFonts w:ascii="Verdana" w:hAnsi="Verdana"/>
        <w:sz w:val="16"/>
        <w:szCs w:val="16"/>
      </w:rPr>
      <w:instrText xml:space="preserve"> PAGE   \* MERGEFORMAT </w:instrText>
    </w:r>
    <w:r>
      <w:rPr>
        <w:rFonts w:ascii="Verdana" w:hAnsi="Verdana"/>
        <w:sz w:val="16"/>
        <w:szCs w:val="16"/>
      </w:rPr>
      <w:fldChar w:fldCharType="separate"/>
    </w:r>
    <w:r w:rsidR="00D10F7A">
      <w:rPr>
        <w:rFonts w:ascii="Verdana" w:hAnsi="Verdana"/>
        <w:noProof/>
        <w:sz w:val="16"/>
        <w:szCs w:val="16"/>
      </w:rPr>
      <w:t>6</w:t>
    </w:r>
    <w:r>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BF2" w:rsidRDefault="00C97BF2">
      <w:r>
        <w:separator/>
      </w:r>
    </w:p>
  </w:footnote>
  <w:footnote w:type="continuationSeparator" w:id="0">
    <w:p w:rsidR="00C97BF2" w:rsidRDefault="00C97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5F3625">
    <w:pPr>
      <w:pStyle w:val="Heading1"/>
      <w:framePr w:w="0" w:hRule="auto" w:wrap="auto" w:vAnchor="margin" w:hAnchor="text" w:xAlign="left" w:yAlign="inline"/>
      <w:rPr>
        <w:rFonts w:ascii="Platinum Bg" w:hAnsi="Platinum Bg"/>
        <w:spacing w:val="40"/>
        <w:sz w:val="22"/>
      </w:rPr>
    </w:pPr>
    <w:r>
      <w:rPr>
        <w:noProof/>
      </w:rPr>
      <w:drawing>
        <wp:anchor distT="0" distB="0" distL="114300" distR="114300" simplePos="0" relativeHeight="251658240" behindDoc="1" locked="0" layoutInCell="1" allowOverlap="1" wp14:anchorId="027B5905" wp14:editId="5112D674">
          <wp:simplePos x="0" y="0"/>
          <wp:positionH relativeFrom="column">
            <wp:posOffset>2205355</wp:posOffset>
          </wp:positionH>
          <wp:positionV relativeFrom="paragraph">
            <wp:posOffset>107474</wp:posOffset>
          </wp:positionV>
          <wp:extent cx="1223645" cy="1214755"/>
          <wp:effectExtent l="0" t="0" r="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1214755"/>
                  </a:xfrm>
                  <a:prstGeom prst="rect">
                    <a:avLst/>
                  </a:prstGeom>
                  <a:noFill/>
                </pic:spPr>
              </pic:pic>
            </a:graphicData>
          </a:graphic>
        </wp:anchor>
      </w:drawing>
    </w: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b w:val="0"/>
        <w:spacing w:val="40"/>
        <w:sz w:val="36"/>
        <w:szCs w:val="36"/>
      </w:rPr>
    </w:pPr>
  </w:p>
  <w:p w:rsidR="003F5B76" w:rsidRDefault="003F5B76">
    <w:pPr>
      <w:pStyle w:val="Heading1"/>
      <w:framePr w:w="0" w:hRule="auto" w:wrap="auto" w:vAnchor="margin" w:hAnchor="text" w:xAlign="left" w:yAlign="inline"/>
      <w:rPr>
        <w:rFonts w:ascii="Platinum Bg" w:hAnsi="Platinum Bg"/>
        <w:b w:val="0"/>
        <w:spacing w:val="40"/>
        <w:sz w:val="36"/>
        <w:szCs w:val="36"/>
        <w:lang w:val="bg-BG"/>
      </w:rPr>
    </w:pPr>
  </w:p>
  <w:p w:rsidR="003F5B76" w:rsidRDefault="005F3625">
    <w:pPr>
      <w:pStyle w:val="Heading1"/>
      <w:framePr w:w="0" w:hRule="auto" w:wrap="auto" w:vAnchor="margin" w:hAnchor="text" w:xAlign="left" w:yAlign="inline"/>
      <w:rPr>
        <w:rFonts w:ascii="Platinum Bg" w:hAnsi="Platinum Bg"/>
        <w:b w:val="0"/>
        <w:spacing w:val="40"/>
        <w:sz w:val="36"/>
        <w:szCs w:val="36"/>
        <w:lang w:val="bg-BG"/>
      </w:rPr>
    </w:pPr>
    <w:r>
      <w:rPr>
        <w:rFonts w:ascii="Platinum Bg" w:hAnsi="Platinum Bg"/>
        <w:b w:val="0"/>
        <w:spacing w:val="40"/>
        <w:sz w:val="36"/>
        <w:szCs w:val="36"/>
        <w:lang w:val="bg-BG"/>
      </w:rPr>
      <w:t>РЕПУБЛИКА БЪЛГАРИЯ</w:t>
    </w:r>
  </w:p>
  <w:p w:rsidR="003F5B76" w:rsidRDefault="005F3625">
    <w:pPr>
      <w:pStyle w:val="Heading1"/>
      <w:framePr w:w="0" w:hRule="auto" w:wrap="auto" w:vAnchor="margin" w:hAnchor="text" w:xAlign="left" w:yAlign="inline"/>
      <w:pBdr>
        <w:bottom w:val="single" w:sz="4" w:space="1" w:color="auto"/>
      </w:pBdr>
      <w:rPr>
        <w:lang w:val="ru-RU"/>
      </w:rPr>
    </w:pPr>
    <w:r>
      <w:rPr>
        <w:rFonts w:ascii="Platinum Bg" w:hAnsi="Platinum Bg"/>
        <w:b w:val="0"/>
        <w:spacing w:val="40"/>
        <w:lang w:val="bg-BG"/>
      </w:rPr>
      <w:t>Министър на земеделието, храните и горите</w:t>
    </w:r>
    <w:r>
      <w:rPr>
        <w:noProof/>
      </w:rPr>
      <mc:AlternateContent>
        <mc:Choice Requires="wps">
          <w:drawing>
            <wp:anchor distT="4294967295" distB="4294967295" distL="114300" distR="114300" simplePos="0" relativeHeight="251657216" behindDoc="0" locked="0" layoutInCell="0" allowOverlap="1" wp14:anchorId="5AB9FE7A" wp14:editId="2C64731A">
              <wp:simplePos x="0" y="0"/>
              <wp:positionH relativeFrom="column">
                <wp:posOffset>-226695</wp:posOffset>
              </wp:positionH>
              <wp:positionV relativeFrom="paragraph">
                <wp:posOffset>9744074</wp:posOffset>
              </wp:positionV>
              <wp:extent cx="7589520" cy="0"/>
              <wp:effectExtent l="0" t="0" r="1143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9C1E8"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FU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4" w15:restartNumberingAfterBreak="0">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9" w15:restartNumberingAfterBreak="0">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1" w15:restartNumberingAfterBreak="0">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15:restartNumberingAfterBreak="0">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6" w15:restartNumberingAfterBreak="0">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15:restartNumberingAfterBreak="0">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0" w15:restartNumberingAfterBreak="0">
    <w:nsid w:val="5AFC47AF"/>
    <w:multiLevelType w:val="hybridMultilevel"/>
    <w:tmpl w:val="AF4206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2" w15:restartNumberingAfterBreak="0">
    <w:nsid w:val="5C980A77"/>
    <w:multiLevelType w:val="multilevel"/>
    <w:tmpl w:val="97AAFFA4"/>
    <w:lvl w:ilvl="0">
      <w:start w:val="1"/>
      <w:numFmt w:val="decimal"/>
      <w:suff w:val="space"/>
      <w:lvlText w:val="%1."/>
      <w:lvlJc w:val="right"/>
      <w:pPr>
        <w:ind w:left="340" w:firstLine="0"/>
      </w:pPr>
      <w:rPr>
        <w:rFonts w:hint="default"/>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3" w15:restartNumberingAfterBreak="0">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15:restartNumberingAfterBreak="0">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8" w15:restartNumberingAfterBreak="0">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72817FA7"/>
    <w:multiLevelType w:val="hybridMultilevel"/>
    <w:tmpl w:val="0EDEAF1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15:restartNumberingAfterBreak="0">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2" w15:restartNumberingAfterBreak="0">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2"/>
  </w:num>
  <w:num w:numId="4">
    <w:abstractNumId w:val="23"/>
  </w:num>
  <w:num w:numId="5">
    <w:abstractNumId w:val="24"/>
  </w:num>
  <w:num w:numId="6">
    <w:abstractNumId w:val="12"/>
  </w:num>
  <w:num w:numId="7">
    <w:abstractNumId w:val="27"/>
  </w:num>
  <w:num w:numId="8">
    <w:abstractNumId w:val="34"/>
  </w:num>
  <w:num w:numId="9">
    <w:abstractNumId w:val="30"/>
  </w:num>
  <w:num w:numId="10">
    <w:abstractNumId w:val="28"/>
  </w:num>
  <w:num w:numId="11">
    <w:abstractNumId w:val="17"/>
  </w:num>
  <w:num w:numId="12">
    <w:abstractNumId w:val="2"/>
  </w:num>
  <w:num w:numId="13">
    <w:abstractNumId w:val="8"/>
  </w:num>
  <w:num w:numId="14">
    <w:abstractNumId w:val="31"/>
  </w:num>
  <w:num w:numId="15">
    <w:abstractNumId w:val="15"/>
  </w:num>
  <w:num w:numId="16">
    <w:abstractNumId w:val="10"/>
  </w:num>
  <w:num w:numId="17">
    <w:abstractNumId w:val="18"/>
  </w:num>
  <w:num w:numId="18">
    <w:abstractNumId w:val="3"/>
  </w:num>
  <w:num w:numId="19">
    <w:abstractNumId w:val="26"/>
  </w:num>
  <w:num w:numId="20">
    <w:abstractNumId w:val="0"/>
  </w:num>
  <w:num w:numId="21">
    <w:abstractNumId w:val="21"/>
  </w:num>
  <w:num w:numId="22">
    <w:abstractNumId w:val="7"/>
  </w:num>
  <w:num w:numId="23">
    <w:abstractNumId w:val="5"/>
  </w:num>
  <w:num w:numId="24">
    <w:abstractNumId w:val="33"/>
  </w:num>
  <w:num w:numId="25">
    <w:abstractNumId w:val="6"/>
  </w:num>
  <w:num w:numId="26">
    <w:abstractNumId w:val="9"/>
  </w:num>
  <w:num w:numId="27">
    <w:abstractNumId w:val="16"/>
  </w:num>
  <w:num w:numId="28">
    <w:abstractNumId w:val="1"/>
  </w:num>
  <w:num w:numId="29">
    <w:abstractNumId w:val="11"/>
  </w:num>
  <w:num w:numId="30">
    <w:abstractNumId w:val="4"/>
  </w:num>
  <w:num w:numId="31">
    <w:abstractNumId w:val="13"/>
  </w:num>
  <w:num w:numId="32">
    <w:abstractNumId w:val="25"/>
  </w:num>
  <w:num w:numId="33">
    <w:abstractNumId w:val="22"/>
  </w:num>
  <w:num w:numId="34">
    <w:abstractNumId w:val="2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76"/>
    <w:rsid w:val="00005557"/>
    <w:rsid w:val="00017D99"/>
    <w:rsid w:val="00021FE3"/>
    <w:rsid w:val="000342B9"/>
    <w:rsid w:val="00040A6B"/>
    <w:rsid w:val="00046EB4"/>
    <w:rsid w:val="0005301D"/>
    <w:rsid w:val="00060CE5"/>
    <w:rsid w:val="000632F6"/>
    <w:rsid w:val="00067BCE"/>
    <w:rsid w:val="00075364"/>
    <w:rsid w:val="0008263A"/>
    <w:rsid w:val="0008520F"/>
    <w:rsid w:val="000A7FEC"/>
    <w:rsid w:val="000C1B39"/>
    <w:rsid w:val="000E2A68"/>
    <w:rsid w:val="000F4EF1"/>
    <w:rsid w:val="000F6D55"/>
    <w:rsid w:val="00123C4C"/>
    <w:rsid w:val="00150BFF"/>
    <w:rsid w:val="00154E6A"/>
    <w:rsid w:val="0015511C"/>
    <w:rsid w:val="00161D4D"/>
    <w:rsid w:val="00162C85"/>
    <w:rsid w:val="00187C1E"/>
    <w:rsid w:val="00191421"/>
    <w:rsid w:val="00191544"/>
    <w:rsid w:val="001A6126"/>
    <w:rsid w:val="001A7B68"/>
    <w:rsid w:val="001B21DB"/>
    <w:rsid w:val="001B5A90"/>
    <w:rsid w:val="001C5521"/>
    <w:rsid w:val="001D0720"/>
    <w:rsid w:val="001D4C42"/>
    <w:rsid w:val="001F0D89"/>
    <w:rsid w:val="00201B94"/>
    <w:rsid w:val="00216F08"/>
    <w:rsid w:val="0022515E"/>
    <w:rsid w:val="00227A6B"/>
    <w:rsid w:val="00234686"/>
    <w:rsid w:val="00234B5F"/>
    <w:rsid w:val="00247F92"/>
    <w:rsid w:val="00254B6F"/>
    <w:rsid w:val="002567B4"/>
    <w:rsid w:val="00275596"/>
    <w:rsid w:val="00275663"/>
    <w:rsid w:val="00292359"/>
    <w:rsid w:val="00294EF8"/>
    <w:rsid w:val="002C35B9"/>
    <w:rsid w:val="002D10DA"/>
    <w:rsid w:val="002E148A"/>
    <w:rsid w:val="002E436D"/>
    <w:rsid w:val="002F53D3"/>
    <w:rsid w:val="002F5F15"/>
    <w:rsid w:val="00300689"/>
    <w:rsid w:val="00306EDB"/>
    <w:rsid w:val="00316F96"/>
    <w:rsid w:val="00322469"/>
    <w:rsid w:val="003431DC"/>
    <w:rsid w:val="00344D6C"/>
    <w:rsid w:val="00366D49"/>
    <w:rsid w:val="00383BFF"/>
    <w:rsid w:val="0038409B"/>
    <w:rsid w:val="003A339C"/>
    <w:rsid w:val="003C57D6"/>
    <w:rsid w:val="003C72BA"/>
    <w:rsid w:val="003E6BEC"/>
    <w:rsid w:val="003F5B76"/>
    <w:rsid w:val="00415A2F"/>
    <w:rsid w:val="00422287"/>
    <w:rsid w:val="00433AAB"/>
    <w:rsid w:val="004371EC"/>
    <w:rsid w:val="00455651"/>
    <w:rsid w:val="00456508"/>
    <w:rsid w:val="00462290"/>
    <w:rsid w:val="0048510A"/>
    <w:rsid w:val="00490A58"/>
    <w:rsid w:val="004A697B"/>
    <w:rsid w:val="004B7FE2"/>
    <w:rsid w:val="004C0C71"/>
    <w:rsid w:val="004C0F55"/>
    <w:rsid w:val="004F787A"/>
    <w:rsid w:val="005620E8"/>
    <w:rsid w:val="0057413A"/>
    <w:rsid w:val="005750F9"/>
    <w:rsid w:val="005C311B"/>
    <w:rsid w:val="005D5B90"/>
    <w:rsid w:val="005D5CBB"/>
    <w:rsid w:val="005F3625"/>
    <w:rsid w:val="005F4F1C"/>
    <w:rsid w:val="0060494C"/>
    <w:rsid w:val="00610179"/>
    <w:rsid w:val="00613E1E"/>
    <w:rsid w:val="00634D16"/>
    <w:rsid w:val="00637F63"/>
    <w:rsid w:val="00664D2C"/>
    <w:rsid w:val="00680135"/>
    <w:rsid w:val="0068180C"/>
    <w:rsid w:val="00683B4E"/>
    <w:rsid w:val="00684943"/>
    <w:rsid w:val="00692B6C"/>
    <w:rsid w:val="006A1179"/>
    <w:rsid w:val="006A220E"/>
    <w:rsid w:val="006A7052"/>
    <w:rsid w:val="006B0AD2"/>
    <w:rsid w:val="006B5295"/>
    <w:rsid w:val="00700E64"/>
    <w:rsid w:val="0071183E"/>
    <w:rsid w:val="00714227"/>
    <w:rsid w:val="00730FDE"/>
    <w:rsid w:val="00734C3D"/>
    <w:rsid w:val="0074318D"/>
    <w:rsid w:val="00766E02"/>
    <w:rsid w:val="007A440E"/>
    <w:rsid w:val="007D29BC"/>
    <w:rsid w:val="007D42CB"/>
    <w:rsid w:val="007E3E0B"/>
    <w:rsid w:val="00831010"/>
    <w:rsid w:val="008400FF"/>
    <w:rsid w:val="008521CF"/>
    <w:rsid w:val="00871D0B"/>
    <w:rsid w:val="00881CDA"/>
    <w:rsid w:val="008B0CB5"/>
    <w:rsid w:val="008B4B87"/>
    <w:rsid w:val="008C52D0"/>
    <w:rsid w:val="008C6CE2"/>
    <w:rsid w:val="008E60AE"/>
    <w:rsid w:val="008F5F26"/>
    <w:rsid w:val="00912C13"/>
    <w:rsid w:val="0092688F"/>
    <w:rsid w:val="009628A1"/>
    <w:rsid w:val="00963C55"/>
    <w:rsid w:val="00973EB2"/>
    <w:rsid w:val="00991A4F"/>
    <w:rsid w:val="009A18FA"/>
    <w:rsid w:val="009B0162"/>
    <w:rsid w:val="009B55F4"/>
    <w:rsid w:val="009D0593"/>
    <w:rsid w:val="009E6E7D"/>
    <w:rsid w:val="009F2B5F"/>
    <w:rsid w:val="009F5E33"/>
    <w:rsid w:val="00A00D04"/>
    <w:rsid w:val="00A4289F"/>
    <w:rsid w:val="00A46B31"/>
    <w:rsid w:val="00A70FD9"/>
    <w:rsid w:val="00A97A50"/>
    <w:rsid w:val="00AA0D37"/>
    <w:rsid w:val="00AA74BF"/>
    <w:rsid w:val="00AB0B34"/>
    <w:rsid w:val="00AC7144"/>
    <w:rsid w:val="00B149E4"/>
    <w:rsid w:val="00B25BE6"/>
    <w:rsid w:val="00B34CF6"/>
    <w:rsid w:val="00B43B7B"/>
    <w:rsid w:val="00B46C83"/>
    <w:rsid w:val="00B56A97"/>
    <w:rsid w:val="00B8015F"/>
    <w:rsid w:val="00B804F9"/>
    <w:rsid w:val="00B83F28"/>
    <w:rsid w:val="00B9324E"/>
    <w:rsid w:val="00C03B2D"/>
    <w:rsid w:val="00C12FC9"/>
    <w:rsid w:val="00C608A3"/>
    <w:rsid w:val="00C65637"/>
    <w:rsid w:val="00C65BA9"/>
    <w:rsid w:val="00C65E02"/>
    <w:rsid w:val="00C80072"/>
    <w:rsid w:val="00C8760D"/>
    <w:rsid w:val="00C97BF2"/>
    <w:rsid w:val="00CB0D48"/>
    <w:rsid w:val="00CC628A"/>
    <w:rsid w:val="00CC6B92"/>
    <w:rsid w:val="00CE0AEA"/>
    <w:rsid w:val="00CE2BF2"/>
    <w:rsid w:val="00D00394"/>
    <w:rsid w:val="00D01474"/>
    <w:rsid w:val="00D055E2"/>
    <w:rsid w:val="00D10F7A"/>
    <w:rsid w:val="00D1504E"/>
    <w:rsid w:val="00D22645"/>
    <w:rsid w:val="00D32658"/>
    <w:rsid w:val="00D42DE3"/>
    <w:rsid w:val="00D450EF"/>
    <w:rsid w:val="00D530F7"/>
    <w:rsid w:val="00D74610"/>
    <w:rsid w:val="00D85447"/>
    <w:rsid w:val="00D97853"/>
    <w:rsid w:val="00DB7ECD"/>
    <w:rsid w:val="00DD3BC7"/>
    <w:rsid w:val="00DE1CC8"/>
    <w:rsid w:val="00DF4B69"/>
    <w:rsid w:val="00E27C6C"/>
    <w:rsid w:val="00E41F18"/>
    <w:rsid w:val="00E57DC4"/>
    <w:rsid w:val="00E632BB"/>
    <w:rsid w:val="00E83A70"/>
    <w:rsid w:val="00E96ECA"/>
    <w:rsid w:val="00EB278A"/>
    <w:rsid w:val="00EC3E42"/>
    <w:rsid w:val="00ED3385"/>
    <w:rsid w:val="00ED5808"/>
    <w:rsid w:val="00ED5BA5"/>
    <w:rsid w:val="00F07232"/>
    <w:rsid w:val="00F33A68"/>
    <w:rsid w:val="00F36BD4"/>
    <w:rsid w:val="00F42998"/>
    <w:rsid w:val="00F56592"/>
    <w:rsid w:val="00F64AB4"/>
    <w:rsid w:val="00F66707"/>
    <w:rsid w:val="00F9261A"/>
    <w:rsid w:val="00F96C56"/>
    <w:rsid w:val="00FA6783"/>
    <w:rsid w:val="00FA7F0A"/>
    <w:rsid w:val="00FC5CFD"/>
    <w:rsid w:val="00FD47FB"/>
    <w:rsid w:val="00FE3581"/>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DA8501-6BA8-46BF-A72F-311449CE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en-US" w:eastAsia="en-US"/>
    </w:rPr>
  </w:style>
  <w:style w:type="character" w:customStyle="1" w:styleId="Heading2Char">
    <w:name w:val="Heading 2 Char"/>
    <w:link w:val="Heading2"/>
    <w:uiPriority w:val="99"/>
    <w:semiHidden/>
    <w:locked/>
    <w:rPr>
      <w:rFonts w:ascii="Cambria" w:hAnsi="Cambria" w:cs="Times New Roman"/>
      <w:b/>
      <w:i/>
      <w:sz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lang w:val="en-US" w:eastAsia="en-US"/>
    </w:rPr>
  </w:style>
  <w:style w:type="paragraph" w:customStyle="1" w:styleId="a">
    <w:name w:val="Знак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Pr>
      <w:sz w:val="24"/>
      <w:lang w:val="bg-BG" w:eastAsia="en-US"/>
    </w:rPr>
  </w:style>
  <w:style w:type="paragraph" w:customStyle="1" w:styleId="Default">
    <w:name w:val="Default"/>
    <w:pPr>
      <w:autoSpaceDE w:val="0"/>
      <w:autoSpaceDN w:val="0"/>
      <w:adjustRightInd w:val="0"/>
    </w:pPr>
    <w:rPr>
      <w:color w:val="000000"/>
      <w:sz w:val="24"/>
      <w:szCs w:val="24"/>
    </w:rPr>
  </w:style>
  <w:style w:type="paragraph" w:customStyle="1" w:styleId="2">
    <w:name w:val="Знак Знак2"/>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Pr>
      <w:color w:val="0000FF"/>
      <w:u w:val="single"/>
    </w:rPr>
  </w:style>
  <w:style w:type="paragraph" w:styleId="BodyText2">
    <w:name w:val="Body Text 2"/>
    <w:basedOn w:val="Normal"/>
    <w:link w:val="BodyText2Char1"/>
    <w:uiPriority w:val="99"/>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Pr>
      <w:rFonts w:ascii="Arial" w:hAnsi="Arial" w:cs="Times New Roman"/>
      <w:sz w:val="20"/>
      <w:lang w:val="en-US" w:eastAsia="en-US"/>
    </w:rPr>
  </w:style>
  <w:style w:type="character" w:customStyle="1" w:styleId="BodyText2Char1">
    <w:name w:val="Body Text 2 Char1"/>
    <w:link w:val="BodyText2"/>
    <w:uiPriority w:val="99"/>
    <w:semiHidden/>
    <w:locked/>
    <w:rPr>
      <w:rFonts w:ascii="Verdana" w:hAnsi="Verdana"/>
      <w:sz w:val="24"/>
      <w:lang w:val="bg-BG" w:eastAsia="bg-BG"/>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Arial" w:hAnsi="Arial" w:cs="Times New Roman"/>
      <w:sz w:val="20"/>
      <w:lang w:val="en-US" w:eastAsia="en-US"/>
    </w:rPr>
  </w:style>
  <w:style w:type="paragraph" w:customStyle="1" w:styleId="title5">
    <w:name w:val="title5"/>
    <w:basedOn w:val="Normal"/>
    <w:uiPriority w:val="99"/>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Pr>
      <w:rFonts w:ascii="Times New Roman" w:hAnsi="Times New Roman"/>
      <w:sz w:val="2"/>
    </w:rPr>
  </w:style>
  <w:style w:type="character" w:customStyle="1" w:styleId="BalloonTextChar">
    <w:name w:val="Balloon Text Char"/>
    <w:link w:val="BalloonText"/>
    <w:uiPriority w:val="99"/>
    <w:semiHidden/>
    <w:locked/>
    <w:rPr>
      <w:rFonts w:cs="Times New Roman"/>
      <w:sz w:val="2"/>
      <w:lang w:val="en-US" w:eastAsia="en-US"/>
    </w:rPr>
  </w:style>
  <w:style w:type="character" w:customStyle="1" w:styleId="samedocreference1">
    <w:name w:val="samedocreference1"/>
    <w:uiPriority w:val="99"/>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Pr>
      <w:rFonts w:ascii="Arial" w:hAnsi="Arial" w:cs="Times New Roman"/>
      <w:sz w:val="20"/>
      <w:lang w:val="en-US" w:eastAsia="en-US"/>
    </w:rPr>
  </w:style>
  <w:style w:type="character" w:customStyle="1" w:styleId="historyitem">
    <w:name w:val="historyitem"/>
    <w:uiPriority w:val="99"/>
  </w:style>
  <w:style w:type="character" w:customStyle="1" w:styleId="historyitemselected1">
    <w:name w:val="historyitemselected1"/>
    <w:uiPriority w:val="99"/>
    <w:rPr>
      <w:b/>
      <w:color w:val="0086C6"/>
    </w:rPr>
  </w:style>
  <w:style w:type="character" w:styleId="Hyperlink">
    <w:name w:val="Hyperlink"/>
    <w:uiPriority w:val="99"/>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Pr>
      <w:rFonts w:ascii="Arial" w:hAnsi="Arial" w:cs="Arial"/>
      <w:lang w:val="en-US" w:eastAsia="en-US" w:bidi="ar-SA"/>
    </w:rPr>
  </w:style>
  <w:style w:type="character" w:styleId="PageNumber">
    <w:name w:val="page number"/>
    <w:uiPriority w:val="99"/>
    <w:rPr>
      <w:rFonts w:cs="Times New Roman"/>
    </w:rPr>
  </w:style>
  <w:style w:type="paragraph" w:styleId="ListParagraph">
    <w:name w:val="List Paragraph"/>
    <w:basedOn w:val="Normal"/>
    <w:uiPriority w:val="99"/>
    <w:qFormat/>
    <w:pPr>
      <w:ind w:left="720"/>
      <w:contextualSpacing/>
    </w:pPr>
    <w:rPr>
      <w:rFonts w:ascii="Times New Roman" w:hAnsi="Times New Roman"/>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lang w:val="en-US" w:eastAsia="en-US"/>
    </w:rPr>
  </w:style>
  <w:style w:type="table" w:customStyle="1" w:styleId="TableGrid2">
    <w:name w:val="Table Grid2"/>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BodyTextIndent2">
    <w:name w:val="Body Text Indent 2"/>
    <w:basedOn w:val="Normal"/>
    <w:link w:val="BodyTextIndent2Char"/>
    <w:uiPriority w:val="99"/>
    <w:semiHidden/>
    <w:unhideWhenUsed/>
    <w:rsid w:val="00963C55"/>
    <w:pPr>
      <w:spacing w:after="120" w:line="480" w:lineRule="auto"/>
      <w:ind w:left="283"/>
    </w:pPr>
  </w:style>
  <w:style w:type="character" w:customStyle="1" w:styleId="BodyTextIndent2Char">
    <w:name w:val="Body Text Indent 2 Char"/>
    <w:basedOn w:val="DefaultParagraphFont"/>
    <w:link w:val="BodyTextIndent2"/>
    <w:uiPriority w:val="99"/>
    <w:semiHidden/>
    <w:rsid w:val="00963C55"/>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815531760">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2669A-92F0-466C-BEB7-9BCE1E86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1715</Words>
  <Characters>9779</Characters>
  <Application>Microsoft Office Word</Application>
  <DocSecurity>0</DocSecurity>
  <Lines>81</Lines>
  <Paragraphs>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Petya Ivanova</cp:lastModifiedBy>
  <cp:revision>4</cp:revision>
  <cp:lastPrinted>2021-01-20T13:20:00Z</cp:lastPrinted>
  <dcterms:created xsi:type="dcterms:W3CDTF">2021-03-04T08:07:00Z</dcterms:created>
  <dcterms:modified xsi:type="dcterms:W3CDTF">2021-03-10T10:09:00Z</dcterms:modified>
</cp:coreProperties>
</file>