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01" w:rsidRPr="00BA3D55" w:rsidRDefault="008D5301" w:rsidP="00A16FC9">
      <w:pPr>
        <w:spacing w:line="360" w:lineRule="auto"/>
        <w:jc w:val="right"/>
        <w:rPr>
          <w:rFonts w:ascii="Verdana" w:hAnsi="Verdana"/>
          <w:bCs/>
        </w:rPr>
      </w:pPr>
      <w:r w:rsidRPr="00BA3D55">
        <w:rPr>
          <w:rFonts w:ascii="Verdana" w:hAnsi="Verdana"/>
          <w:bCs/>
        </w:rPr>
        <w:t>Проект</w:t>
      </w:r>
    </w:p>
    <w:p w:rsidR="00AA3FF2" w:rsidRDefault="00AA3FF2" w:rsidP="00A16FC9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lang w:eastAsia="bg-BG"/>
        </w:rPr>
      </w:pPr>
    </w:p>
    <w:p w:rsidR="00FA49DE" w:rsidRPr="00BA3D55" w:rsidRDefault="00AF52DF" w:rsidP="00A16FC9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lang w:eastAsia="bg-BG"/>
        </w:rPr>
      </w:pPr>
      <w:r w:rsidRPr="00BA3D55">
        <w:rPr>
          <w:rFonts w:ascii="Verdana" w:hAnsi="Verdana"/>
          <w:b/>
          <w:bCs/>
          <w:sz w:val="24"/>
          <w:szCs w:val="24"/>
          <w:lang w:eastAsia="bg-BG"/>
        </w:rPr>
        <w:t xml:space="preserve">НАРЕДБА </w:t>
      </w:r>
    </w:p>
    <w:p w:rsidR="00AF52DF" w:rsidRPr="00BA3D55" w:rsidRDefault="00AF52DF" w:rsidP="00A16FC9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lang w:eastAsia="bg-BG"/>
        </w:rPr>
      </w:pPr>
      <w:r w:rsidRPr="00BA3D55">
        <w:rPr>
          <w:rFonts w:ascii="Verdana" w:hAnsi="Verdana"/>
          <w:b/>
          <w:bCs/>
        </w:rPr>
        <w:t xml:space="preserve">за </w:t>
      </w:r>
      <w:r w:rsidRPr="00BA3D55">
        <w:rPr>
          <w:rFonts w:ascii="Verdana" w:hAnsi="Verdana"/>
          <w:b/>
          <w:color w:val="000000"/>
        </w:rPr>
        <w:t>хранителните добавки</w:t>
      </w:r>
    </w:p>
    <w:p w:rsidR="00E601D6" w:rsidRPr="00BA3D55" w:rsidRDefault="00E601D6" w:rsidP="00A16FC9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</w:rPr>
      </w:pPr>
    </w:p>
    <w:p w:rsidR="00084F1F" w:rsidRDefault="00084F1F" w:rsidP="00A16FC9">
      <w:pPr>
        <w:spacing w:line="360" w:lineRule="auto"/>
        <w:jc w:val="center"/>
        <w:rPr>
          <w:rFonts w:ascii="Verdana" w:hAnsi="Verdana"/>
          <w:bCs/>
          <w:lang w:eastAsia="bg-BG"/>
        </w:rPr>
      </w:pPr>
    </w:p>
    <w:p w:rsidR="00AF52DF" w:rsidRPr="00BA3D55" w:rsidRDefault="00AF52DF" w:rsidP="00A16FC9">
      <w:pPr>
        <w:spacing w:line="360" w:lineRule="auto"/>
        <w:jc w:val="center"/>
        <w:rPr>
          <w:rFonts w:ascii="Verdana" w:hAnsi="Verdana"/>
          <w:bCs/>
          <w:lang w:eastAsia="bg-BG"/>
        </w:rPr>
      </w:pPr>
      <w:r w:rsidRPr="00BA3D55">
        <w:rPr>
          <w:rFonts w:ascii="Verdana" w:hAnsi="Verdana"/>
          <w:bCs/>
          <w:lang w:eastAsia="bg-BG"/>
        </w:rPr>
        <w:t>Раздел I</w:t>
      </w:r>
    </w:p>
    <w:p w:rsidR="00AF52DF" w:rsidRPr="00BA3D55" w:rsidRDefault="00AF52DF" w:rsidP="00A16FC9">
      <w:pPr>
        <w:spacing w:line="360" w:lineRule="auto"/>
        <w:jc w:val="center"/>
        <w:rPr>
          <w:rFonts w:ascii="Verdana" w:hAnsi="Verdana"/>
          <w:b/>
          <w:bCs/>
          <w:lang w:eastAsia="bg-BG"/>
        </w:rPr>
      </w:pPr>
      <w:r w:rsidRPr="00BA3D55">
        <w:rPr>
          <w:rFonts w:ascii="Verdana" w:hAnsi="Verdana"/>
          <w:b/>
          <w:bCs/>
          <w:lang w:eastAsia="bg-BG"/>
        </w:rPr>
        <w:t>Общи положения</w:t>
      </w:r>
    </w:p>
    <w:p w:rsidR="0066494D" w:rsidRPr="00BA3D55" w:rsidRDefault="0066494D" w:rsidP="00A16FC9">
      <w:pPr>
        <w:spacing w:line="360" w:lineRule="auto"/>
        <w:jc w:val="center"/>
        <w:rPr>
          <w:rFonts w:ascii="Verdana" w:hAnsi="Verdana"/>
          <w:highlight w:val="white"/>
          <w:shd w:val="clear" w:color="auto" w:fill="FEFEFE"/>
        </w:rPr>
      </w:pPr>
    </w:p>
    <w:p w:rsidR="00B42293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1.</w:t>
      </w:r>
      <w:r w:rsidR="006F33D4" w:rsidRPr="00BA3D55">
        <w:rPr>
          <w:rFonts w:ascii="Verdana" w:hAnsi="Verdana"/>
          <w:highlight w:val="white"/>
          <w:shd w:val="clear" w:color="auto" w:fill="FEFEFE"/>
        </w:rPr>
        <w:t xml:space="preserve"> </w:t>
      </w:r>
      <w:r w:rsidRPr="00BA3D55">
        <w:rPr>
          <w:rFonts w:ascii="Verdana" w:hAnsi="Verdana"/>
          <w:highlight w:val="white"/>
          <w:shd w:val="clear" w:color="auto" w:fill="FEFEFE"/>
        </w:rPr>
        <w:t>С тази наредба се определят</w:t>
      </w:r>
      <w:r w:rsidR="00B42293" w:rsidRPr="00BA3D55">
        <w:rPr>
          <w:rFonts w:ascii="Verdana" w:hAnsi="Verdana"/>
          <w:highlight w:val="white"/>
          <w:shd w:val="clear" w:color="auto" w:fill="FEFEFE"/>
        </w:rPr>
        <w:t>:</w:t>
      </w:r>
    </w:p>
    <w:p w:rsidR="00B42293" w:rsidRPr="00BA3D55" w:rsidRDefault="00B42293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1. </w:t>
      </w:r>
      <w:r w:rsidRPr="00BA3D55">
        <w:rPr>
          <w:rFonts w:ascii="Verdana" w:hAnsi="Verdana"/>
          <w:shd w:val="clear" w:color="auto" w:fill="FEFEFE"/>
        </w:rPr>
        <w:t>хранителните вещества (витамините и минералите), които могат да се влагат при производството на хранителни добавки;</w:t>
      </w:r>
    </w:p>
    <w:p w:rsidR="00B42293" w:rsidRPr="00BA3D55" w:rsidRDefault="00B42293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>2. веществата с хранителен или физиологичен ефект, които могат да се влагат при производството на хранителни добавки;</w:t>
      </w:r>
    </w:p>
    <w:p w:rsidR="00B42293" w:rsidRPr="00BA3D55" w:rsidRDefault="00B42293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>3. критериите за чистота на хранителните вещества, предназначени за влагане в хранителни добавки;</w:t>
      </w:r>
    </w:p>
    <w:p w:rsidR="00B42293" w:rsidRPr="00BA3D55" w:rsidRDefault="00B42293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 xml:space="preserve">4. информацията, която трябва да се </w:t>
      </w:r>
      <w:r w:rsidR="00960E0B" w:rsidRPr="00BA3D55">
        <w:rPr>
          <w:rFonts w:ascii="Verdana" w:hAnsi="Verdana"/>
          <w:shd w:val="clear" w:color="auto" w:fill="FEFEFE"/>
        </w:rPr>
        <w:t>предоставя</w:t>
      </w:r>
      <w:r w:rsidRPr="00BA3D55">
        <w:rPr>
          <w:rFonts w:ascii="Verdana" w:hAnsi="Verdana"/>
          <w:shd w:val="clear" w:color="auto" w:fill="FEFEFE"/>
        </w:rPr>
        <w:t xml:space="preserve"> при етикетиране</w:t>
      </w:r>
      <w:r w:rsidR="00464730" w:rsidRPr="00BA3D55">
        <w:rPr>
          <w:rFonts w:ascii="Verdana" w:hAnsi="Verdana"/>
          <w:shd w:val="clear" w:color="auto" w:fill="FEFEFE"/>
        </w:rPr>
        <w:t>то</w:t>
      </w:r>
      <w:r w:rsidR="00960E0B" w:rsidRPr="00BA3D55">
        <w:rPr>
          <w:rFonts w:ascii="Verdana" w:hAnsi="Verdana"/>
          <w:shd w:val="clear" w:color="auto" w:fill="FEFEFE"/>
        </w:rPr>
        <w:t>,</w:t>
      </w:r>
      <w:r w:rsidR="00464730" w:rsidRPr="00BA3D55">
        <w:rPr>
          <w:rFonts w:ascii="Verdana" w:hAnsi="Verdana"/>
          <w:shd w:val="clear" w:color="auto" w:fill="FEFEFE"/>
        </w:rPr>
        <w:t xml:space="preserve"> </w:t>
      </w:r>
      <w:r w:rsidR="00960E0B" w:rsidRPr="00BA3D55">
        <w:rPr>
          <w:rFonts w:ascii="Verdana" w:hAnsi="Verdana"/>
          <w:shd w:val="clear" w:color="auto" w:fill="FEFEFE"/>
        </w:rPr>
        <w:t xml:space="preserve">представянето и </w:t>
      </w:r>
      <w:r w:rsidR="00464730" w:rsidRPr="00BA3D55">
        <w:rPr>
          <w:rFonts w:ascii="Verdana" w:hAnsi="Verdana"/>
          <w:shd w:val="clear" w:color="auto" w:fill="FEFEFE"/>
        </w:rPr>
        <w:t>рекламата</w:t>
      </w:r>
      <w:r w:rsidR="00960E0B" w:rsidRPr="00BA3D55">
        <w:rPr>
          <w:rFonts w:ascii="Verdana" w:hAnsi="Verdana"/>
          <w:shd w:val="clear" w:color="auto" w:fill="FEFEFE"/>
        </w:rPr>
        <w:t xml:space="preserve"> </w:t>
      </w:r>
      <w:r w:rsidRPr="00BA3D55">
        <w:rPr>
          <w:rFonts w:ascii="Verdana" w:hAnsi="Verdana"/>
          <w:shd w:val="clear" w:color="auto" w:fill="FEFEFE"/>
        </w:rPr>
        <w:t>на хранителни добавки;</w:t>
      </w:r>
    </w:p>
    <w:p w:rsidR="00B42293" w:rsidRPr="00BA3D55" w:rsidRDefault="00B42293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>5. растенията и частите от растения, които не могат да се влагат в хранителни добавки;</w:t>
      </w:r>
    </w:p>
    <w:p w:rsidR="005E06A5" w:rsidRPr="00BA3D55" w:rsidRDefault="00B42293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>6. веществата, които не могат да се влагат в хранителни добавки</w:t>
      </w:r>
      <w:r w:rsidR="006F33D4" w:rsidRPr="00BA3D55">
        <w:rPr>
          <w:rFonts w:ascii="Verdana" w:hAnsi="Verdana"/>
          <w:shd w:val="clear" w:color="auto" w:fill="FEFEFE"/>
        </w:rPr>
        <w:t>.</w:t>
      </w:r>
    </w:p>
    <w:p w:rsidR="00AF52DF" w:rsidRPr="00BA3D55" w:rsidRDefault="00AF52DF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2.</w:t>
      </w:r>
      <w:r w:rsidR="00A13A51" w:rsidRPr="00BA3D55">
        <w:rPr>
          <w:rFonts w:ascii="Verdana" w:hAnsi="Verdana"/>
          <w:highlight w:val="white"/>
          <w:shd w:val="clear" w:color="auto" w:fill="FEFEFE"/>
        </w:rPr>
        <w:t xml:space="preserve"> Наредбата не се прилага за лекарствените продукти </w:t>
      </w:r>
      <w:r w:rsidRPr="00BA3D55">
        <w:rPr>
          <w:rFonts w:ascii="Verdana" w:hAnsi="Verdana"/>
          <w:highlight w:val="white"/>
          <w:shd w:val="clear" w:color="auto" w:fill="FEFEFE"/>
        </w:rPr>
        <w:t>по смисъла на чл. 3 от Закона за лекарств</w:t>
      </w:r>
      <w:r w:rsidR="00A13A51" w:rsidRPr="00BA3D55">
        <w:rPr>
          <w:rFonts w:ascii="Verdana" w:hAnsi="Verdana"/>
          <w:highlight w:val="white"/>
          <w:shd w:val="clear" w:color="auto" w:fill="FEFEFE"/>
        </w:rPr>
        <w:t xml:space="preserve">ените продукти </w:t>
      </w:r>
      <w:r w:rsidRPr="00BA3D55">
        <w:rPr>
          <w:rFonts w:ascii="Verdana" w:hAnsi="Verdana"/>
          <w:highlight w:val="white"/>
          <w:shd w:val="clear" w:color="auto" w:fill="FEFEFE"/>
        </w:rPr>
        <w:t>в хуманната медицина.</w:t>
      </w:r>
    </w:p>
    <w:p w:rsidR="00AF52DF" w:rsidRPr="00BA3D55" w:rsidRDefault="00AF52DF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3.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</w:t>
      </w:r>
      <w:r w:rsidR="006F33D4" w:rsidRPr="00BA3D55">
        <w:rPr>
          <w:rFonts w:ascii="Verdana" w:hAnsi="Verdana"/>
          <w:highlight w:val="white"/>
          <w:shd w:val="clear" w:color="auto" w:fill="FEFEFE"/>
        </w:rPr>
        <w:t xml:space="preserve">(1) </w:t>
      </w:r>
      <w:r w:rsidRPr="00BA3D55">
        <w:rPr>
          <w:rFonts w:ascii="Verdana" w:hAnsi="Verdana"/>
          <w:highlight w:val="white"/>
          <w:shd w:val="clear" w:color="auto" w:fill="FEFEFE"/>
        </w:rPr>
        <w:t>Хранителните добавки се пускат на пазара</w:t>
      </w:r>
      <w:r w:rsidR="008A58B5">
        <w:rPr>
          <w:rFonts w:ascii="Verdana" w:hAnsi="Verdana"/>
          <w:highlight w:val="white"/>
          <w:shd w:val="clear" w:color="auto" w:fill="FEFEFE"/>
        </w:rPr>
        <w:t>,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</w:t>
      </w:r>
      <w:r w:rsidR="008A58B5">
        <w:rPr>
          <w:rFonts w:ascii="Verdana" w:hAnsi="Verdana"/>
          <w:highlight w:val="white"/>
          <w:shd w:val="clear" w:color="auto" w:fill="FEFEFE"/>
        </w:rPr>
        <w:t>когато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отговарят на изискванията на тази наредба.</w:t>
      </w:r>
    </w:p>
    <w:p w:rsidR="006F33D4" w:rsidRPr="00BA3D55" w:rsidRDefault="006F33D4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>(2) Хранителните добавки се представят и предлагат на пазара като храни и достигат до крайния потребител само</w:t>
      </w:r>
      <w:r w:rsidR="008A58B5">
        <w:rPr>
          <w:rFonts w:ascii="Verdana" w:hAnsi="Verdana"/>
          <w:shd w:val="clear" w:color="auto" w:fill="FEFEFE"/>
        </w:rPr>
        <w:t xml:space="preserve"> </w:t>
      </w:r>
      <w:r w:rsidR="008A58B5" w:rsidRPr="00CA28D5">
        <w:rPr>
          <w:rFonts w:ascii="Verdana" w:hAnsi="Verdana"/>
          <w:shd w:val="clear" w:color="auto" w:fill="FEFEFE"/>
        </w:rPr>
        <w:t>когато са</w:t>
      </w:r>
      <w:r w:rsidRPr="00BA3D55">
        <w:rPr>
          <w:rFonts w:ascii="Verdana" w:hAnsi="Verdana"/>
          <w:shd w:val="clear" w:color="auto" w:fill="FEFEFE"/>
        </w:rPr>
        <w:t xml:space="preserve"> предварително опаковани.</w:t>
      </w:r>
    </w:p>
    <w:p w:rsidR="00AF52DF" w:rsidRPr="00BA3D55" w:rsidRDefault="00AF52DF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ED74AE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4.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</w:t>
      </w:r>
      <w:r w:rsidR="00D97746" w:rsidRPr="00BA3D55">
        <w:rPr>
          <w:rFonts w:ascii="Verdana" w:hAnsi="Verdana"/>
          <w:shd w:val="clear" w:color="auto" w:fill="FEFEFE"/>
        </w:rPr>
        <w:t xml:space="preserve">(1) </w:t>
      </w:r>
      <w:r w:rsidR="00ED74AE" w:rsidRPr="00BA3D55">
        <w:rPr>
          <w:rFonts w:ascii="Verdana" w:hAnsi="Verdana"/>
          <w:shd w:val="clear" w:color="auto" w:fill="FEFEFE"/>
        </w:rPr>
        <w:t>Пускане</w:t>
      </w:r>
      <w:r w:rsidR="00D871FA" w:rsidRPr="00BA3D55">
        <w:rPr>
          <w:rFonts w:ascii="Verdana" w:hAnsi="Verdana"/>
          <w:shd w:val="clear" w:color="auto" w:fill="FEFEFE"/>
        </w:rPr>
        <w:t>то</w:t>
      </w:r>
      <w:r w:rsidR="00ED74AE" w:rsidRPr="00BA3D55">
        <w:rPr>
          <w:rFonts w:ascii="Verdana" w:hAnsi="Verdana"/>
          <w:shd w:val="clear" w:color="auto" w:fill="FEFEFE"/>
        </w:rPr>
        <w:t xml:space="preserve"> за първи път на пазара </w:t>
      </w:r>
      <w:r w:rsidR="0081686A" w:rsidRPr="0081686A">
        <w:rPr>
          <w:rFonts w:ascii="Verdana" w:hAnsi="Verdana"/>
          <w:shd w:val="clear" w:color="auto" w:fill="FEFEFE"/>
        </w:rPr>
        <w:t>на територията на</w:t>
      </w:r>
      <w:r w:rsidR="0081686A" w:rsidRPr="0081686A" w:rsidDel="0081686A">
        <w:rPr>
          <w:rFonts w:ascii="Verdana" w:hAnsi="Verdana"/>
          <w:shd w:val="clear" w:color="auto" w:fill="FEFEFE"/>
        </w:rPr>
        <w:t xml:space="preserve"> </w:t>
      </w:r>
      <w:r w:rsidR="00ED74AE" w:rsidRPr="00BA3D55">
        <w:rPr>
          <w:rFonts w:ascii="Verdana" w:hAnsi="Verdana"/>
          <w:shd w:val="clear" w:color="auto" w:fill="FEFEFE"/>
        </w:rPr>
        <w:t>Ре</w:t>
      </w:r>
      <w:r w:rsidR="00D871FA" w:rsidRPr="00BA3D55">
        <w:rPr>
          <w:rFonts w:ascii="Verdana" w:hAnsi="Verdana"/>
          <w:shd w:val="clear" w:color="auto" w:fill="FEFEFE"/>
        </w:rPr>
        <w:t>п</w:t>
      </w:r>
      <w:r w:rsidR="00ED74AE" w:rsidRPr="00BA3D55">
        <w:rPr>
          <w:rFonts w:ascii="Verdana" w:hAnsi="Verdana"/>
          <w:shd w:val="clear" w:color="auto" w:fill="FEFEFE"/>
        </w:rPr>
        <w:t>ублика България на хра</w:t>
      </w:r>
      <w:r w:rsidR="00D871FA" w:rsidRPr="00BA3D55">
        <w:rPr>
          <w:rFonts w:ascii="Verdana" w:hAnsi="Verdana"/>
          <w:shd w:val="clear" w:color="auto" w:fill="FEFEFE"/>
        </w:rPr>
        <w:t>нителни добавки, условията и реда за тяхната регистрация</w:t>
      </w:r>
      <w:r w:rsidR="00FD562A" w:rsidRPr="00BA3D55">
        <w:rPr>
          <w:rFonts w:ascii="Verdana" w:hAnsi="Verdana"/>
          <w:shd w:val="clear" w:color="auto" w:fill="FEFEFE"/>
        </w:rPr>
        <w:t>,</w:t>
      </w:r>
      <w:r w:rsidR="00D871FA" w:rsidRPr="00BA3D55">
        <w:rPr>
          <w:rFonts w:ascii="Verdana" w:hAnsi="Verdana"/>
          <w:shd w:val="clear" w:color="auto" w:fill="FEFEFE"/>
        </w:rPr>
        <w:t xml:space="preserve"> воденето на регистър за пуснатите на пазара в страната хранителни добавки, </w:t>
      </w:r>
      <w:r w:rsidR="00FD562A" w:rsidRPr="00BA3D55">
        <w:rPr>
          <w:rFonts w:ascii="Verdana" w:hAnsi="Verdana"/>
          <w:shd w:val="clear" w:color="auto" w:fill="FEFEFE"/>
        </w:rPr>
        <w:t xml:space="preserve">както и вписването и заличаването от регистъра, </w:t>
      </w:r>
      <w:r w:rsidR="00D871FA" w:rsidRPr="00BA3D55">
        <w:rPr>
          <w:rFonts w:ascii="Verdana" w:hAnsi="Verdana"/>
          <w:shd w:val="clear" w:color="auto" w:fill="FEFEFE"/>
        </w:rPr>
        <w:t xml:space="preserve">се извършва съгласно чл. </w:t>
      </w:r>
      <w:r w:rsidR="00840939" w:rsidRPr="00BA3D55">
        <w:rPr>
          <w:rFonts w:ascii="Verdana" w:hAnsi="Verdana"/>
          <w:shd w:val="clear" w:color="auto" w:fill="FEFEFE"/>
        </w:rPr>
        <w:t>79 и 80 от Закона за храните.</w:t>
      </w:r>
    </w:p>
    <w:p w:rsidR="00D97746" w:rsidRPr="00BA3D55" w:rsidRDefault="00D97746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>(2) При едновременно пускане на пазара на повече от една хранителна добавка от един бизнес оператор се подава едно заявление по чл</w:t>
      </w:r>
      <w:r w:rsidR="005E6511" w:rsidRPr="00BA3D55">
        <w:rPr>
          <w:rFonts w:ascii="Verdana" w:hAnsi="Verdana"/>
          <w:shd w:val="clear" w:color="auto" w:fill="FEFEFE"/>
        </w:rPr>
        <w:t xml:space="preserve">. </w:t>
      </w:r>
      <w:r w:rsidRPr="00BA3D55">
        <w:rPr>
          <w:rFonts w:ascii="Verdana" w:hAnsi="Verdana"/>
          <w:shd w:val="clear" w:color="auto" w:fill="FEFEFE"/>
        </w:rPr>
        <w:t>79, ал. 3 от Закон</w:t>
      </w:r>
      <w:r w:rsidR="005E6511" w:rsidRPr="00BA3D55">
        <w:rPr>
          <w:rFonts w:ascii="Verdana" w:hAnsi="Verdana"/>
          <w:shd w:val="clear" w:color="auto" w:fill="FEFEFE"/>
        </w:rPr>
        <w:t>а</w:t>
      </w:r>
      <w:r w:rsidRPr="00BA3D55">
        <w:rPr>
          <w:rFonts w:ascii="Verdana" w:hAnsi="Verdana"/>
          <w:shd w:val="clear" w:color="auto" w:fill="FEFEFE"/>
        </w:rPr>
        <w:t xml:space="preserve"> за храните с приложения</w:t>
      </w:r>
      <w:r w:rsidR="00BD544C">
        <w:rPr>
          <w:rFonts w:ascii="Verdana" w:hAnsi="Verdana"/>
          <w:shd w:val="clear" w:color="auto" w:fill="FEFEFE"/>
        </w:rPr>
        <w:t>та</w:t>
      </w:r>
      <w:r w:rsidRPr="00BA3D55">
        <w:rPr>
          <w:rFonts w:ascii="Verdana" w:hAnsi="Verdana"/>
          <w:shd w:val="clear" w:color="auto" w:fill="FEFEFE"/>
        </w:rPr>
        <w:t xml:space="preserve"> по чл. 79, ал. 4 от същия закон за всяка </w:t>
      </w:r>
      <w:r w:rsidR="00BD544C">
        <w:rPr>
          <w:rFonts w:ascii="Verdana" w:hAnsi="Verdana"/>
          <w:shd w:val="clear" w:color="auto" w:fill="FEFEFE"/>
        </w:rPr>
        <w:t xml:space="preserve">една </w:t>
      </w:r>
      <w:r w:rsidRPr="00BA3D55">
        <w:rPr>
          <w:rFonts w:ascii="Verdana" w:hAnsi="Verdana"/>
          <w:shd w:val="clear" w:color="auto" w:fill="FEFEFE"/>
        </w:rPr>
        <w:t>хранителна добавка.</w:t>
      </w:r>
    </w:p>
    <w:p w:rsidR="00D97746" w:rsidRDefault="00D97746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 xml:space="preserve">(3) </w:t>
      </w:r>
      <w:r w:rsidR="0028062B" w:rsidRPr="0028062B">
        <w:rPr>
          <w:rFonts w:ascii="Verdana" w:hAnsi="Verdana"/>
          <w:shd w:val="clear" w:color="auto" w:fill="FEFEFE"/>
        </w:rPr>
        <w:t xml:space="preserve">Хранителна добавка, която е законно предлагана на пазара в друга държава членка, в държава страна по Споразумението за Европейско икономическо </w:t>
      </w:r>
      <w:r w:rsidR="0028062B" w:rsidRPr="0028062B">
        <w:rPr>
          <w:rFonts w:ascii="Verdana" w:hAnsi="Verdana"/>
          <w:shd w:val="clear" w:color="auto" w:fill="FEFEFE"/>
        </w:rPr>
        <w:lastRenderedPageBreak/>
        <w:t>пространство или в Република Турция, се предоставя на пазара на територията на Република България</w:t>
      </w:r>
      <w:r w:rsidR="00012D16" w:rsidRPr="00BA3D55">
        <w:rPr>
          <w:rFonts w:ascii="Verdana" w:hAnsi="Verdana"/>
          <w:shd w:val="clear" w:color="auto" w:fill="FEFEFE"/>
        </w:rPr>
        <w:t>,</w:t>
      </w:r>
      <w:r w:rsidRPr="00BA3D55">
        <w:rPr>
          <w:rFonts w:ascii="Verdana" w:hAnsi="Verdana"/>
          <w:shd w:val="clear" w:color="auto" w:fill="FEFEFE"/>
        </w:rPr>
        <w:t xml:space="preserve"> при спазване изискванията на </w:t>
      </w:r>
      <w:r w:rsidR="007C4567" w:rsidRPr="00BA3D55">
        <w:rPr>
          <w:rFonts w:ascii="Verdana" w:hAnsi="Verdana"/>
          <w:shd w:val="clear" w:color="auto" w:fill="FEFEFE"/>
        </w:rPr>
        <w:t xml:space="preserve">Регламент (ЕС) 2019/515 на Европейския парламент и на Съвета от 19 март 2019 година относно взаимното признаване на стоки, законно предлагани на пазара в друга държава членка, и за отмяна на Регламент (ЕО) № 764/2008 </w:t>
      </w:r>
      <w:r w:rsidR="00891FB4" w:rsidRPr="00BA3D55">
        <w:rPr>
          <w:rFonts w:ascii="Verdana" w:hAnsi="Verdana"/>
          <w:shd w:val="clear" w:color="auto" w:fill="FEFEFE"/>
        </w:rPr>
        <w:t>(</w:t>
      </w:r>
      <w:r w:rsidR="009E5559" w:rsidRPr="00BA3D55">
        <w:rPr>
          <w:rFonts w:ascii="Verdana" w:hAnsi="Verdana"/>
          <w:shd w:val="clear" w:color="auto" w:fill="FEFEFE"/>
        </w:rPr>
        <w:t>ОВ, L 91 от 29.03.2019</w:t>
      </w:r>
      <w:r w:rsidR="00891FB4" w:rsidRPr="00BA3D55">
        <w:rPr>
          <w:rFonts w:ascii="Verdana" w:hAnsi="Verdana"/>
          <w:shd w:val="clear" w:color="auto" w:fill="FEFEFE"/>
        </w:rPr>
        <w:t xml:space="preserve"> г.)</w:t>
      </w:r>
      <w:r w:rsidRPr="00BA3D55">
        <w:rPr>
          <w:rFonts w:ascii="Verdana" w:hAnsi="Verdana"/>
          <w:shd w:val="clear" w:color="auto" w:fill="FEFEFE"/>
        </w:rPr>
        <w:t xml:space="preserve">, </w:t>
      </w:r>
      <w:r w:rsidR="00557528">
        <w:rPr>
          <w:rFonts w:ascii="Verdana" w:hAnsi="Verdana"/>
          <w:shd w:val="clear" w:color="auto" w:fill="FEFEFE"/>
        </w:rPr>
        <w:t>(Регламент (ЕС) 2019/515)</w:t>
      </w:r>
      <w:r w:rsidRPr="00BA3D55">
        <w:rPr>
          <w:rFonts w:ascii="Verdana" w:hAnsi="Verdana"/>
          <w:shd w:val="clear" w:color="auto" w:fill="FEFEFE"/>
        </w:rPr>
        <w:t>.</w:t>
      </w:r>
    </w:p>
    <w:p w:rsidR="00CC78A9" w:rsidRDefault="00CC78A9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5.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(1) Когато съдържанието, производството, спецификациите, представянето или етикетирането на хранителните добавки отговарят на изискванията на тази наредба и на другите нормативни актове, свързани с хранителните добавки, </w:t>
      </w:r>
      <w:r w:rsidR="00D90B70" w:rsidRPr="00BA3D55">
        <w:rPr>
          <w:rFonts w:ascii="Verdana" w:hAnsi="Verdana"/>
          <w:highlight w:val="white"/>
          <w:shd w:val="clear" w:color="auto" w:fill="FEFEFE"/>
        </w:rPr>
        <w:t>тяхното предлагане на пазара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не се забранява или ограничава.</w:t>
      </w:r>
    </w:p>
    <w:p w:rsidR="001753A8" w:rsidRPr="001753A8" w:rsidRDefault="005E06A5" w:rsidP="00A6577A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(2) Когато в резултат на нова информация или преоценка на съществуващата се установи, че дадена хранителна добавка </w:t>
      </w:r>
      <w:r w:rsidR="003F4662" w:rsidRPr="00BA3D55">
        <w:rPr>
          <w:rFonts w:ascii="Verdana" w:hAnsi="Verdana"/>
          <w:highlight w:val="white"/>
          <w:shd w:val="clear" w:color="auto" w:fill="FEFEFE"/>
        </w:rPr>
        <w:t xml:space="preserve">въпреки </w:t>
      </w:r>
      <w:r w:rsidRPr="00BA3D55">
        <w:rPr>
          <w:rFonts w:ascii="Verdana" w:hAnsi="Verdana"/>
          <w:highlight w:val="white"/>
          <w:shd w:val="clear" w:color="auto" w:fill="FEFEFE"/>
        </w:rPr>
        <w:t>съответств</w:t>
      </w:r>
      <w:r w:rsidR="003F4662" w:rsidRPr="00BA3D55">
        <w:rPr>
          <w:rFonts w:ascii="Verdana" w:hAnsi="Verdana"/>
          <w:highlight w:val="white"/>
          <w:shd w:val="clear" w:color="auto" w:fill="FEFEFE"/>
        </w:rPr>
        <w:t>ието си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</w:t>
      </w:r>
      <w:r w:rsidR="003F4662" w:rsidRPr="00BA3D55">
        <w:rPr>
          <w:rFonts w:ascii="Verdana" w:hAnsi="Verdana"/>
          <w:highlight w:val="white"/>
          <w:shd w:val="clear" w:color="auto" w:fill="FEFEFE"/>
        </w:rPr>
        <w:t>с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изискванията на </w:t>
      </w:r>
      <w:r w:rsidR="001F5185" w:rsidRPr="00BA3D55">
        <w:rPr>
          <w:rFonts w:ascii="Verdana" w:hAnsi="Verdana"/>
          <w:highlight w:val="white"/>
          <w:shd w:val="clear" w:color="auto" w:fill="FEFEFE"/>
        </w:rPr>
        <w:t xml:space="preserve">тази 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наредба, създава опасност за здравето на потребителите, </w:t>
      </w:r>
      <w:r w:rsidR="003F4662" w:rsidRPr="00BA3D55">
        <w:rPr>
          <w:rFonts w:ascii="Verdana" w:hAnsi="Verdana"/>
          <w:highlight w:val="white"/>
          <w:shd w:val="clear" w:color="auto" w:fill="FEFEFE"/>
        </w:rPr>
        <w:t>Българската агенция по безопасност на храните</w:t>
      </w:r>
      <w:r w:rsidR="00F07CAF" w:rsidRPr="00BA3D55">
        <w:rPr>
          <w:rFonts w:ascii="Verdana" w:hAnsi="Verdana"/>
          <w:highlight w:val="white"/>
          <w:shd w:val="clear" w:color="auto" w:fill="FEFEFE"/>
        </w:rPr>
        <w:t xml:space="preserve"> (БАБХ)</w:t>
      </w:r>
      <w:r w:rsidR="003F4662" w:rsidRPr="00BA3D55">
        <w:rPr>
          <w:rFonts w:ascii="Verdana" w:hAnsi="Verdana"/>
          <w:highlight w:val="white"/>
          <w:shd w:val="clear" w:color="auto" w:fill="FEFEFE"/>
        </w:rPr>
        <w:t xml:space="preserve"> може временно да забрани или </w:t>
      </w:r>
      <w:r w:rsidR="00867301">
        <w:rPr>
          <w:rFonts w:ascii="Verdana" w:hAnsi="Verdana"/>
          <w:highlight w:val="white"/>
          <w:shd w:val="clear" w:color="auto" w:fill="FEFEFE"/>
        </w:rPr>
        <w:t xml:space="preserve">да </w:t>
      </w:r>
      <w:r w:rsidR="003F4662" w:rsidRPr="00BA3D55">
        <w:rPr>
          <w:rFonts w:ascii="Verdana" w:hAnsi="Verdana"/>
          <w:highlight w:val="white"/>
          <w:shd w:val="clear" w:color="auto" w:fill="FEFEFE"/>
        </w:rPr>
        <w:t>ограничи предлагането на хранителната добавка на пазара</w:t>
      </w:r>
      <w:r w:rsidR="00A6577A">
        <w:rPr>
          <w:rFonts w:ascii="Verdana" w:hAnsi="Verdana"/>
          <w:highlight w:val="white"/>
          <w:shd w:val="clear" w:color="auto" w:fill="FEFEFE"/>
        </w:rPr>
        <w:t>.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(3) В случаите по ал. 2 </w:t>
      </w:r>
      <w:r w:rsidR="002B1D62" w:rsidRPr="00BA3D55">
        <w:rPr>
          <w:rFonts w:ascii="Verdana" w:hAnsi="Verdana"/>
          <w:highlight w:val="white"/>
          <w:shd w:val="clear" w:color="auto" w:fill="FEFEFE"/>
        </w:rPr>
        <w:t>Б</w:t>
      </w:r>
      <w:r w:rsidR="00011660" w:rsidRPr="00BA3D55">
        <w:rPr>
          <w:rFonts w:ascii="Verdana" w:hAnsi="Verdana"/>
          <w:highlight w:val="white"/>
          <w:shd w:val="clear" w:color="auto" w:fill="FEFEFE"/>
        </w:rPr>
        <w:t>АБХ</w:t>
      </w:r>
      <w:r w:rsidR="002B1D62" w:rsidRPr="00BA3D55">
        <w:rPr>
          <w:rFonts w:ascii="Verdana" w:hAnsi="Verdana"/>
          <w:highlight w:val="white"/>
          <w:shd w:val="clear" w:color="auto" w:fill="FEFEFE"/>
        </w:rPr>
        <w:t xml:space="preserve"> незабавно уведомява Министерството на земеделието, храните и горите</w:t>
      </w:r>
      <w:r w:rsidR="00F07CAF" w:rsidRPr="00BA3D55">
        <w:rPr>
          <w:rFonts w:ascii="Verdana" w:hAnsi="Verdana"/>
          <w:highlight w:val="white"/>
          <w:shd w:val="clear" w:color="auto" w:fill="FEFEFE"/>
        </w:rPr>
        <w:t xml:space="preserve"> и Центъра за оценка на риска по хранителната верига (ЦОРХВ)</w:t>
      </w:r>
      <w:r w:rsidRPr="00BA3D55">
        <w:rPr>
          <w:rFonts w:ascii="Verdana" w:hAnsi="Verdana"/>
          <w:highlight w:val="white"/>
          <w:shd w:val="clear" w:color="auto" w:fill="FEFEFE"/>
        </w:rPr>
        <w:t>.</w:t>
      </w:r>
    </w:p>
    <w:p w:rsidR="001753A8" w:rsidRDefault="002B1D62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>(4) Въз основа на предоставената от БАБХ информация</w:t>
      </w:r>
      <w:r w:rsidR="00261C12" w:rsidRPr="00BA3D55">
        <w:rPr>
          <w:rFonts w:ascii="Verdana" w:hAnsi="Verdana"/>
          <w:shd w:val="clear" w:color="auto" w:fill="FEFEFE"/>
        </w:rPr>
        <w:t xml:space="preserve"> и становище на ЦОРХВ</w:t>
      </w:r>
      <w:r w:rsidRPr="00BA3D55">
        <w:rPr>
          <w:rFonts w:ascii="Verdana" w:hAnsi="Verdana"/>
          <w:shd w:val="clear" w:color="auto" w:fill="FEFEFE"/>
        </w:rPr>
        <w:t xml:space="preserve">, </w:t>
      </w:r>
      <w:r w:rsidR="00A2331D">
        <w:rPr>
          <w:rFonts w:ascii="Verdana" w:hAnsi="Verdana"/>
          <w:shd w:val="clear" w:color="auto" w:fill="FEFEFE"/>
        </w:rPr>
        <w:t>министърът</w:t>
      </w:r>
      <w:r w:rsidRPr="00BA3D55">
        <w:rPr>
          <w:rFonts w:ascii="Verdana" w:hAnsi="Verdana"/>
          <w:shd w:val="clear" w:color="auto" w:fill="FEFEFE"/>
        </w:rPr>
        <w:t xml:space="preserve"> на земеделието, храните и горите </w:t>
      </w:r>
      <w:r w:rsidR="00A2331D" w:rsidRPr="00CA28D5">
        <w:rPr>
          <w:rFonts w:ascii="Verdana" w:hAnsi="Verdana"/>
          <w:shd w:val="clear" w:color="auto" w:fill="FEFEFE"/>
        </w:rPr>
        <w:t>предприема</w:t>
      </w:r>
      <w:r w:rsidRPr="00CA28D5">
        <w:rPr>
          <w:rFonts w:ascii="Verdana" w:hAnsi="Verdana"/>
          <w:shd w:val="clear" w:color="auto" w:fill="FEFEFE"/>
        </w:rPr>
        <w:t xml:space="preserve"> </w:t>
      </w:r>
      <w:r w:rsidR="00795865" w:rsidRPr="00CA28D5">
        <w:rPr>
          <w:rFonts w:ascii="Verdana" w:hAnsi="Verdana"/>
          <w:shd w:val="clear" w:color="auto" w:fill="FEFEFE"/>
        </w:rPr>
        <w:t xml:space="preserve">необходимите последващи действия във връзка с прилагането на </w:t>
      </w:r>
      <w:r w:rsidRPr="00CA28D5">
        <w:rPr>
          <w:rFonts w:ascii="Verdana" w:hAnsi="Verdana"/>
          <w:shd w:val="clear" w:color="auto" w:fill="FEFEFE"/>
        </w:rPr>
        <w:t xml:space="preserve">разпоредби </w:t>
      </w:r>
      <w:r w:rsidR="00795865" w:rsidRPr="00CA28D5">
        <w:rPr>
          <w:rFonts w:ascii="Verdana" w:hAnsi="Verdana"/>
          <w:shd w:val="clear" w:color="auto" w:fill="FEFEFE"/>
        </w:rPr>
        <w:t>от тази наредба</w:t>
      </w:r>
      <w:r w:rsidR="003C0132" w:rsidRPr="00CA28D5">
        <w:rPr>
          <w:rFonts w:ascii="Verdana" w:hAnsi="Verdana"/>
          <w:shd w:val="clear" w:color="auto" w:fill="FEFEFE"/>
        </w:rPr>
        <w:t>.</w:t>
      </w:r>
      <w:r w:rsidR="001753A8">
        <w:rPr>
          <w:rFonts w:ascii="Verdana" w:hAnsi="Verdana"/>
          <w:shd w:val="clear" w:color="auto" w:fill="FEFEFE"/>
        </w:rPr>
        <w:t xml:space="preserve"> </w:t>
      </w:r>
    </w:p>
    <w:p w:rsidR="002B1D62" w:rsidRPr="00BA3D55" w:rsidRDefault="003C0132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>(5)</w:t>
      </w:r>
      <w:r w:rsidR="00243881" w:rsidRPr="00BA3D55">
        <w:rPr>
          <w:rFonts w:ascii="Verdana" w:hAnsi="Verdana"/>
          <w:shd w:val="clear" w:color="auto" w:fill="FEFEFE"/>
        </w:rPr>
        <w:t xml:space="preserve"> </w:t>
      </w:r>
      <w:r w:rsidRPr="00BA3D55">
        <w:rPr>
          <w:rFonts w:ascii="Verdana" w:hAnsi="Verdana"/>
          <w:shd w:val="clear" w:color="auto" w:fill="FEFEFE"/>
        </w:rPr>
        <w:t xml:space="preserve">Министерството на земеделието, храните и горите </w:t>
      </w:r>
      <w:r w:rsidR="00795865" w:rsidRPr="00BA3D55">
        <w:rPr>
          <w:rFonts w:ascii="Verdana" w:hAnsi="Verdana"/>
          <w:shd w:val="clear" w:color="auto" w:fill="FEFEFE"/>
        </w:rPr>
        <w:t>предприема действия за незабавно информиране на другите държави-членки и Европейската комисия за взетите мерки, като предоставя и информация за мотивите, довели до налагането им.</w:t>
      </w:r>
    </w:p>
    <w:p w:rsidR="00AF52DF" w:rsidRPr="00BA3D55" w:rsidRDefault="00AF52DF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6.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</w:t>
      </w:r>
      <w:r w:rsidR="00AA098F" w:rsidRPr="00BA3D55">
        <w:rPr>
          <w:rFonts w:ascii="Verdana" w:hAnsi="Verdana"/>
          <w:highlight w:val="white"/>
          <w:shd w:val="clear" w:color="auto" w:fill="FEFEFE"/>
        </w:rPr>
        <w:t xml:space="preserve">(1) </w:t>
      </w:r>
      <w:r w:rsidRPr="00BA3D55">
        <w:rPr>
          <w:rFonts w:ascii="Verdana" w:hAnsi="Verdana"/>
          <w:highlight w:val="white"/>
          <w:shd w:val="clear" w:color="auto" w:fill="FEFEFE"/>
        </w:rPr>
        <w:t>Хранителните добавки се пр</w:t>
      </w:r>
      <w:r w:rsidR="00AA098F" w:rsidRPr="00BA3D55">
        <w:rPr>
          <w:rFonts w:ascii="Verdana" w:hAnsi="Verdana"/>
          <w:highlight w:val="white"/>
          <w:shd w:val="clear" w:color="auto" w:fill="FEFEFE"/>
        </w:rPr>
        <w:t>едлагат на крайния потребител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само в обекти</w:t>
      </w:r>
      <w:r w:rsidR="00AA098F" w:rsidRPr="00BA3D55">
        <w:rPr>
          <w:rFonts w:ascii="Verdana" w:hAnsi="Verdana"/>
          <w:highlight w:val="white"/>
          <w:shd w:val="clear" w:color="auto" w:fill="FEFEFE"/>
        </w:rPr>
        <w:t xml:space="preserve"> за дистрибуция на храни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, регистрирани по реда на чл. </w:t>
      </w:r>
      <w:r w:rsidR="00196A58" w:rsidRPr="00BA3D55">
        <w:rPr>
          <w:rFonts w:ascii="Verdana" w:hAnsi="Verdana"/>
          <w:highlight w:val="white"/>
          <w:shd w:val="clear" w:color="auto" w:fill="FEFEFE"/>
        </w:rPr>
        <w:t>26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от Закона за храните, както и в аптеки и дрогерии.</w:t>
      </w:r>
    </w:p>
    <w:p w:rsidR="00AA098F" w:rsidRDefault="00AA098F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(2) </w:t>
      </w:r>
      <w:r w:rsidRPr="00BA3D55">
        <w:rPr>
          <w:rFonts w:ascii="Verdana" w:hAnsi="Verdana"/>
          <w:shd w:val="clear" w:color="auto" w:fill="FEFEFE"/>
        </w:rPr>
        <w:t>Търговия с храни</w:t>
      </w:r>
      <w:r w:rsidR="00196A58" w:rsidRPr="00BA3D55">
        <w:rPr>
          <w:rFonts w:ascii="Verdana" w:hAnsi="Verdana"/>
          <w:shd w:val="clear" w:color="auto" w:fill="FEFEFE"/>
        </w:rPr>
        <w:t xml:space="preserve">телни добавки </w:t>
      </w:r>
      <w:r w:rsidRPr="00BA3D55">
        <w:rPr>
          <w:rFonts w:ascii="Verdana" w:hAnsi="Verdana"/>
          <w:shd w:val="clear" w:color="auto" w:fill="FEFEFE"/>
        </w:rPr>
        <w:t>от</w:t>
      </w:r>
      <w:r w:rsidR="00196A58" w:rsidRPr="00BA3D55">
        <w:rPr>
          <w:rFonts w:ascii="Verdana" w:hAnsi="Verdana"/>
          <w:shd w:val="clear" w:color="auto" w:fill="FEFEFE"/>
        </w:rPr>
        <w:t xml:space="preserve"> разстояние може да се извършва от бизнес оператор, който осъществява дейност в регистриран по реда на </w:t>
      </w:r>
      <w:r w:rsidR="00B41E9B">
        <w:rPr>
          <w:rFonts w:ascii="Verdana" w:hAnsi="Verdana"/>
          <w:shd w:val="clear" w:color="auto" w:fill="FEFEFE"/>
        </w:rPr>
        <w:t>З</w:t>
      </w:r>
      <w:r w:rsidR="00196A58" w:rsidRPr="00BA3D55">
        <w:rPr>
          <w:rFonts w:ascii="Verdana" w:hAnsi="Verdana"/>
          <w:shd w:val="clear" w:color="auto" w:fill="FEFEFE"/>
        </w:rPr>
        <w:t>акона</w:t>
      </w:r>
      <w:r w:rsidR="00B41E9B">
        <w:rPr>
          <w:rFonts w:ascii="Verdana" w:hAnsi="Verdana"/>
          <w:shd w:val="clear" w:color="auto" w:fill="FEFEFE"/>
        </w:rPr>
        <w:t xml:space="preserve"> за храните</w:t>
      </w:r>
      <w:r w:rsidR="00196A58" w:rsidRPr="00BA3D55">
        <w:rPr>
          <w:rFonts w:ascii="Verdana" w:hAnsi="Verdana"/>
          <w:shd w:val="clear" w:color="auto" w:fill="FEFEFE"/>
        </w:rPr>
        <w:t xml:space="preserve"> обект или доставчик на услуги, управляващ средство за комуникация от разстояние, след регистрация съгласно чл. 61 от </w:t>
      </w:r>
      <w:r w:rsidR="007051E4">
        <w:rPr>
          <w:rFonts w:ascii="Verdana" w:hAnsi="Verdana"/>
          <w:shd w:val="clear" w:color="auto" w:fill="FEFEFE"/>
        </w:rPr>
        <w:t>същия закон</w:t>
      </w:r>
      <w:r w:rsidR="002E1E8B" w:rsidRPr="00BA3D55">
        <w:rPr>
          <w:rFonts w:ascii="Verdana" w:hAnsi="Verdana"/>
          <w:shd w:val="clear" w:color="auto" w:fill="FEFEFE"/>
        </w:rPr>
        <w:t xml:space="preserve"> и</w:t>
      </w:r>
      <w:r w:rsidR="002E1E8B" w:rsidRPr="00BA3D55">
        <w:t xml:space="preserve"> </w:t>
      </w:r>
      <w:r w:rsidR="002E1E8B" w:rsidRPr="00BA3D55">
        <w:rPr>
          <w:rFonts w:ascii="Verdana" w:hAnsi="Verdana"/>
          <w:shd w:val="clear" w:color="auto" w:fill="FEFEFE"/>
        </w:rPr>
        <w:t>при спазване изискванията на закона и подзаконовите нормативни актове по неговото прилагане.</w:t>
      </w:r>
    </w:p>
    <w:p w:rsidR="007051E4" w:rsidRDefault="007051E4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</w:p>
    <w:p w:rsidR="00B41E9B" w:rsidRDefault="00B41E9B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en-US"/>
        </w:rPr>
      </w:pPr>
    </w:p>
    <w:p w:rsidR="00CA28D5" w:rsidRDefault="00CA28D5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en-US"/>
        </w:rPr>
      </w:pPr>
    </w:p>
    <w:p w:rsidR="00CA28D5" w:rsidRPr="00CA28D5" w:rsidRDefault="00CA28D5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en-US"/>
        </w:rPr>
      </w:pPr>
    </w:p>
    <w:p w:rsidR="003366B2" w:rsidRPr="00BA3D55" w:rsidRDefault="00AF52DF" w:rsidP="00A16FC9">
      <w:pPr>
        <w:spacing w:line="360" w:lineRule="auto"/>
        <w:jc w:val="center"/>
        <w:rPr>
          <w:rFonts w:ascii="Verdana" w:hAnsi="Verdana"/>
          <w:bCs/>
          <w:lang w:eastAsia="bg-BG"/>
        </w:rPr>
      </w:pPr>
      <w:r w:rsidRPr="00BA3D55">
        <w:rPr>
          <w:rFonts w:ascii="Verdana" w:hAnsi="Verdana"/>
          <w:bCs/>
          <w:lang w:eastAsia="bg-BG"/>
        </w:rPr>
        <w:lastRenderedPageBreak/>
        <w:t>Раздел II</w:t>
      </w:r>
    </w:p>
    <w:p w:rsidR="003366B2" w:rsidRPr="00BA3D55" w:rsidRDefault="005E06A5" w:rsidP="00A16FC9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</w:rPr>
      </w:pPr>
      <w:r w:rsidRPr="00BA3D55">
        <w:rPr>
          <w:rFonts w:ascii="Verdana" w:hAnsi="Verdana"/>
          <w:b/>
          <w:bCs/>
          <w:highlight w:val="white"/>
          <w:shd w:val="clear" w:color="auto" w:fill="FEFEFE"/>
        </w:rPr>
        <w:t>Използване на витамини и минерали в хранителни добавки</w:t>
      </w:r>
    </w:p>
    <w:p w:rsidR="005E06A5" w:rsidRPr="00BA3D55" w:rsidRDefault="005E06A5" w:rsidP="00A16FC9">
      <w:pPr>
        <w:spacing w:line="360" w:lineRule="auto"/>
        <w:jc w:val="center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7.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(1) При производството на хранителни добавки се използват само витамини и минерали, посочени в приложение № 1 под формите, посочени в приложение № 2.</w:t>
      </w:r>
    </w:p>
    <w:p w:rsidR="00AC34E3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(2) За формите на витамините и минералите, изброени в приложение № 2, </w:t>
      </w:r>
      <w:r w:rsidR="00AC34E3" w:rsidRPr="00BA3D55">
        <w:rPr>
          <w:rFonts w:ascii="Verdana" w:hAnsi="Verdana"/>
          <w:highlight w:val="white"/>
          <w:shd w:val="clear" w:color="auto" w:fill="FEFEFE"/>
        </w:rPr>
        <w:t>се прилагат определени</w:t>
      </w:r>
      <w:r w:rsidR="000764BA" w:rsidRPr="00BA3D55">
        <w:rPr>
          <w:rFonts w:ascii="Verdana" w:hAnsi="Verdana"/>
          <w:highlight w:val="white"/>
          <w:shd w:val="clear" w:color="auto" w:fill="FEFEFE"/>
        </w:rPr>
        <w:t xml:space="preserve">те </w:t>
      </w:r>
      <w:r w:rsidR="00AC34E3" w:rsidRPr="00BA3D55">
        <w:rPr>
          <w:rFonts w:ascii="Verdana" w:hAnsi="Verdana"/>
          <w:highlight w:val="white"/>
          <w:shd w:val="clear" w:color="auto" w:fill="FEFEFE"/>
        </w:rPr>
        <w:t xml:space="preserve">в </w:t>
      </w:r>
      <w:r w:rsidR="001753A8" w:rsidRPr="00CA28D5">
        <w:rPr>
          <w:rFonts w:ascii="Verdana" w:hAnsi="Verdana"/>
          <w:shd w:val="clear" w:color="auto" w:fill="FEFEFE"/>
        </w:rPr>
        <w:t>правото</w:t>
      </w:r>
      <w:r w:rsidR="001753A8">
        <w:rPr>
          <w:rFonts w:ascii="Verdana" w:hAnsi="Verdana"/>
          <w:highlight w:val="white"/>
          <w:shd w:val="clear" w:color="auto" w:fill="FEFEFE"/>
        </w:rPr>
        <w:t xml:space="preserve"> </w:t>
      </w:r>
      <w:r w:rsidR="00AC34E3" w:rsidRPr="00BA3D55">
        <w:rPr>
          <w:rFonts w:ascii="Verdana" w:hAnsi="Verdana"/>
          <w:highlight w:val="white"/>
          <w:shd w:val="clear" w:color="auto" w:fill="FEFEFE"/>
        </w:rPr>
        <w:t xml:space="preserve">на Европейския съюз </w:t>
      </w:r>
      <w:r w:rsidRPr="00BA3D55">
        <w:rPr>
          <w:rFonts w:ascii="Verdana" w:hAnsi="Verdana"/>
          <w:highlight w:val="white"/>
          <w:shd w:val="clear" w:color="auto" w:fill="FEFEFE"/>
        </w:rPr>
        <w:t>критерии за чистота,</w:t>
      </w:r>
      <w:r w:rsidR="000764BA" w:rsidRPr="00BA3D55">
        <w:rPr>
          <w:rFonts w:ascii="Verdana" w:hAnsi="Verdana"/>
          <w:highlight w:val="white"/>
          <w:shd w:val="clear" w:color="auto" w:fill="FEFEFE"/>
        </w:rPr>
        <w:t xml:space="preserve"> използвани при производството на храни, различни от хранителните добавки.</w:t>
      </w:r>
      <w:r w:rsidR="00AC34E3" w:rsidRPr="00BA3D55">
        <w:rPr>
          <w:rFonts w:ascii="Verdana" w:hAnsi="Verdana"/>
          <w:highlight w:val="white"/>
          <w:shd w:val="clear" w:color="auto" w:fill="FEFEFE"/>
        </w:rPr>
        <w:t xml:space="preserve"> </w:t>
      </w:r>
    </w:p>
    <w:p w:rsidR="005E06A5" w:rsidRPr="00BA3D55" w:rsidRDefault="00DF0D34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(3) </w:t>
      </w:r>
      <w:r w:rsidR="00075AAE" w:rsidRPr="00BA3D55">
        <w:rPr>
          <w:rFonts w:ascii="Verdana" w:hAnsi="Verdana"/>
          <w:highlight w:val="white"/>
          <w:shd w:val="clear" w:color="auto" w:fill="FEFEFE"/>
        </w:rPr>
        <w:t xml:space="preserve">В случаите, когато за форми на витамини и минерали, изброени в приложение № 2 няма определени критерии за чистота в </w:t>
      </w:r>
      <w:r w:rsidR="001753A8" w:rsidRPr="00CA28D5">
        <w:rPr>
          <w:rFonts w:ascii="Verdana" w:hAnsi="Verdana"/>
          <w:shd w:val="clear" w:color="auto" w:fill="FEFEFE"/>
        </w:rPr>
        <w:t xml:space="preserve">правото </w:t>
      </w:r>
      <w:r w:rsidR="00075AAE" w:rsidRPr="00BA3D55">
        <w:rPr>
          <w:rFonts w:ascii="Verdana" w:hAnsi="Verdana"/>
          <w:highlight w:val="white"/>
          <w:shd w:val="clear" w:color="auto" w:fill="FEFEFE"/>
        </w:rPr>
        <w:t xml:space="preserve">на Европейския съюз, </w:t>
      </w:r>
      <w:r w:rsidR="005E06A5" w:rsidRPr="00BA3D55">
        <w:rPr>
          <w:rFonts w:ascii="Verdana" w:hAnsi="Verdana"/>
          <w:highlight w:val="white"/>
          <w:shd w:val="clear" w:color="auto" w:fill="FEFEFE"/>
        </w:rPr>
        <w:t>се прилагат общоприетите критерии за чистота, препоръчани от компете</w:t>
      </w:r>
      <w:r w:rsidR="00075AAE" w:rsidRPr="00BA3D55">
        <w:rPr>
          <w:rFonts w:ascii="Verdana" w:hAnsi="Verdana"/>
          <w:highlight w:val="white"/>
          <w:shd w:val="clear" w:color="auto" w:fill="FEFEFE"/>
        </w:rPr>
        <w:t>нтните международни организации или определени в националното законодателство по-строги критерии за чистота.</w:t>
      </w:r>
    </w:p>
    <w:p w:rsidR="00AF52DF" w:rsidRPr="00BA3D55" w:rsidRDefault="00AF52DF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8.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</w:t>
      </w:r>
      <w:r w:rsidRPr="00BA3D55">
        <w:rPr>
          <w:rFonts w:ascii="Verdana" w:hAnsi="Verdana"/>
          <w:shd w:val="clear" w:color="auto" w:fill="FEFEFE"/>
        </w:rPr>
        <w:t>(1) Максимално допустимите количества витамини и минерали в хранителни добавки, предназначени за дневен прием за лица над 18 г., са посочени в приложение № 3.</w:t>
      </w:r>
    </w:p>
    <w:p w:rsidR="005E06A5" w:rsidRDefault="005E06A5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>(</w:t>
      </w:r>
      <w:r w:rsidR="00BD06C4" w:rsidRPr="00BA3D55">
        <w:rPr>
          <w:rFonts w:ascii="Verdana" w:hAnsi="Verdana"/>
          <w:shd w:val="clear" w:color="auto" w:fill="FEFEFE"/>
        </w:rPr>
        <w:t>2</w:t>
      </w:r>
      <w:r w:rsidRPr="00BA3D55">
        <w:rPr>
          <w:rFonts w:ascii="Verdana" w:hAnsi="Verdana"/>
          <w:shd w:val="clear" w:color="auto" w:fill="FEFEFE"/>
        </w:rPr>
        <w:t xml:space="preserve">) Максимално допустимите количества </w:t>
      </w:r>
      <w:r w:rsidR="005E1DCE" w:rsidRPr="00BA3D55">
        <w:rPr>
          <w:rFonts w:ascii="Verdana" w:hAnsi="Verdana"/>
          <w:shd w:val="clear" w:color="auto" w:fill="FEFEFE"/>
        </w:rPr>
        <w:t>витамини и минерали</w:t>
      </w:r>
      <w:r w:rsidRPr="00BA3D55">
        <w:rPr>
          <w:rFonts w:ascii="Verdana" w:hAnsi="Verdana"/>
          <w:shd w:val="clear" w:color="auto" w:fill="FEFEFE"/>
        </w:rPr>
        <w:t xml:space="preserve"> за </w:t>
      </w:r>
      <w:r w:rsidR="00DE2FCA">
        <w:rPr>
          <w:rFonts w:ascii="Verdana" w:hAnsi="Verdana"/>
          <w:shd w:val="clear" w:color="auto" w:fill="FEFEFE"/>
        </w:rPr>
        <w:t xml:space="preserve">деца, </w:t>
      </w:r>
      <w:r w:rsidRPr="00BA3D55">
        <w:rPr>
          <w:rFonts w:ascii="Verdana" w:hAnsi="Verdana"/>
          <w:shd w:val="clear" w:color="auto" w:fill="FEFEFE"/>
        </w:rPr>
        <w:t>бременни и кърмещи жени</w:t>
      </w:r>
      <w:r w:rsidR="00F63A50">
        <w:rPr>
          <w:rFonts w:ascii="Verdana" w:hAnsi="Verdana"/>
          <w:shd w:val="clear" w:color="auto" w:fill="FEFEFE"/>
          <w:lang w:val="en-US"/>
        </w:rPr>
        <w:t xml:space="preserve"> </w:t>
      </w:r>
      <w:r w:rsidR="00F63A50">
        <w:rPr>
          <w:rFonts w:ascii="Verdana" w:hAnsi="Verdana"/>
          <w:shd w:val="clear" w:color="auto" w:fill="FEFEFE"/>
        </w:rPr>
        <w:t>за дневен прием</w:t>
      </w:r>
      <w:r w:rsidR="004B3AF9" w:rsidRPr="00BA3D55">
        <w:t xml:space="preserve"> </w:t>
      </w:r>
      <w:r w:rsidR="004B3AF9" w:rsidRPr="00BA3D55">
        <w:rPr>
          <w:rFonts w:ascii="Verdana" w:hAnsi="Verdana"/>
          <w:shd w:val="clear" w:color="auto" w:fill="FEFEFE"/>
        </w:rPr>
        <w:t xml:space="preserve">са </w:t>
      </w:r>
      <w:r w:rsidR="00DE2FCA">
        <w:rPr>
          <w:rFonts w:ascii="Verdana" w:hAnsi="Verdana"/>
          <w:shd w:val="clear" w:color="auto" w:fill="FEFEFE"/>
        </w:rPr>
        <w:t>съгласно</w:t>
      </w:r>
      <w:r w:rsidR="004B3AF9" w:rsidRPr="00BA3D55">
        <w:rPr>
          <w:rFonts w:ascii="Verdana" w:hAnsi="Verdana"/>
          <w:shd w:val="clear" w:color="auto" w:fill="FEFEFE"/>
        </w:rPr>
        <w:t xml:space="preserve"> Приложени</w:t>
      </w:r>
      <w:r w:rsidR="00036866">
        <w:rPr>
          <w:rFonts w:ascii="Verdana" w:hAnsi="Verdana"/>
          <w:shd w:val="clear" w:color="auto" w:fill="FEFEFE"/>
        </w:rPr>
        <w:t>я</w:t>
      </w:r>
      <w:r w:rsidR="00F63A50">
        <w:rPr>
          <w:rFonts w:ascii="Verdana" w:hAnsi="Verdana"/>
          <w:shd w:val="clear" w:color="auto" w:fill="FEFEFE"/>
        </w:rPr>
        <w:t xml:space="preserve"> № 6, 7 и 8</w:t>
      </w:r>
      <w:r w:rsidR="004B3AF9" w:rsidRPr="00BA3D55">
        <w:rPr>
          <w:rFonts w:ascii="Verdana" w:hAnsi="Verdana"/>
          <w:shd w:val="clear" w:color="auto" w:fill="FEFEFE"/>
        </w:rPr>
        <w:t xml:space="preserve"> от Наредба № 1 </w:t>
      </w:r>
      <w:r w:rsidR="006913E8">
        <w:rPr>
          <w:rFonts w:ascii="Verdana" w:hAnsi="Verdana"/>
          <w:shd w:val="clear" w:color="auto" w:fill="FEFEFE"/>
        </w:rPr>
        <w:t xml:space="preserve">от 2018 г. </w:t>
      </w:r>
      <w:r w:rsidR="004B3AF9" w:rsidRPr="00BA3D55">
        <w:rPr>
          <w:rFonts w:ascii="Verdana" w:hAnsi="Verdana"/>
          <w:shd w:val="clear" w:color="auto" w:fill="FEFEFE"/>
        </w:rPr>
        <w:t>за физиологичните норми за хранене на населението (обн., ДВ, бр. 11 от 2018 г.)</w:t>
      </w:r>
      <w:r w:rsidRPr="00BA3D55">
        <w:rPr>
          <w:rFonts w:ascii="Verdana" w:hAnsi="Verdana"/>
          <w:shd w:val="clear" w:color="auto" w:fill="FEFEFE"/>
        </w:rPr>
        <w:t>.</w:t>
      </w:r>
    </w:p>
    <w:p w:rsidR="00BD06C4" w:rsidRPr="00BA3D55" w:rsidRDefault="00BD06C4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>(3) Посочените в ал. 1 и 2 максимално допустими количества витамини и минерали се спазват при влагането им в дозираните форми, под които ще се предлага съответната хранителна добавка.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(4) </w:t>
      </w:r>
      <w:r w:rsidR="004669E6" w:rsidRPr="00BA3D55">
        <w:rPr>
          <w:rFonts w:ascii="Verdana" w:hAnsi="Verdana"/>
          <w:highlight w:val="white"/>
          <w:shd w:val="clear" w:color="auto" w:fill="FEFEFE"/>
        </w:rPr>
        <w:t>Препоръчваните от производителя на хранителната добавка м</w:t>
      </w:r>
      <w:r w:rsidRPr="00BA3D55">
        <w:rPr>
          <w:rFonts w:ascii="Verdana" w:hAnsi="Verdana"/>
          <w:highlight w:val="white"/>
          <w:shd w:val="clear" w:color="auto" w:fill="FEFEFE"/>
        </w:rPr>
        <w:t>аксимално допустими количества витамини и минерали</w:t>
      </w:r>
      <w:r w:rsidR="004669E6" w:rsidRPr="00BA3D55">
        <w:rPr>
          <w:rFonts w:ascii="Verdana" w:hAnsi="Verdana"/>
          <w:highlight w:val="white"/>
          <w:shd w:val="clear" w:color="auto" w:fill="FEFEFE"/>
        </w:rPr>
        <w:t xml:space="preserve"> за дневен прием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, </w:t>
      </w:r>
      <w:r w:rsidR="005E1DCE" w:rsidRPr="00BA3D55">
        <w:rPr>
          <w:rFonts w:ascii="Verdana" w:hAnsi="Verdana"/>
          <w:highlight w:val="white"/>
          <w:shd w:val="clear" w:color="auto" w:fill="FEFEFE"/>
        </w:rPr>
        <w:t xml:space="preserve">за които няма </w:t>
      </w:r>
      <w:r w:rsidRPr="00BA3D55">
        <w:rPr>
          <w:rFonts w:ascii="Verdana" w:hAnsi="Verdana"/>
          <w:shd w:val="clear" w:color="auto" w:fill="FEFEFE"/>
        </w:rPr>
        <w:t>посочени</w:t>
      </w:r>
      <w:r w:rsidR="005E1DCE" w:rsidRPr="00BA3D55">
        <w:rPr>
          <w:rFonts w:ascii="Verdana" w:hAnsi="Verdana"/>
          <w:shd w:val="clear" w:color="auto" w:fill="FEFEFE"/>
        </w:rPr>
        <w:t xml:space="preserve"> стойности</w:t>
      </w:r>
      <w:r w:rsidRPr="00BA3D55">
        <w:rPr>
          <w:rFonts w:ascii="Verdana" w:hAnsi="Verdana"/>
          <w:shd w:val="clear" w:color="auto" w:fill="FEFEFE"/>
        </w:rPr>
        <w:t xml:space="preserve"> в приложение</w:t>
      </w:r>
      <w:r w:rsidR="005E1DCE" w:rsidRPr="00BA3D55">
        <w:rPr>
          <w:rFonts w:ascii="Verdana" w:hAnsi="Verdana"/>
          <w:shd w:val="clear" w:color="auto" w:fill="FEFEFE"/>
        </w:rPr>
        <w:t xml:space="preserve"> № 3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се определят като се отчитат: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1. горната граница за безопасен прием на отделните витамини и минерали, установена чрез оценка на риска, основаваща се на общопризнати научни данни, които отчитат степените на чувствителност на различните потребителски групи;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2. приема на витамини и минерали от други хранителни източници.</w:t>
      </w:r>
    </w:p>
    <w:p w:rsidR="00AF52DF" w:rsidRPr="00BA3D55" w:rsidRDefault="00AF52DF" w:rsidP="00A16FC9">
      <w:pPr>
        <w:spacing w:line="360" w:lineRule="auto"/>
        <w:ind w:firstLine="709"/>
        <w:jc w:val="both"/>
        <w:rPr>
          <w:rFonts w:ascii="Verdana" w:hAnsi="Verdana"/>
          <w:b/>
          <w:shd w:val="clear" w:color="auto" w:fill="FEFEFE"/>
        </w:rPr>
      </w:pPr>
    </w:p>
    <w:p w:rsidR="004768B4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shd w:val="clear" w:color="auto" w:fill="FEFEFE"/>
        </w:rPr>
        <w:t>Чл. 9.</w:t>
      </w:r>
      <w:r w:rsidRPr="00BA3D55">
        <w:rPr>
          <w:rFonts w:ascii="Verdana" w:hAnsi="Verdana"/>
          <w:shd w:val="clear" w:color="auto" w:fill="FEFEFE"/>
        </w:rPr>
        <w:t xml:space="preserve"> Минималните количества витамини и минерали, които се съдържат в дневната доза хранителни добавки, препоръчвана от производителя за прием, не трябва да са по-малко от 15 % от референтните стойности по приложение </w:t>
      </w:r>
      <w:r w:rsidR="00761156" w:rsidRPr="00BA3D55">
        <w:rPr>
          <w:rFonts w:ascii="Verdana" w:hAnsi="Verdana"/>
          <w:shd w:val="clear" w:color="auto" w:fill="FEFEFE"/>
        </w:rPr>
        <w:t xml:space="preserve">XIII, част А, т. 1 от </w:t>
      </w:r>
      <w:r w:rsidR="004768B4" w:rsidRPr="00BA3D55">
        <w:rPr>
          <w:rFonts w:ascii="Verdana" w:hAnsi="Verdana"/>
          <w:shd w:val="clear" w:color="auto" w:fill="FEFEFE"/>
        </w:rPr>
        <w:t xml:space="preserve">Регламент (ЕС) № 1169/2011 на Европейския парламент и на Съвета от 25 октомври 2011 г.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</w:t>
      </w:r>
      <w:r w:rsidR="004768B4" w:rsidRPr="00BA3D55">
        <w:rPr>
          <w:rFonts w:ascii="Verdana" w:hAnsi="Verdana"/>
          <w:shd w:val="clear" w:color="auto" w:fill="FEFEFE"/>
        </w:rPr>
        <w:lastRenderedPageBreak/>
        <w:t xml:space="preserve">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(ОВ, L 304 от 22.11.2011 г.), </w:t>
      </w:r>
      <w:r w:rsidR="00A54CFB">
        <w:rPr>
          <w:rFonts w:ascii="Verdana" w:hAnsi="Verdana"/>
          <w:shd w:val="clear" w:color="auto" w:fill="FEFEFE"/>
        </w:rPr>
        <w:t>(Регламент (ЕС) № 1169/2011)</w:t>
      </w:r>
      <w:r w:rsidR="004768B4" w:rsidRPr="00BA3D55">
        <w:rPr>
          <w:rFonts w:ascii="Verdana" w:hAnsi="Verdana"/>
          <w:shd w:val="clear" w:color="auto" w:fill="FEFEFE"/>
        </w:rPr>
        <w:t>.</w:t>
      </w:r>
    </w:p>
    <w:p w:rsidR="005E06A5" w:rsidRDefault="005E06A5" w:rsidP="00A16FC9">
      <w:pPr>
        <w:spacing w:line="360" w:lineRule="auto"/>
        <w:ind w:firstLine="709"/>
        <w:rPr>
          <w:rFonts w:ascii="Verdana" w:hAnsi="Verdana"/>
          <w:highlight w:val="white"/>
          <w:shd w:val="clear" w:color="auto" w:fill="FEFEFE"/>
        </w:rPr>
      </w:pPr>
    </w:p>
    <w:p w:rsidR="00A26A4A" w:rsidRPr="00BA3D55" w:rsidRDefault="00A26A4A" w:rsidP="00A16FC9">
      <w:pPr>
        <w:spacing w:line="360" w:lineRule="auto"/>
        <w:ind w:firstLine="709"/>
        <w:rPr>
          <w:rFonts w:ascii="Verdana" w:hAnsi="Verdana"/>
          <w:highlight w:val="white"/>
          <w:shd w:val="clear" w:color="auto" w:fill="FEFEFE"/>
        </w:rPr>
      </w:pPr>
    </w:p>
    <w:p w:rsidR="003366B2" w:rsidRPr="00BA3D55" w:rsidRDefault="00AF52DF" w:rsidP="00A16FC9">
      <w:pPr>
        <w:spacing w:line="360" w:lineRule="auto"/>
        <w:jc w:val="center"/>
        <w:rPr>
          <w:rFonts w:ascii="Verdana" w:hAnsi="Verdana"/>
          <w:bCs/>
          <w:shd w:val="clear" w:color="auto" w:fill="FEFEFE"/>
        </w:rPr>
      </w:pPr>
      <w:r w:rsidRPr="00BA3D55">
        <w:rPr>
          <w:rFonts w:ascii="Verdana" w:hAnsi="Verdana"/>
          <w:bCs/>
          <w:shd w:val="clear" w:color="auto" w:fill="FEFEFE"/>
        </w:rPr>
        <w:t>Раздел III</w:t>
      </w:r>
    </w:p>
    <w:p w:rsidR="003366B2" w:rsidRPr="00BA3D55" w:rsidRDefault="00705BDB" w:rsidP="00A16FC9">
      <w:pPr>
        <w:spacing w:line="360" w:lineRule="auto"/>
        <w:jc w:val="center"/>
        <w:rPr>
          <w:rFonts w:ascii="Verdana" w:hAnsi="Verdana"/>
          <w:b/>
          <w:bCs/>
          <w:shd w:val="clear" w:color="auto" w:fill="FEFEFE"/>
        </w:rPr>
      </w:pPr>
      <w:r>
        <w:rPr>
          <w:rFonts w:ascii="Verdana" w:hAnsi="Verdana"/>
          <w:b/>
          <w:bCs/>
          <w:shd w:val="clear" w:color="auto" w:fill="FEFEFE"/>
        </w:rPr>
        <w:t>Растителни вещества, растителни препарати или комбинация</w:t>
      </w:r>
      <w:r w:rsidR="005E06A5" w:rsidRPr="00BA3D55">
        <w:rPr>
          <w:rFonts w:ascii="Verdana" w:hAnsi="Verdana"/>
          <w:b/>
          <w:bCs/>
          <w:shd w:val="clear" w:color="auto" w:fill="FEFEFE"/>
        </w:rPr>
        <w:t xml:space="preserve"> от тях в хранителни добавки</w:t>
      </w:r>
    </w:p>
    <w:p w:rsidR="005E06A5" w:rsidRPr="00BA3D55" w:rsidRDefault="005E06A5" w:rsidP="00A16FC9">
      <w:pPr>
        <w:spacing w:line="360" w:lineRule="auto"/>
        <w:jc w:val="center"/>
        <w:rPr>
          <w:rFonts w:ascii="Verdana" w:hAnsi="Verdana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b/>
          <w:shd w:val="clear" w:color="auto" w:fill="FEFEFE"/>
        </w:rPr>
        <w:t>Чл. 10.</w:t>
      </w:r>
      <w:r w:rsidRPr="00BA3D55">
        <w:rPr>
          <w:rFonts w:ascii="Verdana" w:hAnsi="Verdana"/>
          <w:shd w:val="clear" w:color="auto" w:fill="FEFEFE"/>
        </w:rPr>
        <w:t xml:space="preserve"> В състава на хранителни добавки се допуска влагането на </w:t>
      </w:r>
      <w:r w:rsidR="00F858B9" w:rsidRPr="00F858B9">
        <w:rPr>
          <w:rFonts w:ascii="Verdana" w:hAnsi="Verdana"/>
          <w:shd w:val="clear" w:color="auto" w:fill="FEFEFE"/>
        </w:rPr>
        <w:t xml:space="preserve">стандартизирани растителни вещества, растителни препарати или комбинация </w:t>
      </w:r>
      <w:r w:rsidRPr="00BA3D55">
        <w:rPr>
          <w:rFonts w:ascii="Verdana" w:hAnsi="Verdana"/>
          <w:shd w:val="clear" w:color="auto" w:fill="FEFEFE"/>
        </w:rPr>
        <w:t xml:space="preserve">от тях с благоприятен ефект върху здравето и </w:t>
      </w:r>
      <w:r w:rsidR="00E8099F">
        <w:rPr>
          <w:rFonts w:ascii="Verdana" w:hAnsi="Verdana"/>
          <w:shd w:val="clear" w:color="auto" w:fill="FEFEFE"/>
        </w:rPr>
        <w:t xml:space="preserve">които са </w:t>
      </w:r>
      <w:r w:rsidRPr="00BA3D55">
        <w:rPr>
          <w:rFonts w:ascii="Verdana" w:hAnsi="Verdana"/>
          <w:shd w:val="clear" w:color="auto" w:fill="FEFEFE"/>
        </w:rPr>
        <w:t>безопасни в препоръчаната от производителя доза за дневен прием.</w:t>
      </w:r>
    </w:p>
    <w:p w:rsidR="00AF52DF" w:rsidRPr="00BA3D55" w:rsidRDefault="00AF52DF" w:rsidP="00A16FC9">
      <w:pPr>
        <w:spacing w:line="360" w:lineRule="auto"/>
        <w:ind w:firstLine="709"/>
        <w:jc w:val="both"/>
        <w:rPr>
          <w:rFonts w:ascii="Verdana" w:hAnsi="Verdana"/>
          <w:b/>
          <w:shd w:val="clear" w:color="auto" w:fill="FEFEFE"/>
        </w:rPr>
      </w:pPr>
    </w:p>
    <w:p w:rsidR="005E06A5" w:rsidRPr="00A0570D" w:rsidRDefault="005E06A5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b/>
          <w:shd w:val="clear" w:color="auto" w:fill="FEFEFE"/>
        </w:rPr>
        <w:t>Чл. 11.</w:t>
      </w:r>
      <w:r w:rsidRPr="00BA3D55">
        <w:rPr>
          <w:rFonts w:ascii="Verdana" w:hAnsi="Verdana"/>
          <w:shd w:val="clear" w:color="auto" w:fill="FEFEFE"/>
        </w:rPr>
        <w:t xml:space="preserve"> (1) Забранява се </w:t>
      </w:r>
      <w:r w:rsidR="00916FAA" w:rsidRPr="00BA3D55">
        <w:rPr>
          <w:rFonts w:ascii="Verdana" w:hAnsi="Verdana"/>
          <w:shd w:val="clear" w:color="auto" w:fill="FEFEFE"/>
        </w:rPr>
        <w:t xml:space="preserve">влагането </w:t>
      </w:r>
      <w:r w:rsidRPr="00BA3D55">
        <w:rPr>
          <w:rFonts w:ascii="Verdana" w:hAnsi="Verdana"/>
          <w:shd w:val="clear" w:color="auto" w:fill="FEFEFE"/>
        </w:rPr>
        <w:t xml:space="preserve">в състава на хранителни добавки на </w:t>
      </w:r>
      <w:r w:rsidR="00A0570D" w:rsidRPr="00A0570D">
        <w:rPr>
          <w:rFonts w:ascii="Verdana" w:hAnsi="Verdana"/>
          <w:shd w:val="clear" w:color="auto" w:fill="FEFEFE"/>
        </w:rPr>
        <w:t>растителни вещества от растения</w:t>
      </w:r>
      <w:r w:rsidRPr="00BA3D55">
        <w:rPr>
          <w:rFonts w:ascii="Verdana" w:hAnsi="Verdana"/>
          <w:shd w:val="clear" w:color="auto" w:fill="FEFEFE"/>
        </w:rPr>
        <w:t xml:space="preserve">, посочени в </w:t>
      </w:r>
      <w:r w:rsidR="00916FAA" w:rsidRPr="00BA3D55">
        <w:rPr>
          <w:rFonts w:ascii="Verdana" w:hAnsi="Verdana"/>
          <w:shd w:val="clear" w:color="auto" w:fill="FEFEFE"/>
        </w:rPr>
        <w:t xml:space="preserve">приложение </w:t>
      </w:r>
      <w:r w:rsidR="007B0258" w:rsidRPr="00BA3D55">
        <w:rPr>
          <w:rFonts w:ascii="Verdana" w:hAnsi="Verdana"/>
          <w:shd w:val="clear" w:color="auto" w:fill="FEFEFE"/>
        </w:rPr>
        <w:t>III, част А от Регламент (ЕО) № 1925/2006 на Европейския парламент и на Съвета от 20 декември 2006 година относно влагането на витамини, минерали и някои други вещества в храните (</w:t>
      </w:r>
      <w:r w:rsidR="00636394" w:rsidRPr="00BA3D55">
        <w:rPr>
          <w:rFonts w:ascii="Verdana" w:hAnsi="Verdana"/>
          <w:shd w:val="clear" w:color="auto" w:fill="FEFEFE"/>
        </w:rPr>
        <w:t>ОВ, L 404 от 30.12.2006 г.</w:t>
      </w:r>
      <w:r w:rsidR="007B0258" w:rsidRPr="00BA3D55">
        <w:rPr>
          <w:rFonts w:ascii="Verdana" w:hAnsi="Verdana"/>
          <w:shd w:val="clear" w:color="auto" w:fill="FEFEFE"/>
        </w:rPr>
        <w:t>)</w:t>
      </w:r>
      <w:r w:rsidR="005879DA">
        <w:rPr>
          <w:rFonts w:ascii="Verdana" w:hAnsi="Verdana"/>
          <w:shd w:val="clear" w:color="auto" w:fill="FEFEFE"/>
        </w:rPr>
        <w:t xml:space="preserve">, </w:t>
      </w:r>
      <w:r w:rsidR="005879DA">
        <w:rPr>
          <w:rFonts w:ascii="Verdana" w:hAnsi="Verdana"/>
          <w:shd w:val="clear" w:color="auto" w:fill="FEFEFE"/>
          <w:lang w:val="en-US"/>
        </w:rPr>
        <w:t>(</w:t>
      </w:r>
      <w:r w:rsidR="005879DA" w:rsidRPr="005879DA">
        <w:rPr>
          <w:rFonts w:ascii="Verdana" w:hAnsi="Verdana"/>
          <w:shd w:val="clear" w:color="auto" w:fill="FEFEFE"/>
          <w:lang w:val="en-US"/>
        </w:rPr>
        <w:t>Регламент (ЕО) № 1925/2006</w:t>
      </w:r>
      <w:r w:rsidR="005879DA">
        <w:rPr>
          <w:rFonts w:ascii="Verdana" w:hAnsi="Verdana"/>
          <w:shd w:val="clear" w:color="auto" w:fill="FEFEFE"/>
          <w:lang w:val="en-US"/>
        </w:rPr>
        <w:t>)</w:t>
      </w:r>
      <w:r w:rsidR="007B0258" w:rsidRPr="00BA3D55">
        <w:rPr>
          <w:rFonts w:ascii="Verdana" w:hAnsi="Verdana"/>
          <w:shd w:val="clear" w:color="auto" w:fill="FEFEFE"/>
        </w:rPr>
        <w:t xml:space="preserve"> и</w:t>
      </w:r>
      <w:r w:rsidR="00A0570D">
        <w:rPr>
          <w:rFonts w:ascii="Verdana" w:hAnsi="Verdana"/>
          <w:shd w:val="clear" w:color="auto" w:fill="FEFEFE"/>
        </w:rPr>
        <w:t>/или</w:t>
      </w:r>
      <w:r w:rsidR="007B0258" w:rsidRPr="00BA3D55">
        <w:rPr>
          <w:rFonts w:ascii="Verdana" w:hAnsi="Verdana"/>
          <w:shd w:val="clear" w:color="auto" w:fill="FEFEFE"/>
        </w:rPr>
        <w:t xml:space="preserve"> </w:t>
      </w:r>
      <w:r w:rsidRPr="00BA3D55">
        <w:rPr>
          <w:rFonts w:ascii="Verdana" w:hAnsi="Verdana"/>
          <w:shd w:val="clear" w:color="auto" w:fill="FEFEFE"/>
        </w:rPr>
        <w:t xml:space="preserve">приложение № </w:t>
      </w:r>
      <w:r w:rsidR="004C20D7">
        <w:rPr>
          <w:rFonts w:ascii="Verdana" w:hAnsi="Verdana"/>
          <w:shd w:val="clear" w:color="auto" w:fill="FEFEFE"/>
        </w:rPr>
        <w:t>5 от</w:t>
      </w:r>
      <w:r w:rsidR="00916FAA" w:rsidRPr="00BA3D55">
        <w:rPr>
          <w:rFonts w:ascii="Verdana" w:hAnsi="Verdana"/>
          <w:shd w:val="clear" w:color="auto" w:fill="FEFEFE"/>
        </w:rPr>
        <w:t xml:space="preserve"> Наредба № 5</w:t>
      </w:r>
      <w:r w:rsidR="004C20D7">
        <w:rPr>
          <w:rFonts w:ascii="Verdana" w:hAnsi="Verdana"/>
          <w:shd w:val="clear" w:color="auto" w:fill="FEFEFE"/>
        </w:rPr>
        <w:t xml:space="preserve"> от 2004 г.</w:t>
      </w:r>
      <w:r w:rsidR="00916FAA" w:rsidRPr="00BA3D55">
        <w:rPr>
          <w:rFonts w:ascii="Verdana" w:hAnsi="Verdana"/>
          <w:shd w:val="clear" w:color="auto" w:fill="FEFEFE"/>
        </w:rPr>
        <w:t xml:space="preserve"> за изискванията, на които трябва да отговарят билкозаготвителните пунктове и складовете за бил</w:t>
      </w:r>
      <w:r w:rsidR="00F30973">
        <w:rPr>
          <w:rFonts w:ascii="Verdana" w:hAnsi="Verdana"/>
          <w:shd w:val="clear" w:color="auto" w:fill="FEFEFE"/>
        </w:rPr>
        <w:t>ки (обн., ДВ, бр. 85 от 2004 г.</w:t>
      </w:r>
      <w:r w:rsidR="00916FAA" w:rsidRPr="00BA3D55">
        <w:rPr>
          <w:rFonts w:ascii="Verdana" w:hAnsi="Verdana"/>
          <w:shd w:val="clear" w:color="auto" w:fill="FEFEFE"/>
        </w:rPr>
        <w:t>)</w:t>
      </w:r>
      <w:r w:rsidR="0035453B">
        <w:rPr>
          <w:rFonts w:ascii="Verdana" w:hAnsi="Verdana"/>
          <w:shd w:val="clear" w:color="auto" w:fill="FEFEFE"/>
        </w:rPr>
        <w:t xml:space="preserve"> и/или </w:t>
      </w:r>
      <w:r w:rsidR="0035453B" w:rsidRPr="0035453B">
        <w:rPr>
          <w:rFonts w:ascii="Verdana" w:hAnsi="Verdana"/>
          <w:shd w:val="clear" w:color="auto" w:fill="FEFEFE"/>
        </w:rPr>
        <w:t>класифициран</w:t>
      </w:r>
      <w:r w:rsidR="0035453B">
        <w:rPr>
          <w:rFonts w:ascii="Verdana" w:hAnsi="Verdana"/>
          <w:shd w:val="clear" w:color="auto" w:fill="FEFEFE"/>
        </w:rPr>
        <w:t>и</w:t>
      </w:r>
      <w:r w:rsidR="0035453B" w:rsidRPr="0035453B">
        <w:rPr>
          <w:rFonts w:ascii="Verdana" w:hAnsi="Verdana"/>
          <w:shd w:val="clear" w:color="auto" w:fill="FEFEFE"/>
        </w:rPr>
        <w:t xml:space="preserve"> като наркотични</w:t>
      </w:r>
      <w:r w:rsidR="0035453B">
        <w:rPr>
          <w:rFonts w:ascii="Verdana" w:hAnsi="Verdana"/>
          <w:shd w:val="clear" w:color="auto" w:fill="FEFEFE"/>
        </w:rPr>
        <w:t xml:space="preserve"> съгласно Н</w:t>
      </w:r>
      <w:r w:rsidR="0035453B" w:rsidRPr="0035453B">
        <w:rPr>
          <w:rFonts w:ascii="Verdana" w:hAnsi="Verdana"/>
          <w:shd w:val="clear" w:color="auto" w:fill="FEFEFE"/>
        </w:rPr>
        <w:t>аредба</w:t>
      </w:r>
      <w:r w:rsidR="0035453B">
        <w:rPr>
          <w:rFonts w:ascii="Verdana" w:hAnsi="Verdana"/>
          <w:shd w:val="clear" w:color="auto" w:fill="FEFEFE"/>
        </w:rPr>
        <w:t>та</w:t>
      </w:r>
      <w:r w:rsidR="0035453B" w:rsidRPr="0035453B">
        <w:rPr>
          <w:rFonts w:ascii="Verdana" w:hAnsi="Verdana"/>
          <w:shd w:val="clear" w:color="auto" w:fill="FEFEFE"/>
        </w:rPr>
        <w:t xml:space="preserve"> за реда за класифициране на растенията и веществата като наркотични</w:t>
      </w:r>
      <w:r w:rsidR="00071D22">
        <w:rPr>
          <w:rFonts w:ascii="Verdana" w:hAnsi="Verdana"/>
          <w:shd w:val="clear" w:color="auto" w:fill="FEFEFE"/>
        </w:rPr>
        <w:t xml:space="preserve"> </w:t>
      </w:r>
      <w:r w:rsidR="00071D22" w:rsidRPr="00071D22">
        <w:rPr>
          <w:rFonts w:ascii="Verdana" w:hAnsi="Verdana"/>
          <w:shd w:val="clear" w:color="auto" w:fill="FEFEFE"/>
        </w:rPr>
        <w:t>(обн., ДВ, бр. 8</w:t>
      </w:r>
      <w:r w:rsidR="00071D22">
        <w:rPr>
          <w:rFonts w:ascii="Verdana" w:hAnsi="Verdana"/>
          <w:shd w:val="clear" w:color="auto" w:fill="FEFEFE"/>
        </w:rPr>
        <w:t>7</w:t>
      </w:r>
      <w:r w:rsidR="00071D22" w:rsidRPr="00071D22">
        <w:rPr>
          <w:rFonts w:ascii="Verdana" w:hAnsi="Verdana"/>
          <w:shd w:val="clear" w:color="auto" w:fill="FEFEFE"/>
        </w:rPr>
        <w:t xml:space="preserve"> от 20</w:t>
      </w:r>
      <w:r w:rsidR="00071D22">
        <w:rPr>
          <w:rFonts w:ascii="Verdana" w:hAnsi="Verdana"/>
          <w:shd w:val="clear" w:color="auto" w:fill="FEFEFE"/>
        </w:rPr>
        <w:t>11</w:t>
      </w:r>
      <w:r w:rsidR="00071D22" w:rsidRPr="00071D22">
        <w:rPr>
          <w:rFonts w:ascii="Verdana" w:hAnsi="Verdana"/>
          <w:shd w:val="clear" w:color="auto" w:fill="FEFEFE"/>
        </w:rPr>
        <w:t xml:space="preserve"> г.)</w:t>
      </w:r>
      <w:r w:rsidR="00071D22">
        <w:rPr>
          <w:rFonts w:ascii="Verdana" w:hAnsi="Verdana"/>
          <w:shd w:val="clear" w:color="auto" w:fill="FEFEFE"/>
        </w:rPr>
        <w:t>.</w:t>
      </w:r>
    </w:p>
    <w:p w:rsidR="005E06A5" w:rsidRDefault="005E06A5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 xml:space="preserve">(2) Забранява се </w:t>
      </w:r>
      <w:r w:rsidR="00916FAA" w:rsidRPr="00BA3D55">
        <w:rPr>
          <w:rFonts w:ascii="Verdana" w:hAnsi="Verdana"/>
          <w:shd w:val="clear" w:color="auto" w:fill="FEFEFE"/>
        </w:rPr>
        <w:t xml:space="preserve">влагането </w:t>
      </w:r>
      <w:r w:rsidRPr="00BA3D55">
        <w:rPr>
          <w:rFonts w:ascii="Verdana" w:hAnsi="Verdana"/>
          <w:shd w:val="clear" w:color="auto" w:fill="FEFEFE"/>
        </w:rPr>
        <w:t xml:space="preserve">в състава на хранителни добавки на </w:t>
      </w:r>
      <w:r w:rsidR="004D4201" w:rsidRPr="004D4201">
        <w:rPr>
          <w:rFonts w:ascii="Verdana" w:hAnsi="Verdana"/>
          <w:shd w:val="clear" w:color="auto" w:fill="FEFEFE"/>
        </w:rPr>
        <w:t>растителни вещества, растителни препарати или комбинация</w:t>
      </w:r>
      <w:r w:rsidRPr="00BA3D55">
        <w:rPr>
          <w:rFonts w:ascii="Verdana" w:hAnsi="Verdana"/>
          <w:shd w:val="clear" w:color="auto" w:fill="FEFEFE"/>
        </w:rPr>
        <w:t xml:space="preserve"> от тях, извън посочените </w:t>
      </w:r>
      <w:r w:rsidR="004D4201">
        <w:rPr>
          <w:rFonts w:ascii="Verdana" w:hAnsi="Verdana"/>
          <w:shd w:val="clear" w:color="auto" w:fill="FEFEFE"/>
        </w:rPr>
        <w:t>в</w:t>
      </w:r>
      <w:r w:rsidRPr="00BA3D55">
        <w:rPr>
          <w:rFonts w:ascii="Verdana" w:hAnsi="Verdana"/>
          <w:shd w:val="clear" w:color="auto" w:fill="FEFEFE"/>
        </w:rPr>
        <w:t xml:space="preserve"> ал. 1,</w:t>
      </w:r>
      <w:r w:rsidR="004D4201">
        <w:rPr>
          <w:rFonts w:ascii="Verdana" w:hAnsi="Verdana"/>
          <w:shd w:val="clear" w:color="auto" w:fill="FEFEFE"/>
        </w:rPr>
        <w:t xml:space="preserve"> </w:t>
      </w:r>
      <w:r w:rsidR="004D4201" w:rsidRPr="004D4201">
        <w:rPr>
          <w:rFonts w:ascii="Verdana" w:hAnsi="Verdana"/>
          <w:shd w:val="clear" w:color="auto" w:fill="FEFEFE"/>
        </w:rPr>
        <w:t>които могат да имат неблагоприятен ефект върху здравето или съдържат</w:t>
      </w:r>
      <w:r w:rsidRPr="00BA3D55">
        <w:rPr>
          <w:rFonts w:ascii="Verdana" w:hAnsi="Verdana"/>
          <w:shd w:val="clear" w:color="auto" w:fill="FEFEFE"/>
        </w:rPr>
        <w:t xml:space="preserve"> отровни и</w:t>
      </w:r>
      <w:r w:rsidR="004D4201">
        <w:rPr>
          <w:rFonts w:ascii="Verdana" w:hAnsi="Verdana"/>
          <w:shd w:val="clear" w:color="auto" w:fill="FEFEFE"/>
        </w:rPr>
        <w:t xml:space="preserve">/или други </w:t>
      </w:r>
      <w:r w:rsidRPr="00BA3D55">
        <w:rPr>
          <w:rFonts w:ascii="Verdana" w:hAnsi="Verdana"/>
          <w:shd w:val="clear" w:color="auto" w:fill="FEFEFE"/>
        </w:rPr>
        <w:t>силно действащи вещества.</w:t>
      </w:r>
    </w:p>
    <w:p w:rsidR="004C6E5F" w:rsidRDefault="004C6E5F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</w:p>
    <w:p w:rsidR="00A26A4A" w:rsidRPr="00CA28D5" w:rsidRDefault="00A26A4A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</w:p>
    <w:p w:rsidR="00287D28" w:rsidRPr="00BA3D55" w:rsidRDefault="00287D28" w:rsidP="00A16FC9">
      <w:pPr>
        <w:spacing w:line="360" w:lineRule="auto"/>
        <w:jc w:val="center"/>
        <w:rPr>
          <w:rFonts w:ascii="Verdana" w:hAnsi="Verdana"/>
          <w:bCs/>
          <w:highlight w:val="white"/>
          <w:shd w:val="clear" w:color="auto" w:fill="FEFEFE"/>
        </w:rPr>
      </w:pPr>
      <w:r w:rsidRPr="00BA3D55">
        <w:rPr>
          <w:rFonts w:ascii="Verdana" w:hAnsi="Verdana"/>
          <w:bCs/>
          <w:highlight w:val="white"/>
          <w:shd w:val="clear" w:color="auto" w:fill="FEFEFE"/>
        </w:rPr>
        <w:t>Раздел IV</w:t>
      </w:r>
    </w:p>
    <w:p w:rsidR="00287D28" w:rsidRDefault="00287D28" w:rsidP="00A16FC9">
      <w:pPr>
        <w:spacing w:line="360" w:lineRule="auto"/>
        <w:jc w:val="center"/>
        <w:rPr>
          <w:rFonts w:ascii="Verdana" w:hAnsi="Verdana"/>
          <w:b/>
          <w:bCs/>
          <w:shd w:val="clear" w:color="auto" w:fill="FEFEFE"/>
        </w:rPr>
      </w:pPr>
      <w:r w:rsidRPr="00287D28">
        <w:rPr>
          <w:rFonts w:ascii="Verdana" w:hAnsi="Verdana"/>
          <w:b/>
          <w:bCs/>
          <w:shd w:val="clear" w:color="auto" w:fill="FEFEFE"/>
        </w:rPr>
        <w:t>Вещества, които не могат да се влагат в хранителни добавки</w:t>
      </w:r>
    </w:p>
    <w:p w:rsidR="007A3C39" w:rsidRDefault="007A3C39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</w:p>
    <w:p w:rsidR="007A3C39" w:rsidRPr="00AC34C1" w:rsidRDefault="007A3C39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AC34C1">
        <w:rPr>
          <w:rFonts w:ascii="Verdana" w:hAnsi="Verdana"/>
          <w:b/>
          <w:shd w:val="clear" w:color="auto" w:fill="FEFEFE"/>
        </w:rPr>
        <w:t>Чл. 1</w:t>
      </w:r>
      <w:r>
        <w:rPr>
          <w:rFonts w:ascii="Verdana" w:hAnsi="Verdana"/>
          <w:b/>
          <w:shd w:val="clear" w:color="auto" w:fill="FEFEFE"/>
          <w:lang w:val="en-US"/>
        </w:rPr>
        <w:t>2</w:t>
      </w:r>
      <w:r w:rsidRPr="00AC34C1">
        <w:rPr>
          <w:rFonts w:ascii="Verdana" w:hAnsi="Verdana"/>
          <w:b/>
          <w:shd w:val="clear" w:color="auto" w:fill="FEFEFE"/>
        </w:rPr>
        <w:t>.</w:t>
      </w:r>
      <w:r w:rsidRPr="00AC34C1">
        <w:rPr>
          <w:rFonts w:ascii="Verdana" w:hAnsi="Verdana"/>
          <w:shd w:val="clear" w:color="auto" w:fill="FEFEFE"/>
        </w:rPr>
        <w:t xml:space="preserve">  В хранителни добавки не могат да се влагат: </w:t>
      </w:r>
    </w:p>
    <w:p w:rsidR="005879DA" w:rsidRDefault="007A3C39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AC34C1">
        <w:rPr>
          <w:rFonts w:ascii="Verdana" w:hAnsi="Verdana"/>
          <w:shd w:val="clear" w:color="auto" w:fill="FEFEFE"/>
        </w:rPr>
        <w:t xml:space="preserve">1. вещества или продукти, които не са храни по смисъла на чл. 2 от Регламент (ЕО) № 178/2002 на Европейския парламент и на Съвета от 28  януари 2002 година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 (ОВ, L 31 от 1.02.2002 </w:t>
      </w:r>
      <w:r w:rsidRPr="00AC34C1">
        <w:rPr>
          <w:rFonts w:ascii="Verdana" w:hAnsi="Verdana"/>
          <w:shd w:val="clear" w:color="auto" w:fill="FEFEFE"/>
        </w:rPr>
        <w:lastRenderedPageBreak/>
        <w:t>г.)</w:t>
      </w:r>
      <w:r w:rsidR="005879DA">
        <w:rPr>
          <w:rFonts w:ascii="Verdana" w:hAnsi="Verdana"/>
          <w:shd w:val="clear" w:color="auto" w:fill="FEFEFE"/>
        </w:rPr>
        <w:t>;</w:t>
      </w:r>
    </w:p>
    <w:p w:rsidR="007A3C39" w:rsidRPr="00AC34C1" w:rsidRDefault="005879DA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>
        <w:rPr>
          <w:rFonts w:ascii="Verdana" w:hAnsi="Verdana"/>
          <w:shd w:val="clear" w:color="auto" w:fill="FEFEFE"/>
        </w:rPr>
        <w:t xml:space="preserve">2. </w:t>
      </w:r>
      <w:r w:rsidR="007A3C39" w:rsidRPr="00AC34C1">
        <w:rPr>
          <w:rFonts w:ascii="Verdana" w:hAnsi="Verdana"/>
          <w:shd w:val="clear" w:color="auto" w:fill="FEFEFE"/>
        </w:rPr>
        <w:t xml:space="preserve">  </w:t>
      </w:r>
      <w:r>
        <w:rPr>
          <w:rFonts w:ascii="Verdana" w:hAnsi="Verdana"/>
          <w:shd w:val="clear" w:color="auto" w:fill="FEFEFE"/>
        </w:rPr>
        <w:t>вещества, които са вклю</w:t>
      </w:r>
      <w:r w:rsidRPr="005879DA">
        <w:rPr>
          <w:rFonts w:ascii="Verdana" w:hAnsi="Verdana"/>
          <w:shd w:val="clear" w:color="auto" w:fill="FEFEFE"/>
        </w:rPr>
        <w:t>чени в приложение III, част А от Регламент (ЕО) № 1925/2006</w:t>
      </w:r>
      <w:r>
        <w:rPr>
          <w:rFonts w:ascii="Verdana" w:hAnsi="Verdana"/>
          <w:shd w:val="clear" w:color="auto" w:fill="FEFEFE"/>
        </w:rPr>
        <w:t>;</w:t>
      </w:r>
    </w:p>
    <w:p w:rsidR="00287D28" w:rsidRPr="00071D22" w:rsidRDefault="005879DA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5879DA">
        <w:rPr>
          <w:rFonts w:ascii="Verdana" w:hAnsi="Verdana"/>
          <w:shd w:val="clear" w:color="auto" w:fill="FEFEFE"/>
        </w:rPr>
        <w:t>3</w:t>
      </w:r>
      <w:r w:rsidR="007A3C39" w:rsidRPr="00AC34C1">
        <w:rPr>
          <w:rFonts w:ascii="Verdana" w:hAnsi="Verdana"/>
          <w:shd w:val="clear" w:color="auto" w:fill="FEFEFE"/>
        </w:rPr>
        <w:t>. вещества, които не са включени в Списъка на разрешените нови храни по Регламент (ЕС) 2015/2283 на Европейския парламент и на Съвета от 25 ноември 2015 година относно новите храни, за изменение на Регламент (ЕС) № 1169/2011 на Европейския парламент и на Съвета и за отмяна на Регламент (ЕО) № 258/97 на Европейския парламент и на Съвета и на Регламент (ЕО) № 1852/2001 на Комисия</w:t>
      </w:r>
      <w:r w:rsidR="00071D22" w:rsidRPr="00071D22">
        <w:rPr>
          <w:rFonts w:ascii="Verdana" w:hAnsi="Verdana"/>
          <w:shd w:val="clear" w:color="auto" w:fill="FEFEFE"/>
        </w:rPr>
        <w:t>та (ОВ, L 327 от 11.12.2015 г.);</w:t>
      </w:r>
    </w:p>
    <w:p w:rsidR="00071D22" w:rsidRPr="00BA3D55" w:rsidRDefault="00071D22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>
        <w:rPr>
          <w:rFonts w:ascii="Verdana" w:hAnsi="Verdana"/>
          <w:shd w:val="clear" w:color="auto" w:fill="FEFEFE"/>
        </w:rPr>
        <w:t>4. вещества,</w:t>
      </w:r>
      <w:r w:rsidRPr="00071D22">
        <w:rPr>
          <w:rFonts w:ascii="Verdana" w:hAnsi="Verdana"/>
          <w:shd w:val="clear" w:color="auto" w:fill="FEFEFE"/>
        </w:rPr>
        <w:t xml:space="preserve"> класифицирани като наркотични съгласно Наредбата за реда за класифициране на растенията и веществата като наркотични (обн., ДВ, бр. 87 от 2011 г.).</w:t>
      </w:r>
    </w:p>
    <w:p w:rsidR="003366B2" w:rsidRPr="00BA3D55" w:rsidRDefault="003366B2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B55285" w:rsidRDefault="00B55285" w:rsidP="00A16FC9">
      <w:pPr>
        <w:spacing w:line="360" w:lineRule="auto"/>
        <w:jc w:val="center"/>
        <w:rPr>
          <w:rFonts w:ascii="Verdana" w:hAnsi="Verdana"/>
          <w:bCs/>
          <w:highlight w:val="white"/>
          <w:shd w:val="clear" w:color="auto" w:fill="FEFEFE"/>
        </w:rPr>
      </w:pPr>
    </w:p>
    <w:p w:rsidR="003366B2" w:rsidRPr="00BA3D55" w:rsidRDefault="00AF52DF" w:rsidP="00A16FC9">
      <w:pPr>
        <w:spacing w:line="360" w:lineRule="auto"/>
        <w:jc w:val="center"/>
        <w:rPr>
          <w:rFonts w:ascii="Verdana" w:hAnsi="Verdana"/>
          <w:bCs/>
          <w:highlight w:val="white"/>
          <w:shd w:val="clear" w:color="auto" w:fill="FEFEFE"/>
        </w:rPr>
      </w:pPr>
      <w:r w:rsidRPr="00BA3D55">
        <w:rPr>
          <w:rFonts w:ascii="Verdana" w:hAnsi="Verdana"/>
          <w:bCs/>
          <w:highlight w:val="white"/>
          <w:shd w:val="clear" w:color="auto" w:fill="FEFEFE"/>
        </w:rPr>
        <w:t>Раздел V</w:t>
      </w:r>
    </w:p>
    <w:p w:rsidR="005E06A5" w:rsidRPr="00BA3D55" w:rsidRDefault="009939A8" w:rsidP="00A16FC9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</w:rPr>
      </w:pPr>
      <w:r w:rsidRPr="00BA3D55">
        <w:rPr>
          <w:rFonts w:ascii="Verdana" w:hAnsi="Verdana"/>
          <w:b/>
          <w:bCs/>
          <w:highlight w:val="white"/>
          <w:shd w:val="clear" w:color="auto" w:fill="FEFEFE"/>
        </w:rPr>
        <w:t>Предоставяне на информация за</w:t>
      </w:r>
      <w:r w:rsidR="005E06A5" w:rsidRPr="00BA3D55">
        <w:rPr>
          <w:rFonts w:ascii="Verdana" w:hAnsi="Verdana"/>
          <w:b/>
          <w:bCs/>
          <w:highlight w:val="white"/>
          <w:shd w:val="clear" w:color="auto" w:fill="FEFEFE"/>
        </w:rPr>
        <w:t xml:space="preserve"> хранителни</w:t>
      </w:r>
      <w:r w:rsidRPr="00BA3D55">
        <w:rPr>
          <w:rFonts w:ascii="Verdana" w:hAnsi="Verdana"/>
          <w:b/>
          <w:bCs/>
          <w:highlight w:val="white"/>
          <w:shd w:val="clear" w:color="auto" w:fill="FEFEFE"/>
        </w:rPr>
        <w:t>те</w:t>
      </w:r>
      <w:r w:rsidR="005E06A5" w:rsidRPr="00BA3D55">
        <w:rPr>
          <w:rFonts w:ascii="Verdana" w:hAnsi="Verdana"/>
          <w:b/>
          <w:bCs/>
          <w:highlight w:val="white"/>
          <w:shd w:val="clear" w:color="auto" w:fill="FEFEFE"/>
        </w:rPr>
        <w:t xml:space="preserve"> добавки </w:t>
      </w:r>
    </w:p>
    <w:p w:rsidR="003366B2" w:rsidRPr="00BA3D55" w:rsidRDefault="003366B2" w:rsidP="00A16FC9">
      <w:pPr>
        <w:spacing w:line="360" w:lineRule="auto"/>
        <w:jc w:val="center"/>
        <w:rPr>
          <w:rFonts w:ascii="Verdana" w:hAnsi="Verdana"/>
          <w:highlight w:val="white"/>
          <w:shd w:val="clear" w:color="auto" w:fill="FEFEFE"/>
        </w:rPr>
      </w:pPr>
    </w:p>
    <w:p w:rsidR="00CD52E9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1</w:t>
      </w:r>
      <w:r w:rsidR="00EC3518">
        <w:rPr>
          <w:rFonts w:ascii="Verdana" w:hAnsi="Verdana"/>
          <w:b/>
          <w:highlight w:val="white"/>
          <w:shd w:val="clear" w:color="auto" w:fill="FEFEFE"/>
          <w:lang w:val="en-US"/>
        </w:rPr>
        <w:t>3</w:t>
      </w:r>
      <w:r w:rsidRPr="00BA3D55">
        <w:rPr>
          <w:rFonts w:ascii="Verdana" w:hAnsi="Verdana"/>
          <w:b/>
          <w:highlight w:val="white"/>
          <w:shd w:val="clear" w:color="auto" w:fill="FEFEFE"/>
        </w:rPr>
        <w:t>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(1) </w:t>
      </w:r>
      <w:r w:rsidR="007A33CD" w:rsidRPr="00BA3D55">
        <w:rPr>
          <w:rFonts w:ascii="Verdana" w:hAnsi="Verdana"/>
          <w:shd w:val="clear" w:color="auto" w:fill="FEFEFE"/>
        </w:rPr>
        <w:t>Предоставянето на информацията за хранителните добавки посредством етикетиране, представяне и реклама</w:t>
      </w:r>
      <w:r w:rsidR="0017054C" w:rsidRPr="00BA3D55">
        <w:rPr>
          <w:rFonts w:ascii="Verdana" w:hAnsi="Verdana"/>
          <w:highlight w:val="white"/>
          <w:shd w:val="clear" w:color="auto" w:fill="FEFEFE"/>
        </w:rPr>
        <w:t xml:space="preserve"> се </w:t>
      </w:r>
      <w:r w:rsidR="0017054C" w:rsidRPr="00BA3D55">
        <w:rPr>
          <w:rFonts w:ascii="Verdana" w:hAnsi="Verdana"/>
          <w:shd w:val="clear" w:color="auto" w:fill="FEFEFE"/>
        </w:rPr>
        <w:t>извършва в съответствие с изискванията на Регламент (ЕС) № 1169/2011</w:t>
      </w:r>
      <w:r w:rsidR="00CD52E9" w:rsidRPr="00BA3D55">
        <w:rPr>
          <w:rFonts w:ascii="Verdana" w:hAnsi="Verdana"/>
          <w:shd w:val="clear" w:color="auto" w:fill="FEFEFE"/>
        </w:rPr>
        <w:t>.</w:t>
      </w:r>
    </w:p>
    <w:p w:rsidR="005E06A5" w:rsidRPr="00BA3D55" w:rsidRDefault="00CD52E9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t xml:space="preserve">(2) В допълнение на информацията по ал. 1 задължително </w:t>
      </w:r>
      <w:r w:rsidR="005E06A5" w:rsidRPr="00BA3D55">
        <w:rPr>
          <w:rFonts w:ascii="Verdana" w:hAnsi="Verdana"/>
          <w:highlight w:val="white"/>
          <w:shd w:val="clear" w:color="auto" w:fill="FEFEFE"/>
        </w:rPr>
        <w:t>се обявяват и следните данни:</w:t>
      </w:r>
    </w:p>
    <w:p w:rsidR="005E06A5" w:rsidRPr="00BA3D55" w:rsidRDefault="00347030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1. </w:t>
      </w:r>
      <w:r w:rsidR="005E06A5" w:rsidRPr="00BA3D55">
        <w:rPr>
          <w:rFonts w:ascii="Verdana" w:hAnsi="Verdana"/>
          <w:highlight w:val="white"/>
          <w:shd w:val="clear" w:color="auto" w:fill="FEFEFE"/>
        </w:rPr>
        <w:t>наименование на категориите хранителни вещества или субстанции, характеризиращи продукта или указание за естеството им;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2. препоръчвана доза за дневен прием;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3. предупреждение да не се превишава препоръчваната дневна доза;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4. предупреждение продуктът да не се използва като заместител на разнообразното хранене;</w:t>
      </w:r>
    </w:p>
    <w:p w:rsidR="005E06A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5. предупреждение продуктът да се съхранява на място, недостъпно за малки деца.</w:t>
      </w:r>
    </w:p>
    <w:p w:rsidR="00B55285" w:rsidRPr="00BA3D55" w:rsidRDefault="00B5528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55285">
        <w:rPr>
          <w:rFonts w:ascii="Verdana" w:hAnsi="Verdana"/>
          <w:shd w:val="clear" w:color="auto" w:fill="FEFEFE"/>
        </w:rPr>
        <w:t>6. номер и дата на вписване на хранителната добавка в регистъра по чл. 24, ал. 1 от Закона за храните.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(</w:t>
      </w:r>
      <w:r w:rsidR="007517CC" w:rsidRPr="00BA3D55">
        <w:rPr>
          <w:rFonts w:ascii="Verdana" w:hAnsi="Verdana"/>
          <w:highlight w:val="white"/>
          <w:shd w:val="clear" w:color="auto" w:fill="FEFEFE"/>
        </w:rPr>
        <w:t>3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) Наименованието, под което се продават продуктите, съгласно чл. 2, </w:t>
      </w:r>
      <w:r w:rsidR="00B05D2D" w:rsidRPr="00BA3D55">
        <w:rPr>
          <w:rFonts w:ascii="Verdana" w:hAnsi="Verdana"/>
          <w:highlight w:val="white"/>
          <w:shd w:val="clear" w:color="auto" w:fill="FEFEFE"/>
        </w:rPr>
        <w:t>параграф 2, буква н)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от</w:t>
      </w:r>
      <w:r w:rsidR="00B05D2D" w:rsidRPr="00BA3D55">
        <w:rPr>
          <w:rFonts w:ascii="Verdana" w:hAnsi="Verdana"/>
          <w:highlight w:val="white"/>
          <w:shd w:val="clear" w:color="auto" w:fill="FEFEFE"/>
        </w:rPr>
        <w:t xml:space="preserve"> </w:t>
      </w:r>
      <w:r w:rsidR="00B05D2D" w:rsidRPr="00BA3D55">
        <w:rPr>
          <w:rFonts w:ascii="Verdana" w:hAnsi="Verdana"/>
          <w:shd w:val="clear" w:color="auto" w:fill="FEFEFE"/>
        </w:rPr>
        <w:t xml:space="preserve">Регламент (ЕС) № 1169/2011, </w:t>
      </w:r>
      <w:r w:rsidRPr="00BA3D55">
        <w:rPr>
          <w:rFonts w:ascii="Verdana" w:hAnsi="Verdana"/>
          <w:highlight w:val="white"/>
          <w:shd w:val="clear" w:color="auto" w:fill="FEFEFE"/>
        </w:rPr>
        <w:t>е "хранителна добавка".</w:t>
      </w:r>
    </w:p>
    <w:p w:rsidR="00AF52DF" w:rsidRPr="00BA3D55" w:rsidRDefault="00AF52DF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1</w:t>
      </w:r>
      <w:r w:rsidR="00EC3518">
        <w:rPr>
          <w:rFonts w:ascii="Verdana" w:hAnsi="Verdana"/>
          <w:b/>
          <w:highlight w:val="white"/>
          <w:shd w:val="clear" w:color="auto" w:fill="FEFEFE"/>
          <w:lang w:val="en-US"/>
        </w:rPr>
        <w:t>4</w:t>
      </w:r>
      <w:r w:rsidRPr="00BA3D55">
        <w:rPr>
          <w:rFonts w:ascii="Verdana" w:hAnsi="Verdana"/>
          <w:b/>
          <w:highlight w:val="white"/>
          <w:shd w:val="clear" w:color="auto" w:fill="FEFEFE"/>
        </w:rPr>
        <w:t>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(1) Етикетът, представянето и рекламата не трябва да приписват на хранителните добавки свойства да предпазват, лекуват или излекуват болести при човека, нито да се позовават на такива свойства.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(2) Етикетът, представянето и рекламата на хранителни добавки не трябва да съдържат какъвто и да е текст или да внушават, че балансираното и разнообразно </w:t>
      </w:r>
      <w:r w:rsidRPr="00BA3D55">
        <w:rPr>
          <w:rFonts w:ascii="Verdana" w:hAnsi="Verdana"/>
          <w:highlight w:val="white"/>
          <w:shd w:val="clear" w:color="auto" w:fill="FEFEFE"/>
        </w:rPr>
        <w:lastRenderedPageBreak/>
        <w:t>хранене не може да осигури необходимите количества хранителни вещества.</w:t>
      </w:r>
    </w:p>
    <w:p w:rsidR="00AF52DF" w:rsidRPr="00BA3D55" w:rsidRDefault="00AF52DF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1</w:t>
      </w:r>
      <w:r w:rsidR="00EC3518">
        <w:rPr>
          <w:rFonts w:ascii="Verdana" w:hAnsi="Verdana"/>
          <w:b/>
          <w:highlight w:val="white"/>
          <w:shd w:val="clear" w:color="auto" w:fill="FEFEFE"/>
          <w:lang w:val="en-US"/>
        </w:rPr>
        <w:t>5</w:t>
      </w:r>
      <w:r w:rsidRPr="00BA3D55">
        <w:rPr>
          <w:rFonts w:ascii="Verdana" w:hAnsi="Verdana"/>
          <w:b/>
          <w:highlight w:val="white"/>
          <w:shd w:val="clear" w:color="auto" w:fill="FEFEFE"/>
        </w:rPr>
        <w:t>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(1) Количествата хранителни вещества или субстанции с хранителен или физиологичен ефект, които се съдържат в продукта, се обявяват върху етикета в цифрова форма. Мерните единици, които се използват при витамините и минералите, са съгласно приложение № 1.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(2) Количествата по ал. 1, обявени на етикета, трябва да са тези, които се съдържат в препоръчваната доза продукт за дневен прием.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(3) Обявените стойности по ал. 1 и 2 са средни стойности, които се основават на направения от производителя лабораторен анализ на продукта.</w:t>
      </w:r>
    </w:p>
    <w:p w:rsidR="00AF52DF" w:rsidRPr="00BA3D55" w:rsidRDefault="00AF52DF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Чл. 1</w:t>
      </w:r>
      <w:r w:rsidR="00EC3518">
        <w:rPr>
          <w:rFonts w:ascii="Verdana" w:hAnsi="Verdana"/>
          <w:b/>
          <w:highlight w:val="white"/>
          <w:shd w:val="clear" w:color="auto" w:fill="FEFEFE"/>
          <w:lang w:val="en-US"/>
        </w:rPr>
        <w:t>6</w:t>
      </w:r>
      <w:r w:rsidRPr="00BA3D55">
        <w:rPr>
          <w:rFonts w:ascii="Verdana" w:hAnsi="Verdana"/>
          <w:b/>
          <w:highlight w:val="white"/>
          <w:shd w:val="clear" w:color="auto" w:fill="FEFEFE"/>
        </w:rPr>
        <w:t>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(1) </w:t>
      </w:r>
      <w:r w:rsidR="00E74447" w:rsidRPr="00BA3D55">
        <w:rPr>
          <w:rFonts w:ascii="Verdana" w:hAnsi="Verdana"/>
          <w:shd w:val="clear" w:color="auto" w:fill="FEFEFE"/>
        </w:rPr>
        <w:t xml:space="preserve">Освен под формата на изразяване, посочена в </w:t>
      </w:r>
      <w:r w:rsidR="0000523F">
        <w:rPr>
          <w:rFonts w:ascii="Verdana" w:hAnsi="Verdana"/>
          <w:shd w:val="clear" w:color="auto" w:fill="FEFEFE"/>
        </w:rPr>
        <w:t>чл. 15</w:t>
      </w:r>
      <w:r w:rsidR="0076330E">
        <w:rPr>
          <w:rFonts w:ascii="Verdana" w:hAnsi="Verdana"/>
          <w:shd w:val="clear" w:color="auto" w:fill="FEFEFE"/>
        </w:rPr>
        <w:t xml:space="preserve">, </w:t>
      </w:r>
      <w:r w:rsidR="00E74447" w:rsidRPr="00BA3D55">
        <w:rPr>
          <w:rFonts w:ascii="Verdana" w:hAnsi="Verdana"/>
          <w:shd w:val="clear" w:color="auto" w:fill="FEFEFE"/>
        </w:rPr>
        <w:t>ал. 1</w:t>
      </w:r>
      <w:r w:rsidR="00A64E50" w:rsidRPr="00BA3D55">
        <w:rPr>
          <w:rFonts w:ascii="Verdana" w:hAnsi="Verdana"/>
          <w:shd w:val="clear" w:color="auto" w:fill="FEFEFE"/>
        </w:rPr>
        <w:t>,</w:t>
      </w:r>
      <w:r w:rsidR="00E74447" w:rsidRPr="00BA3D55">
        <w:rPr>
          <w:rFonts w:ascii="Verdana" w:hAnsi="Verdana"/>
          <w:shd w:val="clear" w:color="auto" w:fill="FEFEFE"/>
        </w:rPr>
        <w:t xml:space="preserve"> </w:t>
      </w:r>
      <w:r w:rsidR="00A64E50" w:rsidRPr="00BA3D55">
        <w:rPr>
          <w:rFonts w:ascii="Verdana" w:hAnsi="Verdana"/>
          <w:shd w:val="clear" w:color="auto" w:fill="FEFEFE"/>
        </w:rPr>
        <w:t>к</w:t>
      </w:r>
      <w:r w:rsidR="00E74447" w:rsidRPr="00BA3D55">
        <w:rPr>
          <w:rFonts w:ascii="Verdana" w:hAnsi="Verdana"/>
          <w:shd w:val="clear" w:color="auto" w:fill="FEFEFE"/>
        </w:rPr>
        <w:t xml:space="preserve">оличествата на </w:t>
      </w:r>
      <w:r w:rsidRPr="00BA3D55">
        <w:rPr>
          <w:rFonts w:ascii="Verdana" w:hAnsi="Verdana"/>
          <w:highlight w:val="white"/>
          <w:shd w:val="clear" w:color="auto" w:fill="FEFEFE"/>
        </w:rPr>
        <w:t>витамините и минералите може да се изразява</w:t>
      </w:r>
      <w:r w:rsidR="00A64E50" w:rsidRPr="00BA3D55">
        <w:rPr>
          <w:rFonts w:ascii="Verdana" w:hAnsi="Verdana"/>
          <w:highlight w:val="white"/>
          <w:shd w:val="clear" w:color="auto" w:fill="FEFEFE"/>
        </w:rPr>
        <w:t>т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и като процент от референтните стойности</w:t>
      </w:r>
      <w:r w:rsidR="009161D1" w:rsidRPr="00BA3D55">
        <w:rPr>
          <w:rFonts w:ascii="Verdana" w:hAnsi="Verdana"/>
          <w:highlight w:val="white"/>
          <w:shd w:val="clear" w:color="auto" w:fill="FEFEFE"/>
        </w:rPr>
        <w:t xml:space="preserve"> по </w:t>
      </w:r>
      <w:r w:rsidR="009161D1" w:rsidRPr="00BA3D55">
        <w:rPr>
          <w:rFonts w:ascii="Verdana" w:hAnsi="Verdana"/>
          <w:shd w:val="clear" w:color="auto" w:fill="FEFEFE"/>
        </w:rPr>
        <w:t>приложение XIII, част А, т. 1 от Регламент (ЕС) № 1169/2011.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(2) Процентното изразяване по ал. 1 може да бъде представено и в графична форма.</w:t>
      </w:r>
    </w:p>
    <w:p w:rsidR="005E06A5" w:rsidRPr="00BA3D55" w:rsidRDefault="005E06A5" w:rsidP="00A16FC9">
      <w:pPr>
        <w:spacing w:line="360" w:lineRule="auto"/>
        <w:rPr>
          <w:rFonts w:ascii="Verdana" w:hAnsi="Verdana"/>
          <w:highlight w:val="white"/>
          <w:shd w:val="clear" w:color="auto" w:fill="FEFEFE"/>
        </w:rPr>
      </w:pPr>
    </w:p>
    <w:p w:rsidR="003366B2" w:rsidRPr="00BA3D55" w:rsidRDefault="005E06A5" w:rsidP="00A16FC9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</w:rPr>
      </w:pPr>
      <w:r w:rsidRPr="00BA3D55">
        <w:rPr>
          <w:rFonts w:ascii="Verdana" w:hAnsi="Verdana"/>
          <w:b/>
          <w:bCs/>
          <w:highlight w:val="white"/>
          <w:shd w:val="clear" w:color="auto" w:fill="FEFEFE"/>
        </w:rPr>
        <w:t>Допълнителн</w:t>
      </w:r>
      <w:r w:rsidR="00C15C7A" w:rsidRPr="00BA3D55">
        <w:rPr>
          <w:rFonts w:ascii="Verdana" w:hAnsi="Verdana"/>
          <w:b/>
          <w:bCs/>
          <w:highlight w:val="white"/>
          <w:shd w:val="clear" w:color="auto" w:fill="FEFEFE"/>
        </w:rPr>
        <w:t>и</w:t>
      </w:r>
      <w:r w:rsidRPr="00BA3D55">
        <w:rPr>
          <w:rFonts w:ascii="Verdana" w:hAnsi="Verdana"/>
          <w:b/>
          <w:bCs/>
          <w:highlight w:val="white"/>
          <w:shd w:val="clear" w:color="auto" w:fill="FEFEFE"/>
        </w:rPr>
        <w:t xml:space="preserve"> разпоредб</w:t>
      </w:r>
      <w:r w:rsidR="00C15C7A" w:rsidRPr="00BA3D55">
        <w:rPr>
          <w:rFonts w:ascii="Verdana" w:hAnsi="Verdana"/>
          <w:b/>
          <w:bCs/>
          <w:highlight w:val="white"/>
          <w:shd w:val="clear" w:color="auto" w:fill="FEFEFE"/>
        </w:rPr>
        <w:t>и</w:t>
      </w:r>
    </w:p>
    <w:p w:rsidR="005E06A5" w:rsidRPr="00BA3D55" w:rsidRDefault="005E06A5" w:rsidP="00A16FC9">
      <w:pPr>
        <w:spacing w:line="360" w:lineRule="auto"/>
        <w:jc w:val="center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§ 1.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По смисъла на тази наредба: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1. </w:t>
      </w:r>
      <w:r w:rsidR="00F813F6">
        <w:rPr>
          <w:rFonts w:ascii="Verdana" w:hAnsi="Verdana"/>
          <w:highlight w:val="white"/>
          <w:shd w:val="clear" w:color="auto" w:fill="FEFEFE"/>
        </w:rPr>
        <w:t>„</w:t>
      </w:r>
      <w:r w:rsidRPr="00BA3D55">
        <w:rPr>
          <w:rFonts w:ascii="Verdana" w:hAnsi="Verdana"/>
          <w:highlight w:val="white"/>
          <w:shd w:val="clear" w:color="auto" w:fill="FEFEFE"/>
        </w:rPr>
        <w:t>Хранителни вещества</w:t>
      </w:r>
      <w:r w:rsidR="00BA3D55">
        <w:rPr>
          <w:rFonts w:ascii="Verdana" w:hAnsi="Verdana"/>
          <w:highlight w:val="white"/>
          <w:shd w:val="clear" w:color="auto" w:fill="FEFEFE"/>
        </w:rPr>
        <w:t>“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са: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а) витамини;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б) минерали.</w:t>
      </w:r>
    </w:p>
    <w:p w:rsidR="005E06A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2. </w:t>
      </w:r>
      <w:r w:rsidR="00F813F6">
        <w:rPr>
          <w:rFonts w:ascii="Verdana" w:hAnsi="Verdana"/>
          <w:highlight w:val="white"/>
          <w:shd w:val="clear" w:color="auto" w:fill="FEFEFE"/>
        </w:rPr>
        <w:t>„</w:t>
      </w:r>
      <w:r w:rsidRPr="00BA3D55">
        <w:rPr>
          <w:rFonts w:ascii="Verdana" w:hAnsi="Verdana"/>
          <w:highlight w:val="white"/>
          <w:shd w:val="clear" w:color="auto" w:fill="FEFEFE"/>
        </w:rPr>
        <w:t>Субстанции с хранителен или физиологичен ефект</w:t>
      </w:r>
      <w:r w:rsidR="00BA3D55">
        <w:rPr>
          <w:rFonts w:ascii="Verdana" w:hAnsi="Verdana"/>
          <w:highlight w:val="white"/>
          <w:shd w:val="clear" w:color="auto" w:fill="FEFEFE"/>
        </w:rPr>
        <w:t>“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са провитамини, белтък, аминокиселини, пептиди, незаменими мастни киселини, рибни и растителни масла, въглехидрати, хранителни влакнини, метаболити, пробиотици и пребиотици, пчелни продукти, хранителни концентрати, ензими, части и екстракти от растения, органични и неорганични биоактивни субстанции, самостоятелно или в комбинация.</w:t>
      </w:r>
    </w:p>
    <w:p w:rsidR="00F813F6" w:rsidRPr="00F813F6" w:rsidRDefault="00F813F6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>
        <w:rPr>
          <w:rFonts w:ascii="Verdana" w:hAnsi="Verdana"/>
          <w:highlight w:val="white"/>
          <w:shd w:val="clear" w:color="auto" w:fill="FEFEFE"/>
        </w:rPr>
        <w:t>3.</w:t>
      </w:r>
      <w:r w:rsidRPr="00F813F6">
        <w:rPr>
          <w:rFonts w:ascii="Verdana" w:hAnsi="Verdana"/>
        </w:rPr>
        <w:t xml:space="preserve"> </w:t>
      </w:r>
      <w:r>
        <w:rPr>
          <w:rFonts w:ascii="Verdana" w:hAnsi="Verdana"/>
          <w:highlight w:val="white"/>
          <w:shd w:val="clear" w:color="auto" w:fill="FEFEFE"/>
        </w:rPr>
        <w:t>„</w:t>
      </w:r>
      <w:r w:rsidRPr="00F813F6">
        <w:rPr>
          <w:rFonts w:ascii="Verdana" w:hAnsi="Verdana"/>
          <w:highlight w:val="white"/>
          <w:shd w:val="clear" w:color="auto" w:fill="FEFEFE"/>
        </w:rPr>
        <w:t>Растителни вещества</w:t>
      </w:r>
      <w:r>
        <w:rPr>
          <w:rFonts w:ascii="Verdana" w:hAnsi="Verdana"/>
          <w:highlight w:val="white"/>
          <w:shd w:val="clear" w:color="auto" w:fill="FEFEFE"/>
        </w:rPr>
        <w:t>“</w:t>
      </w:r>
      <w:r w:rsidRPr="00F813F6">
        <w:rPr>
          <w:rFonts w:ascii="Verdana" w:hAnsi="Verdana"/>
          <w:highlight w:val="white"/>
          <w:shd w:val="clear" w:color="auto" w:fill="FEFEFE"/>
        </w:rPr>
        <w:t xml:space="preserve"> са вещества по смисъла на </w:t>
      </w:r>
      <w:r w:rsidR="00D6075D" w:rsidRPr="00D6075D">
        <w:rPr>
          <w:rFonts w:ascii="Verdana" w:hAnsi="Verdana"/>
          <w:shd w:val="clear" w:color="auto" w:fill="FEFEFE"/>
        </w:rPr>
        <w:t xml:space="preserve">§ 1, </w:t>
      </w:r>
      <w:r w:rsidRPr="00F813F6">
        <w:rPr>
          <w:rFonts w:ascii="Verdana" w:hAnsi="Verdana"/>
          <w:highlight w:val="white"/>
          <w:shd w:val="clear" w:color="auto" w:fill="FEFEFE"/>
        </w:rPr>
        <w:t xml:space="preserve">т. 60 от </w:t>
      </w:r>
      <w:r w:rsidR="00D6075D" w:rsidRPr="00D6075D">
        <w:rPr>
          <w:rFonts w:ascii="Verdana" w:hAnsi="Verdana"/>
          <w:shd w:val="clear" w:color="auto" w:fill="FEFEFE"/>
        </w:rPr>
        <w:t xml:space="preserve">допълнителните разпоредби на </w:t>
      </w:r>
      <w:r w:rsidRPr="00F813F6">
        <w:rPr>
          <w:rFonts w:ascii="Verdana" w:hAnsi="Verdana"/>
          <w:highlight w:val="white"/>
          <w:shd w:val="clear" w:color="auto" w:fill="FEFEFE"/>
        </w:rPr>
        <w:t>Закона за лекарствените продукти в хуманната медицина.</w:t>
      </w:r>
    </w:p>
    <w:p w:rsidR="00F813F6" w:rsidRDefault="00F813F6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>
        <w:rPr>
          <w:rFonts w:ascii="Verdana" w:hAnsi="Verdana"/>
          <w:highlight w:val="white"/>
          <w:shd w:val="clear" w:color="auto" w:fill="FEFEFE"/>
        </w:rPr>
        <w:t>4. „</w:t>
      </w:r>
      <w:r w:rsidRPr="00F813F6">
        <w:rPr>
          <w:rFonts w:ascii="Verdana" w:hAnsi="Verdana"/>
          <w:highlight w:val="white"/>
          <w:shd w:val="clear" w:color="auto" w:fill="FEFEFE"/>
        </w:rPr>
        <w:t xml:space="preserve">Растителен </w:t>
      </w:r>
      <w:r>
        <w:rPr>
          <w:rFonts w:ascii="Verdana" w:hAnsi="Verdana"/>
          <w:highlight w:val="white"/>
          <w:shd w:val="clear" w:color="auto" w:fill="FEFEFE"/>
        </w:rPr>
        <w:t>препарат“</w:t>
      </w:r>
      <w:r w:rsidRPr="00F813F6">
        <w:rPr>
          <w:rFonts w:ascii="Verdana" w:hAnsi="Verdana"/>
          <w:highlight w:val="white"/>
          <w:shd w:val="clear" w:color="auto" w:fill="FEFEFE"/>
        </w:rPr>
        <w:t xml:space="preserve"> е препарат по смисъла на </w:t>
      </w:r>
      <w:r w:rsidR="00D6075D" w:rsidRPr="00D6075D">
        <w:rPr>
          <w:rFonts w:ascii="Verdana" w:hAnsi="Verdana"/>
          <w:shd w:val="clear" w:color="auto" w:fill="FEFEFE"/>
        </w:rPr>
        <w:t xml:space="preserve">§ 1, </w:t>
      </w:r>
      <w:r w:rsidRPr="00F813F6">
        <w:rPr>
          <w:rFonts w:ascii="Verdana" w:hAnsi="Verdana"/>
          <w:highlight w:val="white"/>
          <w:shd w:val="clear" w:color="auto" w:fill="FEFEFE"/>
        </w:rPr>
        <w:t xml:space="preserve">т. 61 от </w:t>
      </w:r>
      <w:r w:rsidR="00D6075D" w:rsidRPr="00D6075D">
        <w:rPr>
          <w:rFonts w:ascii="Verdana" w:hAnsi="Verdana"/>
          <w:shd w:val="clear" w:color="auto" w:fill="FEFEFE"/>
        </w:rPr>
        <w:t xml:space="preserve">допълнителните разпоредби на </w:t>
      </w:r>
      <w:r w:rsidRPr="00F813F6">
        <w:rPr>
          <w:rFonts w:ascii="Verdana" w:hAnsi="Verdana"/>
          <w:highlight w:val="white"/>
          <w:shd w:val="clear" w:color="auto" w:fill="FEFEFE"/>
        </w:rPr>
        <w:t>Закона за лекарствените продукти в хуманната медицина.</w:t>
      </w:r>
    </w:p>
    <w:p w:rsidR="00B26792" w:rsidRPr="00F813F6" w:rsidRDefault="00B26792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>
        <w:rPr>
          <w:rFonts w:ascii="Verdana" w:hAnsi="Verdana"/>
          <w:shd w:val="clear" w:color="auto" w:fill="FEFEFE"/>
        </w:rPr>
        <w:t>5</w:t>
      </w:r>
      <w:r w:rsidRPr="00B26792">
        <w:rPr>
          <w:rFonts w:ascii="Verdana" w:hAnsi="Verdana"/>
          <w:shd w:val="clear" w:color="auto" w:fill="FEFEFE"/>
        </w:rPr>
        <w:t xml:space="preserve">. „Икономически оператор“ е </w:t>
      </w:r>
      <w:r w:rsidRPr="00CA28D5">
        <w:rPr>
          <w:rFonts w:ascii="Verdana" w:hAnsi="Verdana"/>
          <w:shd w:val="clear" w:color="auto" w:fill="FEFEFE"/>
        </w:rPr>
        <w:t>съгласно</w:t>
      </w:r>
      <w:r w:rsidRPr="00A16FC9">
        <w:rPr>
          <w:rFonts w:ascii="Verdana" w:hAnsi="Verdana"/>
          <w:color w:val="FF0000"/>
          <w:shd w:val="clear" w:color="auto" w:fill="FEFEFE"/>
        </w:rPr>
        <w:t xml:space="preserve"> </w:t>
      </w:r>
      <w:r w:rsidRPr="00B26792">
        <w:rPr>
          <w:rFonts w:ascii="Verdana" w:hAnsi="Verdana"/>
          <w:shd w:val="clear" w:color="auto" w:fill="FEFEFE"/>
        </w:rPr>
        <w:t>определението в чл. 3, т. 12 от  Регламент (ЕС) 2019/515.</w:t>
      </w:r>
    </w:p>
    <w:p w:rsidR="00AF52DF" w:rsidRPr="00BA3D55" w:rsidRDefault="00AF52DF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C15C7A" w:rsidRPr="00BA3D55" w:rsidRDefault="00C15C7A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§ 2.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С наредбата се въвеждат разпоредбите на </w:t>
      </w:r>
      <w:r w:rsidRPr="00BA3D55">
        <w:rPr>
          <w:rFonts w:ascii="Verdana" w:hAnsi="Verdana"/>
          <w:shd w:val="clear" w:color="auto" w:fill="FEFEFE"/>
        </w:rPr>
        <w:t xml:space="preserve">Директива 2002/46/ЕО на Европейския парламент и на Съвета от 10 юни 2002 година за сближаване на </w:t>
      </w:r>
      <w:r w:rsidRPr="00BA3D55">
        <w:rPr>
          <w:rFonts w:ascii="Verdana" w:hAnsi="Verdana"/>
          <w:shd w:val="clear" w:color="auto" w:fill="FEFEFE"/>
        </w:rPr>
        <w:lastRenderedPageBreak/>
        <w:t>законодателствата на държавите-членки по отношение на добавките към храни (ОВ, L 183 от 12.07.2002 г.).</w:t>
      </w:r>
    </w:p>
    <w:p w:rsidR="00C15C7A" w:rsidRPr="00BA3D55" w:rsidRDefault="00C15C7A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F35A3B" w:rsidRDefault="00F35A3B" w:rsidP="00A16FC9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</w:rPr>
      </w:pPr>
    </w:p>
    <w:p w:rsidR="00901543" w:rsidRPr="00BA3D55" w:rsidRDefault="005E06A5" w:rsidP="00A16FC9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</w:rPr>
      </w:pPr>
      <w:r w:rsidRPr="00BA3D55">
        <w:rPr>
          <w:rFonts w:ascii="Verdana" w:hAnsi="Verdana"/>
          <w:b/>
          <w:bCs/>
          <w:highlight w:val="white"/>
          <w:shd w:val="clear" w:color="auto" w:fill="FEFEFE"/>
        </w:rPr>
        <w:t xml:space="preserve">Преходни и </w:t>
      </w:r>
      <w:r w:rsidR="00AF52DF" w:rsidRPr="00BA3D55">
        <w:rPr>
          <w:rFonts w:ascii="Verdana" w:hAnsi="Verdana"/>
          <w:b/>
          <w:bCs/>
          <w:highlight w:val="white"/>
          <w:shd w:val="clear" w:color="auto" w:fill="FEFEFE"/>
        </w:rPr>
        <w:t>з</w:t>
      </w:r>
      <w:r w:rsidRPr="00BA3D55">
        <w:rPr>
          <w:rFonts w:ascii="Verdana" w:hAnsi="Verdana"/>
          <w:b/>
          <w:bCs/>
          <w:highlight w:val="white"/>
          <w:shd w:val="clear" w:color="auto" w:fill="FEFEFE"/>
        </w:rPr>
        <w:t>аключителни разпоредби</w:t>
      </w:r>
    </w:p>
    <w:p w:rsidR="005E06A5" w:rsidRPr="00BA3D55" w:rsidRDefault="005E06A5" w:rsidP="00A16FC9">
      <w:pPr>
        <w:spacing w:line="360" w:lineRule="auto"/>
        <w:jc w:val="center"/>
        <w:rPr>
          <w:rFonts w:ascii="Verdana" w:hAnsi="Verdana"/>
          <w:highlight w:val="white"/>
          <w:shd w:val="clear" w:color="auto" w:fill="FEFEFE"/>
        </w:rPr>
      </w:pPr>
    </w:p>
    <w:p w:rsidR="00461D57" w:rsidRPr="00BA3D55" w:rsidRDefault="00461D57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F507AC">
        <w:rPr>
          <w:rFonts w:ascii="Verdana" w:hAnsi="Verdana"/>
          <w:b/>
          <w:highlight w:val="white"/>
          <w:shd w:val="clear" w:color="auto" w:fill="FEFEFE"/>
        </w:rPr>
        <w:t xml:space="preserve">§ </w:t>
      </w:r>
      <w:r w:rsidRPr="00F507AC">
        <w:rPr>
          <w:rFonts w:ascii="Verdana" w:hAnsi="Verdana"/>
          <w:b/>
          <w:highlight w:val="white"/>
          <w:shd w:val="clear" w:color="auto" w:fill="FEFEFE"/>
          <w:lang w:val="en-US"/>
        </w:rPr>
        <w:t>3</w:t>
      </w:r>
      <w:r w:rsidRPr="00F507AC">
        <w:rPr>
          <w:rFonts w:ascii="Verdana" w:hAnsi="Verdana"/>
          <w:b/>
          <w:highlight w:val="white"/>
          <w:shd w:val="clear" w:color="auto" w:fill="FEFEFE"/>
        </w:rPr>
        <w:t>.</w:t>
      </w:r>
      <w:r w:rsidRPr="00F507AC">
        <w:rPr>
          <w:rFonts w:ascii="Verdana" w:hAnsi="Verdana"/>
          <w:highlight w:val="white"/>
          <w:shd w:val="clear" w:color="auto" w:fill="FEFEFE"/>
        </w:rPr>
        <w:t xml:space="preserve"> 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Наредбата се </w:t>
      </w:r>
      <w:r w:rsidR="000C5139">
        <w:rPr>
          <w:rFonts w:ascii="Verdana" w:hAnsi="Verdana"/>
          <w:highlight w:val="white"/>
          <w:shd w:val="clear" w:color="auto" w:fill="FEFEFE"/>
        </w:rPr>
        <w:t>приема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на основание </w:t>
      </w:r>
      <w:r w:rsidRPr="00BA3D55">
        <w:rPr>
          <w:rFonts w:ascii="Verdana" w:hAnsi="Verdana"/>
          <w:shd w:val="clear" w:color="auto" w:fill="FEFEFE"/>
        </w:rPr>
        <w:t xml:space="preserve">чл. 81, </w:t>
      </w:r>
      <w:r w:rsidR="00876872">
        <w:rPr>
          <w:rFonts w:ascii="Verdana" w:hAnsi="Verdana"/>
          <w:shd w:val="clear" w:color="auto" w:fill="FEFEFE"/>
        </w:rPr>
        <w:t>ал</w:t>
      </w:r>
      <w:r w:rsidRPr="00BA3D55">
        <w:rPr>
          <w:rFonts w:ascii="Verdana" w:hAnsi="Verdana"/>
          <w:shd w:val="clear" w:color="auto" w:fill="FEFEFE"/>
        </w:rPr>
        <w:t xml:space="preserve">. 1 </w:t>
      </w:r>
      <w:r w:rsidRPr="00BA3D55">
        <w:rPr>
          <w:rFonts w:ascii="Verdana" w:hAnsi="Verdana"/>
          <w:highlight w:val="white"/>
          <w:shd w:val="clear" w:color="auto" w:fill="FEFEFE"/>
        </w:rPr>
        <w:t>от Закона за храните.</w:t>
      </w:r>
    </w:p>
    <w:p w:rsidR="00461D57" w:rsidRDefault="00461D57" w:rsidP="00A16FC9">
      <w:pPr>
        <w:spacing w:line="360" w:lineRule="auto"/>
        <w:ind w:firstLine="709"/>
        <w:jc w:val="both"/>
        <w:rPr>
          <w:rFonts w:ascii="Verdana" w:hAnsi="Verdana"/>
          <w:b/>
          <w:shd w:val="clear" w:color="auto" w:fill="FEFEFE"/>
        </w:rPr>
      </w:pPr>
    </w:p>
    <w:p w:rsidR="00C7796A" w:rsidRPr="00C7796A" w:rsidRDefault="00EF695C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b/>
          <w:shd w:val="clear" w:color="auto" w:fill="FEFEFE"/>
        </w:rPr>
        <w:t xml:space="preserve">§ </w:t>
      </w:r>
      <w:r w:rsidR="008F7A91">
        <w:rPr>
          <w:rFonts w:ascii="Verdana" w:hAnsi="Verdana"/>
          <w:b/>
          <w:shd w:val="clear" w:color="auto" w:fill="FEFEFE"/>
        </w:rPr>
        <w:t>4</w:t>
      </w:r>
      <w:r w:rsidRPr="00BA3D55">
        <w:rPr>
          <w:rFonts w:ascii="Verdana" w:hAnsi="Verdana"/>
          <w:b/>
          <w:shd w:val="clear" w:color="auto" w:fill="FEFEFE"/>
        </w:rPr>
        <w:t>.</w:t>
      </w:r>
      <w:r w:rsidRPr="00BA3D55">
        <w:rPr>
          <w:rFonts w:ascii="Verdana" w:hAnsi="Verdana"/>
          <w:shd w:val="clear" w:color="auto" w:fill="FEFEFE"/>
        </w:rPr>
        <w:t xml:space="preserve"> </w:t>
      </w:r>
      <w:r w:rsidR="00C7796A" w:rsidRPr="00CA28D5">
        <w:rPr>
          <w:rFonts w:ascii="Verdana" w:hAnsi="Verdana"/>
          <w:shd w:val="clear" w:color="auto" w:fill="FEFEFE"/>
        </w:rPr>
        <w:t>Компетентния орган по чл. 79, ал. 1 от Закона за храните</w:t>
      </w:r>
      <w:r w:rsidR="00417CD3" w:rsidRPr="00CA28D5">
        <w:t xml:space="preserve"> </w:t>
      </w:r>
      <w:r w:rsidR="00417CD3" w:rsidRPr="00CA28D5">
        <w:rPr>
          <w:rFonts w:ascii="Verdana" w:hAnsi="Verdana"/>
          <w:shd w:val="clear" w:color="auto" w:fill="FEFEFE"/>
        </w:rPr>
        <w:t>вписва служебно в регистъра по чл. 24, ал. 1 от същия закон информацията за уведомленията по чл. 4, ал. 4</w:t>
      </w:r>
      <w:r w:rsidR="00417CD3" w:rsidRPr="00CA28D5">
        <w:t xml:space="preserve"> </w:t>
      </w:r>
      <w:r w:rsidR="00417CD3" w:rsidRPr="00CA28D5">
        <w:rPr>
          <w:rFonts w:ascii="Verdana" w:hAnsi="Verdana"/>
          <w:shd w:val="clear" w:color="auto" w:fill="FEFEFE"/>
        </w:rPr>
        <w:t>от Наредба № 47 от 2004 г. за изискванията към хранителните добавки (обн., ДВ, бр. 5 от 2005 г.)</w:t>
      </w:r>
      <w:r w:rsidR="00A202A6">
        <w:rPr>
          <w:rFonts w:ascii="Verdana" w:hAnsi="Verdana"/>
          <w:shd w:val="clear" w:color="auto" w:fill="FEFEFE"/>
        </w:rPr>
        <w:t>.</w:t>
      </w:r>
    </w:p>
    <w:p w:rsidR="000F6841" w:rsidRDefault="000F6841" w:rsidP="00A16FC9">
      <w:pPr>
        <w:spacing w:line="360" w:lineRule="auto"/>
        <w:ind w:firstLine="709"/>
        <w:jc w:val="both"/>
        <w:rPr>
          <w:rFonts w:ascii="Verdana" w:hAnsi="Verdana"/>
          <w:shd w:val="clear" w:color="auto" w:fill="FEFEFE"/>
        </w:rPr>
      </w:pPr>
    </w:p>
    <w:p w:rsidR="00AF52DF" w:rsidRPr="00BA3D55" w:rsidRDefault="00AF11B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F507AC">
        <w:rPr>
          <w:rFonts w:ascii="Verdana" w:hAnsi="Verdana"/>
          <w:b/>
          <w:highlight w:val="white"/>
          <w:shd w:val="clear" w:color="auto" w:fill="FEFEFE"/>
        </w:rPr>
        <w:t xml:space="preserve">§ </w:t>
      </w:r>
      <w:r>
        <w:rPr>
          <w:rFonts w:ascii="Verdana" w:hAnsi="Verdana"/>
          <w:b/>
          <w:highlight w:val="white"/>
          <w:shd w:val="clear" w:color="auto" w:fill="FEFEFE"/>
        </w:rPr>
        <w:t>5</w:t>
      </w:r>
      <w:r w:rsidRPr="00F507AC">
        <w:rPr>
          <w:rFonts w:ascii="Verdana" w:hAnsi="Verdana"/>
          <w:b/>
          <w:highlight w:val="white"/>
          <w:shd w:val="clear" w:color="auto" w:fill="FEFEFE"/>
        </w:rPr>
        <w:t>.</w:t>
      </w:r>
      <w:r>
        <w:rPr>
          <w:rFonts w:ascii="Verdana" w:hAnsi="Verdana"/>
          <w:b/>
          <w:highlight w:val="white"/>
          <w:shd w:val="clear" w:color="auto" w:fill="FEFEFE"/>
        </w:rPr>
        <w:t xml:space="preserve"> </w:t>
      </w:r>
      <w:r w:rsidRPr="00F507AC">
        <w:rPr>
          <w:rFonts w:ascii="Verdana" w:hAnsi="Verdana"/>
          <w:highlight w:val="white"/>
          <w:shd w:val="clear" w:color="auto" w:fill="FEFEFE"/>
        </w:rPr>
        <w:t xml:space="preserve"> </w:t>
      </w:r>
      <w:r w:rsidR="00EF695C" w:rsidRPr="00BA3D55">
        <w:rPr>
          <w:rFonts w:ascii="Verdana" w:hAnsi="Verdana"/>
          <w:shd w:val="clear" w:color="auto" w:fill="FEFEFE"/>
        </w:rPr>
        <w:t>Хранителни добавки, които не отговарят на изискванията на чл. 8</w:t>
      </w:r>
      <w:r w:rsidR="00EF695C" w:rsidRPr="00BA3D55">
        <w:t xml:space="preserve"> </w:t>
      </w:r>
      <w:r w:rsidR="00EF695C" w:rsidRPr="00BA3D55">
        <w:rPr>
          <w:rFonts w:ascii="Verdana" w:hAnsi="Verdana"/>
          <w:shd w:val="clear" w:color="auto" w:fill="FEFEFE"/>
        </w:rPr>
        <w:t>по отношение</w:t>
      </w:r>
      <w:r w:rsidR="00EF695C" w:rsidRPr="00BA3D55">
        <w:t xml:space="preserve"> </w:t>
      </w:r>
      <w:r w:rsidR="00EF695C" w:rsidRPr="00BA3D55">
        <w:rPr>
          <w:rFonts w:ascii="Verdana" w:hAnsi="Verdana"/>
          <w:shd w:val="clear" w:color="auto" w:fill="FEFEFE"/>
        </w:rPr>
        <w:t>максимално допустимите количества на витамини и минерали, могат да се предлагат на пазара до изчерпване на наличните количества, но не по-късно от 12 месеца от влизане в сила на наредбата.</w:t>
      </w:r>
    </w:p>
    <w:p w:rsidR="0098379F" w:rsidRDefault="0098379F" w:rsidP="00A16FC9">
      <w:pPr>
        <w:spacing w:line="360" w:lineRule="auto"/>
        <w:rPr>
          <w:rFonts w:ascii="Verdana" w:hAnsi="Verdana"/>
        </w:rPr>
      </w:pPr>
    </w:p>
    <w:p w:rsidR="009138F9" w:rsidRDefault="009138F9" w:rsidP="00A16FC9">
      <w:pPr>
        <w:spacing w:line="360" w:lineRule="auto"/>
        <w:rPr>
          <w:rFonts w:ascii="Verdana" w:hAnsi="Verdana"/>
        </w:rPr>
      </w:pPr>
    </w:p>
    <w:p w:rsidR="00C14F48" w:rsidRDefault="00C14F48" w:rsidP="00A16FC9">
      <w:pPr>
        <w:spacing w:line="360" w:lineRule="auto"/>
        <w:rPr>
          <w:rFonts w:ascii="Verdana" w:hAnsi="Verdana"/>
        </w:rPr>
      </w:pPr>
    </w:p>
    <w:p w:rsidR="00C14F48" w:rsidRDefault="00C14F48" w:rsidP="00A16FC9">
      <w:pPr>
        <w:spacing w:line="360" w:lineRule="auto"/>
        <w:rPr>
          <w:rFonts w:ascii="Verdana" w:hAnsi="Verdana"/>
          <w:lang w:val="en-US"/>
        </w:rPr>
      </w:pPr>
    </w:p>
    <w:p w:rsidR="00622CD9" w:rsidRDefault="00622CD9" w:rsidP="00A16FC9">
      <w:pPr>
        <w:spacing w:line="360" w:lineRule="auto"/>
        <w:rPr>
          <w:rFonts w:ascii="Verdana" w:hAnsi="Verdana"/>
          <w:lang w:val="en-US"/>
        </w:rPr>
      </w:pPr>
    </w:p>
    <w:p w:rsidR="00622CD9" w:rsidRDefault="00622CD9" w:rsidP="00A16FC9">
      <w:pPr>
        <w:spacing w:line="360" w:lineRule="auto"/>
        <w:rPr>
          <w:rFonts w:ascii="Verdana" w:hAnsi="Verdana"/>
          <w:lang w:val="en-US"/>
        </w:rPr>
      </w:pPr>
    </w:p>
    <w:p w:rsidR="00622CD9" w:rsidRDefault="00622CD9" w:rsidP="00A16FC9">
      <w:pPr>
        <w:spacing w:line="360" w:lineRule="auto"/>
        <w:rPr>
          <w:rFonts w:ascii="Verdana" w:hAnsi="Verdana"/>
          <w:lang w:val="en-US"/>
        </w:rPr>
      </w:pPr>
    </w:p>
    <w:p w:rsidR="00622CD9" w:rsidRDefault="00622CD9" w:rsidP="00A16FC9">
      <w:pPr>
        <w:spacing w:line="360" w:lineRule="auto"/>
        <w:rPr>
          <w:rFonts w:ascii="Verdana" w:hAnsi="Verdana"/>
          <w:lang w:val="en-US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103236" w:rsidRDefault="00103236" w:rsidP="00A16FC9">
      <w:pPr>
        <w:spacing w:line="360" w:lineRule="auto"/>
        <w:jc w:val="right"/>
        <w:rPr>
          <w:rFonts w:ascii="Verdana" w:hAnsi="Verdana"/>
        </w:rPr>
      </w:pPr>
    </w:p>
    <w:p w:rsidR="00B819E2" w:rsidRPr="00BA3D55" w:rsidRDefault="00B819E2" w:rsidP="00A16FC9">
      <w:pPr>
        <w:spacing w:line="360" w:lineRule="auto"/>
        <w:jc w:val="right"/>
        <w:rPr>
          <w:rFonts w:ascii="Verdana" w:hAnsi="Verdana"/>
        </w:rPr>
      </w:pPr>
      <w:r w:rsidRPr="00BA3D55">
        <w:rPr>
          <w:rFonts w:ascii="Verdana" w:hAnsi="Verdana"/>
        </w:rPr>
        <w:lastRenderedPageBreak/>
        <w:t xml:space="preserve">Приложение № </w:t>
      </w:r>
      <w:r w:rsidR="006072DE" w:rsidRPr="00BA3D55">
        <w:rPr>
          <w:rFonts w:ascii="Verdana" w:hAnsi="Verdana"/>
        </w:rPr>
        <w:t>1</w:t>
      </w:r>
      <w:r w:rsidRPr="00BA3D55">
        <w:rPr>
          <w:rFonts w:ascii="Verdana" w:hAnsi="Verdana"/>
        </w:rPr>
        <w:t xml:space="preserve"> </w:t>
      </w:r>
    </w:p>
    <w:p w:rsidR="00B819E2" w:rsidRPr="00BA3D55" w:rsidRDefault="00B819E2" w:rsidP="00A16FC9">
      <w:pPr>
        <w:spacing w:line="360" w:lineRule="auto"/>
        <w:ind w:firstLine="850"/>
        <w:jc w:val="right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към чл. 7, ал. 1</w:t>
      </w:r>
    </w:p>
    <w:p w:rsidR="002877E1" w:rsidRPr="00A16FC9" w:rsidRDefault="002877E1" w:rsidP="00A16FC9">
      <w:pPr>
        <w:spacing w:line="360" w:lineRule="auto"/>
        <w:jc w:val="center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48" w:lineRule="auto"/>
        <w:jc w:val="center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Витамини и минерали, които могат да се използват при производството на хранителни добавки</w:t>
      </w:r>
    </w:p>
    <w:p w:rsidR="002877E1" w:rsidRPr="00BA3D55" w:rsidRDefault="002877E1" w:rsidP="00A16FC9">
      <w:pPr>
        <w:spacing w:line="348" w:lineRule="auto"/>
        <w:jc w:val="center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1. Витамини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Витамин А (µg RE)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Витамин D (µg)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Витамин Е (mg </w:t>
      </w:r>
      <w:r w:rsidR="005F61E3" w:rsidRPr="00BA3D55">
        <w:rPr>
          <w:rFonts w:ascii="Symbol" w:hAnsi="Symbol"/>
          <w:color w:val="000000"/>
          <w:sz w:val="24"/>
          <w:szCs w:val="24"/>
        </w:rPr>
        <w:t></w:t>
      </w:r>
      <w:r w:rsidR="005F61E3" w:rsidRPr="00BA3D55">
        <w:rPr>
          <w:color w:val="000000"/>
          <w:sz w:val="24"/>
          <w:szCs w:val="24"/>
        </w:rPr>
        <w:t>-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ТЕ)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Витамин К (µg)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Витамин B</w:t>
      </w:r>
      <w:r w:rsidRPr="00BA3D55">
        <w:rPr>
          <w:rFonts w:ascii="Verdana" w:hAnsi="Verdana"/>
          <w:highlight w:val="white"/>
          <w:shd w:val="clear" w:color="auto" w:fill="FEFEFE"/>
          <w:vertAlign w:val="subscript"/>
        </w:rPr>
        <w:t>1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Витамин B</w:t>
      </w:r>
      <w:r w:rsidRPr="00BA3D55">
        <w:rPr>
          <w:rFonts w:ascii="Verdana" w:hAnsi="Verdana"/>
          <w:highlight w:val="white"/>
          <w:shd w:val="clear" w:color="auto" w:fill="FEFEFE"/>
          <w:vertAlign w:val="subscript"/>
        </w:rPr>
        <w:t>2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Ниацин (mg NE)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Пантотенова киселина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Витамин B</w:t>
      </w:r>
      <w:r w:rsidRPr="00BA3D55">
        <w:rPr>
          <w:rFonts w:ascii="Verdana" w:hAnsi="Verdana"/>
          <w:highlight w:val="white"/>
          <w:shd w:val="clear" w:color="auto" w:fill="FEFEFE"/>
          <w:vertAlign w:val="subscript"/>
        </w:rPr>
        <w:t>6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 (mg) </w:t>
      </w:r>
    </w:p>
    <w:p w:rsidR="002930F0" w:rsidRDefault="00D0546B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Фолиева киселина </w:t>
      </w:r>
      <w:r w:rsidR="005E06A5" w:rsidRPr="00BA3D55">
        <w:rPr>
          <w:rFonts w:ascii="Verdana" w:hAnsi="Verdana"/>
          <w:highlight w:val="white"/>
          <w:shd w:val="clear" w:color="auto" w:fill="FEFEFE"/>
        </w:rPr>
        <w:t>(µg)</w:t>
      </w:r>
      <w:r w:rsidR="009B09A9">
        <w:rPr>
          <w:rStyle w:val="FootnoteReference"/>
          <w:rFonts w:ascii="Verdana" w:hAnsi="Verdana"/>
          <w:highlight w:val="white"/>
          <w:shd w:val="clear" w:color="auto" w:fill="FEFEFE"/>
        </w:rPr>
        <w:footnoteReference w:id="1"/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Витамин В</w:t>
      </w:r>
      <w:r w:rsidRPr="00BA3D55">
        <w:rPr>
          <w:rFonts w:ascii="Verdana" w:hAnsi="Verdana"/>
          <w:highlight w:val="white"/>
          <w:shd w:val="clear" w:color="auto" w:fill="FEFEFE"/>
          <w:vertAlign w:val="subscript"/>
        </w:rPr>
        <w:t xml:space="preserve">12 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(µg)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Биотин (µg)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Витамин C (mg) </w:t>
      </w:r>
    </w:p>
    <w:p w:rsidR="00703F45" w:rsidRPr="00BA3D55" w:rsidRDefault="00703F4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2. Минерали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Калций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Магнезий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Желязо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Мед (µg)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Йод (µg)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Манган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Натрий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Калий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Селен (µg)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Хром (µg)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Молибден (µg)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Флуорид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Хлорид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Фосфор (mg)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Бор (mg) </w:t>
      </w:r>
    </w:p>
    <w:p w:rsidR="00703F4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Силиций (mg)</w:t>
      </w:r>
    </w:p>
    <w:p w:rsidR="009B09A9" w:rsidRPr="00BA3D55" w:rsidRDefault="009B09A9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9138F9" w:rsidRDefault="009138F9" w:rsidP="00A16FC9">
      <w:pPr>
        <w:spacing w:line="360" w:lineRule="auto"/>
        <w:jc w:val="right"/>
        <w:rPr>
          <w:rFonts w:ascii="Verdana" w:hAnsi="Verdana"/>
        </w:rPr>
        <w:sectPr w:rsidR="009138F9" w:rsidSect="00883A8F">
          <w:footerReference w:type="default" r:id="rId8"/>
          <w:footnotePr>
            <w:numRestart w:val="eachSect"/>
          </w:footnotePr>
          <w:pgSz w:w="11907" w:h="16840" w:code="9"/>
          <w:pgMar w:top="1134" w:right="1134" w:bottom="567" w:left="1701" w:header="709" w:footer="709" w:gutter="0"/>
          <w:cols w:space="708"/>
          <w:noEndnote/>
          <w:titlePg/>
          <w:docGrid w:linePitch="272"/>
        </w:sectPr>
      </w:pPr>
    </w:p>
    <w:p w:rsidR="003D28B9" w:rsidRPr="00BA3D55" w:rsidRDefault="003D28B9" w:rsidP="00A16FC9">
      <w:pPr>
        <w:spacing w:line="360" w:lineRule="auto"/>
        <w:jc w:val="right"/>
        <w:rPr>
          <w:rFonts w:ascii="Verdana" w:hAnsi="Verdana"/>
        </w:rPr>
      </w:pPr>
      <w:r w:rsidRPr="00BA3D55">
        <w:rPr>
          <w:rFonts w:ascii="Verdana" w:hAnsi="Verdana"/>
        </w:rPr>
        <w:lastRenderedPageBreak/>
        <w:t xml:space="preserve">Приложение № </w:t>
      </w:r>
      <w:r w:rsidR="006072DE" w:rsidRPr="00BA3D55">
        <w:rPr>
          <w:rFonts w:ascii="Verdana" w:hAnsi="Verdana"/>
        </w:rPr>
        <w:t>2</w:t>
      </w:r>
      <w:r w:rsidRPr="00BA3D55">
        <w:rPr>
          <w:rFonts w:ascii="Verdana" w:hAnsi="Verdana"/>
        </w:rPr>
        <w:t xml:space="preserve"> </w:t>
      </w:r>
    </w:p>
    <w:p w:rsidR="003D28B9" w:rsidRPr="00BA3D55" w:rsidRDefault="003D28B9" w:rsidP="00A16FC9">
      <w:pPr>
        <w:spacing w:line="360" w:lineRule="auto"/>
        <w:ind w:firstLine="850"/>
        <w:jc w:val="right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към чл. 7, ал. 1</w:t>
      </w:r>
    </w:p>
    <w:p w:rsidR="005E06A5" w:rsidRDefault="005E06A5" w:rsidP="00A16FC9">
      <w:pPr>
        <w:spacing w:line="360" w:lineRule="auto"/>
        <w:jc w:val="center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jc w:val="center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Форми на витамините и минералните вещества, които могат да се използват при производството на хранителни добавки</w:t>
      </w:r>
    </w:p>
    <w:p w:rsidR="005E06A5" w:rsidRPr="00BA3D55" w:rsidRDefault="005E06A5" w:rsidP="00A16FC9">
      <w:pPr>
        <w:spacing w:line="360" w:lineRule="auto"/>
        <w:jc w:val="center"/>
        <w:rPr>
          <w:rFonts w:ascii="Verdana" w:hAnsi="Verdana"/>
          <w:highlight w:val="white"/>
          <w:shd w:val="clear" w:color="auto" w:fill="FEFEFE"/>
        </w:rPr>
      </w:pPr>
    </w:p>
    <w:p w:rsidR="00CE5DD5" w:rsidRPr="00BA3D55" w:rsidRDefault="00CE5DD5" w:rsidP="00A16FC9">
      <w:pPr>
        <w:spacing w:line="360" w:lineRule="auto"/>
        <w:ind w:firstLine="709"/>
        <w:rPr>
          <w:rFonts w:ascii="Verdana" w:hAnsi="Verdana"/>
          <w:highlight w:val="white"/>
          <w:shd w:val="clear" w:color="auto" w:fill="FEFEFE"/>
        </w:rPr>
      </w:pPr>
    </w:p>
    <w:p w:rsidR="00CE5DD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А. Витамини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1. ВИТАМИН А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ретинол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б) ретинил ацетат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в) ретинил палмитат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г) бета-каротин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2. ВИТАМИН D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холекалциферол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б) ергокалциферол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3. ВИТАМИН E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D-алфа-токоферол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б) DL-алфа-токоферол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в) D-алфа-токоферил</w:t>
      </w:r>
      <w:r w:rsidR="003618D4" w:rsidRPr="00BA3D55">
        <w:rPr>
          <w:rFonts w:ascii="Verdana" w:hAnsi="Verdana"/>
          <w:highlight w:val="white"/>
          <w:shd w:val="clear" w:color="auto" w:fill="FEFEFE"/>
        </w:rPr>
        <w:t xml:space="preserve"> </w:t>
      </w:r>
      <w:r w:rsidRPr="00BA3D55">
        <w:rPr>
          <w:rFonts w:ascii="Verdana" w:hAnsi="Verdana"/>
          <w:highlight w:val="white"/>
          <w:shd w:val="clear" w:color="auto" w:fill="FEFEFE"/>
        </w:rPr>
        <w:t xml:space="preserve">ацетат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г) DL-алфа-токоферил ацетат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д) D-алфа-токоферил киселинен сукцинат </w:t>
      </w:r>
    </w:p>
    <w:p w:rsidR="00553728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е) смесени токофероли </w:t>
      </w:r>
      <w:r w:rsidR="008D452F">
        <w:rPr>
          <w:rStyle w:val="FootnoteReference"/>
          <w:rFonts w:ascii="Verdana" w:hAnsi="Verdana"/>
          <w:highlight w:val="white"/>
          <w:shd w:val="clear" w:color="auto" w:fill="FEFEFE"/>
        </w:rPr>
        <w:footnoteReference w:id="2"/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ж) токотриенол токоферол </w:t>
      </w:r>
      <w:bookmarkStart w:id="0" w:name="_GoBack"/>
      <w:bookmarkEnd w:id="0"/>
      <w:r w:rsidR="005F6FE8">
        <w:rPr>
          <w:rStyle w:val="FootnoteReference"/>
          <w:rFonts w:ascii="Verdana" w:hAnsi="Verdana"/>
          <w:highlight w:val="white"/>
          <w:shd w:val="clear" w:color="auto" w:fill="FEFEFE"/>
        </w:rPr>
        <w:footnoteReference w:id="3"/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4. ВИТАМИН К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филохинон (фитоменадион)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б) менахинон </w:t>
      </w:r>
      <w:r w:rsidR="005F6FE8">
        <w:rPr>
          <w:rStyle w:val="FootnoteReference"/>
          <w:rFonts w:ascii="Verdana" w:hAnsi="Verdana"/>
          <w:highlight w:val="white"/>
          <w:shd w:val="clear" w:color="auto" w:fill="FEFEFE"/>
        </w:rPr>
        <w:footnoteReference w:id="4"/>
      </w:r>
      <w:r w:rsidRPr="00BA3D55">
        <w:rPr>
          <w:rFonts w:ascii="Verdana" w:hAnsi="Verdana"/>
          <w:highlight w:val="white"/>
          <w:shd w:val="clear" w:color="auto" w:fill="FEFEFE"/>
        </w:rPr>
        <w:t xml:space="preserve">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5. ВИТАМИН В</w:t>
      </w:r>
      <w:r w:rsidRPr="00BA3D55">
        <w:rPr>
          <w:rFonts w:ascii="Verdana" w:hAnsi="Verdana"/>
          <w:b/>
          <w:highlight w:val="white"/>
          <w:shd w:val="clear" w:color="auto" w:fill="FEFEFE"/>
          <w:vertAlign w:val="subscript"/>
        </w:rPr>
        <w:t>1</w:t>
      </w: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тиамин хидрохлорид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lastRenderedPageBreak/>
        <w:t xml:space="preserve">б) тиамин мононитрат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в) тиамин монофосфат хлорид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г) тиамин пирофосфат хлорид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6. </w:t>
      </w:r>
      <w:r w:rsidRPr="00BA3D55">
        <w:rPr>
          <w:rFonts w:ascii="Verdana" w:hAnsi="Verdana"/>
          <w:b/>
          <w:highlight w:val="white"/>
          <w:shd w:val="clear" w:color="auto" w:fill="FEFEFE"/>
        </w:rPr>
        <w:t>ВИТАМИН В</w:t>
      </w:r>
      <w:r w:rsidRPr="00BA3D55">
        <w:rPr>
          <w:rFonts w:ascii="Verdana" w:hAnsi="Verdana"/>
          <w:b/>
          <w:highlight w:val="white"/>
          <w:shd w:val="clear" w:color="auto" w:fill="FEFEFE"/>
          <w:vertAlign w:val="subscript"/>
        </w:rPr>
        <w:t xml:space="preserve">2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рибофлавин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б) натриев рибофлавин 5'-фосфат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7. НИАЦИН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никотинова киселина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б) никотинамид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в) инозинол хексаникотинат (инозинол хексаниацинат)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E8197A" w:rsidRPr="00BA3D55" w:rsidRDefault="00E8197A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8. ПАНТОТЕНОВА КИСЕЛИНА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калциев D-пантотенат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б) натриев D-пантотенат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в) декспантенол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г) пантетин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9. ВИТАМИН В</w:t>
      </w:r>
      <w:r w:rsidRPr="00BA3D55">
        <w:rPr>
          <w:rFonts w:ascii="Verdana" w:hAnsi="Verdana"/>
          <w:b/>
          <w:highlight w:val="white"/>
          <w:shd w:val="clear" w:color="auto" w:fill="FEFEFE"/>
          <w:vertAlign w:val="subscript"/>
        </w:rPr>
        <w:t xml:space="preserve">6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пиридоксин хидрохлорид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б) пиридоксин 5'-фосфат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в) пиридоксал 5'-фосфат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10. ФОЛАТ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птероилмоноглутаминова киселина </w:t>
      </w:r>
    </w:p>
    <w:p w:rsidR="00C63D41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б) калциев L-метилфолат</w:t>
      </w:r>
    </w:p>
    <w:p w:rsidR="005E06A5" w:rsidRPr="00BA3D55" w:rsidRDefault="00C63D41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в) глюкозаминова сол на (6</w:t>
      </w:r>
      <w:r w:rsidRPr="00BA3D55">
        <w:rPr>
          <w:rFonts w:ascii="Verdana" w:hAnsi="Verdana"/>
          <w:i/>
          <w:highlight w:val="white"/>
          <w:shd w:val="clear" w:color="auto" w:fill="FEFEFE"/>
        </w:rPr>
        <w:t>S</w:t>
      </w:r>
      <w:r w:rsidRPr="00BA3D55">
        <w:rPr>
          <w:rFonts w:ascii="Verdana" w:hAnsi="Verdana"/>
          <w:highlight w:val="white"/>
          <w:shd w:val="clear" w:color="auto" w:fill="FEFEFE"/>
        </w:rPr>
        <w:t>)-5-метилтетрахидрофолиева киселина</w:t>
      </w:r>
      <w:r w:rsidR="005E06A5" w:rsidRPr="00BA3D55">
        <w:rPr>
          <w:rFonts w:ascii="Verdana" w:hAnsi="Verdana"/>
          <w:highlight w:val="white"/>
          <w:shd w:val="clear" w:color="auto" w:fill="FEFEFE"/>
        </w:rPr>
        <w:t xml:space="preserve">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>11. ВИТАМИН В</w:t>
      </w:r>
      <w:r w:rsidRPr="00BA3D55">
        <w:rPr>
          <w:rFonts w:ascii="Verdana" w:hAnsi="Verdana"/>
          <w:b/>
          <w:highlight w:val="white"/>
          <w:shd w:val="clear" w:color="auto" w:fill="FEFEFE"/>
          <w:vertAlign w:val="subscript"/>
        </w:rPr>
        <w:t>12</w:t>
      </w: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цианокобаламин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б) хидроксокобаламин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в) 5'-деоксиаденосилкобаламин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г) метилкобаламин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12. БИОТИН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а) D-биотин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13. ВИТАМИН С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lastRenderedPageBreak/>
        <w:t xml:space="preserve">а) L-аскорбинова киселина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б) натриев-L-аскорбат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в) калциев-L-аскорбат</w:t>
      </w:r>
      <w:r w:rsidR="003A39CD">
        <w:rPr>
          <w:rFonts w:ascii="Verdana" w:hAnsi="Verdana"/>
          <w:highlight w:val="white"/>
          <w:shd w:val="clear" w:color="auto" w:fill="FEFEFE"/>
        </w:rPr>
        <w:t xml:space="preserve"> </w:t>
      </w:r>
      <w:r w:rsidR="007B2D0E">
        <w:rPr>
          <w:rStyle w:val="FootnoteReference"/>
          <w:rFonts w:ascii="Verdana" w:hAnsi="Verdana"/>
          <w:highlight w:val="white"/>
          <w:shd w:val="clear" w:color="auto" w:fill="FEFEFE"/>
        </w:rPr>
        <w:footnoteReference w:id="5"/>
      </w:r>
      <w:r w:rsidRPr="00BA3D55">
        <w:rPr>
          <w:rFonts w:ascii="Verdana" w:hAnsi="Verdana"/>
          <w:highlight w:val="white"/>
          <w:shd w:val="clear" w:color="auto" w:fill="FEFEFE"/>
        </w:rPr>
        <w:t xml:space="preserve">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г) калиев-L-аскорбат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д) L-аскорбил 6-палмитат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е) магнезиев L-аскорбат </w:t>
      </w: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ж) цинков L-аскорбат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ind w:firstLine="709"/>
        <w:jc w:val="both"/>
        <w:rPr>
          <w:rFonts w:ascii="Verdana" w:hAnsi="Verdana"/>
          <w:b/>
          <w:highlight w:val="white"/>
          <w:shd w:val="clear" w:color="auto" w:fill="FEFEFE"/>
        </w:rPr>
      </w:pPr>
      <w:r w:rsidRPr="00BA3D55">
        <w:rPr>
          <w:rFonts w:ascii="Verdana" w:hAnsi="Verdana"/>
          <w:b/>
          <w:highlight w:val="white"/>
          <w:shd w:val="clear" w:color="auto" w:fill="FEFEFE"/>
        </w:rPr>
        <w:t xml:space="preserve">Б. Минерали </w:t>
      </w:r>
    </w:p>
    <w:p w:rsidR="00CE5DD5" w:rsidRPr="00BA3D55" w:rsidRDefault="00CE5DD5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ацетат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калциев L-аскорбат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бисглицинат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карбонат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хлорид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цитрат малат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калциеви соли на лимонената киселина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глюконат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глицерофосфат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лактат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пируват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калциеви соли на ортофосфорната киселина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сукцинат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хидроксид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L-лизинат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малат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оксид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L-пидолат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L-треонат </w:t>
      </w:r>
    </w:p>
    <w:p w:rsidR="00A2607F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калциев сулфат</w:t>
      </w:r>
    </w:p>
    <w:p w:rsidR="005E06A5" w:rsidRPr="00BA3D55" w:rsidRDefault="00A2607F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калциева сол на фосфорилирани олигозахариди</w:t>
      </w:r>
      <w:r w:rsidR="005E06A5" w:rsidRPr="00BA3D55">
        <w:rPr>
          <w:rFonts w:ascii="Verdana" w:hAnsi="Verdana"/>
          <w:highlight w:val="white"/>
          <w:shd w:val="clear" w:color="auto" w:fill="FEFEFE"/>
        </w:rPr>
        <w:t xml:space="preserve">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ацетат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L-аскорбат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бисглицинат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карбонат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хлорид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магнезиеви соли на лимонената киселина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глюконат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глицерофосфат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магнезиеви соли на ортофосфорната киселина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lastRenderedPageBreak/>
        <w:t xml:space="preserve">магнезиев лактат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L-лизинат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хидроксид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малат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оксид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L-пидолат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магнезиево-калиев цитрат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пируват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сукцинат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сулфат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таурат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магнезиев ацетил таурат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железен карбонат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железен цитрат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железен амониев цитрат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железен глюконат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железен фумарат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натриево-железен дифосфат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железен лактат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железен сулфат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железен дифосфат (железен пирофосфат)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железен захарат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елементарно желязо (карбонилно+електролитно+редуциран водород)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железен бисглицинат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железен L-пидолат </w:t>
      </w:r>
    </w:p>
    <w:p w:rsidR="00A2113B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железен фосфат</w:t>
      </w:r>
    </w:p>
    <w:p w:rsidR="00A2113B" w:rsidRPr="00BA3D55" w:rsidRDefault="00A2113B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амониево-железен фосфат</w:t>
      </w:r>
    </w:p>
    <w:p w:rsidR="005E06A5" w:rsidRPr="00BA3D55" w:rsidRDefault="00A2113B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ферихелат на натриев етилендиаминтетраацета</w:t>
      </w:r>
      <w:r w:rsidR="004D717A" w:rsidRPr="00BA3D55">
        <w:rPr>
          <w:rFonts w:ascii="Verdana" w:hAnsi="Verdana"/>
          <w:highlight w:val="white"/>
          <w:shd w:val="clear" w:color="auto" w:fill="FEFEFE"/>
        </w:rPr>
        <w:t>т</w:t>
      </w:r>
      <w:r w:rsidR="005E06A5" w:rsidRPr="00BA3D55">
        <w:rPr>
          <w:rFonts w:ascii="Verdana" w:hAnsi="Verdana"/>
          <w:highlight w:val="white"/>
          <w:shd w:val="clear" w:color="auto" w:fill="FEFEFE"/>
        </w:rPr>
        <w:t xml:space="preserve">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желязо (II) таурат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меден карбонат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меден цитрат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меден глюконат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меден сулфат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меден L-аспартат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меден бисглицинат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мед-лизинов комплекс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меден (II) оксид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йодид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йодат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йодид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йодат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ацетат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lastRenderedPageBreak/>
        <w:t xml:space="preserve">цинков L-аскорбат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L-аспартат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бисглицинат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хлорид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цитрат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глюконат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лактат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L-лизинат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малат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моно-L-метионин сулфат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оксид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карбонат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L-пидолат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пиколинат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цинков сулфат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манганов аскорбат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манганов L-аспартат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манганов бисглицинат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манганов карбонат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манганов хлорид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манганов цитрат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манганов глюконат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манганов глицерофосфат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манганов пидолат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манганов сулфат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бикарбонат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карбонат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хлорид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цитрат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глюконат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лактат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хидроксид </w:t>
      </w:r>
    </w:p>
    <w:p w:rsidR="00197139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натриеви соли на ортофосфорната киселина</w:t>
      </w:r>
    </w:p>
    <w:p w:rsidR="00197139" w:rsidRPr="00BA3D55" w:rsidRDefault="00197139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натриев сулфат</w:t>
      </w:r>
    </w:p>
    <w:p w:rsidR="005E06A5" w:rsidRPr="00BA3D55" w:rsidRDefault="00197139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калиев сулфат</w:t>
      </w:r>
      <w:r w:rsidR="005E06A5" w:rsidRPr="00BA3D55">
        <w:rPr>
          <w:rFonts w:ascii="Verdana" w:hAnsi="Verdana"/>
          <w:highlight w:val="white"/>
          <w:shd w:val="clear" w:color="auto" w:fill="FEFEFE"/>
        </w:rPr>
        <w:t xml:space="preserve">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бикарбонат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карбонат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хлорид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цитрат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глюконат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глицерофосфат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лактат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lastRenderedPageBreak/>
        <w:t xml:space="preserve">калиев хидроксид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L-пидолат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малат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калиеви соли на ортофосфорната киселина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L-селенометионин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обогатени със селен дрожди</w:t>
      </w:r>
      <w:r w:rsidR="003A39CD">
        <w:rPr>
          <w:rFonts w:ascii="Verdana" w:hAnsi="Verdana"/>
          <w:highlight w:val="white"/>
          <w:shd w:val="clear" w:color="auto" w:fill="FEFEFE"/>
        </w:rPr>
        <w:t xml:space="preserve"> </w:t>
      </w:r>
      <w:r w:rsidR="007B2D0E">
        <w:rPr>
          <w:rStyle w:val="FootnoteReference"/>
          <w:rFonts w:ascii="Verdana" w:hAnsi="Verdana"/>
          <w:highlight w:val="white"/>
          <w:shd w:val="clear" w:color="auto" w:fill="FEFEFE"/>
        </w:rPr>
        <w:footnoteReference w:id="6"/>
      </w:r>
      <w:r w:rsidRPr="00BA3D55">
        <w:rPr>
          <w:rFonts w:ascii="Verdana" w:hAnsi="Verdana"/>
          <w:highlight w:val="white"/>
          <w:shd w:val="clear" w:color="auto" w:fill="FEFEFE"/>
        </w:rPr>
        <w:t xml:space="preserve">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селениста киселина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селенат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хидроген селенит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селенит </w:t>
      </w:r>
    </w:p>
    <w:p w:rsidR="00346676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хромен (III) хлорид</w:t>
      </w:r>
    </w:p>
    <w:p w:rsidR="005E06A5" w:rsidRPr="00BA3D55" w:rsidRDefault="00346676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обогатени с хром дрожди</w:t>
      </w:r>
      <w:r w:rsidR="003A39CD">
        <w:rPr>
          <w:rFonts w:ascii="Verdana" w:hAnsi="Verdana"/>
          <w:highlight w:val="white"/>
          <w:shd w:val="clear" w:color="auto" w:fill="FEFEFE"/>
        </w:rPr>
        <w:t xml:space="preserve"> </w:t>
      </w:r>
      <w:r w:rsidR="007B2D0E">
        <w:rPr>
          <w:rStyle w:val="FootnoteReference"/>
          <w:rFonts w:ascii="Verdana" w:hAnsi="Verdana"/>
          <w:highlight w:val="white"/>
          <w:shd w:val="clear" w:color="auto" w:fill="FEFEFE"/>
        </w:rPr>
        <w:footnoteReference w:id="7"/>
      </w:r>
      <w:r w:rsidR="00F64D82" w:rsidRPr="00BA3D55">
        <w:rPr>
          <w:rFonts w:ascii="Verdana" w:hAnsi="Verdana"/>
          <w:highlight w:val="white"/>
          <w:shd w:val="clear" w:color="auto" w:fill="FEFEFE"/>
        </w:rPr>
        <w:t xml:space="preserve">    </w:t>
      </w:r>
      <w:r w:rsidR="005E06A5" w:rsidRPr="00BA3D55">
        <w:rPr>
          <w:rFonts w:ascii="Verdana" w:hAnsi="Verdana"/>
          <w:highlight w:val="white"/>
          <w:shd w:val="clear" w:color="auto" w:fill="FEFEFE"/>
        </w:rPr>
        <w:t xml:space="preserve">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хромен (III) лактат трихидрат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хромен нитрат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хромен пиколинат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хромен (III) сулфат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амониев молибдат (молибден (VI)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молибдат (молибден (VI)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молибдат (молибден (VI)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калциев флуорид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калиев флуорид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флуорид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монофлуорофосфат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борна киселина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натриев борат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ортосилициева киселина, стабилизирана с холин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 xml:space="preserve">силициев диоксид </w:t>
      </w:r>
    </w:p>
    <w:p w:rsidR="005E06A5" w:rsidRPr="00BA3D55" w:rsidRDefault="005E06A5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силициева киселина</w:t>
      </w:r>
      <w:r w:rsidR="003A39CD">
        <w:rPr>
          <w:rFonts w:ascii="Verdana" w:hAnsi="Verdana"/>
          <w:highlight w:val="white"/>
          <w:shd w:val="clear" w:color="auto" w:fill="FEFEFE"/>
        </w:rPr>
        <w:t xml:space="preserve"> </w:t>
      </w:r>
      <w:r w:rsidR="003473DD">
        <w:rPr>
          <w:rStyle w:val="FootnoteReference"/>
          <w:rFonts w:ascii="Verdana" w:hAnsi="Verdana"/>
          <w:highlight w:val="white"/>
          <w:shd w:val="clear" w:color="auto" w:fill="FEFEFE"/>
        </w:rPr>
        <w:footnoteReference w:id="8"/>
      </w:r>
      <w:r w:rsidRPr="00BA3D55">
        <w:rPr>
          <w:rFonts w:ascii="Verdana" w:hAnsi="Verdana"/>
          <w:highlight w:val="white"/>
          <w:shd w:val="clear" w:color="auto" w:fill="FEFEFE"/>
        </w:rPr>
        <w:t xml:space="preserve"> </w:t>
      </w:r>
    </w:p>
    <w:p w:rsidR="007D270C" w:rsidRPr="00BA3D55" w:rsidRDefault="007D270C" w:rsidP="00A16FC9">
      <w:pPr>
        <w:spacing w:line="348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  <w:r w:rsidRPr="00BA3D55">
        <w:rPr>
          <w:rFonts w:ascii="Verdana" w:hAnsi="Verdana"/>
          <w:highlight w:val="white"/>
          <w:shd w:val="clear" w:color="auto" w:fill="FEFEFE"/>
        </w:rPr>
        <w:t>органичен силиций (монометилсилантриол)</w:t>
      </w:r>
    </w:p>
    <w:p w:rsidR="00D52082" w:rsidRPr="00BA3D55" w:rsidRDefault="00D52082" w:rsidP="00A16FC9">
      <w:pPr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</w:rPr>
      </w:pPr>
    </w:p>
    <w:p w:rsidR="009138F9" w:rsidRDefault="009138F9" w:rsidP="00A16FC9">
      <w:pPr>
        <w:spacing w:line="360" w:lineRule="auto"/>
        <w:ind w:firstLine="850"/>
        <w:jc w:val="right"/>
        <w:rPr>
          <w:rFonts w:ascii="Verdana" w:hAnsi="Verdana"/>
          <w:shd w:val="clear" w:color="auto" w:fill="FEFEFE"/>
        </w:rPr>
        <w:sectPr w:rsidR="009138F9" w:rsidSect="00F35A3B">
          <w:footerReference w:type="default" r:id="rId9"/>
          <w:footerReference w:type="first" r:id="rId10"/>
          <w:footnotePr>
            <w:numRestart w:val="eachSect"/>
          </w:footnotePr>
          <w:pgSz w:w="11907" w:h="16840" w:code="9"/>
          <w:pgMar w:top="1134" w:right="1134" w:bottom="567" w:left="1701" w:header="709" w:footer="709" w:gutter="0"/>
          <w:cols w:space="708"/>
          <w:noEndnote/>
          <w:titlePg/>
        </w:sectPr>
      </w:pPr>
    </w:p>
    <w:p w:rsidR="00C11E90" w:rsidRPr="00BA3D55" w:rsidRDefault="005E06A5" w:rsidP="00A16FC9">
      <w:pPr>
        <w:spacing w:line="360" w:lineRule="auto"/>
        <w:ind w:firstLine="850"/>
        <w:jc w:val="right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hd w:val="clear" w:color="auto" w:fill="FEFEFE"/>
        </w:rPr>
        <w:lastRenderedPageBreak/>
        <w:t>Приложение № 3</w:t>
      </w:r>
    </w:p>
    <w:p w:rsidR="005E06A5" w:rsidRPr="00BA3D55" w:rsidRDefault="005E06A5" w:rsidP="00A16FC9">
      <w:pPr>
        <w:spacing w:line="360" w:lineRule="auto"/>
        <w:ind w:firstLine="850"/>
        <w:jc w:val="right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b/>
          <w:shd w:val="clear" w:color="auto" w:fill="FEFEFE"/>
        </w:rPr>
        <w:t xml:space="preserve"> </w:t>
      </w:r>
      <w:r w:rsidRPr="00BA3D55">
        <w:rPr>
          <w:rFonts w:ascii="Verdana" w:hAnsi="Verdana"/>
          <w:shd w:val="clear" w:color="auto" w:fill="FEFEFE"/>
        </w:rPr>
        <w:t>към чл. 8, ал. 1</w:t>
      </w:r>
    </w:p>
    <w:p w:rsidR="005E06A5" w:rsidRPr="00BA3D55" w:rsidRDefault="005E06A5" w:rsidP="00A16FC9">
      <w:pPr>
        <w:spacing w:line="360" w:lineRule="auto"/>
        <w:rPr>
          <w:rFonts w:ascii="Verdana" w:hAnsi="Verdana"/>
          <w:shd w:val="clear" w:color="auto" w:fill="FEFEFE"/>
        </w:rPr>
      </w:pPr>
    </w:p>
    <w:p w:rsidR="005E06A5" w:rsidRPr="00BA3D55" w:rsidRDefault="005E06A5" w:rsidP="00A16FC9">
      <w:pPr>
        <w:spacing w:line="360" w:lineRule="auto"/>
        <w:jc w:val="center"/>
        <w:rPr>
          <w:rFonts w:ascii="Verdana" w:hAnsi="Verdana"/>
          <w:b/>
          <w:shd w:val="clear" w:color="auto" w:fill="FEFEFE"/>
        </w:rPr>
      </w:pPr>
      <w:r w:rsidRPr="00BA3D55">
        <w:rPr>
          <w:rFonts w:ascii="Verdana" w:hAnsi="Verdana"/>
          <w:b/>
          <w:shd w:val="clear" w:color="auto" w:fill="FEFEFE"/>
        </w:rPr>
        <w:t>Максимално допустими количества витамини и минерали в хранителни добавки</w:t>
      </w:r>
      <w:r w:rsidR="00910CC1" w:rsidRPr="00BA3D55">
        <w:rPr>
          <w:rFonts w:ascii="Verdana" w:hAnsi="Verdana"/>
          <w:b/>
          <w:shd w:val="clear" w:color="auto" w:fill="FEFEFE"/>
        </w:rPr>
        <w:t>, предназначени</w:t>
      </w:r>
      <w:r w:rsidRPr="00BA3D55">
        <w:rPr>
          <w:rFonts w:ascii="Verdana" w:hAnsi="Verdana"/>
          <w:b/>
          <w:shd w:val="clear" w:color="auto" w:fill="FEFEFE"/>
        </w:rPr>
        <w:t xml:space="preserve"> за дневен прием</w:t>
      </w:r>
      <w:r w:rsidR="00910CC1" w:rsidRPr="00BA3D55">
        <w:rPr>
          <w:rFonts w:ascii="Verdana" w:hAnsi="Verdana"/>
          <w:b/>
          <w:shd w:val="clear" w:color="auto" w:fill="FEFEFE"/>
        </w:rPr>
        <w:t xml:space="preserve"> за лица над 18 г.</w:t>
      </w:r>
    </w:p>
    <w:p w:rsidR="00925D0F" w:rsidRPr="00BA3D55" w:rsidRDefault="00925D0F" w:rsidP="00A16FC9">
      <w:pPr>
        <w:spacing w:line="360" w:lineRule="auto"/>
        <w:rPr>
          <w:rFonts w:ascii="Verdana" w:hAnsi="Verdana"/>
          <w:shd w:val="clear" w:color="auto" w:fill="FEFEFE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94"/>
        <w:gridCol w:w="2331"/>
        <w:gridCol w:w="2331"/>
      </w:tblGrid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Витамини</w:t>
            </w:r>
            <w:r w:rsidR="003A39CD" w:rsidRPr="00BA3D55">
              <w:rPr>
                <w:rFonts w:ascii="Verdana" w:hAnsi="Verdana" w:cs="Arial"/>
                <w:shd w:val="clear" w:color="auto" w:fill="FEFEFE"/>
              </w:rPr>
              <w:t xml:space="preserve"> и минерали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Мерни</w:t>
            </w:r>
            <w:r w:rsidR="003A39CD" w:rsidRPr="00BA3D55">
              <w:rPr>
                <w:rFonts w:ascii="Verdana" w:hAnsi="Verdana" w:cs="Arial"/>
                <w:shd w:val="clear" w:color="auto" w:fill="FEFEFE"/>
              </w:rPr>
              <w:t xml:space="preserve"> единици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Максимални</w:t>
            </w:r>
            <w:r w:rsidR="003A39CD" w:rsidRPr="00BA3D55">
              <w:rPr>
                <w:rFonts w:ascii="Verdana" w:hAnsi="Verdana" w:cs="Arial"/>
                <w:shd w:val="clear" w:color="auto" w:fill="FEFEFE"/>
              </w:rPr>
              <w:t xml:space="preserve"> количества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Витамин А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µg RE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1</w:t>
            </w:r>
            <w:r w:rsidR="00DC3666" w:rsidRPr="00BA3D55">
              <w:rPr>
                <w:rFonts w:ascii="Verdana" w:hAnsi="Verdana" w:cs="Arial"/>
                <w:shd w:val="clear" w:color="auto" w:fill="FEFEFE"/>
              </w:rPr>
              <w:t>0</w:t>
            </w:r>
            <w:r w:rsidRPr="00BA3D55">
              <w:rPr>
                <w:rFonts w:ascii="Verdana" w:hAnsi="Verdana" w:cs="Arial"/>
                <w:shd w:val="clear" w:color="auto" w:fill="FEFEFE"/>
              </w:rPr>
              <w:t>00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Бета-карот</w:t>
            </w:r>
            <w:r w:rsidR="0009654B" w:rsidRPr="00BA3D55">
              <w:rPr>
                <w:rFonts w:ascii="Verdana" w:hAnsi="Verdana" w:cs="Arial"/>
                <w:shd w:val="clear" w:color="auto" w:fill="FEFEFE"/>
              </w:rPr>
              <w:t>и</w:t>
            </w:r>
            <w:r w:rsidRPr="00BA3D55">
              <w:rPr>
                <w:rFonts w:ascii="Verdana" w:hAnsi="Verdana" w:cs="Arial"/>
                <w:shd w:val="clear" w:color="auto" w:fill="FEFEFE"/>
              </w:rPr>
              <w:t>н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7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Витамин D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µg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DC3666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35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Витамин E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 алфа-ТЕ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DC3666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27</w:t>
            </w:r>
            <w:r w:rsidR="005E06A5" w:rsidRPr="00BA3D55">
              <w:rPr>
                <w:rFonts w:ascii="Verdana" w:hAnsi="Verdana" w:cs="Arial"/>
                <w:shd w:val="clear" w:color="auto" w:fill="FEFEFE"/>
              </w:rPr>
              <w:t>0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Витамин К</w:t>
            </w:r>
            <w:r w:rsidR="00645F12" w:rsidRPr="00BA3D55">
              <w:rPr>
                <w:rFonts w:ascii="Verdana" w:hAnsi="Verdana" w:cs="Arial"/>
                <w:shd w:val="clear" w:color="auto" w:fill="FEFEFE"/>
              </w:rPr>
              <w:t>*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µg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Витамин В</w:t>
            </w:r>
            <w:r w:rsidRPr="00BA3D55">
              <w:rPr>
                <w:rFonts w:ascii="Verdana" w:hAnsi="Verdana" w:cs="Arial"/>
                <w:shd w:val="clear" w:color="auto" w:fill="FEFEFE"/>
                <w:vertAlign w:val="subscript"/>
              </w:rPr>
              <w:t>1</w:t>
            </w:r>
            <w:r w:rsidR="00645F12" w:rsidRPr="00BA3D55">
              <w:rPr>
                <w:rFonts w:ascii="Verdana" w:hAnsi="Verdana" w:cs="Arial"/>
                <w:shd w:val="clear" w:color="auto" w:fill="FEFEFE"/>
              </w:rPr>
              <w:t>*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Витамин В</w:t>
            </w:r>
            <w:r w:rsidRPr="00BA3D55">
              <w:rPr>
                <w:rFonts w:ascii="Verdana" w:hAnsi="Verdana" w:cs="Arial"/>
                <w:shd w:val="clear" w:color="auto" w:fill="FEFEFE"/>
                <w:vertAlign w:val="subscript"/>
              </w:rPr>
              <w:t>2</w:t>
            </w:r>
            <w:r w:rsidRPr="00BA3D55">
              <w:rPr>
                <w:rFonts w:ascii="Verdana" w:hAnsi="Verdana" w:cs="Arial"/>
                <w:shd w:val="clear" w:color="auto" w:fill="FEFEFE"/>
              </w:rPr>
              <w:t xml:space="preserve"> (рибофлавин)</w:t>
            </w:r>
            <w:r w:rsidR="00645F12" w:rsidRPr="00BA3D55">
              <w:rPr>
                <w:rFonts w:ascii="Verdana" w:hAnsi="Verdana" w:cs="Arial"/>
                <w:shd w:val="clear" w:color="auto" w:fill="FEFEFE"/>
              </w:rPr>
              <w:t xml:space="preserve"> *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Ниацин (никотинова</w:t>
            </w:r>
            <w:r w:rsidR="00DC3666" w:rsidRPr="00BA3D55">
              <w:rPr>
                <w:rFonts w:ascii="Verdana" w:hAnsi="Verdana" w:cs="Arial"/>
                <w:shd w:val="clear" w:color="auto" w:fill="FEFEFE"/>
              </w:rPr>
              <w:t xml:space="preserve"> киселина)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DC3666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 NE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DC3666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10</w:t>
            </w:r>
            <w:r w:rsidR="005E06A5" w:rsidRPr="00BA3D55">
              <w:rPr>
                <w:rFonts w:ascii="Verdana" w:hAnsi="Verdana" w:cs="Arial"/>
                <w:shd w:val="clear" w:color="auto" w:fill="FEFEFE"/>
              </w:rPr>
              <w:t> 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Ниацин (никотинамид)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 NE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DC3666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82</w:t>
            </w:r>
            <w:r w:rsidR="005E06A5" w:rsidRPr="00BA3D55">
              <w:rPr>
                <w:rFonts w:ascii="Verdana" w:hAnsi="Verdana" w:cs="Arial"/>
                <w:shd w:val="clear" w:color="auto" w:fill="FEFEFE"/>
              </w:rPr>
              <w:t>0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Пантотенова киселина</w:t>
            </w:r>
            <w:r w:rsidR="00645F12" w:rsidRPr="00BA3D55">
              <w:rPr>
                <w:rFonts w:ascii="Verdana" w:hAnsi="Verdana" w:cs="Arial"/>
                <w:shd w:val="clear" w:color="auto" w:fill="FEFEFE"/>
              </w:rPr>
              <w:t>*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Витамин В</w:t>
            </w:r>
            <w:r w:rsidRPr="00BA3D55">
              <w:rPr>
                <w:rFonts w:ascii="Verdana" w:hAnsi="Verdana" w:cs="Arial"/>
                <w:shd w:val="clear" w:color="auto" w:fill="FEFEFE"/>
                <w:vertAlign w:val="subscript"/>
              </w:rPr>
              <w:t>6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1</w:t>
            </w:r>
            <w:r w:rsidR="00A56AB8" w:rsidRPr="00BA3D55">
              <w:rPr>
                <w:rFonts w:ascii="Verdana" w:hAnsi="Verdana" w:cs="Arial"/>
                <w:shd w:val="clear" w:color="auto" w:fill="FEFEFE"/>
              </w:rPr>
              <w:t>8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Фолиева киселина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µg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A56AB8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6</w:t>
            </w:r>
            <w:r w:rsidR="005E06A5" w:rsidRPr="00BA3D55">
              <w:rPr>
                <w:rFonts w:ascii="Verdana" w:hAnsi="Verdana" w:cs="Arial"/>
                <w:shd w:val="clear" w:color="auto" w:fill="FEFEFE"/>
              </w:rPr>
              <w:t>00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Витамин В</w:t>
            </w:r>
            <w:r w:rsidRPr="00BA3D55">
              <w:rPr>
                <w:rFonts w:ascii="Verdana" w:hAnsi="Verdana" w:cs="Arial"/>
                <w:shd w:val="clear" w:color="auto" w:fill="FEFEFE"/>
                <w:vertAlign w:val="subscript"/>
              </w:rPr>
              <w:t>12</w:t>
            </w:r>
            <w:r w:rsidR="00645F12" w:rsidRPr="00BA3D55">
              <w:rPr>
                <w:rFonts w:ascii="Verdana" w:hAnsi="Verdana" w:cs="Arial"/>
                <w:shd w:val="clear" w:color="auto" w:fill="FEFEFE"/>
              </w:rPr>
              <w:t>*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µg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Биотин</w:t>
            </w:r>
            <w:r w:rsidR="00645F12" w:rsidRPr="00BA3D55">
              <w:rPr>
                <w:rFonts w:ascii="Verdana" w:hAnsi="Verdana" w:cs="Arial"/>
                <w:shd w:val="clear" w:color="auto" w:fill="FEFEFE"/>
              </w:rPr>
              <w:t>*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µg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Витамин С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A56AB8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17</w:t>
            </w:r>
            <w:r w:rsidR="005E06A5" w:rsidRPr="00BA3D55">
              <w:rPr>
                <w:rFonts w:ascii="Verdana" w:hAnsi="Verdana" w:cs="Arial"/>
                <w:shd w:val="clear" w:color="auto" w:fill="FEFEFE"/>
              </w:rPr>
              <w:t>00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Калций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1500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Магнезий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250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Желязо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15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Мед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 xml:space="preserve">mg 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1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Йод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µg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200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Цинк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15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Манган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B73828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2</w:t>
            </w:r>
          </w:p>
        </w:tc>
      </w:tr>
      <w:tr w:rsidR="00900AC6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900AC6" w:rsidRPr="00BA3D55" w:rsidRDefault="00900AC6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Калий</w:t>
            </w:r>
            <w:r w:rsidR="00645F12" w:rsidRPr="00BA3D55">
              <w:rPr>
                <w:rFonts w:ascii="Verdana" w:hAnsi="Verdana" w:cs="Arial"/>
                <w:shd w:val="clear" w:color="auto" w:fill="FEFEFE"/>
              </w:rPr>
              <w:t>*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900AC6" w:rsidRPr="00BA3D55" w:rsidRDefault="00900AC6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900AC6" w:rsidRPr="00BA3D55" w:rsidDel="00B73828" w:rsidRDefault="00900AC6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Селен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µg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B73828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2</w:t>
            </w:r>
            <w:r w:rsidR="005E06A5" w:rsidRPr="00BA3D55">
              <w:rPr>
                <w:rFonts w:ascii="Verdana" w:hAnsi="Verdana" w:cs="Arial"/>
                <w:shd w:val="clear" w:color="auto" w:fill="FEFEFE"/>
              </w:rPr>
              <w:t>00</w:t>
            </w: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Хром (тривалентен)</w:t>
            </w:r>
            <w:r w:rsidR="00645F12" w:rsidRPr="00BA3D55">
              <w:rPr>
                <w:rFonts w:ascii="Verdana" w:hAnsi="Verdana" w:cs="Arial"/>
                <w:shd w:val="clear" w:color="auto" w:fill="FEFEFE"/>
              </w:rPr>
              <w:t xml:space="preserve"> *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µg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</w:p>
        </w:tc>
      </w:tr>
      <w:tr w:rsidR="005E06A5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Молибден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µg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5E06A5" w:rsidRPr="00BA3D55" w:rsidRDefault="00B73828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35</w:t>
            </w:r>
            <w:r w:rsidR="005E06A5" w:rsidRPr="00BA3D55">
              <w:rPr>
                <w:rFonts w:ascii="Verdana" w:hAnsi="Verdana" w:cs="Arial"/>
                <w:shd w:val="clear" w:color="auto" w:fill="FEFEFE"/>
              </w:rPr>
              <w:t>0</w:t>
            </w:r>
          </w:p>
        </w:tc>
      </w:tr>
      <w:tr w:rsidR="00900AC6" w:rsidRPr="00BA3D55" w:rsidTr="003A39CD">
        <w:trPr>
          <w:jc w:val="center"/>
        </w:trPr>
        <w:tc>
          <w:tcPr>
            <w:tcW w:w="4170" w:type="dxa"/>
            <w:shd w:val="clear" w:color="auto" w:fill="FEFEFE"/>
            <w:vAlign w:val="center"/>
          </w:tcPr>
          <w:p w:rsidR="00900AC6" w:rsidRPr="00BA3D55" w:rsidRDefault="00900AC6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Флуорид</w:t>
            </w:r>
            <w:r w:rsidR="00645F12" w:rsidRPr="00BA3D55">
              <w:rPr>
                <w:rFonts w:ascii="Verdana" w:hAnsi="Verdana" w:cs="Arial"/>
                <w:shd w:val="clear" w:color="auto" w:fill="FEFEFE"/>
              </w:rPr>
              <w:t>*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900AC6" w:rsidRPr="00BA3D55" w:rsidRDefault="00900AC6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  <w:shd w:val="clear" w:color="auto" w:fill="FEFEFE"/>
            <w:vAlign w:val="center"/>
          </w:tcPr>
          <w:p w:rsidR="00900AC6" w:rsidRPr="00BA3D55" w:rsidDel="00B73828" w:rsidRDefault="00900AC6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</w:p>
        </w:tc>
      </w:tr>
      <w:tr w:rsidR="005E06A5" w:rsidRPr="00BA3D55" w:rsidTr="003A39C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170" w:type="dxa"/>
            <w:vAlign w:val="center"/>
          </w:tcPr>
          <w:p w:rsidR="005E06A5" w:rsidRPr="00BA3D55" w:rsidRDefault="005E06A5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Фосфор</w:t>
            </w:r>
          </w:p>
        </w:tc>
        <w:tc>
          <w:tcPr>
            <w:tcW w:w="2070" w:type="dxa"/>
          </w:tcPr>
          <w:p w:rsidR="005E06A5" w:rsidRPr="00BA3D55" w:rsidRDefault="005E06A5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</w:tcPr>
          <w:p w:rsidR="005E06A5" w:rsidRPr="00BA3D55" w:rsidRDefault="00B73828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1</w:t>
            </w:r>
            <w:r w:rsidR="005E06A5" w:rsidRPr="00BA3D55">
              <w:rPr>
                <w:rFonts w:ascii="Verdana" w:hAnsi="Verdana" w:cs="Arial"/>
                <w:shd w:val="clear" w:color="auto" w:fill="FEFEFE"/>
              </w:rPr>
              <w:t>250</w:t>
            </w:r>
          </w:p>
        </w:tc>
      </w:tr>
      <w:tr w:rsidR="00900AC6" w:rsidRPr="00BA3D55" w:rsidTr="003A39C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170" w:type="dxa"/>
            <w:vAlign w:val="center"/>
          </w:tcPr>
          <w:p w:rsidR="00900AC6" w:rsidRPr="00BA3D55" w:rsidRDefault="00900AC6" w:rsidP="00A16FC9">
            <w:pPr>
              <w:spacing w:line="360" w:lineRule="auto"/>
              <w:ind w:left="113" w:right="1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Бор</w:t>
            </w:r>
          </w:p>
        </w:tc>
        <w:tc>
          <w:tcPr>
            <w:tcW w:w="2070" w:type="dxa"/>
          </w:tcPr>
          <w:p w:rsidR="00900AC6" w:rsidRPr="00BA3D55" w:rsidRDefault="00900AC6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mg</w:t>
            </w:r>
          </w:p>
        </w:tc>
        <w:tc>
          <w:tcPr>
            <w:tcW w:w="2070" w:type="dxa"/>
          </w:tcPr>
          <w:p w:rsidR="00900AC6" w:rsidRPr="00BA3D55" w:rsidRDefault="00900AC6" w:rsidP="00A16FC9">
            <w:pPr>
              <w:spacing w:line="360" w:lineRule="auto"/>
              <w:ind w:left="1" w:right="1"/>
              <w:jc w:val="center"/>
              <w:rPr>
                <w:rFonts w:ascii="Verdana" w:hAnsi="Verdana" w:cs="Arial"/>
                <w:shd w:val="clear" w:color="auto" w:fill="FEFEFE"/>
              </w:rPr>
            </w:pPr>
            <w:r w:rsidRPr="00BA3D55">
              <w:rPr>
                <w:rFonts w:ascii="Verdana" w:hAnsi="Verdana" w:cs="Arial"/>
                <w:shd w:val="clear" w:color="auto" w:fill="FEFEFE"/>
              </w:rPr>
              <w:t>3,6</w:t>
            </w:r>
          </w:p>
        </w:tc>
      </w:tr>
    </w:tbl>
    <w:p w:rsidR="003A39CD" w:rsidRDefault="003A39CD" w:rsidP="00A16FC9">
      <w:pPr>
        <w:spacing w:line="360" w:lineRule="auto"/>
        <w:ind w:left="57"/>
        <w:jc w:val="both"/>
        <w:rPr>
          <w:rFonts w:ascii="Verdana" w:hAnsi="Verdana"/>
          <w:sz w:val="16"/>
          <w:szCs w:val="16"/>
          <w:highlight w:val="white"/>
          <w:shd w:val="clear" w:color="auto" w:fill="FEFEFE"/>
        </w:rPr>
      </w:pPr>
    </w:p>
    <w:p w:rsidR="00BA3D55" w:rsidRPr="00BA3D55" w:rsidRDefault="00645F12" w:rsidP="00A16FC9">
      <w:pPr>
        <w:spacing w:line="360" w:lineRule="auto"/>
        <w:ind w:left="57"/>
        <w:jc w:val="both"/>
        <w:rPr>
          <w:rFonts w:ascii="Verdana" w:hAnsi="Verdana"/>
          <w:shd w:val="clear" w:color="auto" w:fill="FEFEFE"/>
        </w:rPr>
      </w:pPr>
      <w:r w:rsidRPr="00BA3D55">
        <w:rPr>
          <w:rFonts w:ascii="Verdana" w:hAnsi="Verdana"/>
          <w:sz w:val="16"/>
          <w:szCs w:val="16"/>
          <w:highlight w:val="white"/>
          <w:shd w:val="clear" w:color="auto" w:fill="FEFEFE"/>
        </w:rPr>
        <w:t>(</w:t>
      </w:r>
      <w:r w:rsidRPr="00BA3D55">
        <w:rPr>
          <w:rFonts w:ascii="Verdana" w:hAnsi="Verdana"/>
          <w:sz w:val="16"/>
          <w:szCs w:val="16"/>
          <w:highlight w:val="white"/>
          <w:shd w:val="clear" w:color="auto" w:fill="FEFEFE"/>
          <w:vertAlign w:val="superscript"/>
        </w:rPr>
        <w:t>*</w:t>
      </w:r>
      <w:r w:rsidRPr="00BA3D55">
        <w:rPr>
          <w:rFonts w:ascii="Verdana" w:hAnsi="Verdana"/>
          <w:sz w:val="16"/>
          <w:szCs w:val="16"/>
          <w:highlight w:val="white"/>
          <w:shd w:val="clear" w:color="auto" w:fill="FEFEFE"/>
        </w:rPr>
        <w:t>) Максималните количества се определят съгласно чл. 8, ал. 4.</w:t>
      </w:r>
    </w:p>
    <w:sectPr w:rsidR="00BA3D55" w:rsidRPr="00BA3D55" w:rsidSect="0061457E">
      <w:footerReference w:type="default" r:id="rId11"/>
      <w:footnotePr>
        <w:numRestart w:val="eachSect"/>
      </w:footnotePr>
      <w:pgSz w:w="11907" w:h="16840" w:code="9"/>
      <w:pgMar w:top="1134" w:right="1134" w:bottom="567" w:left="170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98" w:rsidRDefault="00890198" w:rsidP="00B819E2">
      <w:r>
        <w:separator/>
      </w:r>
    </w:p>
  </w:endnote>
  <w:endnote w:type="continuationSeparator" w:id="0">
    <w:p w:rsidR="00890198" w:rsidRDefault="00890198" w:rsidP="00B8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77959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</w:rPr>
    </w:sdtEndPr>
    <w:sdtContent>
      <w:p w:rsidR="008A58B5" w:rsidRPr="00F35A3B" w:rsidRDefault="008A58B5">
        <w:pPr>
          <w:pStyle w:val="Footer"/>
          <w:jc w:val="right"/>
          <w:rPr>
            <w:rFonts w:ascii="Verdana" w:hAnsi="Verdana"/>
            <w:sz w:val="16"/>
          </w:rPr>
        </w:pPr>
        <w:r w:rsidRPr="00F35A3B">
          <w:rPr>
            <w:rFonts w:ascii="Verdana" w:hAnsi="Verdana"/>
            <w:sz w:val="16"/>
          </w:rPr>
          <w:fldChar w:fldCharType="begin"/>
        </w:r>
        <w:r w:rsidRPr="00F35A3B">
          <w:rPr>
            <w:rFonts w:ascii="Verdana" w:hAnsi="Verdana"/>
            <w:sz w:val="16"/>
          </w:rPr>
          <w:instrText xml:space="preserve"> PAGE   \* MERGEFORMAT </w:instrText>
        </w:r>
        <w:r w:rsidRPr="00F35A3B">
          <w:rPr>
            <w:rFonts w:ascii="Verdana" w:hAnsi="Verdana"/>
            <w:sz w:val="16"/>
          </w:rPr>
          <w:fldChar w:fldCharType="separate"/>
        </w:r>
        <w:r w:rsidR="00992191">
          <w:rPr>
            <w:rFonts w:ascii="Verdana" w:hAnsi="Verdana"/>
            <w:noProof/>
            <w:sz w:val="16"/>
          </w:rPr>
          <w:t>8</w:t>
        </w:r>
        <w:r w:rsidRPr="00F35A3B">
          <w:rPr>
            <w:rFonts w:ascii="Verdana" w:hAnsi="Verdana"/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4604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8A58B5" w:rsidRPr="0061457E" w:rsidRDefault="008A58B5" w:rsidP="0061457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61457E">
          <w:rPr>
            <w:rFonts w:ascii="Verdana" w:hAnsi="Verdana"/>
            <w:sz w:val="16"/>
            <w:szCs w:val="16"/>
          </w:rPr>
          <w:fldChar w:fldCharType="begin"/>
        </w:r>
        <w:r w:rsidRPr="0061457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1457E">
          <w:rPr>
            <w:rFonts w:ascii="Verdana" w:hAnsi="Verdana"/>
            <w:sz w:val="16"/>
            <w:szCs w:val="16"/>
          </w:rPr>
          <w:fldChar w:fldCharType="separate"/>
        </w:r>
        <w:r w:rsidR="00992191">
          <w:rPr>
            <w:rFonts w:ascii="Verdana" w:hAnsi="Verdana"/>
            <w:noProof/>
            <w:sz w:val="16"/>
            <w:szCs w:val="16"/>
          </w:rPr>
          <w:t>14</w:t>
        </w:r>
        <w:r w:rsidRPr="0061457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41221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</w:rPr>
    </w:sdtEndPr>
    <w:sdtContent>
      <w:p w:rsidR="008A58B5" w:rsidRPr="00F35A3B" w:rsidRDefault="008A58B5">
        <w:pPr>
          <w:pStyle w:val="Footer"/>
          <w:jc w:val="right"/>
          <w:rPr>
            <w:rFonts w:ascii="Verdana" w:hAnsi="Verdana"/>
            <w:sz w:val="16"/>
          </w:rPr>
        </w:pPr>
        <w:r w:rsidRPr="00F35A3B">
          <w:rPr>
            <w:rFonts w:ascii="Verdana" w:hAnsi="Verdana"/>
            <w:sz w:val="16"/>
          </w:rPr>
          <w:fldChar w:fldCharType="begin"/>
        </w:r>
        <w:r w:rsidRPr="00F35A3B">
          <w:rPr>
            <w:rFonts w:ascii="Verdana" w:hAnsi="Verdana"/>
            <w:sz w:val="16"/>
          </w:rPr>
          <w:instrText xml:space="preserve"> PAGE   \* MERGEFORMAT </w:instrText>
        </w:r>
        <w:r w:rsidRPr="00F35A3B">
          <w:rPr>
            <w:rFonts w:ascii="Verdana" w:hAnsi="Verdana"/>
            <w:sz w:val="16"/>
          </w:rPr>
          <w:fldChar w:fldCharType="separate"/>
        </w:r>
        <w:r w:rsidR="00992191">
          <w:rPr>
            <w:rFonts w:ascii="Verdana" w:hAnsi="Verdana"/>
            <w:noProof/>
            <w:sz w:val="16"/>
          </w:rPr>
          <w:t>15</w:t>
        </w:r>
        <w:r w:rsidRPr="00F35A3B">
          <w:rPr>
            <w:rFonts w:ascii="Verdana" w:hAnsi="Verdana"/>
            <w:noProof/>
            <w:sz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B5" w:rsidRPr="009138F9" w:rsidRDefault="008A58B5" w:rsidP="009138F9">
    <w:pPr>
      <w:pStyle w:val="Footer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98" w:rsidRDefault="00890198" w:rsidP="00B819E2">
      <w:r>
        <w:separator/>
      </w:r>
    </w:p>
  </w:footnote>
  <w:footnote w:type="continuationSeparator" w:id="0">
    <w:p w:rsidR="00890198" w:rsidRDefault="00890198" w:rsidP="00B819E2">
      <w:r>
        <w:continuationSeparator/>
      </w:r>
    </w:p>
  </w:footnote>
  <w:footnote w:id="1">
    <w:p w:rsidR="008A58B5" w:rsidRDefault="008A58B5" w:rsidP="009B09A9">
      <w:pPr>
        <w:pStyle w:val="FootnoteText"/>
        <w:ind w:left="113" w:hanging="113"/>
      </w:pPr>
      <w:r>
        <w:rPr>
          <w:rStyle w:val="FootnoteReference"/>
        </w:rPr>
        <w:footnoteRef/>
      </w:r>
      <w:r>
        <w:t xml:space="preserve"> </w:t>
      </w:r>
      <w:r w:rsidRPr="00800849"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Използваният термин фолиева киселина </w:t>
      </w: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е съгласно </w:t>
      </w:r>
      <w:r w:rsidRPr="005E673A">
        <w:rPr>
          <w:rFonts w:ascii="Verdana" w:hAnsi="Verdana"/>
          <w:sz w:val="16"/>
          <w:szCs w:val="16"/>
          <w:shd w:val="clear" w:color="auto" w:fill="FEFEFE"/>
        </w:rPr>
        <w:t>приложение XIII, част А, т.</w:t>
      </w:r>
      <w:r>
        <w:rPr>
          <w:rFonts w:ascii="Verdana" w:hAnsi="Verdana"/>
          <w:sz w:val="16"/>
          <w:szCs w:val="16"/>
          <w:shd w:val="clear" w:color="auto" w:fill="FEFEFE"/>
        </w:rPr>
        <w:t xml:space="preserve"> </w:t>
      </w:r>
      <w:r w:rsidRPr="005E673A">
        <w:rPr>
          <w:rFonts w:ascii="Verdana" w:hAnsi="Verdana"/>
          <w:sz w:val="16"/>
          <w:szCs w:val="16"/>
          <w:shd w:val="clear" w:color="auto" w:fill="FEFEFE"/>
        </w:rPr>
        <w:t xml:space="preserve">1 от Регламент (ЕС) </w:t>
      </w:r>
      <w:r>
        <w:rPr>
          <w:rFonts w:ascii="Verdana" w:hAnsi="Verdana"/>
          <w:sz w:val="16"/>
          <w:szCs w:val="16"/>
          <w:shd w:val="clear" w:color="auto" w:fill="FEFEFE"/>
        </w:rPr>
        <w:br/>
      </w:r>
      <w:r w:rsidRPr="005E673A">
        <w:rPr>
          <w:rFonts w:ascii="Verdana" w:hAnsi="Verdana"/>
          <w:sz w:val="16"/>
          <w:szCs w:val="16"/>
          <w:shd w:val="clear" w:color="auto" w:fill="FEFEFE"/>
        </w:rPr>
        <w:t xml:space="preserve">№ 1169/2011 </w:t>
      </w:r>
      <w:r>
        <w:rPr>
          <w:rFonts w:ascii="Verdana" w:hAnsi="Verdana"/>
          <w:sz w:val="16"/>
          <w:szCs w:val="16"/>
          <w:shd w:val="clear" w:color="auto" w:fill="FEFEFE"/>
        </w:rPr>
        <w:t xml:space="preserve">и </w:t>
      </w:r>
      <w:r w:rsidRPr="00800849">
        <w:rPr>
          <w:rFonts w:ascii="Verdana" w:hAnsi="Verdana"/>
          <w:sz w:val="16"/>
          <w:szCs w:val="16"/>
          <w:highlight w:val="white"/>
          <w:shd w:val="clear" w:color="auto" w:fill="FEFEFE"/>
        </w:rPr>
        <w:t>обхваща всички форми на фолати.</w:t>
      </w:r>
    </w:p>
  </w:footnote>
  <w:footnote w:id="2">
    <w:p w:rsidR="008A58B5" w:rsidRPr="005F6FE8" w:rsidRDefault="008A58B5" w:rsidP="005F6FE8">
      <w:pPr>
        <w:rPr>
          <w:rFonts w:ascii="Verdana" w:hAnsi="Verdana"/>
          <w:sz w:val="16"/>
          <w:szCs w:val="16"/>
          <w:highlight w:val="white"/>
          <w:shd w:val="clear" w:color="auto" w:fill="FEFEFE"/>
        </w:rPr>
      </w:pPr>
      <w:r>
        <w:rPr>
          <w:rStyle w:val="FootnoteReference"/>
        </w:rPr>
        <w:footnoteRef/>
      </w:r>
      <w:r>
        <w:t xml:space="preserve">  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>Алфа-токоферол</w:t>
      </w: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>&lt;20 %, бета-токоферол &lt;10 %, гама-токоферол 50-70</w:t>
      </w: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>% и делта-токоферол 10-30 %.</w:t>
      </w:r>
    </w:p>
  </w:footnote>
  <w:footnote w:id="3">
    <w:p w:rsidR="008A58B5" w:rsidRPr="00D52082" w:rsidRDefault="008A58B5" w:rsidP="005F6FE8">
      <w:pPr>
        <w:jc w:val="both"/>
        <w:rPr>
          <w:rFonts w:ascii="Verdana" w:hAnsi="Verdana"/>
          <w:sz w:val="16"/>
          <w:szCs w:val="16"/>
          <w:highlight w:val="white"/>
          <w:shd w:val="clear" w:color="auto" w:fill="FEFEFE"/>
        </w:rPr>
      </w:pPr>
      <w:r>
        <w:rPr>
          <w:rStyle w:val="FootnoteReference"/>
        </w:rPr>
        <w:footnoteRef/>
      </w:r>
      <w:r>
        <w:t xml:space="preserve">  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Обичайни нива на отделни количества токофероли и токотриеноли: </w:t>
      </w:r>
    </w:p>
    <w:p w:rsidR="008A58B5" w:rsidRPr="00D52082" w:rsidRDefault="008A58B5" w:rsidP="005F6FE8">
      <w:pPr>
        <w:ind w:left="170"/>
        <w:jc w:val="both"/>
        <w:rPr>
          <w:rFonts w:ascii="Verdana" w:hAnsi="Verdana"/>
          <w:sz w:val="16"/>
          <w:szCs w:val="16"/>
          <w:highlight w:val="white"/>
          <w:shd w:val="clear" w:color="auto" w:fill="FEFEFE"/>
        </w:rPr>
      </w:pP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>–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115 mg/g алфа-токоферол (101 mg/g минимум) </w:t>
      </w:r>
    </w:p>
    <w:p w:rsidR="008A58B5" w:rsidRPr="00D52082" w:rsidRDefault="008A58B5" w:rsidP="005F6FE8">
      <w:pPr>
        <w:ind w:left="170"/>
        <w:jc w:val="both"/>
        <w:rPr>
          <w:rFonts w:ascii="Verdana" w:hAnsi="Verdana"/>
          <w:sz w:val="16"/>
          <w:szCs w:val="16"/>
          <w:highlight w:val="white"/>
          <w:shd w:val="clear" w:color="auto" w:fill="FEFEFE"/>
        </w:rPr>
      </w:pP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>–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5 mg/g бета-токоферол (&lt;1 mg/g минимум) </w:t>
      </w:r>
    </w:p>
    <w:p w:rsidR="008A58B5" w:rsidRPr="00D52082" w:rsidRDefault="008A58B5" w:rsidP="005F6FE8">
      <w:pPr>
        <w:ind w:left="170"/>
        <w:jc w:val="both"/>
        <w:rPr>
          <w:rFonts w:ascii="Verdana" w:hAnsi="Verdana"/>
          <w:sz w:val="16"/>
          <w:szCs w:val="16"/>
          <w:highlight w:val="white"/>
          <w:shd w:val="clear" w:color="auto" w:fill="FEFEFE"/>
        </w:rPr>
      </w:pP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>–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45 mg/g гама-токоферол (25 mg/g минимум) </w:t>
      </w:r>
    </w:p>
    <w:p w:rsidR="008A58B5" w:rsidRPr="00D52082" w:rsidRDefault="008A58B5" w:rsidP="005F6FE8">
      <w:pPr>
        <w:ind w:left="170"/>
        <w:jc w:val="both"/>
        <w:rPr>
          <w:rFonts w:ascii="Verdana" w:hAnsi="Verdana"/>
          <w:sz w:val="16"/>
          <w:szCs w:val="16"/>
          <w:highlight w:val="white"/>
          <w:shd w:val="clear" w:color="auto" w:fill="FEFEFE"/>
        </w:rPr>
      </w:pP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>–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12 mg/g делта-токоферол (3 mg/g минимум) </w:t>
      </w:r>
    </w:p>
    <w:p w:rsidR="008A58B5" w:rsidRPr="00D52082" w:rsidRDefault="008A58B5" w:rsidP="005F6FE8">
      <w:pPr>
        <w:ind w:left="170"/>
        <w:jc w:val="both"/>
        <w:rPr>
          <w:rFonts w:ascii="Verdana" w:hAnsi="Verdana"/>
          <w:sz w:val="16"/>
          <w:szCs w:val="16"/>
          <w:highlight w:val="white"/>
          <w:shd w:val="clear" w:color="auto" w:fill="FEFEFE"/>
        </w:rPr>
      </w:pP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>–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67 mg/g алфа-токотриенол (30 mg/g минимум) </w:t>
      </w:r>
    </w:p>
    <w:p w:rsidR="008A58B5" w:rsidRPr="00D52082" w:rsidRDefault="008A58B5" w:rsidP="005F6FE8">
      <w:pPr>
        <w:ind w:left="170"/>
        <w:jc w:val="both"/>
        <w:rPr>
          <w:rFonts w:ascii="Verdana" w:hAnsi="Verdana"/>
          <w:sz w:val="16"/>
          <w:szCs w:val="16"/>
          <w:highlight w:val="white"/>
          <w:shd w:val="clear" w:color="auto" w:fill="FEFEFE"/>
        </w:rPr>
      </w:pP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>–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&lt;1 mg/g бета-токотриенол (&lt;1 mg/g минимум) </w:t>
      </w:r>
    </w:p>
    <w:p w:rsidR="008A58B5" w:rsidRPr="00D52082" w:rsidRDefault="008A58B5" w:rsidP="005F6FE8">
      <w:pPr>
        <w:ind w:left="170"/>
        <w:jc w:val="both"/>
        <w:rPr>
          <w:rFonts w:ascii="Verdana" w:hAnsi="Verdana"/>
          <w:sz w:val="16"/>
          <w:szCs w:val="16"/>
          <w:highlight w:val="white"/>
          <w:shd w:val="clear" w:color="auto" w:fill="FEFEFE"/>
        </w:rPr>
      </w:pP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>–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82 mg/g гама-токотриенол (45 mg/g минимум) </w:t>
      </w:r>
    </w:p>
    <w:p w:rsidR="008A58B5" w:rsidRPr="00F66B40" w:rsidRDefault="008A58B5" w:rsidP="00F66B40">
      <w:pPr>
        <w:ind w:left="170"/>
        <w:jc w:val="both"/>
        <w:rPr>
          <w:rFonts w:ascii="Verdana" w:hAnsi="Verdana"/>
          <w:sz w:val="16"/>
          <w:szCs w:val="16"/>
          <w:highlight w:val="white"/>
          <w:shd w:val="clear" w:color="auto" w:fill="FEFEFE"/>
        </w:rPr>
      </w:pP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>–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5 mg/g делта-</w:t>
      </w: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токотриенол (&lt;1 mg/g минимум). </w:t>
      </w:r>
    </w:p>
  </w:footnote>
  <w:footnote w:id="4">
    <w:p w:rsidR="008A58B5" w:rsidRDefault="008A58B5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>Обикновено менахинонът се среща под формата на менахинон-7 и по-рядко - на менахинон-6.</w:t>
      </w:r>
    </w:p>
  </w:footnote>
  <w:footnote w:id="5">
    <w:p w:rsidR="008A58B5" w:rsidRDefault="008A58B5" w:rsidP="007B2D0E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>Може да съдържа максимум 2 % съдържание на треонат.</w:t>
      </w:r>
    </w:p>
  </w:footnote>
  <w:footnote w:id="6">
    <w:p w:rsidR="008A58B5" w:rsidRDefault="008A58B5" w:rsidP="007B2D0E">
      <w:pPr>
        <w:pStyle w:val="FootnoteText"/>
        <w:ind w:left="170" w:hanging="170"/>
      </w:pPr>
      <w:r>
        <w:rPr>
          <w:rStyle w:val="FootnoteReference"/>
        </w:rPr>
        <w:footnoteRef/>
      </w:r>
      <w:r>
        <w:t xml:space="preserve">  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Обогатените със селен дрожди са получени чрез отглеждане в присъствието на натриев селенит като източник на селен и </w:t>
      </w: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съдържащи 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>в предлаганата на пазара изсушена форма не повече от 2,5 mg Se/g. Преобладаващият в дрождите органичен селениев вид е селенометионинът (между 60 и 85 % от общото количество екстрахиран селен в продукта). Съдържанието на други органични селенови съединения, включително селеноцистеин, не трябва да надвишава 10 % от общото количество екстрахиран селен. По принцип равнището на неорганичен селен не трябва да надвишава 1 % от общото количество екстрахиран селен.</w:t>
      </w:r>
    </w:p>
  </w:footnote>
  <w:footnote w:id="7">
    <w:p w:rsidR="008A58B5" w:rsidRDefault="008A58B5" w:rsidP="003473DD">
      <w:pPr>
        <w:pStyle w:val="FootnoteText"/>
        <w:ind w:left="170" w:hanging="170"/>
      </w:pPr>
      <w:r>
        <w:rPr>
          <w:rStyle w:val="FootnoteReference"/>
        </w:rPr>
        <w:footnoteRef/>
      </w:r>
      <w:r>
        <w:t xml:space="preserve">  </w:t>
      </w: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Обогатени с хром дрожди, </w:t>
      </w:r>
      <w:r w:rsidRPr="00077FC2">
        <w:rPr>
          <w:rFonts w:ascii="Verdana" w:hAnsi="Verdana"/>
          <w:sz w:val="16"/>
          <w:szCs w:val="16"/>
          <w:highlight w:val="white"/>
          <w:shd w:val="clear" w:color="auto" w:fill="FEFEFE"/>
        </w:rPr>
        <w:t>получени чрез отглеждане на Saccharomyces cerevisiae в присъствието на хромен</w:t>
      </w: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</w:t>
      </w:r>
      <w:r w:rsidRPr="00077FC2">
        <w:rPr>
          <w:rFonts w:ascii="Verdana" w:hAnsi="Verdana"/>
          <w:sz w:val="16"/>
          <w:szCs w:val="16"/>
          <w:highlight w:val="white"/>
          <w:shd w:val="clear" w:color="auto" w:fill="FEFEFE"/>
        </w:rPr>
        <w:t>(III) хлорид като източник на хром и съдържащи в предлаганата на пазара изсушена форма, 230 – 300 mg хром/kg. Съдържанието на хром</w:t>
      </w: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 xml:space="preserve"> </w:t>
      </w:r>
      <w:r w:rsidRPr="00077FC2">
        <w:rPr>
          <w:rFonts w:ascii="Verdana" w:hAnsi="Verdana"/>
          <w:sz w:val="16"/>
          <w:szCs w:val="16"/>
          <w:highlight w:val="white"/>
          <w:shd w:val="clear" w:color="auto" w:fill="FEFEFE"/>
        </w:rPr>
        <w:t>(VI) не трябва да надвишава 0,2 % от общото съдържание на хром</w:t>
      </w:r>
      <w:r>
        <w:rPr>
          <w:rFonts w:ascii="Verdana" w:hAnsi="Verdana"/>
          <w:sz w:val="16"/>
          <w:szCs w:val="16"/>
          <w:highlight w:val="white"/>
          <w:shd w:val="clear" w:color="auto" w:fill="FEFEFE"/>
        </w:rPr>
        <w:t>.</w:t>
      </w:r>
    </w:p>
  </w:footnote>
  <w:footnote w:id="8">
    <w:p w:rsidR="008A58B5" w:rsidRDefault="008A58B5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D52082">
        <w:rPr>
          <w:rFonts w:ascii="Verdana" w:hAnsi="Verdana"/>
          <w:sz w:val="16"/>
          <w:szCs w:val="16"/>
          <w:highlight w:val="white"/>
          <w:shd w:val="clear" w:color="auto" w:fill="FEFEFE"/>
        </w:rPr>
        <w:t>Под формата на гел.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8199F"/>
    <w:multiLevelType w:val="hybridMultilevel"/>
    <w:tmpl w:val="A14AFED2"/>
    <w:lvl w:ilvl="0" w:tplc="94F035CE">
      <w:start w:val="1"/>
      <w:numFmt w:val="decimal"/>
      <w:lvlText w:val="(%1)"/>
      <w:lvlJc w:val="left"/>
      <w:pPr>
        <w:ind w:left="1990" w:hanging="114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26"/>
    <w:rsid w:val="00000991"/>
    <w:rsid w:val="00004895"/>
    <w:rsid w:val="0000523F"/>
    <w:rsid w:val="000058F3"/>
    <w:rsid w:val="00011660"/>
    <w:rsid w:val="00011B73"/>
    <w:rsid w:val="00012D16"/>
    <w:rsid w:val="00017D55"/>
    <w:rsid w:val="000336FB"/>
    <w:rsid w:val="00036866"/>
    <w:rsid w:val="0004218A"/>
    <w:rsid w:val="00052C83"/>
    <w:rsid w:val="000531D5"/>
    <w:rsid w:val="0005488D"/>
    <w:rsid w:val="000555D3"/>
    <w:rsid w:val="0005626B"/>
    <w:rsid w:val="00071D22"/>
    <w:rsid w:val="00073261"/>
    <w:rsid w:val="00075AAE"/>
    <w:rsid w:val="000764BA"/>
    <w:rsid w:val="00077FC2"/>
    <w:rsid w:val="00081062"/>
    <w:rsid w:val="00084F1F"/>
    <w:rsid w:val="000866A2"/>
    <w:rsid w:val="0009654B"/>
    <w:rsid w:val="000A02DA"/>
    <w:rsid w:val="000A1AC4"/>
    <w:rsid w:val="000A6520"/>
    <w:rsid w:val="000B16ED"/>
    <w:rsid w:val="000C5139"/>
    <w:rsid w:val="000C53EB"/>
    <w:rsid w:val="000D2BF5"/>
    <w:rsid w:val="000D7CBD"/>
    <w:rsid w:val="000F11C1"/>
    <w:rsid w:val="000F6841"/>
    <w:rsid w:val="00102EE5"/>
    <w:rsid w:val="00103236"/>
    <w:rsid w:val="00110FBD"/>
    <w:rsid w:val="001156B6"/>
    <w:rsid w:val="00117467"/>
    <w:rsid w:val="00123974"/>
    <w:rsid w:val="00154B99"/>
    <w:rsid w:val="00155E2F"/>
    <w:rsid w:val="001666D2"/>
    <w:rsid w:val="0017054C"/>
    <w:rsid w:val="00172A1B"/>
    <w:rsid w:val="001753A8"/>
    <w:rsid w:val="001767C5"/>
    <w:rsid w:val="00176EA2"/>
    <w:rsid w:val="00196A58"/>
    <w:rsid w:val="00197139"/>
    <w:rsid w:val="001B0903"/>
    <w:rsid w:val="001C218D"/>
    <w:rsid w:val="001C5A3D"/>
    <w:rsid w:val="001D1FD6"/>
    <w:rsid w:val="001F3303"/>
    <w:rsid w:val="001F5185"/>
    <w:rsid w:val="0020449A"/>
    <w:rsid w:val="00211787"/>
    <w:rsid w:val="002150DD"/>
    <w:rsid w:val="002331B8"/>
    <w:rsid w:val="0023713A"/>
    <w:rsid w:val="00240840"/>
    <w:rsid w:val="00243881"/>
    <w:rsid w:val="00252CB4"/>
    <w:rsid w:val="002540C6"/>
    <w:rsid w:val="00261C12"/>
    <w:rsid w:val="00264D3C"/>
    <w:rsid w:val="0028062B"/>
    <w:rsid w:val="0028671B"/>
    <w:rsid w:val="002877E1"/>
    <w:rsid w:val="00287D28"/>
    <w:rsid w:val="002930F0"/>
    <w:rsid w:val="002A1DA5"/>
    <w:rsid w:val="002B1D62"/>
    <w:rsid w:val="002B2351"/>
    <w:rsid w:val="002D5ECC"/>
    <w:rsid w:val="002D7365"/>
    <w:rsid w:val="002D782A"/>
    <w:rsid w:val="002E0382"/>
    <w:rsid w:val="002E1E8B"/>
    <w:rsid w:val="002E54D0"/>
    <w:rsid w:val="002F69D5"/>
    <w:rsid w:val="002F6E1F"/>
    <w:rsid w:val="00302A19"/>
    <w:rsid w:val="00305517"/>
    <w:rsid w:val="00322039"/>
    <w:rsid w:val="00327E09"/>
    <w:rsid w:val="00334C9D"/>
    <w:rsid w:val="00334E1E"/>
    <w:rsid w:val="003366B2"/>
    <w:rsid w:val="003453B8"/>
    <w:rsid w:val="00346676"/>
    <w:rsid w:val="00347030"/>
    <w:rsid w:val="00347050"/>
    <w:rsid w:val="003473DD"/>
    <w:rsid w:val="00350BB4"/>
    <w:rsid w:val="0035453B"/>
    <w:rsid w:val="003618D4"/>
    <w:rsid w:val="00361FD7"/>
    <w:rsid w:val="00367793"/>
    <w:rsid w:val="003838A7"/>
    <w:rsid w:val="00393E87"/>
    <w:rsid w:val="003A0F2A"/>
    <w:rsid w:val="003A392D"/>
    <w:rsid w:val="003A39CD"/>
    <w:rsid w:val="003A61D6"/>
    <w:rsid w:val="003C0132"/>
    <w:rsid w:val="003C12FE"/>
    <w:rsid w:val="003D28B9"/>
    <w:rsid w:val="003F4662"/>
    <w:rsid w:val="003F64F1"/>
    <w:rsid w:val="00412B64"/>
    <w:rsid w:val="00417CD3"/>
    <w:rsid w:val="00422355"/>
    <w:rsid w:val="0045646A"/>
    <w:rsid w:val="00461D57"/>
    <w:rsid w:val="00463821"/>
    <w:rsid w:val="00464730"/>
    <w:rsid w:val="004669E6"/>
    <w:rsid w:val="00472B45"/>
    <w:rsid w:val="004768B4"/>
    <w:rsid w:val="004878FB"/>
    <w:rsid w:val="004A7C37"/>
    <w:rsid w:val="004B0409"/>
    <w:rsid w:val="004B3AF9"/>
    <w:rsid w:val="004C1DCA"/>
    <w:rsid w:val="004C20D7"/>
    <w:rsid w:val="004C4CA9"/>
    <w:rsid w:val="004C6E5F"/>
    <w:rsid w:val="004D322C"/>
    <w:rsid w:val="004D4201"/>
    <w:rsid w:val="004D45E1"/>
    <w:rsid w:val="004D717A"/>
    <w:rsid w:val="004E3C63"/>
    <w:rsid w:val="00530A00"/>
    <w:rsid w:val="00531EA5"/>
    <w:rsid w:val="005357D4"/>
    <w:rsid w:val="005450CB"/>
    <w:rsid w:val="00547AC9"/>
    <w:rsid w:val="00550B83"/>
    <w:rsid w:val="00553728"/>
    <w:rsid w:val="00554112"/>
    <w:rsid w:val="00557528"/>
    <w:rsid w:val="00563D9B"/>
    <w:rsid w:val="00580CC2"/>
    <w:rsid w:val="00581AE2"/>
    <w:rsid w:val="005879DA"/>
    <w:rsid w:val="00595B1E"/>
    <w:rsid w:val="00596027"/>
    <w:rsid w:val="005A3E1D"/>
    <w:rsid w:val="005B3632"/>
    <w:rsid w:val="005C0D1F"/>
    <w:rsid w:val="005D325E"/>
    <w:rsid w:val="005D5CED"/>
    <w:rsid w:val="005E06A5"/>
    <w:rsid w:val="005E1DCE"/>
    <w:rsid w:val="005E55A8"/>
    <w:rsid w:val="005E6511"/>
    <w:rsid w:val="005E673A"/>
    <w:rsid w:val="005F61E3"/>
    <w:rsid w:val="005F6FE8"/>
    <w:rsid w:val="0060494E"/>
    <w:rsid w:val="006072DE"/>
    <w:rsid w:val="0061457E"/>
    <w:rsid w:val="00622CD9"/>
    <w:rsid w:val="00631DD0"/>
    <w:rsid w:val="00633718"/>
    <w:rsid w:val="00636394"/>
    <w:rsid w:val="00643EAB"/>
    <w:rsid w:val="00645F12"/>
    <w:rsid w:val="00651091"/>
    <w:rsid w:val="00653A4A"/>
    <w:rsid w:val="006561DD"/>
    <w:rsid w:val="0066494D"/>
    <w:rsid w:val="006705A2"/>
    <w:rsid w:val="006817F3"/>
    <w:rsid w:val="006913E8"/>
    <w:rsid w:val="00694C5F"/>
    <w:rsid w:val="006A4F0C"/>
    <w:rsid w:val="006B5BBA"/>
    <w:rsid w:val="006D56E1"/>
    <w:rsid w:val="006D5889"/>
    <w:rsid w:val="006D6DDE"/>
    <w:rsid w:val="006E4631"/>
    <w:rsid w:val="006F33D4"/>
    <w:rsid w:val="006F3809"/>
    <w:rsid w:val="0070056E"/>
    <w:rsid w:val="00700D9D"/>
    <w:rsid w:val="00703F45"/>
    <w:rsid w:val="007051E4"/>
    <w:rsid w:val="00705BDB"/>
    <w:rsid w:val="00706985"/>
    <w:rsid w:val="00711BBD"/>
    <w:rsid w:val="00725967"/>
    <w:rsid w:val="00731D2B"/>
    <w:rsid w:val="00734442"/>
    <w:rsid w:val="00736905"/>
    <w:rsid w:val="00737515"/>
    <w:rsid w:val="00745858"/>
    <w:rsid w:val="00745BBC"/>
    <w:rsid w:val="00750422"/>
    <w:rsid w:val="007517CC"/>
    <w:rsid w:val="00761156"/>
    <w:rsid w:val="00762EA2"/>
    <w:rsid w:val="0076330E"/>
    <w:rsid w:val="0076378A"/>
    <w:rsid w:val="00775001"/>
    <w:rsid w:val="00782366"/>
    <w:rsid w:val="00795865"/>
    <w:rsid w:val="0079639F"/>
    <w:rsid w:val="007A33CD"/>
    <w:rsid w:val="007A3C39"/>
    <w:rsid w:val="007B0258"/>
    <w:rsid w:val="007B2D0E"/>
    <w:rsid w:val="007B5A48"/>
    <w:rsid w:val="007C04AA"/>
    <w:rsid w:val="007C4493"/>
    <w:rsid w:val="007C4567"/>
    <w:rsid w:val="007C7C63"/>
    <w:rsid w:val="007D270C"/>
    <w:rsid w:val="007D64B6"/>
    <w:rsid w:val="007D6F5A"/>
    <w:rsid w:val="007E3BFB"/>
    <w:rsid w:val="007E4380"/>
    <w:rsid w:val="00800567"/>
    <w:rsid w:val="00800849"/>
    <w:rsid w:val="00804906"/>
    <w:rsid w:val="0081686A"/>
    <w:rsid w:val="00820060"/>
    <w:rsid w:val="00822DFB"/>
    <w:rsid w:val="00825D51"/>
    <w:rsid w:val="008323A8"/>
    <w:rsid w:val="00836B3C"/>
    <w:rsid w:val="00840939"/>
    <w:rsid w:val="008448FE"/>
    <w:rsid w:val="00867301"/>
    <w:rsid w:val="00876872"/>
    <w:rsid w:val="008819E3"/>
    <w:rsid w:val="00883A8F"/>
    <w:rsid w:val="00883E05"/>
    <w:rsid w:val="00890198"/>
    <w:rsid w:val="00891FB4"/>
    <w:rsid w:val="00892513"/>
    <w:rsid w:val="0089387C"/>
    <w:rsid w:val="008A09C5"/>
    <w:rsid w:val="008A1DEF"/>
    <w:rsid w:val="008A37B8"/>
    <w:rsid w:val="008A58B5"/>
    <w:rsid w:val="008B30A7"/>
    <w:rsid w:val="008B5655"/>
    <w:rsid w:val="008D2177"/>
    <w:rsid w:val="008D452F"/>
    <w:rsid w:val="008D5301"/>
    <w:rsid w:val="008E0542"/>
    <w:rsid w:val="008E74B5"/>
    <w:rsid w:val="008F7A91"/>
    <w:rsid w:val="00900AC6"/>
    <w:rsid w:val="009014A1"/>
    <w:rsid w:val="00901543"/>
    <w:rsid w:val="009021F8"/>
    <w:rsid w:val="009038D0"/>
    <w:rsid w:val="00907314"/>
    <w:rsid w:val="00910CC1"/>
    <w:rsid w:val="00912952"/>
    <w:rsid w:val="009138F9"/>
    <w:rsid w:val="00914809"/>
    <w:rsid w:val="009161D1"/>
    <w:rsid w:val="00916FAA"/>
    <w:rsid w:val="00921212"/>
    <w:rsid w:val="0092174A"/>
    <w:rsid w:val="00924247"/>
    <w:rsid w:val="00925D0F"/>
    <w:rsid w:val="00930085"/>
    <w:rsid w:val="00930887"/>
    <w:rsid w:val="0093098C"/>
    <w:rsid w:val="00935FFF"/>
    <w:rsid w:val="0093655E"/>
    <w:rsid w:val="00950937"/>
    <w:rsid w:val="00960E0B"/>
    <w:rsid w:val="0097504B"/>
    <w:rsid w:val="0098379F"/>
    <w:rsid w:val="00992191"/>
    <w:rsid w:val="009939A8"/>
    <w:rsid w:val="00995189"/>
    <w:rsid w:val="009A79D4"/>
    <w:rsid w:val="009B09A9"/>
    <w:rsid w:val="009B3237"/>
    <w:rsid w:val="009C5FE4"/>
    <w:rsid w:val="009E5559"/>
    <w:rsid w:val="009F1107"/>
    <w:rsid w:val="009F5879"/>
    <w:rsid w:val="00A01B64"/>
    <w:rsid w:val="00A01FF6"/>
    <w:rsid w:val="00A032E2"/>
    <w:rsid w:val="00A0570D"/>
    <w:rsid w:val="00A13A51"/>
    <w:rsid w:val="00A16FC9"/>
    <w:rsid w:val="00A202A6"/>
    <w:rsid w:val="00A2113B"/>
    <w:rsid w:val="00A2331D"/>
    <w:rsid w:val="00A2607F"/>
    <w:rsid w:val="00A26A4A"/>
    <w:rsid w:val="00A35DFC"/>
    <w:rsid w:val="00A53BEE"/>
    <w:rsid w:val="00A54CFB"/>
    <w:rsid w:val="00A56AB8"/>
    <w:rsid w:val="00A56F66"/>
    <w:rsid w:val="00A62C25"/>
    <w:rsid w:val="00A64E50"/>
    <w:rsid w:val="00A6577A"/>
    <w:rsid w:val="00A67770"/>
    <w:rsid w:val="00A703CC"/>
    <w:rsid w:val="00A75298"/>
    <w:rsid w:val="00A80AF1"/>
    <w:rsid w:val="00A83396"/>
    <w:rsid w:val="00A86963"/>
    <w:rsid w:val="00A95921"/>
    <w:rsid w:val="00AA098F"/>
    <w:rsid w:val="00AA3FF2"/>
    <w:rsid w:val="00AA773F"/>
    <w:rsid w:val="00AC34C1"/>
    <w:rsid w:val="00AC34E3"/>
    <w:rsid w:val="00AC578B"/>
    <w:rsid w:val="00AD6016"/>
    <w:rsid w:val="00AE28B1"/>
    <w:rsid w:val="00AF0D56"/>
    <w:rsid w:val="00AF11B5"/>
    <w:rsid w:val="00AF256F"/>
    <w:rsid w:val="00AF52DF"/>
    <w:rsid w:val="00B0173A"/>
    <w:rsid w:val="00B01E70"/>
    <w:rsid w:val="00B05D2D"/>
    <w:rsid w:val="00B13F51"/>
    <w:rsid w:val="00B14CD8"/>
    <w:rsid w:val="00B2399D"/>
    <w:rsid w:val="00B26160"/>
    <w:rsid w:val="00B26792"/>
    <w:rsid w:val="00B3087E"/>
    <w:rsid w:val="00B41BD3"/>
    <w:rsid w:val="00B41E9B"/>
    <w:rsid w:val="00B42293"/>
    <w:rsid w:val="00B4634E"/>
    <w:rsid w:val="00B5519C"/>
    <w:rsid w:val="00B55285"/>
    <w:rsid w:val="00B6129D"/>
    <w:rsid w:val="00B657B7"/>
    <w:rsid w:val="00B73828"/>
    <w:rsid w:val="00B73FF9"/>
    <w:rsid w:val="00B819E2"/>
    <w:rsid w:val="00B92498"/>
    <w:rsid w:val="00BA3D55"/>
    <w:rsid w:val="00BB417C"/>
    <w:rsid w:val="00BB78A4"/>
    <w:rsid w:val="00BC1D3D"/>
    <w:rsid w:val="00BD06C4"/>
    <w:rsid w:val="00BD544C"/>
    <w:rsid w:val="00C05709"/>
    <w:rsid w:val="00C11E90"/>
    <w:rsid w:val="00C14F48"/>
    <w:rsid w:val="00C15C7A"/>
    <w:rsid w:val="00C167D7"/>
    <w:rsid w:val="00C21779"/>
    <w:rsid w:val="00C21E0B"/>
    <w:rsid w:val="00C22F77"/>
    <w:rsid w:val="00C463D0"/>
    <w:rsid w:val="00C54CE8"/>
    <w:rsid w:val="00C63D41"/>
    <w:rsid w:val="00C71E8F"/>
    <w:rsid w:val="00C7796A"/>
    <w:rsid w:val="00C90351"/>
    <w:rsid w:val="00C94792"/>
    <w:rsid w:val="00CA28D5"/>
    <w:rsid w:val="00CB1CBF"/>
    <w:rsid w:val="00CB4C3D"/>
    <w:rsid w:val="00CB5ECD"/>
    <w:rsid w:val="00CC78A9"/>
    <w:rsid w:val="00CD52E9"/>
    <w:rsid w:val="00CE11A7"/>
    <w:rsid w:val="00CE5DD5"/>
    <w:rsid w:val="00D002B1"/>
    <w:rsid w:val="00D0546B"/>
    <w:rsid w:val="00D23C74"/>
    <w:rsid w:val="00D47331"/>
    <w:rsid w:val="00D51529"/>
    <w:rsid w:val="00D52082"/>
    <w:rsid w:val="00D6075D"/>
    <w:rsid w:val="00D648AE"/>
    <w:rsid w:val="00D760A0"/>
    <w:rsid w:val="00D847B2"/>
    <w:rsid w:val="00D871FA"/>
    <w:rsid w:val="00D90B70"/>
    <w:rsid w:val="00D945E0"/>
    <w:rsid w:val="00D964A6"/>
    <w:rsid w:val="00D9755C"/>
    <w:rsid w:val="00D97746"/>
    <w:rsid w:val="00DB3B48"/>
    <w:rsid w:val="00DB7B38"/>
    <w:rsid w:val="00DC3666"/>
    <w:rsid w:val="00DD1DA6"/>
    <w:rsid w:val="00DE2FCA"/>
    <w:rsid w:val="00DF0D34"/>
    <w:rsid w:val="00DF6141"/>
    <w:rsid w:val="00E02DDE"/>
    <w:rsid w:val="00E14FEF"/>
    <w:rsid w:val="00E20C24"/>
    <w:rsid w:val="00E24E26"/>
    <w:rsid w:val="00E25458"/>
    <w:rsid w:val="00E553FF"/>
    <w:rsid w:val="00E57A68"/>
    <w:rsid w:val="00E601D6"/>
    <w:rsid w:val="00E67A32"/>
    <w:rsid w:val="00E73E03"/>
    <w:rsid w:val="00E74447"/>
    <w:rsid w:val="00E8099F"/>
    <w:rsid w:val="00E8197A"/>
    <w:rsid w:val="00E840D8"/>
    <w:rsid w:val="00E90F38"/>
    <w:rsid w:val="00E97205"/>
    <w:rsid w:val="00EA3DDB"/>
    <w:rsid w:val="00EA532E"/>
    <w:rsid w:val="00EB6CE1"/>
    <w:rsid w:val="00EC3518"/>
    <w:rsid w:val="00ED0192"/>
    <w:rsid w:val="00ED30AB"/>
    <w:rsid w:val="00ED3512"/>
    <w:rsid w:val="00ED4DFB"/>
    <w:rsid w:val="00ED74AE"/>
    <w:rsid w:val="00EE0156"/>
    <w:rsid w:val="00EE5CA8"/>
    <w:rsid w:val="00EF695C"/>
    <w:rsid w:val="00F01481"/>
    <w:rsid w:val="00F04884"/>
    <w:rsid w:val="00F04E8D"/>
    <w:rsid w:val="00F06722"/>
    <w:rsid w:val="00F07CAF"/>
    <w:rsid w:val="00F15E09"/>
    <w:rsid w:val="00F23A75"/>
    <w:rsid w:val="00F30973"/>
    <w:rsid w:val="00F32BDA"/>
    <w:rsid w:val="00F35A3B"/>
    <w:rsid w:val="00F47BAA"/>
    <w:rsid w:val="00F507AC"/>
    <w:rsid w:val="00F52AE4"/>
    <w:rsid w:val="00F61032"/>
    <w:rsid w:val="00F62595"/>
    <w:rsid w:val="00F63A50"/>
    <w:rsid w:val="00F64D82"/>
    <w:rsid w:val="00F653E3"/>
    <w:rsid w:val="00F66B40"/>
    <w:rsid w:val="00F7084D"/>
    <w:rsid w:val="00F70F3D"/>
    <w:rsid w:val="00F73AE2"/>
    <w:rsid w:val="00F813F6"/>
    <w:rsid w:val="00F858B9"/>
    <w:rsid w:val="00F92FF5"/>
    <w:rsid w:val="00FA3BDF"/>
    <w:rsid w:val="00FA49DE"/>
    <w:rsid w:val="00FB04FE"/>
    <w:rsid w:val="00FB3B03"/>
    <w:rsid w:val="00FC286D"/>
    <w:rsid w:val="00FC5DE2"/>
    <w:rsid w:val="00FD562A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1BD2F6A-98F4-414D-AC7F-27BC1915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4730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73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4730"/>
    <w:rPr>
      <w:rFonts w:ascii="Times New Roman" w:hAnsi="Times New Roman"/>
      <w:sz w:val="20"/>
      <w:lang w:val="bg-BG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4730"/>
    <w:rPr>
      <w:rFonts w:ascii="Times New Roman" w:hAnsi="Times New Roman"/>
      <w:b/>
      <w:sz w:val="20"/>
      <w:lang w:val="bg-BG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4730"/>
    <w:rPr>
      <w:rFonts w:ascii="Tahoma" w:hAnsi="Tahoma"/>
      <w:sz w:val="16"/>
      <w:lang w:val="bg-BG" w:eastAsia="x-none"/>
    </w:rPr>
  </w:style>
  <w:style w:type="paragraph" w:styleId="Revision">
    <w:name w:val="Revision"/>
    <w:hidden/>
    <w:uiPriority w:val="99"/>
    <w:semiHidden/>
    <w:rsid w:val="00782366"/>
    <w:rPr>
      <w:rFonts w:ascii="Times New Roman" w:hAnsi="Times New Roman" w:cs="Times New Roman"/>
      <w:lang w:val="bg-BG"/>
    </w:rPr>
  </w:style>
  <w:style w:type="table" w:styleId="TableGrid">
    <w:name w:val="Table Grid"/>
    <w:basedOn w:val="TableNormal"/>
    <w:uiPriority w:val="59"/>
    <w:rsid w:val="00AF52DF"/>
    <w:rPr>
      <w:rFonts w:ascii="Times New Roman" w:hAnsi="Times New Roman" w:cs="Times New Roman"/>
      <w:sz w:val="24"/>
      <w:szCs w:val="24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B819E2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19E2"/>
    <w:rPr>
      <w:rFonts w:ascii="Times New Roman" w:hAnsi="Times New Roman"/>
      <w:sz w:val="20"/>
      <w:lang w:val="bg-BG" w:eastAsia="x-none"/>
    </w:rPr>
  </w:style>
  <w:style w:type="character" w:styleId="FootnoteReference">
    <w:name w:val="footnote reference"/>
    <w:basedOn w:val="DefaultParagraphFont"/>
    <w:uiPriority w:val="99"/>
    <w:rsid w:val="00B819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819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9E2"/>
    <w:rPr>
      <w:rFonts w:ascii="Times New Roman" w:hAnsi="Times New Roman"/>
      <w:sz w:val="20"/>
      <w:lang w:val="bg-BG" w:eastAsia="x-none"/>
    </w:rPr>
  </w:style>
  <w:style w:type="paragraph" w:styleId="Footer">
    <w:name w:val="footer"/>
    <w:basedOn w:val="Normal"/>
    <w:link w:val="FooterChar"/>
    <w:uiPriority w:val="99"/>
    <w:rsid w:val="00B819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9E2"/>
    <w:rPr>
      <w:rFonts w:ascii="Times New Roman" w:hAnsi="Times New Roman"/>
      <w:sz w:val="20"/>
      <w:lang w:val="bg-BG" w:eastAsia="x-none"/>
    </w:rPr>
  </w:style>
  <w:style w:type="paragraph" w:styleId="EndnoteText">
    <w:name w:val="endnote text"/>
    <w:basedOn w:val="Normal"/>
    <w:link w:val="EndnoteTextChar"/>
    <w:uiPriority w:val="99"/>
    <w:rsid w:val="008D452F"/>
  </w:style>
  <w:style w:type="character" w:customStyle="1" w:styleId="EndnoteTextChar">
    <w:name w:val="Endnote Text Char"/>
    <w:basedOn w:val="DefaultParagraphFont"/>
    <w:link w:val="EndnoteText"/>
    <w:uiPriority w:val="99"/>
    <w:rsid w:val="008D452F"/>
    <w:rPr>
      <w:rFonts w:ascii="Times New Roman" w:hAnsi="Times New Roman" w:cs="Times New Roman"/>
      <w:lang w:val="bg-BG"/>
    </w:rPr>
  </w:style>
  <w:style w:type="character" w:styleId="EndnoteReference">
    <w:name w:val="endnote reference"/>
    <w:basedOn w:val="DefaultParagraphFont"/>
    <w:uiPriority w:val="99"/>
    <w:rsid w:val="008D45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2184-AB28-40E4-A871-92BC8B8C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P. Dimitrov</dc:creator>
  <cp:lastModifiedBy>Petya Ivanova</cp:lastModifiedBy>
  <cp:revision>3</cp:revision>
  <cp:lastPrinted>2021-02-26T09:40:00Z</cp:lastPrinted>
  <dcterms:created xsi:type="dcterms:W3CDTF">2021-03-04T12:15:00Z</dcterms:created>
  <dcterms:modified xsi:type="dcterms:W3CDTF">2021-03-04T12:28:00Z</dcterms:modified>
</cp:coreProperties>
</file>