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A96D44">
        <w:trPr>
          <w:trHeight w:val="958"/>
          <w:jc w:val="center"/>
        </w:trPr>
        <w:tc>
          <w:tcPr>
            <w:tcW w:w="15650" w:type="dxa"/>
            <w:shd w:val="clear" w:color="auto" w:fill="BDD6EE"/>
          </w:tcPr>
          <w:p w:rsidR="00A96D44" w:rsidRPr="002278E1" w:rsidRDefault="004B639A" w:rsidP="002278E1">
            <w:pPr>
              <w:tabs>
                <w:tab w:val="left" w:pos="2190"/>
              </w:tabs>
              <w:spacing w:before="120" w:line="360" w:lineRule="auto"/>
              <w:ind w:left="283" w:right="283"/>
              <w:jc w:val="center"/>
              <w:rPr>
                <w:rFonts w:ascii="Verdana" w:hAnsi="Verdana"/>
                <w:b/>
                <w:spacing w:val="60"/>
              </w:rPr>
            </w:pPr>
            <w:r w:rsidRPr="002278E1">
              <w:rPr>
                <w:rFonts w:ascii="Verdana" w:hAnsi="Verdana"/>
                <w:b/>
                <w:spacing w:val="60"/>
              </w:rPr>
              <w:t>СПРАВКА</w:t>
            </w:r>
          </w:p>
          <w:p w:rsidR="00A96D44" w:rsidRPr="002278E1" w:rsidRDefault="004B639A" w:rsidP="002278E1">
            <w:pPr>
              <w:tabs>
                <w:tab w:val="left" w:pos="2190"/>
              </w:tabs>
              <w:spacing w:after="120" w:line="360" w:lineRule="auto"/>
              <w:ind w:left="170" w:right="170"/>
              <w:jc w:val="center"/>
              <w:rPr>
                <w:rFonts w:ascii="Verdana" w:hAnsi="Verdana"/>
                <w:b/>
                <w:sz w:val="20"/>
                <w:szCs w:val="20"/>
                <w:lang w:val="ru-RU"/>
              </w:rPr>
            </w:pPr>
            <w:r>
              <w:rPr>
                <w:rFonts w:ascii="Verdana" w:hAnsi="Verdana"/>
                <w:b/>
                <w:sz w:val="20"/>
                <w:szCs w:val="20"/>
              </w:rPr>
              <w:t xml:space="preserve">ЗА ОТРАЗЯВАНЕ НА ПОСТЪПИЛИТЕ ПРЕДЛОЖЕНИЯ ОТ ОБЩЕСТВЕНИТЕ КОНСУЛТАЦИИ НА ПРОЕКТА НА НАРЕДБА ЗА </w:t>
            </w:r>
            <w:r w:rsidR="002278E1">
              <w:rPr>
                <w:rFonts w:ascii="Verdana" w:hAnsi="Verdana"/>
                <w:b/>
                <w:sz w:val="20"/>
                <w:szCs w:val="20"/>
              </w:rPr>
              <w:br/>
            </w:r>
            <w:r>
              <w:rPr>
                <w:rFonts w:ascii="Verdana" w:hAnsi="Verdana"/>
                <w:b/>
                <w:sz w:val="20"/>
                <w:szCs w:val="20"/>
              </w:rPr>
              <w:t>ИНТЕГРИРАНО ПРОИЗВОДСТВО НА РАСТЕНИЯ И РАСТИТЕЛНИ ПРОДУКТИ И КОНТРОЛА ВЪРХУ ИНТЕГРИРАНОТО ПРОИЗВОДСТВО</w:t>
            </w:r>
          </w:p>
        </w:tc>
      </w:tr>
    </w:tbl>
    <w:p w:rsidR="00A96D44" w:rsidRDefault="00A96D44">
      <w:pPr>
        <w:spacing w:line="360" w:lineRule="auto"/>
        <w:rPr>
          <w:rFonts w:ascii="Verdana" w:hAnsi="Verdana"/>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042"/>
        <w:gridCol w:w="1701"/>
        <w:gridCol w:w="4875"/>
      </w:tblGrid>
      <w:tr w:rsidR="00A96D44" w:rsidTr="005F66E9">
        <w:trPr>
          <w:tblHeader/>
          <w:jc w:val="center"/>
        </w:trPr>
        <w:tc>
          <w:tcPr>
            <w:tcW w:w="622" w:type="dxa"/>
            <w:tcBorders>
              <w:bottom w:val="single" w:sz="12" w:space="0" w:color="2E74B5"/>
            </w:tcBorders>
            <w:shd w:val="clear" w:color="auto" w:fill="DEEAF6"/>
            <w:vAlign w:val="center"/>
          </w:tcPr>
          <w:p w:rsidR="00A96D44" w:rsidRDefault="004B639A" w:rsidP="00FC7CFA">
            <w:pPr>
              <w:tabs>
                <w:tab w:val="left" w:pos="192"/>
              </w:tabs>
              <w:spacing w:before="40" w:after="40"/>
              <w:jc w:val="center"/>
              <w:rPr>
                <w:rFonts w:ascii="Verdana" w:hAnsi="Verdana"/>
                <w:b/>
                <w:sz w:val="20"/>
                <w:szCs w:val="20"/>
              </w:rPr>
            </w:pPr>
            <w:r>
              <w:rPr>
                <w:rFonts w:ascii="Verdana" w:hAnsi="Verdana"/>
                <w:b/>
                <w:sz w:val="20"/>
                <w:szCs w:val="20"/>
              </w:rPr>
              <w:t>№</w:t>
            </w:r>
          </w:p>
        </w:tc>
        <w:tc>
          <w:tcPr>
            <w:tcW w:w="2410" w:type="dxa"/>
            <w:tcBorders>
              <w:bottom w:val="single" w:sz="12" w:space="0" w:color="2E74B5"/>
            </w:tcBorders>
            <w:shd w:val="clear" w:color="auto" w:fill="DEEAF6"/>
            <w:vAlign w:val="center"/>
          </w:tcPr>
          <w:p w:rsidR="00A96D44" w:rsidRDefault="004B639A" w:rsidP="008A5AB9">
            <w:pPr>
              <w:spacing w:before="40"/>
              <w:jc w:val="center"/>
              <w:rPr>
                <w:rFonts w:ascii="Verdana" w:hAnsi="Verdana"/>
                <w:b/>
                <w:sz w:val="20"/>
                <w:szCs w:val="20"/>
              </w:rPr>
            </w:pPr>
            <w:r>
              <w:rPr>
                <w:rFonts w:ascii="Verdana" w:hAnsi="Verdana"/>
                <w:b/>
                <w:sz w:val="20"/>
                <w:szCs w:val="20"/>
              </w:rPr>
              <w:t xml:space="preserve">Организация/ </w:t>
            </w:r>
            <w:r>
              <w:rPr>
                <w:rFonts w:ascii="Verdana" w:hAnsi="Verdana"/>
                <w:b/>
                <w:sz w:val="20"/>
                <w:szCs w:val="20"/>
              </w:rPr>
              <w:br/>
              <w:t>потребител</w:t>
            </w:r>
          </w:p>
          <w:p w:rsidR="00A96D44" w:rsidRPr="00FC7CFA" w:rsidRDefault="004B639A" w:rsidP="00FC7CFA">
            <w:pPr>
              <w:spacing w:after="40"/>
              <w:jc w:val="center"/>
              <w:rPr>
                <w:rFonts w:ascii="Verdana" w:hAnsi="Verdana"/>
                <w:b/>
                <w:sz w:val="12"/>
                <w:szCs w:val="12"/>
              </w:rPr>
            </w:pPr>
            <w:r w:rsidRPr="00FC7CFA">
              <w:rPr>
                <w:rFonts w:ascii="Verdana" w:hAnsi="Verdana"/>
                <w:b/>
                <w:sz w:val="12"/>
                <w:szCs w:val="12"/>
              </w:rPr>
              <w:t>(вкл. начина на получаване на предложението)</w:t>
            </w:r>
          </w:p>
        </w:tc>
        <w:tc>
          <w:tcPr>
            <w:tcW w:w="6042" w:type="dxa"/>
            <w:shd w:val="clear" w:color="auto" w:fill="DEEAF6"/>
            <w:vAlign w:val="center"/>
          </w:tcPr>
          <w:p w:rsidR="00A96D44" w:rsidRDefault="004B639A" w:rsidP="00FC7CFA">
            <w:pPr>
              <w:spacing w:before="40"/>
              <w:jc w:val="center"/>
              <w:rPr>
                <w:rFonts w:ascii="Verdana" w:hAnsi="Verdana"/>
                <w:b/>
                <w:sz w:val="20"/>
                <w:szCs w:val="20"/>
              </w:rPr>
            </w:pPr>
            <w:r>
              <w:rPr>
                <w:rFonts w:ascii="Verdana" w:hAnsi="Verdana"/>
                <w:b/>
                <w:sz w:val="20"/>
                <w:szCs w:val="20"/>
              </w:rPr>
              <w:t>Бележки и предложения</w:t>
            </w:r>
          </w:p>
        </w:tc>
        <w:tc>
          <w:tcPr>
            <w:tcW w:w="1701" w:type="dxa"/>
            <w:shd w:val="clear" w:color="auto" w:fill="DEEAF6"/>
            <w:vAlign w:val="center"/>
          </w:tcPr>
          <w:p w:rsidR="00A96D44" w:rsidRDefault="004B639A" w:rsidP="00FC7CFA">
            <w:pPr>
              <w:spacing w:before="40"/>
              <w:jc w:val="center"/>
              <w:rPr>
                <w:rFonts w:ascii="Verdana" w:hAnsi="Verdana"/>
                <w:b/>
                <w:sz w:val="20"/>
                <w:szCs w:val="20"/>
              </w:rPr>
            </w:pPr>
            <w:r>
              <w:rPr>
                <w:rFonts w:ascii="Verdana" w:hAnsi="Verdana"/>
                <w:b/>
                <w:sz w:val="20"/>
                <w:szCs w:val="20"/>
              </w:rPr>
              <w:t>Приети/</w:t>
            </w:r>
            <w:r w:rsidR="00FC7CFA">
              <w:rPr>
                <w:rFonts w:ascii="Verdana" w:hAnsi="Verdana"/>
                <w:b/>
                <w:sz w:val="20"/>
                <w:szCs w:val="20"/>
              </w:rPr>
              <w:br/>
            </w:r>
            <w:r>
              <w:rPr>
                <w:rFonts w:ascii="Verdana" w:hAnsi="Verdana"/>
                <w:b/>
                <w:sz w:val="20"/>
                <w:szCs w:val="20"/>
              </w:rPr>
              <w:t>неприети</w:t>
            </w:r>
          </w:p>
        </w:tc>
        <w:tc>
          <w:tcPr>
            <w:tcW w:w="4875" w:type="dxa"/>
            <w:shd w:val="clear" w:color="auto" w:fill="DEEAF6"/>
            <w:vAlign w:val="center"/>
          </w:tcPr>
          <w:p w:rsidR="00A96D44" w:rsidRDefault="004B639A" w:rsidP="00FC7CFA">
            <w:pPr>
              <w:spacing w:before="40"/>
              <w:jc w:val="center"/>
              <w:rPr>
                <w:rFonts w:ascii="Verdana" w:hAnsi="Verdana"/>
                <w:sz w:val="20"/>
                <w:szCs w:val="20"/>
              </w:rPr>
            </w:pPr>
            <w:r>
              <w:rPr>
                <w:rFonts w:ascii="Verdana" w:hAnsi="Verdana"/>
                <w:b/>
                <w:sz w:val="20"/>
                <w:szCs w:val="20"/>
              </w:rPr>
              <w:t>Мотиви</w:t>
            </w:r>
          </w:p>
        </w:tc>
      </w:tr>
      <w:tr w:rsidR="00A96D44" w:rsidTr="005F66E9">
        <w:trPr>
          <w:jc w:val="center"/>
        </w:trPr>
        <w:tc>
          <w:tcPr>
            <w:tcW w:w="622" w:type="dxa"/>
            <w:vMerge w:val="restart"/>
            <w:shd w:val="clear" w:color="auto" w:fill="auto"/>
          </w:tcPr>
          <w:p w:rsidR="00A96D44" w:rsidRDefault="00A96D44" w:rsidP="00FC7CFA">
            <w:pPr>
              <w:pStyle w:val="ListParagraph"/>
              <w:numPr>
                <w:ilvl w:val="0"/>
                <w:numId w:val="10"/>
              </w:numPr>
              <w:tabs>
                <w:tab w:val="left" w:pos="192"/>
              </w:tabs>
              <w:spacing w:before="80" w:after="40"/>
              <w:rPr>
                <w:rFonts w:ascii="Verdana" w:hAnsi="Verdana"/>
                <w:b/>
                <w:sz w:val="20"/>
                <w:szCs w:val="20"/>
              </w:rPr>
            </w:pPr>
          </w:p>
        </w:tc>
        <w:tc>
          <w:tcPr>
            <w:tcW w:w="2410" w:type="dxa"/>
            <w:vMerge w:val="restart"/>
            <w:shd w:val="clear" w:color="auto" w:fill="auto"/>
          </w:tcPr>
          <w:p w:rsidR="00A96D44" w:rsidRPr="00A2765B" w:rsidRDefault="004B639A" w:rsidP="005F66E9">
            <w:pPr>
              <w:spacing w:before="80" w:after="40"/>
              <w:rPr>
                <w:rFonts w:ascii="Verdana" w:hAnsi="Verdana"/>
                <w:sz w:val="20"/>
                <w:szCs w:val="20"/>
                <w:lang w:val="ru-RU"/>
              </w:rPr>
            </w:pPr>
            <w:r w:rsidRPr="00A2765B">
              <w:rPr>
                <w:rFonts w:ascii="Verdana" w:hAnsi="Verdana"/>
                <w:sz w:val="20"/>
                <w:szCs w:val="20"/>
              </w:rPr>
              <w:t>Валентин Митков – член на Българската асоциация за биологична растителна защита и Димитър Стоянов – началник-отдел РЗ в ОДБХ-Велико Търново</w:t>
            </w:r>
            <w:r w:rsidRPr="00A2765B">
              <w:rPr>
                <w:rFonts w:ascii="Verdana" w:hAnsi="Verdana"/>
                <w:sz w:val="20"/>
                <w:szCs w:val="20"/>
                <w:lang w:val="ru-RU"/>
              </w:rPr>
              <w:br/>
              <w:t>(</w:t>
            </w:r>
            <w:r w:rsidRPr="00A2765B">
              <w:rPr>
                <w:rFonts w:ascii="Verdana" w:hAnsi="Verdana"/>
                <w:sz w:val="20"/>
                <w:szCs w:val="20"/>
              </w:rPr>
              <w:t>постъпило по електронна поща</w:t>
            </w:r>
            <w:r w:rsidRPr="00A2765B">
              <w:rPr>
                <w:rFonts w:ascii="Verdana" w:hAnsi="Verdana"/>
                <w:sz w:val="20"/>
                <w:szCs w:val="20"/>
                <w:lang w:val="ru-RU"/>
              </w:rPr>
              <w:t>)</w:t>
            </w:r>
          </w:p>
        </w:tc>
        <w:tc>
          <w:tcPr>
            <w:tcW w:w="6042" w:type="dxa"/>
            <w:shd w:val="clear" w:color="auto" w:fill="auto"/>
          </w:tcPr>
          <w:p w:rsidR="00A96D44" w:rsidRDefault="004B639A" w:rsidP="008A5AB9">
            <w:pPr>
              <w:spacing w:before="80" w:after="40"/>
              <w:jc w:val="both"/>
              <w:rPr>
                <w:rFonts w:ascii="Verdana" w:eastAsia="Calibri" w:hAnsi="Verdana"/>
                <w:sz w:val="20"/>
                <w:szCs w:val="20"/>
                <w:lang w:eastAsia="en-US"/>
              </w:rPr>
            </w:pPr>
            <w:r>
              <w:rPr>
                <w:rFonts w:ascii="Verdana" w:eastAsia="Calibri" w:hAnsi="Verdana"/>
                <w:sz w:val="20"/>
                <w:szCs w:val="20"/>
                <w:lang w:eastAsia="en-US"/>
              </w:rPr>
              <w:t>1. Предлаганият проект за Наредба не удовлетворява постигането на целта на закона, изразена в Регламент 1107/2009 и Директива 2009/128 – пестицидите да се употребяват правилно (чл. 55 от Регламента); постигане на устойчива употреба на пестициди чрез намаляване на рисковете за здравето на хората и околната среда; насърчаване на ИУВ (чл. 1 от Директива 128).</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462780" w:rsidRDefault="00EC630B" w:rsidP="008A5AB9">
            <w:pPr>
              <w:spacing w:before="80" w:after="40"/>
              <w:jc w:val="both"/>
              <w:rPr>
                <w:rFonts w:ascii="Verdana" w:eastAsia="Calibri" w:hAnsi="Verdana"/>
                <w:sz w:val="20"/>
                <w:szCs w:val="20"/>
                <w:lang w:eastAsia="en-US"/>
              </w:rPr>
            </w:pPr>
            <w:r w:rsidRPr="00EC630B">
              <w:rPr>
                <w:rFonts w:ascii="Verdana" w:eastAsia="Calibri" w:hAnsi="Verdana"/>
                <w:sz w:val="20"/>
                <w:szCs w:val="20"/>
                <w:lang w:eastAsia="en-US"/>
              </w:rPr>
              <w:t>Проектът на наредба е акт по прилагане на Закона за защита на растенията (ЗЗР) и е изготвен на основание чл. 9, ал. 4 и чл. 11 от ЗЗР</w:t>
            </w:r>
            <w:r w:rsidRPr="00817618">
              <w:rPr>
                <w:rFonts w:ascii="Verdana" w:eastAsia="Calibri" w:hAnsi="Verdana"/>
                <w:sz w:val="20"/>
                <w:szCs w:val="20"/>
                <w:lang w:val="ru-RU" w:eastAsia="en-US"/>
              </w:rPr>
              <w:t>.</w:t>
            </w:r>
            <w:r>
              <w:rPr>
                <w:rFonts w:ascii="Verdana" w:eastAsia="Calibri" w:hAnsi="Verdana"/>
                <w:sz w:val="20"/>
                <w:szCs w:val="20"/>
                <w:lang w:eastAsia="en-US"/>
              </w:rPr>
              <w:t xml:space="preserve"> </w:t>
            </w:r>
            <w:r w:rsidR="00462780">
              <w:rPr>
                <w:rFonts w:ascii="Verdana" w:eastAsia="Calibri" w:hAnsi="Verdana"/>
                <w:sz w:val="20"/>
                <w:szCs w:val="20"/>
                <w:lang w:eastAsia="en-US"/>
              </w:rPr>
              <w:t>С</w:t>
            </w:r>
            <w:r w:rsidR="00890F85" w:rsidRPr="00462780">
              <w:rPr>
                <w:rFonts w:ascii="Verdana" w:eastAsia="Calibri" w:hAnsi="Verdana"/>
                <w:sz w:val="20"/>
                <w:szCs w:val="20"/>
                <w:lang w:eastAsia="en-US"/>
              </w:rPr>
              <w:t xml:space="preserve"> проекта се </w:t>
            </w:r>
            <w:r w:rsidR="00462780">
              <w:rPr>
                <w:rFonts w:ascii="Verdana" w:eastAsia="Calibri" w:hAnsi="Verdana"/>
                <w:sz w:val="20"/>
                <w:szCs w:val="20"/>
                <w:lang w:eastAsia="en-US"/>
              </w:rPr>
              <w:t>цели уреждането на</w:t>
            </w:r>
            <w:r w:rsidR="00890F85" w:rsidRPr="00462780">
              <w:rPr>
                <w:rFonts w:ascii="Verdana" w:eastAsia="Calibri" w:hAnsi="Verdana"/>
                <w:sz w:val="20"/>
                <w:szCs w:val="20"/>
                <w:lang w:eastAsia="en-US"/>
              </w:rPr>
              <w:t xml:space="preserve"> условията и реда за извършване на интегрирано производство на растения и растителни продукти</w:t>
            </w:r>
            <w:r w:rsidR="00257F19">
              <w:rPr>
                <w:rFonts w:ascii="Verdana" w:eastAsia="Calibri" w:hAnsi="Verdana"/>
                <w:sz w:val="20"/>
                <w:szCs w:val="20"/>
                <w:lang w:eastAsia="en-US"/>
              </w:rPr>
              <w:t xml:space="preserve"> и предоставяне на консултантски услуги за интегрирано управление на вредителите</w:t>
            </w:r>
            <w:r w:rsidR="00462780">
              <w:rPr>
                <w:rFonts w:ascii="Verdana" w:eastAsia="Calibri" w:hAnsi="Verdana"/>
                <w:sz w:val="20"/>
                <w:szCs w:val="20"/>
                <w:lang w:eastAsia="en-US"/>
              </w:rPr>
              <w:t>,</w:t>
            </w:r>
            <w:r w:rsidR="00890F85" w:rsidRPr="00462780">
              <w:rPr>
                <w:rFonts w:ascii="Verdana" w:eastAsia="Calibri" w:hAnsi="Verdana"/>
                <w:sz w:val="20"/>
                <w:szCs w:val="20"/>
                <w:lang w:eastAsia="en-US"/>
              </w:rPr>
              <w:t xml:space="preserve"> </w:t>
            </w:r>
            <w:r w:rsidR="00462780">
              <w:rPr>
                <w:rFonts w:ascii="Verdana" w:eastAsia="Calibri" w:hAnsi="Verdana"/>
                <w:sz w:val="20"/>
                <w:szCs w:val="20"/>
                <w:lang w:eastAsia="en-US"/>
              </w:rPr>
              <w:t>посредством</w:t>
            </w:r>
            <w:r w:rsidR="00890F85" w:rsidRPr="00462780">
              <w:rPr>
                <w:rFonts w:ascii="Verdana" w:eastAsia="Calibri" w:hAnsi="Verdana"/>
                <w:sz w:val="20"/>
                <w:szCs w:val="20"/>
                <w:lang w:eastAsia="en-US"/>
              </w:rPr>
              <w:t xml:space="preserve"> задължително спазване и прилагане както на общите, така и на специфичните принципи за интегрирано управление на вредителите</w:t>
            </w:r>
            <w:r w:rsidR="00462780">
              <w:rPr>
                <w:rFonts w:ascii="Verdana" w:eastAsia="Calibri" w:hAnsi="Verdana"/>
                <w:sz w:val="20"/>
                <w:szCs w:val="20"/>
                <w:lang w:eastAsia="en-US"/>
              </w:rPr>
              <w:t xml:space="preserve"> и</w:t>
            </w:r>
            <w:r w:rsidR="00462780" w:rsidRPr="00462780">
              <w:rPr>
                <w:rFonts w:ascii="Verdana" w:eastAsia="Calibri" w:hAnsi="Verdana"/>
                <w:sz w:val="20"/>
                <w:szCs w:val="20"/>
                <w:lang w:eastAsia="en-US"/>
              </w:rPr>
              <w:t xml:space="preserve"> насърчаване разработване</w:t>
            </w:r>
            <w:r w:rsidR="00257F19">
              <w:rPr>
                <w:rFonts w:ascii="Verdana" w:eastAsia="Calibri" w:hAnsi="Verdana"/>
                <w:sz w:val="20"/>
                <w:szCs w:val="20"/>
                <w:lang w:eastAsia="en-US"/>
              </w:rPr>
              <w:t xml:space="preserve">то, </w:t>
            </w:r>
            <w:r w:rsidR="00462780" w:rsidRPr="00462780">
              <w:rPr>
                <w:rFonts w:ascii="Verdana" w:eastAsia="Calibri" w:hAnsi="Verdana"/>
                <w:sz w:val="20"/>
                <w:szCs w:val="20"/>
                <w:lang w:eastAsia="en-US"/>
              </w:rPr>
              <w:t xml:space="preserve">въвеждането </w:t>
            </w:r>
            <w:r w:rsidR="00257F19">
              <w:rPr>
                <w:rFonts w:ascii="Verdana" w:eastAsia="Calibri" w:hAnsi="Verdana"/>
                <w:sz w:val="20"/>
                <w:szCs w:val="20"/>
                <w:lang w:eastAsia="en-US"/>
              </w:rPr>
              <w:t xml:space="preserve">и използването </w:t>
            </w:r>
            <w:r w:rsidR="00462780" w:rsidRPr="00462780">
              <w:rPr>
                <w:rFonts w:ascii="Verdana" w:eastAsia="Calibri" w:hAnsi="Verdana"/>
                <w:sz w:val="20"/>
                <w:szCs w:val="20"/>
                <w:lang w:eastAsia="en-US"/>
              </w:rPr>
              <w:t xml:space="preserve">на алтернативни </w:t>
            </w:r>
            <w:r w:rsidR="004B639A">
              <w:rPr>
                <w:rFonts w:ascii="Verdana" w:eastAsia="Calibri" w:hAnsi="Verdana"/>
                <w:sz w:val="20"/>
                <w:szCs w:val="20"/>
                <w:lang w:eastAsia="en-US"/>
              </w:rPr>
              <w:t xml:space="preserve">на химичните пестициди </w:t>
            </w:r>
            <w:r w:rsidR="00462780" w:rsidRPr="00462780">
              <w:rPr>
                <w:rFonts w:ascii="Verdana" w:eastAsia="Calibri" w:hAnsi="Verdana"/>
                <w:sz w:val="20"/>
                <w:szCs w:val="20"/>
                <w:lang w:eastAsia="en-US"/>
              </w:rPr>
              <w:t xml:space="preserve">подходи и </w:t>
            </w:r>
            <w:r w:rsidR="00462780">
              <w:rPr>
                <w:rFonts w:ascii="Verdana" w:eastAsia="Calibri" w:hAnsi="Verdana"/>
                <w:sz w:val="20"/>
                <w:szCs w:val="20"/>
                <w:lang w:eastAsia="en-US"/>
              </w:rPr>
              <w:t>средства</w:t>
            </w:r>
            <w:r w:rsidR="00462780" w:rsidRPr="00462780">
              <w:rPr>
                <w:rFonts w:ascii="Verdana" w:eastAsia="Calibri" w:hAnsi="Verdana"/>
                <w:sz w:val="20"/>
                <w:szCs w:val="20"/>
                <w:lang w:eastAsia="en-US"/>
              </w:rPr>
              <w:t xml:space="preserve">, с </w:t>
            </w:r>
            <w:r w:rsidR="00257F19">
              <w:rPr>
                <w:rFonts w:ascii="Verdana" w:eastAsia="Calibri" w:hAnsi="Verdana"/>
                <w:sz w:val="20"/>
                <w:szCs w:val="20"/>
                <w:lang w:eastAsia="en-US"/>
              </w:rPr>
              <w:t>оглед</w:t>
            </w:r>
            <w:r w:rsidR="00462780" w:rsidRPr="00462780">
              <w:rPr>
                <w:rFonts w:ascii="Verdana" w:eastAsia="Calibri" w:hAnsi="Verdana"/>
                <w:sz w:val="20"/>
                <w:szCs w:val="20"/>
                <w:lang w:eastAsia="en-US"/>
              </w:rPr>
              <w:t xml:space="preserve"> намаляване зависимостта от употребата на пестици</w:t>
            </w:r>
            <w:r w:rsidR="00462780">
              <w:rPr>
                <w:rFonts w:ascii="Verdana" w:eastAsia="Calibri" w:hAnsi="Verdana"/>
                <w:sz w:val="20"/>
                <w:szCs w:val="20"/>
                <w:lang w:eastAsia="en-US"/>
              </w:rPr>
              <w:t>ди</w:t>
            </w:r>
            <w:r w:rsidR="00BD7D94">
              <w:rPr>
                <w:rFonts w:ascii="Verdana" w:eastAsia="Calibri" w:hAnsi="Verdana"/>
                <w:sz w:val="20"/>
                <w:szCs w:val="20"/>
                <w:lang w:eastAsia="en-US"/>
              </w:rPr>
              <w:t xml:space="preserve">. Всичко това </w:t>
            </w:r>
            <w:r w:rsidR="00890F85" w:rsidRPr="00462780">
              <w:rPr>
                <w:rFonts w:ascii="Verdana" w:eastAsia="Calibri" w:hAnsi="Verdana"/>
                <w:sz w:val="20"/>
                <w:szCs w:val="20"/>
                <w:lang w:eastAsia="en-US"/>
              </w:rPr>
              <w:t xml:space="preserve">е в контекста на </w:t>
            </w:r>
            <w:r w:rsidR="00462780">
              <w:rPr>
                <w:rFonts w:ascii="Verdana" w:eastAsia="Calibri" w:hAnsi="Verdana"/>
                <w:sz w:val="20"/>
                <w:szCs w:val="20"/>
                <w:lang w:eastAsia="en-US"/>
              </w:rPr>
              <w:t xml:space="preserve">правилната употреба на продуктите за растителна защита, съгласно Регламент (ЕО) 1107/2009 и </w:t>
            </w:r>
            <w:r w:rsidR="00890F85" w:rsidRPr="00462780">
              <w:rPr>
                <w:rFonts w:ascii="Verdana" w:eastAsia="Calibri" w:hAnsi="Verdana"/>
                <w:sz w:val="20"/>
                <w:szCs w:val="20"/>
                <w:lang w:eastAsia="en-US"/>
              </w:rPr>
              <w:t>Директива 2009/128 за установяване на рамка за постигане на устойчива употреба на пестициди</w:t>
            </w:r>
            <w:r w:rsidR="00462780">
              <w:rPr>
                <w:rFonts w:ascii="Verdana" w:eastAsia="Calibri" w:hAnsi="Verdana"/>
                <w:sz w:val="20"/>
                <w:szCs w:val="20"/>
                <w:lang w:eastAsia="en-US"/>
              </w:rPr>
              <w:t>.</w:t>
            </w:r>
            <w:r w:rsidR="00890F85" w:rsidRPr="00462780">
              <w:rPr>
                <w:rFonts w:ascii="Verdana" w:eastAsia="Calibri" w:hAnsi="Verdana"/>
                <w:sz w:val="20"/>
                <w:szCs w:val="20"/>
                <w:lang w:eastAsia="en-US"/>
              </w:rPr>
              <w:t xml:space="preserve"> </w:t>
            </w:r>
          </w:p>
        </w:tc>
      </w:tr>
      <w:tr w:rsidR="00A96D44" w:rsidTr="005F66E9">
        <w:trPr>
          <w:jc w:val="center"/>
        </w:trPr>
        <w:tc>
          <w:tcPr>
            <w:tcW w:w="622" w:type="dxa"/>
            <w:vMerge/>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eastAsia="Calibri" w:hAnsi="Verdana"/>
                <w:sz w:val="20"/>
                <w:szCs w:val="20"/>
                <w:lang w:eastAsia="en-US"/>
              </w:rPr>
            </w:pPr>
            <w:r>
              <w:rPr>
                <w:rFonts w:ascii="Verdana" w:eastAsia="Calibri" w:hAnsi="Verdana"/>
                <w:sz w:val="20"/>
                <w:szCs w:val="20"/>
                <w:lang w:eastAsia="en-US"/>
              </w:rPr>
              <w:t>2</w:t>
            </w:r>
            <w:r w:rsidRPr="00890F85">
              <w:rPr>
                <w:rFonts w:ascii="Verdana" w:eastAsia="Calibri" w:hAnsi="Verdana"/>
                <w:sz w:val="20"/>
                <w:szCs w:val="20"/>
                <w:lang w:eastAsia="en-US"/>
              </w:rPr>
              <w:t>. Концепцията на нормативния акт не насърчава, а ограничава дейността на професионалните потребители. Влиза в противоречие със ЗОАРАКСД (акт от по-висока степен), което прави значителен брой разпо</w:t>
            </w:r>
            <w:r w:rsidRPr="00890F85">
              <w:rPr>
                <w:rFonts w:ascii="Verdana" w:eastAsia="Calibri" w:hAnsi="Verdana"/>
                <w:sz w:val="20"/>
                <w:szCs w:val="20"/>
                <w:lang w:eastAsia="en-US"/>
              </w:rPr>
              <w:lastRenderedPageBreak/>
              <w:t>редби нищожни по определение, независимо дали министърът ще подпише наредбата в предлагания вид.</w:t>
            </w:r>
          </w:p>
        </w:tc>
        <w:tc>
          <w:tcPr>
            <w:tcW w:w="1701" w:type="dxa"/>
            <w:shd w:val="clear" w:color="auto" w:fill="auto"/>
          </w:tcPr>
          <w:p w:rsidR="00A96D44" w:rsidRDefault="00890F85" w:rsidP="008A5AB9">
            <w:pPr>
              <w:spacing w:before="80" w:after="40"/>
              <w:rPr>
                <w:rFonts w:ascii="Verdana" w:hAnsi="Verdana"/>
                <w:color w:val="000000"/>
                <w:sz w:val="20"/>
                <w:szCs w:val="20"/>
              </w:rPr>
            </w:pPr>
            <w:r>
              <w:rPr>
                <w:rFonts w:ascii="Verdana" w:hAnsi="Verdana"/>
                <w:color w:val="000000"/>
                <w:sz w:val="20"/>
                <w:szCs w:val="20"/>
              </w:rPr>
              <w:lastRenderedPageBreak/>
              <w:t>Не се приема</w:t>
            </w:r>
          </w:p>
        </w:tc>
        <w:tc>
          <w:tcPr>
            <w:tcW w:w="4875" w:type="dxa"/>
            <w:shd w:val="clear" w:color="auto" w:fill="auto"/>
          </w:tcPr>
          <w:p w:rsidR="00A96D44" w:rsidRPr="006676F6" w:rsidRDefault="00257F19" w:rsidP="008A5AB9">
            <w:pPr>
              <w:spacing w:before="80" w:after="40"/>
              <w:jc w:val="both"/>
              <w:rPr>
                <w:rFonts w:ascii="Verdana" w:eastAsia="Calibri" w:hAnsi="Verdana"/>
                <w:sz w:val="20"/>
                <w:szCs w:val="20"/>
                <w:lang w:eastAsia="en-US"/>
              </w:rPr>
            </w:pPr>
            <w:r w:rsidRPr="006676F6">
              <w:rPr>
                <w:rFonts w:ascii="Verdana" w:eastAsia="Calibri" w:hAnsi="Verdana"/>
                <w:sz w:val="20"/>
                <w:szCs w:val="20"/>
                <w:lang w:eastAsia="en-US"/>
              </w:rPr>
              <w:t>С</w:t>
            </w:r>
            <w:r w:rsidR="00890F85" w:rsidRPr="006676F6">
              <w:rPr>
                <w:rFonts w:ascii="Verdana" w:eastAsia="Calibri" w:hAnsi="Verdana"/>
                <w:sz w:val="20"/>
                <w:szCs w:val="20"/>
                <w:lang w:eastAsia="en-US"/>
              </w:rPr>
              <w:t>тановище</w:t>
            </w:r>
            <w:r w:rsidRPr="006676F6">
              <w:rPr>
                <w:rFonts w:ascii="Verdana" w:eastAsia="Calibri" w:hAnsi="Verdana"/>
                <w:sz w:val="20"/>
                <w:szCs w:val="20"/>
                <w:lang w:eastAsia="en-US"/>
              </w:rPr>
              <w:t>то</w:t>
            </w:r>
            <w:r w:rsidR="00890F85" w:rsidRPr="006676F6">
              <w:rPr>
                <w:rFonts w:ascii="Verdana" w:eastAsia="Calibri" w:hAnsi="Verdana"/>
                <w:sz w:val="20"/>
                <w:szCs w:val="20"/>
                <w:lang w:eastAsia="en-US"/>
              </w:rPr>
              <w:t xml:space="preserve"> е твърде общо и липсват препратки към конкретни разпоредби от проекта на Наредба, които да бъдат разгледани.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eastAsia="Calibri" w:hAnsi="Verdana"/>
                <w:sz w:val="20"/>
                <w:szCs w:val="20"/>
                <w:lang w:eastAsia="en-US"/>
              </w:rPr>
              <w:t>3. Предвижда се ръководствата за ИУВ (съответстващи на „специфичните за определени култури или сектори насоки за интегрирано управление на вредителите-чл. 14, т. 5 от Директивата) да се създават и актуализират по командно-административен път в противоречие с концепцията на Директивата – такива насоки могат да изготвят както публични органи, така и организации, представляващи определени професионални потребители; ролята на Държавата е да селектира приложимите и подходящи насоки, да отрази това в своя национален план и така да реализира водещата роля на държавата в този процес.</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6676F6" w:rsidRDefault="004C5B23" w:rsidP="008A5AB9">
            <w:pPr>
              <w:spacing w:before="80" w:after="40"/>
              <w:jc w:val="both"/>
              <w:rPr>
                <w:rFonts w:ascii="Verdana" w:eastAsia="Calibri" w:hAnsi="Verdana"/>
                <w:sz w:val="20"/>
                <w:szCs w:val="20"/>
                <w:lang w:eastAsia="en-US"/>
              </w:rPr>
            </w:pPr>
            <w:r w:rsidRPr="006676F6">
              <w:rPr>
                <w:rFonts w:ascii="Verdana" w:eastAsia="Calibri" w:hAnsi="Verdana"/>
                <w:sz w:val="20"/>
                <w:szCs w:val="20"/>
                <w:lang w:eastAsia="en-US"/>
              </w:rPr>
              <w:t xml:space="preserve">Съгласно </w:t>
            </w:r>
            <w:r w:rsidR="00EC630B" w:rsidRPr="006676F6">
              <w:rPr>
                <w:rFonts w:ascii="Verdana" w:eastAsia="Calibri" w:hAnsi="Verdana"/>
                <w:sz w:val="20"/>
                <w:szCs w:val="20"/>
                <w:lang w:eastAsia="en-US"/>
              </w:rPr>
              <w:t>ЗЗР</w:t>
            </w:r>
            <w:r w:rsidRPr="006676F6">
              <w:rPr>
                <w:rFonts w:ascii="Verdana" w:eastAsia="Calibri" w:hAnsi="Verdana"/>
                <w:sz w:val="20"/>
                <w:szCs w:val="20"/>
                <w:lang w:eastAsia="en-US"/>
              </w:rPr>
              <w:t xml:space="preserve">, министърът на земеделието, храните и горите провежда държавната политика в областта на растителната защита. В проекта е предвидено държавата, чрез министъра на земеделието, храните и горите, да има водещата роля при </w:t>
            </w:r>
            <w:r w:rsidR="003725F0" w:rsidRPr="006676F6">
              <w:rPr>
                <w:rFonts w:ascii="Verdana" w:eastAsia="Calibri" w:hAnsi="Verdana"/>
                <w:sz w:val="20"/>
                <w:szCs w:val="20"/>
                <w:lang w:eastAsia="en-US"/>
              </w:rPr>
              <w:t>създаването</w:t>
            </w:r>
            <w:r w:rsidRPr="006676F6">
              <w:rPr>
                <w:rFonts w:ascii="Verdana" w:eastAsia="Calibri" w:hAnsi="Verdana"/>
                <w:sz w:val="20"/>
                <w:szCs w:val="20"/>
                <w:lang w:eastAsia="en-US"/>
              </w:rPr>
              <w:t xml:space="preserve"> на ръководствата за интегрирано управление на вредителите</w:t>
            </w:r>
            <w:r w:rsidR="007F2389" w:rsidRPr="006676F6">
              <w:rPr>
                <w:rFonts w:ascii="Verdana" w:eastAsia="Calibri" w:hAnsi="Verdana"/>
                <w:sz w:val="20"/>
                <w:szCs w:val="20"/>
                <w:lang w:eastAsia="en-US"/>
              </w:rPr>
              <w:t xml:space="preserve">, </w:t>
            </w:r>
            <w:r w:rsidR="003725F0" w:rsidRPr="006676F6">
              <w:rPr>
                <w:rFonts w:ascii="Verdana" w:eastAsia="Calibri" w:hAnsi="Verdana"/>
                <w:sz w:val="20"/>
                <w:szCs w:val="20"/>
                <w:lang w:eastAsia="en-US"/>
              </w:rPr>
              <w:t>възлага</w:t>
            </w:r>
            <w:r w:rsidR="007F2389" w:rsidRPr="006676F6">
              <w:rPr>
                <w:rFonts w:ascii="Verdana" w:eastAsia="Calibri" w:hAnsi="Verdana"/>
                <w:sz w:val="20"/>
                <w:szCs w:val="20"/>
                <w:lang w:eastAsia="en-US"/>
              </w:rPr>
              <w:t>йки</w:t>
            </w:r>
            <w:r w:rsidR="003725F0" w:rsidRPr="006676F6">
              <w:rPr>
                <w:rFonts w:ascii="Verdana" w:eastAsia="Calibri" w:hAnsi="Verdana"/>
                <w:sz w:val="20"/>
                <w:szCs w:val="20"/>
                <w:lang w:eastAsia="en-US"/>
              </w:rPr>
              <w:t xml:space="preserve"> разработването им на </w:t>
            </w:r>
            <w:r w:rsidR="00D64CBC" w:rsidRPr="006676F6">
              <w:rPr>
                <w:rFonts w:ascii="Verdana" w:eastAsia="Calibri" w:hAnsi="Verdana"/>
                <w:sz w:val="20"/>
                <w:szCs w:val="20"/>
                <w:lang w:eastAsia="en-US"/>
              </w:rPr>
              <w:t xml:space="preserve">учени от </w:t>
            </w:r>
            <w:r w:rsidR="003725F0" w:rsidRPr="006676F6">
              <w:rPr>
                <w:rFonts w:ascii="Verdana" w:eastAsia="Calibri" w:hAnsi="Verdana"/>
                <w:sz w:val="20"/>
                <w:szCs w:val="20"/>
                <w:lang w:eastAsia="en-US"/>
              </w:rPr>
              <w:t>Селскостопанска академия, научни институции и браншови организации, в съответствие с чл. 14</w:t>
            </w:r>
            <w:r w:rsidR="004B15DC" w:rsidRPr="006676F6">
              <w:rPr>
                <w:rFonts w:ascii="Verdana" w:eastAsia="Calibri" w:hAnsi="Verdana"/>
                <w:sz w:val="20"/>
                <w:szCs w:val="20"/>
                <w:lang w:eastAsia="en-US"/>
              </w:rPr>
              <w:t>, т. 5</w:t>
            </w:r>
            <w:r w:rsidR="003725F0" w:rsidRPr="006676F6">
              <w:rPr>
                <w:rFonts w:ascii="Verdana" w:eastAsia="Calibri" w:hAnsi="Verdana"/>
                <w:sz w:val="20"/>
                <w:szCs w:val="20"/>
                <w:lang w:eastAsia="en-US"/>
              </w:rPr>
              <w:t xml:space="preserve"> на Директива 2009/128</w:t>
            </w:r>
            <w:r w:rsidRPr="006676F6">
              <w:rPr>
                <w:rFonts w:ascii="Verdana" w:eastAsia="Calibri" w:hAnsi="Verdana"/>
                <w:sz w:val="20"/>
                <w:szCs w:val="20"/>
                <w:lang w:eastAsia="en-US"/>
              </w:rPr>
              <w:t>.</w:t>
            </w:r>
            <w:r w:rsidR="00B37AFA" w:rsidRPr="006676F6">
              <w:rPr>
                <w:rFonts w:ascii="Verdana" w:eastAsia="Calibri" w:hAnsi="Verdana"/>
                <w:sz w:val="20"/>
                <w:szCs w:val="20"/>
                <w:lang w:eastAsia="en-US"/>
              </w:rPr>
              <w:t xml:space="preserve"> Освен за икономически важни земеделски култури, разработванет</w:t>
            </w:r>
            <w:r w:rsidR="0075077C">
              <w:rPr>
                <w:rFonts w:ascii="Verdana" w:eastAsia="Calibri" w:hAnsi="Verdana"/>
                <w:sz w:val="20"/>
                <w:szCs w:val="20"/>
                <w:lang w:eastAsia="en-US"/>
              </w:rPr>
              <w:t>о на</w:t>
            </w:r>
            <w:r w:rsidR="00B37AFA" w:rsidRPr="006676F6">
              <w:rPr>
                <w:rFonts w:ascii="Verdana" w:eastAsia="Calibri" w:hAnsi="Verdana"/>
                <w:sz w:val="20"/>
                <w:szCs w:val="20"/>
                <w:lang w:eastAsia="en-US"/>
              </w:rPr>
              <w:t xml:space="preserve"> ръководства ще става при всяка идентифицирана потребност и/или при заявяване от страна на земеделските </w:t>
            </w:r>
            <w:r w:rsidR="002245B9">
              <w:rPr>
                <w:rFonts w:ascii="Verdana" w:eastAsia="Calibri" w:hAnsi="Verdana"/>
                <w:sz w:val="20"/>
                <w:szCs w:val="20"/>
                <w:lang w:eastAsia="en-US"/>
              </w:rPr>
              <w:t>стопани</w:t>
            </w:r>
            <w:r w:rsidR="00B37AFA" w:rsidRPr="006676F6">
              <w:rPr>
                <w:rFonts w:ascii="Verdana" w:eastAsia="Calibri" w:hAnsi="Verdana"/>
                <w:sz w:val="20"/>
                <w:szCs w:val="20"/>
                <w:lang w:eastAsia="en-US"/>
              </w:rPr>
              <w:t>, без да се стеснява рамката по отношение на групите култури.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eastAsia="Calibri" w:hAnsi="Verdana"/>
                <w:sz w:val="20"/>
                <w:szCs w:val="20"/>
                <w:lang w:eastAsia="en-US"/>
              </w:rPr>
            </w:pPr>
            <w:r>
              <w:rPr>
                <w:rFonts w:ascii="Verdana" w:eastAsia="Calibri" w:hAnsi="Verdana"/>
                <w:sz w:val="20"/>
                <w:szCs w:val="20"/>
                <w:lang w:eastAsia="en-US"/>
              </w:rPr>
              <w:t>4. Директивата разглежда личността на консултанта като лице със знания, предоставящо съвети по ИУВ в контекста на професионалните си задължения – в това число като лице по трудови правоотношения с професионален потребител, търговски агент, търговец на дребно, производител на храни или пък като лице, предлагащо това като търговска услуга(самоосигуряващо се лице или консултантска фирма).</w:t>
            </w:r>
          </w:p>
          <w:p w:rsidR="00A96D44" w:rsidRDefault="004B639A" w:rsidP="008A5AB9">
            <w:pPr>
              <w:spacing w:before="80" w:after="40"/>
              <w:jc w:val="both"/>
              <w:rPr>
                <w:rFonts w:ascii="Verdana" w:hAnsi="Verdana"/>
                <w:sz w:val="20"/>
                <w:szCs w:val="20"/>
              </w:rPr>
            </w:pPr>
            <w:r>
              <w:rPr>
                <w:rFonts w:ascii="Verdana" w:eastAsia="Calibri" w:hAnsi="Verdana"/>
                <w:sz w:val="20"/>
                <w:szCs w:val="20"/>
                <w:lang w:eastAsia="en-US"/>
              </w:rPr>
              <w:t xml:space="preserve">В проекта се забранява консултантът да бъде лице, което произвежда, пуска на пазара, търгува или преопакова ПРЗ и не е свързано лице. Този подход разглежда тенденциозно и опростенчески личността на консултанта – ако той е лице, свързано с индустрията </w:t>
            </w:r>
            <w:r>
              <w:rPr>
                <w:rFonts w:ascii="Verdana" w:eastAsia="Calibri" w:hAnsi="Verdana"/>
                <w:sz w:val="20"/>
                <w:szCs w:val="20"/>
                <w:lang w:eastAsia="en-US"/>
              </w:rPr>
              <w:lastRenderedPageBreak/>
              <w:t>за ПРЗ, то той щял да продава препарати, вместо да намалява употребата им. По този начин се стига до противоречие с изискването на закона в селскостопанските аптеки, където се продават ПРЗ не от една, а от всякакви фирми-производители, да се консултират потребителите освен по конвенционалната употреба на ПРЗ, но и в съответствие с принципите на ИУВ. С тази забрана се дерогира и изискването на чл. 14, т. 2 от Директивата – държавите гарантират, че професионалните потребители разполагат с информация за ИУВ.</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lastRenderedPageBreak/>
              <w:t>Не се приема</w:t>
            </w:r>
          </w:p>
        </w:tc>
        <w:tc>
          <w:tcPr>
            <w:tcW w:w="4875" w:type="dxa"/>
            <w:shd w:val="clear" w:color="auto" w:fill="auto"/>
          </w:tcPr>
          <w:p w:rsidR="006E4783" w:rsidRDefault="006E4783" w:rsidP="008A5AB9">
            <w:pPr>
              <w:spacing w:before="80" w:after="40"/>
              <w:jc w:val="both"/>
              <w:rPr>
                <w:rFonts w:ascii="Verdana" w:hAnsi="Verdana"/>
                <w:sz w:val="20"/>
                <w:szCs w:val="20"/>
              </w:rPr>
            </w:pPr>
            <w:r>
              <w:rPr>
                <w:rFonts w:ascii="Verdana" w:hAnsi="Verdana"/>
                <w:sz w:val="20"/>
                <w:szCs w:val="20"/>
              </w:rPr>
              <w:t xml:space="preserve">Съгласно Директива 2009/128, консултантът е лице, което е придобило съответните знания и предоставя съвети относно управлението на вредителите и безопасната употреба на пестициди в контекста на професионалните си задължения или като търговска услуга. </w:t>
            </w:r>
          </w:p>
          <w:p w:rsidR="004A1776" w:rsidRDefault="006A1133" w:rsidP="008A5AB9">
            <w:pPr>
              <w:spacing w:before="80" w:after="40"/>
              <w:jc w:val="both"/>
              <w:rPr>
                <w:rFonts w:ascii="Verdana" w:hAnsi="Verdana"/>
                <w:sz w:val="20"/>
                <w:szCs w:val="20"/>
              </w:rPr>
            </w:pPr>
            <w:r>
              <w:rPr>
                <w:rFonts w:ascii="Verdana" w:hAnsi="Verdana"/>
                <w:sz w:val="20"/>
                <w:szCs w:val="20"/>
              </w:rPr>
              <w:t xml:space="preserve">Консултантските услуги за интегрирано управление на вредителите са вид специализирана растителнозащитна услуга. Изискванията към лицата, които могат да я извършват, са разписани в чл. 118 от ЗЗР. Тези изисквания (и в закона, и в проекта на наредбата) са </w:t>
            </w:r>
            <w:r w:rsidR="00C43ADC">
              <w:rPr>
                <w:rFonts w:ascii="Verdana" w:hAnsi="Verdana"/>
                <w:sz w:val="20"/>
                <w:szCs w:val="20"/>
              </w:rPr>
              <w:t>заложени</w:t>
            </w:r>
            <w:r>
              <w:rPr>
                <w:rFonts w:ascii="Verdana" w:hAnsi="Verdana"/>
                <w:sz w:val="20"/>
                <w:szCs w:val="20"/>
              </w:rPr>
              <w:t>, тъй като интег</w:t>
            </w:r>
            <w:r>
              <w:rPr>
                <w:rFonts w:ascii="Verdana" w:hAnsi="Verdana"/>
                <w:sz w:val="20"/>
                <w:szCs w:val="20"/>
              </w:rPr>
              <w:lastRenderedPageBreak/>
              <w:t xml:space="preserve">рираното производство се различава от конвенционалното производство, то е на доброволен принцип, при прилагането на който земеделските стопани прилагат общите и специфични принципи за интегрирано управление на вредителите. </w:t>
            </w:r>
          </w:p>
          <w:p w:rsidR="00DB3F8A" w:rsidRDefault="00DB3F8A" w:rsidP="008A5AB9">
            <w:pPr>
              <w:spacing w:before="80" w:after="40"/>
              <w:jc w:val="both"/>
              <w:rPr>
                <w:rFonts w:ascii="Verdana" w:hAnsi="Verdana"/>
                <w:sz w:val="20"/>
                <w:szCs w:val="20"/>
              </w:rPr>
            </w:pPr>
            <w:r>
              <w:rPr>
                <w:rFonts w:ascii="Verdana" w:hAnsi="Verdana"/>
                <w:sz w:val="20"/>
                <w:szCs w:val="20"/>
              </w:rPr>
              <w:t xml:space="preserve">При извършена редакция в проекта на наредба </w:t>
            </w:r>
            <w:r w:rsidR="002A4E43">
              <w:rPr>
                <w:rFonts w:ascii="Verdana" w:hAnsi="Verdana"/>
                <w:sz w:val="20"/>
                <w:szCs w:val="20"/>
              </w:rPr>
              <w:t>е</w:t>
            </w:r>
            <w:r>
              <w:rPr>
                <w:rFonts w:ascii="Verdana" w:hAnsi="Verdana"/>
                <w:sz w:val="20"/>
                <w:szCs w:val="20"/>
              </w:rPr>
              <w:t xml:space="preserve"> заличен текстът „</w:t>
            </w:r>
            <w:r w:rsidRPr="00DB3F8A">
              <w:rPr>
                <w:rFonts w:ascii="Verdana" w:hAnsi="Verdana"/>
                <w:sz w:val="20"/>
                <w:szCs w:val="20"/>
              </w:rPr>
              <w:t>Консултант по интегрирано управление на вредителите е лице, което не извършва производство, пускане на пазара, търговия и преопаковане на продукти за растителна защита, и не е свързано предприятие по смисъла на Закона за малките и средните предприятия, което извършва такива дейности.</w:t>
            </w:r>
            <w:r>
              <w:rPr>
                <w:rFonts w:ascii="Verdana" w:hAnsi="Verdana"/>
                <w:sz w:val="20"/>
                <w:szCs w:val="20"/>
              </w:rPr>
              <w:t>“</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eastAsia="Calibri" w:hAnsi="Verdana"/>
                <w:sz w:val="20"/>
                <w:szCs w:val="20"/>
                <w:lang w:eastAsia="en-US"/>
              </w:rPr>
              <w:t xml:space="preserve">5. Ролята на професионалния потребител в предлагания проект като лице, което взема решения е окастрена до съвършенство – в прил. 3 на </w:t>
            </w:r>
            <w:r w:rsidRPr="00091081">
              <w:rPr>
                <w:rFonts w:ascii="Verdana" w:eastAsia="Calibri" w:hAnsi="Verdana"/>
                <w:sz w:val="20"/>
                <w:szCs w:val="20"/>
                <w:lang w:eastAsia="en-US"/>
              </w:rPr>
              <w:t>Д128</w:t>
            </w:r>
            <w:r>
              <w:rPr>
                <w:rFonts w:ascii="Verdana" w:eastAsia="Calibri" w:hAnsi="Verdana"/>
                <w:sz w:val="20"/>
                <w:szCs w:val="20"/>
                <w:lang w:eastAsia="en-US"/>
              </w:rPr>
              <w:t xml:space="preserve"> за Общите принципи на ИУВ професионалният потребител взема решения въз основа на резултатите от наблюдението, ограничава употребата на ПРЗ в съответствие с рисковете и опасностите и въз основа на данните за употребените ПРЗ и от наблюденията проверява колко е успешна дейността му. Проектът за наредба (за специфичните насоки за ИУВ) отнема тези негови общи задължения и ги свежда до конкретно изброени действия, извън което потребителят е застрашен от заличаване в регистъра.</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B602C4" w:rsidRDefault="002C008F" w:rsidP="008A5AB9">
            <w:pPr>
              <w:spacing w:before="80" w:after="40"/>
              <w:jc w:val="both"/>
              <w:rPr>
                <w:rFonts w:ascii="Verdana" w:eastAsia="Calibri" w:hAnsi="Verdana"/>
                <w:sz w:val="20"/>
                <w:szCs w:val="20"/>
                <w:lang w:eastAsia="en-US"/>
              </w:rPr>
            </w:pPr>
            <w:r w:rsidRPr="00B602C4">
              <w:rPr>
                <w:rFonts w:ascii="Verdana" w:eastAsia="Calibri" w:hAnsi="Verdana"/>
                <w:sz w:val="20"/>
                <w:szCs w:val="20"/>
                <w:lang w:eastAsia="en-US"/>
              </w:rPr>
              <w:t xml:space="preserve">Съгласно чл. 14, пар. 2 от Директива 2009/128 „държавите членки създават или подкрепят създаването на необходимите условия за прилагане на интегрираното управление на вредителите. По-специално те гарантират, че професионалните потребители разполагат с информация, с инструменти за наблюдение на вредителите и за вземане на решения, както и с консултантски услуги по въпросите на интегрираното управление на вредителите.“ </w:t>
            </w:r>
            <w:r w:rsidR="006E4783" w:rsidRPr="00B602C4">
              <w:rPr>
                <w:rFonts w:ascii="Verdana" w:eastAsia="Calibri" w:hAnsi="Verdana"/>
                <w:sz w:val="20"/>
                <w:szCs w:val="20"/>
                <w:lang w:eastAsia="en-US"/>
              </w:rPr>
              <w:t xml:space="preserve">Това е основната цел и на проекта на наредба – земеделските стопани да </w:t>
            </w:r>
            <w:r w:rsidR="00983734" w:rsidRPr="00B602C4">
              <w:rPr>
                <w:rFonts w:ascii="Verdana" w:eastAsia="Calibri" w:hAnsi="Verdana"/>
                <w:sz w:val="20"/>
                <w:szCs w:val="20"/>
                <w:lang w:eastAsia="en-US"/>
              </w:rPr>
              <w:t xml:space="preserve">извършват интегрирано производство на растения и растителни продукти, </w:t>
            </w:r>
            <w:r w:rsidR="007A187B">
              <w:rPr>
                <w:rFonts w:ascii="Verdana" w:eastAsia="Calibri" w:hAnsi="Verdana"/>
                <w:sz w:val="20"/>
                <w:szCs w:val="20"/>
                <w:lang w:eastAsia="en-US"/>
              </w:rPr>
              <w:t xml:space="preserve">като </w:t>
            </w:r>
            <w:r w:rsidR="006E4783" w:rsidRPr="00B602C4">
              <w:rPr>
                <w:rFonts w:ascii="Verdana" w:eastAsia="Calibri" w:hAnsi="Verdana"/>
                <w:sz w:val="20"/>
                <w:szCs w:val="20"/>
                <w:lang w:eastAsia="en-US"/>
              </w:rPr>
              <w:t>прила</w:t>
            </w:r>
            <w:r w:rsidR="007A187B">
              <w:rPr>
                <w:rFonts w:ascii="Verdana" w:eastAsia="Calibri" w:hAnsi="Verdana"/>
                <w:sz w:val="20"/>
                <w:szCs w:val="20"/>
                <w:lang w:eastAsia="en-US"/>
              </w:rPr>
              <w:t>гат</w:t>
            </w:r>
            <w:r w:rsidR="006E4783" w:rsidRPr="00B602C4">
              <w:rPr>
                <w:rFonts w:ascii="Verdana" w:eastAsia="Calibri" w:hAnsi="Verdana"/>
                <w:sz w:val="20"/>
                <w:szCs w:val="20"/>
                <w:lang w:eastAsia="en-US"/>
              </w:rPr>
              <w:t xml:space="preserve"> общите и специфични принципи на интегрирано управление на вредителите</w:t>
            </w:r>
            <w:r w:rsidR="007A187B">
              <w:rPr>
                <w:rFonts w:ascii="Verdana" w:eastAsia="Calibri" w:hAnsi="Verdana"/>
                <w:sz w:val="20"/>
                <w:szCs w:val="20"/>
                <w:lang w:eastAsia="en-US"/>
              </w:rPr>
              <w:t xml:space="preserve"> </w:t>
            </w:r>
            <w:r w:rsidR="00983734" w:rsidRPr="00B602C4">
              <w:rPr>
                <w:rFonts w:ascii="Verdana" w:eastAsia="Calibri" w:hAnsi="Verdana"/>
                <w:sz w:val="20"/>
                <w:szCs w:val="20"/>
                <w:lang w:eastAsia="en-US"/>
              </w:rPr>
              <w:t xml:space="preserve">и </w:t>
            </w:r>
            <w:r w:rsidR="007A187B">
              <w:rPr>
                <w:rFonts w:ascii="Verdana" w:eastAsia="Calibri" w:hAnsi="Verdana"/>
                <w:sz w:val="20"/>
                <w:szCs w:val="20"/>
                <w:lang w:eastAsia="en-US"/>
              </w:rPr>
              <w:t>из</w:t>
            </w:r>
            <w:r w:rsidR="00983734" w:rsidRPr="00B602C4">
              <w:rPr>
                <w:rFonts w:ascii="Verdana" w:eastAsia="Calibri" w:hAnsi="Verdana"/>
                <w:sz w:val="20"/>
                <w:szCs w:val="20"/>
                <w:lang w:eastAsia="en-US"/>
              </w:rPr>
              <w:t>ползват консултантски услуги.</w:t>
            </w:r>
            <w:r w:rsidR="00BC15B9" w:rsidRPr="00B602C4">
              <w:rPr>
                <w:rFonts w:ascii="Verdana" w:eastAsia="Calibri" w:hAnsi="Verdana"/>
                <w:sz w:val="20"/>
                <w:szCs w:val="20"/>
                <w:lang w:eastAsia="en-US"/>
              </w:rPr>
              <w:t xml:space="preserve"> Правилата на Общата селскостопанска политика</w:t>
            </w:r>
            <w:r w:rsidR="00F107DA" w:rsidRPr="00B602C4">
              <w:rPr>
                <w:rFonts w:ascii="Verdana" w:eastAsia="Calibri" w:hAnsi="Verdana"/>
                <w:sz w:val="20"/>
                <w:szCs w:val="20"/>
                <w:lang w:eastAsia="en-US"/>
              </w:rPr>
              <w:t xml:space="preserve"> (ОСП)</w:t>
            </w:r>
            <w:r w:rsidR="00BC15B9" w:rsidRPr="00B602C4">
              <w:rPr>
                <w:rFonts w:ascii="Verdana" w:eastAsia="Calibri" w:hAnsi="Verdana"/>
                <w:sz w:val="20"/>
                <w:szCs w:val="20"/>
                <w:lang w:eastAsia="en-US"/>
              </w:rPr>
              <w:t xml:space="preserve"> изискват </w:t>
            </w:r>
            <w:r w:rsidR="00BC15B9" w:rsidRPr="00B602C4">
              <w:rPr>
                <w:rFonts w:ascii="Verdana" w:eastAsia="Calibri" w:hAnsi="Verdana"/>
                <w:sz w:val="20"/>
                <w:szCs w:val="20"/>
                <w:lang w:eastAsia="en-US"/>
              </w:rPr>
              <w:lastRenderedPageBreak/>
              <w:t>от държавите членки да установят системи за съвети в селското стопанство и да предоставят консултации относно интегрираното управление на вредителите на всички земеделски стопани.</w:t>
            </w:r>
            <w:r w:rsidR="00F107DA" w:rsidRPr="00B602C4">
              <w:rPr>
                <w:rFonts w:ascii="Verdana" w:eastAsia="Calibri" w:hAnsi="Verdana"/>
                <w:sz w:val="20"/>
                <w:szCs w:val="20"/>
                <w:lang w:eastAsia="en-US"/>
              </w:rPr>
              <w:t xml:space="preserve"> В работен документ на Европейската комисия относно препоръки към България във връзка с нейния стратегически план за ОСП, се констатира относително ниско ниво на образование и професионално обучение на българските фермери.</w:t>
            </w:r>
            <w:r w:rsidR="002A489C" w:rsidRPr="00B602C4">
              <w:rPr>
                <w:rFonts w:ascii="Verdana" w:eastAsia="Calibri" w:hAnsi="Verdana"/>
                <w:sz w:val="20"/>
                <w:szCs w:val="20"/>
                <w:lang w:eastAsia="en-US"/>
              </w:rPr>
              <w:t xml:space="preserve"> В тази връзка Комисията препоръчва повишаване на конкурентоспособността и пазарната ориентация на сектора в България, чрез осигуряване на </w:t>
            </w:r>
            <w:r w:rsidR="002B49BA" w:rsidRPr="00B602C4">
              <w:rPr>
                <w:rFonts w:ascii="Verdana" w:eastAsia="Calibri" w:hAnsi="Verdana"/>
                <w:sz w:val="20"/>
                <w:szCs w:val="20"/>
                <w:lang w:eastAsia="en-US"/>
              </w:rPr>
              <w:t>професионално обучение на земеделските стопани</w:t>
            </w:r>
            <w:r w:rsidR="002B49BA">
              <w:rPr>
                <w:rFonts w:ascii="Verdana" w:eastAsia="Calibri" w:hAnsi="Verdana"/>
                <w:sz w:val="20"/>
                <w:szCs w:val="20"/>
                <w:lang w:eastAsia="en-US"/>
              </w:rPr>
              <w:t>,</w:t>
            </w:r>
            <w:r w:rsidR="002B49BA" w:rsidRPr="00B602C4">
              <w:rPr>
                <w:rFonts w:ascii="Verdana" w:eastAsia="Calibri" w:hAnsi="Verdana"/>
                <w:sz w:val="20"/>
                <w:szCs w:val="20"/>
                <w:lang w:eastAsia="en-US"/>
              </w:rPr>
              <w:t xml:space="preserve"> </w:t>
            </w:r>
            <w:r w:rsidR="002A489C" w:rsidRPr="00B602C4">
              <w:rPr>
                <w:rFonts w:ascii="Verdana" w:eastAsia="Calibri" w:hAnsi="Verdana"/>
                <w:sz w:val="20"/>
                <w:szCs w:val="20"/>
                <w:lang w:eastAsia="en-US"/>
              </w:rPr>
              <w:t>достъп до нови технологии, иновации, маркетингови инициативи</w:t>
            </w:r>
            <w:r w:rsidR="00CF6BF4" w:rsidRPr="00B602C4">
              <w:rPr>
                <w:rFonts w:ascii="Verdana" w:eastAsia="Calibri" w:hAnsi="Verdana"/>
                <w:sz w:val="20"/>
                <w:szCs w:val="20"/>
                <w:lang w:eastAsia="en-US"/>
              </w:rPr>
              <w:t xml:space="preserve"> и по-широка</w:t>
            </w:r>
            <w:r w:rsidR="002A489C" w:rsidRPr="00B602C4">
              <w:rPr>
                <w:rFonts w:ascii="Verdana" w:eastAsia="Calibri" w:hAnsi="Verdana"/>
                <w:sz w:val="20"/>
                <w:szCs w:val="20"/>
                <w:lang w:eastAsia="en-US"/>
              </w:rPr>
              <w:t xml:space="preserve"> </w:t>
            </w:r>
            <w:r w:rsidR="00CF6BF4" w:rsidRPr="00B602C4">
              <w:rPr>
                <w:rFonts w:ascii="Verdana" w:eastAsia="Calibri" w:hAnsi="Verdana"/>
                <w:sz w:val="20"/>
                <w:szCs w:val="20"/>
                <w:lang w:eastAsia="en-US"/>
              </w:rPr>
              <w:t>употреба</w:t>
            </w:r>
            <w:r w:rsidR="002A489C" w:rsidRPr="00B602C4">
              <w:rPr>
                <w:rFonts w:ascii="Verdana" w:eastAsia="Calibri" w:hAnsi="Verdana"/>
                <w:sz w:val="20"/>
                <w:szCs w:val="20"/>
                <w:lang w:eastAsia="en-US"/>
              </w:rPr>
              <w:t xml:space="preserve"> на инструменти за управление на риска.</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eastAsia="Calibri" w:hAnsi="Verdana"/>
                <w:sz w:val="20"/>
                <w:szCs w:val="20"/>
                <w:lang w:eastAsia="en-US"/>
              </w:rPr>
              <w:t>6. Проектът предвижда създаването и поддържането на огромно количество копия от документи, без това да е нужно за изпълнение на целите на закона.</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B602C4" w:rsidRDefault="00890F85" w:rsidP="008A5AB9">
            <w:pPr>
              <w:spacing w:before="80" w:after="40"/>
              <w:jc w:val="both"/>
              <w:rPr>
                <w:rFonts w:ascii="Verdana" w:eastAsia="Calibri" w:hAnsi="Verdana"/>
                <w:sz w:val="20"/>
                <w:szCs w:val="20"/>
                <w:lang w:eastAsia="en-US"/>
              </w:rPr>
            </w:pPr>
            <w:r w:rsidRPr="00B602C4">
              <w:rPr>
                <w:rFonts w:ascii="Verdana" w:eastAsia="Calibri" w:hAnsi="Verdana"/>
                <w:sz w:val="20"/>
                <w:szCs w:val="20"/>
                <w:lang w:eastAsia="en-US"/>
              </w:rPr>
              <w:t xml:space="preserve">Изискват се копия на документи, които не могат да </w:t>
            </w:r>
            <w:r w:rsidR="00BE0DC1" w:rsidRPr="00B602C4">
              <w:rPr>
                <w:rFonts w:ascii="Verdana" w:eastAsia="Calibri" w:hAnsi="Verdana"/>
                <w:sz w:val="20"/>
                <w:szCs w:val="20"/>
                <w:lang w:eastAsia="en-US"/>
              </w:rPr>
              <w:t xml:space="preserve">бъдат </w:t>
            </w:r>
            <w:r w:rsidRPr="00B602C4">
              <w:rPr>
                <w:rFonts w:ascii="Verdana" w:eastAsia="Calibri" w:hAnsi="Verdana"/>
                <w:sz w:val="20"/>
                <w:szCs w:val="20"/>
                <w:lang w:eastAsia="en-US"/>
              </w:rPr>
              <w:t>набавени по служебен път и същевременно са необходими за изпълнение целите на проекта.</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sidRPr="00C345BB">
              <w:rPr>
                <w:rFonts w:ascii="Verdana" w:eastAsia="Calibri" w:hAnsi="Verdana"/>
                <w:sz w:val="20"/>
                <w:szCs w:val="20"/>
                <w:lang w:eastAsia="en-US"/>
              </w:rPr>
              <w:t>7.</w:t>
            </w:r>
            <w:r>
              <w:rPr>
                <w:rFonts w:ascii="Verdana" w:eastAsia="Calibri" w:hAnsi="Verdana"/>
                <w:sz w:val="20"/>
                <w:szCs w:val="20"/>
                <w:lang w:eastAsia="en-US"/>
              </w:rPr>
              <w:t xml:space="preserve"> Проектът не отчита финансовото въздействие от приложението на чл. 24, ал. 3 и ал. 4 -предвижда се задължително вземане на лабораторна проба най-малко веднъж годишно при извършване на плановите проверки.</w:t>
            </w:r>
          </w:p>
        </w:tc>
        <w:tc>
          <w:tcPr>
            <w:tcW w:w="1701" w:type="dxa"/>
            <w:shd w:val="clear" w:color="auto" w:fill="auto"/>
          </w:tcPr>
          <w:p w:rsidR="00A96D44" w:rsidRDefault="00890F85"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B602C4" w:rsidRDefault="001C168B" w:rsidP="008A5AB9">
            <w:pPr>
              <w:spacing w:before="80" w:after="40"/>
              <w:jc w:val="both"/>
              <w:rPr>
                <w:rFonts w:ascii="Verdana" w:eastAsia="Calibri" w:hAnsi="Verdana"/>
                <w:sz w:val="20"/>
                <w:szCs w:val="20"/>
                <w:lang w:eastAsia="en-US"/>
              </w:rPr>
            </w:pPr>
            <w:r w:rsidRPr="00B602C4">
              <w:rPr>
                <w:rFonts w:ascii="Verdana" w:eastAsia="Calibri" w:hAnsi="Verdana"/>
                <w:sz w:val="20"/>
                <w:szCs w:val="20"/>
                <w:lang w:eastAsia="en-US"/>
              </w:rPr>
              <w:t xml:space="preserve">Цитираният член от проекта </w:t>
            </w:r>
            <w:r w:rsidR="00C345BB" w:rsidRPr="00B602C4">
              <w:rPr>
                <w:rFonts w:ascii="Verdana" w:eastAsia="Calibri" w:hAnsi="Verdana"/>
                <w:sz w:val="20"/>
                <w:szCs w:val="20"/>
                <w:lang w:eastAsia="en-US"/>
              </w:rPr>
              <w:t xml:space="preserve">(при извършено </w:t>
            </w:r>
            <w:r w:rsidRPr="00B602C4">
              <w:rPr>
                <w:rFonts w:ascii="Verdana" w:eastAsia="Calibri" w:hAnsi="Verdana"/>
                <w:sz w:val="20"/>
                <w:szCs w:val="20"/>
                <w:lang w:eastAsia="en-US"/>
              </w:rPr>
              <w:t>преномериран</w:t>
            </w:r>
            <w:r w:rsidR="00C345BB" w:rsidRPr="00B602C4">
              <w:rPr>
                <w:rFonts w:ascii="Verdana" w:eastAsia="Calibri" w:hAnsi="Verdana"/>
                <w:sz w:val="20"/>
                <w:szCs w:val="20"/>
                <w:lang w:eastAsia="en-US"/>
              </w:rPr>
              <w:t>е</w:t>
            </w:r>
            <w:r w:rsidRPr="00B602C4">
              <w:rPr>
                <w:rFonts w:ascii="Verdana" w:eastAsia="Calibri" w:hAnsi="Verdana"/>
                <w:sz w:val="20"/>
                <w:szCs w:val="20"/>
                <w:lang w:eastAsia="en-US"/>
              </w:rPr>
              <w:t xml:space="preserve"> </w:t>
            </w:r>
            <w:r w:rsidR="00C345BB" w:rsidRPr="00B602C4">
              <w:rPr>
                <w:rFonts w:ascii="Verdana" w:eastAsia="Calibri" w:hAnsi="Verdana"/>
                <w:sz w:val="20"/>
                <w:szCs w:val="20"/>
                <w:lang w:eastAsia="en-US"/>
              </w:rPr>
              <w:t>-</w:t>
            </w:r>
            <w:r w:rsidRPr="00B602C4">
              <w:rPr>
                <w:rFonts w:ascii="Verdana" w:eastAsia="Calibri" w:hAnsi="Verdana"/>
                <w:sz w:val="20"/>
                <w:szCs w:val="20"/>
                <w:lang w:eastAsia="en-US"/>
              </w:rPr>
              <w:t xml:space="preserve"> чл. 19, ал. 3 и 4</w:t>
            </w:r>
            <w:r w:rsidR="00C345BB" w:rsidRPr="00B602C4">
              <w:rPr>
                <w:rFonts w:ascii="Verdana" w:eastAsia="Calibri" w:hAnsi="Verdana"/>
                <w:sz w:val="20"/>
                <w:szCs w:val="20"/>
                <w:lang w:eastAsia="en-US"/>
              </w:rPr>
              <w:t>)</w:t>
            </w:r>
            <w:r w:rsidRPr="00B602C4">
              <w:rPr>
                <w:rFonts w:ascii="Verdana" w:eastAsia="Calibri" w:hAnsi="Verdana"/>
                <w:sz w:val="20"/>
                <w:szCs w:val="20"/>
                <w:lang w:eastAsia="en-US"/>
              </w:rPr>
              <w:t xml:space="preserve"> се отна</w:t>
            </w:r>
            <w:r w:rsidR="00C345BB" w:rsidRPr="00B602C4">
              <w:rPr>
                <w:rFonts w:ascii="Verdana" w:eastAsia="Calibri" w:hAnsi="Verdana"/>
                <w:sz w:val="20"/>
                <w:szCs w:val="20"/>
                <w:lang w:eastAsia="en-US"/>
              </w:rPr>
              <w:t>ся</w:t>
            </w:r>
            <w:r w:rsidRPr="00B602C4">
              <w:rPr>
                <w:rFonts w:ascii="Verdana" w:eastAsia="Calibri" w:hAnsi="Verdana"/>
                <w:sz w:val="20"/>
                <w:szCs w:val="20"/>
                <w:lang w:eastAsia="en-US"/>
              </w:rPr>
              <w:t xml:space="preserve"> до взе</w:t>
            </w:r>
            <w:r w:rsidR="00C345BB" w:rsidRPr="00B602C4">
              <w:rPr>
                <w:rFonts w:ascii="Verdana" w:eastAsia="Calibri" w:hAnsi="Verdana"/>
                <w:sz w:val="20"/>
                <w:szCs w:val="20"/>
                <w:lang w:eastAsia="en-US"/>
              </w:rPr>
              <w:t>мане и анализиране</w:t>
            </w:r>
            <w:r w:rsidRPr="00B602C4">
              <w:rPr>
                <w:rFonts w:ascii="Verdana" w:eastAsia="Calibri" w:hAnsi="Verdana"/>
                <w:sz w:val="20"/>
                <w:szCs w:val="20"/>
                <w:lang w:eastAsia="en-US"/>
              </w:rPr>
              <w:t xml:space="preserve"> на контролни проби от растения и растителни продукти при проверките в процеса на официалния </w:t>
            </w:r>
            <w:r w:rsidR="00C345BB" w:rsidRPr="00B602C4">
              <w:rPr>
                <w:rFonts w:ascii="Verdana" w:eastAsia="Calibri" w:hAnsi="Verdana"/>
                <w:sz w:val="20"/>
                <w:szCs w:val="20"/>
                <w:lang w:eastAsia="en-US"/>
              </w:rPr>
              <w:t>контрол. Редът за вземане и доставяне на проби в лаборатории</w:t>
            </w:r>
            <w:r w:rsidRPr="00B602C4">
              <w:rPr>
                <w:rFonts w:ascii="Verdana" w:eastAsia="Calibri" w:hAnsi="Verdana"/>
                <w:sz w:val="20"/>
                <w:szCs w:val="20"/>
                <w:lang w:eastAsia="en-US"/>
              </w:rPr>
              <w:t xml:space="preserve"> </w:t>
            </w:r>
            <w:r w:rsidR="00C345BB" w:rsidRPr="00B602C4">
              <w:rPr>
                <w:rFonts w:ascii="Verdana" w:eastAsia="Calibri" w:hAnsi="Verdana"/>
                <w:sz w:val="20"/>
                <w:szCs w:val="20"/>
                <w:lang w:eastAsia="en-US"/>
              </w:rPr>
              <w:t>е разписан в проекта</w:t>
            </w:r>
            <w:r w:rsidRPr="00B602C4">
              <w:rPr>
                <w:rFonts w:ascii="Verdana" w:eastAsia="Calibri" w:hAnsi="Verdana"/>
                <w:sz w:val="20"/>
                <w:szCs w:val="20"/>
                <w:lang w:eastAsia="en-US"/>
              </w:rPr>
              <w:t xml:space="preserve"> на наредба по чл. 120, ал. 1 от ЗЗР</w:t>
            </w:r>
            <w:r w:rsidR="00C345BB" w:rsidRPr="00B602C4">
              <w:rPr>
                <w:rFonts w:ascii="Verdana" w:eastAsia="Calibri" w:hAnsi="Verdana"/>
                <w:sz w:val="20"/>
                <w:szCs w:val="20"/>
                <w:lang w:eastAsia="en-US"/>
              </w:rPr>
              <w:t xml:space="preserve"> - Наредба за условията и реда за контрол върху продуктите за растителна защита, търговията, преопаковането, съхранението и употребата им</w:t>
            </w:r>
            <w:r w:rsidRPr="00B602C4">
              <w:rPr>
                <w:rFonts w:ascii="Verdana" w:eastAsia="Calibri" w:hAnsi="Verdana"/>
                <w:sz w:val="20"/>
                <w:szCs w:val="20"/>
                <w:lang w:eastAsia="en-US"/>
              </w:rPr>
              <w:t xml:space="preserve">. </w:t>
            </w:r>
            <w:r w:rsidR="00CE6773" w:rsidRPr="00B602C4">
              <w:rPr>
                <w:rFonts w:ascii="Verdana" w:eastAsia="Calibri" w:hAnsi="Verdana"/>
                <w:sz w:val="20"/>
                <w:szCs w:val="20"/>
                <w:lang w:eastAsia="en-US"/>
              </w:rPr>
              <w:t>При извършване на офи</w:t>
            </w:r>
            <w:r w:rsidR="00CE6773" w:rsidRPr="00B602C4">
              <w:rPr>
                <w:rFonts w:ascii="Verdana" w:eastAsia="Calibri" w:hAnsi="Verdana"/>
                <w:sz w:val="20"/>
                <w:szCs w:val="20"/>
                <w:lang w:eastAsia="en-US"/>
              </w:rPr>
              <w:lastRenderedPageBreak/>
              <w:t xml:space="preserve">циален контрол, инспекторите вземат контролни проби по чл. 120, ал. 3 от ЗЗР при спазване на изискванията, посочени в стандартни оперативни процедури, утвърдени от изпълнителния директор на БАБХ и разработени в съответствие с действащото европейско и национално законодателство. Взетите проби за целите на официалния контрол се изпитват в официални лаборатории, които отговарят на изискванията на чл.120, ал. 4 и 5 от ЗЗР и чл. 51 от Закона за управление на агрохранителната верига. </w:t>
            </w:r>
            <w:r w:rsidR="00C345BB" w:rsidRPr="00B602C4">
              <w:rPr>
                <w:rFonts w:ascii="Verdana" w:eastAsia="Calibri" w:hAnsi="Verdana"/>
                <w:sz w:val="20"/>
                <w:szCs w:val="20"/>
                <w:lang w:eastAsia="en-US"/>
              </w:rPr>
              <w:t>При установено несъответствие</w:t>
            </w:r>
            <w:r w:rsidR="00CE6773" w:rsidRPr="00B602C4">
              <w:rPr>
                <w:rFonts w:ascii="Verdana" w:eastAsia="Calibri" w:hAnsi="Verdana"/>
                <w:sz w:val="20"/>
                <w:szCs w:val="20"/>
                <w:lang w:eastAsia="en-US"/>
              </w:rPr>
              <w:t xml:space="preserve">, разходите за изпитването се заплащат от лицето, допуснало нарушение по чл.120, ал. 6 от ЗЗР, в срок до 7 дни от уведомяването за лабораторния резултат. </w:t>
            </w:r>
            <w:r w:rsidRPr="00B602C4">
              <w:rPr>
                <w:rFonts w:ascii="Verdana" w:eastAsia="Calibri" w:hAnsi="Verdana"/>
                <w:sz w:val="20"/>
                <w:szCs w:val="20"/>
                <w:lang w:eastAsia="en-US"/>
              </w:rPr>
              <w:t>Предстои обнародване на наредбата по чл. 120, ал. 1 от ЗЗР</w:t>
            </w:r>
            <w:r w:rsidR="00CE6773" w:rsidRPr="00B602C4">
              <w:rPr>
                <w:rFonts w:ascii="Verdana" w:eastAsia="Calibri" w:hAnsi="Verdana"/>
                <w:sz w:val="20"/>
                <w:szCs w:val="20"/>
                <w:lang w:eastAsia="en-US"/>
              </w:rPr>
              <w:t xml:space="preserve"> в ДВ. </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eastAsia="Calibri" w:hAnsi="Verdana"/>
                <w:b/>
                <w:bCs/>
                <w:sz w:val="20"/>
                <w:szCs w:val="20"/>
                <w:lang w:eastAsia="en-US"/>
              </w:rPr>
            </w:pPr>
            <w:r w:rsidRPr="00817618">
              <w:rPr>
                <w:rFonts w:ascii="Verdana" w:eastAsia="Calibri" w:hAnsi="Verdana"/>
                <w:b/>
                <w:bCs/>
                <w:sz w:val="20"/>
                <w:szCs w:val="20"/>
                <w:lang w:eastAsia="en-US"/>
              </w:rPr>
              <w:t>Предложения:</w:t>
            </w:r>
          </w:p>
        </w:tc>
        <w:tc>
          <w:tcPr>
            <w:tcW w:w="1701" w:type="dxa"/>
            <w:shd w:val="clear" w:color="auto" w:fill="auto"/>
          </w:tcPr>
          <w:p w:rsidR="00A96D44" w:rsidRDefault="00A96D44" w:rsidP="008A5AB9">
            <w:pPr>
              <w:spacing w:before="80" w:after="40"/>
              <w:rPr>
                <w:rFonts w:ascii="Verdana" w:hAnsi="Verdana"/>
                <w:color w:val="000000"/>
                <w:sz w:val="20"/>
                <w:szCs w:val="20"/>
              </w:rPr>
            </w:pP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1. Чл. 2 да се измени така: Регистрацията на лицата по чл. 6, ал. 1, т. 9 „в“ и чл. 6, ал. 1, т. 10;</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FA1F42" w:rsidP="008A5AB9">
            <w:pPr>
              <w:spacing w:before="80" w:after="40"/>
              <w:jc w:val="both"/>
              <w:rPr>
                <w:rFonts w:ascii="Verdana" w:hAnsi="Verdana"/>
                <w:sz w:val="20"/>
                <w:szCs w:val="20"/>
              </w:rPr>
            </w:pPr>
            <w:r>
              <w:rPr>
                <w:rFonts w:ascii="Verdana" w:hAnsi="Verdana"/>
                <w:sz w:val="20"/>
                <w:szCs w:val="20"/>
              </w:rPr>
              <w:t>Текстът на чл. 6 от ЗЗР</w:t>
            </w:r>
            <w:r w:rsidR="004B639A">
              <w:rPr>
                <w:rFonts w:ascii="Verdana" w:hAnsi="Verdana"/>
                <w:sz w:val="20"/>
                <w:szCs w:val="20"/>
              </w:rPr>
              <w:t xml:space="preserve"> се отнася до публичния национален електронен регистър, който Българска агенция по безопасност на храните следва да създаде и да поддържа на интернет страницата си.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2. Чл. 4 да се измени така : </w:t>
            </w:r>
          </w:p>
          <w:p w:rsidR="00A96D44" w:rsidRDefault="004B639A" w:rsidP="008A5AB9">
            <w:pPr>
              <w:spacing w:before="80" w:after="40"/>
              <w:jc w:val="both"/>
              <w:rPr>
                <w:rFonts w:ascii="Verdana" w:hAnsi="Verdana"/>
                <w:sz w:val="20"/>
                <w:szCs w:val="20"/>
              </w:rPr>
            </w:pPr>
            <w:r>
              <w:rPr>
                <w:rFonts w:ascii="Verdana" w:hAnsi="Verdana"/>
                <w:sz w:val="20"/>
                <w:szCs w:val="20"/>
              </w:rPr>
              <w:t>ал. 1). Интегрираното производство на растения и растителни продукти е начин на производство, който се извършва на доброволна основа от земеделски стопани при спазване на специфичните за определени култури или сектори насоки за интегрирано управление на вредителите. В насоките се определят специфичните принципи за интегрирано управление на вредители по чл. 11, ал. 1 ЗЗР.</w:t>
            </w:r>
          </w:p>
          <w:p w:rsidR="00A96D44" w:rsidRDefault="004B639A" w:rsidP="008A5AB9">
            <w:pPr>
              <w:spacing w:before="80" w:after="40"/>
              <w:jc w:val="both"/>
              <w:rPr>
                <w:rFonts w:ascii="Verdana" w:hAnsi="Verdana"/>
                <w:sz w:val="20"/>
                <w:szCs w:val="20"/>
              </w:rPr>
            </w:pPr>
            <w:r>
              <w:rPr>
                <w:rFonts w:ascii="Verdana" w:hAnsi="Verdana"/>
                <w:sz w:val="20"/>
                <w:szCs w:val="20"/>
              </w:rPr>
              <w:lastRenderedPageBreak/>
              <w:t xml:space="preserve">ал. 2).Насоките по ал. 1 се изготвят от публични органи и/или организации на професионални потребители. </w:t>
            </w:r>
          </w:p>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ал. 3).При интегрираното производство на растения и растителни продукти задължително се прилагат и общите принципи на интегрирано управление на вредители, определени в приложение трето на Директива 2009/128.</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lastRenderedPageBreak/>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Предложеният текст се припокрива със съществуващи текстове в ЗЗР:</w:t>
            </w:r>
          </w:p>
          <w:p w:rsidR="00A96D44" w:rsidRDefault="004B639A" w:rsidP="008A5AB9">
            <w:pPr>
              <w:widowControl w:val="0"/>
              <w:autoSpaceDE w:val="0"/>
              <w:autoSpaceDN w:val="0"/>
              <w:adjustRightInd w:val="0"/>
              <w:spacing w:before="80" w:after="40"/>
              <w:jc w:val="both"/>
              <w:rPr>
                <w:rFonts w:ascii="Verdana" w:hAnsi="Verdana"/>
                <w:sz w:val="20"/>
                <w:szCs w:val="20"/>
              </w:rPr>
            </w:pPr>
            <w:r>
              <w:rPr>
                <w:rFonts w:ascii="Verdana" w:hAnsi="Verdana"/>
                <w:sz w:val="20"/>
                <w:szCs w:val="20"/>
              </w:rPr>
              <w:t>чл. 9, ал. (3): „Опазването на растенията и растителните продукти се извършва съобразно общи принципи за интегрирано управление на вредители, определени в приложение № 1.“</w:t>
            </w:r>
          </w:p>
          <w:p w:rsidR="00A96D44" w:rsidRDefault="004B639A" w:rsidP="008A5AB9">
            <w:pPr>
              <w:widowControl w:val="0"/>
              <w:autoSpaceDE w:val="0"/>
              <w:autoSpaceDN w:val="0"/>
              <w:adjustRightInd w:val="0"/>
              <w:spacing w:before="80" w:after="40"/>
              <w:jc w:val="both"/>
              <w:rPr>
                <w:rFonts w:ascii="Verdana" w:hAnsi="Verdana"/>
                <w:sz w:val="20"/>
                <w:szCs w:val="20"/>
              </w:rPr>
            </w:pPr>
            <w:r>
              <w:rPr>
                <w:rFonts w:ascii="Verdana" w:hAnsi="Verdana"/>
                <w:sz w:val="20"/>
                <w:szCs w:val="20"/>
              </w:rPr>
              <w:t xml:space="preserve">чл. 9, ал. (4): При опазването на растенията и растителните продукти могат да се </w:t>
            </w:r>
            <w:r>
              <w:rPr>
                <w:rFonts w:ascii="Verdana" w:hAnsi="Verdana"/>
                <w:sz w:val="20"/>
                <w:szCs w:val="20"/>
              </w:rPr>
              <w:lastRenderedPageBreak/>
              <w:t xml:space="preserve">приложат и специфични принципи за интегрирано управление на вредители, определени в наредба на министъра на земеделието, храните и горите. </w:t>
            </w:r>
          </w:p>
          <w:p w:rsidR="00A96D44" w:rsidRDefault="004B639A" w:rsidP="008A5AB9">
            <w:pPr>
              <w:widowControl w:val="0"/>
              <w:autoSpaceDE w:val="0"/>
              <w:autoSpaceDN w:val="0"/>
              <w:adjustRightInd w:val="0"/>
              <w:spacing w:before="80" w:after="40"/>
              <w:jc w:val="both"/>
              <w:rPr>
                <w:rFonts w:ascii="Verdana" w:hAnsi="Verdana"/>
                <w:sz w:val="20"/>
                <w:szCs w:val="20"/>
              </w:rPr>
            </w:pPr>
            <w:r>
              <w:rPr>
                <w:rFonts w:ascii="Verdana" w:hAnsi="Verdana"/>
                <w:sz w:val="20"/>
                <w:szCs w:val="20"/>
              </w:rPr>
              <w:t>В Приложение № 1 към чл. 9, ал. 3 от ЗЗР са описани Общи</w:t>
            </w:r>
            <w:r w:rsidR="00C15BBF">
              <w:rPr>
                <w:rFonts w:ascii="Verdana" w:hAnsi="Verdana"/>
                <w:sz w:val="20"/>
                <w:szCs w:val="20"/>
              </w:rPr>
              <w:t>те</w:t>
            </w:r>
            <w:r>
              <w:rPr>
                <w:rFonts w:ascii="Verdana" w:hAnsi="Verdana"/>
                <w:sz w:val="20"/>
                <w:szCs w:val="20"/>
              </w:rPr>
              <w:t xml:space="preserve"> принципи на интегрираното управление на вредителите.</w:t>
            </w:r>
          </w:p>
          <w:p w:rsidR="00A96D44" w:rsidRDefault="004B639A" w:rsidP="008A5AB9">
            <w:pPr>
              <w:widowControl w:val="0"/>
              <w:autoSpaceDE w:val="0"/>
              <w:autoSpaceDN w:val="0"/>
              <w:adjustRightInd w:val="0"/>
              <w:spacing w:before="80" w:after="40"/>
              <w:jc w:val="both"/>
              <w:rPr>
                <w:rFonts w:ascii="Verdana" w:hAnsi="Verdana"/>
                <w:sz w:val="20"/>
                <w:szCs w:val="20"/>
              </w:rPr>
            </w:pPr>
            <w:r>
              <w:rPr>
                <w:rFonts w:ascii="Verdana" w:hAnsi="Verdana"/>
                <w:sz w:val="20"/>
                <w:szCs w:val="20"/>
              </w:rPr>
              <w:t>В чл. 1, т. 1 от проекта на Наредбат</w:t>
            </w:r>
            <w:r w:rsidR="00C15BBF">
              <w:rPr>
                <w:rFonts w:ascii="Verdana" w:hAnsi="Verdana"/>
                <w:sz w:val="20"/>
                <w:szCs w:val="20"/>
              </w:rPr>
              <w:t>а е посочено, че се уреждат ред и начин</w:t>
            </w:r>
            <w:r>
              <w:rPr>
                <w:rFonts w:ascii="Verdana" w:hAnsi="Verdana"/>
                <w:sz w:val="20"/>
                <w:szCs w:val="20"/>
              </w:rPr>
              <w:t xml:space="preserve"> за „интегрирано производство на растения и растителни продукти чрез прилагане на специфичните принципи за интегрирано управление на вредителите.“</w:t>
            </w:r>
          </w:p>
          <w:p w:rsidR="00A96D44" w:rsidRDefault="004B639A" w:rsidP="008A5AB9">
            <w:pPr>
              <w:widowControl w:val="0"/>
              <w:autoSpaceDE w:val="0"/>
              <w:autoSpaceDN w:val="0"/>
              <w:adjustRightInd w:val="0"/>
              <w:spacing w:before="80" w:after="40"/>
              <w:jc w:val="both"/>
              <w:rPr>
                <w:rFonts w:ascii="Verdana" w:hAnsi="Verdana"/>
                <w:sz w:val="20"/>
                <w:szCs w:val="20"/>
              </w:rPr>
            </w:pPr>
            <w:r>
              <w:rPr>
                <w:rFonts w:ascii="Verdana" w:hAnsi="Verdana"/>
                <w:sz w:val="20"/>
                <w:szCs w:val="20"/>
              </w:rPr>
              <w:t>Относно предложе</w:t>
            </w:r>
            <w:r w:rsidR="00C15BBF">
              <w:rPr>
                <w:rFonts w:ascii="Verdana" w:hAnsi="Verdana"/>
                <w:sz w:val="20"/>
                <w:szCs w:val="20"/>
              </w:rPr>
              <w:t xml:space="preserve">нието за нов текст на ал. 2 - </w:t>
            </w:r>
            <w:r>
              <w:rPr>
                <w:rFonts w:ascii="Verdana" w:hAnsi="Verdana"/>
                <w:sz w:val="20"/>
                <w:szCs w:val="20"/>
              </w:rPr>
              <w:t>в чл. 5</w:t>
            </w:r>
            <w:r w:rsidR="00C15BBF">
              <w:rPr>
                <w:rFonts w:ascii="Verdana" w:hAnsi="Verdana"/>
                <w:sz w:val="20"/>
                <w:szCs w:val="20"/>
              </w:rPr>
              <w:t>, ал. 1</w:t>
            </w:r>
            <w:r>
              <w:rPr>
                <w:rFonts w:ascii="Verdana" w:hAnsi="Verdana"/>
                <w:sz w:val="20"/>
                <w:szCs w:val="20"/>
              </w:rPr>
              <w:t xml:space="preserve"> от проекта на наредбата са посочени организациите и лицата, които следва да разработят Ръководствата.</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3. В чл. 5 ал. 1 да отпадне. Терминът „ръководства“ във всички текстове да се замени с „насоки“.</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Чл. 5 е относно ръководствата за </w:t>
            </w:r>
            <w:r w:rsidR="007C358E">
              <w:rPr>
                <w:rFonts w:ascii="Verdana" w:hAnsi="Verdana"/>
                <w:sz w:val="20"/>
                <w:szCs w:val="20"/>
              </w:rPr>
              <w:t>интегрирано управление на вредителите</w:t>
            </w:r>
            <w:r w:rsidR="008F14B8">
              <w:rPr>
                <w:rFonts w:ascii="Verdana" w:hAnsi="Verdana"/>
                <w:sz w:val="20"/>
                <w:szCs w:val="20"/>
              </w:rPr>
              <w:t xml:space="preserve"> (ИУВ)</w:t>
            </w:r>
            <w:r>
              <w:rPr>
                <w:rFonts w:ascii="Verdana" w:hAnsi="Verdana"/>
                <w:sz w:val="20"/>
                <w:szCs w:val="20"/>
              </w:rPr>
              <w:t>, като са разписани отговорните институции, които ги разработват; съ</w:t>
            </w:r>
            <w:r w:rsidR="00817618">
              <w:rPr>
                <w:rFonts w:ascii="Verdana" w:hAnsi="Verdana"/>
                <w:sz w:val="20"/>
                <w:szCs w:val="20"/>
              </w:rPr>
              <w:t xml:space="preserve">държание </w:t>
            </w:r>
            <w:r>
              <w:rPr>
                <w:rFonts w:ascii="Verdana" w:hAnsi="Verdana"/>
                <w:sz w:val="20"/>
                <w:szCs w:val="20"/>
              </w:rPr>
              <w:t>на ръководствата; ред за одобряването им. Не е удачно „ръководства“ да се замени с „насоки“, тъй като двата термина не са еднозначни. Ръководствата съдържат насоки, свързани със специфичните принципи за ИУВ при отделните култу</w:t>
            </w:r>
            <w:r w:rsidR="008F14B8">
              <w:rPr>
                <w:rFonts w:ascii="Verdana" w:hAnsi="Verdana"/>
                <w:sz w:val="20"/>
                <w:szCs w:val="20"/>
              </w:rPr>
              <w:t xml:space="preserve">ри, </w:t>
            </w:r>
            <w:r>
              <w:rPr>
                <w:rFonts w:ascii="Verdana" w:hAnsi="Verdana"/>
                <w:sz w:val="20"/>
                <w:szCs w:val="20"/>
              </w:rPr>
              <w:t>следват цялостната концепция и са основния елемент от методологичната рамка за извършване на интегрирано производство.</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4. В чл. 5 алинеи 2, 3 и 4 да станат съответно 1, 2 и 3.</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Не се налага преномериране, тъй като ал. 1 съдържа информация относно отговорните лица и институции за изготвяне на ръко</w:t>
            </w:r>
            <w:r>
              <w:rPr>
                <w:rFonts w:ascii="Verdana" w:hAnsi="Verdana"/>
                <w:sz w:val="20"/>
                <w:szCs w:val="20"/>
              </w:rPr>
              <w:lastRenderedPageBreak/>
              <w:t>водствата и не следва да бъде заличена от проекта.</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5. Създава се нова алинея 4: Вписаните в регистъра по чл. 6, ал.1 професионалните потребители прилагат само одобрени от Министъра на ЗХГ насоки.</w:t>
            </w:r>
          </w:p>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Мотиви за предложенията по чл. 4 и 5: текстът се уеднаквява с този от Директивата .Съгласно директивата, право на съставяне на насоки имат и публичните органи, и организациите на заинтересованите потребители .В ЗЗР принципът на доброволност е възпроизведен точно – професионалният потребител може да бъде вписан, но може и да не бъде вписан в регистъра. Съответно той може да използва одобрени насоки(наречени в директивата приложими и подходящи), но може  да ползва и неодобрени насоки. Държавата-членка решава кои насоки да одобри за насърчаване на операторите. Селскостопанска академия няма монопол върху ИУВ – тя е само една национална автономна бюджетна организация към МЗХГ (чл. 1 от ЗССА).</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В чл. 4, ал. 1 се посочва, че интегрирано производство се извършва на култури, за които има разработени ръководства за ИУВ, а в ал. 2 - за опазване на културите, земеделските стопани задължително прилагат както общите, така и специфичните принципи за интегрирано управление на вредителите.</w:t>
            </w:r>
          </w:p>
          <w:p w:rsidR="00A96D44" w:rsidRDefault="004B639A" w:rsidP="008A5AB9">
            <w:pPr>
              <w:spacing w:before="80" w:after="40"/>
              <w:jc w:val="both"/>
              <w:rPr>
                <w:rFonts w:ascii="Verdana" w:hAnsi="Verdana"/>
                <w:sz w:val="20"/>
                <w:szCs w:val="20"/>
              </w:rPr>
            </w:pPr>
            <w:r>
              <w:rPr>
                <w:rFonts w:ascii="Verdana" w:hAnsi="Verdana"/>
                <w:sz w:val="20"/>
                <w:szCs w:val="20"/>
              </w:rPr>
              <w:t>В чл. 5, ал. 1 се уточнява, че министърът на земеделието, храните и горите възлага разработката и одобрява ръководствата по интегрирано управление на вредителите, в които са разписани специфичните принципи.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 xml:space="preserve">6. В чл. 7, ал. 1 след текста „чл. 11“ да се добави „ и/или 12“ </w:t>
            </w:r>
          </w:p>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Мотиви – така се осъществява принципът на доброволност – само вписаните лица, работещи по одобрени от Държавата насоки могат да поставят знака за интегрирано производство. Останалите работят по този метод и го развиват, но нямат право на стимулиране(включително финансово – което се подразбира и не е предмет на тази наредба)</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91473C" w:rsidRDefault="00D41744" w:rsidP="008A5AB9">
            <w:pPr>
              <w:spacing w:before="80" w:after="40"/>
              <w:jc w:val="both"/>
              <w:rPr>
                <w:rFonts w:ascii="Verdana" w:hAnsi="Verdana"/>
                <w:sz w:val="20"/>
                <w:szCs w:val="20"/>
              </w:rPr>
            </w:pPr>
            <w:r>
              <w:rPr>
                <w:rFonts w:ascii="Verdana" w:hAnsi="Verdana"/>
                <w:sz w:val="20"/>
                <w:szCs w:val="20"/>
              </w:rPr>
              <w:t>Ч</w:t>
            </w:r>
            <w:r w:rsidR="008D71A1">
              <w:rPr>
                <w:rFonts w:ascii="Verdana" w:hAnsi="Verdana"/>
                <w:sz w:val="20"/>
                <w:szCs w:val="20"/>
              </w:rPr>
              <w:t xml:space="preserve">л. 7 от проекта на наредба е </w:t>
            </w:r>
            <w:r>
              <w:rPr>
                <w:rFonts w:ascii="Verdana" w:hAnsi="Verdana"/>
                <w:sz w:val="20"/>
                <w:szCs w:val="20"/>
              </w:rPr>
              <w:t xml:space="preserve">относно </w:t>
            </w:r>
            <w:r w:rsidR="008D71A1">
              <w:rPr>
                <w:rFonts w:ascii="Verdana" w:hAnsi="Verdana"/>
                <w:sz w:val="20"/>
                <w:szCs w:val="20"/>
              </w:rPr>
              <w:t>изискванията, на които трябва да отговарят земеделските стопани при извършване на интегрирано производство на растения и растителни продукти</w:t>
            </w:r>
            <w:r>
              <w:rPr>
                <w:rFonts w:ascii="Verdana" w:hAnsi="Verdana"/>
                <w:sz w:val="20"/>
                <w:szCs w:val="20"/>
              </w:rPr>
              <w:t>, респективно е направена препратка към чл. 11 от ЗЗР</w:t>
            </w:r>
            <w:r w:rsidR="008D71A1">
              <w:rPr>
                <w:rFonts w:ascii="Verdana" w:hAnsi="Verdana"/>
                <w:sz w:val="20"/>
                <w:szCs w:val="20"/>
              </w:rPr>
              <w:t xml:space="preserve">. </w:t>
            </w:r>
          </w:p>
          <w:p w:rsidR="00A96D44" w:rsidRDefault="008D71A1" w:rsidP="008A5AB9">
            <w:pPr>
              <w:spacing w:before="80" w:after="40"/>
              <w:jc w:val="both"/>
              <w:rPr>
                <w:rFonts w:ascii="Verdana" w:hAnsi="Verdana"/>
                <w:sz w:val="20"/>
                <w:szCs w:val="20"/>
              </w:rPr>
            </w:pPr>
            <w:r>
              <w:rPr>
                <w:rFonts w:ascii="Verdana" w:hAnsi="Verdana"/>
                <w:sz w:val="20"/>
                <w:szCs w:val="20"/>
              </w:rPr>
              <w:t xml:space="preserve">Чл. 12 от ЗЗР </w:t>
            </w:r>
            <w:r w:rsidR="009E0B83">
              <w:rPr>
                <w:rFonts w:ascii="Verdana" w:hAnsi="Verdana"/>
                <w:sz w:val="20"/>
                <w:szCs w:val="20"/>
              </w:rPr>
              <w:t xml:space="preserve">е относно </w:t>
            </w:r>
            <w:r w:rsidR="00D41744">
              <w:rPr>
                <w:rFonts w:ascii="Verdana" w:hAnsi="Verdana"/>
                <w:sz w:val="20"/>
                <w:szCs w:val="20"/>
              </w:rPr>
              <w:t xml:space="preserve">вписването в </w:t>
            </w:r>
            <w:r w:rsidR="009E0B83">
              <w:rPr>
                <w:rFonts w:ascii="Verdana" w:hAnsi="Verdana"/>
                <w:sz w:val="20"/>
                <w:szCs w:val="20"/>
              </w:rPr>
              <w:t>регистъра</w:t>
            </w:r>
            <w:r w:rsidR="00D41744">
              <w:rPr>
                <w:rFonts w:ascii="Verdana" w:hAnsi="Verdana"/>
                <w:sz w:val="20"/>
                <w:szCs w:val="20"/>
              </w:rPr>
              <w:t xml:space="preserve"> на земеделските стопани, които извършват интегрирано производство, като регистрация</w:t>
            </w:r>
            <w:r w:rsidR="008E0E0F">
              <w:rPr>
                <w:rFonts w:ascii="Verdana" w:hAnsi="Verdana"/>
                <w:sz w:val="20"/>
                <w:szCs w:val="20"/>
              </w:rPr>
              <w:t>та</w:t>
            </w:r>
            <w:r w:rsidR="00CA7D84">
              <w:rPr>
                <w:rFonts w:ascii="Verdana" w:hAnsi="Verdana"/>
                <w:sz w:val="20"/>
                <w:szCs w:val="20"/>
              </w:rPr>
              <w:t xml:space="preserve"> на земеделските стопани, извършващи</w:t>
            </w:r>
            <w:r w:rsidR="00D41744">
              <w:rPr>
                <w:rFonts w:ascii="Verdana" w:hAnsi="Verdana"/>
                <w:sz w:val="20"/>
                <w:szCs w:val="20"/>
              </w:rPr>
              <w:t xml:space="preserve"> </w:t>
            </w:r>
            <w:r w:rsidR="00CA7D84">
              <w:rPr>
                <w:rFonts w:ascii="Verdana" w:hAnsi="Verdana"/>
                <w:sz w:val="20"/>
                <w:szCs w:val="20"/>
              </w:rPr>
              <w:t xml:space="preserve">интегрирано производство на растения и растителни продукти </w:t>
            </w:r>
            <w:r w:rsidR="008E0E0F">
              <w:rPr>
                <w:rFonts w:ascii="Verdana" w:hAnsi="Verdana"/>
                <w:sz w:val="20"/>
                <w:szCs w:val="20"/>
              </w:rPr>
              <w:t>е</w:t>
            </w:r>
            <w:r w:rsidR="00CA7D84">
              <w:rPr>
                <w:rFonts w:ascii="Verdana" w:hAnsi="Verdana"/>
                <w:sz w:val="20"/>
                <w:szCs w:val="20"/>
              </w:rPr>
              <w:t xml:space="preserve"> разписа</w:t>
            </w:r>
            <w:r w:rsidR="008E0E0F">
              <w:rPr>
                <w:rFonts w:ascii="Verdana" w:hAnsi="Verdana"/>
                <w:sz w:val="20"/>
                <w:szCs w:val="20"/>
              </w:rPr>
              <w:t>на</w:t>
            </w:r>
            <w:r w:rsidR="00D41744">
              <w:rPr>
                <w:rFonts w:ascii="Verdana" w:hAnsi="Verdana"/>
                <w:sz w:val="20"/>
                <w:szCs w:val="20"/>
              </w:rPr>
              <w:t xml:space="preserve"> в </w:t>
            </w:r>
            <w:r w:rsidR="00CA7D84">
              <w:rPr>
                <w:rFonts w:ascii="Verdana" w:hAnsi="Verdana"/>
                <w:sz w:val="20"/>
                <w:szCs w:val="20"/>
              </w:rPr>
              <w:t>отделен раздел от проекта (</w:t>
            </w:r>
            <w:r w:rsidR="00D41744">
              <w:rPr>
                <w:rFonts w:ascii="Verdana" w:hAnsi="Verdana"/>
                <w:sz w:val="20"/>
                <w:szCs w:val="20"/>
              </w:rPr>
              <w:t xml:space="preserve">Раздел </w:t>
            </w:r>
            <w:r w:rsidR="00D41744" w:rsidRPr="0091473C">
              <w:rPr>
                <w:rFonts w:ascii="Verdana" w:hAnsi="Verdana"/>
                <w:sz w:val="20"/>
                <w:szCs w:val="20"/>
              </w:rPr>
              <w:t>IV</w:t>
            </w:r>
            <w:r w:rsidR="00CA7D84">
              <w:rPr>
                <w:rFonts w:ascii="Verdana" w:hAnsi="Verdana"/>
                <w:sz w:val="20"/>
                <w:szCs w:val="20"/>
              </w:rPr>
              <w:t>)</w:t>
            </w:r>
            <w:r w:rsidR="00D41744">
              <w:rPr>
                <w:rFonts w:ascii="Verdana" w:hAnsi="Verdana"/>
                <w:sz w:val="20"/>
                <w:szCs w:val="20"/>
              </w:rPr>
              <w:t>.</w:t>
            </w:r>
          </w:p>
          <w:p w:rsidR="0091473C" w:rsidRPr="00D41744" w:rsidRDefault="0091473C" w:rsidP="008A5AB9">
            <w:pPr>
              <w:spacing w:before="80" w:after="40"/>
              <w:jc w:val="both"/>
              <w:rPr>
                <w:rFonts w:ascii="Verdana" w:hAnsi="Verdana"/>
                <w:sz w:val="20"/>
                <w:szCs w:val="20"/>
              </w:rPr>
            </w:pPr>
            <w:r w:rsidRPr="0091473C">
              <w:rPr>
                <w:rFonts w:ascii="Verdana" w:hAnsi="Verdana"/>
                <w:sz w:val="20"/>
                <w:szCs w:val="20"/>
              </w:rPr>
              <w:lastRenderedPageBreak/>
              <w:t xml:space="preserve">Разпоредбата на чл. 23 от проекта на наредба е заличена, след </w:t>
            </w:r>
            <w:r>
              <w:rPr>
                <w:rFonts w:ascii="Verdana" w:hAnsi="Verdana"/>
                <w:sz w:val="20"/>
                <w:szCs w:val="20"/>
              </w:rPr>
              <w:t>приемане на становище</w:t>
            </w:r>
            <w:r w:rsidRPr="0091473C">
              <w:rPr>
                <w:rFonts w:ascii="Verdana" w:hAnsi="Verdana"/>
                <w:sz w:val="20"/>
                <w:szCs w:val="20"/>
              </w:rPr>
              <w:t xml:space="preserve"> на Европейската</w:t>
            </w:r>
            <w:r>
              <w:rPr>
                <w:rFonts w:ascii="Verdana" w:hAnsi="Verdana"/>
                <w:sz w:val="20"/>
                <w:szCs w:val="20"/>
              </w:rPr>
              <w:t xml:space="preserve"> комисия при нотификацията на проекта, съгласно което </w:t>
            </w:r>
            <w:r w:rsidRPr="0091473C">
              <w:rPr>
                <w:rFonts w:ascii="Verdana" w:hAnsi="Verdana"/>
                <w:sz w:val="20"/>
                <w:szCs w:val="20"/>
              </w:rPr>
              <w:t>„знаците за качество на селскостопанските продукти и храни, запазени за продукти, които са произведени на националната територия, са дискриминационни по отношение на стоките, внесени от други държави членки и поради това са забранени съгласно член 34 от Договора за функц</w:t>
            </w:r>
            <w:r w:rsidR="0075077C">
              <w:rPr>
                <w:rFonts w:ascii="Verdana" w:hAnsi="Verdana"/>
                <w:sz w:val="20"/>
                <w:szCs w:val="20"/>
              </w:rPr>
              <w:t xml:space="preserve">ионирането на Европейския съюз </w:t>
            </w:r>
            <w:r w:rsidRPr="0091473C">
              <w:rPr>
                <w:rFonts w:ascii="Verdana" w:hAnsi="Verdana"/>
                <w:sz w:val="20"/>
                <w:szCs w:val="20"/>
              </w:rPr>
              <w:t>(ДФЕС)“</w:t>
            </w:r>
            <w:r w:rsidR="009C5293">
              <w:rPr>
                <w:rFonts w:ascii="Verdana" w:hAnsi="Verdana"/>
                <w:sz w:val="20"/>
                <w:szCs w:val="20"/>
              </w:rPr>
              <w:t>.</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 xml:space="preserve">7. В чл. 8 – така представен, планът е само една схема на торенето и картина на вредителската фауна. Следва текстът да се преработи и планът да съответства на разбирането за ИУВ като най-внимателно проучване на всички съществуващи методи за въздействие върху вредителите, като се цели запазване на здравето на растения, животни и хора, съответно въздействието върху околната среда и устойчивата употреба на ПРЗ. Следователно Планът трябва да има измерими цели, показатели , критерии за оценка на напредъка за петгодишния период .ПРЕДЛОЖЕНИЕ: настоящият текст да отпадне и работната група да въведе нов с ясни показатели и критерии. </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В чл. 8 от проекта са определени изискванията, съгласно които е разработен планът за интегрирано производство, като освен схема за наторяване и наблюдение на икономически важни вредители, планът съдържа още скица на площите и сеитбообращение по полета, номер на полето и т.н., които представляват част от общите принципи за ИУВ. В чл. 5, ал. 2 детайлно е описано каква информация следва да съдържат Ръководствата, които се използват задължително от регистрираните земеделски стопани, вписани в Регистъра по чл. 6, т. 10 от ЗЗР, при извършване на интегрирано производство.</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 xml:space="preserve">8. В чл. 10, ал. 1 да отпадне текстът „в областта на растителната защита“ поради противоречие с цитирания в същата алинея чл. 118 ЗЗР – законът допуска да се регистрират всякакъв вид специалисти с висше образование в професионалните направления „растителна защита“ и „растениевъдство“ .Мотиви – наредба не може да въвежда ограничения, допустими по закон. </w:t>
            </w:r>
            <w:r>
              <w:rPr>
                <w:rFonts w:ascii="Verdana" w:hAnsi="Verdana"/>
                <w:sz w:val="20"/>
                <w:szCs w:val="20"/>
              </w:rPr>
              <w:lastRenderedPageBreak/>
              <w:t>Изискване за вписване в регистър се установява само със закон(чл. 4, ал. 1 ЗОАРАКСД)</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sz w:val="20"/>
                <w:szCs w:val="20"/>
              </w:rPr>
              <w:lastRenderedPageBreak/>
              <w:t xml:space="preserve">Приема се </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Текст</w:t>
            </w:r>
            <w:r w:rsidR="002F1A1C">
              <w:rPr>
                <w:rFonts w:ascii="Verdana" w:hAnsi="Verdana"/>
                <w:sz w:val="20"/>
                <w:szCs w:val="20"/>
              </w:rPr>
              <w:t>ът</w:t>
            </w:r>
            <w:r>
              <w:rPr>
                <w:rFonts w:ascii="Verdana" w:hAnsi="Verdana"/>
                <w:sz w:val="20"/>
                <w:szCs w:val="20"/>
              </w:rPr>
              <w:t xml:space="preserve"> в наредбата относно лицата, които извършват консултан</w:t>
            </w:r>
            <w:r w:rsidR="002F1A1C">
              <w:rPr>
                <w:rFonts w:ascii="Verdana" w:hAnsi="Verdana"/>
                <w:sz w:val="20"/>
                <w:szCs w:val="20"/>
              </w:rPr>
              <w:t>тски услуги за ИУВ, се привежда</w:t>
            </w:r>
            <w:r>
              <w:rPr>
                <w:rFonts w:ascii="Verdana" w:hAnsi="Verdana"/>
                <w:sz w:val="20"/>
                <w:szCs w:val="20"/>
              </w:rPr>
              <w:t xml:space="preserve"> в съответствие с чл. 118 от ЗЗР:</w:t>
            </w:r>
          </w:p>
          <w:p w:rsidR="00A96D44" w:rsidRDefault="004C63E1" w:rsidP="008A5AB9">
            <w:pPr>
              <w:spacing w:before="80" w:after="40"/>
              <w:jc w:val="both"/>
              <w:rPr>
                <w:rFonts w:ascii="Verdana" w:hAnsi="Verdana"/>
                <w:sz w:val="20"/>
                <w:szCs w:val="20"/>
              </w:rPr>
            </w:pPr>
            <w:r>
              <w:rPr>
                <w:rFonts w:ascii="Verdana" w:hAnsi="Verdana"/>
                <w:sz w:val="20"/>
                <w:szCs w:val="20"/>
              </w:rPr>
              <w:t>„</w:t>
            </w:r>
            <w:r w:rsidR="004B639A" w:rsidRPr="002B49BA">
              <w:rPr>
                <w:rFonts w:ascii="Verdana" w:hAnsi="Verdana"/>
                <w:sz w:val="20"/>
                <w:szCs w:val="20"/>
              </w:rPr>
              <w:t>Чл. 10</w:t>
            </w:r>
            <w:r w:rsidR="004B639A">
              <w:rPr>
                <w:rFonts w:ascii="Verdana" w:hAnsi="Verdana"/>
                <w:b/>
                <w:sz w:val="20"/>
                <w:szCs w:val="20"/>
              </w:rPr>
              <w:t xml:space="preserve">. </w:t>
            </w:r>
            <w:r w:rsidR="004B639A" w:rsidRPr="002B49BA">
              <w:rPr>
                <w:rFonts w:ascii="Verdana" w:hAnsi="Verdana"/>
                <w:sz w:val="20"/>
                <w:szCs w:val="20"/>
              </w:rPr>
              <w:t>(1)</w:t>
            </w:r>
            <w:r w:rsidR="004B639A">
              <w:rPr>
                <w:rFonts w:ascii="Verdana" w:hAnsi="Verdana"/>
                <w:sz w:val="20"/>
                <w:szCs w:val="20"/>
              </w:rPr>
              <w:t xml:space="preserve"> Консултантски услуги за интегрирано управление на вредителите се предоставят от лица, които имат необходимата </w:t>
            </w:r>
            <w:r w:rsidR="004B639A">
              <w:rPr>
                <w:rFonts w:ascii="Verdana" w:hAnsi="Verdana"/>
                <w:sz w:val="20"/>
                <w:szCs w:val="20"/>
              </w:rPr>
              <w:lastRenderedPageBreak/>
              <w:t>професионална квалификация в областта на аграрните науки с професионално направление „Растител</w:t>
            </w:r>
            <w:r w:rsidR="00740524">
              <w:rPr>
                <w:rFonts w:ascii="Verdana" w:hAnsi="Verdana"/>
                <w:sz w:val="20"/>
                <w:szCs w:val="20"/>
              </w:rPr>
              <w:t>на</w:t>
            </w:r>
            <w:r w:rsidR="004B639A">
              <w:rPr>
                <w:rFonts w:ascii="Verdana" w:hAnsi="Verdana"/>
                <w:sz w:val="20"/>
                <w:szCs w:val="20"/>
              </w:rPr>
              <w:t xml:space="preserve"> защита“ или „Растениевъдство“ и са вписани в регистъра по чл. 6, ал. 1, т. 9</w:t>
            </w:r>
            <w:r w:rsidR="006978AB">
              <w:rPr>
                <w:rFonts w:ascii="Verdana" w:hAnsi="Verdana"/>
                <w:sz w:val="20"/>
                <w:szCs w:val="20"/>
              </w:rPr>
              <w:t>в</w:t>
            </w:r>
            <w:r w:rsidR="004B639A">
              <w:rPr>
                <w:rFonts w:ascii="Verdana" w:hAnsi="Verdana"/>
                <w:sz w:val="20"/>
                <w:szCs w:val="20"/>
              </w:rPr>
              <w:t xml:space="preserve"> и чл. 118 от Закона за защита на растенията.</w:t>
            </w:r>
            <w:r>
              <w:rPr>
                <w:rFonts w:ascii="Verdana" w:hAnsi="Verdana"/>
                <w:sz w:val="20"/>
                <w:szCs w:val="20"/>
              </w:rPr>
              <w:t>“</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highlight w:val="yellow"/>
                <w:lang w:val="ru-RU"/>
              </w:rPr>
            </w:pPr>
            <w:r>
              <w:rPr>
                <w:rFonts w:ascii="Verdana" w:hAnsi="Verdana"/>
                <w:sz w:val="20"/>
                <w:szCs w:val="20"/>
              </w:rPr>
              <w:t>9. Разпоредбата на чл. 10, ал. 2 да отпадне. МОТИВИ: разпоредбата е ограничение, въведено с подзаконов акт, което противоречи на акт от по-висока степен – при осъществяване на административното регулиране всички лица, които извършват или възнамеряват да извършват стопанска дейност са равнопоставени независимо от формата на собственост, правноорганизационната форма или националност(чл. 1, ал. 5 ЗОАРАКСД).Това изискване следва да е установено в ЗЗР, а не в подзаконов акт, съгласно чл. 16, ал. 1 ЗОАРАКСД – законът установява изчерпателно изискванията за вписване и основанията за отказ.</w:t>
            </w:r>
          </w:p>
        </w:tc>
        <w:tc>
          <w:tcPr>
            <w:tcW w:w="1701" w:type="dxa"/>
            <w:shd w:val="clear" w:color="auto" w:fill="auto"/>
          </w:tcPr>
          <w:p w:rsidR="00A96D44" w:rsidRDefault="004B639A" w:rsidP="008A5AB9">
            <w:pPr>
              <w:spacing w:before="80" w:after="40"/>
              <w:rPr>
                <w:rFonts w:ascii="Verdana" w:hAnsi="Verdana"/>
                <w:color w:val="FF0000"/>
                <w:sz w:val="20"/>
                <w:szCs w:val="20"/>
                <w:highlight w:val="cyan"/>
              </w:rPr>
            </w:pPr>
            <w:r>
              <w:rPr>
                <w:rFonts w:ascii="Verdana" w:hAnsi="Verdana"/>
                <w:sz w:val="20"/>
                <w:szCs w:val="20"/>
              </w:rPr>
              <w:t>Приема се</w:t>
            </w:r>
          </w:p>
        </w:tc>
        <w:tc>
          <w:tcPr>
            <w:tcW w:w="4875" w:type="dxa"/>
            <w:shd w:val="clear" w:color="auto" w:fill="auto"/>
          </w:tcPr>
          <w:p w:rsidR="00A96D44" w:rsidRDefault="00A96D44" w:rsidP="008A5AB9">
            <w:pPr>
              <w:spacing w:before="80" w:after="40"/>
              <w:jc w:val="both"/>
              <w:rPr>
                <w:rFonts w:ascii="Verdana" w:hAnsi="Verdana"/>
                <w:sz w:val="20"/>
                <w:szCs w:val="20"/>
                <w:highlight w:val="cyan"/>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highlight w:val="yellow"/>
                <w:lang w:val="ru-RU"/>
              </w:rPr>
            </w:pPr>
            <w:r>
              <w:rPr>
                <w:rFonts w:ascii="Verdana" w:hAnsi="Verdana"/>
                <w:sz w:val="20"/>
                <w:szCs w:val="20"/>
              </w:rPr>
              <w:t>10.</w:t>
            </w:r>
            <w:r w:rsidRPr="00817618">
              <w:rPr>
                <w:rFonts w:ascii="Verdana" w:hAnsi="Verdana"/>
                <w:sz w:val="20"/>
                <w:szCs w:val="20"/>
                <w:lang w:val="ru-RU"/>
              </w:rPr>
              <w:t xml:space="preserve"> </w:t>
            </w:r>
            <w:r>
              <w:rPr>
                <w:rFonts w:ascii="Verdana" w:hAnsi="Verdana"/>
                <w:sz w:val="20"/>
                <w:szCs w:val="20"/>
              </w:rPr>
              <w:t>Разпоредбата на чл. 10, ал. 3 да отпадне – обстоятелсто по първа алинея няма защо и пред кого да се доказва – то е отразено в публичния регистър. Обстоятелство по втората алинея е неприложимо, защото втора алинея противоречи на закон (ЗОАРАКСД)</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sz w:val="20"/>
                <w:szCs w:val="20"/>
              </w:rPr>
              <w:t xml:space="preserve"> Приема се</w:t>
            </w: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highlight w:val="yellow"/>
                <w:lang w:val="ru-RU"/>
              </w:rPr>
            </w:pPr>
            <w:r>
              <w:rPr>
                <w:rFonts w:ascii="Verdana" w:hAnsi="Verdana"/>
                <w:sz w:val="20"/>
                <w:szCs w:val="20"/>
              </w:rPr>
              <w:t>11.</w:t>
            </w:r>
            <w:r w:rsidRPr="00817618">
              <w:rPr>
                <w:rFonts w:ascii="Verdana" w:hAnsi="Verdana"/>
                <w:sz w:val="20"/>
                <w:szCs w:val="20"/>
                <w:lang w:val="ru-RU"/>
              </w:rPr>
              <w:t xml:space="preserve"> </w:t>
            </w:r>
            <w:r>
              <w:rPr>
                <w:rFonts w:ascii="Verdana" w:hAnsi="Verdana"/>
                <w:sz w:val="20"/>
                <w:szCs w:val="20"/>
              </w:rPr>
              <w:t>Разпоредбата на чл. 10, ал. 4 да отпадне поради противоречие с акт от по-висока степен. Изискване за предварително или последващо уведомяване и изискване за даване на уведомление за извършване на отделна сделка или действие се установява само със закон – виж. чл. 4, ал. 1 и чл. 27, ал. 1 от Закона за ограничаване на административното регулиране и административния контрол върху стопанската дейност.</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t>Приема се</w:t>
            </w:r>
            <w:r>
              <w:rPr>
                <w:rFonts w:ascii="Verdana" w:hAnsi="Verdana"/>
                <w:sz w:val="20"/>
                <w:szCs w:val="20"/>
                <w:lang w:val="en-US"/>
              </w:rPr>
              <w:t xml:space="preserve"> </w:t>
            </w:r>
            <w:r>
              <w:rPr>
                <w:rFonts w:ascii="Verdana" w:hAnsi="Verdana"/>
                <w:sz w:val="20"/>
                <w:szCs w:val="20"/>
              </w:rPr>
              <w:t>частично</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Лицата, които извършват консултантски услуги при вписването си в регистъра по чл. 6, ал. 1 от ЗЗР представят копие на договор с консултанта, когато самите те не са консултанти. Следователно договорите с консу</w:t>
            </w:r>
            <w:r w:rsidR="00B60038">
              <w:rPr>
                <w:rFonts w:ascii="Verdana" w:hAnsi="Verdana"/>
                <w:sz w:val="20"/>
                <w:szCs w:val="20"/>
              </w:rPr>
              <w:t>лтанти са вписани в регистъра. С</w:t>
            </w:r>
            <w:r>
              <w:rPr>
                <w:rFonts w:ascii="Verdana" w:hAnsi="Verdana"/>
                <w:sz w:val="20"/>
                <w:szCs w:val="20"/>
              </w:rPr>
              <w:t>ъгласно чл. 119, ал. 1 от ЗЗР в „7-дневен срок от настъпването на промяна във вписаните в регистъра по чл. 6, ал. 1 обстоятелства</w:t>
            </w:r>
            <w:r w:rsidR="00B60038">
              <w:rPr>
                <w:rFonts w:ascii="Verdana" w:hAnsi="Verdana"/>
                <w:sz w:val="20"/>
                <w:szCs w:val="20"/>
              </w:rPr>
              <w:t>,</w:t>
            </w:r>
            <w:r>
              <w:rPr>
                <w:rFonts w:ascii="Verdana" w:hAnsi="Verdana"/>
                <w:sz w:val="20"/>
                <w:szCs w:val="20"/>
              </w:rPr>
              <w:t xml:space="preserve"> лицата по чл. 118, ал. 1 подават в </w:t>
            </w:r>
            <w:r>
              <w:rPr>
                <w:rFonts w:ascii="Verdana" w:hAnsi="Verdana"/>
                <w:sz w:val="20"/>
                <w:szCs w:val="20"/>
              </w:rPr>
              <w:lastRenderedPageBreak/>
              <w:t>съответната ОДБХ уведомление по образец, към което прилагат документи, удостоверяващи промяната“. В този смисъл всеки нов договор</w:t>
            </w:r>
            <w:r w:rsidRPr="00817618">
              <w:rPr>
                <w:rFonts w:ascii="Verdana" w:hAnsi="Verdana"/>
                <w:sz w:val="20"/>
                <w:szCs w:val="20"/>
                <w:lang w:val="ru-RU"/>
              </w:rPr>
              <w:t xml:space="preserve"> </w:t>
            </w:r>
            <w:r>
              <w:rPr>
                <w:rFonts w:ascii="Verdana" w:hAnsi="Verdana"/>
                <w:sz w:val="20"/>
                <w:szCs w:val="20"/>
              </w:rPr>
              <w:t>е промяна в обстоятелствата и следва копие от него да се подава заедно с уведомлението по образец в ОДБХ.</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highlight w:val="yellow"/>
                <w:lang w:val="ru-RU"/>
              </w:rPr>
            </w:pPr>
            <w:r>
              <w:rPr>
                <w:rFonts w:ascii="Verdana" w:hAnsi="Verdana"/>
                <w:sz w:val="20"/>
                <w:szCs w:val="20"/>
              </w:rPr>
              <w:t>12.</w:t>
            </w:r>
            <w:r w:rsidRPr="00817618">
              <w:rPr>
                <w:rFonts w:ascii="Verdana" w:hAnsi="Verdana"/>
                <w:sz w:val="20"/>
                <w:szCs w:val="20"/>
                <w:lang w:val="ru-RU"/>
              </w:rPr>
              <w:t xml:space="preserve"> </w:t>
            </w:r>
            <w:r>
              <w:rPr>
                <w:rFonts w:ascii="Verdana" w:hAnsi="Verdana"/>
                <w:sz w:val="20"/>
                <w:szCs w:val="20"/>
              </w:rPr>
              <w:t>Разпоредбата на чл.10, ал. 5 да отпадне по горните съображения.</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sz w:val="20"/>
                <w:szCs w:val="20"/>
              </w:rPr>
              <w:t>Приема се</w:t>
            </w:r>
            <w:r>
              <w:rPr>
                <w:rFonts w:ascii="Verdana" w:hAnsi="Verdana"/>
                <w:sz w:val="20"/>
                <w:szCs w:val="20"/>
                <w:lang w:val="en-US"/>
              </w:rPr>
              <w:t xml:space="preserve"> </w:t>
            </w:r>
            <w:r>
              <w:rPr>
                <w:rFonts w:ascii="Verdana" w:hAnsi="Verdana"/>
                <w:sz w:val="20"/>
                <w:szCs w:val="20"/>
              </w:rPr>
              <w:t>частично</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Член 119, ал. 1 от ЗЗР създава задължение да се уведомява само за промяна във вписаните в регистъра по чл. 6, ал. 1 обстоятелства, а не за всяка промяна на обстоятелствата</w:t>
            </w:r>
            <w:r w:rsidR="00F00EBF">
              <w:rPr>
                <w:rFonts w:ascii="Verdana" w:hAnsi="Verdana"/>
                <w:sz w:val="20"/>
                <w:szCs w:val="20"/>
              </w:rPr>
              <w:t>,</w:t>
            </w:r>
            <w:r>
              <w:rPr>
                <w:rFonts w:ascii="Verdana" w:hAnsi="Verdana"/>
                <w:sz w:val="20"/>
                <w:szCs w:val="20"/>
              </w:rPr>
              <w:t xml:space="preserve"> при които се извършват консултантските услуги.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13.</w:t>
            </w:r>
            <w:r w:rsidRPr="00817618">
              <w:rPr>
                <w:rFonts w:ascii="Verdana" w:hAnsi="Verdana"/>
                <w:sz w:val="20"/>
                <w:szCs w:val="20"/>
                <w:lang w:val="ru-RU"/>
              </w:rPr>
              <w:t xml:space="preserve"> </w:t>
            </w:r>
            <w:r>
              <w:rPr>
                <w:rFonts w:ascii="Verdana" w:hAnsi="Verdana"/>
                <w:sz w:val="20"/>
                <w:szCs w:val="20"/>
              </w:rPr>
              <w:t>Да се добави нова ал. 1 в чл. 10 : Консултант по интегрирано управление на вредителите е лице, съгласно чл. 3 пар.3 от Директива 2009/128. Мотиви – става ясен кръгът на лицата, попадащи в обсега на дейността – това са всички лица, които имат знания и предоставят съвети в рамките на професионалните си задължения – независимо дали на трудов или граждански договор при производител; дали са самоосигуряващи се лица или търговци по ТЗ; дали са лектори или наети лица в публични или частни организации, които консултират професионални потребители.</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В Закона за защита на растенията</w:t>
            </w:r>
            <w:r w:rsidRPr="00817618">
              <w:rPr>
                <w:rFonts w:ascii="Verdana" w:hAnsi="Verdana"/>
                <w:sz w:val="20"/>
                <w:szCs w:val="20"/>
                <w:lang w:val="ru-RU"/>
              </w:rPr>
              <w:t>, “</w:t>
            </w:r>
            <w:r>
              <w:rPr>
                <w:rFonts w:ascii="Verdana" w:hAnsi="Verdana"/>
                <w:sz w:val="20"/>
                <w:szCs w:val="20"/>
              </w:rPr>
              <w:t>Допълнителни разпоредби</w:t>
            </w:r>
            <w:r w:rsidRPr="00817618">
              <w:rPr>
                <w:rFonts w:ascii="Verdana" w:hAnsi="Verdana"/>
                <w:sz w:val="20"/>
                <w:szCs w:val="20"/>
                <w:lang w:val="ru-RU"/>
              </w:rPr>
              <w:t>”</w:t>
            </w:r>
            <w:r w:rsidR="00A1266C">
              <w:rPr>
                <w:rFonts w:ascii="Verdana" w:hAnsi="Verdana"/>
                <w:sz w:val="20"/>
                <w:szCs w:val="20"/>
              </w:rPr>
              <w:t xml:space="preserve">, т. 28 </w:t>
            </w:r>
            <w:r>
              <w:rPr>
                <w:rFonts w:ascii="Verdana" w:hAnsi="Verdana"/>
                <w:sz w:val="20"/>
                <w:szCs w:val="20"/>
              </w:rPr>
              <w:t>е дадена дефиниция за „консултант</w:t>
            </w:r>
            <w:r w:rsidRPr="00817618">
              <w:rPr>
                <w:rFonts w:ascii="Verdana" w:hAnsi="Verdana"/>
                <w:sz w:val="20"/>
                <w:szCs w:val="20"/>
                <w:lang w:val="ru-RU"/>
              </w:rPr>
              <w:t xml:space="preserve">”: </w:t>
            </w:r>
            <w:r>
              <w:rPr>
                <w:rFonts w:ascii="Verdana" w:hAnsi="Verdana"/>
                <w:sz w:val="20"/>
                <w:szCs w:val="20"/>
              </w:rPr>
              <w:t>"Консултант е лице, което е придобило съответните знания и предоставя съвети относно управлението на вредителите и безопасната употреба на продукти за растителна защита в рамките на професионалната си дейност или като търговска услуга“.</w:t>
            </w:r>
          </w:p>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14.</w:t>
            </w:r>
            <w:r w:rsidRPr="00817618">
              <w:rPr>
                <w:rFonts w:ascii="Verdana" w:hAnsi="Verdana"/>
                <w:sz w:val="20"/>
                <w:szCs w:val="20"/>
                <w:lang w:val="ru-RU"/>
              </w:rPr>
              <w:t xml:space="preserve"> </w:t>
            </w:r>
            <w:r>
              <w:rPr>
                <w:rFonts w:ascii="Verdana" w:hAnsi="Verdana"/>
                <w:sz w:val="20"/>
                <w:szCs w:val="20"/>
              </w:rPr>
              <w:t>В чл.10 ал. 1 да стане ал. 2.</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 xml:space="preserve">Не се приема </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Не е приета бележката по т. 13</w:t>
            </w:r>
            <w:r w:rsidR="00445EB7">
              <w:rPr>
                <w:rFonts w:ascii="Verdana" w:hAnsi="Verdana"/>
                <w:sz w:val="20"/>
                <w:szCs w:val="20"/>
              </w:rPr>
              <w:t>.</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AA16B2" w:rsidRDefault="004B639A" w:rsidP="008A5AB9">
            <w:pPr>
              <w:spacing w:before="80" w:after="40"/>
              <w:jc w:val="both"/>
              <w:rPr>
                <w:rFonts w:ascii="Verdana" w:hAnsi="Verdana"/>
                <w:sz w:val="20"/>
                <w:szCs w:val="20"/>
              </w:rPr>
            </w:pPr>
            <w:r w:rsidRPr="00AA16B2">
              <w:rPr>
                <w:rFonts w:ascii="Verdana" w:hAnsi="Verdana"/>
                <w:sz w:val="20"/>
                <w:szCs w:val="20"/>
              </w:rPr>
              <w:t xml:space="preserve">15.Да се добави нова ал. 3: На вписване в регистъра по ал. 2 подлежат всички лица, предоставящи съвети по смисъла на чл. 3 пар.3 от Директива 2009/128. Мотиви: по този начин ще се осигури равнопоставеност на лицата по чл. 11 – в предложения проект съществува неравенство в изискването относно оборудване, метеоданни и т.н., въведено относно консултантите на свободна практика спрямо консултантите, наети по трудово правоотношение от професионален оператор </w:t>
            </w:r>
            <w:r w:rsidRPr="00AA16B2">
              <w:rPr>
                <w:rFonts w:ascii="Verdana" w:hAnsi="Verdana"/>
                <w:sz w:val="20"/>
                <w:szCs w:val="20"/>
              </w:rPr>
              <w:lastRenderedPageBreak/>
              <w:t>(за наетите не е изрично написано условието да разполагат с тези оборудвания и съответния достъп).</w:t>
            </w:r>
          </w:p>
        </w:tc>
        <w:tc>
          <w:tcPr>
            <w:tcW w:w="1701" w:type="dxa"/>
            <w:shd w:val="clear" w:color="auto" w:fill="auto"/>
          </w:tcPr>
          <w:p w:rsidR="00A96D44" w:rsidRDefault="001C6D92" w:rsidP="008A5AB9">
            <w:pPr>
              <w:spacing w:before="80" w:after="40"/>
              <w:rPr>
                <w:rFonts w:ascii="Verdana" w:hAnsi="Verdana"/>
                <w:color w:val="000000"/>
                <w:sz w:val="20"/>
                <w:szCs w:val="20"/>
              </w:rPr>
            </w:pPr>
            <w:r>
              <w:rPr>
                <w:rFonts w:ascii="Verdana" w:hAnsi="Verdana"/>
                <w:color w:val="000000"/>
                <w:sz w:val="20"/>
                <w:szCs w:val="20"/>
              </w:rPr>
              <w:lastRenderedPageBreak/>
              <w:t>Не се приема</w:t>
            </w:r>
          </w:p>
        </w:tc>
        <w:tc>
          <w:tcPr>
            <w:tcW w:w="4875" w:type="dxa"/>
            <w:shd w:val="clear" w:color="auto" w:fill="auto"/>
          </w:tcPr>
          <w:p w:rsidR="00A96D44" w:rsidRDefault="00AA16B2" w:rsidP="008A5AB9">
            <w:pPr>
              <w:spacing w:before="80" w:after="40"/>
              <w:jc w:val="both"/>
              <w:rPr>
                <w:rFonts w:ascii="Verdana" w:hAnsi="Verdana"/>
                <w:sz w:val="20"/>
                <w:szCs w:val="20"/>
              </w:rPr>
            </w:pPr>
            <w:r>
              <w:rPr>
                <w:rFonts w:ascii="Verdana" w:hAnsi="Verdana"/>
                <w:sz w:val="20"/>
                <w:szCs w:val="20"/>
              </w:rPr>
              <w:t>Условията и редът за вписване в регистъра на всички лица, предоставящи консултантски услуги за интегрирано управление на вредителите, са определени в чл. 118 от ЗЗР.</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16. Чл. 12 да отпадне изцяло и да се замени със следния текст:</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Ал. 1 По форма консултациите са устни и писмени, а по съдържание са експресни и системни.</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Ал. 2 На контрол по тази наредба подлежат: писмените системни и експресни консултации относно съставянето, изпълнението и изменението на плана на професионалния потребител по чл. 11, ал. 2, т. 3 от ЗЗР;</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Ал. 2.В писмените консултации следва да се съдържа най-малко следната информация:</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 xml:space="preserve">1.констатации за появата, развитието, степента на нападение, плътността и разпространението на вредителите по земеделските култури в площите, заети с интегрираното производство; заплахите, следващи констатациите; </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2.влияние на сеитбообращението и агротехническите мерки върху контрола на вредителите;</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4.влияние на други фактори върху контрола на вредителите;</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5.анализ на отделните фактори върху системата на управление на вредителите;</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6.анализ и предложение за провеждане на система от мероприятия за борба с вредителите с химични средства (пестициди) с отчитане на ефекта на намаление на тяхната употреба, предложение за частична или пълна замяна на борбата с химични средства с алтернативни средства.</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 xml:space="preserve">Ал. 3. Най-късно до края на петгодишния период по чл. 11, ал. 2 консултантът представя писмен отчет на </w:t>
            </w:r>
            <w:r w:rsidRPr="00644512">
              <w:rPr>
                <w:rFonts w:ascii="Verdana" w:hAnsi="Verdana"/>
                <w:sz w:val="20"/>
                <w:szCs w:val="20"/>
              </w:rPr>
              <w:lastRenderedPageBreak/>
              <w:t>професионалния потребител за резултатите, напредъка и ефективността на интегрираното производство за целия период и съответствието с целите и мерките на Националния план по чл. 4 пар.1 от Директива 2009/128.</w:t>
            </w:r>
          </w:p>
          <w:p w:rsidR="00A96D44" w:rsidRPr="00644512" w:rsidRDefault="004B639A" w:rsidP="008A5AB9">
            <w:pPr>
              <w:spacing w:before="80" w:after="40"/>
              <w:jc w:val="both"/>
              <w:rPr>
                <w:rFonts w:ascii="Verdana" w:hAnsi="Verdana"/>
                <w:sz w:val="20"/>
                <w:szCs w:val="20"/>
              </w:rPr>
            </w:pPr>
            <w:r w:rsidRPr="00644512">
              <w:rPr>
                <w:rFonts w:ascii="Verdana" w:hAnsi="Verdana"/>
                <w:sz w:val="20"/>
                <w:szCs w:val="20"/>
              </w:rPr>
              <w:t>Ал. 4. Консултантите са длъжни да съхраняват най-малко 5 години писмените системни консултации и при поискване да ги предоставят а на контролния орган.</w:t>
            </w:r>
          </w:p>
        </w:tc>
        <w:tc>
          <w:tcPr>
            <w:tcW w:w="1701" w:type="dxa"/>
            <w:shd w:val="clear" w:color="auto" w:fill="auto"/>
          </w:tcPr>
          <w:p w:rsidR="00A96D44" w:rsidRDefault="00644512" w:rsidP="008A5AB9">
            <w:pPr>
              <w:spacing w:before="80" w:after="40"/>
              <w:rPr>
                <w:rFonts w:ascii="Verdana" w:hAnsi="Verdana"/>
                <w:color w:val="000000"/>
                <w:sz w:val="20"/>
                <w:szCs w:val="20"/>
              </w:rPr>
            </w:pPr>
            <w:r>
              <w:rPr>
                <w:rFonts w:ascii="Verdana" w:hAnsi="Verdana"/>
                <w:color w:val="000000"/>
                <w:sz w:val="20"/>
                <w:szCs w:val="20"/>
              </w:rPr>
              <w:lastRenderedPageBreak/>
              <w:t>Не се приема</w:t>
            </w:r>
          </w:p>
        </w:tc>
        <w:tc>
          <w:tcPr>
            <w:tcW w:w="4875" w:type="dxa"/>
            <w:shd w:val="clear" w:color="auto" w:fill="auto"/>
          </w:tcPr>
          <w:p w:rsidR="00A96D44" w:rsidRDefault="00644512" w:rsidP="008A5AB9">
            <w:pPr>
              <w:spacing w:before="80" w:after="40"/>
              <w:jc w:val="both"/>
              <w:rPr>
                <w:rFonts w:ascii="Verdana" w:hAnsi="Verdana"/>
                <w:sz w:val="20"/>
                <w:szCs w:val="20"/>
              </w:rPr>
            </w:pPr>
            <w:r>
              <w:rPr>
                <w:rFonts w:ascii="Verdana" w:hAnsi="Verdana"/>
                <w:sz w:val="20"/>
                <w:szCs w:val="20"/>
              </w:rPr>
              <w:t>В чл. 12 от проекта на наредба са определени условията и редът за предоставяне на консултантски услуги за интегрирано управление на вредителите в съответствие с чл. 118, ал. 6 от ЗЗР: изброени са видовете дейности, които включват, начинът на предоставяне; подробно са описани реквизитите, които трябва да съдържат и са посочени задълженията на консултантите</w:t>
            </w:r>
            <w:r w:rsidR="0091473C">
              <w:rPr>
                <w:rFonts w:ascii="Verdana" w:hAnsi="Verdana"/>
                <w:sz w:val="20"/>
                <w:szCs w:val="20"/>
              </w:rPr>
              <w:t>.</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17.</w:t>
            </w:r>
            <w:r w:rsidRPr="00817618">
              <w:rPr>
                <w:rFonts w:ascii="Verdana" w:hAnsi="Verdana"/>
                <w:sz w:val="20"/>
                <w:szCs w:val="20"/>
                <w:lang w:val="ru-RU"/>
              </w:rPr>
              <w:t xml:space="preserve"> </w:t>
            </w:r>
            <w:r>
              <w:rPr>
                <w:rFonts w:ascii="Verdana" w:hAnsi="Verdana"/>
                <w:sz w:val="20"/>
                <w:szCs w:val="20"/>
              </w:rPr>
              <w:t xml:space="preserve">В чл. 13 точка 3 да отпадне. </w:t>
            </w:r>
          </w:p>
          <w:p w:rsidR="00A96D44" w:rsidRPr="00817618" w:rsidRDefault="004B639A" w:rsidP="008A5AB9">
            <w:pPr>
              <w:spacing w:before="80" w:after="40"/>
              <w:jc w:val="both"/>
              <w:rPr>
                <w:rFonts w:ascii="Verdana" w:hAnsi="Verdana"/>
                <w:sz w:val="20"/>
                <w:szCs w:val="20"/>
                <w:highlight w:val="yellow"/>
                <w:lang w:val="ru-RU"/>
              </w:rPr>
            </w:pPr>
            <w:r>
              <w:rPr>
                <w:rFonts w:ascii="Verdana" w:hAnsi="Verdana"/>
                <w:sz w:val="20"/>
                <w:szCs w:val="20"/>
              </w:rPr>
              <w:t>Съображения: Съхранението на копие от договора в ОДБХ не е необходимо за постигане на целите на закона(чл. 3, ал. 3 ЗОАРАКСД).Същият може да се изиска за целите на контрола както от професионалния оператор, така и от консултанта.</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Не се приема</w:t>
            </w:r>
          </w:p>
        </w:tc>
        <w:tc>
          <w:tcPr>
            <w:tcW w:w="4875" w:type="dxa"/>
            <w:shd w:val="clear" w:color="auto" w:fill="auto"/>
          </w:tcPr>
          <w:p w:rsidR="00A96D44" w:rsidRPr="00F503BD" w:rsidRDefault="004B639A" w:rsidP="008A5AB9">
            <w:pPr>
              <w:spacing w:before="80" w:after="40"/>
              <w:jc w:val="both"/>
              <w:rPr>
                <w:rFonts w:ascii="Verdana" w:hAnsi="Verdana"/>
                <w:color w:val="000000"/>
                <w:sz w:val="20"/>
                <w:szCs w:val="20"/>
                <w:lang w:val="ru-RU"/>
              </w:rPr>
            </w:pPr>
            <w:r>
              <w:rPr>
                <w:rFonts w:ascii="Verdana" w:hAnsi="Verdana"/>
                <w:color w:val="000000"/>
                <w:sz w:val="20"/>
                <w:szCs w:val="20"/>
              </w:rPr>
              <w:t>Представянето на копие на договор с консултанта е необходимо условие за вписването в регистъра по чл. 6, ал. 1 от ЗЗР, както и всички последващи промени в договорите се считат за промяна в обстоятелства</w:t>
            </w:r>
            <w:r w:rsidR="00F61E9C">
              <w:rPr>
                <w:rFonts w:ascii="Verdana" w:hAnsi="Verdana"/>
                <w:color w:val="000000"/>
                <w:sz w:val="20"/>
                <w:szCs w:val="20"/>
              </w:rPr>
              <w:t>,</w:t>
            </w:r>
            <w:r>
              <w:rPr>
                <w:rFonts w:ascii="Verdana" w:hAnsi="Verdana"/>
                <w:color w:val="000000"/>
                <w:sz w:val="20"/>
                <w:szCs w:val="20"/>
              </w:rPr>
              <w:t xml:space="preserve"> вписани в регистъра и законът създава задължение копия от договорите да се предоставят с уведомлението по образец в ОДБХ. В този смисъл няма пречка ОДБХ да съхранява и хартиените копия на договорите, които ще са отбелязани в регистъра.</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18.</w:t>
            </w:r>
            <w:r w:rsidRPr="00817618">
              <w:rPr>
                <w:rFonts w:ascii="Verdana" w:hAnsi="Verdana"/>
                <w:sz w:val="20"/>
                <w:szCs w:val="20"/>
                <w:lang w:val="ru-RU"/>
              </w:rPr>
              <w:t xml:space="preserve"> </w:t>
            </w:r>
            <w:r>
              <w:rPr>
                <w:rFonts w:ascii="Verdana" w:hAnsi="Verdana"/>
                <w:sz w:val="20"/>
                <w:szCs w:val="20"/>
              </w:rPr>
              <w:t>В чл. 14, ал. 1 точка 2 да отпадне. Съображения: противоречие с акт от по-висока степен – условията за спиране и прекратяване на стопанската дейност, съответно заличаването от регистъра се установяват само със закон, съгласно чл. 16, ал. 1 ЗОАРАКСД. Следва да се предприеме процедура за промяна в специалния закон ЗЗР. Условие за заличаване в регистър чрез наредба, а не чрез закон би било нищожно, независимо дали Министърът ще подпише наредбата в предложения от работната група вид.</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sz w:val="20"/>
                <w:szCs w:val="20"/>
              </w:rPr>
              <w:t>Приема се</w:t>
            </w: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Pr="00817618" w:rsidRDefault="004B639A" w:rsidP="008A5AB9">
            <w:pPr>
              <w:spacing w:before="80" w:after="40"/>
              <w:jc w:val="both"/>
              <w:rPr>
                <w:rFonts w:ascii="Verdana" w:hAnsi="Verdana"/>
                <w:sz w:val="20"/>
                <w:szCs w:val="20"/>
                <w:lang w:val="ru-RU"/>
              </w:rPr>
            </w:pPr>
            <w:r>
              <w:rPr>
                <w:rFonts w:ascii="Verdana" w:hAnsi="Verdana"/>
                <w:sz w:val="20"/>
                <w:szCs w:val="20"/>
              </w:rPr>
              <w:t>19.</w:t>
            </w:r>
            <w:r w:rsidRPr="00817618">
              <w:rPr>
                <w:rFonts w:ascii="Verdana" w:hAnsi="Verdana"/>
                <w:sz w:val="20"/>
                <w:szCs w:val="20"/>
                <w:lang w:val="ru-RU"/>
              </w:rPr>
              <w:t xml:space="preserve"> </w:t>
            </w:r>
            <w:r>
              <w:rPr>
                <w:rFonts w:ascii="Verdana" w:hAnsi="Verdana"/>
                <w:sz w:val="20"/>
                <w:szCs w:val="20"/>
              </w:rPr>
              <w:t>В чл. 14 алинеи 2, 3 и 4 да отпаднат.</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color w:val="000000"/>
                <w:sz w:val="20"/>
                <w:szCs w:val="20"/>
              </w:rPr>
              <w:t>Приема се</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Съгласно </w:t>
            </w:r>
            <w:r w:rsidR="00F14845">
              <w:rPr>
                <w:rFonts w:ascii="Verdana" w:hAnsi="Verdana"/>
                <w:sz w:val="20"/>
                <w:szCs w:val="20"/>
              </w:rPr>
              <w:t xml:space="preserve">приета </w:t>
            </w:r>
            <w:r>
              <w:rPr>
                <w:rFonts w:ascii="Verdana" w:hAnsi="Verdana"/>
                <w:sz w:val="20"/>
                <w:szCs w:val="20"/>
              </w:rPr>
              <w:t>бележка по т. 18</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20.</w:t>
            </w:r>
            <w:r w:rsidRPr="00817618">
              <w:rPr>
                <w:rFonts w:ascii="Verdana" w:hAnsi="Verdana"/>
                <w:sz w:val="20"/>
                <w:szCs w:val="20"/>
                <w:lang w:val="ru-RU"/>
              </w:rPr>
              <w:t xml:space="preserve"> </w:t>
            </w:r>
            <w:r>
              <w:rPr>
                <w:rFonts w:ascii="Verdana" w:hAnsi="Verdana"/>
                <w:sz w:val="20"/>
                <w:szCs w:val="20"/>
              </w:rPr>
              <w:t>Коментар на чл.</w:t>
            </w:r>
            <w:r w:rsidRPr="00817618">
              <w:rPr>
                <w:rFonts w:ascii="Verdana" w:hAnsi="Verdana"/>
                <w:sz w:val="20"/>
                <w:szCs w:val="20"/>
                <w:lang w:val="ru-RU"/>
              </w:rPr>
              <w:t xml:space="preserve"> </w:t>
            </w:r>
            <w:r>
              <w:rPr>
                <w:rFonts w:ascii="Verdana" w:hAnsi="Verdana"/>
                <w:sz w:val="20"/>
                <w:szCs w:val="20"/>
              </w:rPr>
              <w:t xml:space="preserve">19 и 21. Проблем, произтичащ от </w:t>
            </w:r>
            <w:r>
              <w:rPr>
                <w:rFonts w:ascii="Verdana" w:hAnsi="Verdana"/>
                <w:sz w:val="20"/>
                <w:szCs w:val="20"/>
              </w:rPr>
              <w:lastRenderedPageBreak/>
              <w:t>Закона за защита на растенията е, че законът не съответства на ЗОАРАКСД по отношения на задължението ЗАКОНЪТ да установи изчерпателно основанията за отказ от регистрация и особените правила за спиране и прекратяване на стопанската дейност и за заличаване от регистъра. (чл. 16 ал. 1 ЗОАРАКСД). Такива условия, установени с подзаконов акт, водят до нищожността или отмяната му.</w:t>
            </w:r>
          </w:p>
        </w:tc>
        <w:tc>
          <w:tcPr>
            <w:tcW w:w="1701" w:type="dxa"/>
            <w:shd w:val="clear" w:color="auto" w:fill="auto"/>
          </w:tcPr>
          <w:p w:rsidR="00A96D44" w:rsidRDefault="004B639A" w:rsidP="008A5AB9">
            <w:pPr>
              <w:spacing w:before="80" w:after="40"/>
              <w:rPr>
                <w:rFonts w:ascii="Verdana" w:hAnsi="Verdana"/>
                <w:color w:val="000000"/>
                <w:sz w:val="20"/>
                <w:szCs w:val="20"/>
              </w:rPr>
            </w:pPr>
            <w:r>
              <w:rPr>
                <w:rFonts w:ascii="Verdana" w:hAnsi="Verdana"/>
                <w:sz w:val="20"/>
                <w:szCs w:val="20"/>
              </w:rPr>
              <w:lastRenderedPageBreak/>
              <w:t>Приема се</w:t>
            </w: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val="restart"/>
            <w:shd w:val="clear" w:color="auto" w:fill="auto"/>
          </w:tcPr>
          <w:p w:rsidR="00A96D44" w:rsidRDefault="00A96D44" w:rsidP="00FC7CFA">
            <w:pPr>
              <w:pStyle w:val="ListParagraph"/>
              <w:numPr>
                <w:ilvl w:val="0"/>
                <w:numId w:val="10"/>
              </w:numPr>
              <w:tabs>
                <w:tab w:val="left" w:pos="192"/>
              </w:tabs>
              <w:spacing w:before="80" w:after="40"/>
              <w:rPr>
                <w:rFonts w:ascii="Verdana" w:hAnsi="Verdana"/>
                <w:b/>
                <w:sz w:val="20"/>
                <w:szCs w:val="20"/>
              </w:rPr>
            </w:pPr>
          </w:p>
        </w:tc>
        <w:tc>
          <w:tcPr>
            <w:tcW w:w="2410" w:type="dxa"/>
            <w:vMerge w:val="restart"/>
            <w:shd w:val="clear" w:color="auto" w:fill="auto"/>
          </w:tcPr>
          <w:p w:rsidR="00A96D44" w:rsidRPr="00A2765B" w:rsidRDefault="004B639A" w:rsidP="008A5AB9">
            <w:pPr>
              <w:spacing w:before="80" w:after="40"/>
              <w:rPr>
                <w:rFonts w:ascii="Verdana" w:hAnsi="Verdana"/>
                <w:bCs/>
                <w:color w:val="000000"/>
                <w:sz w:val="20"/>
                <w:szCs w:val="20"/>
              </w:rPr>
            </w:pPr>
            <w:r w:rsidRPr="00A2765B">
              <w:rPr>
                <w:rFonts w:ascii="Verdana" w:hAnsi="Verdana"/>
                <w:bCs/>
                <w:color w:val="000000"/>
                <w:sz w:val="20"/>
                <w:szCs w:val="20"/>
              </w:rPr>
              <w:t xml:space="preserve">Национална </w:t>
            </w:r>
            <w:r w:rsidR="005F66E9">
              <w:rPr>
                <w:rFonts w:ascii="Verdana" w:hAnsi="Verdana"/>
                <w:bCs/>
                <w:color w:val="000000"/>
                <w:sz w:val="20"/>
                <w:szCs w:val="20"/>
              </w:rPr>
              <w:br/>
            </w:r>
            <w:r w:rsidRPr="00A2765B">
              <w:rPr>
                <w:rFonts w:ascii="Verdana" w:hAnsi="Verdana"/>
                <w:bCs/>
                <w:color w:val="000000"/>
                <w:sz w:val="20"/>
                <w:szCs w:val="20"/>
              </w:rPr>
              <w:t>асоциация на зърнопроизводителите</w:t>
            </w:r>
          </w:p>
          <w:p w:rsidR="00A96D44" w:rsidRDefault="004B639A" w:rsidP="008A5AB9">
            <w:pPr>
              <w:spacing w:before="80" w:after="40"/>
              <w:rPr>
                <w:rFonts w:ascii="Verdana" w:hAnsi="Verdana"/>
                <w:b/>
                <w:bCs/>
                <w:color w:val="000000"/>
                <w:sz w:val="20"/>
                <w:szCs w:val="20"/>
              </w:rPr>
            </w:pPr>
            <w:r>
              <w:rPr>
                <w:rFonts w:ascii="Verdana" w:hAnsi="Verdana"/>
                <w:sz w:val="20"/>
                <w:szCs w:val="20"/>
                <w:lang w:val="en-US"/>
              </w:rPr>
              <w:t>(</w:t>
            </w:r>
            <w:r>
              <w:rPr>
                <w:rFonts w:ascii="Verdana" w:hAnsi="Verdana"/>
                <w:sz w:val="20"/>
                <w:szCs w:val="20"/>
              </w:rPr>
              <w:t>постъпило по електронната поща</w:t>
            </w:r>
            <w:r>
              <w:rPr>
                <w:rFonts w:ascii="Verdana" w:hAnsi="Verdana"/>
                <w:sz w:val="20"/>
                <w:szCs w:val="20"/>
                <w:lang w:val="en-US"/>
              </w:rPr>
              <w:t>)</w:t>
            </w: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Националната асоциация на зърнопроизводителите приветства усилията на МЗХГ по темата за интегрираното производство на растения и растителни продукти и контрола върху интегрираното производство.</w:t>
            </w:r>
          </w:p>
        </w:tc>
        <w:tc>
          <w:tcPr>
            <w:tcW w:w="1701" w:type="dxa"/>
            <w:shd w:val="clear" w:color="auto" w:fill="auto"/>
          </w:tcPr>
          <w:p w:rsidR="00A96D44" w:rsidRPr="00817618" w:rsidRDefault="00A96D44" w:rsidP="008A5AB9">
            <w:pPr>
              <w:spacing w:before="80" w:after="40"/>
              <w:rPr>
                <w:rFonts w:ascii="Verdana" w:hAnsi="Verdana"/>
                <w:strike/>
                <w:sz w:val="20"/>
                <w:szCs w:val="20"/>
              </w:rPr>
            </w:pP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highlight w:val="yellow"/>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По отношение на Раздел II Интегрирано производство на растения и растителни продукти чрез прилагане на специфичните принципи за интегрирано управление на вредителите, чл. 5, ал. 2, т. 2:</w:t>
            </w:r>
          </w:p>
          <w:p w:rsidR="00A96D44" w:rsidRDefault="004B639A" w:rsidP="008A5AB9">
            <w:pPr>
              <w:spacing w:before="80" w:after="40"/>
              <w:jc w:val="both"/>
              <w:rPr>
                <w:rFonts w:ascii="Verdana" w:hAnsi="Verdana"/>
                <w:sz w:val="20"/>
                <w:szCs w:val="20"/>
              </w:rPr>
            </w:pPr>
            <w:r>
              <w:rPr>
                <w:rFonts w:ascii="Verdana" w:hAnsi="Verdana"/>
                <w:sz w:val="20"/>
                <w:szCs w:val="20"/>
              </w:rPr>
              <w:t>В тази точка като превантивни мерки за ограничаване на разпространението на вредителите при съответните култури предвид новите технологии по обработка и борба с патогените в почвата предлагаме като санитарно-хигиенни мерки да се добавят и превантивно внасяне в почвата на биологично активни вещества и активатори за почва с цел борба с патогените и стимулиране на структурирането и по биологичен път.</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t xml:space="preserve">Приема се </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Приемаме предложението, като считаме, че добавянето в почвата на биологично активни вещества </w:t>
            </w:r>
            <w:r w:rsidR="00601C14">
              <w:rPr>
                <w:rFonts w:ascii="Verdana" w:hAnsi="Verdana"/>
                <w:sz w:val="20"/>
                <w:szCs w:val="20"/>
              </w:rPr>
              <w:t xml:space="preserve">и активатори е по-удачно да се </w:t>
            </w:r>
            <w:r>
              <w:rPr>
                <w:rFonts w:ascii="Verdana" w:hAnsi="Verdana"/>
                <w:sz w:val="20"/>
                <w:szCs w:val="20"/>
              </w:rPr>
              <w:t xml:space="preserve">включи в агротехническите мерки и чл. 5, ал. 2, т. 2 да се редактира по следния начин: </w:t>
            </w:r>
          </w:p>
          <w:p w:rsidR="00A96D44" w:rsidRDefault="00F61E9C" w:rsidP="008A5AB9">
            <w:pPr>
              <w:spacing w:before="80" w:after="40"/>
              <w:jc w:val="both"/>
              <w:rPr>
                <w:rFonts w:ascii="Verdana" w:hAnsi="Verdana"/>
                <w:sz w:val="20"/>
                <w:szCs w:val="20"/>
              </w:rPr>
            </w:pPr>
            <w:r>
              <w:rPr>
                <w:rFonts w:ascii="Verdana" w:hAnsi="Verdana"/>
                <w:sz w:val="20"/>
                <w:szCs w:val="20"/>
              </w:rPr>
              <w:t>„</w:t>
            </w:r>
            <w:r w:rsidR="004B639A">
              <w:rPr>
                <w:rFonts w:ascii="Verdana" w:hAnsi="Verdana"/>
                <w:sz w:val="20"/>
                <w:szCs w:val="20"/>
              </w:rPr>
              <w:t>2. превантивни мерки за ограничаване разпространението на вредителите при съответната култура - агротехнически (сеитбооборот, използване на подходяща земеделска техника, балансирано торене и поливане, добавяне в почвата на биологично активни вещества и активатори и др.); санитарно-хигиенни; ключови биоагенти, полезна ентомофауна и акарофауна; използване на устойчиви/толерантни сортове растения, и на стандартни/сертифицирани се</w:t>
            </w:r>
            <w:r>
              <w:rPr>
                <w:rFonts w:ascii="Verdana" w:hAnsi="Verdana"/>
                <w:sz w:val="20"/>
                <w:szCs w:val="20"/>
              </w:rPr>
              <w:t>мена и посадъчен материал, и др.“</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highlight w:val="yellow"/>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По отношение на Раздел ІІ Интегрирано производство на растения и растителни продукти чрез прилагане на специфичните принципи за интегрирано управление </w:t>
            </w:r>
            <w:r>
              <w:rPr>
                <w:rFonts w:ascii="Verdana" w:hAnsi="Verdana"/>
                <w:sz w:val="20"/>
                <w:szCs w:val="20"/>
              </w:rPr>
              <w:lastRenderedPageBreak/>
              <w:t>на вредителите, чл. 9, ал. 1, т. 5:</w:t>
            </w:r>
          </w:p>
          <w:p w:rsidR="00A96D44" w:rsidRDefault="004B639A" w:rsidP="008A5AB9">
            <w:pPr>
              <w:spacing w:before="80" w:after="40"/>
              <w:jc w:val="both"/>
              <w:rPr>
                <w:rFonts w:ascii="Verdana" w:hAnsi="Verdana"/>
                <w:sz w:val="20"/>
                <w:szCs w:val="20"/>
              </w:rPr>
            </w:pPr>
            <w:r>
              <w:rPr>
                <w:rFonts w:ascii="Verdana" w:hAnsi="Verdana"/>
                <w:sz w:val="20"/>
                <w:szCs w:val="20"/>
              </w:rPr>
              <w:t>Чл. 9. (I) Земеделските стопани, които извършват интегрирано производство на растения и растителни продукти, независимо от видовете земеделски култури, които произвеждат, са длъжни да:</w:t>
            </w:r>
          </w:p>
          <w:p w:rsidR="00A96D44" w:rsidRDefault="004B639A" w:rsidP="008A5AB9">
            <w:pPr>
              <w:spacing w:before="80" w:after="40"/>
              <w:jc w:val="both"/>
              <w:rPr>
                <w:rFonts w:ascii="Verdana" w:hAnsi="Verdana"/>
                <w:sz w:val="20"/>
                <w:szCs w:val="20"/>
              </w:rPr>
            </w:pPr>
            <w:r>
              <w:rPr>
                <w:rFonts w:ascii="Verdana" w:hAnsi="Verdana"/>
                <w:sz w:val="20"/>
                <w:szCs w:val="20"/>
              </w:rPr>
              <w:t>(...)</w:t>
            </w:r>
          </w:p>
          <w:p w:rsidR="00A96D44" w:rsidRDefault="004B639A" w:rsidP="008A5AB9">
            <w:pPr>
              <w:spacing w:before="80" w:after="40"/>
              <w:jc w:val="both"/>
              <w:rPr>
                <w:rFonts w:ascii="Verdana" w:hAnsi="Verdana"/>
                <w:sz w:val="20"/>
                <w:szCs w:val="20"/>
              </w:rPr>
            </w:pPr>
            <w:r>
              <w:rPr>
                <w:rFonts w:ascii="Verdana" w:hAnsi="Verdana"/>
                <w:sz w:val="20"/>
                <w:szCs w:val="20"/>
              </w:rPr>
              <w:t>5. спазват необходимите санитарно-хигиенни изисквания и изнасят растителните остатъци извън площите, да ги обработват и/или заорават в почвата;</w:t>
            </w:r>
          </w:p>
          <w:p w:rsidR="00A96D44" w:rsidRDefault="004B639A" w:rsidP="008A5AB9">
            <w:pPr>
              <w:spacing w:before="80" w:after="40"/>
              <w:jc w:val="both"/>
              <w:rPr>
                <w:rFonts w:ascii="Verdana" w:hAnsi="Verdana"/>
                <w:sz w:val="20"/>
                <w:szCs w:val="20"/>
              </w:rPr>
            </w:pPr>
            <w:r>
              <w:rPr>
                <w:rFonts w:ascii="Verdana" w:hAnsi="Verdana"/>
                <w:sz w:val="20"/>
                <w:szCs w:val="20"/>
              </w:rPr>
              <w:t>НАЗ предлага от чл. 9. ал. 1 да отпадне следната част на изречението - „и изнасят растителните остатъци извън площите, да ги обработват и/или заорават в почвата", защото считаме, че противоречи на чл. 9, ал. 1, т. 9 и защото съществуват нови иновативни технологии, при които заораването на растителните остатъци в почвата създават предпоставка за патогени и обработките по заравянето им не позволяват съхранението на полезните организми и естествената жизнена среда в почвата.</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lastRenderedPageBreak/>
              <w:t>Приема се</w:t>
            </w: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highlight w:val="yellow"/>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Изказваме своите притеснения относно Раздел III в проекта на Наредбата, свързан с консултантски услуги за интегрирано управление на вредителите.</w:t>
            </w:r>
          </w:p>
          <w:p w:rsidR="00A96D44" w:rsidRDefault="004B639A" w:rsidP="008A5AB9">
            <w:pPr>
              <w:spacing w:before="80" w:after="40"/>
              <w:jc w:val="both"/>
              <w:rPr>
                <w:rFonts w:ascii="Verdana" w:hAnsi="Verdana"/>
                <w:sz w:val="20"/>
                <w:szCs w:val="20"/>
              </w:rPr>
            </w:pPr>
            <w:r>
              <w:rPr>
                <w:rFonts w:ascii="Verdana" w:hAnsi="Verdana"/>
                <w:sz w:val="20"/>
                <w:szCs w:val="20"/>
              </w:rPr>
              <w:t>В чл. 10 се упоменават консултантите:</w:t>
            </w:r>
          </w:p>
          <w:p w:rsidR="00A96D44" w:rsidRDefault="004B639A" w:rsidP="008A5AB9">
            <w:pPr>
              <w:spacing w:before="80" w:after="40"/>
              <w:jc w:val="both"/>
              <w:rPr>
                <w:rFonts w:ascii="Verdana" w:hAnsi="Verdana"/>
                <w:sz w:val="20"/>
                <w:szCs w:val="20"/>
              </w:rPr>
            </w:pPr>
            <w:r>
              <w:rPr>
                <w:rFonts w:ascii="Verdana" w:hAnsi="Verdana"/>
                <w:sz w:val="20"/>
                <w:szCs w:val="20"/>
              </w:rPr>
              <w:t>Чл. 10. (1) Консултантски услуги за интегрирано управление на вредителите се предоставят от лица, които имат необходимата професионална квалификация в областта на растителната защита и са вписани в регистъра по чл. 6, ал. 1. т. 9 и чл. 118 от Закона за защита на растенията. (2) Консултант по интегрирано управление на вредителите е лице, което не извършва производство, пускане на пазара, търговия и преопаковане на продукти за растителна защита, и не е свързано предприятие по смисъла на Закона за малки</w:t>
            </w:r>
            <w:r>
              <w:rPr>
                <w:rFonts w:ascii="Verdana" w:hAnsi="Verdana"/>
                <w:sz w:val="20"/>
                <w:szCs w:val="20"/>
              </w:rPr>
              <w:lastRenderedPageBreak/>
              <w:t>те и средните предприятия, което извършва такива дейности.</w:t>
            </w:r>
          </w:p>
          <w:p w:rsidR="00A96D44" w:rsidRDefault="004B639A" w:rsidP="008A5AB9">
            <w:pPr>
              <w:spacing w:before="80" w:after="40"/>
              <w:jc w:val="both"/>
              <w:rPr>
                <w:rFonts w:ascii="Verdana" w:hAnsi="Verdana"/>
                <w:sz w:val="20"/>
                <w:szCs w:val="20"/>
              </w:rPr>
            </w:pPr>
            <w:r>
              <w:rPr>
                <w:rFonts w:ascii="Verdana" w:hAnsi="Verdana"/>
                <w:sz w:val="20"/>
                <w:szCs w:val="20"/>
              </w:rPr>
              <w:t>В този ред на мисли, ние смятаме, че не би следвало да има пречка и земеделският производител да извършва консултантска дейност в собственото си стопанство, ако отговаря на изискванията на чл. 11 от Закона за защита на растенията и спазвайки изискванията по чл. 11 от Р</w:t>
            </w:r>
            <w:r w:rsidR="002C2AAC">
              <w:rPr>
                <w:rFonts w:ascii="Verdana" w:hAnsi="Verdana"/>
                <w:sz w:val="20"/>
                <w:szCs w:val="20"/>
              </w:rPr>
              <w:t>аздел ІІІ от настоящата наредба:</w:t>
            </w:r>
          </w:p>
          <w:p w:rsidR="00A96D44" w:rsidRDefault="004B639A" w:rsidP="008A5AB9">
            <w:pPr>
              <w:spacing w:before="80" w:after="40"/>
              <w:jc w:val="both"/>
              <w:rPr>
                <w:rFonts w:ascii="Verdana" w:hAnsi="Verdana"/>
                <w:sz w:val="20"/>
                <w:szCs w:val="20"/>
              </w:rPr>
            </w:pPr>
            <w:r>
              <w:rPr>
                <w:rFonts w:ascii="Verdana" w:hAnsi="Verdana"/>
                <w:sz w:val="20"/>
                <w:szCs w:val="20"/>
              </w:rPr>
              <w:t>Чл. 11. (1) Консултантите трябва да разполагат най-малко с:</w:t>
            </w:r>
          </w:p>
          <w:p w:rsidR="00A96D44" w:rsidRDefault="004B639A" w:rsidP="008A5AB9">
            <w:pPr>
              <w:spacing w:before="80" w:after="40"/>
              <w:jc w:val="both"/>
              <w:rPr>
                <w:rFonts w:ascii="Verdana" w:hAnsi="Verdana"/>
                <w:sz w:val="20"/>
                <w:szCs w:val="20"/>
              </w:rPr>
            </w:pPr>
            <w:r>
              <w:rPr>
                <w:rFonts w:ascii="Verdana" w:hAnsi="Verdana"/>
                <w:sz w:val="20"/>
                <w:szCs w:val="20"/>
              </w:rPr>
              <w:t>1. оборудване за диагностика на вредители - лупа, бинокуляр, микроскоп, петриеви блюда, епруветки, ентомологичен сак, метровка;</w:t>
            </w:r>
          </w:p>
          <w:p w:rsidR="00A96D44" w:rsidRDefault="004B639A" w:rsidP="008A5AB9">
            <w:pPr>
              <w:spacing w:before="80" w:after="40"/>
              <w:jc w:val="both"/>
              <w:rPr>
                <w:rFonts w:ascii="Verdana" w:hAnsi="Verdana"/>
                <w:sz w:val="20"/>
                <w:szCs w:val="20"/>
              </w:rPr>
            </w:pPr>
            <w:r>
              <w:rPr>
                <w:rFonts w:ascii="Verdana" w:hAnsi="Verdana"/>
                <w:sz w:val="20"/>
                <w:szCs w:val="20"/>
              </w:rPr>
              <w:t>2. достъп до агрометеорологична информация за съответния агроекологичен район, която включва данни за температура на въздуха - средноденоно</w:t>
            </w:r>
            <w:r w:rsidR="00886B5A">
              <w:rPr>
                <w:rFonts w:ascii="Verdana" w:hAnsi="Verdana"/>
                <w:sz w:val="20"/>
                <w:szCs w:val="20"/>
              </w:rPr>
              <w:t>щна, максимална и минимална,</w:t>
            </w:r>
            <w:r>
              <w:rPr>
                <w:rFonts w:ascii="Verdana" w:hAnsi="Verdana"/>
                <w:sz w:val="20"/>
                <w:szCs w:val="20"/>
              </w:rPr>
              <w:t xml:space="preserve"> количество валежи, относителна влажност на въздуха, вятър;</w:t>
            </w:r>
          </w:p>
          <w:p w:rsidR="00A96D44" w:rsidRDefault="004B639A" w:rsidP="008A5AB9">
            <w:pPr>
              <w:spacing w:before="80" w:after="40"/>
              <w:jc w:val="both"/>
              <w:rPr>
                <w:rFonts w:ascii="Verdana" w:hAnsi="Verdana"/>
                <w:sz w:val="20"/>
                <w:szCs w:val="20"/>
              </w:rPr>
            </w:pPr>
            <w:r>
              <w:rPr>
                <w:rFonts w:ascii="Verdana" w:hAnsi="Verdana"/>
                <w:sz w:val="20"/>
                <w:szCs w:val="20"/>
              </w:rPr>
              <w:t>(2) Обстоятелствата по ал. 1 се удостоверяват с декларации по образец, утвърден съгласно чл. 3.</w:t>
            </w:r>
          </w:p>
          <w:p w:rsidR="00A96D44" w:rsidRDefault="004B639A" w:rsidP="008A5AB9">
            <w:pPr>
              <w:spacing w:before="80" w:after="40"/>
              <w:jc w:val="both"/>
              <w:rPr>
                <w:rFonts w:ascii="Verdana" w:hAnsi="Verdana"/>
                <w:sz w:val="20"/>
                <w:szCs w:val="20"/>
              </w:rPr>
            </w:pPr>
            <w:r>
              <w:rPr>
                <w:rFonts w:ascii="Verdana" w:hAnsi="Verdana"/>
                <w:sz w:val="20"/>
                <w:szCs w:val="20"/>
              </w:rPr>
              <w:t>Трябва да отбележим, че и към момента земеделските стопани от сектор зърнопроизводство извършват дейностите по смисъла на чл. 12:</w:t>
            </w:r>
          </w:p>
          <w:p w:rsidR="00A96D44" w:rsidRDefault="004B639A" w:rsidP="008A5AB9">
            <w:pPr>
              <w:spacing w:before="80" w:after="40"/>
              <w:jc w:val="both"/>
              <w:rPr>
                <w:rFonts w:ascii="Verdana" w:hAnsi="Verdana"/>
                <w:sz w:val="20"/>
                <w:szCs w:val="20"/>
              </w:rPr>
            </w:pPr>
            <w:r>
              <w:rPr>
                <w:rFonts w:ascii="Verdana" w:hAnsi="Verdana"/>
                <w:sz w:val="20"/>
                <w:szCs w:val="20"/>
              </w:rPr>
              <w:t>Чл. 12. (1) Консултациите за интегрирано управление на вредителите се състоят в извършване на наблюдение, диагностика, прогноза и сигнализация на икономически важните вредители по земеделските култури, както и методите и средствата за контрол върху тях.</w:t>
            </w:r>
          </w:p>
          <w:p w:rsidR="00A96D44" w:rsidRDefault="004B639A" w:rsidP="005F66E9">
            <w:pPr>
              <w:spacing w:before="80" w:after="40"/>
              <w:jc w:val="both"/>
              <w:rPr>
                <w:rFonts w:ascii="Verdana" w:hAnsi="Verdana"/>
                <w:sz w:val="20"/>
                <w:szCs w:val="20"/>
              </w:rPr>
            </w:pPr>
            <w:r>
              <w:rPr>
                <w:rFonts w:ascii="Verdana" w:hAnsi="Verdana"/>
                <w:sz w:val="20"/>
                <w:szCs w:val="20"/>
              </w:rPr>
              <w:t>Земеделските производители най- добре са запознати с новите и иноватив</w:t>
            </w:r>
            <w:r w:rsidR="003A0A4F">
              <w:rPr>
                <w:rFonts w:ascii="Verdana" w:hAnsi="Verdana"/>
                <w:sz w:val="20"/>
                <w:szCs w:val="20"/>
              </w:rPr>
              <w:t>н</w:t>
            </w:r>
            <w:r>
              <w:rPr>
                <w:rFonts w:ascii="Verdana" w:hAnsi="Verdana"/>
                <w:sz w:val="20"/>
                <w:szCs w:val="20"/>
              </w:rPr>
              <w:t>и технологии свързани с прецизно земеделие, дигитални практики но торене, използване на биологични, органични продукти. екологични вещества за дегокс на почвата</w:t>
            </w:r>
            <w:r w:rsidR="005F66E9">
              <w:rPr>
                <w:rFonts w:ascii="Verdana" w:hAnsi="Verdana"/>
                <w:sz w:val="20"/>
                <w:szCs w:val="20"/>
              </w:rPr>
              <w:t>,</w:t>
            </w:r>
            <w:r>
              <w:rPr>
                <w:rFonts w:ascii="Verdana" w:hAnsi="Verdana"/>
                <w:sz w:val="20"/>
                <w:szCs w:val="20"/>
              </w:rPr>
              <w:t xml:space="preserve"> нови почвени обра</w:t>
            </w:r>
            <w:r>
              <w:rPr>
                <w:rFonts w:ascii="Verdana" w:hAnsi="Verdana"/>
                <w:sz w:val="20"/>
                <w:szCs w:val="20"/>
              </w:rPr>
              <w:lastRenderedPageBreak/>
              <w:t>ботки и други практики които водят до намаляване на химическите торове и ПРЗ при производството на културите. Именно това прави сектор зърнопроизводство устойчив. Предвид промените в климата и околната среда и адаптирането ни към тях голяма част от земеделските производители промениха производствените си процеси и практикуват до голяма степен интегрирано производство.</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lastRenderedPageBreak/>
              <w:t>Приема се по принцип</w:t>
            </w:r>
          </w:p>
        </w:tc>
        <w:tc>
          <w:tcPr>
            <w:tcW w:w="4875" w:type="dxa"/>
            <w:shd w:val="clear" w:color="auto" w:fill="auto"/>
          </w:tcPr>
          <w:p w:rsidR="00A96D44" w:rsidRDefault="002C2AAC" w:rsidP="008A5AB9">
            <w:pPr>
              <w:spacing w:before="80" w:after="40"/>
              <w:jc w:val="both"/>
              <w:rPr>
                <w:rFonts w:ascii="Verdana" w:hAnsi="Verdana"/>
                <w:sz w:val="20"/>
                <w:szCs w:val="20"/>
              </w:rPr>
            </w:pPr>
            <w:r>
              <w:rPr>
                <w:rFonts w:ascii="Verdana" w:hAnsi="Verdana"/>
                <w:sz w:val="20"/>
                <w:szCs w:val="20"/>
              </w:rPr>
              <w:t>Извършена е редакция</w:t>
            </w:r>
            <w:r w:rsidR="00742A1A">
              <w:rPr>
                <w:rFonts w:ascii="Verdana" w:hAnsi="Verdana"/>
                <w:sz w:val="20"/>
                <w:szCs w:val="20"/>
              </w:rPr>
              <w:t xml:space="preserve"> на чл. 10, при която текстът в ал. 1 относно лицата, които извършват консултантски услуги за ИУВ, се привежда в съответствие с чл. 118 от ЗЗР, а </w:t>
            </w:r>
            <w:r>
              <w:rPr>
                <w:rFonts w:ascii="Verdana" w:hAnsi="Verdana"/>
                <w:sz w:val="20"/>
                <w:szCs w:val="20"/>
              </w:rPr>
              <w:t xml:space="preserve">ал. 2 на чл. 10 е заличена, вследствие на което отпада изискването консултантът да е лице, което не извършва производство, пускане на пазара, търговия и преопаковане на продукти за растителна защита, и не е свързано предприятие по смисъла на Закона за малките и средните предприятия, което извършва такива дейности. </w:t>
            </w:r>
            <w:r w:rsidR="004B639A">
              <w:rPr>
                <w:rFonts w:ascii="Verdana" w:hAnsi="Verdana"/>
                <w:sz w:val="20"/>
                <w:szCs w:val="20"/>
              </w:rPr>
              <w:t xml:space="preserve">Изразяваме принципното си съгласие с НАЗ, че земеделските производители в немалка </w:t>
            </w:r>
            <w:r w:rsidR="004B639A">
              <w:rPr>
                <w:rFonts w:ascii="Verdana" w:hAnsi="Verdana"/>
                <w:sz w:val="20"/>
                <w:szCs w:val="20"/>
              </w:rPr>
              <w:lastRenderedPageBreak/>
              <w:t>степен извършват консултантска дейност в собствените си стопанства и са запознати с новите технологии, водещи до намаляване употребата на химични ПРЗ и торове. Консултантските услуги за интегрирано управление на вредителите са вид специализирана растителнозащитна услуга. Изискванията към лицата, които могат да я извършват, са разписани в чл. 118 от ЗЗР. Тези изисквания (и в закона, и в проекта на наредбата) са предвидени, тъй като интегрираното производство се различава от конвенционалното производство, то е на доброволен принцип, при прилагането на който земеделските стопани прилагат общите и специфични принципи за интегрирано управление на вредителите. Съгласно чл. 14, пар. 2 от Директива 2009/128 за създаване на рамка за действие на Общността за постигане на устойчива употреба на пестициди, „държавите членки създават или подкрепят създаването на необходимите условия за прилагане на интегрираното управление на вредителите. По-специално те гарантират, че професионалните потребители разполагат с информация, с инструменти за наблюдение на вредителите и за вземане на решения, както и с консултантски услуги по въпросите на интегрираното управление на вредителите.“ Според същата директива, консултантът е лице, което е придобило съответните знания и предоставя съвети относно управлението на вредителите и безопасната употреба на пестициди в контекста на професионалните си за</w:t>
            </w:r>
            <w:r w:rsidR="004B639A">
              <w:rPr>
                <w:rFonts w:ascii="Verdana" w:hAnsi="Verdana"/>
                <w:sz w:val="20"/>
                <w:szCs w:val="20"/>
              </w:rPr>
              <w:lastRenderedPageBreak/>
              <w:t xml:space="preserve">дължения или като търговска услуга. </w:t>
            </w:r>
          </w:p>
          <w:p w:rsidR="00A96D44" w:rsidRDefault="004B639A" w:rsidP="008A5AB9">
            <w:pPr>
              <w:spacing w:before="80" w:after="40"/>
              <w:jc w:val="both"/>
              <w:rPr>
                <w:rFonts w:ascii="Verdana" w:hAnsi="Verdana"/>
                <w:sz w:val="20"/>
                <w:szCs w:val="20"/>
              </w:rPr>
            </w:pPr>
            <w:r>
              <w:rPr>
                <w:rFonts w:ascii="Verdana" w:hAnsi="Verdana"/>
                <w:sz w:val="20"/>
                <w:szCs w:val="20"/>
              </w:rPr>
              <w:t>Правилата на ОСП изискват от държавите членки да установят системи за съвети в селското стопанство и да предоставят консултации относно интегрираното управление на вредителите на всички земеделски стопани.</w:t>
            </w: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highlight w:val="yellow"/>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Настояваме при изготвянето на ръководствата по интегрирано производство и да влязат иновативните технологии за борба с вредителите и да се съобразят с настоящи устойчиви екологосъобразни методи за отглеждане на зърнени и технически култури.</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t>Приема се</w:t>
            </w:r>
          </w:p>
        </w:tc>
        <w:tc>
          <w:tcPr>
            <w:tcW w:w="4875" w:type="dxa"/>
            <w:shd w:val="clear" w:color="auto" w:fill="auto"/>
          </w:tcPr>
          <w:p w:rsidR="00A96D44" w:rsidRDefault="00A96D44" w:rsidP="008A5AB9">
            <w:pPr>
              <w:spacing w:before="80" w:after="40"/>
              <w:jc w:val="both"/>
              <w:rPr>
                <w:rFonts w:ascii="Verdana" w:hAnsi="Verdana"/>
                <w:sz w:val="20"/>
                <w:szCs w:val="20"/>
              </w:rPr>
            </w:pPr>
          </w:p>
        </w:tc>
      </w:tr>
      <w:tr w:rsidR="00A96D44" w:rsidTr="005F66E9">
        <w:trPr>
          <w:jc w:val="center"/>
        </w:trPr>
        <w:tc>
          <w:tcPr>
            <w:tcW w:w="622" w:type="dxa"/>
            <w:vMerge/>
            <w:tcBorders>
              <w:bottom w:val="single" w:sz="12" w:space="0" w:color="2E74B5"/>
            </w:tcBorders>
            <w:shd w:val="clear" w:color="auto" w:fill="auto"/>
          </w:tcPr>
          <w:p w:rsidR="00A96D44" w:rsidRDefault="00A96D44"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A96D44" w:rsidRDefault="00A96D44" w:rsidP="008A5AB9">
            <w:pPr>
              <w:spacing w:before="80" w:after="40"/>
              <w:rPr>
                <w:rFonts w:ascii="Verdana" w:hAnsi="Verdana"/>
                <w:b/>
                <w:bCs/>
                <w:color w:val="000000"/>
                <w:spacing w:val="-2"/>
                <w:w w:val="86"/>
                <w:sz w:val="20"/>
                <w:szCs w:val="20"/>
                <w:highlight w:val="yellow"/>
              </w:rPr>
            </w:pPr>
          </w:p>
        </w:tc>
        <w:tc>
          <w:tcPr>
            <w:tcW w:w="6042"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Не на последно място смятаме, че консултантите по чл. 10 от настоящия проект за наредба следва да носят административна и имуществена отговорност при открити нарушения при изпълнение.</w:t>
            </w:r>
          </w:p>
          <w:p w:rsidR="00A96D44" w:rsidRDefault="004B639A" w:rsidP="008A5AB9">
            <w:pPr>
              <w:spacing w:before="80" w:after="40"/>
              <w:jc w:val="both"/>
              <w:rPr>
                <w:rFonts w:ascii="Verdana" w:hAnsi="Verdana"/>
                <w:sz w:val="20"/>
                <w:szCs w:val="20"/>
              </w:rPr>
            </w:pPr>
            <w:r>
              <w:rPr>
                <w:rFonts w:ascii="Verdana" w:hAnsi="Verdana"/>
                <w:sz w:val="20"/>
                <w:szCs w:val="20"/>
              </w:rPr>
              <w:t xml:space="preserve">Изразяваме надежда, че предложените от нас промени в проекта на наредбата ще бъдат взети </w:t>
            </w:r>
            <w:r w:rsidR="00886B5A" w:rsidRPr="00886B5A">
              <w:rPr>
                <w:rFonts w:ascii="Verdana" w:hAnsi="Verdana"/>
                <w:sz w:val="20"/>
                <w:szCs w:val="20"/>
                <w:lang w:val="ru-RU"/>
              </w:rPr>
              <w:t>п</w:t>
            </w:r>
            <w:r>
              <w:rPr>
                <w:rFonts w:ascii="Verdana" w:hAnsi="Verdana"/>
                <w:sz w:val="20"/>
                <w:szCs w:val="20"/>
              </w:rPr>
              <w:t>од внимание.</w:t>
            </w:r>
          </w:p>
        </w:tc>
        <w:tc>
          <w:tcPr>
            <w:tcW w:w="1701" w:type="dxa"/>
            <w:shd w:val="clear" w:color="auto" w:fill="auto"/>
          </w:tcPr>
          <w:p w:rsidR="00A96D44" w:rsidRDefault="004B639A" w:rsidP="008A5AB9">
            <w:pPr>
              <w:spacing w:before="80" w:after="40"/>
              <w:rPr>
                <w:rFonts w:ascii="Verdana" w:hAnsi="Verdana"/>
                <w:sz w:val="20"/>
                <w:szCs w:val="20"/>
              </w:rPr>
            </w:pPr>
            <w:r>
              <w:rPr>
                <w:rFonts w:ascii="Verdana" w:hAnsi="Verdana"/>
                <w:sz w:val="20"/>
                <w:szCs w:val="20"/>
              </w:rPr>
              <w:t>Приема се по принцип</w:t>
            </w:r>
          </w:p>
        </w:tc>
        <w:tc>
          <w:tcPr>
            <w:tcW w:w="4875" w:type="dxa"/>
            <w:shd w:val="clear" w:color="auto" w:fill="auto"/>
          </w:tcPr>
          <w:p w:rsidR="00A96D44" w:rsidRDefault="004B639A" w:rsidP="008A5AB9">
            <w:pPr>
              <w:spacing w:before="80" w:after="40"/>
              <w:jc w:val="both"/>
              <w:rPr>
                <w:rFonts w:ascii="Verdana" w:hAnsi="Verdana"/>
                <w:sz w:val="20"/>
                <w:szCs w:val="20"/>
              </w:rPr>
            </w:pPr>
            <w:r>
              <w:rPr>
                <w:rFonts w:ascii="Verdana" w:hAnsi="Verdana"/>
                <w:sz w:val="20"/>
                <w:szCs w:val="20"/>
              </w:rPr>
              <w:t xml:space="preserve">Към настоящия момент консултантите подлежат на глоба, съгласно чл. 145 от Закона за защита на растенията (ЗЗР): „ (1) Който наруши забраната по </w:t>
            </w:r>
            <w:hyperlink r:id="rId8" w:history="1">
              <w:r>
                <w:rPr>
                  <w:rFonts w:ascii="Verdana" w:hAnsi="Verdana"/>
                  <w:sz w:val="20"/>
                  <w:szCs w:val="20"/>
                </w:rPr>
                <w:t>чл. 12, ал. 3</w:t>
              </w:r>
            </w:hyperlink>
            <w:r>
              <w:rPr>
                <w:rFonts w:ascii="Verdana" w:hAnsi="Verdana"/>
                <w:sz w:val="20"/>
                <w:szCs w:val="20"/>
              </w:rPr>
              <w:t xml:space="preserve"> или предоставя консултантски услуги за интегрирано управление на вредители, без да е вписан в регистъра по </w:t>
            </w:r>
            <w:hyperlink r:id="rId9" w:history="1">
              <w:r>
                <w:rPr>
                  <w:rFonts w:ascii="Verdana" w:hAnsi="Verdana"/>
                  <w:sz w:val="20"/>
                  <w:szCs w:val="20"/>
                </w:rPr>
                <w:t>чл. 6, ал. 1</w:t>
              </w:r>
            </w:hyperlink>
            <w:r>
              <w:rPr>
                <w:rFonts w:ascii="Verdana" w:hAnsi="Verdana"/>
                <w:sz w:val="20"/>
                <w:szCs w:val="20"/>
              </w:rPr>
              <w:t xml:space="preserve">, се наказва с глоба от 400 до 800 лв. </w:t>
            </w:r>
          </w:p>
          <w:p w:rsidR="00A96D44" w:rsidRDefault="004B639A" w:rsidP="008A5AB9">
            <w:pPr>
              <w:spacing w:before="80" w:after="40"/>
              <w:jc w:val="both"/>
              <w:rPr>
                <w:rFonts w:ascii="Verdana" w:hAnsi="Verdana"/>
                <w:sz w:val="20"/>
                <w:szCs w:val="20"/>
              </w:rPr>
            </w:pPr>
            <w:r>
              <w:rPr>
                <w:rFonts w:ascii="Verdana" w:hAnsi="Verdana"/>
                <w:sz w:val="20"/>
                <w:szCs w:val="20"/>
              </w:rPr>
              <w:t>(2) Когато нарушенията по ал. 1 са извършени от юридическо лице или едноличен търговец, се налага имуществена санкция от 800 до 1600 лв.“</w:t>
            </w:r>
          </w:p>
          <w:p w:rsidR="00A96D44" w:rsidRDefault="004B639A" w:rsidP="008A5AB9">
            <w:pPr>
              <w:spacing w:before="80" w:after="40"/>
              <w:jc w:val="both"/>
              <w:rPr>
                <w:rFonts w:ascii="Verdana" w:hAnsi="Verdana"/>
                <w:sz w:val="20"/>
                <w:szCs w:val="20"/>
              </w:rPr>
            </w:pPr>
            <w:r>
              <w:rPr>
                <w:rFonts w:ascii="Verdana" w:hAnsi="Verdana"/>
                <w:sz w:val="20"/>
                <w:szCs w:val="20"/>
              </w:rPr>
              <w:t>При бъдещо изменение на ЗЗР, Вашето предложение ще бъде взето предвид и разписано като нова разпоредба в Глава осма: „Административнонаказателни разпоредби“.</w:t>
            </w:r>
          </w:p>
        </w:tc>
      </w:tr>
      <w:tr w:rsidR="008A5AB9" w:rsidTr="005F66E9">
        <w:trPr>
          <w:jc w:val="center"/>
        </w:trPr>
        <w:tc>
          <w:tcPr>
            <w:tcW w:w="622" w:type="dxa"/>
            <w:vMerge w:val="restart"/>
            <w:shd w:val="clear" w:color="auto" w:fill="auto"/>
          </w:tcPr>
          <w:p w:rsidR="008A5AB9" w:rsidRPr="00FC7CFA" w:rsidRDefault="008A5AB9" w:rsidP="00FC7CFA">
            <w:pPr>
              <w:pStyle w:val="ListParagraph"/>
              <w:numPr>
                <w:ilvl w:val="0"/>
                <w:numId w:val="10"/>
              </w:numPr>
              <w:tabs>
                <w:tab w:val="left" w:pos="192"/>
              </w:tabs>
              <w:spacing w:before="80" w:after="40"/>
              <w:rPr>
                <w:rFonts w:ascii="Verdana" w:hAnsi="Verdana"/>
                <w:b/>
                <w:sz w:val="20"/>
                <w:szCs w:val="20"/>
              </w:rPr>
            </w:pPr>
          </w:p>
        </w:tc>
        <w:tc>
          <w:tcPr>
            <w:tcW w:w="2410" w:type="dxa"/>
            <w:vMerge w:val="restart"/>
            <w:shd w:val="clear" w:color="auto" w:fill="auto"/>
          </w:tcPr>
          <w:p w:rsidR="008A5AB9" w:rsidRPr="00A2765B" w:rsidRDefault="008A5AB9" w:rsidP="005F66E9">
            <w:pPr>
              <w:spacing w:before="80" w:after="40"/>
              <w:rPr>
                <w:rFonts w:ascii="Verdana" w:hAnsi="Verdana"/>
                <w:sz w:val="20"/>
                <w:szCs w:val="20"/>
              </w:rPr>
            </w:pPr>
            <w:r w:rsidRPr="00A2765B">
              <w:rPr>
                <w:rFonts w:ascii="Verdana" w:hAnsi="Verdana"/>
                <w:sz w:val="20"/>
                <w:szCs w:val="20"/>
              </w:rPr>
              <w:t xml:space="preserve">Асоциация </w:t>
            </w:r>
            <w:r w:rsidR="005F66E9">
              <w:rPr>
                <w:rFonts w:ascii="Verdana" w:hAnsi="Verdana"/>
                <w:sz w:val="20"/>
                <w:szCs w:val="20"/>
              </w:rPr>
              <w:br/>
            </w:r>
            <w:r w:rsidRPr="00A2765B">
              <w:rPr>
                <w:rFonts w:ascii="Verdana" w:hAnsi="Verdana"/>
                <w:sz w:val="20"/>
                <w:szCs w:val="20"/>
              </w:rPr>
              <w:t xml:space="preserve">Растителнозащитна </w:t>
            </w:r>
            <w:r w:rsidRPr="00A2765B">
              <w:rPr>
                <w:rFonts w:ascii="Verdana" w:hAnsi="Verdana"/>
                <w:sz w:val="20"/>
                <w:szCs w:val="20"/>
              </w:rPr>
              <w:lastRenderedPageBreak/>
              <w:t xml:space="preserve">Индустрия България </w:t>
            </w:r>
          </w:p>
          <w:p w:rsidR="008A5AB9" w:rsidRPr="008A5AB9" w:rsidRDefault="008A5AB9" w:rsidP="005F66E9">
            <w:pPr>
              <w:spacing w:before="80" w:after="40"/>
              <w:rPr>
                <w:rFonts w:ascii="Verdana" w:hAnsi="Verdana"/>
                <w:sz w:val="20"/>
                <w:szCs w:val="20"/>
              </w:rPr>
            </w:pPr>
            <w:r w:rsidRPr="008A5AB9">
              <w:rPr>
                <w:rFonts w:ascii="Verdana" w:hAnsi="Verdana"/>
                <w:sz w:val="20"/>
                <w:szCs w:val="20"/>
              </w:rPr>
              <w:t>(Писмо № 15-306 от 10.08.2020 г.)</w:t>
            </w:r>
          </w:p>
        </w:tc>
        <w:tc>
          <w:tcPr>
            <w:tcW w:w="6042" w:type="dxa"/>
            <w:shd w:val="clear" w:color="auto" w:fill="auto"/>
          </w:tcPr>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lastRenderedPageBreak/>
              <w:t xml:space="preserve">Във връзка с проекта на Наредба за интегрирано производство на растения н растителни продукта и контрола върху интегрираното производство, публикуван </w:t>
            </w:r>
            <w:r w:rsidRPr="00762F90">
              <w:rPr>
                <w:rFonts w:ascii="Verdana" w:hAnsi="Verdana"/>
                <w:sz w:val="20"/>
                <w:szCs w:val="20"/>
              </w:rPr>
              <w:lastRenderedPageBreak/>
              <w:t>на сайта на Министерството на земеделието и храните на 10.07.2020 г. за обществено обсъждане, от името на Асоциация Растителнозащитна Индустрия България (АРИБ) бихме искали да изразим своята подкрепа в разработването на мерките за насърчаване на интегрирано управление на вредителите, интегрирано производство и предлагане на пазара на безопасна и качествена растителна продукция.</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Разширяване на прилагането на практиките за интегрирано управление на вредителите е един от основните елементи за постигане на целите на Директивата за устойчива употреба на пестициди.</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В същото време обръщаме внимание, че изпълнението и контролът върху извършването на интегрирано производство на растения и растителни продукти и контролът върху лицата, предоставящи консултантски услуги за интегрирано управление на вредителите е възложен изцяло на структурите на БАБХ, на която следва да се осигури необходимия ресурс за обезпечаване изпълнението на вменените задължения.</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Фирмите-членове на АРИБ не само подкрепят, но и допринасят за устойчивото селскостопанско производство и концепциите за интегрирано управление на културите и интегрирано управление на вредителите, чрез осигуряване на безопасни и ефективни технологии за защита срещу неблагоприятни влияния, причинени от вредители, болести и плевели.</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С настоящото писмо представям на Вашето внимание становище на растителнозащитната индустрия и предложение за допълнение на публикувания проект на Наредба за интегрирано производство на растения и растителни продукти и контрола върху интегрираното производство.</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 xml:space="preserve">Като представени в упоменатия законен срок, моля да </w:t>
            </w:r>
            <w:r w:rsidRPr="00762F90">
              <w:rPr>
                <w:rFonts w:ascii="Verdana" w:hAnsi="Verdana"/>
                <w:sz w:val="20"/>
                <w:szCs w:val="20"/>
              </w:rPr>
              <w:lastRenderedPageBreak/>
              <w:t>вземете предвид следните предложения и коментари:</w:t>
            </w:r>
          </w:p>
        </w:tc>
        <w:tc>
          <w:tcPr>
            <w:tcW w:w="1701" w:type="dxa"/>
            <w:shd w:val="clear" w:color="auto" w:fill="auto"/>
          </w:tcPr>
          <w:p w:rsidR="008A5AB9" w:rsidRPr="00762F90" w:rsidRDefault="008A5AB9" w:rsidP="008A5AB9">
            <w:pPr>
              <w:spacing w:before="80" w:after="40"/>
              <w:jc w:val="both"/>
              <w:rPr>
                <w:rFonts w:ascii="Verdana" w:hAnsi="Verdana"/>
                <w:sz w:val="20"/>
                <w:szCs w:val="20"/>
              </w:rPr>
            </w:pPr>
          </w:p>
        </w:tc>
        <w:tc>
          <w:tcPr>
            <w:tcW w:w="4875" w:type="dxa"/>
            <w:shd w:val="clear" w:color="auto" w:fill="auto"/>
          </w:tcPr>
          <w:p w:rsidR="008A5AB9" w:rsidRDefault="008A5AB9" w:rsidP="008A5AB9">
            <w:pPr>
              <w:spacing w:before="80" w:after="40"/>
              <w:jc w:val="both"/>
              <w:rPr>
                <w:rFonts w:ascii="Verdana" w:hAnsi="Verdana"/>
                <w:sz w:val="20"/>
                <w:szCs w:val="20"/>
              </w:rPr>
            </w:pPr>
          </w:p>
        </w:tc>
      </w:tr>
      <w:tr w:rsidR="008A5AB9" w:rsidTr="005F66E9">
        <w:trPr>
          <w:jc w:val="center"/>
        </w:trPr>
        <w:tc>
          <w:tcPr>
            <w:tcW w:w="622" w:type="dxa"/>
            <w:vMerge/>
            <w:shd w:val="clear" w:color="auto" w:fill="auto"/>
          </w:tcPr>
          <w:p w:rsidR="008A5AB9" w:rsidRDefault="008A5AB9" w:rsidP="008A5AB9">
            <w:pPr>
              <w:pStyle w:val="ListParagraph"/>
              <w:tabs>
                <w:tab w:val="left" w:pos="192"/>
              </w:tabs>
              <w:spacing w:before="80" w:after="40"/>
              <w:ind w:left="357"/>
              <w:rPr>
                <w:rFonts w:ascii="Verdana" w:hAnsi="Verdana"/>
                <w:b/>
                <w:sz w:val="20"/>
                <w:szCs w:val="20"/>
                <w:highlight w:val="yellow"/>
              </w:rPr>
            </w:pPr>
          </w:p>
        </w:tc>
        <w:tc>
          <w:tcPr>
            <w:tcW w:w="2410" w:type="dxa"/>
            <w:vMerge/>
            <w:shd w:val="clear" w:color="auto" w:fill="auto"/>
          </w:tcPr>
          <w:p w:rsidR="008A5AB9" w:rsidRPr="00762F90" w:rsidRDefault="008A5AB9" w:rsidP="008A5AB9">
            <w:pPr>
              <w:spacing w:before="80" w:after="40"/>
              <w:jc w:val="both"/>
              <w:rPr>
                <w:rFonts w:ascii="Verdana" w:hAnsi="Verdana"/>
                <w:b/>
                <w:sz w:val="20"/>
                <w:szCs w:val="20"/>
              </w:rPr>
            </w:pPr>
          </w:p>
        </w:tc>
        <w:tc>
          <w:tcPr>
            <w:tcW w:w="6042" w:type="dxa"/>
            <w:shd w:val="clear" w:color="auto" w:fill="auto"/>
          </w:tcPr>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1. По отношение ал. 2 на чл. 9 (Раздел II) от проекта на Наредбата:</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Текстът на ал. 2 на чл. 9 предвижда земеделските стопани да водят отчетност, с която да се позволи проследяването на произхода, количеството и движението на използваното от тях ПРЗ и за произведената продукция.</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С оглед избягване на всякакво съмнение, предлагаме да се добави задължение земеделският стопанин да използва образци, изготвени по реда на чл. З от Наредбата, като по този начин текстът на ал. 2 ще придобие следния вид:</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„(2) Земеделските стопани водят отчетност по образци съгласно чл. З, която позволява да се проследят:“</w:t>
            </w:r>
          </w:p>
        </w:tc>
        <w:tc>
          <w:tcPr>
            <w:tcW w:w="1701" w:type="dxa"/>
            <w:shd w:val="clear" w:color="auto" w:fill="auto"/>
          </w:tcPr>
          <w:p w:rsidR="008A5AB9" w:rsidRDefault="008A5AB9" w:rsidP="008A5AB9">
            <w:pPr>
              <w:spacing w:before="80" w:after="40"/>
              <w:jc w:val="both"/>
              <w:rPr>
                <w:rFonts w:ascii="Verdana" w:hAnsi="Verdana"/>
                <w:sz w:val="20"/>
                <w:szCs w:val="20"/>
              </w:rPr>
            </w:pPr>
            <w:r w:rsidRPr="00762F90">
              <w:rPr>
                <w:rFonts w:ascii="Verdana" w:hAnsi="Verdana"/>
                <w:sz w:val="20"/>
                <w:szCs w:val="20"/>
              </w:rPr>
              <w:t>Приема се</w:t>
            </w:r>
          </w:p>
        </w:tc>
        <w:tc>
          <w:tcPr>
            <w:tcW w:w="4875" w:type="dxa"/>
            <w:shd w:val="clear" w:color="auto" w:fill="auto"/>
          </w:tcPr>
          <w:p w:rsidR="008A5AB9" w:rsidRDefault="008A5AB9" w:rsidP="008A5AB9">
            <w:pPr>
              <w:spacing w:before="80" w:after="40"/>
              <w:jc w:val="both"/>
              <w:rPr>
                <w:rFonts w:ascii="Verdana" w:hAnsi="Verdana"/>
                <w:sz w:val="20"/>
                <w:szCs w:val="20"/>
              </w:rPr>
            </w:pPr>
          </w:p>
        </w:tc>
      </w:tr>
      <w:tr w:rsidR="008A5AB9" w:rsidTr="005F66E9">
        <w:trPr>
          <w:jc w:val="center"/>
        </w:trPr>
        <w:tc>
          <w:tcPr>
            <w:tcW w:w="622" w:type="dxa"/>
            <w:vMerge/>
            <w:shd w:val="clear" w:color="auto" w:fill="auto"/>
          </w:tcPr>
          <w:p w:rsidR="008A5AB9" w:rsidRDefault="008A5AB9"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shd w:val="clear" w:color="auto" w:fill="auto"/>
          </w:tcPr>
          <w:p w:rsidR="008A5AB9" w:rsidRPr="00762F90" w:rsidRDefault="008A5AB9" w:rsidP="008A5AB9">
            <w:pPr>
              <w:spacing w:before="80" w:after="40"/>
              <w:jc w:val="both"/>
              <w:rPr>
                <w:rFonts w:ascii="Verdana" w:hAnsi="Verdana"/>
                <w:b/>
                <w:sz w:val="20"/>
                <w:szCs w:val="20"/>
              </w:rPr>
            </w:pPr>
          </w:p>
        </w:tc>
        <w:tc>
          <w:tcPr>
            <w:tcW w:w="6042" w:type="dxa"/>
            <w:shd w:val="clear" w:color="auto" w:fill="auto"/>
          </w:tcPr>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2. По отношение на чл. 12, ал. 2 (Раздел III) считаме, че текстът на т. 5 е с ограничаващо съдържание до предоставяне с консултацията на „конкретен“ биологичен агент или продукт за растителна защита по земеделски култури и определяне на необходимата доза.</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С оглед избягване на фаворизиране на един производител при извършване на консултациите, считаме, че текстът на т. 5 следва да позволява, а и да задължава консултантът да предостави възможност за избор при ползването на ПРЗ, като посочи няколко подходящи биологични агенти или продукт за растителна защита по земеделски култури и определяне на необходимата доза.</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В тази връзка предлагаме т. 5 на чл. 12, ал. 2 да придобие следния вид:</w:t>
            </w:r>
          </w:p>
          <w:p w:rsidR="008A5AB9" w:rsidRPr="00762F90" w:rsidRDefault="008A5AB9" w:rsidP="008A5AB9">
            <w:pPr>
              <w:spacing w:before="80" w:after="40"/>
              <w:jc w:val="both"/>
              <w:rPr>
                <w:rFonts w:ascii="Verdana" w:hAnsi="Verdana"/>
                <w:sz w:val="20"/>
                <w:szCs w:val="20"/>
              </w:rPr>
            </w:pPr>
            <w:r w:rsidRPr="00762F90">
              <w:rPr>
                <w:rFonts w:ascii="Verdana" w:hAnsi="Verdana"/>
                <w:sz w:val="20"/>
                <w:szCs w:val="20"/>
              </w:rPr>
              <w:t xml:space="preserve">„5. посочване на подходящи биологични агенти или </w:t>
            </w:r>
            <w:r w:rsidRPr="00762F90">
              <w:rPr>
                <w:rFonts w:ascii="Verdana" w:hAnsi="Verdana"/>
                <w:sz w:val="20"/>
                <w:szCs w:val="20"/>
              </w:rPr>
              <w:lastRenderedPageBreak/>
              <w:t>продукти за растителна защита по земеделски култури и определяне на необходимата доза.“</w:t>
            </w:r>
          </w:p>
        </w:tc>
        <w:tc>
          <w:tcPr>
            <w:tcW w:w="1701" w:type="dxa"/>
            <w:shd w:val="clear" w:color="auto" w:fill="auto"/>
          </w:tcPr>
          <w:p w:rsidR="008A5AB9" w:rsidRDefault="008A5AB9" w:rsidP="008A5AB9">
            <w:pPr>
              <w:spacing w:before="80" w:after="40"/>
              <w:jc w:val="both"/>
              <w:rPr>
                <w:rFonts w:ascii="Verdana" w:hAnsi="Verdana"/>
                <w:sz w:val="20"/>
                <w:szCs w:val="20"/>
              </w:rPr>
            </w:pPr>
            <w:r w:rsidRPr="00762F90">
              <w:rPr>
                <w:rFonts w:ascii="Verdana" w:hAnsi="Verdana"/>
                <w:sz w:val="20"/>
                <w:szCs w:val="20"/>
              </w:rPr>
              <w:lastRenderedPageBreak/>
              <w:t>Приема се</w:t>
            </w:r>
          </w:p>
        </w:tc>
        <w:tc>
          <w:tcPr>
            <w:tcW w:w="4875" w:type="dxa"/>
            <w:shd w:val="clear" w:color="auto" w:fill="auto"/>
          </w:tcPr>
          <w:p w:rsidR="008A5AB9" w:rsidRDefault="008A5AB9" w:rsidP="008A5AB9">
            <w:pPr>
              <w:spacing w:before="80" w:after="40"/>
              <w:jc w:val="both"/>
              <w:rPr>
                <w:rFonts w:ascii="Verdana" w:hAnsi="Verdana"/>
                <w:sz w:val="20"/>
                <w:szCs w:val="20"/>
              </w:rPr>
            </w:pPr>
          </w:p>
        </w:tc>
      </w:tr>
      <w:tr w:rsidR="008A5AB9" w:rsidTr="005F66E9">
        <w:trPr>
          <w:jc w:val="center"/>
        </w:trPr>
        <w:tc>
          <w:tcPr>
            <w:tcW w:w="622" w:type="dxa"/>
            <w:vMerge/>
            <w:tcBorders>
              <w:bottom w:val="single" w:sz="12" w:space="0" w:color="2E74B5"/>
            </w:tcBorders>
            <w:shd w:val="clear" w:color="auto" w:fill="auto"/>
          </w:tcPr>
          <w:p w:rsidR="008A5AB9" w:rsidRDefault="008A5AB9" w:rsidP="008A5AB9">
            <w:pPr>
              <w:pStyle w:val="ListParagraph"/>
              <w:numPr>
                <w:ilvl w:val="0"/>
                <w:numId w:val="10"/>
              </w:numPr>
              <w:tabs>
                <w:tab w:val="left" w:pos="192"/>
              </w:tabs>
              <w:spacing w:before="80" w:after="40"/>
              <w:ind w:left="357" w:hanging="357"/>
              <w:jc w:val="center"/>
              <w:rPr>
                <w:rFonts w:ascii="Verdana" w:hAnsi="Verdana"/>
                <w:b/>
                <w:sz w:val="20"/>
                <w:szCs w:val="20"/>
                <w:highlight w:val="yellow"/>
              </w:rPr>
            </w:pPr>
          </w:p>
        </w:tc>
        <w:tc>
          <w:tcPr>
            <w:tcW w:w="2410" w:type="dxa"/>
            <w:vMerge/>
            <w:tcBorders>
              <w:bottom w:val="single" w:sz="12" w:space="0" w:color="2E74B5"/>
            </w:tcBorders>
            <w:shd w:val="clear" w:color="auto" w:fill="auto"/>
          </w:tcPr>
          <w:p w:rsidR="008A5AB9" w:rsidRPr="00762F90" w:rsidRDefault="008A5AB9" w:rsidP="008A5AB9">
            <w:pPr>
              <w:spacing w:before="80" w:after="40"/>
              <w:jc w:val="both"/>
              <w:rPr>
                <w:rFonts w:ascii="Verdana" w:hAnsi="Verdana"/>
                <w:b/>
                <w:sz w:val="20"/>
                <w:szCs w:val="20"/>
              </w:rPr>
            </w:pPr>
          </w:p>
        </w:tc>
        <w:tc>
          <w:tcPr>
            <w:tcW w:w="6042" w:type="dxa"/>
            <w:shd w:val="clear" w:color="auto" w:fill="auto"/>
          </w:tcPr>
          <w:p w:rsidR="008A5AB9" w:rsidRPr="00D1398B" w:rsidRDefault="008A5AB9" w:rsidP="008A5AB9">
            <w:pPr>
              <w:spacing w:before="80" w:after="40"/>
              <w:jc w:val="both"/>
              <w:rPr>
                <w:rFonts w:ascii="Verdana" w:hAnsi="Verdana"/>
                <w:sz w:val="20"/>
                <w:szCs w:val="20"/>
              </w:rPr>
            </w:pPr>
            <w:r w:rsidRPr="00D1398B">
              <w:rPr>
                <w:rFonts w:ascii="Verdana" w:hAnsi="Verdana"/>
                <w:sz w:val="20"/>
                <w:szCs w:val="20"/>
              </w:rPr>
              <w:t>3. По отношение на § 4 от преходни и заключителни разпоредби на проекта на Наредбата е предвидено приложение на утвърдените ръководства за интегрирано управление на вредители по култури по Наредба № 15 от 3 август 2007 г. за условията и реда за интегрирано производство на растения и растителни продукти и тяхното означаване.</w:t>
            </w:r>
          </w:p>
          <w:p w:rsidR="008A5AB9" w:rsidRPr="00D1398B" w:rsidRDefault="008A5AB9" w:rsidP="008A5AB9">
            <w:pPr>
              <w:spacing w:before="80" w:after="40"/>
              <w:jc w:val="both"/>
              <w:rPr>
                <w:rFonts w:ascii="Verdana" w:hAnsi="Verdana"/>
                <w:sz w:val="20"/>
                <w:szCs w:val="20"/>
              </w:rPr>
            </w:pPr>
            <w:r w:rsidRPr="00D1398B">
              <w:rPr>
                <w:rFonts w:ascii="Verdana" w:hAnsi="Verdana"/>
                <w:sz w:val="20"/>
                <w:szCs w:val="20"/>
              </w:rPr>
              <w:t>Считаме, че за изчерпателност, избягване на възможни недоразумения в текста на § 4 следва да се уточни, че утвърдените въз основа Наредба 15/03.08.2007 г. ръководства ще се прилагат с изключение на раздел „Химическа борба“, който не е предвиден по Настоящата наредба, а и не е необходим, тъй като всички ПРЗ са включени в официалния регистър за пускане на пазара и употреба ПРЗ.</w:t>
            </w:r>
          </w:p>
          <w:p w:rsidR="008A5AB9" w:rsidRPr="00D1398B" w:rsidRDefault="008A5AB9" w:rsidP="008A5AB9">
            <w:pPr>
              <w:spacing w:before="80" w:after="40"/>
              <w:jc w:val="both"/>
              <w:rPr>
                <w:rFonts w:ascii="Verdana" w:hAnsi="Verdana"/>
                <w:sz w:val="20"/>
                <w:szCs w:val="20"/>
              </w:rPr>
            </w:pPr>
            <w:r w:rsidRPr="00D1398B">
              <w:rPr>
                <w:rFonts w:ascii="Verdana" w:hAnsi="Verdana"/>
                <w:sz w:val="20"/>
                <w:szCs w:val="20"/>
              </w:rPr>
              <w:t>Предлагаме следната редакция на § 4:</w:t>
            </w:r>
          </w:p>
          <w:p w:rsidR="008A5AB9" w:rsidRPr="00D1398B" w:rsidRDefault="008A5AB9" w:rsidP="008A5AB9">
            <w:pPr>
              <w:spacing w:before="80" w:after="40"/>
              <w:jc w:val="both"/>
              <w:rPr>
                <w:rFonts w:ascii="Verdana" w:hAnsi="Verdana"/>
                <w:sz w:val="20"/>
                <w:szCs w:val="20"/>
              </w:rPr>
            </w:pPr>
            <w:r w:rsidRPr="00D1398B">
              <w:rPr>
                <w:rFonts w:ascii="Verdana" w:hAnsi="Verdana"/>
                <w:sz w:val="20"/>
                <w:szCs w:val="20"/>
              </w:rPr>
              <w:t>„§ 4. Утвърдените въз основа на Наредба № 15 от 2007 г. за условията и реда за интегрирано производство на растения и растителни продукти и тяхното означаване ръководства за интегрирано управление на вредителите по култури се прилагат с изключение на раздела „Химическа борба“ и доколкото не противоречат на тази наредба и до изричната им отмяна.“</w:t>
            </w:r>
          </w:p>
          <w:p w:rsidR="008A5AB9" w:rsidRPr="00D1398B" w:rsidRDefault="008A5AB9" w:rsidP="008A5AB9">
            <w:pPr>
              <w:spacing w:before="80" w:after="40"/>
              <w:jc w:val="both"/>
              <w:rPr>
                <w:rFonts w:ascii="Verdana" w:hAnsi="Verdana"/>
                <w:sz w:val="20"/>
                <w:szCs w:val="20"/>
              </w:rPr>
            </w:pPr>
            <w:r w:rsidRPr="00D1398B">
              <w:rPr>
                <w:rFonts w:ascii="Verdana" w:hAnsi="Verdana"/>
                <w:sz w:val="20"/>
                <w:szCs w:val="20"/>
              </w:rPr>
              <w:t>Според представлявания от АРИБ бранш с предложените от нас изменения и допълнения проектът за Наредба за разрешаване пускането на пазара и употребата на продукти за растителна защита ще бъде работещ и адекватен на ситуацията в нашата страна.</w:t>
            </w:r>
          </w:p>
          <w:p w:rsidR="008A5AB9" w:rsidRPr="00762F90" w:rsidRDefault="008A5AB9" w:rsidP="008A5AB9">
            <w:pPr>
              <w:spacing w:before="80" w:after="40"/>
              <w:jc w:val="both"/>
              <w:rPr>
                <w:rFonts w:ascii="Verdana" w:hAnsi="Verdana"/>
                <w:sz w:val="20"/>
                <w:szCs w:val="20"/>
              </w:rPr>
            </w:pPr>
            <w:r w:rsidRPr="00D1398B">
              <w:rPr>
                <w:rFonts w:ascii="Verdana" w:hAnsi="Verdana"/>
                <w:sz w:val="20"/>
                <w:szCs w:val="20"/>
              </w:rPr>
              <w:t>Оставаме на разположение за изясняване на позициите ни, в случай на необходимост.</w:t>
            </w:r>
          </w:p>
        </w:tc>
        <w:tc>
          <w:tcPr>
            <w:tcW w:w="1701" w:type="dxa"/>
            <w:shd w:val="clear" w:color="auto" w:fill="auto"/>
          </w:tcPr>
          <w:p w:rsidR="008A5AB9" w:rsidRDefault="008A5AB9" w:rsidP="008A5AB9">
            <w:pPr>
              <w:spacing w:before="80" w:after="40"/>
              <w:rPr>
                <w:rFonts w:ascii="Verdana" w:hAnsi="Verdana"/>
                <w:sz w:val="20"/>
                <w:szCs w:val="20"/>
              </w:rPr>
            </w:pPr>
            <w:r>
              <w:rPr>
                <w:rFonts w:ascii="Verdana" w:hAnsi="Verdana"/>
                <w:sz w:val="20"/>
                <w:szCs w:val="20"/>
              </w:rPr>
              <w:t>Не се приема</w:t>
            </w:r>
          </w:p>
        </w:tc>
        <w:tc>
          <w:tcPr>
            <w:tcW w:w="4875" w:type="dxa"/>
            <w:shd w:val="clear" w:color="auto" w:fill="auto"/>
          </w:tcPr>
          <w:p w:rsidR="008A5AB9" w:rsidRDefault="008A5AB9" w:rsidP="008A5AB9">
            <w:pPr>
              <w:spacing w:before="80" w:after="40"/>
              <w:jc w:val="both"/>
              <w:rPr>
                <w:rFonts w:ascii="Verdana" w:hAnsi="Verdana"/>
                <w:sz w:val="20"/>
                <w:szCs w:val="20"/>
              </w:rPr>
            </w:pPr>
            <w:r w:rsidRPr="00D1398B">
              <w:rPr>
                <w:rFonts w:ascii="Verdana" w:hAnsi="Verdana"/>
                <w:sz w:val="20"/>
                <w:szCs w:val="20"/>
              </w:rPr>
              <w:t>Разработените през 2007 г. Ръководства за интегрирано управление на вредителите са твърде стари (още преди да бъдат разработени общите и специфични принципи за интегрирано управление на вредителите</w:t>
            </w:r>
            <w:r>
              <w:rPr>
                <w:rFonts w:ascii="Verdana" w:hAnsi="Verdana"/>
                <w:sz w:val="20"/>
                <w:szCs w:val="20"/>
              </w:rPr>
              <w:t>)</w:t>
            </w:r>
            <w:r w:rsidRPr="00D1398B">
              <w:rPr>
                <w:rFonts w:ascii="Verdana" w:hAnsi="Verdana"/>
                <w:sz w:val="20"/>
                <w:szCs w:val="20"/>
              </w:rPr>
              <w:t xml:space="preserve"> и като цяло са неактуални и неприложими, затова не считаме, че е уместно отделянето само на раздела за химическа борба. В проекта е предвидено разработването на нови Ръководства, в които ще бъдат отразени всички промени, настъпили през годините по отношение сортов състав, прилагана агротехника и т.н.</w:t>
            </w:r>
          </w:p>
        </w:tc>
      </w:tr>
    </w:tbl>
    <w:p w:rsidR="00A96D44" w:rsidRPr="00B00BAC" w:rsidRDefault="00A96D44" w:rsidP="00B60F17">
      <w:pPr>
        <w:ind w:left="284"/>
        <w:rPr>
          <w:rFonts w:ascii="Verdana" w:hAnsi="Verdana"/>
          <w:smallCaps/>
          <w:sz w:val="20"/>
          <w:szCs w:val="20"/>
        </w:rPr>
      </w:pPr>
      <w:bookmarkStart w:id="0" w:name="_GoBack"/>
      <w:bookmarkEnd w:id="0"/>
    </w:p>
    <w:sectPr w:rsidR="00A96D44" w:rsidRPr="00B00BAC" w:rsidSect="00E328A5">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36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A9" w:rsidRDefault="003C58A9">
      <w:r>
        <w:separator/>
      </w:r>
    </w:p>
  </w:endnote>
  <w:endnote w:type="continuationSeparator" w:id="0">
    <w:p w:rsidR="003C58A9" w:rsidRDefault="003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90" w:rsidRDefault="00762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2F90" w:rsidRDefault="00762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8"/>
        <w:szCs w:val="18"/>
      </w:rPr>
    </w:sdtEndPr>
    <w:sdtContent>
      <w:p w:rsidR="00762F90" w:rsidRDefault="00762F90">
        <w:pPr>
          <w:pStyle w:val="Footer"/>
          <w:jc w:val="right"/>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B60F17">
          <w:rPr>
            <w:rFonts w:ascii="Verdana" w:hAnsi="Verdana"/>
            <w:noProof/>
            <w:sz w:val="18"/>
            <w:szCs w:val="18"/>
          </w:rPr>
          <w:t>18</w:t>
        </w:r>
        <w:r>
          <w:rPr>
            <w:rFonts w:ascii="Verdana" w:hAnsi="Verdana"/>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90" w:rsidRDefault="0076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A9" w:rsidRDefault="003C58A9">
      <w:r>
        <w:separator/>
      </w:r>
    </w:p>
  </w:footnote>
  <w:footnote w:type="continuationSeparator" w:id="0">
    <w:p w:rsidR="003C58A9" w:rsidRDefault="003C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90" w:rsidRDefault="0076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90" w:rsidRDefault="0076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90" w:rsidRDefault="00762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4CF"/>
    <w:multiLevelType w:val="hybridMultilevel"/>
    <w:tmpl w:val="F922137E"/>
    <w:lvl w:ilvl="0" w:tplc="F3C2FD0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66EDC"/>
    <w:multiLevelType w:val="multilevel"/>
    <w:tmpl w:val="3C06FBBE"/>
    <w:lvl w:ilvl="0">
      <w:start w:val="1"/>
      <w:numFmt w:val="decimal"/>
      <w:suff w:val="space"/>
      <w:lvlText w:val="%1."/>
      <w:lvlJc w:val="right"/>
      <w:pPr>
        <w:ind w:left="34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3"/>
  </w:num>
  <w:num w:numId="7">
    <w:abstractNumId w:val="7"/>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44"/>
    <w:rsid w:val="00046BAD"/>
    <w:rsid w:val="00091081"/>
    <w:rsid w:val="000C186A"/>
    <w:rsid w:val="000F7DF3"/>
    <w:rsid w:val="001130C9"/>
    <w:rsid w:val="001C168B"/>
    <w:rsid w:val="001C6D92"/>
    <w:rsid w:val="002245B9"/>
    <w:rsid w:val="002278E1"/>
    <w:rsid w:val="00257F19"/>
    <w:rsid w:val="0026535A"/>
    <w:rsid w:val="002906E7"/>
    <w:rsid w:val="002A489C"/>
    <w:rsid w:val="002A4E43"/>
    <w:rsid w:val="002B49BA"/>
    <w:rsid w:val="002C008F"/>
    <w:rsid w:val="002C2AAC"/>
    <w:rsid w:val="002D16DA"/>
    <w:rsid w:val="002E5670"/>
    <w:rsid w:val="002F1A1C"/>
    <w:rsid w:val="00346D52"/>
    <w:rsid w:val="00352946"/>
    <w:rsid w:val="0036340B"/>
    <w:rsid w:val="003725F0"/>
    <w:rsid w:val="00382E50"/>
    <w:rsid w:val="003A0A4F"/>
    <w:rsid w:val="003B6A81"/>
    <w:rsid w:val="003C58A9"/>
    <w:rsid w:val="00445EB7"/>
    <w:rsid w:val="00462780"/>
    <w:rsid w:val="004A1776"/>
    <w:rsid w:val="004A53D5"/>
    <w:rsid w:val="004B15DC"/>
    <w:rsid w:val="004B639A"/>
    <w:rsid w:val="004C5B23"/>
    <w:rsid w:val="004C63E1"/>
    <w:rsid w:val="004D536C"/>
    <w:rsid w:val="004F4C8D"/>
    <w:rsid w:val="0052523F"/>
    <w:rsid w:val="005F66E9"/>
    <w:rsid w:val="00601C14"/>
    <w:rsid w:val="00644512"/>
    <w:rsid w:val="006676F6"/>
    <w:rsid w:val="006867C8"/>
    <w:rsid w:val="006957E8"/>
    <w:rsid w:val="00696DC2"/>
    <w:rsid w:val="006978AB"/>
    <w:rsid w:val="006A1133"/>
    <w:rsid w:val="006E4783"/>
    <w:rsid w:val="007171AD"/>
    <w:rsid w:val="00740524"/>
    <w:rsid w:val="00742A1A"/>
    <w:rsid w:val="00744F2A"/>
    <w:rsid w:val="0075077C"/>
    <w:rsid w:val="00762F90"/>
    <w:rsid w:val="007A187B"/>
    <w:rsid w:val="007C358E"/>
    <w:rsid w:val="007E02A6"/>
    <w:rsid w:val="007F2389"/>
    <w:rsid w:val="008078D7"/>
    <w:rsid w:val="008140FA"/>
    <w:rsid w:val="00817618"/>
    <w:rsid w:val="00886B5A"/>
    <w:rsid w:val="00890F85"/>
    <w:rsid w:val="008A5AB9"/>
    <w:rsid w:val="008D71A1"/>
    <w:rsid w:val="008E0E0F"/>
    <w:rsid w:val="008F14B8"/>
    <w:rsid w:val="00901F10"/>
    <w:rsid w:val="0091473C"/>
    <w:rsid w:val="00920B7B"/>
    <w:rsid w:val="00967268"/>
    <w:rsid w:val="00983734"/>
    <w:rsid w:val="00985871"/>
    <w:rsid w:val="009C5293"/>
    <w:rsid w:val="009E0B83"/>
    <w:rsid w:val="00A1266C"/>
    <w:rsid w:val="00A1471E"/>
    <w:rsid w:val="00A2765B"/>
    <w:rsid w:val="00A314A4"/>
    <w:rsid w:val="00A96D44"/>
    <w:rsid w:val="00AA16B2"/>
    <w:rsid w:val="00AD0889"/>
    <w:rsid w:val="00B00BAC"/>
    <w:rsid w:val="00B37AFA"/>
    <w:rsid w:val="00B60038"/>
    <w:rsid w:val="00B602C4"/>
    <w:rsid w:val="00B60F17"/>
    <w:rsid w:val="00B97A2A"/>
    <w:rsid w:val="00BC15B9"/>
    <w:rsid w:val="00BD7D94"/>
    <w:rsid w:val="00BE0DC1"/>
    <w:rsid w:val="00C15BBF"/>
    <w:rsid w:val="00C345BB"/>
    <w:rsid w:val="00C43ADC"/>
    <w:rsid w:val="00C50A9D"/>
    <w:rsid w:val="00C51FAF"/>
    <w:rsid w:val="00CA7D84"/>
    <w:rsid w:val="00CE6773"/>
    <w:rsid w:val="00CF6BF4"/>
    <w:rsid w:val="00D1398B"/>
    <w:rsid w:val="00D279A7"/>
    <w:rsid w:val="00D41744"/>
    <w:rsid w:val="00D64CBC"/>
    <w:rsid w:val="00D90323"/>
    <w:rsid w:val="00D9063B"/>
    <w:rsid w:val="00DB3F8A"/>
    <w:rsid w:val="00DF3964"/>
    <w:rsid w:val="00E328A5"/>
    <w:rsid w:val="00E85F9D"/>
    <w:rsid w:val="00EC630B"/>
    <w:rsid w:val="00F00EBF"/>
    <w:rsid w:val="00F107DA"/>
    <w:rsid w:val="00F14845"/>
    <w:rsid w:val="00F503BD"/>
    <w:rsid w:val="00F61E9C"/>
    <w:rsid w:val="00F95D9A"/>
    <w:rsid w:val="00FA1F42"/>
    <w:rsid w:val="00FC7CFA"/>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bg-BG"/>
    </w:rPr>
  </w:style>
  <w:style w:type="paragraph" w:styleId="Revision">
    <w:name w:val="Revision"/>
    <w:hidden/>
    <w:uiPriority w:val="99"/>
    <w:semiHidden/>
    <w:rPr>
      <w:sz w:val="24"/>
      <w:szCs w:val="24"/>
      <w:lang w:eastAsia="bg-BG"/>
    </w:rPr>
  </w:style>
  <w:style w:type="paragraph" w:customStyle="1" w:styleId="1">
    <w:name w:val="Нормален1"/>
    <w:pPr>
      <w:widowControl w:val="0"/>
      <w:autoSpaceDE w:val="0"/>
      <w:autoSpaceDN w:val="0"/>
      <w:adjustRightInd w:val="0"/>
    </w:pPr>
    <w:rPr>
      <w:sz w:val="24"/>
      <w:szCs w:val="24"/>
      <w:lang w:eastAsia="en-US"/>
    </w:rPr>
  </w:style>
  <w:style w:type="paragraph" w:customStyle="1" w:styleId="Style">
    <w:name w:val="Style"/>
    <w:link w:val="StyleChar"/>
    <w:pPr>
      <w:widowControl w:val="0"/>
      <w:autoSpaceDE w:val="0"/>
      <w:autoSpaceDN w:val="0"/>
      <w:adjustRightInd w:val="0"/>
      <w:ind w:left="140" w:right="140" w:firstLine="840"/>
      <w:jc w:val="both"/>
    </w:pPr>
    <w:rPr>
      <w:sz w:val="24"/>
      <w:szCs w:val="24"/>
      <w:lang w:eastAsia="bg-BG"/>
    </w:rPr>
  </w:style>
  <w:style w:type="character" w:customStyle="1" w:styleId="StyleChar">
    <w:name w:val="Style Char"/>
    <w:link w:val="Style"/>
    <w:locked/>
    <w:rPr>
      <w:sz w:val="24"/>
      <w:szCs w:val="24"/>
      <w:lang w:eastAsia="bg-BG"/>
    </w:rPr>
  </w:style>
  <w:style w:type="paragraph" w:styleId="HTMLPreformatted">
    <w:name w:val="HTML Preformatted"/>
    <w:basedOn w:val="Normal"/>
    <w:link w:val="HTMLPreformattedChar"/>
    <w:rsid w:val="00F107DA"/>
    <w:rPr>
      <w:rFonts w:ascii="Consolas" w:hAnsi="Consolas" w:cs="Consolas"/>
      <w:sz w:val="20"/>
      <w:szCs w:val="20"/>
    </w:rPr>
  </w:style>
  <w:style w:type="character" w:customStyle="1" w:styleId="HTMLPreformattedChar">
    <w:name w:val="HTML Preformatted Char"/>
    <w:basedOn w:val="DefaultParagraphFont"/>
    <w:link w:val="HTMLPreformatted"/>
    <w:rsid w:val="00F107DA"/>
    <w:rPr>
      <w:rFonts w:ascii="Consolas" w:hAnsi="Consolas" w:cs="Consola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526719">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53526866">
      <w:bodyDiv w:val="1"/>
      <w:marLeft w:val="0"/>
      <w:marRight w:val="0"/>
      <w:marTop w:val="0"/>
      <w:marBottom w:val="0"/>
      <w:divBdr>
        <w:top w:val="none" w:sz="0" w:space="0" w:color="auto"/>
        <w:left w:val="none" w:sz="0" w:space="0" w:color="auto"/>
        <w:bottom w:val="none" w:sz="0" w:space="0" w:color="auto"/>
        <w:right w:val="none" w:sz="0" w:space="0" w:color="auto"/>
      </w:divBdr>
      <w:divsChild>
        <w:div w:id="26122721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39581883">
      <w:bodyDiv w:val="1"/>
      <w:marLeft w:val="0"/>
      <w:marRight w:val="0"/>
      <w:marTop w:val="0"/>
      <w:marBottom w:val="0"/>
      <w:divBdr>
        <w:top w:val="none" w:sz="0" w:space="0" w:color="auto"/>
        <w:left w:val="none" w:sz="0" w:space="0" w:color="auto"/>
        <w:bottom w:val="none" w:sz="0" w:space="0" w:color="auto"/>
        <w:right w:val="none" w:sz="0" w:space="0" w:color="auto"/>
      </w:divBdr>
      <w:divsChild>
        <w:div w:id="16905213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69887955">
      <w:bodyDiv w:val="1"/>
      <w:marLeft w:val="0"/>
      <w:marRight w:val="0"/>
      <w:marTop w:val="0"/>
      <w:marBottom w:val="0"/>
      <w:divBdr>
        <w:top w:val="none" w:sz="0" w:space="0" w:color="auto"/>
        <w:left w:val="none" w:sz="0" w:space="0" w:color="auto"/>
        <w:bottom w:val="none" w:sz="0" w:space="0" w:color="auto"/>
        <w:right w:val="none" w:sz="0" w:space="0" w:color="auto"/>
      </w:divBdr>
    </w:div>
    <w:div w:id="110816342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349&amp;ToPar=Art12_Al3&amp;Type=2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NARH&amp;DocCode=41349&amp;ToPar=Art6_Al1&amp;Type=2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8AE3-6629-4B41-8141-DE22B8D4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38905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2021-02-19T09:05:00Z</dcterms:created>
  <dcterms:modified xsi:type="dcterms:W3CDTF">2021-02-25T13:14:00Z</dcterms:modified>
</cp:coreProperties>
</file>