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6045CA" w:rsidRDefault="007B5DF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6045CA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НАРЕДБА № 3 ОТ 27 ЯНУАРИ 2021 Г. ЗА УСЛОВИЯТА И РЕДА ЗА ОБЕЗВРЕЖДАНЕ НА СТРАНИЧНИ ЖИВОТИНСКИ ПРОДУКТИ И НА ПРОДУКТИ, ПОЛУЧЕНИ ОТ ТЯХ, ИЗВЪН ОБЕКТИТЕ, РЕГИСТРИРАНИ В ОБЛАСТНИТЕ ДИРЕКЦИИ ПО БЕЗОПАСНОСТ НА ХРАНИТЕ</w:t>
      </w:r>
    </w:p>
    <w:p w:rsidR="00000000" w:rsidRPr="006045CA" w:rsidRDefault="007B5DF4">
      <w:pPr>
        <w:spacing w:before="284" w:after="0" w:line="240" w:lineRule="auto"/>
        <w:ind w:firstLine="851"/>
        <w:rPr>
          <w:rFonts w:ascii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hAnsi="Times New Roman" w:cs="Times New Roman"/>
          <w:i/>
          <w:iCs/>
          <w:sz w:val="24"/>
          <w:szCs w:val="24"/>
          <w:lang w:val="bg-BG"/>
        </w:rPr>
        <w:t>В сила от 09.02.2021 г.</w:t>
      </w:r>
    </w:p>
    <w:p w:rsidR="00000000" w:rsidRPr="006045CA" w:rsidRDefault="007B5DF4">
      <w:pPr>
        <w:spacing w:before="284" w:after="0" w:line="240" w:lineRule="auto"/>
        <w:ind w:firstLine="851"/>
        <w:rPr>
          <w:rFonts w:ascii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hAnsi="Times New Roman" w:cs="Times New Roman"/>
          <w:i/>
          <w:iCs/>
          <w:sz w:val="24"/>
          <w:szCs w:val="24"/>
          <w:lang w:val="bg-BG"/>
        </w:rPr>
        <w:t>Издадена от министъра на земеделието, храните и горите</w:t>
      </w:r>
    </w:p>
    <w:p w:rsidR="00000000" w:rsidRPr="006045CA" w:rsidRDefault="007B5DF4">
      <w:pPr>
        <w:spacing w:before="284" w:after="100" w:afterAutospacing="1" w:line="240" w:lineRule="auto"/>
        <w:ind w:firstLine="851"/>
        <w:rPr>
          <w:rFonts w:ascii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hAnsi="Times New Roman" w:cs="Times New Roman"/>
          <w:i/>
          <w:iCs/>
          <w:sz w:val="24"/>
          <w:szCs w:val="24"/>
          <w:lang w:val="bg-BG"/>
        </w:rPr>
        <w:t>Обн. ДВ. бр.11 от 9 Февруари 2021г.</w:t>
      </w:r>
    </w:p>
    <w:p w:rsidR="00000000" w:rsidRPr="006045CA" w:rsidRDefault="007B5DF4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hAnsi="Times New Roman" w:cs="Times New Roman"/>
          <w:b/>
          <w:bCs/>
          <w:sz w:val="24"/>
          <w:szCs w:val="24"/>
          <w:lang w:val="bg-BG"/>
        </w:rPr>
        <w:t>Раздел I.</w:t>
      </w:r>
      <w:r w:rsidRPr="006045CA">
        <w:rPr>
          <w:rFonts w:ascii="Times New Roman" w:hAnsi="Times New Roman" w:cs="Times New Roman"/>
          <w:b/>
          <w:bCs/>
          <w:sz w:val="24"/>
          <w:szCs w:val="24"/>
          <w:lang w:val="bg-BG"/>
        </w:rPr>
        <w:br/>
      </w:r>
      <w:r w:rsidRPr="006045CA">
        <w:rPr>
          <w:rFonts w:ascii="Times New Roman" w:hAnsi="Times New Roman" w:cs="Times New Roman"/>
          <w:b/>
          <w:bCs/>
          <w:sz w:val="24"/>
          <w:szCs w:val="24"/>
          <w:lang w:val="bg-BG"/>
        </w:rPr>
        <w:t>Общи положения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955019276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Чл. 1. С тази наредба се уреждат условията и редът при обезвреждане на странични животински продукти и на продукти, получени от тях, които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изключват риск за хората и околната среда, извън обектите, регистрирани в областните дирекции по безопасност на храните (ОДБХ) по реда на чл. 262 от Закона за ветеринарномедицинската дейност.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7007125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Чл. 2. Наредбата не се прилага за: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232157806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1. кухненски отпадъци от мес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тата за обществено хранене;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2124885915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2. всички части на животинския труп, включително кожи с косми и кожи без косми, от: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914774623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а) животни, за които има съмнение, че са заразени с трансмисивни спонгиформни енцефалопатии (ТСЕ) или животни, при които наличието на ТСЕ е било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официално потвърдено;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713845074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б) животни, убити при изпълнение на програма за ликвидиране на ТСЕ;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2042318696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3. материали, които съдържат странични животински продукти по т. 2.</w:t>
      </w:r>
    </w:p>
    <w:p w:rsidR="00000000" w:rsidRPr="006045CA" w:rsidRDefault="007B5DF4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hAnsi="Times New Roman" w:cs="Times New Roman"/>
          <w:b/>
          <w:bCs/>
          <w:sz w:val="24"/>
          <w:szCs w:val="24"/>
          <w:lang w:val="bg-BG"/>
        </w:rPr>
        <w:t>Раздел II.</w:t>
      </w:r>
      <w:r w:rsidRPr="006045CA">
        <w:rPr>
          <w:rFonts w:ascii="Times New Roman" w:hAnsi="Times New Roman" w:cs="Times New Roman"/>
          <w:b/>
          <w:bCs/>
          <w:sz w:val="24"/>
          <w:szCs w:val="24"/>
          <w:lang w:val="bg-BG"/>
        </w:rPr>
        <w:br/>
      </w:r>
      <w:r w:rsidRPr="006045CA">
        <w:rPr>
          <w:rFonts w:ascii="Times New Roman" w:hAnsi="Times New Roman" w:cs="Times New Roman"/>
          <w:b/>
          <w:bCs/>
          <w:sz w:val="24"/>
          <w:szCs w:val="24"/>
          <w:lang w:val="bg-BG"/>
        </w:rPr>
        <w:t>Обезвреждане на странични животински продукти и на продукти, получени от тях, извън об</w:t>
      </w:r>
      <w:r w:rsidRPr="006045CA">
        <w:rPr>
          <w:rFonts w:ascii="Times New Roman" w:hAnsi="Times New Roman" w:cs="Times New Roman"/>
          <w:b/>
          <w:bCs/>
          <w:sz w:val="24"/>
          <w:szCs w:val="24"/>
          <w:lang w:val="bg-BG"/>
        </w:rPr>
        <w:t>ектите, регистрирани в областните дирекции по безопасност на храните, и одобряване на терени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44325958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Чл. 3. (1) Обезвреждането на странични животински продукти и на продукти, получени от тях, извън обектите, регистрирани в ОДБХ, се извършва: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951080687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1. когато произхождат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труднодостъпни райони;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7131514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2. когато транспортирането е невъзможно поради повишен риск от разпространение на заразна болест по животните;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2016030477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3. в извънредни случаи, свързани с ликвидиране на заразна болест по животните, когато капацитетът на обекта, регистрир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ан в ОДБХ, е недостатъчен.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435370493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(2) Обезвреждането по ал. 1 се извършва чрез: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652103784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1. загробване в трупни ями или траншеи;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387870635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2. директно изгаряне на нивото на терена или в изкоп.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766732554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(3) Получената пепел от директното изгаряне по ал. 2, т. 2 се обезврежда съгласно ал. 2, 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т. 1.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670565665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(4) Начинът на обезвреждане по ал. 2 се определя със заповед на директора на съответната ОДБХ за всеки конкретен случай.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283148637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Чл. 4. (1) Всички общини одобряват терени за обезвреждането по чл. 3, ал. 2 в зависимост от капацитета на животновъдните обекти, 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намиращи се на територията на общината, въз основа на извършен анализ. При изграждане на нови животновъдни обекти или разширение на капацитета на съществуващите анализът се актуализира в срок от 6 месеца от настъпване на промяната.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250851833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(2) В случаите, в които 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на територията на дадена община се установи, че няма терени, отговарящи на изискванията на чл. 6, се одобряват терени на територията на съседни или други близки общини.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470490064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(3) В случаите по ал. 2 писмено се уведомяват кметовете на съседните или другите близки общини за необходимостта от терени за обезвреждане по чл. 3, ал. 2.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4138779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(4) Кметовете на съседни или други близки общини извършват анализ на капацитетите на животновъдните 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обекти на територията на своята община и предоставят становище за възможност за одобряване на нови терени.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347557063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(5) При положително становище по ал. 4 се предприемат действия по чл. 5.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356426636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(6) Взаимоотношенията за ползване на терените за обезвреждане на територията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други общини се уреждат между кметовете и общинските съвети на съответните общини.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87696721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Чл. 5. (1) Терените по чл. 4 се определят от постоянно действаща комисия на територията на съответната община, назначена със заповед на кмета.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37214815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(2) Комисията по ал. 1 се 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състои от представители на: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079524283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1. съответната община;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48936883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2. областната дирекция по безопасност на храните;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75658487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3. регионалната здравна инспекция;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68205244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4. регионална инспекция по околната среда и водите;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555046789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5. басейнова дирекция;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84604667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6. Главна дирекция "Пожарна безопасност и защ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ита на населението";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212113971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7. съответния ВиК оператор, предоставящ ВиК услуги в района на общината;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239215434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8. съответната областна дирекция "Земеделие".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82330878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(3) Терените по ал. 1 се предлагат от кмета на общината на комисията по ал. 2.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88548929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(4) Комисията извършва проверка на мя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сто и по документи за съответствието на терена/ите с изискванията на тази наредба.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811558659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(5) За резултатите от извършената проверка по ал. 4 се съставя протокол с решение на комисията, в който се отразяват писмените или устните становища на всички представители 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по ал. 2, за одобряване или отказ от одобряване на предложения терен по ал. 3 и начина, по който може да се обезврежда на него.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74391576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(6) Решенията за одобряване на терен от комисията се вземат с единодушие.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44075908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(7) Въз основа на протокола по ал. 5 и в срок до 3 раб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отни дни от неговото получаване кметът на общината издава заповед за одобряване на терен за обезвреждането по чл. 3, ал. 2.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548025975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(8) Кметът на общината обозначава местата за обезвреждане по подходящ начин и предприема действия за промяна на устройствения план н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а общината и отразяване на новото предназначение на одобрените имоти в кадастъра или картата на възстановената собственост от компетентните институции.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51198794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Чл. 6. (1) При определяне на терен по чл. 4 неговото местоположение се съобразява със: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972663469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1. наличие на отс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тояние най-малко 1000 м от границите на урбанизираните територии и най-малко 100 м от републиканските и местните пътища;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034772134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2. местоположението на водоизточници, използвани за питейно-битово водоснабдяване, на минерални води, използвани за лечение, профилакти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ка, спорт и рекреация, и забраните и ограниченията, свързани с експлоатацията на санитарно-охранителните зони около тях, както и с местоположението на зоните за къпане;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59185958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3. наличие на хидротехническите съоръжения (напоителни и отводнителни канали), язовири,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водоеми и други такива;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37411585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4. наличието на водопроводи и съоръжения (резервоари, помпени станции, пречиствателни съоръжения и станции) за питейно-битово водоснабдяване;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186023134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5. наличието на повърхностни води, както и нивото на подземни води не по-малко от 2 м под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нивото на терена (при директно изгаряне на нивото на терена) или под дъното на изкопа, ямата и траншеята, предоставените права за ползването на водите и риска да бъдат замърсени;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631397856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6. забраните и ограниченията в действащите планове за управление на речните 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басейни и плановете за управление на риска от наводнения.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527716444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(2) Не се допуска определяне на терен по чл. 4 на територията на: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363240499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1. защитените територии по чл. 5 от Закона за защитените територии, освен когато това е изрично предвидено в плановете им за управле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ние;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59351407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2. археологически, архитектурни и други резервати и обекти, обявени за недвижими паметници на културата;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2078624826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3. райони с неблагоприятни инженерно-геоложки условия (свлачища, срутища и др.), когато е икономически нецелесъобразно тяхното отстраняване или укрепване;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206818800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4. райони с открит карст;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915743989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5. терени над консервирани или ликвидирани минни изработки, за които същест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вува опасност от слягане или пропадане;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617059533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6. пояс I и пояс II на санитарно-охранителни зони на водоизточниците и съоръженията за питейно-битово водоснабдяване и около водоизточниците на минерални води, използвани за лечебни, профилактични, питейни и хигиенни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нужди, и в радиус 1000 метра от водоизточници за питейно-битови нужди без определени санитарно-охранителни зони и/или когато съществува риск от замърсяване на повърхностни и/или подземни водни тела и водоизточници, използвани за питейно-битово водоснабдяв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ане;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214292012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7. находища на подземни богатства, включени в Националния баланс на запасите и ресурсите на подземни богатства;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35850273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8. речните легла, крайбрежните заливаеми ивици на реките, принадлежащите земи на язовирите и водоемите, защитни диги на не по-малко от 250 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- 500 м.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486089265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(3) Обезвреждането на странични животински продукти и на продукти, получени от тях, чрез директно изгаряне се извършва съгласно приложение № 1.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088426005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Чл. 7. (1) При обезвреждане на странични животински продукти и на продукти, получени от тях, чрез загро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бване в трупна яма се спазват следните изисквания: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2047757794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1. не се допуска замърсяване на въздуха, почвата, подземните и/или повърхностните води в района;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53684137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2. теренът спрямо най-близко разположеното населено място да бъде на противоположната страна на посоката на 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преобладаващите в съответния район ветрове;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02127799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3. стените и дъното на ямата са с надеждна хидроизолация, като се документират използването на материалите и техническите им характеристики;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63734517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4. в планински райони, в райони с дълбочина на нивото на подземните вод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и, по-малко от 10 м от повърхността, и в райони със значителен потенциален риск от наводнения дъното на ямата се изгражда на не по-малко от 3 - 5 м над нивото на подземните води;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87435929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5. повърхността на ямата се покрива с бетонна плоча с отвор, покрит плътно съ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с заключващ се метален капак;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23955850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6. дъното на ямата се покрива с 2 - 3 см пласт от негасена вар;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218321794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7. при поставяне в ямата на странични животински продукти и на продукти, получени от тях, всеки ред се напръсква с биоцид, разрешен за предоставяне на пазара по р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еда на Закона за защита от вредното въздействие на химичните вещества и смеси или на Регламент (ЕС) № 528/2012 на Европейския парламент и на Съвета от 22 май 2012 г. относно предоставянето на пазара и употребата на биоциди (ОВ, L 167, 27.6.2012 г.) за прод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уктов тип 2 с доказано спороцидно действие, при спазване на условията на издаденото разрешение и на изискванията, посочени на етикета;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95945278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8. след напълване на ямата повърхността ѝ се покрива с най-малко 50 см пръст;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99595476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9. мястото се обозначава с табела с надпис 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"Трупна яма".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206413730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(2) При обезвреждане на странични животински продукти и на продукти, получени от тях, чрез загробване в трупна траншея се спазват следните изисквания: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22718148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1. по ал. 1, т. 1 - 4, 6 и 7;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2068987034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2. обемът на трупната траншея трябва да бъде не по-малко от: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84775031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а) 1,5 куб. м - за едно възрастно едро преживно или еднокопитно животно;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848256167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б) 0,3 куб. м - за една свиня или едно дребно преживно животно;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50386478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в) 2 куб. м - за един тон птици или лагоморфни;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542136313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3. след напълване на траншеята повърхността ѝ се покрива с хидроизолаци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онен материал и най-малко 2 м пръст;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5599677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4. мястото се обозначава с табела с надпис "Трупна траншея".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474496843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Чл. 8. (1) При издаване на заповед за унищожаване на странични животински продукти и на продукти, получени от тях, от директора на съответната ОДБХ собственик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ът на обекта в срок до 24 часа от нейното получаване подава заявление за обезвреждане до кмета на съответната община по образец съгласно приложение № 2.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844787876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(2) Кметът на общината в срок до 24 часа от получаване на заявлението по ал. 1 писмено уведомява заявит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еля, като посочва терена, на който ще се извърши обезвреждането.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688824187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(3) Обезвреждането на странични животински продукти и на продукти, получени от тях, се извършва под контрола на съответните служители на ОДБХ.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295527155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Чл. 9. (1) При невъзможност за обезвреждане на терени на територията на дадена община поради увеличаване капацитета на животновъдните обекти кметът на общината уведомява областната епизоотична комисия и предприема действия по чл. 5 за одобряване на допълни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телни терени.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54804996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(2) В случаите, в които на територията на дадена община се установи, че няма допълнителни терени, отговарящи на изискванията на чл. 6, се предприемат действия по реда на чл. 4, ал. 2 - 5.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94533394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(3) Допълнителните терени се одобряват в 3-месечен сро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к от актуализацията на анализа по чл. 4, ал. 1.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469593619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Чл. 10. (1) Лицата, които изпълняват дейностите по обезвреждане на страничните животински продукти и на продукти, получени от тях, включително и лицата, които ги транспортират, работят с лични предпазни средс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тва съгласно Наредба № 3 от 2001 г. за 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минималните изисквания за безопасност и опазване на здравето на работещите при използване на лични предпазни средства на работното място (ДВ, бр. 46 от 2001 г.) и се спазват изискванията на приложение № 3.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378746714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(2) Транспо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ртните средства за транспортиране на страничните животински продукти и на продукти, получени от тях, използваният инструментариум и инвентар подлежат на деконтаминация съгласно приложение № 4.</w:t>
      </w:r>
    </w:p>
    <w:p w:rsidR="00000000" w:rsidRPr="006045CA" w:rsidRDefault="007B5DF4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hAnsi="Times New Roman" w:cs="Times New Roman"/>
          <w:b/>
          <w:bCs/>
          <w:sz w:val="24"/>
          <w:szCs w:val="24"/>
          <w:lang w:val="bg-BG"/>
        </w:rPr>
        <w:t>Допълнителни разпоредби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797946159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§ 1. По смисъла на тази наредба: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866017505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1. "Д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иректно изгаряне" е изгаряне по смисъла на § 1, т. 22 от допълнителните разпоредби на Закона за ветеринарномедицинската дейност.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338123157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2. "Кухненски отпадъци" са отпадъци по смисъла на чл. 2, параграф 1, буква "ж" от Регламент (ЕО) № 1069/2009 на Европейския пар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ламент и на Съвета от 21 октомври 2009 г. за установяване на здравни правила относно странични животински продукти и производни продукти, непредназначени за консумация от човека и за отмяна на Регламент (ЕО) № 1774/2002 (ОВ, L 300, 14.11.2009 г.) (Регламен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т (ЕО) № 1069/2009).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40386808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3. "Надеждна хидроизолация" е хидроизолация, която не позволява изтичане на течности извън дъното и стените на трупната яма или траншеята, както и преливане на замърсени води през капака на трупната яма или повърхността на трупната тра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ншея.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22017091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4. "Открит карст" е повърхностен терен, като кар, въртоп, понор, фуния и др., при който над карстовия пласт няма други пластове скали или над варовиците има покривен пласт (льос, глини, песъчливи глини или подобни), по-малък от 5 м, и който е лишен о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т седиментна, почвена и растителна покривка.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500655913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5. "Странични животински продукти" са продукти по смисъла на чл. 3, параграф 1 от Регламент (ЕО) № 1069/2009.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2049643116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6. "Труднодостъпни райони" са райони по смисъла на чл. 19, параграф 1, буква "в" от Регламент (ЕО) № 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1069/2009.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86324843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7. "Трупна яма" е съоръжение, в което се обезвреждат чрез загробване странични животински продукти и продукти, получени от тях, в райони, от които не могат да бъдат транспортирани или обхванати от обектите, регистрирани в ОДБХ.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43270119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8. "Трупна транше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я" е съоръжение, в което се обезвреждат чрез загробване странични животински продукти и продукти, получени от тях, с цел контрол на заболяванията, когато съществува обективна невъзможност да бъдат транспортирани.</w:t>
      </w:r>
    </w:p>
    <w:p w:rsidR="00000000" w:rsidRPr="006045CA" w:rsidRDefault="007B5DF4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Преходни и Заключителни разпоредби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55905465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§ 2. На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редбата се издава на основание чл. 259, ал. 3 от Закона за ветеринарномедицинската дейност и отменя Наредба № 22 от 2006 г. за условията и реда за обезвреждане на странични животински продукти и на продукти, получени от тях, и на специфичнорискови материал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и извън обектите, регистрирани в РВМС (ДВ, бр. 21 от 2006 г.).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323049329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§ 3. Терени, одобрени до влизането в сила на тази наредба, се използват за обезвреждане по чл. 3, ал. 2.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987588637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§ 4. Терените по чл. 4 се одобряват в срок от 3 месеца от влизането в сила на тази наред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ба.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43289391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§ 5. Изпълнението на наредбата се възлага на кметовете и директорите на ОДБХ.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94787687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§ 6. Наредбата влиза в сила от деня на обнародването ѝ в "Държавен вестник".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999534617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Приложение № 1 към чл. 6, ал. 3</w:t>
      </w:r>
    </w:p>
    <w:p w:rsidR="00000000" w:rsidRPr="006045CA" w:rsidRDefault="007B5DF4" w:rsidP="00B44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00000" w:rsidRPr="006045CA" w:rsidRDefault="007B5DF4" w:rsidP="00B44638">
      <w:pPr>
        <w:spacing w:after="0" w:line="240" w:lineRule="auto"/>
        <w:ind w:firstLine="851"/>
        <w:jc w:val="both"/>
        <w:divId w:val="74996100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1. Определянето на терен за директно изгаряне се съобразява с н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еобходимостта от: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753506125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а) достъп до мястото на оборудването за изграждане и поддържане на огъня, както и за доставка на гориво и на страничните животински продукти и на продукти, получени от тях;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5001237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б) адекватна противопожарна обезопасеност на целия огън;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49201910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в) опазв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ане на подземни и повърхностни води от замърсяване.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522475313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2. Теренът следва да се разполага на противоположната страна на посоката на преобладаващите в съответния район ветрове спрямо най-близко разположеното населено място.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415710883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Подготовка на мястото за директно изгаряне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727012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I. Директно изгаряне на нивото на терена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648512847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1. Огнената линия е разположена на 90 градуса спрямо посоката на преобладаващия вятър за постигане на максимална вентилация.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444740636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2. При ограничен естествен въздушен поток венти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лация се осигурява чрез изкопаване на траншеи под огъня.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03527388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3. Размерите на мястото за изгаряне на едро животно са: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89550700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3.1. ширина - 2,5 м;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797379659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3.2. дължина - около 1 м.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510535996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4. Ако посоката на вятъра е по дължина на огнената линия, около мястото, определено за изгаряне,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изкопават допълнителни надлъжни окопи (30 cм и 30 cм) на разстояние 1 м един след друг по посока на огъня.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2027705587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5. Труповете на животните се подреждат по възможност по гръб и на един ред, за да се осигури достатъчно количество въздух между тях.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2107846243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6. Изисквани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я за необходимо количество гориво: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826359244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6.1. Спазват се норми за количество горивен материал, необходим за постигане на пълно изгаряне.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248156644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6.2. Наличие на леснозапалими горива за разпалване на огъня.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65217661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6.3. За изгарянето на труп на едро животно с тегло около 500 кг 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е необходимо около 1,5 т твърдо гориво.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457530084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6.4. За голям брой трупове количеството гориво може да бъде намалено до 1,0 т за възрастни говеда поради икономии от мащаба.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66350550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6.5. За изчисляване на количеството материали, които са необходими за директното изгаряне н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а трупове на свине и овце, се взема предвид, че трупът на едно едро животно е равностоен на 4 възрастни свине или остригани овце/3 неостригани възрастни овце/200 кокошки/230 бройлера или 125 патици.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453787849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II. Директно изгаряне в изкоп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357122379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 Осигурява се оборудване 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за принудително подаване на голямо количество въздух във вътрешността на ямата за достигане на високи температури и пълно изгаряне във всяка точка.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148134467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2. При изгарянето в началото се подава допълнително количество гориво, а след това могат да се използват въг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лища, дървен материал и др.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579799134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3. Директното изгаряне в изкоп е подходящо за обезвреждане на малки количества по-дребни животни с общо тегло до 150 кг.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2013125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Приложение № 2 към чл. 8, ал. 1</w:t>
      </w:r>
    </w:p>
    <w:p w:rsidR="00000000" w:rsidRPr="006045CA" w:rsidRDefault="007B5D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6"/>
      </w:tblGrid>
      <w:tr w:rsidR="00000000" w:rsidRPr="006045CA">
        <w:tc>
          <w:tcPr>
            <w:tcW w:w="89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6045CA" w:rsidRDefault="007B5D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045C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ДО</w:t>
            </w:r>
          </w:p>
          <w:p w:rsidR="00000000" w:rsidRPr="006045CA" w:rsidRDefault="007B5D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045C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КМЕТА НА</w:t>
            </w:r>
          </w:p>
          <w:p w:rsidR="00000000" w:rsidRPr="006045CA" w:rsidRDefault="007B5D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045C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ОБЩИНА ..............................</w:t>
            </w:r>
          </w:p>
          <w:p w:rsidR="00000000" w:rsidRPr="006045CA" w:rsidRDefault="007B5D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045C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ЗАЯВЛЕНИЕ</w:t>
            </w:r>
          </w:p>
          <w:p w:rsidR="00000000" w:rsidRPr="006045CA" w:rsidRDefault="007B5D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045C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от .........</w:t>
            </w:r>
            <w:r w:rsidRPr="006045C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</w:t>
            </w:r>
          </w:p>
          <w:p w:rsidR="00000000" w:rsidRPr="006045CA" w:rsidRDefault="007B5D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045C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(име и адрес на физическото лице или наименование и седалище на юридическото лице)</w:t>
            </w:r>
          </w:p>
          <w:p w:rsidR="00000000" w:rsidRPr="006045CA" w:rsidRDefault="007B5D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045C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гр. (с.) ........................................................................................., ул. ....................................</w:t>
            </w:r>
          </w:p>
          <w:p w:rsidR="00000000" w:rsidRPr="006045CA" w:rsidRDefault="007B5D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045C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......................................................................................... № .......................</w:t>
            </w:r>
            <w:r w:rsidRPr="006045C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</w:t>
            </w:r>
          </w:p>
          <w:p w:rsidR="00000000" w:rsidRPr="006045CA" w:rsidRDefault="007B5D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045C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Уважаеми/а господин/госпожо кмет,</w:t>
            </w:r>
          </w:p>
          <w:p w:rsidR="00000000" w:rsidRPr="006045CA" w:rsidRDefault="007B5D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045C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Моля да бъде разрешено обезвреждане съгласно Заповед № ...................................... на директора на ОДБХ - гр. .........................................................................</w:t>
            </w:r>
            <w:r w:rsidRPr="006045C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...........................,</w:t>
            </w:r>
          </w:p>
          <w:p w:rsidR="00000000" w:rsidRPr="006045CA" w:rsidRDefault="007B5D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045C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на ............................................................................................................................................</w:t>
            </w:r>
          </w:p>
          <w:p w:rsidR="00000000" w:rsidRPr="006045CA" w:rsidRDefault="007B5D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045C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...................................................................................</w:t>
            </w:r>
            <w:r w:rsidRPr="006045C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</w:t>
            </w:r>
          </w:p>
          <w:p w:rsidR="00000000" w:rsidRPr="006045CA" w:rsidRDefault="007B5D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045C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(наименование, вид, количество, брой)</w:t>
            </w:r>
          </w:p>
          <w:p w:rsidR="00000000" w:rsidRPr="006045CA" w:rsidRDefault="007B5D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045C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                                                                                  Подпис:</w:t>
            </w:r>
          </w:p>
          <w:p w:rsidR="00000000" w:rsidRPr="006045CA" w:rsidRDefault="007B5D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045C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(дата)</w:t>
            </w:r>
          </w:p>
        </w:tc>
      </w:tr>
    </w:tbl>
    <w:p w:rsidR="00B44638" w:rsidRDefault="00B44638">
      <w:pPr>
        <w:spacing w:after="0" w:line="240" w:lineRule="auto"/>
        <w:ind w:firstLine="851"/>
        <w:divId w:val="177355132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00000" w:rsidRPr="006045CA" w:rsidRDefault="007B5DF4">
      <w:pPr>
        <w:spacing w:after="0" w:line="240" w:lineRule="auto"/>
        <w:ind w:firstLine="851"/>
        <w:divId w:val="17735513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Приложение № 3 към чл. 1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0, ал. 1</w:t>
      </w:r>
    </w:p>
    <w:p w:rsidR="00000000" w:rsidRPr="006045CA" w:rsidRDefault="007B5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00000" w:rsidRPr="006045CA" w:rsidRDefault="007B5DF4" w:rsidP="00B44638">
      <w:pPr>
        <w:spacing w:after="0" w:line="240" w:lineRule="auto"/>
        <w:ind w:firstLine="851"/>
        <w:jc w:val="both"/>
        <w:divId w:val="1481001817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Изисквания за опазване здравето на лицата, които изпълняват дейности по обезвреждане на странични животински продукти и на продукти, получени от тях, и на лицата, които ги транспортират</w:t>
      </w:r>
    </w:p>
    <w:p w:rsidR="00000000" w:rsidRPr="006045CA" w:rsidRDefault="007B5DF4" w:rsidP="00B44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00000" w:rsidRPr="006045CA" w:rsidRDefault="007B5DF4" w:rsidP="00B44638">
      <w:pPr>
        <w:spacing w:after="0" w:line="240" w:lineRule="auto"/>
        <w:ind w:firstLine="851"/>
        <w:jc w:val="both"/>
        <w:divId w:val="671448893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1. Дейностите по транспортиране, обезвреждане, дезинфекци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я и деконтаминация се извършват задължително с лични предпазни средства.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2622295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2. След приключване на съответната дейност и сваляне на личните предпазни средства се спазват следните изисквания: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437991195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а) еднократното предпазно облекло се отделя за обезвреждане, а инстр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ументариумът и инвентарът, с който е работено, както и работното облекло за многократна употреба, се измиват чрез накисване в работен разтвор на дезинфектант за продуктов тип 2, разрешен за предоставяне на пазара по реда на Закона за защита от вредното въз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действие на химичните вещества и смеси или на Регламент (ЕС) № 528/2012 на Европейския парламент и на Съвета от 22 май 2012 г. относно предоставянето на пазара и употребата на биоциди (ОВ, L, 167, 27.6.2012 г.) (Регламент (ЕС) № 528/2012) за посоченото на 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етикета или в издаденото разрешение контактно време за постигане на бактерицидно, вирусоцидно и спороцидно действие;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684235727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б) ботушите се почистват и след това се забърсват или напръскват с работен разтвор на дезинфектант;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592663506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в) ръцете задължително се измиват с вод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а и течен сапун и се дезинфекцират с подходящ дезинфектант за продуктов тип 1, разрешен за предоставяне на пазара по реда на Закона за защита от вредното въздействие на химичните вещества и смеси или на Регламент (ЕС) № 528/2012 с доказано бактерицидно, ви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русоцидно и спороцидно действие, при спазване на условията на издаденото разрешение и на изискванията, посочени на етикета.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98260675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Приложение № 4 към чл. 10, ал. 2</w:t>
      </w:r>
    </w:p>
    <w:p w:rsidR="00000000" w:rsidRPr="006045CA" w:rsidRDefault="007B5DF4" w:rsidP="00B44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00000" w:rsidRPr="006045CA" w:rsidRDefault="007B5DF4" w:rsidP="00B44638">
      <w:pPr>
        <w:spacing w:after="0" w:line="240" w:lineRule="auto"/>
        <w:ind w:firstLine="851"/>
        <w:jc w:val="both"/>
        <w:divId w:val="660696935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Изисквания за деконтаминация на транспортните средства, с които се транспортират странични животи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нски продукти и продукти, получени от тях, до местата за обезвреждане и за използвания инструментариум и инвентар</w:t>
      </w:r>
    </w:p>
    <w:p w:rsidR="00000000" w:rsidRPr="006045CA" w:rsidRDefault="007B5DF4" w:rsidP="00B44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00000" w:rsidRPr="006045CA" w:rsidRDefault="007B5DF4" w:rsidP="00B44638">
      <w:pPr>
        <w:spacing w:after="0" w:line="240" w:lineRule="auto"/>
        <w:ind w:firstLine="851"/>
        <w:jc w:val="both"/>
        <w:divId w:val="1869173105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1. Деконтаминацията се извършва на обособени водонепропускливи площадки.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2063095056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2. Първо се извършва сухо почистване, започвайки в посока отгоре надолу, което включва изстъргване или изчеткване на вътрешни стени, врати, гуми, калници, външни повърхности от прилепнали замърсявания (оборска тор, кал, слама и др.).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539975509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3. Второ се извършва м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окро почистване, включващо цялостно измиване на превозното средство (вътре и вън) в посока отгоре надолу с детергент и вода под ниско налягане, без да се пропуска таванът на каросерията и долната страна на превозните средства.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655843187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4. След мокрото почистване се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извършва същинска дезинфекция, при която се опръскват/обливат външните и вътрешните повърхности с дезинфектант. Дезинфекцията започва отвън в посока отгоре надолу, като се обръща внимание на гумите, калниците и долната страна на превозните средства. Вътре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шните повърхности (тавани, стени, подвижни платформи, врати, постелки, педали и волан на транспортното средство) също се дезинфекцират в посока отгоре надолу чрез забърсване, опръскване или потапяне в зависимост от естеството на повърхностите.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160106010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5. При изпол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зване на дезинфекционни бариери за обеззаразяване на гумите на превозните средства работният разтвор на дезинфектанта се подменя при всяко замърсяване или минимум един път дневно, а скоростта на преминаване следва да е минимална.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3948279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6. При използване на гръбн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и/моторни пръскачки за дезинфекция обработката обхваща всички външни части на транспортните средства, както и долната страна на транспортните средства до пълното им намокряне.</w:t>
      </w:r>
    </w:p>
    <w:p w:rsidR="00000000" w:rsidRPr="006045CA" w:rsidRDefault="007B5DF4" w:rsidP="00B44638">
      <w:pPr>
        <w:spacing w:after="0" w:line="240" w:lineRule="auto"/>
        <w:ind w:firstLine="851"/>
        <w:jc w:val="both"/>
        <w:divId w:val="217980664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7. Транспортните средства трябва да бъдат напълно изсъхнали преди последващото и</w:t>
      </w: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м използване.</w:t>
      </w:r>
    </w:p>
    <w:p w:rsidR="007B5DF4" w:rsidRPr="006045CA" w:rsidRDefault="007B5DF4" w:rsidP="00B44638">
      <w:pPr>
        <w:ind w:firstLine="851"/>
        <w:jc w:val="both"/>
        <w:divId w:val="804198820"/>
        <w:rPr>
          <w:rFonts w:eastAsia="Times New Roman"/>
          <w:lang w:val="bg-BG"/>
        </w:rPr>
      </w:pPr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8. Използваният инструментариум и инвентар се почистват и дезинфекцират при спазване последователността, посочена в т. 1 - 7, и съобразно сп</w:t>
      </w:r>
      <w:bookmarkStart w:id="0" w:name="_GoBack"/>
      <w:bookmarkEnd w:id="0"/>
      <w:r w:rsidRPr="006045CA">
        <w:rPr>
          <w:rFonts w:ascii="Times New Roman" w:eastAsia="Times New Roman" w:hAnsi="Times New Roman" w:cs="Times New Roman"/>
          <w:sz w:val="24"/>
          <w:szCs w:val="24"/>
          <w:lang w:val="bg-BG"/>
        </w:rPr>
        <w:t>ецификата им.</w:t>
      </w:r>
    </w:p>
    <w:sectPr w:rsidR="007B5DF4" w:rsidRPr="006045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6F"/>
    <w:rsid w:val="00216E1F"/>
    <w:rsid w:val="006045CA"/>
    <w:rsid w:val="006F416F"/>
    <w:rsid w:val="007B5DF4"/>
    <w:rsid w:val="00B4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0F6E2"/>
  <w15:docId w15:val="{6B29CC30-D09E-4ABE-9D7D-915B3538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9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3242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2021-02-10T09:48:00Z</dcterms:created>
  <dcterms:modified xsi:type="dcterms:W3CDTF">2021-02-10T12:25:00Z</dcterms:modified>
</cp:coreProperties>
</file>