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15650"/>
      </w:tblGrid>
      <w:tr w:rsidR="000303D2" w:rsidRPr="00CE2A7F" w:rsidTr="007E4B21">
        <w:trPr>
          <w:trHeight w:val="958"/>
          <w:jc w:val="center"/>
        </w:trPr>
        <w:tc>
          <w:tcPr>
            <w:tcW w:w="15650" w:type="dxa"/>
            <w:shd w:val="clear" w:color="auto" w:fill="BDD6EE"/>
          </w:tcPr>
          <w:p w:rsidR="000303D2" w:rsidRPr="002A5AE6" w:rsidRDefault="000303D2" w:rsidP="007E4B21">
            <w:pPr>
              <w:tabs>
                <w:tab w:val="left" w:pos="2190"/>
              </w:tabs>
              <w:spacing w:before="120" w:line="360" w:lineRule="auto"/>
              <w:jc w:val="center"/>
              <w:rPr>
                <w:rFonts w:ascii="Verdana" w:hAnsi="Verdana"/>
                <w:b/>
                <w:spacing w:val="60"/>
              </w:rPr>
            </w:pPr>
            <w:r w:rsidRPr="002A5AE6">
              <w:rPr>
                <w:rFonts w:ascii="Verdana" w:hAnsi="Verdana"/>
                <w:b/>
                <w:spacing w:val="60"/>
              </w:rPr>
              <w:t>СПРАВКА</w:t>
            </w:r>
          </w:p>
          <w:p w:rsidR="00BB605B" w:rsidRDefault="000303D2" w:rsidP="007E4B21">
            <w:pPr>
              <w:tabs>
                <w:tab w:val="left" w:pos="2190"/>
              </w:tabs>
              <w:spacing w:line="360" w:lineRule="auto"/>
              <w:ind w:left="567" w:right="567"/>
              <w:jc w:val="center"/>
              <w:rPr>
                <w:rFonts w:ascii="Verdana" w:hAnsi="Verdana"/>
                <w:b/>
                <w:sz w:val="20"/>
                <w:szCs w:val="20"/>
              </w:rPr>
            </w:pPr>
            <w:r w:rsidRPr="002A5AE6">
              <w:rPr>
                <w:rFonts w:ascii="Verdana" w:hAnsi="Verdana"/>
                <w:b/>
                <w:sz w:val="20"/>
                <w:szCs w:val="20"/>
              </w:rPr>
              <w:t>ЗА ОТРАЗЯВАНЕ НА ПОСТЪПИЛИТЕ ПРЕДЛОЖЕНИЯ</w:t>
            </w:r>
            <w:r>
              <w:rPr>
                <w:rFonts w:ascii="Verdana" w:hAnsi="Verdana"/>
                <w:b/>
                <w:sz w:val="20"/>
                <w:szCs w:val="20"/>
              </w:rPr>
              <w:t xml:space="preserve"> И СТАНОВИЩА</w:t>
            </w:r>
            <w:r w:rsidRPr="002A5AE6">
              <w:rPr>
                <w:rFonts w:ascii="Verdana" w:hAnsi="Verdana"/>
                <w:b/>
                <w:sz w:val="20"/>
                <w:szCs w:val="20"/>
              </w:rPr>
              <w:t xml:space="preserve"> ОТ ОБЩЕСТВЕНИТЕ КОНСУЛТАЦИИ НА ПРОЕКТ</w:t>
            </w:r>
            <w:r>
              <w:rPr>
                <w:rFonts w:ascii="Verdana" w:hAnsi="Verdana"/>
                <w:b/>
                <w:sz w:val="20"/>
                <w:szCs w:val="20"/>
              </w:rPr>
              <w:t>А</w:t>
            </w:r>
            <w:r w:rsidRPr="002A5AE6">
              <w:rPr>
                <w:rFonts w:ascii="Verdana" w:hAnsi="Verdana"/>
                <w:b/>
                <w:sz w:val="20"/>
                <w:szCs w:val="20"/>
              </w:rPr>
              <w:t xml:space="preserve"> НА </w:t>
            </w:r>
            <w:r w:rsidR="00BB605B" w:rsidRPr="00BB605B">
              <w:rPr>
                <w:rFonts w:ascii="Verdana" w:hAnsi="Verdana"/>
                <w:b/>
                <w:sz w:val="20"/>
                <w:szCs w:val="20"/>
              </w:rPr>
              <w:t xml:space="preserve">НАРЕДБА ЗА УСЛОВИЯТА И РЕДА ЗА ПРОВЕЖДАНЕ НА СЛЕДДИПЛОМНО ОБУЧЕНИЕ В ОБЛАСТТА НА ВЕТЕРИНАРНАТА </w:t>
            </w:r>
          </w:p>
          <w:p w:rsidR="000303D2" w:rsidRDefault="00BB605B" w:rsidP="007E4B21">
            <w:pPr>
              <w:tabs>
                <w:tab w:val="left" w:pos="2190"/>
              </w:tabs>
              <w:spacing w:line="360" w:lineRule="auto"/>
              <w:ind w:left="567" w:right="567"/>
              <w:jc w:val="center"/>
              <w:rPr>
                <w:rFonts w:ascii="Verdana" w:hAnsi="Verdana"/>
                <w:b/>
                <w:sz w:val="20"/>
                <w:szCs w:val="20"/>
              </w:rPr>
            </w:pPr>
            <w:r w:rsidRPr="00BB605B">
              <w:rPr>
                <w:rFonts w:ascii="Verdana" w:hAnsi="Verdana"/>
                <w:b/>
                <w:sz w:val="20"/>
                <w:szCs w:val="20"/>
              </w:rPr>
              <w:t>МЕДИЦИНА</w:t>
            </w:r>
          </w:p>
          <w:p w:rsidR="000303D2" w:rsidRPr="00EC77C8" w:rsidRDefault="000303D2" w:rsidP="007E4B21">
            <w:pPr>
              <w:tabs>
                <w:tab w:val="left" w:pos="2190"/>
              </w:tabs>
              <w:spacing w:line="360" w:lineRule="auto"/>
              <w:ind w:left="567" w:right="567"/>
              <w:jc w:val="center"/>
              <w:rPr>
                <w:rFonts w:ascii="Verdana" w:hAnsi="Verdana"/>
                <w:b/>
                <w:sz w:val="20"/>
                <w:szCs w:val="20"/>
                <w:lang w:val="ru-RU"/>
              </w:rPr>
            </w:pPr>
          </w:p>
        </w:tc>
      </w:tr>
    </w:tbl>
    <w:p w:rsidR="000303D2" w:rsidRPr="00291E9B" w:rsidRDefault="000303D2">
      <w:pPr>
        <w:rPr>
          <w:sz w:val="16"/>
          <w:szCs w:val="16"/>
        </w:rPr>
      </w:pPr>
    </w:p>
    <w:tbl>
      <w:tblPr>
        <w:tblW w:w="15650" w:type="dxa"/>
        <w:jc w:val="center"/>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ayout w:type="fixed"/>
        <w:tblLook w:val="0000" w:firstRow="0" w:lastRow="0" w:firstColumn="0" w:lastColumn="0" w:noHBand="0" w:noVBand="0"/>
      </w:tblPr>
      <w:tblGrid>
        <w:gridCol w:w="622"/>
        <w:gridCol w:w="2271"/>
        <w:gridCol w:w="6379"/>
        <w:gridCol w:w="1840"/>
        <w:gridCol w:w="4538"/>
      </w:tblGrid>
      <w:tr w:rsidR="00E220AD" w:rsidRPr="00C75BD9" w:rsidTr="008C4229">
        <w:trPr>
          <w:trHeight w:val="1186"/>
          <w:tblHeader/>
          <w:jc w:val="center"/>
        </w:trPr>
        <w:tc>
          <w:tcPr>
            <w:tcW w:w="622" w:type="dxa"/>
            <w:tcBorders>
              <w:bottom w:val="single" w:sz="12" w:space="0" w:color="2E74B5"/>
            </w:tcBorders>
            <w:shd w:val="clear" w:color="auto" w:fill="DEEAF6"/>
            <w:vAlign w:val="center"/>
          </w:tcPr>
          <w:p w:rsidR="00E220AD" w:rsidRPr="00C75BD9" w:rsidRDefault="00E220AD" w:rsidP="00E220AD">
            <w:pPr>
              <w:tabs>
                <w:tab w:val="left" w:pos="192"/>
              </w:tabs>
              <w:jc w:val="center"/>
              <w:rPr>
                <w:rFonts w:ascii="Verdana" w:hAnsi="Verdana"/>
                <w:b/>
                <w:sz w:val="20"/>
                <w:szCs w:val="20"/>
              </w:rPr>
            </w:pPr>
            <w:r w:rsidRPr="00C75BD9">
              <w:rPr>
                <w:rFonts w:ascii="Verdana" w:hAnsi="Verdana"/>
                <w:b/>
                <w:sz w:val="20"/>
                <w:szCs w:val="20"/>
              </w:rPr>
              <w:t>№</w:t>
            </w:r>
          </w:p>
        </w:tc>
        <w:tc>
          <w:tcPr>
            <w:tcW w:w="2271" w:type="dxa"/>
            <w:tcBorders>
              <w:bottom w:val="single" w:sz="12" w:space="0" w:color="2E74B5"/>
            </w:tcBorders>
            <w:shd w:val="clear" w:color="auto" w:fill="DEEAF6"/>
            <w:vAlign w:val="center"/>
          </w:tcPr>
          <w:p w:rsidR="00E220AD" w:rsidRPr="00C75BD9" w:rsidRDefault="00E220AD" w:rsidP="00DD502C">
            <w:pPr>
              <w:spacing w:before="40"/>
              <w:jc w:val="center"/>
              <w:rPr>
                <w:rFonts w:ascii="Verdana" w:hAnsi="Verdana"/>
                <w:b/>
                <w:sz w:val="20"/>
                <w:szCs w:val="20"/>
              </w:rPr>
            </w:pPr>
            <w:r w:rsidRPr="00C75BD9">
              <w:rPr>
                <w:rFonts w:ascii="Verdana" w:hAnsi="Verdana"/>
                <w:b/>
                <w:sz w:val="20"/>
                <w:szCs w:val="20"/>
              </w:rPr>
              <w:t>Организация/</w:t>
            </w:r>
            <w:r w:rsidR="00DD502C" w:rsidRPr="00C75BD9">
              <w:rPr>
                <w:rFonts w:ascii="Verdana" w:hAnsi="Verdana"/>
                <w:b/>
                <w:sz w:val="20"/>
                <w:szCs w:val="20"/>
              </w:rPr>
              <w:t xml:space="preserve"> </w:t>
            </w:r>
            <w:r w:rsidR="00DD502C" w:rsidRPr="00C75BD9">
              <w:rPr>
                <w:rFonts w:ascii="Verdana" w:hAnsi="Verdana"/>
                <w:b/>
                <w:sz w:val="20"/>
                <w:szCs w:val="20"/>
              </w:rPr>
              <w:br/>
            </w:r>
            <w:r w:rsidRPr="00C75BD9">
              <w:rPr>
                <w:rFonts w:ascii="Verdana" w:hAnsi="Verdana"/>
                <w:b/>
                <w:sz w:val="20"/>
                <w:szCs w:val="20"/>
              </w:rPr>
              <w:t>потребител</w:t>
            </w:r>
          </w:p>
          <w:p w:rsidR="005424B9" w:rsidRPr="0051428D" w:rsidRDefault="00291E9B" w:rsidP="00DD502C">
            <w:pPr>
              <w:spacing w:after="20"/>
              <w:jc w:val="center"/>
              <w:rPr>
                <w:rFonts w:ascii="Verdana" w:hAnsi="Verdana"/>
                <w:b/>
                <w:sz w:val="12"/>
                <w:szCs w:val="12"/>
              </w:rPr>
            </w:pPr>
            <w:r w:rsidRPr="0051428D">
              <w:rPr>
                <w:rFonts w:ascii="Verdana" w:hAnsi="Verdana"/>
                <w:b/>
                <w:sz w:val="12"/>
                <w:szCs w:val="12"/>
              </w:rPr>
              <w:t>(</w:t>
            </w:r>
            <w:r w:rsidR="005424B9" w:rsidRPr="0051428D">
              <w:rPr>
                <w:rFonts w:ascii="Verdana" w:hAnsi="Verdana"/>
                <w:b/>
                <w:sz w:val="12"/>
                <w:szCs w:val="12"/>
              </w:rPr>
              <w:t>вкл. начина на получаване на предложението</w:t>
            </w:r>
            <w:r w:rsidRPr="0051428D">
              <w:rPr>
                <w:rFonts w:ascii="Verdana" w:hAnsi="Verdana"/>
                <w:b/>
                <w:sz w:val="12"/>
                <w:szCs w:val="12"/>
              </w:rPr>
              <w:t>)</w:t>
            </w:r>
          </w:p>
        </w:tc>
        <w:tc>
          <w:tcPr>
            <w:tcW w:w="6379" w:type="dxa"/>
            <w:tcBorders>
              <w:bottom w:val="single" w:sz="12" w:space="0" w:color="2E74B5"/>
            </w:tcBorders>
            <w:shd w:val="clear" w:color="auto" w:fill="DEEAF6"/>
            <w:vAlign w:val="center"/>
          </w:tcPr>
          <w:p w:rsidR="00E220AD" w:rsidRPr="00C75BD9" w:rsidRDefault="00E220AD" w:rsidP="00E220AD">
            <w:pPr>
              <w:jc w:val="center"/>
              <w:rPr>
                <w:rFonts w:ascii="Verdana" w:hAnsi="Verdana"/>
                <w:b/>
                <w:sz w:val="20"/>
                <w:szCs w:val="20"/>
              </w:rPr>
            </w:pPr>
            <w:r w:rsidRPr="00C75BD9">
              <w:rPr>
                <w:rFonts w:ascii="Verdana" w:hAnsi="Verdana"/>
                <w:b/>
                <w:sz w:val="20"/>
                <w:szCs w:val="20"/>
              </w:rPr>
              <w:t>Бележки и предложения</w:t>
            </w:r>
          </w:p>
        </w:tc>
        <w:tc>
          <w:tcPr>
            <w:tcW w:w="1840" w:type="dxa"/>
            <w:tcBorders>
              <w:bottom w:val="single" w:sz="12" w:space="0" w:color="2E74B5"/>
            </w:tcBorders>
            <w:shd w:val="clear" w:color="auto" w:fill="DEEAF6"/>
            <w:vAlign w:val="center"/>
          </w:tcPr>
          <w:p w:rsidR="00E220AD" w:rsidRPr="00C75BD9" w:rsidRDefault="00E220AD" w:rsidP="00E220AD">
            <w:pPr>
              <w:jc w:val="center"/>
              <w:rPr>
                <w:rFonts w:ascii="Verdana" w:hAnsi="Verdana"/>
                <w:b/>
                <w:sz w:val="20"/>
                <w:szCs w:val="20"/>
              </w:rPr>
            </w:pPr>
            <w:r w:rsidRPr="00C75BD9">
              <w:rPr>
                <w:rFonts w:ascii="Verdana" w:hAnsi="Verdana"/>
                <w:b/>
                <w:sz w:val="20"/>
                <w:szCs w:val="20"/>
              </w:rPr>
              <w:t>Приети/</w:t>
            </w:r>
          </w:p>
          <w:p w:rsidR="00E220AD" w:rsidRPr="00C75BD9" w:rsidRDefault="00E220AD" w:rsidP="00E220AD">
            <w:pPr>
              <w:jc w:val="center"/>
              <w:rPr>
                <w:rFonts w:ascii="Verdana" w:hAnsi="Verdana"/>
                <w:b/>
                <w:sz w:val="20"/>
                <w:szCs w:val="20"/>
              </w:rPr>
            </w:pPr>
            <w:r w:rsidRPr="00C75BD9">
              <w:rPr>
                <w:rFonts w:ascii="Verdana" w:hAnsi="Verdana"/>
                <w:b/>
                <w:sz w:val="20"/>
                <w:szCs w:val="20"/>
              </w:rPr>
              <w:t>неприети</w:t>
            </w:r>
          </w:p>
        </w:tc>
        <w:tc>
          <w:tcPr>
            <w:tcW w:w="4538" w:type="dxa"/>
            <w:tcBorders>
              <w:bottom w:val="single" w:sz="12" w:space="0" w:color="2E74B5"/>
            </w:tcBorders>
            <w:shd w:val="clear" w:color="auto" w:fill="DEEAF6"/>
            <w:vAlign w:val="center"/>
          </w:tcPr>
          <w:p w:rsidR="00E220AD" w:rsidRPr="00C75BD9" w:rsidRDefault="00E220AD" w:rsidP="00E220AD">
            <w:pPr>
              <w:jc w:val="center"/>
              <w:rPr>
                <w:rFonts w:ascii="Verdana" w:hAnsi="Verdana"/>
                <w:sz w:val="20"/>
                <w:szCs w:val="20"/>
              </w:rPr>
            </w:pPr>
            <w:r w:rsidRPr="00C75BD9">
              <w:rPr>
                <w:rFonts w:ascii="Verdana" w:hAnsi="Verdana"/>
                <w:b/>
                <w:sz w:val="20"/>
                <w:szCs w:val="20"/>
              </w:rPr>
              <w:t>Мотиви</w:t>
            </w:r>
          </w:p>
        </w:tc>
      </w:tr>
      <w:tr w:rsidR="007137D4" w:rsidRPr="00C75BD9" w:rsidTr="00D87AE2">
        <w:trPr>
          <w:trHeight w:val="596"/>
          <w:jc w:val="center"/>
        </w:trPr>
        <w:tc>
          <w:tcPr>
            <w:tcW w:w="622" w:type="dxa"/>
            <w:vMerge w:val="restart"/>
            <w:shd w:val="clear" w:color="auto" w:fill="auto"/>
          </w:tcPr>
          <w:p w:rsidR="007137D4" w:rsidRPr="007137D4" w:rsidRDefault="007137D4" w:rsidP="007137D4">
            <w:pPr>
              <w:pStyle w:val="ListParagraph"/>
              <w:numPr>
                <w:ilvl w:val="0"/>
                <w:numId w:val="11"/>
              </w:numPr>
              <w:tabs>
                <w:tab w:val="left" w:pos="192"/>
              </w:tabs>
              <w:spacing w:before="80" w:after="120"/>
              <w:ind w:left="0" w:firstLine="0"/>
              <w:rPr>
                <w:rFonts w:ascii="Verdana" w:hAnsi="Verdana"/>
                <w:b/>
                <w:sz w:val="20"/>
                <w:szCs w:val="20"/>
              </w:rPr>
            </w:pPr>
          </w:p>
        </w:tc>
        <w:tc>
          <w:tcPr>
            <w:tcW w:w="2271" w:type="dxa"/>
            <w:vMerge w:val="restart"/>
            <w:shd w:val="clear" w:color="auto" w:fill="auto"/>
          </w:tcPr>
          <w:p w:rsidR="007137D4" w:rsidRPr="00DD4E2C" w:rsidRDefault="007137D4" w:rsidP="00DD4E2C">
            <w:pPr>
              <w:spacing w:before="80" w:after="120"/>
              <w:rPr>
                <w:rFonts w:ascii="Verdana" w:hAnsi="Verdana"/>
                <w:b/>
                <w:sz w:val="20"/>
                <w:szCs w:val="20"/>
              </w:rPr>
            </w:pPr>
            <w:r w:rsidRPr="00DD4E2C">
              <w:rPr>
                <w:rFonts w:ascii="Verdana" w:hAnsi="Verdana"/>
                <w:b/>
                <w:sz w:val="20"/>
                <w:szCs w:val="20"/>
              </w:rPr>
              <w:t>Български ветеринарен съюз</w:t>
            </w:r>
          </w:p>
          <w:p w:rsidR="007137D4" w:rsidRPr="005B5C28" w:rsidRDefault="007137D4" w:rsidP="00DD4E2C">
            <w:pPr>
              <w:spacing w:before="80" w:after="120"/>
              <w:rPr>
                <w:rFonts w:ascii="Verdana" w:hAnsi="Verdana"/>
                <w:sz w:val="20"/>
                <w:szCs w:val="20"/>
                <w:lang w:val="ru-RU"/>
              </w:rPr>
            </w:pPr>
            <w:r w:rsidRPr="005B5C28">
              <w:rPr>
                <w:rFonts w:ascii="Verdana" w:hAnsi="Verdana"/>
                <w:sz w:val="20"/>
                <w:szCs w:val="20"/>
                <w:lang w:val="ru-RU"/>
              </w:rPr>
              <w:t>(</w:t>
            </w:r>
            <w:r>
              <w:rPr>
                <w:rFonts w:ascii="Verdana" w:hAnsi="Verdana"/>
                <w:sz w:val="20"/>
                <w:szCs w:val="20"/>
              </w:rPr>
              <w:t xml:space="preserve">Писмо № </w:t>
            </w:r>
            <w:r w:rsidRPr="00027D1A">
              <w:rPr>
                <w:rFonts w:ascii="Verdana" w:hAnsi="Verdana"/>
                <w:sz w:val="20"/>
                <w:szCs w:val="20"/>
              </w:rPr>
              <w:t>62-2</w:t>
            </w:r>
            <w:r>
              <w:rPr>
                <w:rFonts w:ascii="Verdana" w:hAnsi="Verdana"/>
                <w:sz w:val="20"/>
                <w:szCs w:val="20"/>
              </w:rPr>
              <w:t xml:space="preserve"> от</w:t>
            </w:r>
            <w:r w:rsidRPr="00027D1A">
              <w:rPr>
                <w:rFonts w:ascii="Verdana" w:hAnsi="Verdana"/>
                <w:sz w:val="20"/>
                <w:szCs w:val="20"/>
              </w:rPr>
              <w:t xml:space="preserve"> 07.01.2021</w:t>
            </w:r>
            <w:r w:rsidRPr="005B5C28">
              <w:rPr>
                <w:rFonts w:ascii="Verdana" w:hAnsi="Verdana"/>
                <w:sz w:val="20"/>
                <w:szCs w:val="20"/>
                <w:lang w:val="ru-RU"/>
              </w:rPr>
              <w:t>)</w:t>
            </w:r>
          </w:p>
        </w:tc>
        <w:tc>
          <w:tcPr>
            <w:tcW w:w="6379" w:type="dxa"/>
            <w:tcBorders>
              <w:top w:val="single" w:sz="12" w:space="0" w:color="2E74B5"/>
              <w:bottom w:val="single" w:sz="12" w:space="0" w:color="2E74B5"/>
            </w:tcBorders>
            <w:shd w:val="clear" w:color="auto" w:fill="auto"/>
          </w:tcPr>
          <w:p w:rsidR="007137D4" w:rsidRPr="00027D1A" w:rsidRDefault="007137D4" w:rsidP="00027D1A">
            <w:pPr>
              <w:spacing w:before="80" w:after="120"/>
              <w:jc w:val="both"/>
              <w:rPr>
                <w:rFonts w:ascii="Verdana" w:hAnsi="Verdana"/>
                <w:sz w:val="20"/>
                <w:szCs w:val="20"/>
              </w:rPr>
            </w:pPr>
            <w:r w:rsidRPr="00027D1A">
              <w:rPr>
                <w:rFonts w:ascii="Verdana" w:hAnsi="Verdana"/>
                <w:sz w:val="20"/>
                <w:szCs w:val="20"/>
              </w:rPr>
              <w:t xml:space="preserve">Тази Наредба се издава въз основа на чл. 19 от ЗВД. </w:t>
            </w:r>
            <w:r>
              <w:rPr>
                <w:rFonts w:ascii="Verdana" w:hAnsi="Verdana"/>
                <w:sz w:val="20"/>
                <w:szCs w:val="20"/>
              </w:rPr>
              <w:br/>
            </w:r>
            <w:r w:rsidRPr="00027D1A">
              <w:rPr>
                <w:rFonts w:ascii="Verdana" w:hAnsi="Verdana"/>
                <w:sz w:val="20"/>
                <w:szCs w:val="20"/>
              </w:rPr>
              <w:t>Чл. 19, ал. 1 от ЗВД предвижда Българската агенция по безопасност на храните да планира и организира следдипломно обучение, което включва:</w:t>
            </w:r>
          </w:p>
          <w:p w:rsidR="007137D4" w:rsidRPr="00027D1A" w:rsidRDefault="007137D4" w:rsidP="00027D1A">
            <w:pPr>
              <w:spacing w:before="80" w:after="120"/>
              <w:jc w:val="both"/>
              <w:rPr>
                <w:rFonts w:ascii="Verdana" w:hAnsi="Verdana"/>
                <w:sz w:val="20"/>
                <w:szCs w:val="20"/>
              </w:rPr>
            </w:pPr>
            <w:r>
              <w:rPr>
                <w:rFonts w:ascii="Verdana" w:hAnsi="Verdana"/>
                <w:sz w:val="20"/>
                <w:szCs w:val="20"/>
              </w:rPr>
              <w:t xml:space="preserve">1. </w:t>
            </w:r>
            <w:r w:rsidRPr="00027D1A">
              <w:rPr>
                <w:rFonts w:ascii="Verdana" w:hAnsi="Verdana"/>
                <w:sz w:val="20"/>
                <w:szCs w:val="20"/>
              </w:rPr>
              <w:t>(изм. - ДВ, бр. 8 от 2011 г., в сила от 25.01.2011 г.) начално краткосрочно обучение на служители при започване на работа в системата на БАБХ;</w:t>
            </w:r>
          </w:p>
          <w:p w:rsidR="007137D4" w:rsidRPr="00027D1A" w:rsidRDefault="007137D4" w:rsidP="00027D1A">
            <w:pPr>
              <w:spacing w:before="80" w:after="120"/>
              <w:jc w:val="both"/>
              <w:rPr>
                <w:rFonts w:ascii="Verdana" w:hAnsi="Verdana"/>
                <w:sz w:val="20"/>
                <w:szCs w:val="20"/>
              </w:rPr>
            </w:pPr>
            <w:r>
              <w:rPr>
                <w:rFonts w:ascii="Verdana" w:hAnsi="Verdana"/>
                <w:sz w:val="20"/>
                <w:szCs w:val="20"/>
              </w:rPr>
              <w:t xml:space="preserve">2. </w:t>
            </w:r>
            <w:r w:rsidRPr="00027D1A">
              <w:rPr>
                <w:rFonts w:ascii="Verdana" w:hAnsi="Verdana"/>
                <w:sz w:val="20"/>
                <w:szCs w:val="20"/>
              </w:rPr>
              <w:t>(изм. - ДВ, бр. 8 от 2011 г., в сила от 25.01.2011 г.) периодично краткосрочно обучение на служители и на лица, извън системата на БАБХ за прилагане на изискванията по този Закон;</w:t>
            </w:r>
          </w:p>
          <w:p w:rsidR="007137D4" w:rsidRPr="00027D1A" w:rsidRDefault="007137D4" w:rsidP="00027D1A">
            <w:pPr>
              <w:spacing w:before="80" w:after="120"/>
              <w:jc w:val="both"/>
              <w:rPr>
                <w:rFonts w:ascii="Verdana" w:hAnsi="Verdana"/>
                <w:sz w:val="20"/>
                <w:szCs w:val="20"/>
              </w:rPr>
            </w:pPr>
            <w:r>
              <w:rPr>
                <w:rFonts w:ascii="Verdana" w:hAnsi="Verdana"/>
                <w:sz w:val="20"/>
                <w:szCs w:val="20"/>
              </w:rPr>
              <w:t xml:space="preserve">3. </w:t>
            </w:r>
            <w:r w:rsidRPr="00027D1A">
              <w:rPr>
                <w:rFonts w:ascii="Verdana" w:hAnsi="Verdana"/>
                <w:sz w:val="20"/>
                <w:szCs w:val="20"/>
              </w:rPr>
              <w:t>(изм. - ДВ, бр. 8 от 2011 г., в сила от 25.01.2011 г.) дългосрочно обучение на служители от системата на БАБХ за получаване на специализация в областта на ветеринарната медицина.</w:t>
            </w:r>
          </w:p>
          <w:p w:rsidR="007137D4" w:rsidRPr="00C75BD9" w:rsidRDefault="007137D4" w:rsidP="008C4229">
            <w:pPr>
              <w:spacing w:before="80" w:after="120"/>
              <w:jc w:val="both"/>
              <w:rPr>
                <w:rFonts w:ascii="Verdana" w:hAnsi="Verdana"/>
                <w:sz w:val="20"/>
                <w:szCs w:val="20"/>
              </w:rPr>
            </w:pPr>
            <w:r w:rsidRPr="00027D1A">
              <w:rPr>
                <w:rFonts w:ascii="Verdana" w:hAnsi="Verdana"/>
                <w:sz w:val="20"/>
                <w:szCs w:val="20"/>
              </w:rPr>
              <w:t>От текста на чл. 19 от ЗВД става ясно, че Наредбата не касае следдипломното обучение на ветеринарните лекари по принцип, а само в случаите посочени в ал. 1, т. 1, т. 2, т. 3. В този смисъл БВС е на мнение, че името на самата Наредба не е коректно, защото тя разглежда частен случай на следдипломно обучение, посочен в самия чл. 19, а не продължаващото обучение и в частност следдипломно такова на всички ветеринарни лекари.</w:t>
            </w:r>
          </w:p>
        </w:tc>
        <w:tc>
          <w:tcPr>
            <w:tcW w:w="1840" w:type="dxa"/>
            <w:tcBorders>
              <w:top w:val="single" w:sz="12" w:space="0" w:color="2E74B5"/>
              <w:bottom w:val="single" w:sz="12" w:space="0" w:color="2E74B5"/>
            </w:tcBorders>
            <w:shd w:val="clear" w:color="auto" w:fill="auto"/>
          </w:tcPr>
          <w:p w:rsidR="007137D4" w:rsidRPr="00910746" w:rsidRDefault="007137D4" w:rsidP="004D7FD6">
            <w:pPr>
              <w:spacing w:before="80" w:after="120"/>
              <w:rPr>
                <w:rFonts w:ascii="Verdana" w:hAnsi="Verdana"/>
                <w:color w:val="FF0000"/>
                <w:sz w:val="20"/>
                <w:szCs w:val="20"/>
              </w:rPr>
            </w:pPr>
            <w:r w:rsidRPr="00266E83">
              <w:rPr>
                <w:rFonts w:ascii="Verdana" w:hAnsi="Verdana"/>
                <w:sz w:val="20"/>
                <w:szCs w:val="20"/>
              </w:rPr>
              <w:t>Приема се по принцип</w:t>
            </w:r>
          </w:p>
        </w:tc>
        <w:tc>
          <w:tcPr>
            <w:tcW w:w="4538" w:type="dxa"/>
            <w:tcBorders>
              <w:top w:val="single" w:sz="12" w:space="0" w:color="2E74B5"/>
              <w:bottom w:val="single" w:sz="12" w:space="0" w:color="2E74B5"/>
            </w:tcBorders>
            <w:shd w:val="clear" w:color="auto" w:fill="auto"/>
          </w:tcPr>
          <w:p w:rsidR="007137D4" w:rsidRDefault="007137D4" w:rsidP="00DE203C">
            <w:pPr>
              <w:spacing w:before="80" w:after="120"/>
              <w:jc w:val="both"/>
              <w:rPr>
                <w:rFonts w:ascii="Verdana" w:hAnsi="Verdana"/>
                <w:sz w:val="20"/>
                <w:szCs w:val="20"/>
              </w:rPr>
            </w:pPr>
            <w:r>
              <w:rPr>
                <w:rFonts w:ascii="Verdana" w:hAnsi="Verdana"/>
                <w:sz w:val="20"/>
                <w:szCs w:val="20"/>
              </w:rPr>
              <w:t>Наредбата се издава на основание чл. 19, ал. 5 от Закона за ветеринарномедицинската дейност (ЗВД), който гласи: „</w:t>
            </w:r>
            <w:r w:rsidRPr="004D7FD6">
              <w:rPr>
                <w:rFonts w:ascii="Verdana" w:hAnsi="Verdana"/>
                <w:sz w:val="20"/>
                <w:szCs w:val="20"/>
              </w:rPr>
              <w:t>Условията и редът за провеждане на следдипломното обучение по ал. 1 се уреждат с наредба на министъра на земеделието, храните и горите и министъра на образованието и науката</w:t>
            </w:r>
            <w:r>
              <w:rPr>
                <w:rFonts w:ascii="Verdana" w:hAnsi="Verdana"/>
                <w:sz w:val="20"/>
                <w:szCs w:val="20"/>
              </w:rPr>
              <w:t xml:space="preserve">“. Заглавието на наредбата се определя от законовата делегация на чл. 19, ал. 5, и както правилно е посочено в настоящето становище – обхватът на наредбата е определен в съответствие с чл. 19, ал. 1, т. 1, 2 и 3 от ЗВД, съответно в чл. 1, ал. 1, т.1, 2 и 3 от Наредбата изцяло в съответствие с цитираните в становището съображения. Подходът за определяне на конкретния обхват, вместо определяне на случаите в които не се прилага определен нормативен акт е по-подходящ в този случай, в който наистина се касае по-скоро за „частен случай на обучение“, както правилно е посочено в становището. Въпреки това с </w:t>
            </w:r>
            <w:r>
              <w:rPr>
                <w:rFonts w:ascii="Verdana" w:hAnsi="Verdana"/>
                <w:sz w:val="20"/>
                <w:szCs w:val="20"/>
              </w:rPr>
              <w:lastRenderedPageBreak/>
              <w:t>оглед по-голяма яснота относно ограничения обхват на наредбата по отношение на обученията в сферата на ветеринарната медицина, в съответствие с предложеното в настоящето становище е добавено уточнение относно изключенията от обхвата на наредбата като нова ал. 3 на чл. 1, както следва:</w:t>
            </w:r>
          </w:p>
          <w:p w:rsidR="007137D4" w:rsidRPr="00C75BD9" w:rsidRDefault="007137D4" w:rsidP="00DE203C">
            <w:pPr>
              <w:spacing w:before="80" w:after="120"/>
              <w:jc w:val="both"/>
              <w:rPr>
                <w:rFonts w:ascii="Verdana" w:hAnsi="Verdana"/>
                <w:sz w:val="20"/>
                <w:szCs w:val="20"/>
              </w:rPr>
            </w:pPr>
            <w:r w:rsidRPr="00DE203C">
              <w:rPr>
                <w:rFonts w:ascii="Verdana" w:hAnsi="Verdana"/>
                <w:sz w:val="20"/>
                <w:szCs w:val="20"/>
              </w:rPr>
              <w:t>(3) Наредбата не се прилага за обученията, касаещи упражняването на ветеринарномедицинска професия с цел лечебна дейност и ветеринарномедицинската практика по съответните клинични направления на ветеринарната медицина.</w:t>
            </w:r>
          </w:p>
        </w:tc>
      </w:tr>
      <w:tr w:rsidR="007137D4" w:rsidRPr="00C75BD9" w:rsidTr="00D87AE2">
        <w:trPr>
          <w:trHeight w:val="596"/>
          <w:jc w:val="center"/>
        </w:trPr>
        <w:tc>
          <w:tcPr>
            <w:tcW w:w="622" w:type="dxa"/>
            <w:vMerge/>
            <w:shd w:val="clear" w:color="auto" w:fill="auto"/>
          </w:tcPr>
          <w:p w:rsidR="007137D4" w:rsidRPr="0051428D" w:rsidRDefault="007137D4" w:rsidP="007137D4">
            <w:pPr>
              <w:tabs>
                <w:tab w:val="left" w:pos="192"/>
              </w:tabs>
              <w:spacing w:before="80" w:after="120"/>
              <w:rPr>
                <w:rFonts w:ascii="Verdana" w:hAnsi="Verdana"/>
                <w:b/>
                <w:sz w:val="20"/>
                <w:szCs w:val="20"/>
              </w:rPr>
            </w:pPr>
          </w:p>
        </w:tc>
        <w:tc>
          <w:tcPr>
            <w:tcW w:w="2271" w:type="dxa"/>
            <w:vMerge/>
            <w:shd w:val="clear" w:color="auto" w:fill="auto"/>
          </w:tcPr>
          <w:p w:rsidR="007137D4" w:rsidRPr="00C75BD9" w:rsidRDefault="007137D4" w:rsidP="009848EE">
            <w:pPr>
              <w:spacing w:before="80" w:after="120"/>
              <w:rPr>
                <w:rFonts w:ascii="Verdana" w:hAnsi="Verdana"/>
                <w:b/>
                <w:bCs/>
                <w:color w:val="000000"/>
                <w:spacing w:val="-2"/>
                <w:w w:val="86"/>
                <w:sz w:val="20"/>
                <w:szCs w:val="20"/>
              </w:rPr>
            </w:pPr>
          </w:p>
        </w:tc>
        <w:tc>
          <w:tcPr>
            <w:tcW w:w="6379" w:type="dxa"/>
            <w:tcBorders>
              <w:top w:val="single" w:sz="12" w:space="0" w:color="2E74B5"/>
              <w:bottom w:val="single" w:sz="12" w:space="0" w:color="2E74B5"/>
            </w:tcBorders>
            <w:shd w:val="clear" w:color="auto" w:fill="auto"/>
          </w:tcPr>
          <w:p w:rsidR="007137D4" w:rsidRDefault="007137D4" w:rsidP="008C4229">
            <w:pPr>
              <w:spacing w:before="80" w:after="120"/>
              <w:jc w:val="both"/>
              <w:rPr>
                <w:rFonts w:ascii="Verdana" w:hAnsi="Verdana"/>
                <w:sz w:val="20"/>
                <w:szCs w:val="20"/>
              </w:rPr>
            </w:pPr>
            <w:r w:rsidRPr="00027D1A">
              <w:rPr>
                <w:rFonts w:ascii="Verdana" w:hAnsi="Verdana"/>
                <w:sz w:val="20"/>
                <w:szCs w:val="20"/>
              </w:rPr>
              <w:t>С цел по-голяма прецизност и коректност ние имаме следните конкретни предложения:</w:t>
            </w:r>
          </w:p>
        </w:tc>
        <w:tc>
          <w:tcPr>
            <w:tcW w:w="1840" w:type="dxa"/>
            <w:tcBorders>
              <w:top w:val="single" w:sz="12" w:space="0" w:color="2E74B5"/>
              <w:bottom w:val="single" w:sz="12" w:space="0" w:color="2E74B5"/>
            </w:tcBorders>
            <w:shd w:val="clear" w:color="auto" w:fill="auto"/>
          </w:tcPr>
          <w:p w:rsidR="007137D4" w:rsidRPr="00910746" w:rsidRDefault="007137D4" w:rsidP="00AA7D42">
            <w:pPr>
              <w:spacing w:before="80" w:after="120"/>
              <w:rPr>
                <w:rFonts w:ascii="Verdana" w:hAnsi="Verdana"/>
                <w:color w:val="FF0000"/>
                <w:sz w:val="20"/>
                <w:szCs w:val="20"/>
              </w:rPr>
            </w:pPr>
          </w:p>
        </w:tc>
        <w:tc>
          <w:tcPr>
            <w:tcW w:w="4538" w:type="dxa"/>
            <w:tcBorders>
              <w:top w:val="single" w:sz="12" w:space="0" w:color="2E74B5"/>
              <w:bottom w:val="single" w:sz="12" w:space="0" w:color="2E74B5"/>
            </w:tcBorders>
            <w:shd w:val="clear" w:color="auto" w:fill="auto"/>
          </w:tcPr>
          <w:p w:rsidR="007137D4" w:rsidRPr="00C75BD9" w:rsidRDefault="007137D4" w:rsidP="00EC77C8">
            <w:pPr>
              <w:spacing w:before="80" w:after="120"/>
              <w:jc w:val="both"/>
              <w:rPr>
                <w:rFonts w:ascii="Verdana" w:hAnsi="Verdana"/>
                <w:sz w:val="20"/>
                <w:szCs w:val="20"/>
              </w:rPr>
            </w:pPr>
          </w:p>
        </w:tc>
      </w:tr>
      <w:tr w:rsidR="007137D4" w:rsidRPr="00C75BD9" w:rsidTr="009A50D2">
        <w:trPr>
          <w:trHeight w:val="596"/>
          <w:jc w:val="center"/>
        </w:trPr>
        <w:tc>
          <w:tcPr>
            <w:tcW w:w="622" w:type="dxa"/>
            <w:vMerge/>
            <w:shd w:val="clear" w:color="auto" w:fill="auto"/>
          </w:tcPr>
          <w:p w:rsidR="007137D4" w:rsidRPr="0051428D" w:rsidRDefault="007137D4" w:rsidP="0051428D">
            <w:pPr>
              <w:tabs>
                <w:tab w:val="left" w:pos="192"/>
              </w:tabs>
              <w:spacing w:before="80" w:after="120"/>
              <w:jc w:val="center"/>
              <w:rPr>
                <w:rFonts w:ascii="Verdana" w:hAnsi="Verdana"/>
                <w:b/>
                <w:sz w:val="20"/>
                <w:szCs w:val="20"/>
              </w:rPr>
            </w:pPr>
          </w:p>
        </w:tc>
        <w:tc>
          <w:tcPr>
            <w:tcW w:w="2271" w:type="dxa"/>
            <w:vMerge/>
            <w:shd w:val="clear" w:color="auto" w:fill="auto"/>
          </w:tcPr>
          <w:p w:rsidR="007137D4" w:rsidRPr="00C75BD9" w:rsidRDefault="007137D4" w:rsidP="009848EE">
            <w:pPr>
              <w:spacing w:before="80" w:after="120"/>
              <w:rPr>
                <w:rFonts w:ascii="Verdana" w:hAnsi="Verdana"/>
                <w:b/>
                <w:bCs/>
                <w:color w:val="000000"/>
                <w:spacing w:val="-2"/>
                <w:w w:val="86"/>
                <w:sz w:val="20"/>
                <w:szCs w:val="20"/>
              </w:rPr>
            </w:pPr>
          </w:p>
        </w:tc>
        <w:tc>
          <w:tcPr>
            <w:tcW w:w="6379" w:type="dxa"/>
            <w:tcBorders>
              <w:top w:val="single" w:sz="12" w:space="0" w:color="2E74B5"/>
              <w:bottom w:val="single" w:sz="12" w:space="0" w:color="2E74B5"/>
            </w:tcBorders>
            <w:shd w:val="clear" w:color="auto" w:fill="auto"/>
          </w:tcPr>
          <w:p w:rsidR="007137D4" w:rsidRPr="00027D1A" w:rsidRDefault="007137D4" w:rsidP="008C4229">
            <w:pPr>
              <w:spacing w:before="80" w:after="120"/>
              <w:jc w:val="both"/>
              <w:rPr>
                <w:rFonts w:ascii="Verdana" w:hAnsi="Verdana"/>
                <w:sz w:val="20"/>
                <w:szCs w:val="20"/>
              </w:rPr>
            </w:pPr>
            <w:r>
              <w:rPr>
                <w:rFonts w:ascii="Verdana" w:hAnsi="Verdana"/>
                <w:sz w:val="20"/>
                <w:szCs w:val="20"/>
              </w:rPr>
              <w:t>§ 1. Да отпадне чл. 1, ал. 2: „</w:t>
            </w:r>
            <w:r w:rsidRPr="00027D1A">
              <w:rPr>
                <w:rFonts w:ascii="Verdana" w:hAnsi="Verdana"/>
                <w:sz w:val="20"/>
                <w:szCs w:val="20"/>
              </w:rPr>
              <w:t>Обучението по ал. 1 включва и продължаващо обучение и е съобразено със съответната страт</w:t>
            </w:r>
            <w:r>
              <w:rPr>
                <w:rFonts w:ascii="Verdana" w:hAnsi="Verdana"/>
                <w:sz w:val="20"/>
                <w:szCs w:val="20"/>
              </w:rPr>
              <w:t>егия за учене през целия живот.</w:t>
            </w:r>
            <w:r w:rsidRPr="00027D1A">
              <w:rPr>
                <w:rFonts w:ascii="Verdana" w:hAnsi="Verdana"/>
                <w:sz w:val="20"/>
                <w:szCs w:val="20"/>
              </w:rPr>
              <w:t>”</w:t>
            </w:r>
          </w:p>
          <w:p w:rsidR="007137D4" w:rsidRPr="00C75BD9" w:rsidRDefault="007137D4" w:rsidP="009848EE">
            <w:pPr>
              <w:spacing w:before="80" w:after="120"/>
              <w:jc w:val="both"/>
              <w:rPr>
                <w:rFonts w:ascii="Verdana" w:hAnsi="Verdana"/>
                <w:sz w:val="20"/>
                <w:szCs w:val="20"/>
              </w:rPr>
            </w:pPr>
            <w:r w:rsidRPr="00027D1A">
              <w:rPr>
                <w:rFonts w:ascii="Verdana" w:hAnsi="Verdana"/>
                <w:sz w:val="20"/>
                <w:szCs w:val="20"/>
              </w:rPr>
              <w:t>Мотив: Тази Наредба се издава въз основа на чл. 19, ал. 1 от ЗВД и касае конкретно обучение, свързано с прилагането на самия ЗВД. Тя обхваща основно служители на БАБХ и служители на други институции или пък фи</w:t>
            </w:r>
            <w:r>
              <w:rPr>
                <w:rFonts w:ascii="Verdana" w:hAnsi="Verdana"/>
                <w:sz w:val="20"/>
                <w:szCs w:val="20"/>
              </w:rPr>
              <w:t xml:space="preserve">зически лица, на които обаче са </w:t>
            </w:r>
            <w:r w:rsidRPr="00027D1A">
              <w:rPr>
                <w:rFonts w:ascii="Verdana" w:hAnsi="Verdana"/>
                <w:sz w:val="20"/>
                <w:szCs w:val="20"/>
              </w:rPr>
              <w:t xml:space="preserve">делегирани определени функции, съобразно Регламент ЕК 2017/625. Не трябва да се тълкува погрешно понятието за продължаващото обучение, което има много по-широк обхват и то да бъде поставено като част от това, </w:t>
            </w:r>
            <w:r>
              <w:rPr>
                <w:rFonts w:ascii="Verdana" w:hAnsi="Verdana"/>
                <w:sz w:val="20"/>
                <w:szCs w:val="20"/>
              </w:rPr>
              <w:t xml:space="preserve"> </w:t>
            </w:r>
            <w:r w:rsidRPr="00027D1A">
              <w:rPr>
                <w:rFonts w:ascii="Verdana" w:hAnsi="Verdana"/>
                <w:sz w:val="20"/>
                <w:szCs w:val="20"/>
              </w:rPr>
              <w:lastRenderedPageBreak/>
              <w:t>конкретно по смисъла си, обучение.</w:t>
            </w:r>
          </w:p>
        </w:tc>
        <w:tc>
          <w:tcPr>
            <w:tcW w:w="1840" w:type="dxa"/>
            <w:tcBorders>
              <w:top w:val="single" w:sz="12" w:space="0" w:color="2E74B5"/>
              <w:bottom w:val="single" w:sz="12" w:space="0" w:color="2E74B5"/>
            </w:tcBorders>
            <w:shd w:val="clear" w:color="auto" w:fill="auto"/>
          </w:tcPr>
          <w:p w:rsidR="007137D4" w:rsidRPr="00910746" w:rsidRDefault="007137D4" w:rsidP="00AA7D42">
            <w:pPr>
              <w:spacing w:before="80" w:after="120"/>
              <w:rPr>
                <w:rFonts w:ascii="Verdana" w:hAnsi="Verdana"/>
                <w:color w:val="FF0000"/>
                <w:sz w:val="20"/>
                <w:szCs w:val="20"/>
              </w:rPr>
            </w:pPr>
            <w:r w:rsidRPr="00266E83">
              <w:rPr>
                <w:rFonts w:ascii="Verdana" w:hAnsi="Verdana"/>
                <w:sz w:val="20"/>
                <w:szCs w:val="20"/>
              </w:rPr>
              <w:lastRenderedPageBreak/>
              <w:t>Приема се по принцип</w:t>
            </w:r>
          </w:p>
        </w:tc>
        <w:tc>
          <w:tcPr>
            <w:tcW w:w="4538" w:type="dxa"/>
            <w:tcBorders>
              <w:top w:val="single" w:sz="12" w:space="0" w:color="2E74B5"/>
              <w:bottom w:val="single" w:sz="12" w:space="0" w:color="2E74B5"/>
            </w:tcBorders>
            <w:shd w:val="clear" w:color="auto" w:fill="auto"/>
          </w:tcPr>
          <w:p w:rsidR="007137D4" w:rsidRDefault="007137D4" w:rsidP="00216F80">
            <w:pPr>
              <w:spacing w:before="80" w:after="120"/>
              <w:jc w:val="both"/>
              <w:rPr>
                <w:rFonts w:ascii="Verdana" w:hAnsi="Verdana"/>
                <w:sz w:val="20"/>
                <w:szCs w:val="20"/>
              </w:rPr>
            </w:pPr>
            <w:r>
              <w:rPr>
                <w:rFonts w:ascii="Verdana" w:hAnsi="Verdana"/>
                <w:sz w:val="20"/>
                <w:szCs w:val="20"/>
              </w:rPr>
              <w:t xml:space="preserve">В настоящето становище правилно е посочен обхвата на наредбата и по-конкретно </w:t>
            </w:r>
            <w:r w:rsidRPr="00216F80">
              <w:rPr>
                <w:rFonts w:ascii="Verdana" w:hAnsi="Verdana"/>
                <w:sz w:val="20"/>
                <w:szCs w:val="20"/>
              </w:rPr>
              <w:t>наредба</w:t>
            </w:r>
            <w:r>
              <w:rPr>
                <w:rFonts w:ascii="Verdana" w:hAnsi="Verdana"/>
                <w:sz w:val="20"/>
                <w:szCs w:val="20"/>
              </w:rPr>
              <w:t>та</w:t>
            </w:r>
            <w:r w:rsidRPr="00216F80">
              <w:rPr>
                <w:rFonts w:ascii="Verdana" w:hAnsi="Verdana"/>
                <w:sz w:val="20"/>
                <w:szCs w:val="20"/>
              </w:rPr>
              <w:t xml:space="preserve"> </w:t>
            </w:r>
            <w:r>
              <w:rPr>
                <w:rFonts w:ascii="Verdana" w:hAnsi="Verdana"/>
                <w:sz w:val="20"/>
                <w:szCs w:val="20"/>
              </w:rPr>
              <w:t>цели да уреди</w:t>
            </w:r>
            <w:r w:rsidRPr="00216F80">
              <w:rPr>
                <w:rFonts w:ascii="Verdana" w:hAnsi="Verdana"/>
                <w:sz w:val="20"/>
                <w:szCs w:val="20"/>
              </w:rPr>
              <w:t xml:space="preserve"> условията и редът за провеждане на обучение в областта на ветеринарната медицина на служители на БАБХ и лица извън системата на БАБХ за прилагане на изискванията по ЗВД, с което ще се осигури прилагането на промените в нормативната уредба на ниво ЕС и на национално ниво относно официалния контрол по агрохранителната верига по отношение изпълнението на </w:t>
            </w:r>
            <w:r w:rsidRPr="00216F80">
              <w:rPr>
                <w:rFonts w:ascii="Verdana" w:hAnsi="Verdana"/>
                <w:sz w:val="20"/>
                <w:szCs w:val="20"/>
              </w:rPr>
              <w:lastRenderedPageBreak/>
              <w:t>изискването за квалификация и обучение на лицата, които извършват официален контрол и други официални дейности.</w:t>
            </w:r>
            <w:r>
              <w:rPr>
                <w:rFonts w:ascii="Verdana" w:hAnsi="Verdana"/>
                <w:sz w:val="20"/>
                <w:szCs w:val="20"/>
              </w:rPr>
              <w:t xml:space="preserve"> </w:t>
            </w:r>
          </w:p>
          <w:p w:rsidR="007137D4" w:rsidRDefault="007137D4" w:rsidP="004C01B4">
            <w:pPr>
              <w:spacing w:before="80" w:after="120"/>
              <w:jc w:val="both"/>
              <w:rPr>
                <w:rFonts w:ascii="Verdana" w:hAnsi="Verdana"/>
                <w:sz w:val="20"/>
                <w:szCs w:val="20"/>
              </w:rPr>
            </w:pPr>
            <w:r>
              <w:rPr>
                <w:rFonts w:ascii="Verdana" w:hAnsi="Verdana"/>
                <w:sz w:val="20"/>
                <w:szCs w:val="20"/>
              </w:rPr>
              <w:t>В Допълнителната разпоредба на на</w:t>
            </w:r>
            <w:r w:rsidRPr="007D4894">
              <w:rPr>
                <w:rFonts w:ascii="Verdana" w:hAnsi="Verdana"/>
                <w:sz w:val="20"/>
                <w:szCs w:val="20"/>
              </w:rPr>
              <w:t xml:space="preserve">редбата (параграф 1, т. </w:t>
            </w:r>
            <w:r>
              <w:rPr>
                <w:rFonts w:ascii="Verdana" w:hAnsi="Verdana"/>
                <w:sz w:val="20"/>
                <w:szCs w:val="20"/>
              </w:rPr>
              <w:t>5</w:t>
            </w:r>
            <w:r w:rsidRPr="007D4894">
              <w:rPr>
                <w:rFonts w:ascii="Verdana" w:hAnsi="Verdana"/>
                <w:sz w:val="20"/>
                <w:szCs w:val="20"/>
              </w:rPr>
              <w:t xml:space="preserve">) </w:t>
            </w:r>
            <w:r>
              <w:rPr>
                <w:rFonts w:ascii="Verdana" w:hAnsi="Verdana"/>
                <w:sz w:val="20"/>
                <w:szCs w:val="20"/>
              </w:rPr>
              <w:t>е включено определение за „учене през целия живот“ и представлява „</w:t>
            </w:r>
            <w:r w:rsidRPr="00DE46F9">
              <w:rPr>
                <w:rFonts w:ascii="Verdana" w:hAnsi="Verdana"/>
                <w:sz w:val="20"/>
                <w:szCs w:val="20"/>
              </w:rPr>
              <w:t>всяка дейност за учене, предприемана през целия живот за повишаване на знанията, уменията и компетентностите</w:t>
            </w:r>
            <w:r>
              <w:rPr>
                <w:rFonts w:ascii="Verdana" w:hAnsi="Verdana"/>
                <w:sz w:val="20"/>
                <w:szCs w:val="20"/>
              </w:rPr>
              <w:t>“.</w:t>
            </w:r>
            <w:r w:rsidRPr="00DE46F9">
              <w:rPr>
                <w:rFonts w:ascii="Verdana" w:hAnsi="Verdana"/>
                <w:sz w:val="20"/>
                <w:szCs w:val="20"/>
              </w:rPr>
              <w:t xml:space="preserve"> </w:t>
            </w:r>
            <w:r>
              <w:rPr>
                <w:rFonts w:ascii="Verdana" w:hAnsi="Verdana"/>
                <w:sz w:val="20"/>
                <w:szCs w:val="20"/>
              </w:rPr>
              <w:t xml:space="preserve">Стратегията за учене през целия живот се отнася и за тези лица, (служители на БАБХ </w:t>
            </w:r>
            <w:r w:rsidRPr="00216F80">
              <w:rPr>
                <w:rFonts w:ascii="Verdana" w:hAnsi="Verdana"/>
                <w:sz w:val="20"/>
                <w:szCs w:val="20"/>
              </w:rPr>
              <w:t>и лица извън системата на БАБХ</w:t>
            </w:r>
            <w:r>
              <w:rPr>
                <w:rFonts w:ascii="Verdana" w:hAnsi="Verdana"/>
                <w:sz w:val="20"/>
                <w:szCs w:val="20"/>
              </w:rPr>
              <w:t>, на които</w:t>
            </w:r>
            <w:r>
              <w:t xml:space="preserve"> </w:t>
            </w:r>
            <w:r w:rsidRPr="007D4894">
              <w:rPr>
                <w:rFonts w:ascii="Verdana" w:hAnsi="Verdana"/>
                <w:sz w:val="20"/>
                <w:szCs w:val="20"/>
              </w:rPr>
              <w:t>са де</w:t>
            </w:r>
            <w:r>
              <w:rPr>
                <w:rFonts w:ascii="Verdana" w:hAnsi="Verdana"/>
                <w:sz w:val="20"/>
                <w:szCs w:val="20"/>
              </w:rPr>
              <w:t>легирани определени функции, съ</w:t>
            </w:r>
            <w:r w:rsidRPr="007D4894">
              <w:rPr>
                <w:rFonts w:ascii="Verdana" w:hAnsi="Verdana"/>
                <w:sz w:val="20"/>
                <w:szCs w:val="20"/>
              </w:rPr>
              <w:t xml:space="preserve">образно Регламент </w:t>
            </w:r>
            <w:r>
              <w:rPr>
                <w:rFonts w:ascii="Verdana" w:hAnsi="Verdana"/>
                <w:sz w:val="20"/>
                <w:szCs w:val="20"/>
              </w:rPr>
              <w:t>(ЕС)</w:t>
            </w:r>
            <w:r w:rsidRPr="007D4894">
              <w:rPr>
                <w:rFonts w:ascii="Verdana" w:hAnsi="Verdana"/>
                <w:sz w:val="20"/>
                <w:szCs w:val="20"/>
              </w:rPr>
              <w:t xml:space="preserve"> 2017/625</w:t>
            </w:r>
            <w:r>
              <w:rPr>
                <w:rFonts w:ascii="Verdana" w:hAnsi="Verdana"/>
                <w:sz w:val="20"/>
                <w:szCs w:val="20"/>
              </w:rPr>
              <w:t xml:space="preserve">) и в този смисъл частният случай на обучение, който наредбата урежда следва също да е съобразен със </w:t>
            </w:r>
            <w:r w:rsidRPr="00216F80">
              <w:rPr>
                <w:rFonts w:ascii="Verdana" w:hAnsi="Verdana"/>
                <w:sz w:val="20"/>
                <w:szCs w:val="20"/>
              </w:rPr>
              <w:t>съответната стратегия за учене през целия живот</w:t>
            </w:r>
            <w:r>
              <w:rPr>
                <w:rFonts w:ascii="Verdana" w:hAnsi="Verdana"/>
                <w:sz w:val="20"/>
                <w:szCs w:val="20"/>
              </w:rPr>
              <w:t>. Във връзка с гореизложеното и с оглед конкретизиране обхвата на понятието „продължаващо обучение“ в Допълнителната разпоредба на наредбата (параграф 1, т. 3) е предвидено определение  за „продължаващо обучение“, в което изрично е посочено, че се касае за обучения</w:t>
            </w:r>
            <w:r w:rsidRPr="007D4894">
              <w:rPr>
                <w:rFonts w:ascii="Verdana" w:hAnsi="Verdana"/>
                <w:sz w:val="20"/>
                <w:szCs w:val="20"/>
              </w:rPr>
              <w:t xml:space="preserve">, </w:t>
            </w:r>
            <w:r>
              <w:rPr>
                <w:rFonts w:ascii="Verdana" w:hAnsi="Verdana"/>
                <w:sz w:val="20"/>
                <w:szCs w:val="20"/>
              </w:rPr>
              <w:t>„</w:t>
            </w:r>
            <w:r w:rsidRPr="007D4894">
              <w:rPr>
                <w:rFonts w:ascii="Verdana" w:hAnsi="Verdana"/>
                <w:sz w:val="20"/>
                <w:szCs w:val="20"/>
              </w:rPr>
              <w:t>свързани с изискванията по Закона за ветеринарномедицинската дейност</w:t>
            </w:r>
            <w:r>
              <w:rPr>
                <w:rFonts w:ascii="Verdana" w:hAnsi="Verdana"/>
                <w:sz w:val="20"/>
                <w:szCs w:val="20"/>
              </w:rPr>
              <w:t xml:space="preserve">“. </w:t>
            </w:r>
          </w:p>
          <w:p w:rsidR="007137D4" w:rsidRPr="004C01B4" w:rsidRDefault="007137D4" w:rsidP="004C01B4">
            <w:pPr>
              <w:spacing w:before="80" w:after="120"/>
              <w:jc w:val="both"/>
              <w:rPr>
                <w:rFonts w:ascii="Verdana" w:hAnsi="Verdana"/>
                <w:sz w:val="20"/>
                <w:szCs w:val="20"/>
              </w:rPr>
            </w:pPr>
            <w:r>
              <w:rPr>
                <w:rFonts w:ascii="Verdana" w:hAnsi="Verdana"/>
                <w:sz w:val="20"/>
                <w:szCs w:val="20"/>
              </w:rPr>
              <w:t xml:space="preserve">В допълнение </w:t>
            </w:r>
            <w:r w:rsidRPr="004C01B4">
              <w:rPr>
                <w:rFonts w:ascii="Verdana" w:hAnsi="Verdana"/>
                <w:sz w:val="20"/>
                <w:szCs w:val="20"/>
              </w:rPr>
              <w:t>с оглед по-голяма яс</w:t>
            </w:r>
            <w:r>
              <w:rPr>
                <w:rFonts w:ascii="Verdana" w:hAnsi="Verdana"/>
                <w:sz w:val="20"/>
                <w:szCs w:val="20"/>
              </w:rPr>
              <w:t xml:space="preserve">нота </w:t>
            </w:r>
            <w:r>
              <w:rPr>
                <w:rFonts w:ascii="Verdana" w:hAnsi="Verdana"/>
                <w:sz w:val="20"/>
                <w:szCs w:val="20"/>
              </w:rPr>
              <w:lastRenderedPageBreak/>
              <w:t>относно огра</w:t>
            </w:r>
            <w:r w:rsidRPr="004C01B4">
              <w:rPr>
                <w:rFonts w:ascii="Verdana" w:hAnsi="Verdana"/>
                <w:sz w:val="20"/>
                <w:szCs w:val="20"/>
              </w:rPr>
              <w:t>ниче</w:t>
            </w:r>
            <w:r>
              <w:rPr>
                <w:rFonts w:ascii="Verdana" w:hAnsi="Verdana"/>
                <w:sz w:val="20"/>
                <w:szCs w:val="20"/>
              </w:rPr>
              <w:t>ния обхват на наредбата по отно</w:t>
            </w:r>
            <w:r w:rsidRPr="004C01B4">
              <w:rPr>
                <w:rFonts w:ascii="Verdana" w:hAnsi="Verdana"/>
                <w:sz w:val="20"/>
                <w:szCs w:val="20"/>
              </w:rPr>
              <w:t>шени</w:t>
            </w:r>
            <w:r>
              <w:rPr>
                <w:rFonts w:ascii="Verdana" w:hAnsi="Verdana"/>
                <w:sz w:val="20"/>
                <w:szCs w:val="20"/>
              </w:rPr>
              <w:t>е на обученията в сферата на ве</w:t>
            </w:r>
            <w:r w:rsidRPr="004C01B4">
              <w:rPr>
                <w:rFonts w:ascii="Verdana" w:hAnsi="Verdana"/>
                <w:sz w:val="20"/>
                <w:szCs w:val="20"/>
              </w:rPr>
              <w:t>теринарната медицина, в съответствие с пр</w:t>
            </w:r>
            <w:r>
              <w:rPr>
                <w:rFonts w:ascii="Verdana" w:hAnsi="Verdana"/>
                <w:sz w:val="20"/>
                <w:szCs w:val="20"/>
              </w:rPr>
              <w:t>едложеното в настоящето станови</w:t>
            </w:r>
            <w:r w:rsidRPr="004C01B4">
              <w:rPr>
                <w:rFonts w:ascii="Verdana" w:hAnsi="Verdana"/>
                <w:sz w:val="20"/>
                <w:szCs w:val="20"/>
              </w:rPr>
              <w:t>ще е</w:t>
            </w:r>
            <w:r>
              <w:rPr>
                <w:rFonts w:ascii="Verdana" w:hAnsi="Verdana"/>
                <w:sz w:val="20"/>
                <w:szCs w:val="20"/>
              </w:rPr>
              <w:t xml:space="preserve"> добавено уточнение относно изк</w:t>
            </w:r>
            <w:r w:rsidRPr="004C01B4">
              <w:rPr>
                <w:rFonts w:ascii="Verdana" w:hAnsi="Verdana"/>
                <w:sz w:val="20"/>
                <w:szCs w:val="20"/>
              </w:rPr>
              <w:t>лючен</w:t>
            </w:r>
            <w:r>
              <w:rPr>
                <w:rFonts w:ascii="Verdana" w:hAnsi="Verdana"/>
                <w:sz w:val="20"/>
                <w:szCs w:val="20"/>
              </w:rPr>
              <w:t>ията от обхвата на наредбата ка</w:t>
            </w:r>
            <w:r w:rsidRPr="004C01B4">
              <w:rPr>
                <w:rFonts w:ascii="Verdana" w:hAnsi="Verdana"/>
                <w:sz w:val="20"/>
                <w:szCs w:val="20"/>
              </w:rPr>
              <w:t>то нова ал. 3 на чл. 1, както следва:</w:t>
            </w:r>
          </w:p>
          <w:p w:rsidR="007137D4" w:rsidRPr="00C75BD9" w:rsidRDefault="007137D4" w:rsidP="004C01B4">
            <w:pPr>
              <w:spacing w:before="80" w:after="120"/>
              <w:jc w:val="both"/>
              <w:rPr>
                <w:rFonts w:ascii="Verdana" w:hAnsi="Verdana"/>
                <w:sz w:val="20"/>
                <w:szCs w:val="20"/>
              </w:rPr>
            </w:pPr>
            <w:r w:rsidRPr="004C01B4">
              <w:rPr>
                <w:rFonts w:ascii="Verdana" w:hAnsi="Verdana"/>
                <w:sz w:val="20"/>
                <w:szCs w:val="20"/>
              </w:rPr>
              <w:t>(3) Наредбата не се прилага за обуче-нията, касаещи упражняването на ве-теринарномедицинска професия с цел лечебна дейност и ветеринарномеди-цинската практика по съответните кли-нични направления на ветеринарната медицина.</w:t>
            </w:r>
          </w:p>
        </w:tc>
      </w:tr>
      <w:tr w:rsidR="007137D4" w:rsidRPr="00C75BD9" w:rsidTr="008C4229">
        <w:trPr>
          <w:trHeight w:val="596"/>
          <w:jc w:val="center"/>
        </w:trPr>
        <w:tc>
          <w:tcPr>
            <w:tcW w:w="622" w:type="dxa"/>
            <w:vMerge/>
            <w:tcBorders>
              <w:bottom w:val="single" w:sz="12" w:space="0" w:color="2E74B5"/>
            </w:tcBorders>
            <w:shd w:val="clear" w:color="auto" w:fill="auto"/>
          </w:tcPr>
          <w:p w:rsidR="007137D4" w:rsidRPr="00C75BD9" w:rsidRDefault="007137D4" w:rsidP="009848EE">
            <w:pPr>
              <w:pStyle w:val="ListParagraph"/>
              <w:numPr>
                <w:ilvl w:val="0"/>
                <w:numId w:val="10"/>
              </w:numPr>
              <w:tabs>
                <w:tab w:val="left" w:pos="192"/>
              </w:tabs>
              <w:spacing w:before="80" w:after="120"/>
              <w:ind w:left="357" w:hanging="357"/>
              <w:jc w:val="center"/>
              <w:rPr>
                <w:rFonts w:ascii="Verdana" w:hAnsi="Verdana"/>
                <w:b/>
                <w:sz w:val="20"/>
                <w:szCs w:val="20"/>
              </w:rPr>
            </w:pPr>
          </w:p>
        </w:tc>
        <w:tc>
          <w:tcPr>
            <w:tcW w:w="2271" w:type="dxa"/>
            <w:vMerge/>
            <w:tcBorders>
              <w:bottom w:val="single" w:sz="12" w:space="0" w:color="2E74B5"/>
            </w:tcBorders>
            <w:shd w:val="clear" w:color="auto" w:fill="auto"/>
          </w:tcPr>
          <w:p w:rsidR="007137D4" w:rsidRPr="00C75BD9" w:rsidRDefault="007137D4" w:rsidP="009848EE">
            <w:pPr>
              <w:spacing w:before="80" w:after="120"/>
              <w:rPr>
                <w:rFonts w:ascii="Verdana" w:hAnsi="Verdana"/>
                <w:b/>
                <w:bCs/>
                <w:color w:val="000000"/>
                <w:spacing w:val="-2"/>
                <w:w w:val="86"/>
                <w:sz w:val="20"/>
                <w:szCs w:val="20"/>
              </w:rPr>
            </w:pPr>
          </w:p>
        </w:tc>
        <w:tc>
          <w:tcPr>
            <w:tcW w:w="6379" w:type="dxa"/>
            <w:tcBorders>
              <w:top w:val="single" w:sz="12" w:space="0" w:color="2E74B5"/>
              <w:bottom w:val="single" w:sz="12" w:space="0" w:color="2E74B5"/>
            </w:tcBorders>
            <w:shd w:val="clear" w:color="auto" w:fill="auto"/>
          </w:tcPr>
          <w:p w:rsidR="007137D4" w:rsidRPr="00027D1A" w:rsidRDefault="007137D4" w:rsidP="008C4229">
            <w:pPr>
              <w:spacing w:before="80" w:after="120"/>
              <w:jc w:val="both"/>
              <w:rPr>
                <w:rFonts w:ascii="Verdana" w:hAnsi="Verdana"/>
                <w:sz w:val="20"/>
                <w:szCs w:val="20"/>
              </w:rPr>
            </w:pPr>
            <w:r w:rsidRPr="00027D1A">
              <w:rPr>
                <w:rFonts w:ascii="Verdana" w:hAnsi="Verdana"/>
                <w:sz w:val="20"/>
                <w:szCs w:val="20"/>
              </w:rPr>
              <w:t>§</w:t>
            </w:r>
            <w:r>
              <w:rPr>
                <w:rFonts w:ascii="Verdana" w:hAnsi="Verdana"/>
                <w:sz w:val="20"/>
                <w:szCs w:val="20"/>
              </w:rPr>
              <w:t xml:space="preserve"> </w:t>
            </w:r>
            <w:r w:rsidRPr="00027D1A">
              <w:rPr>
                <w:rFonts w:ascii="Verdana" w:hAnsi="Verdana"/>
                <w:sz w:val="20"/>
                <w:szCs w:val="20"/>
              </w:rPr>
              <w:t>2. Предлагаме нов текст на чл. 1, ал. 2: „</w:t>
            </w:r>
            <w:r>
              <w:rPr>
                <w:rFonts w:ascii="Verdana" w:hAnsi="Verdana"/>
                <w:sz w:val="20"/>
                <w:szCs w:val="20"/>
              </w:rPr>
              <w:t>В</w:t>
            </w:r>
            <w:r w:rsidRPr="00027D1A">
              <w:rPr>
                <w:rFonts w:ascii="Verdana" w:hAnsi="Verdana"/>
                <w:sz w:val="20"/>
                <w:szCs w:val="20"/>
              </w:rPr>
              <w:t xml:space="preserve"> обхвата на тази Наредба не влизат обученията, касаещи упражняването на ветеринарномедицинската професия с цел лечебна и профилактична дейност и ветеринарномедицинската практика по съответните клинични направления на ветеринарната медицина. ”</w:t>
            </w:r>
          </w:p>
          <w:p w:rsidR="007137D4" w:rsidRPr="00027D1A" w:rsidRDefault="007137D4" w:rsidP="008C4229">
            <w:pPr>
              <w:spacing w:before="80" w:after="120"/>
              <w:jc w:val="both"/>
              <w:rPr>
                <w:rFonts w:ascii="Verdana" w:hAnsi="Verdana"/>
                <w:sz w:val="20"/>
                <w:szCs w:val="20"/>
              </w:rPr>
            </w:pPr>
            <w:r w:rsidRPr="00027D1A">
              <w:rPr>
                <w:rFonts w:ascii="Verdana" w:hAnsi="Verdana"/>
                <w:sz w:val="20"/>
                <w:szCs w:val="20"/>
              </w:rPr>
              <w:t>Мотив: Българският ветеринарен съюз настоява за този текст поради следните аргументи:</w:t>
            </w:r>
          </w:p>
          <w:p w:rsidR="007137D4" w:rsidRPr="00027D1A" w:rsidRDefault="007137D4" w:rsidP="008C4229">
            <w:pPr>
              <w:spacing w:before="80" w:after="120"/>
              <w:jc w:val="both"/>
              <w:rPr>
                <w:rFonts w:ascii="Verdana" w:hAnsi="Verdana"/>
                <w:sz w:val="20"/>
                <w:szCs w:val="20"/>
              </w:rPr>
            </w:pPr>
            <w:r w:rsidRPr="00027D1A">
              <w:rPr>
                <w:rFonts w:ascii="Verdana" w:hAnsi="Verdana"/>
                <w:sz w:val="20"/>
                <w:szCs w:val="20"/>
              </w:rPr>
              <w:t xml:space="preserve">Последните години в Европа се налага практиката продължаващото обучение на ветеринарните лекари да се организира, контролира и администрира от съответните законни съсловни организации. Има учредена и международна асоциация с нестопанска цел </w:t>
            </w:r>
            <w:r>
              <w:rPr>
                <w:rFonts w:ascii="Verdana" w:hAnsi="Verdana"/>
                <w:sz w:val="20"/>
                <w:szCs w:val="20"/>
              </w:rPr>
              <w:t>–</w:t>
            </w:r>
            <w:r w:rsidRPr="00027D1A">
              <w:rPr>
                <w:rFonts w:ascii="Verdana" w:hAnsi="Verdana"/>
                <w:sz w:val="20"/>
                <w:szCs w:val="20"/>
              </w:rPr>
              <w:t xml:space="preserve"> Veterinary Continuous Education in Europe </w:t>
            </w:r>
            <w:r>
              <w:rPr>
                <w:rFonts w:ascii="Verdana" w:hAnsi="Verdana"/>
                <w:sz w:val="20"/>
                <w:szCs w:val="20"/>
              </w:rPr>
              <w:t>–</w:t>
            </w:r>
            <w:r w:rsidRPr="00027D1A">
              <w:rPr>
                <w:rFonts w:ascii="Verdana" w:hAnsi="Verdana"/>
                <w:sz w:val="20"/>
                <w:szCs w:val="20"/>
              </w:rPr>
              <w:t xml:space="preserve"> VETCEE (Продължаващо ветеринарно обучение в Европа </w:t>
            </w:r>
            <w:r>
              <w:rPr>
                <w:rFonts w:ascii="Verdana" w:hAnsi="Verdana"/>
                <w:sz w:val="20"/>
                <w:szCs w:val="20"/>
              </w:rPr>
              <w:t>–</w:t>
            </w:r>
            <w:r w:rsidRPr="00027D1A">
              <w:rPr>
                <w:rFonts w:ascii="Verdana" w:hAnsi="Verdana"/>
                <w:sz w:val="20"/>
                <w:szCs w:val="20"/>
              </w:rPr>
              <w:t xml:space="preserve"> ПВОЕ) като един от основателите й е FVE (Федерация на </w:t>
            </w:r>
            <w:r w:rsidRPr="00027D1A">
              <w:rPr>
                <w:rFonts w:ascii="Verdana" w:hAnsi="Verdana"/>
                <w:sz w:val="20"/>
                <w:szCs w:val="20"/>
              </w:rPr>
              <w:lastRenderedPageBreak/>
              <w:t>ветеринарните лекари в Европа), чийто член е и БВС.</w:t>
            </w:r>
          </w:p>
          <w:p w:rsidR="007137D4" w:rsidRPr="00027D1A" w:rsidRDefault="007137D4" w:rsidP="008C4229">
            <w:pPr>
              <w:spacing w:before="80" w:after="120"/>
              <w:jc w:val="both"/>
              <w:rPr>
                <w:rFonts w:ascii="Verdana" w:hAnsi="Verdana"/>
                <w:sz w:val="20"/>
                <w:szCs w:val="20"/>
              </w:rPr>
            </w:pPr>
            <w:r w:rsidRPr="00027D1A">
              <w:rPr>
                <w:rFonts w:ascii="Verdana" w:hAnsi="Verdana"/>
                <w:sz w:val="20"/>
                <w:szCs w:val="20"/>
              </w:rPr>
              <w:t>Директива 2013/55ЕС чл. 3, §</w:t>
            </w:r>
            <w:r>
              <w:rPr>
                <w:rFonts w:ascii="Verdana" w:hAnsi="Verdana"/>
                <w:sz w:val="20"/>
                <w:szCs w:val="20"/>
              </w:rPr>
              <w:t xml:space="preserve"> </w:t>
            </w:r>
            <w:r w:rsidRPr="00027D1A">
              <w:rPr>
                <w:rFonts w:ascii="Verdana" w:hAnsi="Verdana"/>
                <w:sz w:val="20"/>
                <w:szCs w:val="20"/>
              </w:rPr>
              <w:t xml:space="preserve">1, определя понятието „учене през целия живот </w:t>
            </w:r>
            <w:r>
              <w:rPr>
                <w:rFonts w:ascii="Verdana" w:hAnsi="Verdana"/>
                <w:sz w:val="20"/>
                <w:szCs w:val="20"/>
              </w:rPr>
              <w:t>–</w:t>
            </w:r>
            <w:r w:rsidRPr="00027D1A">
              <w:rPr>
                <w:rFonts w:ascii="Verdana" w:hAnsi="Verdana"/>
                <w:sz w:val="20"/>
                <w:szCs w:val="20"/>
              </w:rPr>
              <w:t xml:space="preserve"> общо образование, професионално образование и обучение, неформално образование и самостоятелно учене през целия живот, което води до повишаване на знанията, уменията и компетентностите, като може да включва професионална етика”.</w:t>
            </w:r>
          </w:p>
          <w:p w:rsidR="007137D4" w:rsidRPr="00027D1A" w:rsidRDefault="007137D4" w:rsidP="008C4229">
            <w:pPr>
              <w:spacing w:before="80" w:after="120"/>
              <w:jc w:val="both"/>
              <w:rPr>
                <w:rFonts w:ascii="Verdana" w:hAnsi="Verdana"/>
                <w:sz w:val="20"/>
                <w:szCs w:val="20"/>
              </w:rPr>
            </w:pPr>
            <w:r w:rsidRPr="00027D1A">
              <w:rPr>
                <w:rFonts w:ascii="Verdana" w:hAnsi="Verdana"/>
                <w:sz w:val="20"/>
                <w:szCs w:val="20"/>
              </w:rPr>
              <w:t>Европейската квалификационна рамка е основополагащ документ за регламентирането на ученето през целия живот.</w:t>
            </w:r>
          </w:p>
          <w:p w:rsidR="007137D4" w:rsidRPr="00C75BD9" w:rsidRDefault="007137D4" w:rsidP="008C4229">
            <w:pPr>
              <w:spacing w:before="80" w:after="120"/>
              <w:jc w:val="both"/>
              <w:rPr>
                <w:rFonts w:ascii="Verdana" w:hAnsi="Verdana"/>
                <w:sz w:val="20"/>
                <w:szCs w:val="20"/>
              </w:rPr>
            </w:pPr>
            <w:r w:rsidRPr="00027D1A">
              <w:rPr>
                <w:rFonts w:ascii="Verdana" w:hAnsi="Verdana"/>
                <w:sz w:val="20"/>
                <w:szCs w:val="20"/>
              </w:rPr>
              <w:t xml:space="preserve">С цел взаимно признаване на образованието между страните членки се използва Европейската система за трансфер и натрупване на кредити (ECTS). ECTS е тясно свързана с модернизирането на висшето образование в Европа. По-конкретно, тя е основен инструмент в рамките на Болонския процес, който има за цел да се повиши съвместимостта между националните системи. Участващите институции публикуват в интернет своите каталози с курсове, включително подробни описания на учебните програми, модулите, университетските разпоредби и услугите, предлагани на студентите и обучаващите се лекари. Описанията на курсовете включват резултатите от обучението (т.е. какво се очаква да знаят, да разбират и да могат да правят обучаващите се) и натовареност (т.е. времето, което обикновено е необходимо за постигане на тези резултати). Всички резултати от обучението се изразяват под формата на кредити, а 1 кредит обикновено съответства на 25 </w:t>
            </w:r>
            <w:r>
              <w:rPr>
                <w:rFonts w:ascii="Verdana" w:hAnsi="Verdana"/>
                <w:sz w:val="20"/>
                <w:szCs w:val="20"/>
              </w:rPr>
              <w:t>–</w:t>
            </w:r>
            <w:r w:rsidRPr="00027D1A">
              <w:rPr>
                <w:rFonts w:ascii="Verdana" w:hAnsi="Verdana"/>
                <w:sz w:val="20"/>
                <w:szCs w:val="20"/>
              </w:rPr>
              <w:t xml:space="preserve"> 30 часа работа. Българският ветеринарен съюз е отговорил на тези европейски тенденции въвеждайки, чрез промени в своя Устав, съответен орган към Националния съвет на </w:t>
            </w:r>
            <w:r w:rsidRPr="00027D1A">
              <w:rPr>
                <w:rFonts w:ascii="Verdana" w:hAnsi="Verdana"/>
                <w:sz w:val="20"/>
                <w:szCs w:val="20"/>
              </w:rPr>
              <w:lastRenderedPageBreak/>
              <w:t xml:space="preserve">БВС </w:t>
            </w:r>
            <w:r>
              <w:rPr>
                <w:rFonts w:ascii="Verdana" w:hAnsi="Verdana"/>
                <w:sz w:val="20"/>
                <w:szCs w:val="20"/>
              </w:rPr>
              <w:t>–</w:t>
            </w:r>
            <w:r w:rsidRPr="00027D1A">
              <w:rPr>
                <w:rFonts w:ascii="Verdana" w:hAnsi="Verdana"/>
                <w:sz w:val="20"/>
                <w:szCs w:val="20"/>
              </w:rPr>
              <w:t xml:space="preserve"> Акредитационен съвет, който е със статут на ръководен орган в системата на продължаващо ветеринарномедицинско обучение. По този начин ветеринарните лекари (българи и чужденци), присъстващи на обучителни мероприятия, акредитирани от Акредитационния съвет на БВС, получават съответните сертификати, гарантиращи им участие в Европейската система за трансфер и натрупване на кредити. БВС, като съсловна организация, отговори на съвременните европейски и световни изисквания, свързани с продължаващото обучение, за това ние настояваме тази Наредба, като съдържание, да не излиза извън конкретността, за която отговаря.</w:t>
            </w:r>
          </w:p>
        </w:tc>
        <w:tc>
          <w:tcPr>
            <w:tcW w:w="1840" w:type="dxa"/>
            <w:tcBorders>
              <w:top w:val="single" w:sz="12" w:space="0" w:color="2E74B5"/>
              <w:bottom w:val="single" w:sz="12" w:space="0" w:color="2E74B5"/>
            </w:tcBorders>
            <w:shd w:val="clear" w:color="auto" w:fill="auto"/>
          </w:tcPr>
          <w:p w:rsidR="007137D4" w:rsidRPr="00910746" w:rsidRDefault="007137D4" w:rsidP="00AE0874">
            <w:pPr>
              <w:spacing w:before="80" w:after="120"/>
              <w:rPr>
                <w:rFonts w:ascii="Verdana" w:hAnsi="Verdana"/>
                <w:color w:val="FF0000"/>
                <w:sz w:val="20"/>
                <w:szCs w:val="20"/>
              </w:rPr>
            </w:pPr>
            <w:r w:rsidRPr="00266E83">
              <w:rPr>
                <w:rFonts w:ascii="Verdana" w:hAnsi="Verdana"/>
                <w:sz w:val="20"/>
                <w:szCs w:val="20"/>
              </w:rPr>
              <w:lastRenderedPageBreak/>
              <w:t>Приема се по принцип</w:t>
            </w:r>
          </w:p>
        </w:tc>
        <w:tc>
          <w:tcPr>
            <w:tcW w:w="4538" w:type="dxa"/>
            <w:tcBorders>
              <w:top w:val="single" w:sz="12" w:space="0" w:color="2E74B5"/>
              <w:bottom w:val="single" w:sz="12" w:space="0" w:color="2E74B5"/>
            </w:tcBorders>
            <w:shd w:val="clear" w:color="auto" w:fill="auto"/>
          </w:tcPr>
          <w:p w:rsidR="007137D4" w:rsidRPr="009A0BE2" w:rsidRDefault="007137D4" w:rsidP="009A0BE2">
            <w:pPr>
              <w:spacing w:before="80" w:after="120"/>
              <w:jc w:val="both"/>
              <w:rPr>
                <w:rFonts w:ascii="Verdana" w:hAnsi="Verdana"/>
                <w:sz w:val="20"/>
                <w:szCs w:val="20"/>
              </w:rPr>
            </w:pPr>
            <w:r>
              <w:rPr>
                <w:rFonts w:ascii="Verdana" w:hAnsi="Verdana"/>
                <w:sz w:val="20"/>
                <w:szCs w:val="20"/>
              </w:rPr>
              <w:t>С</w:t>
            </w:r>
            <w:r w:rsidRPr="009A0BE2">
              <w:rPr>
                <w:rFonts w:ascii="Verdana" w:hAnsi="Verdana"/>
                <w:sz w:val="20"/>
                <w:szCs w:val="20"/>
              </w:rPr>
              <w:t xml:space="preserve"> оглед по-голяма яснота относно огра-ничения обхват на наредбата по отно-шение на обученията в сферата на ве-теринарната медицина, </w:t>
            </w:r>
            <w:r>
              <w:rPr>
                <w:rFonts w:ascii="Verdana" w:hAnsi="Verdana"/>
                <w:sz w:val="20"/>
                <w:szCs w:val="20"/>
              </w:rPr>
              <w:t>предложението  относно изк</w:t>
            </w:r>
            <w:r w:rsidRPr="009A0BE2">
              <w:rPr>
                <w:rFonts w:ascii="Verdana" w:hAnsi="Verdana"/>
                <w:sz w:val="20"/>
                <w:szCs w:val="20"/>
              </w:rPr>
              <w:t>лючени</w:t>
            </w:r>
            <w:r>
              <w:rPr>
                <w:rFonts w:ascii="Verdana" w:hAnsi="Verdana"/>
                <w:sz w:val="20"/>
                <w:szCs w:val="20"/>
              </w:rPr>
              <w:t>ята от обхвата на наредбата е добавено ка</w:t>
            </w:r>
            <w:r w:rsidRPr="009A0BE2">
              <w:rPr>
                <w:rFonts w:ascii="Verdana" w:hAnsi="Verdana"/>
                <w:sz w:val="20"/>
                <w:szCs w:val="20"/>
              </w:rPr>
              <w:t>то нова ал. 3 на чл. 1, както следва:</w:t>
            </w:r>
          </w:p>
          <w:p w:rsidR="007137D4" w:rsidRDefault="007137D4" w:rsidP="009A0BE2">
            <w:pPr>
              <w:spacing w:before="80" w:after="120"/>
              <w:jc w:val="both"/>
              <w:rPr>
                <w:rFonts w:ascii="Verdana" w:hAnsi="Verdana"/>
                <w:sz w:val="20"/>
                <w:szCs w:val="20"/>
              </w:rPr>
            </w:pPr>
            <w:r w:rsidRPr="009A0BE2">
              <w:rPr>
                <w:rFonts w:ascii="Verdana" w:hAnsi="Verdana"/>
                <w:sz w:val="20"/>
                <w:szCs w:val="20"/>
              </w:rPr>
              <w:t>(3) Наредбата не се прилага за обуче-нията, касаещи упражняването на ве-теринарномедицинска професия с цел лечебна дейност и ветеринарномеди-цинската практика по съответните кли-нични направления на ветеринарната медицина.</w:t>
            </w:r>
          </w:p>
          <w:p w:rsidR="007137D4" w:rsidRDefault="007137D4" w:rsidP="009A0BE2">
            <w:pPr>
              <w:spacing w:before="80" w:after="120"/>
              <w:jc w:val="both"/>
              <w:rPr>
                <w:rFonts w:ascii="Verdana" w:hAnsi="Verdana"/>
                <w:sz w:val="20"/>
                <w:szCs w:val="20"/>
              </w:rPr>
            </w:pPr>
            <w:r w:rsidRPr="00BA295A">
              <w:rPr>
                <w:rFonts w:ascii="Verdana" w:hAnsi="Verdana"/>
                <w:sz w:val="20"/>
                <w:szCs w:val="20"/>
              </w:rPr>
              <w:t>Тези обучения, както и досега се уреждат</w:t>
            </w:r>
            <w:r>
              <w:rPr>
                <w:rFonts w:ascii="Verdana" w:hAnsi="Verdana"/>
                <w:sz w:val="20"/>
                <w:szCs w:val="20"/>
              </w:rPr>
              <w:t xml:space="preserve"> само</w:t>
            </w:r>
            <w:r w:rsidRPr="00BA295A">
              <w:rPr>
                <w:rFonts w:ascii="Verdana" w:hAnsi="Verdana"/>
                <w:sz w:val="20"/>
                <w:szCs w:val="20"/>
              </w:rPr>
              <w:t xml:space="preserve"> в съответствие със Закона </w:t>
            </w:r>
            <w:r w:rsidRPr="00BA295A">
              <w:rPr>
                <w:rFonts w:ascii="Verdana" w:hAnsi="Verdana"/>
                <w:sz w:val="20"/>
                <w:szCs w:val="20"/>
              </w:rPr>
              <w:lastRenderedPageBreak/>
              <w:t>за висшето образование</w:t>
            </w:r>
            <w:r>
              <w:rPr>
                <w:rFonts w:ascii="Verdana" w:hAnsi="Verdana"/>
                <w:sz w:val="20"/>
                <w:szCs w:val="20"/>
              </w:rPr>
              <w:t xml:space="preserve">, </w:t>
            </w:r>
            <w:r w:rsidRPr="00BA295A">
              <w:rPr>
                <w:rFonts w:ascii="Verdana" w:hAnsi="Verdana"/>
                <w:sz w:val="20"/>
                <w:szCs w:val="20"/>
              </w:rPr>
              <w:t>Закона за професионалното образование и обучение</w:t>
            </w:r>
            <w:r>
              <w:rPr>
                <w:rFonts w:ascii="Verdana" w:hAnsi="Verdana"/>
                <w:sz w:val="20"/>
                <w:szCs w:val="20"/>
              </w:rPr>
              <w:t>,</w:t>
            </w:r>
            <w:r w:rsidRPr="00BA295A">
              <w:rPr>
                <w:rFonts w:ascii="Verdana" w:hAnsi="Verdana"/>
                <w:sz w:val="20"/>
                <w:szCs w:val="20"/>
              </w:rPr>
              <w:t xml:space="preserve"> съответните подзаконови нормативни актове</w:t>
            </w:r>
            <w:r>
              <w:rPr>
                <w:rFonts w:ascii="Verdana" w:hAnsi="Verdana"/>
                <w:sz w:val="20"/>
                <w:szCs w:val="20"/>
              </w:rPr>
              <w:t xml:space="preserve"> и други нормативни и стратегически документи, които съответно са </w:t>
            </w:r>
            <w:r w:rsidRPr="00BA295A">
              <w:rPr>
                <w:rFonts w:ascii="Verdana" w:hAnsi="Verdana"/>
                <w:sz w:val="20"/>
                <w:szCs w:val="20"/>
              </w:rPr>
              <w:t>в компетентностите на Министерство на образованието и науката.</w:t>
            </w:r>
          </w:p>
          <w:p w:rsidR="007137D4" w:rsidRDefault="007137D4" w:rsidP="009A0BE2">
            <w:pPr>
              <w:spacing w:before="80" w:after="120"/>
              <w:jc w:val="both"/>
              <w:rPr>
                <w:rFonts w:ascii="Verdana" w:hAnsi="Verdana"/>
                <w:sz w:val="20"/>
                <w:szCs w:val="20"/>
              </w:rPr>
            </w:pPr>
            <w:r w:rsidRPr="009A0BE2">
              <w:rPr>
                <w:rFonts w:ascii="Verdana" w:hAnsi="Verdana"/>
                <w:sz w:val="20"/>
                <w:szCs w:val="20"/>
              </w:rPr>
              <w:t>Наредба</w:t>
            </w:r>
            <w:r>
              <w:rPr>
                <w:rFonts w:ascii="Verdana" w:hAnsi="Verdana"/>
                <w:sz w:val="20"/>
                <w:szCs w:val="20"/>
              </w:rPr>
              <w:t>та</w:t>
            </w:r>
            <w:r w:rsidRPr="009A0BE2">
              <w:rPr>
                <w:rFonts w:ascii="Verdana" w:hAnsi="Verdana"/>
                <w:sz w:val="20"/>
                <w:szCs w:val="20"/>
              </w:rPr>
              <w:t>, като съдържание</w:t>
            </w:r>
            <w:r>
              <w:rPr>
                <w:rFonts w:ascii="Verdana" w:hAnsi="Verdana"/>
                <w:sz w:val="20"/>
                <w:szCs w:val="20"/>
              </w:rPr>
              <w:t>, не излиза извън конкрет</w:t>
            </w:r>
            <w:r w:rsidRPr="009A0BE2">
              <w:rPr>
                <w:rFonts w:ascii="Verdana" w:hAnsi="Verdana"/>
                <w:sz w:val="20"/>
                <w:szCs w:val="20"/>
              </w:rPr>
              <w:t>ността, за която отговаря</w:t>
            </w:r>
            <w:r>
              <w:rPr>
                <w:rFonts w:ascii="Verdana" w:hAnsi="Verdana"/>
                <w:sz w:val="20"/>
                <w:szCs w:val="20"/>
              </w:rPr>
              <w:t xml:space="preserve">, тъй като обхватът </w:t>
            </w:r>
            <w:r w:rsidRPr="009A0BE2">
              <w:rPr>
                <w:rFonts w:ascii="Verdana" w:hAnsi="Verdana"/>
                <w:sz w:val="20"/>
                <w:szCs w:val="20"/>
              </w:rPr>
              <w:t>на наредбата е определен в съответствие с чл. 19, ал. 1, т. 1, 2 и 3 от ЗВД, съответно в чл. 1, ал. 1, т.1, 2 и 3 от Наредбата</w:t>
            </w:r>
            <w:r>
              <w:rPr>
                <w:rFonts w:ascii="Verdana" w:hAnsi="Verdana"/>
                <w:sz w:val="20"/>
                <w:szCs w:val="20"/>
              </w:rPr>
              <w:t>.</w:t>
            </w:r>
          </w:p>
          <w:p w:rsidR="007137D4" w:rsidRDefault="007137D4" w:rsidP="00D12DC2">
            <w:pPr>
              <w:spacing w:before="80" w:after="120"/>
              <w:jc w:val="both"/>
              <w:rPr>
                <w:rFonts w:ascii="Verdana" w:hAnsi="Verdana"/>
                <w:sz w:val="20"/>
                <w:szCs w:val="20"/>
              </w:rPr>
            </w:pPr>
            <w:r>
              <w:rPr>
                <w:rFonts w:ascii="Verdana" w:hAnsi="Verdana"/>
                <w:sz w:val="20"/>
                <w:szCs w:val="20"/>
              </w:rPr>
              <w:t xml:space="preserve">Следва да се има предвид, че в съответствие с чл. </w:t>
            </w:r>
            <w:r w:rsidRPr="009A0BE2">
              <w:rPr>
                <w:rFonts w:ascii="Verdana" w:hAnsi="Verdana"/>
                <w:sz w:val="20"/>
                <w:szCs w:val="20"/>
              </w:rPr>
              <w:t xml:space="preserve">5, параграф 4 от Регламент (EС) 2017/625 </w:t>
            </w:r>
            <w:r>
              <w:rPr>
                <w:rFonts w:ascii="Verdana" w:hAnsi="Verdana"/>
                <w:sz w:val="20"/>
                <w:szCs w:val="20"/>
              </w:rPr>
              <w:t>и</w:t>
            </w:r>
            <w:r w:rsidRPr="009A0BE2">
              <w:rPr>
                <w:rFonts w:ascii="Verdana" w:hAnsi="Verdana"/>
                <w:sz w:val="20"/>
                <w:szCs w:val="20"/>
              </w:rPr>
              <w:t>зискването за обучение, квалификация и опит съответно се прилага и спрямо служителите на органи с делегирани правомощия или физически лица, на които се делегира изпълнението на дейности, свързани с официалния контрол и на други официални дейности при спазване на разпоредбите на чл. 28-33 от Регламент (EС) 2017/625, което съответно налага да се предвиди ред за обучение и на лица извън системата на БАБХ за прилагане на изискванията по ЗВД.</w:t>
            </w:r>
            <w:r>
              <w:rPr>
                <w:rFonts w:ascii="Verdana" w:hAnsi="Verdana"/>
                <w:sz w:val="20"/>
                <w:szCs w:val="20"/>
              </w:rPr>
              <w:t xml:space="preserve"> Този въпрос е уреден в Раздел </w:t>
            </w:r>
            <w:r>
              <w:rPr>
                <w:rFonts w:ascii="Verdana" w:hAnsi="Verdana"/>
                <w:sz w:val="20"/>
                <w:szCs w:val="20"/>
                <w:lang w:val="en-US"/>
              </w:rPr>
              <w:t>II</w:t>
            </w:r>
            <w:r>
              <w:rPr>
                <w:rFonts w:ascii="Verdana" w:hAnsi="Verdana"/>
                <w:sz w:val="20"/>
                <w:szCs w:val="20"/>
              </w:rPr>
              <w:t xml:space="preserve"> на Глава трета от Наредбата, като в съответствие с чл. 15, ал. 1 о</w:t>
            </w:r>
            <w:r w:rsidRPr="00D12DC2">
              <w:rPr>
                <w:rFonts w:ascii="Verdana" w:hAnsi="Verdana"/>
                <w:sz w:val="20"/>
                <w:szCs w:val="20"/>
              </w:rPr>
              <w:t xml:space="preserve">рганите с делегирани правомощия и физическите </w:t>
            </w:r>
            <w:r w:rsidRPr="00D12DC2">
              <w:rPr>
                <w:rFonts w:ascii="Verdana" w:hAnsi="Verdana"/>
                <w:sz w:val="20"/>
                <w:szCs w:val="20"/>
              </w:rPr>
              <w:lastRenderedPageBreak/>
              <w:t xml:space="preserve">лица, на които БАБХ е делегирала официален контрол и други официални дейности по прилагане изискванията на ЗВД в съответствие с чл. 8, ал. 1 от </w:t>
            </w:r>
            <w:r>
              <w:rPr>
                <w:rFonts w:ascii="Verdana" w:hAnsi="Verdana"/>
                <w:sz w:val="20"/>
                <w:szCs w:val="20"/>
              </w:rPr>
              <w:t>Закона за управление на агрохранителната верига,</w:t>
            </w:r>
            <w:r w:rsidRPr="00D12DC2">
              <w:rPr>
                <w:rFonts w:ascii="Verdana" w:hAnsi="Verdana"/>
                <w:sz w:val="20"/>
                <w:szCs w:val="20"/>
              </w:rPr>
              <w:t xml:space="preserve"> притежават необходимата компетентност и са обучени в съответствие с чл. 5, параграф 4 от Регламент (EС) 2017/625.</w:t>
            </w:r>
            <w:r>
              <w:rPr>
                <w:rFonts w:ascii="Verdana" w:hAnsi="Verdana"/>
                <w:sz w:val="20"/>
                <w:szCs w:val="20"/>
              </w:rPr>
              <w:t xml:space="preserve"> В съответствие с ал. 2 о</w:t>
            </w:r>
            <w:r w:rsidRPr="00D12DC2">
              <w:rPr>
                <w:rFonts w:ascii="Verdana" w:hAnsi="Verdana"/>
                <w:sz w:val="20"/>
                <w:szCs w:val="20"/>
              </w:rPr>
              <w:t>сигуряването на необходимата компетентност и подходящо обучение е задължение на органите с делегирани правомощия и съответните физически лица, а БАБХ контролира изпълнението на изискването в рамките на провежданите одити и инспекции в съответствие с чл. 33, буква а) и чл. 39, параграф 1 от Регламент (EС) 2017/625.</w:t>
            </w:r>
            <w:r>
              <w:rPr>
                <w:rFonts w:ascii="Verdana" w:hAnsi="Verdana"/>
                <w:sz w:val="20"/>
                <w:szCs w:val="20"/>
              </w:rPr>
              <w:t xml:space="preserve"> </w:t>
            </w:r>
            <w:r w:rsidRPr="00D12DC2">
              <w:rPr>
                <w:rFonts w:ascii="Verdana" w:hAnsi="Verdana"/>
                <w:sz w:val="20"/>
                <w:szCs w:val="20"/>
              </w:rPr>
              <w:t>При контрола по ал. 2 се проверява наличието на документ, удостоверяващ преминатото обучение и се проверява и оценява наличието на компетентност при извършване на делегираните дейности.</w:t>
            </w:r>
          </w:p>
          <w:p w:rsidR="007137D4" w:rsidRPr="00D12DC2" w:rsidRDefault="007137D4" w:rsidP="00EE679E">
            <w:pPr>
              <w:spacing w:before="80" w:after="120"/>
              <w:jc w:val="both"/>
              <w:rPr>
                <w:rFonts w:ascii="Verdana" w:hAnsi="Verdana"/>
                <w:sz w:val="20"/>
                <w:szCs w:val="20"/>
              </w:rPr>
            </w:pPr>
            <w:r>
              <w:rPr>
                <w:rFonts w:ascii="Verdana" w:hAnsi="Verdana"/>
                <w:sz w:val="20"/>
                <w:szCs w:val="20"/>
              </w:rPr>
              <w:t xml:space="preserve">Във връзка с гореизложеното следва да се отбележи, че описаната в настоящето становище система </w:t>
            </w:r>
            <w:r w:rsidRPr="00D12DC2">
              <w:rPr>
                <w:rFonts w:ascii="Verdana" w:hAnsi="Verdana"/>
                <w:sz w:val="20"/>
                <w:szCs w:val="20"/>
              </w:rPr>
              <w:t>на продължаващо ветеринарномедицинско обучение</w:t>
            </w:r>
            <w:r>
              <w:rPr>
                <w:rFonts w:ascii="Verdana" w:hAnsi="Verdana"/>
                <w:sz w:val="20"/>
                <w:szCs w:val="20"/>
              </w:rPr>
              <w:t xml:space="preserve">, изградена от Българския ветеринарен съюз, която </w:t>
            </w:r>
            <w:r w:rsidRPr="00D12DC2">
              <w:rPr>
                <w:rFonts w:ascii="Verdana" w:hAnsi="Verdana"/>
                <w:sz w:val="20"/>
                <w:szCs w:val="20"/>
              </w:rPr>
              <w:t>отгов</w:t>
            </w:r>
            <w:r>
              <w:rPr>
                <w:rFonts w:ascii="Verdana" w:hAnsi="Verdana"/>
                <w:sz w:val="20"/>
                <w:szCs w:val="20"/>
              </w:rPr>
              <w:t>аря</w:t>
            </w:r>
            <w:r w:rsidRPr="00D12DC2">
              <w:rPr>
                <w:rFonts w:ascii="Verdana" w:hAnsi="Verdana"/>
                <w:sz w:val="20"/>
                <w:szCs w:val="20"/>
              </w:rPr>
              <w:t xml:space="preserve"> на съвременнит</w:t>
            </w:r>
            <w:r>
              <w:rPr>
                <w:rFonts w:ascii="Verdana" w:hAnsi="Verdana"/>
                <w:sz w:val="20"/>
                <w:szCs w:val="20"/>
              </w:rPr>
              <w:t xml:space="preserve">е европейски и световни изисквания е важен елемент, който е взет предвид, тъй като дава достатъчни гаранции, че </w:t>
            </w:r>
            <w:r>
              <w:rPr>
                <w:rFonts w:ascii="Verdana" w:hAnsi="Verdana"/>
                <w:sz w:val="20"/>
                <w:szCs w:val="20"/>
              </w:rPr>
              <w:lastRenderedPageBreak/>
              <w:t xml:space="preserve">необходимите </w:t>
            </w:r>
            <w:r w:rsidRPr="00BA2764">
              <w:rPr>
                <w:rFonts w:ascii="Verdana" w:hAnsi="Verdana"/>
                <w:sz w:val="20"/>
                <w:szCs w:val="20"/>
              </w:rPr>
              <w:t>изискван</w:t>
            </w:r>
            <w:r>
              <w:rPr>
                <w:rFonts w:ascii="Verdana" w:hAnsi="Verdana"/>
                <w:sz w:val="20"/>
                <w:szCs w:val="20"/>
              </w:rPr>
              <w:t>ия за обучение, квалифика</w:t>
            </w:r>
            <w:r w:rsidRPr="00BA2764">
              <w:rPr>
                <w:rFonts w:ascii="Verdana" w:hAnsi="Verdana"/>
                <w:sz w:val="20"/>
                <w:szCs w:val="20"/>
              </w:rPr>
              <w:t>ция и опит</w:t>
            </w:r>
            <w:r>
              <w:rPr>
                <w:rFonts w:ascii="Verdana" w:hAnsi="Verdana"/>
                <w:sz w:val="20"/>
                <w:szCs w:val="20"/>
              </w:rPr>
              <w:t xml:space="preserve"> са постигнати, за да бъде делегирано </w:t>
            </w:r>
            <w:r w:rsidRPr="00BA2764">
              <w:rPr>
                <w:rFonts w:ascii="Verdana" w:hAnsi="Verdana"/>
                <w:sz w:val="20"/>
                <w:szCs w:val="20"/>
              </w:rPr>
              <w:t xml:space="preserve">изпълнението на дейности, свързани с официалния контрол и на други официални дейности </w:t>
            </w:r>
            <w:r>
              <w:rPr>
                <w:rFonts w:ascii="Verdana" w:hAnsi="Verdana"/>
                <w:sz w:val="20"/>
                <w:szCs w:val="20"/>
              </w:rPr>
              <w:t>по смисъла на</w:t>
            </w:r>
            <w:r w:rsidRPr="00BA2764">
              <w:rPr>
                <w:rFonts w:ascii="Verdana" w:hAnsi="Verdana"/>
                <w:sz w:val="20"/>
                <w:szCs w:val="20"/>
              </w:rPr>
              <w:t xml:space="preserve"> Регламент (EС) 2017/</w:t>
            </w:r>
            <w:r w:rsidRPr="009823A1">
              <w:rPr>
                <w:rFonts w:ascii="Verdana" w:hAnsi="Verdana"/>
                <w:sz w:val="20"/>
                <w:szCs w:val="20"/>
              </w:rPr>
              <w:t>625 и във времето е доказано, че компетентният орган на България може да разчита на Българския ветеринарен съюз за осигуряване здравеопазването на животните на територията на страната, което е необходимо условие за безопасността по хранителната верига и здравеопазването на човека и опазването на околната среда. В резултат на това БАБХ единствено ще контролира, че е осигурено необходимото обучение за изпълнение</w:t>
            </w:r>
            <w:r>
              <w:rPr>
                <w:rFonts w:ascii="Verdana" w:hAnsi="Verdana"/>
                <w:sz w:val="20"/>
                <w:szCs w:val="20"/>
              </w:rPr>
              <w:t xml:space="preserve"> на мероприятията, свързани с </w:t>
            </w:r>
            <w:r w:rsidRPr="00BA2764">
              <w:rPr>
                <w:rFonts w:ascii="Verdana" w:hAnsi="Verdana"/>
                <w:sz w:val="20"/>
                <w:szCs w:val="20"/>
              </w:rPr>
              <w:t>програмата за профилактика, надзор, контрол и ликвидиране на болести по животните и зоонози</w:t>
            </w:r>
            <w:r>
              <w:rPr>
                <w:rFonts w:ascii="Verdana" w:hAnsi="Verdana"/>
                <w:sz w:val="20"/>
                <w:szCs w:val="20"/>
              </w:rPr>
              <w:t xml:space="preserve">, в съответствие </w:t>
            </w:r>
            <w:r w:rsidRPr="00BA2764">
              <w:rPr>
                <w:rFonts w:ascii="Verdana" w:hAnsi="Verdana"/>
                <w:sz w:val="20"/>
                <w:szCs w:val="20"/>
              </w:rPr>
              <w:t>с чл. 33, буква а) от Регламент (EС) 2017/625</w:t>
            </w:r>
            <w:r>
              <w:rPr>
                <w:rFonts w:ascii="Verdana" w:hAnsi="Verdana"/>
                <w:sz w:val="20"/>
                <w:szCs w:val="20"/>
              </w:rPr>
              <w:t>, като изискването за осъществяване на контрол е изискване на регламента и чл. 9 от Закона за управление на агрохранителната верига, а не се въвежда с настоящата наредба, с която само се определя реда за неговото извършване на национално ниво.</w:t>
            </w:r>
          </w:p>
        </w:tc>
      </w:tr>
    </w:tbl>
    <w:p w:rsidR="003845F9" w:rsidRPr="00665AE8" w:rsidRDefault="003845F9" w:rsidP="004015CE">
      <w:pPr>
        <w:ind w:left="284"/>
        <w:rPr>
          <w:rFonts w:ascii="Verdana" w:hAnsi="Verdana" w:cs="Verdana"/>
          <w:smallCaps/>
          <w:color w:val="FF0000"/>
          <w:sz w:val="18"/>
          <w:szCs w:val="18"/>
        </w:rPr>
      </w:pPr>
      <w:bookmarkStart w:id="0" w:name="_GoBack"/>
      <w:bookmarkEnd w:id="0"/>
    </w:p>
    <w:sectPr w:rsidR="003845F9" w:rsidRPr="00665AE8" w:rsidSect="00930CD9">
      <w:footerReference w:type="even" r:id="rId9"/>
      <w:footerReference w:type="default" r:id="rId10"/>
      <w:pgSz w:w="16838" w:h="11906" w:orient="landscape" w:code="9"/>
      <w:pgMar w:top="1418" w:right="1077" w:bottom="56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8" w:rsidRDefault="00537BA8">
      <w:r>
        <w:separator/>
      </w:r>
    </w:p>
  </w:endnote>
  <w:endnote w:type="continuationSeparator" w:id="0">
    <w:p w:rsidR="00537BA8" w:rsidRDefault="0053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E" w:rsidRDefault="00B21780" w:rsidP="00442824">
    <w:pPr>
      <w:pStyle w:val="Footer"/>
      <w:framePr w:wrap="around" w:vAnchor="text" w:hAnchor="margin" w:xAlign="right" w:y="1"/>
      <w:rPr>
        <w:rStyle w:val="PageNumber"/>
      </w:rPr>
    </w:pPr>
    <w:r>
      <w:rPr>
        <w:rStyle w:val="PageNumber"/>
      </w:rPr>
      <w:fldChar w:fldCharType="begin"/>
    </w:r>
    <w:r w:rsidR="007106FE">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rFonts w:ascii="Verdana" w:hAnsi="Verdana"/>
        <w:noProof/>
        <w:sz w:val="18"/>
        <w:szCs w:val="18"/>
      </w:rPr>
    </w:sdtEndPr>
    <w:sdtContent>
      <w:p w:rsidR="007106FE" w:rsidRPr="007329D4" w:rsidRDefault="00B21780" w:rsidP="00AF12B7">
        <w:pPr>
          <w:pStyle w:val="Footer"/>
          <w:jc w:val="right"/>
          <w:rPr>
            <w:rFonts w:ascii="Verdana" w:hAnsi="Verdana"/>
            <w:sz w:val="18"/>
            <w:szCs w:val="18"/>
          </w:rPr>
        </w:pPr>
        <w:r w:rsidRPr="007329D4">
          <w:rPr>
            <w:rFonts w:ascii="Verdana" w:hAnsi="Verdana"/>
            <w:sz w:val="18"/>
            <w:szCs w:val="18"/>
          </w:rPr>
          <w:fldChar w:fldCharType="begin"/>
        </w:r>
        <w:r w:rsidR="007106FE" w:rsidRPr="007329D4">
          <w:rPr>
            <w:rFonts w:ascii="Verdana" w:hAnsi="Verdana"/>
            <w:sz w:val="18"/>
            <w:szCs w:val="18"/>
          </w:rPr>
          <w:instrText xml:space="preserve"> PAGE   \* MERGEFORMAT </w:instrText>
        </w:r>
        <w:r w:rsidRPr="007329D4">
          <w:rPr>
            <w:rFonts w:ascii="Verdana" w:hAnsi="Verdana"/>
            <w:sz w:val="18"/>
            <w:szCs w:val="18"/>
          </w:rPr>
          <w:fldChar w:fldCharType="separate"/>
        </w:r>
        <w:r w:rsidR="004015CE">
          <w:rPr>
            <w:rFonts w:ascii="Verdana" w:hAnsi="Verdana"/>
            <w:noProof/>
            <w:sz w:val="18"/>
            <w:szCs w:val="18"/>
          </w:rPr>
          <w:t>6</w:t>
        </w:r>
        <w:r w:rsidRPr="007329D4">
          <w:rPr>
            <w:rFonts w:ascii="Verdana" w:hAnsi="Verdana"/>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8" w:rsidRDefault="00537BA8">
      <w:r>
        <w:separator/>
      </w:r>
    </w:p>
  </w:footnote>
  <w:footnote w:type="continuationSeparator" w:id="0">
    <w:p w:rsidR="00537BA8" w:rsidRDefault="00537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77"/>
    <w:multiLevelType w:val="hybridMultilevel"/>
    <w:tmpl w:val="D3CEF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A76C2"/>
    <w:multiLevelType w:val="hybridMultilevel"/>
    <w:tmpl w:val="5A9A53A2"/>
    <w:lvl w:ilvl="0" w:tplc="D87E1762">
      <w:start w:val="3"/>
      <w:numFmt w:val="bullet"/>
      <w:lvlText w:val="-"/>
      <w:lvlJc w:val="left"/>
      <w:pPr>
        <w:ind w:left="543" w:hanging="360"/>
      </w:pPr>
      <w:rPr>
        <w:rFonts w:ascii="Times New Roman" w:eastAsia="Times New Roman" w:hAnsi="Times New Roman" w:cs="Times New Roman" w:hint="default"/>
      </w:rPr>
    </w:lvl>
    <w:lvl w:ilvl="1" w:tplc="04020003" w:tentative="1">
      <w:start w:val="1"/>
      <w:numFmt w:val="bullet"/>
      <w:lvlText w:val="o"/>
      <w:lvlJc w:val="left"/>
      <w:pPr>
        <w:ind w:left="1263" w:hanging="360"/>
      </w:pPr>
      <w:rPr>
        <w:rFonts w:ascii="Courier New" w:hAnsi="Courier New" w:cs="Courier New" w:hint="default"/>
      </w:rPr>
    </w:lvl>
    <w:lvl w:ilvl="2" w:tplc="04020005" w:tentative="1">
      <w:start w:val="1"/>
      <w:numFmt w:val="bullet"/>
      <w:lvlText w:val=""/>
      <w:lvlJc w:val="left"/>
      <w:pPr>
        <w:ind w:left="1983" w:hanging="360"/>
      </w:pPr>
      <w:rPr>
        <w:rFonts w:ascii="Wingdings" w:hAnsi="Wingdings" w:hint="default"/>
      </w:rPr>
    </w:lvl>
    <w:lvl w:ilvl="3" w:tplc="04020001" w:tentative="1">
      <w:start w:val="1"/>
      <w:numFmt w:val="bullet"/>
      <w:lvlText w:val=""/>
      <w:lvlJc w:val="left"/>
      <w:pPr>
        <w:ind w:left="2703" w:hanging="360"/>
      </w:pPr>
      <w:rPr>
        <w:rFonts w:ascii="Symbol" w:hAnsi="Symbol" w:hint="default"/>
      </w:rPr>
    </w:lvl>
    <w:lvl w:ilvl="4" w:tplc="04020003" w:tentative="1">
      <w:start w:val="1"/>
      <w:numFmt w:val="bullet"/>
      <w:lvlText w:val="o"/>
      <w:lvlJc w:val="left"/>
      <w:pPr>
        <w:ind w:left="3423" w:hanging="360"/>
      </w:pPr>
      <w:rPr>
        <w:rFonts w:ascii="Courier New" w:hAnsi="Courier New" w:cs="Courier New" w:hint="default"/>
      </w:rPr>
    </w:lvl>
    <w:lvl w:ilvl="5" w:tplc="04020005" w:tentative="1">
      <w:start w:val="1"/>
      <w:numFmt w:val="bullet"/>
      <w:lvlText w:val=""/>
      <w:lvlJc w:val="left"/>
      <w:pPr>
        <w:ind w:left="4143" w:hanging="360"/>
      </w:pPr>
      <w:rPr>
        <w:rFonts w:ascii="Wingdings" w:hAnsi="Wingdings" w:hint="default"/>
      </w:rPr>
    </w:lvl>
    <w:lvl w:ilvl="6" w:tplc="04020001" w:tentative="1">
      <w:start w:val="1"/>
      <w:numFmt w:val="bullet"/>
      <w:lvlText w:val=""/>
      <w:lvlJc w:val="left"/>
      <w:pPr>
        <w:ind w:left="4863" w:hanging="360"/>
      </w:pPr>
      <w:rPr>
        <w:rFonts w:ascii="Symbol" w:hAnsi="Symbol" w:hint="default"/>
      </w:rPr>
    </w:lvl>
    <w:lvl w:ilvl="7" w:tplc="04020003" w:tentative="1">
      <w:start w:val="1"/>
      <w:numFmt w:val="bullet"/>
      <w:lvlText w:val="o"/>
      <w:lvlJc w:val="left"/>
      <w:pPr>
        <w:ind w:left="5583" w:hanging="360"/>
      </w:pPr>
      <w:rPr>
        <w:rFonts w:ascii="Courier New" w:hAnsi="Courier New" w:cs="Courier New" w:hint="default"/>
      </w:rPr>
    </w:lvl>
    <w:lvl w:ilvl="8" w:tplc="04020005" w:tentative="1">
      <w:start w:val="1"/>
      <w:numFmt w:val="bullet"/>
      <w:lvlText w:val=""/>
      <w:lvlJc w:val="left"/>
      <w:pPr>
        <w:ind w:left="6303" w:hanging="360"/>
      </w:pPr>
      <w:rPr>
        <w:rFonts w:ascii="Wingdings" w:hAnsi="Wingding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66EDC"/>
    <w:multiLevelType w:val="hybridMultilevel"/>
    <w:tmpl w:val="75104A90"/>
    <w:lvl w:ilvl="0" w:tplc="0409000F">
      <w:start w:val="1"/>
      <w:numFmt w:val="decimal"/>
      <w:lvlText w:val="%1."/>
      <w:lvlJc w:val="left"/>
      <w:pPr>
        <w:ind w:left="650" w:hanging="360"/>
      </w:p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3"/>
  </w:num>
  <w:num w:numId="7">
    <w:abstractNumId w:val="7"/>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15D"/>
    <w:rsid w:val="00002A98"/>
    <w:rsid w:val="000037D8"/>
    <w:rsid w:val="000042F6"/>
    <w:rsid w:val="0000470F"/>
    <w:rsid w:val="00004862"/>
    <w:rsid w:val="00005688"/>
    <w:rsid w:val="000101A6"/>
    <w:rsid w:val="000115D5"/>
    <w:rsid w:val="00012CAB"/>
    <w:rsid w:val="00016086"/>
    <w:rsid w:val="0001666D"/>
    <w:rsid w:val="000200AF"/>
    <w:rsid w:val="00022060"/>
    <w:rsid w:val="00024421"/>
    <w:rsid w:val="0002513E"/>
    <w:rsid w:val="000252C0"/>
    <w:rsid w:val="0002544E"/>
    <w:rsid w:val="000257AA"/>
    <w:rsid w:val="00025A23"/>
    <w:rsid w:val="00025DD3"/>
    <w:rsid w:val="000279C9"/>
    <w:rsid w:val="00027D1A"/>
    <w:rsid w:val="00027FC7"/>
    <w:rsid w:val="000303D2"/>
    <w:rsid w:val="00033183"/>
    <w:rsid w:val="00033543"/>
    <w:rsid w:val="00033713"/>
    <w:rsid w:val="000357B4"/>
    <w:rsid w:val="00036515"/>
    <w:rsid w:val="00040AE0"/>
    <w:rsid w:val="000414B6"/>
    <w:rsid w:val="00043D50"/>
    <w:rsid w:val="00044E65"/>
    <w:rsid w:val="0004610E"/>
    <w:rsid w:val="00046AB8"/>
    <w:rsid w:val="00046C3E"/>
    <w:rsid w:val="00051CC2"/>
    <w:rsid w:val="00052350"/>
    <w:rsid w:val="0005435E"/>
    <w:rsid w:val="0005470C"/>
    <w:rsid w:val="00055D5F"/>
    <w:rsid w:val="000572CA"/>
    <w:rsid w:val="00057519"/>
    <w:rsid w:val="0006038C"/>
    <w:rsid w:val="0006091E"/>
    <w:rsid w:val="00062907"/>
    <w:rsid w:val="00062ADE"/>
    <w:rsid w:val="00062F02"/>
    <w:rsid w:val="000632EC"/>
    <w:rsid w:val="00063574"/>
    <w:rsid w:val="00063709"/>
    <w:rsid w:val="00063E4B"/>
    <w:rsid w:val="000673CE"/>
    <w:rsid w:val="00067C92"/>
    <w:rsid w:val="00070496"/>
    <w:rsid w:val="000718C7"/>
    <w:rsid w:val="00075594"/>
    <w:rsid w:val="000757FC"/>
    <w:rsid w:val="00075A97"/>
    <w:rsid w:val="00075FA3"/>
    <w:rsid w:val="000769B1"/>
    <w:rsid w:val="0008079F"/>
    <w:rsid w:val="00081D6F"/>
    <w:rsid w:val="00082171"/>
    <w:rsid w:val="00084700"/>
    <w:rsid w:val="000860A9"/>
    <w:rsid w:val="00086434"/>
    <w:rsid w:val="000902D1"/>
    <w:rsid w:val="00090401"/>
    <w:rsid w:val="000937D4"/>
    <w:rsid w:val="00094AB2"/>
    <w:rsid w:val="000953A8"/>
    <w:rsid w:val="00097783"/>
    <w:rsid w:val="000A1017"/>
    <w:rsid w:val="000A228F"/>
    <w:rsid w:val="000A3E16"/>
    <w:rsid w:val="000B279A"/>
    <w:rsid w:val="000B298E"/>
    <w:rsid w:val="000B2EB1"/>
    <w:rsid w:val="000B3D5F"/>
    <w:rsid w:val="000B6D57"/>
    <w:rsid w:val="000C036A"/>
    <w:rsid w:val="000C1697"/>
    <w:rsid w:val="000C46A7"/>
    <w:rsid w:val="000C5E61"/>
    <w:rsid w:val="000D0414"/>
    <w:rsid w:val="000D1E2E"/>
    <w:rsid w:val="000D3F6C"/>
    <w:rsid w:val="000D4198"/>
    <w:rsid w:val="000E1E07"/>
    <w:rsid w:val="000E3570"/>
    <w:rsid w:val="000E38E0"/>
    <w:rsid w:val="000F02C5"/>
    <w:rsid w:val="000F31C8"/>
    <w:rsid w:val="000F3490"/>
    <w:rsid w:val="000F49D5"/>
    <w:rsid w:val="000F4E61"/>
    <w:rsid w:val="000F73D3"/>
    <w:rsid w:val="001012EC"/>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4B6A"/>
    <w:rsid w:val="001551C4"/>
    <w:rsid w:val="00155CAF"/>
    <w:rsid w:val="0016097E"/>
    <w:rsid w:val="001668E1"/>
    <w:rsid w:val="00167F77"/>
    <w:rsid w:val="00170505"/>
    <w:rsid w:val="00172CCB"/>
    <w:rsid w:val="00175004"/>
    <w:rsid w:val="00177AA6"/>
    <w:rsid w:val="00177CAC"/>
    <w:rsid w:val="00177D2B"/>
    <w:rsid w:val="001808B4"/>
    <w:rsid w:val="001835C5"/>
    <w:rsid w:val="0018509E"/>
    <w:rsid w:val="00191666"/>
    <w:rsid w:val="00192D6A"/>
    <w:rsid w:val="001948B0"/>
    <w:rsid w:val="00195AD0"/>
    <w:rsid w:val="001A02C9"/>
    <w:rsid w:val="001A0680"/>
    <w:rsid w:val="001A1330"/>
    <w:rsid w:val="001A308F"/>
    <w:rsid w:val="001A3975"/>
    <w:rsid w:val="001A3D29"/>
    <w:rsid w:val="001A4B57"/>
    <w:rsid w:val="001A6707"/>
    <w:rsid w:val="001B4CD8"/>
    <w:rsid w:val="001C20E2"/>
    <w:rsid w:val="001C46A7"/>
    <w:rsid w:val="001C6E95"/>
    <w:rsid w:val="001D2756"/>
    <w:rsid w:val="001D362A"/>
    <w:rsid w:val="001D60C5"/>
    <w:rsid w:val="001D6790"/>
    <w:rsid w:val="001E13F5"/>
    <w:rsid w:val="001E174B"/>
    <w:rsid w:val="001E4FE9"/>
    <w:rsid w:val="001E5D12"/>
    <w:rsid w:val="001E64F2"/>
    <w:rsid w:val="001F0567"/>
    <w:rsid w:val="001F1F60"/>
    <w:rsid w:val="001F314D"/>
    <w:rsid w:val="001F6BC2"/>
    <w:rsid w:val="001F718C"/>
    <w:rsid w:val="00200292"/>
    <w:rsid w:val="0020103A"/>
    <w:rsid w:val="00201455"/>
    <w:rsid w:val="0020153E"/>
    <w:rsid w:val="00206678"/>
    <w:rsid w:val="00210233"/>
    <w:rsid w:val="0021035B"/>
    <w:rsid w:val="00212D43"/>
    <w:rsid w:val="00214B75"/>
    <w:rsid w:val="00215178"/>
    <w:rsid w:val="00216F80"/>
    <w:rsid w:val="00221143"/>
    <w:rsid w:val="002217C0"/>
    <w:rsid w:val="00221B68"/>
    <w:rsid w:val="00223331"/>
    <w:rsid w:val="00226561"/>
    <w:rsid w:val="002303FE"/>
    <w:rsid w:val="0023062F"/>
    <w:rsid w:val="00230E0E"/>
    <w:rsid w:val="00231D0F"/>
    <w:rsid w:val="00231DF3"/>
    <w:rsid w:val="00233C04"/>
    <w:rsid w:val="002348DC"/>
    <w:rsid w:val="002369C8"/>
    <w:rsid w:val="002375B3"/>
    <w:rsid w:val="00237A17"/>
    <w:rsid w:val="00241F4C"/>
    <w:rsid w:val="00243442"/>
    <w:rsid w:val="002440AF"/>
    <w:rsid w:val="0024444A"/>
    <w:rsid w:val="00245FCD"/>
    <w:rsid w:val="002472CF"/>
    <w:rsid w:val="002526C8"/>
    <w:rsid w:val="002536A8"/>
    <w:rsid w:val="00253C2D"/>
    <w:rsid w:val="00257983"/>
    <w:rsid w:val="00260F55"/>
    <w:rsid w:val="002632C1"/>
    <w:rsid w:val="00263E76"/>
    <w:rsid w:val="002640E1"/>
    <w:rsid w:val="00266E83"/>
    <w:rsid w:val="0027210E"/>
    <w:rsid w:val="00272EE3"/>
    <w:rsid w:val="00273219"/>
    <w:rsid w:val="00273678"/>
    <w:rsid w:val="00273CAC"/>
    <w:rsid w:val="002804CF"/>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4737"/>
    <w:rsid w:val="002A59D9"/>
    <w:rsid w:val="002A5A11"/>
    <w:rsid w:val="002A5AE6"/>
    <w:rsid w:val="002A67D5"/>
    <w:rsid w:val="002C03AF"/>
    <w:rsid w:val="002C2EEA"/>
    <w:rsid w:val="002C5843"/>
    <w:rsid w:val="002C7F10"/>
    <w:rsid w:val="002D083C"/>
    <w:rsid w:val="002D2176"/>
    <w:rsid w:val="002E537C"/>
    <w:rsid w:val="002E57D4"/>
    <w:rsid w:val="002E594D"/>
    <w:rsid w:val="002E5E3F"/>
    <w:rsid w:val="002E6ADF"/>
    <w:rsid w:val="002E73FF"/>
    <w:rsid w:val="002F0752"/>
    <w:rsid w:val="002F7B2A"/>
    <w:rsid w:val="00300B99"/>
    <w:rsid w:val="00300D63"/>
    <w:rsid w:val="00301242"/>
    <w:rsid w:val="003039A5"/>
    <w:rsid w:val="00306298"/>
    <w:rsid w:val="00312FB3"/>
    <w:rsid w:val="00314B98"/>
    <w:rsid w:val="00314F63"/>
    <w:rsid w:val="003154C2"/>
    <w:rsid w:val="00316618"/>
    <w:rsid w:val="00321BD0"/>
    <w:rsid w:val="0032394D"/>
    <w:rsid w:val="00326B58"/>
    <w:rsid w:val="003302BD"/>
    <w:rsid w:val="003303CC"/>
    <w:rsid w:val="0033087A"/>
    <w:rsid w:val="003336CE"/>
    <w:rsid w:val="00333BD7"/>
    <w:rsid w:val="00335F05"/>
    <w:rsid w:val="00335F13"/>
    <w:rsid w:val="00340212"/>
    <w:rsid w:val="00341EFC"/>
    <w:rsid w:val="00344138"/>
    <w:rsid w:val="00345B9F"/>
    <w:rsid w:val="00346856"/>
    <w:rsid w:val="00351063"/>
    <w:rsid w:val="00356131"/>
    <w:rsid w:val="003628A2"/>
    <w:rsid w:val="003640F0"/>
    <w:rsid w:val="00364798"/>
    <w:rsid w:val="00367DA5"/>
    <w:rsid w:val="003701E0"/>
    <w:rsid w:val="0037191E"/>
    <w:rsid w:val="00371937"/>
    <w:rsid w:val="00372DCB"/>
    <w:rsid w:val="003737F2"/>
    <w:rsid w:val="00377A96"/>
    <w:rsid w:val="00377FE2"/>
    <w:rsid w:val="003845F9"/>
    <w:rsid w:val="00384B8B"/>
    <w:rsid w:val="00387130"/>
    <w:rsid w:val="00387162"/>
    <w:rsid w:val="003903E2"/>
    <w:rsid w:val="00390D8E"/>
    <w:rsid w:val="00391A1C"/>
    <w:rsid w:val="00395655"/>
    <w:rsid w:val="003A060F"/>
    <w:rsid w:val="003A0FF4"/>
    <w:rsid w:val="003A48EE"/>
    <w:rsid w:val="003B4449"/>
    <w:rsid w:val="003C1F1E"/>
    <w:rsid w:val="003C557F"/>
    <w:rsid w:val="003C563D"/>
    <w:rsid w:val="003C5C7B"/>
    <w:rsid w:val="003D2A50"/>
    <w:rsid w:val="003D49CF"/>
    <w:rsid w:val="003D6231"/>
    <w:rsid w:val="003E066A"/>
    <w:rsid w:val="003E361D"/>
    <w:rsid w:val="003F2026"/>
    <w:rsid w:val="003F29BC"/>
    <w:rsid w:val="003F3728"/>
    <w:rsid w:val="003F7612"/>
    <w:rsid w:val="003F7CD4"/>
    <w:rsid w:val="004015CE"/>
    <w:rsid w:val="00401FE2"/>
    <w:rsid w:val="004027A6"/>
    <w:rsid w:val="004040C2"/>
    <w:rsid w:val="0040510D"/>
    <w:rsid w:val="00407815"/>
    <w:rsid w:val="00414F26"/>
    <w:rsid w:val="00415D7B"/>
    <w:rsid w:val="00417315"/>
    <w:rsid w:val="00420A7D"/>
    <w:rsid w:val="00420F8B"/>
    <w:rsid w:val="0042418B"/>
    <w:rsid w:val="0042440B"/>
    <w:rsid w:val="00427DC5"/>
    <w:rsid w:val="00427EF4"/>
    <w:rsid w:val="00430245"/>
    <w:rsid w:val="00430323"/>
    <w:rsid w:val="004361F2"/>
    <w:rsid w:val="00436919"/>
    <w:rsid w:val="004376C2"/>
    <w:rsid w:val="004427B2"/>
    <w:rsid w:val="00442824"/>
    <w:rsid w:val="004444E8"/>
    <w:rsid w:val="004444F4"/>
    <w:rsid w:val="00446EC1"/>
    <w:rsid w:val="00450BCC"/>
    <w:rsid w:val="0045180F"/>
    <w:rsid w:val="00452217"/>
    <w:rsid w:val="00453C28"/>
    <w:rsid w:val="00453E7F"/>
    <w:rsid w:val="00453E85"/>
    <w:rsid w:val="00454A8E"/>
    <w:rsid w:val="00455D0B"/>
    <w:rsid w:val="0046011A"/>
    <w:rsid w:val="0046759A"/>
    <w:rsid w:val="00467C52"/>
    <w:rsid w:val="004705AC"/>
    <w:rsid w:val="0047261C"/>
    <w:rsid w:val="004739BA"/>
    <w:rsid w:val="00482E8A"/>
    <w:rsid w:val="00483378"/>
    <w:rsid w:val="00487E51"/>
    <w:rsid w:val="004942CA"/>
    <w:rsid w:val="00496618"/>
    <w:rsid w:val="004A0A82"/>
    <w:rsid w:val="004A1339"/>
    <w:rsid w:val="004A207E"/>
    <w:rsid w:val="004A20AD"/>
    <w:rsid w:val="004A27CC"/>
    <w:rsid w:val="004A285F"/>
    <w:rsid w:val="004A35FD"/>
    <w:rsid w:val="004A5401"/>
    <w:rsid w:val="004A55AC"/>
    <w:rsid w:val="004A5E2A"/>
    <w:rsid w:val="004A6AE4"/>
    <w:rsid w:val="004A70C4"/>
    <w:rsid w:val="004B290C"/>
    <w:rsid w:val="004B2E13"/>
    <w:rsid w:val="004B4FC8"/>
    <w:rsid w:val="004B5B51"/>
    <w:rsid w:val="004B735F"/>
    <w:rsid w:val="004C01B4"/>
    <w:rsid w:val="004C0606"/>
    <w:rsid w:val="004C0F07"/>
    <w:rsid w:val="004C1080"/>
    <w:rsid w:val="004C2F1C"/>
    <w:rsid w:val="004C420B"/>
    <w:rsid w:val="004C6279"/>
    <w:rsid w:val="004D24E9"/>
    <w:rsid w:val="004D3191"/>
    <w:rsid w:val="004D5FF9"/>
    <w:rsid w:val="004D7FD6"/>
    <w:rsid w:val="004E0260"/>
    <w:rsid w:val="004E16EE"/>
    <w:rsid w:val="004E4897"/>
    <w:rsid w:val="004E6D10"/>
    <w:rsid w:val="004F17EA"/>
    <w:rsid w:val="004F2B1B"/>
    <w:rsid w:val="004F4B94"/>
    <w:rsid w:val="004F70FF"/>
    <w:rsid w:val="004F7953"/>
    <w:rsid w:val="0050084D"/>
    <w:rsid w:val="00501E0F"/>
    <w:rsid w:val="00501E65"/>
    <w:rsid w:val="00506006"/>
    <w:rsid w:val="00506310"/>
    <w:rsid w:val="0050754B"/>
    <w:rsid w:val="00507B53"/>
    <w:rsid w:val="005121ED"/>
    <w:rsid w:val="005128EA"/>
    <w:rsid w:val="00513071"/>
    <w:rsid w:val="005130D6"/>
    <w:rsid w:val="0051428D"/>
    <w:rsid w:val="00514AC6"/>
    <w:rsid w:val="0051624B"/>
    <w:rsid w:val="00517A62"/>
    <w:rsid w:val="00520109"/>
    <w:rsid w:val="00520792"/>
    <w:rsid w:val="00520903"/>
    <w:rsid w:val="005214BD"/>
    <w:rsid w:val="00521850"/>
    <w:rsid w:val="00522818"/>
    <w:rsid w:val="00522F73"/>
    <w:rsid w:val="00524038"/>
    <w:rsid w:val="0052467D"/>
    <w:rsid w:val="00524AA8"/>
    <w:rsid w:val="005260B9"/>
    <w:rsid w:val="00527393"/>
    <w:rsid w:val="0053103C"/>
    <w:rsid w:val="00532E4B"/>
    <w:rsid w:val="00534E66"/>
    <w:rsid w:val="00537BA8"/>
    <w:rsid w:val="00540693"/>
    <w:rsid w:val="00540C53"/>
    <w:rsid w:val="00540EEE"/>
    <w:rsid w:val="00541692"/>
    <w:rsid w:val="005424B9"/>
    <w:rsid w:val="00543E05"/>
    <w:rsid w:val="005462B1"/>
    <w:rsid w:val="00547EEF"/>
    <w:rsid w:val="005525EA"/>
    <w:rsid w:val="005531AA"/>
    <w:rsid w:val="00554B28"/>
    <w:rsid w:val="00554CC1"/>
    <w:rsid w:val="0056044E"/>
    <w:rsid w:val="00563FA3"/>
    <w:rsid w:val="005644C8"/>
    <w:rsid w:val="00564E98"/>
    <w:rsid w:val="00573E06"/>
    <w:rsid w:val="005778C6"/>
    <w:rsid w:val="00577F15"/>
    <w:rsid w:val="00583A7E"/>
    <w:rsid w:val="00586CF4"/>
    <w:rsid w:val="005913D0"/>
    <w:rsid w:val="005953A7"/>
    <w:rsid w:val="00597BAA"/>
    <w:rsid w:val="00597D5D"/>
    <w:rsid w:val="005A1896"/>
    <w:rsid w:val="005A338B"/>
    <w:rsid w:val="005A407D"/>
    <w:rsid w:val="005A4A9A"/>
    <w:rsid w:val="005A5DAE"/>
    <w:rsid w:val="005A6C42"/>
    <w:rsid w:val="005B5C28"/>
    <w:rsid w:val="005C2DFD"/>
    <w:rsid w:val="005C3B27"/>
    <w:rsid w:val="005C42B0"/>
    <w:rsid w:val="005C43C6"/>
    <w:rsid w:val="005C75B3"/>
    <w:rsid w:val="005C7A87"/>
    <w:rsid w:val="005D001E"/>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5F79AF"/>
    <w:rsid w:val="0060094C"/>
    <w:rsid w:val="00600B63"/>
    <w:rsid w:val="00601137"/>
    <w:rsid w:val="006040E1"/>
    <w:rsid w:val="006047CE"/>
    <w:rsid w:val="00604A61"/>
    <w:rsid w:val="00610231"/>
    <w:rsid w:val="00613ECC"/>
    <w:rsid w:val="00616625"/>
    <w:rsid w:val="00617D55"/>
    <w:rsid w:val="00617F06"/>
    <w:rsid w:val="006240D8"/>
    <w:rsid w:val="00626132"/>
    <w:rsid w:val="0063318F"/>
    <w:rsid w:val="00633D08"/>
    <w:rsid w:val="00634DDD"/>
    <w:rsid w:val="006361E3"/>
    <w:rsid w:val="0063730A"/>
    <w:rsid w:val="00641EF4"/>
    <w:rsid w:val="00642470"/>
    <w:rsid w:val="00642D90"/>
    <w:rsid w:val="00645DFC"/>
    <w:rsid w:val="0065019C"/>
    <w:rsid w:val="00656642"/>
    <w:rsid w:val="00662BFF"/>
    <w:rsid w:val="00665AE8"/>
    <w:rsid w:val="00667B16"/>
    <w:rsid w:val="006712A6"/>
    <w:rsid w:val="00671E4E"/>
    <w:rsid w:val="0067456E"/>
    <w:rsid w:val="00675133"/>
    <w:rsid w:val="00677AB0"/>
    <w:rsid w:val="006802C1"/>
    <w:rsid w:val="00685E6E"/>
    <w:rsid w:val="00686496"/>
    <w:rsid w:val="00690FE6"/>
    <w:rsid w:val="00691BD4"/>
    <w:rsid w:val="006940E9"/>
    <w:rsid w:val="00694141"/>
    <w:rsid w:val="006941C8"/>
    <w:rsid w:val="00697863"/>
    <w:rsid w:val="006A0D8A"/>
    <w:rsid w:val="006A36D7"/>
    <w:rsid w:val="006A512F"/>
    <w:rsid w:val="006A70E2"/>
    <w:rsid w:val="006B4070"/>
    <w:rsid w:val="006B5E2B"/>
    <w:rsid w:val="006C1FAA"/>
    <w:rsid w:val="006C605F"/>
    <w:rsid w:val="006C71C0"/>
    <w:rsid w:val="006D1F20"/>
    <w:rsid w:val="006D26AD"/>
    <w:rsid w:val="006D2BDD"/>
    <w:rsid w:val="006D4254"/>
    <w:rsid w:val="006D5F6F"/>
    <w:rsid w:val="006D6C3E"/>
    <w:rsid w:val="006D745F"/>
    <w:rsid w:val="006D7881"/>
    <w:rsid w:val="006D7E56"/>
    <w:rsid w:val="006E23DE"/>
    <w:rsid w:val="006E2D88"/>
    <w:rsid w:val="006E32E7"/>
    <w:rsid w:val="006E3D3C"/>
    <w:rsid w:val="006E46A3"/>
    <w:rsid w:val="006E58C1"/>
    <w:rsid w:val="006E7B3B"/>
    <w:rsid w:val="006F282A"/>
    <w:rsid w:val="006F33DD"/>
    <w:rsid w:val="006F35F8"/>
    <w:rsid w:val="006F4781"/>
    <w:rsid w:val="006F6420"/>
    <w:rsid w:val="006F7692"/>
    <w:rsid w:val="007030A8"/>
    <w:rsid w:val="00704988"/>
    <w:rsid w:val="00707A8E"/>
    <w:rsid w:val="007106FE"/>
    <w:rsid w:val="0071354E"/>
    <w:rsid w:val="007137D4"/>
    <w:rsid w:val="00715FC7"/>
    <w:rsid w:val="007160B3"/>
    <w:rsid w:val="00716B72"/>
    <w:rsid w:val="00717394"/>
    <w:rsid w:val="007201DC"/>
    <w:rsid w:val="00720625"/>
    <w:rsid w:val="0072098B"/>
    <w:rsid w:val="00723D89"/>
    <w:rsid w:val="007261CF"/>
    <w:rsid w:val="00731B88"/>
    <w:rsid w:val="007329D4"/>
    <w:rsid w:val="00732DEB"/>
    <w:rsid w:val="007362EB"/>
    <w:rsid w:val="00736B76"/>
    <w:rsid w:val="00736C03"/>
    <w:rsid w:val="007377F2"/>
    <w:rsid w:val="00737BC4"/>
    <w:rsid w:val="00737D3E"/>
    <w:rsid w:val="007423F8"/>
    <w:rsid w:val="00742F57"/>
    <w:rsid w:val="007431DE"/>
    <w:rsid w:val="00743EFE"/>
    <w:rsid w:val="00745349"/>
    <w:rsid w:val="0074534D"/>
    <w:rsid w:val="00745851"/>
    <w:rsid w:val="00747B9D"/>
    <w:rsid w:val="007511D5"/>
    <w:rsid w:val="007516D1"/>
    <w:rsid w:val="0075213E"/>
    <w:rsid w:val="00753049"/>
    <w:rsid w:val="00756228"/>
    <w:rsid w:val="00756242"/>
    <w:rsid w:val="00756290"/>
    <w:rsid w:val="00756A19"/>
    <w:rsid w:val="0076108C"/>
    <w:rsid w:val="00761B5E"/>
    <w:rsid w:val="0076408A"/>
    <w:rsid w:val="0076716E"/>
    <w:rsid w:val="00773DD9"/>
    <w:rsid w:val="00774BE7"/>
    <w:rsid w:val="00777754"/>
    <w:rsid w:val="00781306"/>
    <w:rsid w:val="00781635"/>
    <w:rsid w:val="007836C8"/>
    <w:rsid w:val="007863C8"/>
    <w:rsid w:val="007934F1"/>
    <w:rsid w:val="00794229"/>
    <w:rsid w:val="00795A1B"/>
    <w:rsid w:val="007970F0"/>
    <w:rsid w:val="007971F3"/>
    <w:rsid w:val="007A4157"/>
    <w:rsid w:val="007B0BE0"/>
    <w:rsid w:val="007B1141"/>
    <w:rsid w:val="007B24F7"/>
    <w:rsid w:val="007B3D33"/>
    <w:rsid w:val="007C393A"/>
    <w:rsid w:val="007C5DF2"/>
    <w:rsid w:val="007C6C8E"/>
    <w:rsid w:val="007D09DC"/>
    <w:rsid w:val="007D4894"/>
    <w:rsid w:val="007D6B06"/>
    <w:rsid w:val="007D76D7"/>
    <w:rsid w:val="007E249E"/>
    <w:rsid w:val="007E5ED7"/>
    <w:rsid w:val="007E6242"/>
    <w:rsid w:val="007E633B"/>
    <w:rsid w:val="007E6AD6"/>
    <w:rsid w:val="007F135A"/>
    <w:rsid w:val="007F229C"/>
    <w:rsid w:val="007F5275"/>
    <w:rsid w:val="007F6783"/>
    <w:rsid w:val="007F7DFC"/>
    <w:rsid w:val="008004AE"/>
    <w:rsid w:val="0080232E"/>
    <w:rsid w:val="00803CA0"/>
    <w:rsid w:val="0080529C"/>
    <w:rsid w:val="00812789"/>
    <w:rsid w:val="00813EBF"/>
    <w:rsid w:val="00817D17"/>
    <w:rsid w:val="00824BA3"/>
    <w:rsid w:val="00826F86"/>
    <w:rsid w:val="00831124"/>
    <w:rsid w:val="00831D3C"/>
    <w:rsid w:val="00831E9A"/>
    <w:rsid w:val="00833124"/>
    <w:rsid w:val="00841854"/>
    <w:rsid w:val="00842C8D"/>
    <w:rsid w:val="0084455A"/>
    <w:rsid w:val="00844CC3"/>
    <w:rsid w:val="008457E2"/>
    <w:rsid w:val="00845BC3"/>
    <w:rsid w:val="00846469"/>
    <w:rsid w:val="008476BF"/>
    <w:rsid w:val="00847CFC"/>
    <w:rsid w:val="008508D5"/>
    <w:rsid w:val="0085319B"/>
    <w:rsid w:val="00853B7B"/>
    <w:rsid w:val="00853C0E"/>
    <w:rsid w:val="00854E7C"/>
    <w:rsid w:val="00855317"/>
    <w:rsid w:val="00855962"/>
    <w:rsid w:val="00856F8A"/>
    <w:rsid w:val="00857187"/>
    <w:rsid w:val="00860FE7"/>
    <w:rsid w:val="00861CE5"/>
    <w:rsid w:val="0086226E"/>
    <w:rsid w:val="00862DF0"/>
    <w:rsid w:val="00864193"/>
    <w:rsid w:val="0086505F"/>
    <w:rsid w:val="00865EE3"/>
    <w:rsid w:val="0086600C"/>
    <w:rsid w:val="00872A86"/>
    <w:rsid w:val="00874481"/>
    <w:rsid w:val="00875D88"/>
    <w:rsid w:val="00881967"/>
    <w:rsid w:val="008840B5"/>
    <w:rsid w:val="0088605D"/>
    <w:rsid w:val="00887913"/>
    <w:rsid w:val="00890675"/>
    <w:rsid w:val="0089123B"/>
    <w:rsid w:val="00891BE7"/>
    <w:rsid w:val="00894526"/>
    <w:rsid w:val="00894946"/>
    <w:rsid w:val="0089506D"/>
    <w:rsid w:val="00895506"/>
    <w:rsid w:val="00897EDF"/>
    <w:rsid w:val="008A00BC"/>
    <w:rsid w:val="008A0B79"/>
    <w:rsid w:val="008A1687"/>
    <w:rsid w:val="008A2346"/>
    <w:rsid w:val="008A2DF5"/>
    <w:rsid w:val="008A3A73"/>
    <w:rsid w:val="008A52D8"/>
    <w:rsid w:val="008A5E27"/>
    <w:rsid w:val="008A721D"/>
    <w:rsid w:val="008B48E6"/>
    <w:rsid w:val="008B4BDA"/>
    <w:rsid w:val="008C01F4"/>
    <w:rsid w:val="008C0503"/>
    <w:rsid w:val="008C4229"/>
    <w:rsid w:val="008C4A55"/>
    <w:rsid w:val="008C5E5E"/>
    <w:rsid w:val="008D022E"/>
    <w:rsid w:val="008D08F5"/>
    <w:rsid w:val="008D0DDB"/>
    <w:rsid w:val="008D2350"/>
    <w:rsid w:val="008D2B13"/>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2191"/>
    <w:rsid w:val="008F35DB"/>
    <w:rsid w:val="008F39D3"/>
    <w:rsid w:val="008F4969"/>
    <w:rsid w:val="008F5129"/>
    <w:rsid w:val="008F6393"/>
    <w:rsid w:val="00902FF9"/>
    <w:rsid w:val="00905EB8"/>
    <w:rsid w:val="00905F3A"/>
    <w:rsid w:val="0090679B"/>
    <w:rsid w:val="009070D9"/>
    <w:rsid w:val="0090782D"/>
    <w:rsid w:val="00910746"/>
    <w:rsid w:val="00912765"/>
    <w:rsid w:val="0091304F"/>
    <w:rsid w:val="0091523F"/>
    <w:rsid w:val="0091558A"/>
    <w:rsid w:val="00915B80"/>
    <w:rsid w:val="00917058"/>
    <w:rsid w:val="00923C45"/>
    <w:rsid w:val="00924F20"/>
    <w:rsid w:val="00924F7D"/>
    <w:rsid w:val="00930CD9"/>
    <w:rsid w:val="00931024"/>
    <w:rsid w:val="009312BE"/>
    <w:rsid w:val="00932D4A"/>
    <w:rsid w:val="00933F4C"/>
    <w:rsid w:val="00934865"/>
    <w:rsid w:val="00935587"/>
    <w:rsid w:val="00936B7F"/>
    <w:rsid w:val="009379D0"/>
    <w:rsid w:val="00940D15"/>
    <w:rsid w:val="009415CD"/>
    <w:rsid w:val="0094334A"/>
    <w:rsid w:val="00943E2F"/>
    <w:rsid w:val="00944454"/>
    <w:rsid w:val="00952D0A"/>
    <w:rsid w:val="00953FD7"/>
    <w:rsid w:val="00954732"/>
    <w:rsid w:val="009551F9"/>
    <w:rsid w:val="00956BD2"/>
    <w:rsid w:val="0096092A"/>
    <w:rsid w:val="00963058"/>
    <w:rsid w:val="00963907"/>
    <w:rsid w:val="00963AE2"/>
    <w:rsid w:val="00963E96"/>
    <w:rsid w:val="00972F4C"/>
    <w:rsid w:val="009754E9"/>
    <w:rsid w:val="00975F5E"/>
    <w:rsid w:val="00977612"/>
    <w:rsid w:val="00981DE6"/>
    <w:rsid w:val="009823A1"/>
    <w:rsid w:val="009827FE"/>
    <w:rsid w:val="00983B09"/>
    <w:rsid w:val="009848EE"/>
    <w:rsid w:val="00990860"/>
    <w:rsid w:val="00990FC4"/>
    <w:rsid w:val="00992009"/>
    <w:rsid w:val="0099513B"/>
    <w:rsid w:val="00996B48"/>
    <w:rsid w:val="009A0BE2"/>
    <w:rsid w:val="009A19C4"/>
    <w:rsid w:val="009A453C"/>
    <w:rsid w:val="009A7C4E"/>
    <w:rsid w:val="009B0239"/>
    <w:rsid w:val="009B1744"/>
    <w:rsid w:val="009B1EE9"/>
    <w:rsid w:val="009B2B15"/>
    <w:rsid w:val="009B3DAC"/>
    <w:rsid w:val="009B568A"/>
    <w:rsid w:val="009C08B5"/>
    <w:rsid w:val="009C4386"/>
    <w:rsid w:val="009C4545"/>
    <w:rsid w:val="009C4DFC"/>
    <w:rsid w:val="009D0944"/>
    <w:rsid w:val="009D5384"/>
    <w:rsid w:val="009D580E"/>
    <w:rsid w:val="009D6D2E"/>
    <w:rsid w:val="009D753B"/>
    <w:rsid w:val="009E0CEB"/>
    <w:rsid w:val="009E44C6"/>
    <w:rsid w:val="009E49A8"/>
    <w:rsid w:val="009E4DF8"/>
    <w:rsid w:val="009E6C5E"/>
    <w:rsid w:val="009E7717"/>
    <w:rsid w:val="009E7FF1"/>
    <w:rsid w:val="009F0800"/>
    <w:rsid w:val="009F23CB"/>
    <w:rsid w:val="009F5722"/>
    <w:rsid w:val="009F7176"/>
    <w:rsid w:val="00A02072"/>
    <w:rsid w:val="00A0334B"/>
    <w:rsid w:val="00A03BC9"/>
    <w:rsid w:val="00A04A98"/>
    <w:rsid w:val="00A0510A"/>
    <w:rsid w:val="00A11521"/>
    <w:rsid w:val="00A11D46"/>
    <w:rsid w:val="00A11FC5"/>
    <w:rsid w:val="00A163D9"/>
    <w:rsid w:val="00A20444"/>
    <w:rsid w:val="00A21BAC"/>
    <w:rsid w:val="00A23041"/>
    <w:rsid w:val="00A23452"/>
    <w:rsid w:val="00A26499"/>
    <w:rsid w:val="00A27017"/>
    <w:rsid w:val="00A27F81"/>
    <w:rsid w:val="00A30636"/>
    <w:rsid w:val="00A30F0D"/>
    <w:rsid w:val="00A31338"/>
    <w:rsid w:val="00A32258"/>
    <w:rsid w:val="00A3356F"/>
    <w:rsid w:val="00A342A5"/>
    <w:rsid w:val="00A3568B"/>
    <w:rsid w:val="00A377AE"/>
    <w:rsid w:val="00A37A4C"/>
    <w:rsid w:val="00A426CE"/>
    <w:rsid w:val="00A428B2"/>
    <w:rsid w:val="00A4509D"/>
    <w:rsid w:val="00A46227"/>
    <w:rsid w:val="00A46303"/>
    <w:rsid w:val="00A50A06"/>
    <w:rsid w:val="00A50CD4"/>
    <w:rsid w:val="00A52FAE"/>
    <w:rsid w:val="00A53909"/>
    <w:rsid w:val="00A55704"/>
    <w:rsid w:val="00A5623C"/>
    <w:rsid w:val="00A57A10"/>
    <w:rsid w:val="00A57F06"/>
    <w:rsid w:val="00A600FC"/>
    <w:rsid w:val="00A606F7"/>
    <w:rsid w:val="00A60884"/>
    <w:rsid w:val="00A610CB"/>
    <w:rsid w:val="00A643D6"/>
    <w:rsid w:val="00A64DC1"/>
    <w:rsid w:val="00A6623B"/>
    <w:rsid w:val="00A7058C"/>
    <w:rsid w:val="00A70B39"/>
    <w:rsid w:val="00A72224"/>
    <w:rsid w:val="00A85016"/>
    <w:rsid w:val="00A85598"/>
    <w:rsid w:val="00A856B0"/>
    <w:rsid w:val="00A8607A"/>
    <w:rsid w:val="00A86D8D"/>
    <w:rsid w:val="00A90530"/>
    <w:rsid w:val="00A917A9"/>
    <w:rsid w:val="00A919EA"/>
    <w:rsid w:val="00A91A2A"/>
    <w:rsid w:val="00A94B87"/>
    <w:rsid w:val="00A9750F"/>
    <w:rsid w:val="00AA599A"/>
    <w:rsid w:val="00AA5E2F"/>
    <w:rsid w:val="00AB2915"/>
    <w:rsid w:val="00AB5812"/>
    <w:rsid w:val="00AB5BFC"/>
    <w:rsid w:val="00AB7845"/>
    <w:rsid w:val="00AC135D"/>
    <w:rsid w:val="00AC2072"/>
    <w:rsid w:val="00AC40DC"/>
    <w:rsid w:val="00AC4ECB"/>
    <w:rsid w:val="00AD21C9"/>
    <w:rsid w:val="00AD3F9D"/>
    <w:rsid w:val="00AD4746"/>
    <w:rsid w:val="00AD5010"/>
    <w:rsid w:val="00AE0874"/>
    <w:rsid w:val="00AE20C4"/>
    <w:rsid w:val="00AE2731"/>
    <w:rsid w:val="00AE3244"/>
    <w:rsid w:val="00AE4BC7"/>
    <w:rsid w:val="00AE4C05"/>
    <w:rsid w:val="00AE564E"/>
    <w:rsid w:val="00AE6725"/>
    <w:rsid w:val="00AE6BE8"/>
    <w:rsid w:val="00AE6FA9"/>
    <w:rsid w:val="00AE7DF6"/>
    <w:rsid w:val="00AE7E34"/>
    <w:rsid w:val="00AF12B7"/>
    <w:rsid w:val="00AF2498"/>
    <w:rsid w:val="00AF4D26"/>
    <w:rsid w:val="00AF7291"/>
    <w:rsid w:val="00AF73A4"/>
    <w:rsid w:val="00B00BAD"/>
    <w:rsid w:val="00B00DA4"/>
    <w:rsid w:val="00B01938"/>
    <w:rsid w:val="00B03860"/>
    <w:rsid w:val="00B045C7"/>
    <w:rsid w:val="00B05A10"/>
    <w:rsid w:val="00B0691A"/>
    <w:rsid w:val="00B11252"/>
    <w:rsid w:val="00B1358E"/>
    <w:rsid w:val="00B145B3"/>
    <w:rsid w:val="00B152AE"/>
    <w:rsid w:val="00B17C41"/>
    <w:rsid w:val="00B17FDB"/>
    <w:rsid w:val="00B21780"/>
    <w:rsid w:val="00B24B51"/>
    <w:rsid w:val="00B31B92"/>
    <w:rsid w:val="00B320D9"/>
    <w:rsid w:val="00B321D4"/>
    <w:rsid w:val="00B330B9"/>
    <w:rsid w:val="00B3495F"/>
    <w:rsid w:val="00B34AF6"/>
    <w:rsid w:val="00B34CBF"/>
    <w:rsid w:val="00B37C7C"/>
    <w:rsid w:val="00B40DAD"/>
    <w:rsid w:val="00B42361"/>
    <w:rsid w:val="00B42491"/>
    <w:rsid w:val="00B429D4"/>
    <w:rsid w:val="00B433E4"/>
    <w:rsid w:val="00B458D2"/>
    <w:rsid w:val="00B4660F"/>
    <w:rsid w:val="00B5191C"/>
    <w:rsid w:val="00B5758A"/>
    <w:rsid w:val="00B6355E"/>
    <w:rsid w:val="00B64471"/>
    <w:rsid w:val="00B65B84"/>
    <w:rsid w:val="00B71C25"/>
    <w:rsid w:val="00B7272A"/>
    <w:rsid w:val="00B73133"/>
    <w:rsid w:val="00B74629"/>
    <w:rsid w:val="00B75F90"/>
    <w:rsid w:val="00B8036D"/>
    <w:rsid w:val="00B82C78"/>
    <w:rsid w:val="00B84A5C"/>
    <w:rsid w:val="00B87124"/>
    <w:rsid w:val="00B876ED"/>
    <w:rsid w:val="00B93313"/>
    <w:rsid w:val="00B93841"/>
    <w:rsid w:val="00B948D2"/>
    <w:rsid w:val="00B95598"/>
    <w:rsid w:val="00B97D40"/>
    <w:rsid w:val="00BA1B31"/>
    <w:rsid w:val="00BA2764"/>
    <w:rsid w:val="00BA295A"/>
    <w:rsid w:val="00BA478A"/>
    <w:rsid w:val="00BA66F5"/>
    <w:rsid w:val="00BA726F"/>
    <w:rsid w:val="00BB605B"/>
    <w:rsid w:val="00BC47FF"/>
    <w:rsid w:val="00BD0327"/>
    <w:rsid w:val="00BD0FA0"/>
    <w:rsid w:val="00BD0FD6"/>
    <w:rsid w:val="00BD2B98"/>
    <w:rsid w:val="00BD6BAC"/>
    <w:rsid w:val="00BD7382"/>
    <w:rsid w:val="00BD7BD3"/>
    <w:rsid w:val="00BD7C56"/>
    <w:rsid w:val="00BE0D0E"/>
    <w:rsid w:val="00BE1037"/>
    <w:rsid w:val="00BE395D"/>
    <w:rsid w:val="00BE482D"/>
    <w:rsid w:val="00BE5BF7"/>
    <w:rsid w:val="00BE5DB7"/>
    <w:rsid w:val="00BE6BFB"/>
    <w:rsid w:val="00BF0159"/>
    <w:rsid w:val="00BF3060"/>
    <w:rsid w:val="00BF5B8B"/>
    <w:rsid w:val="00C03495"/>
    <w:rsid w:val="00C10FB3"/>
    <w:rsid w:val="00C11946"/>
    <w:rsid w:val="00C129C4"/>
    <w:rsid w:val="00C1385A"/>
    <w:rsid w:val="00C15115"/>
    <w:rsid w:val="00C166F3"/>
    <w:rsid w:val="00C20178"/>
    <w:rsid w:val="00C20CDA"/>
    <w:rsid w:val="00C20DC3"/>
    <w:rsid w:val="00C216FA"/>
    <w:rsid w:val="00C222CC"/>
    <w:rsid w:val="00C2421A"/>
    <w:rsid w:val="00C24511"/>
    <w:rsid w:val="00C266A4"/>
    <w:rsid w:val="00C27D33"/>
    <w:rsid w:val="00C31286"/>
    <w:rsid w:val="00C31A5B"/>
    <w:rsid w:val="00C32478"/>
    <w:rsid w:val="00C34C0E"/>
    <w:rsid w:val="00C35EF2"/>
    <w:rsid w:val="00C403B4"/>
    <w:rsid w:val="00C406DE"/>
    <w:rsid w:val="00C411FE"/>
    <w:rsid w:val="00C41B61"/>
    <w:rsid w:val="00C43296"/>
    <w:rsid w:val="00C434F9"/>
    <w:rsid w:val="00C44883"/>
    <w:rsid w:val="00C45CC3"/>
    <w:rsid w:val="00C45CCE"/>
    <w:rsid w:val="00C46170"/>
    <w:rsid w:val="00C467CA"/>
    <w:rsid w:val="00C467D4"/>
    <w:rsid w:val="00C46941"/>
    <w:rsid w:val="00C47381"/>
    <w:rsid w:val="00C5278E"/>
    <w:rsid w:val="00C528AD"/>
    <w:rsid w:val="00C538D8"/>
    <w:rsid w:val="00C550EA"/>
    <w:rsid w:val="00C615C9"/>
    <w:rsid w:val="00C63AA7"/>
    <w:rsid w:val="00C666AF"/>
    <w:rsid w:val="00C718DA"/>
    <w:rsid w:val="00C71D8C"/>
    <w:rsid w:val="00C7273A"/>
    <w:rsid w:val="00C72BBA"/>
    <w:rsid w:val="00C73873"/>
    <w:rsid w:val="00C75BD9"/>
    <w:rsid w:val="00C75FCC"/>
    <w:rsid w:val="00C86431"/>
    <w:rsid w:val="00C91224"/>
    <w:rsid w:val="00C9316D"/>
    <w:rsid w:val="00C9387E"/>
    <w:rsid w:val="00C948FD"/>
    <w:rsid w:val="00C975B4"/>
    <w:rsid w:val="00C97FB9"/>
    <w:rsid w:val="00CA155E"/>
    <w:rsid w:val="00CA2E10"/>
    <w:rsid w:val="00CA3D9D"/>
    <w:rsid w:val="00CA6A60"/>
    <w:rsid w:val="00CA7999"/>
    <w:rsid w:val="00CB4E0C"/>
    <w:rsid w:val="00CB6814"/>
    <w:rsid w:val="00CB7A85"/>
    <w:rsid w:val="00CC0DD8"/>
    <w:rsid w:val="00CC7B28"/>
    <w:rsid w:val="00CD056E"/>
    <w:rsid w:val="00CD1405"/>
    <w:rsid w:val="00CD518F"/>
    <w:rsid w:val="00CD5664"/>
    <w:rsid w:val="00CD6F72"/>
    <w:rsid w:val="00CD7C04"/>
    <w:rsid w:val="00CE1A25"/>
    <w:rsid w:val="00CE2A7F"/>
    <w:rsid w:val="00CE3610"/>
    <w:rsid w:val="00CF00CF"/>
    <w:rsid w:val="00CF24CD"/>
    <w:rsid w:val="00CF5221"/>
    <w:rsid w:val="00CF5822"/>
    <w:rsid w:val="00CF5A9B"/>
    <w:rsid w:val="00CF61A2"/>
    <w:rsid w:val="00CF6672"/>
    <w:rsid w:val="00D03A5F"/>
    <w:rsid w:val="00D07E6A"/>
    <w:rsid w:val="00D11E74"/>
    <w:rsid w:val="00D11FEB"/>
    <w:rsid w:val="00D12DC2"/>
    <w:rsid w:val="00D13AA5"/>
    <w:rsid w:val="00D144A4"/>
    <w:rsid w:val="00D1601D"/>
    <w:rsid w:val="00D22435"/>
    <w:rsid w:val="00D23711"/>
    <w:rsid w:val="00D23ED7"/>
    <w:rsid w:val="00D24A91"/>
    <w:rsid w:val="00D25823"/>
    <w:rsid w:val="00D2649F"/>
    <w:rsid w:val="00D2742F"/>
    <w:rsid w:val="00D34D79"/>
    <w:rsid w:val="00D36CA4"/>
    <w:rsid w:val="00D37896"/>
    <w:rsid w:val="00D41A30"/>
    <w:rsid w:val="00D469E3"/>
    <w:rsid w:val="00D5313C"/>
    <w:rsid w:val="00D532DC"/>
    <w:rsid w:val="00D53C62"/>
    <w:rsid w:val="00D62F5A"/>
    <w:rsid w:val="00D63557"/>
    <w:rsid w:val="00D63E9B"/>
    <w:rsid w:val="00D70ACA"/>
    <w:rsid w:val="00D71C75"/>
    <w:rsid w:val="00D76AAD"/>
    <w:rsid w:val="00D76DCC"/>
    <w:rsid w:val="00D824B2"/>
    <w:rsid w:val="00D82A70"/>
    <w:rsid w:val="00D82B55"/>
    <w:rsid w:val="00D83702"/>
    <w:rsid w:val="00D838C4"/>
    <w:rsid w:val="00D96DF5"/>
    <w:rsid w:val="00DA0F8B"/>
    <w:rsid w:val="00DA4C8E"/>
    <w:rsid w:val="00DB5EFB"/>
    <w:rsid w:val="00DB75E1"/>
    <w:rsid w:val="00DC60E2"/>
    <w:rsid w:val="00DC61A2"/>
    <w:rsid w:val="00DC69CD"/>
    <w:rsid w:val="00DD139E"/>
    <w:rsid w:val="00DD2C2B"/>
    <w:rsid w:val="00DD4DA6"/>
    <w:rsid w:val="00DD4E2C"/>
    <w:rsid w:val="00DD502C"/>
    <w:rsid w:val="00DD7AA4"/>
    <w:rsid w:val="00DE1C7B"/>
    <w:rsid w:val="00DE203C"/>
    <w:rsid w:val="00DE33B8"/>
    <w:rsid w:val="00DE370C"/>
    <w:rsid w:val="00DE46F9"/>
    <w:rsid w:val="00DE48BE"/>
    <w:rsid w:val="00DE5489"/>
    <w:rsid w:val="00DE73BB"/>
    <w:rsid w:val="00DF25A4"/>
    <w:rsid w:val="00DF4AC7"/>
    <w:rsid w:val="00DF50BB"/>
    <w:rsid w:val="00DF568A"/>
    <w:rsid w:val="00DF5EF4"/>
    <w:rsid w:val="00E00230"/>
    <w:rsid w:val="00E00442"/>
    <w:rsid w:val="00E015B8"/>
    <w:rsid w:val="00E02445"/>
    <w:rsid w:val="00E043C4"/>
    <w:rsid w:val="00E047E9"/>
    <w:rsid w:val="00E0521D"/>
    <w:rsid w:val="00E074E3"/>
    <w:rsid w:val="00E123B0"/>
    <w:rsid w:val="00E135B7"/>
    <w:rsid w:val="00E13B7B"/>
    <w:rsid w:val="00E142EC"/>
    <w:rsid w:val="00E158DF"/>
    <w:rsid w:val="00E2203D"/>
    <w:rsid w:val="00E220AD"/>
    <w:rsid w:val="00E222BB"/>
    <w:rsid w:val="00E26258"/>
    <w:rsid w:val="00E27FFC"/>
    <w:rsid w:val="00E3274A"/>
    <w:rsid w:val="00E33457"/>
    <w:rsid w:val="00E33AED"/>
    <w:rsid w:val="00E3454D"/>
    <w:rsid w:val="00E352D8"/>
    <w:rsid w:val="00E36D56"/>
    <w:rsid w:val="00E377AA"/>
    <w:rsid w:val="00E41613"/>
    <w:rsid w:val="00E4166F"/>
    <w:rsid w:val="00E41BB3"/>
    <w:rsid w:val="00E42966"/>
    <w:rsid w:val="00E44A1B"/>
    <w:rsid w:val="00E47E16"/>
    <w:rsid w:val="00E5030D"/>
    <w:rsid w:val="00E5246F"/>
    <w:rsid w:val="00E52B88"/>
    <w:rsid w:val="00E53B43"/>
    <w:rsid w:val="00E54558"/>
    <w:rsid w:val="00E55296"/>
    <w:rsid w:val="00E56265"/>
    <w:rsid w:val="00E61C1E"/>
    <w:rsid w:val="00E61E3D"/>
    <w:rsid w:val="00E61F16"/>
    <w:rsid w:val="00E64889"/>
    <w:rsid w:val="00E65C58"/>
    <w:rsid w:val="00E67755"/>
    <w:rsid w:val="00E67830"/>
    <w:rsid w:val="00E72CDA"/>
    <w:rsid w:val="00E76BD1"/>
    <w:rsid w:val="00E77098"/>
    <w:rsid w:val="00E7735D"/>
    <w:rsid w:val="00E7793E"/>
    <w:rsid w:val="00E7794B"/>
    <w:rsid w:val="00E804F0"/>
    <w:rsid w:val="00E8474D"/>
    <w:rsid w:val="00E87046"/>
    <w:rsid w:val="00E87AAD"/>
    <w:rsid w:val="00E9076C"/>
    <w:rsid w:val="00E932E8"/>
    <w:rsid w:val="00E9569E"/>
    <w:rsid w:val="00E959BD"/>
    <w:rsid w:val="00E96851"/>
    <w:rsid w:val="00EA0351"/>
    <w:rsid w:val="00EA151B"/>
    <w:rsid w:val="00EA28DD"/>
    <w:rsid w:val="00EA2ADC"/>
    <w:rsid w:val="00EA3777"/>
    <w:rsid w:val="00EA6B4F"/>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C77C8"/>
    <w:rsid w:val="00ED14E1"/>
    <w:rsid w:val="00ED343A"/>
    <w:rsid w:val="00ED364A"/>
    <w:rsid w:val="00ED4074"/>
    <w:rsid w:val="00ED7690"/>
    <w:rsid w:val="00EE137A"/>
    <w:rsid w:val="00EE22E1"/>
    <w:rsid w:val="00EE3199"/>
    <w:rsid w:val="00EE34D1"/>
    <w:rsid w:val="00EE679E"/>
    <w:rsid w:val="00EE6EA0"/>
    <w:rsid w:val="00EF17B5"/>
    <w:rsid w:val="00EF21BC"/>
    <w:rsid w:val="00EF22DA"/>
    <w:rsid w:val="00EF3B04"/>
    <w:rsid w:val="00EF431B"/>
    <w:rsid w:val="00EF4920"/>
    <w:rsid w:val="00EF51CE"/>
    <w:rsid w:val="00EF72B0"/>
    <w:rsid w:val="00F00C40"/>
    <w:rsid w:val="00F00CD5"/>
    <w:rsid w:val="00F01245"/>
    <w:rsid w:val="00F03EE5"/>
    <w:rsid w:val="00F04A79"/>
    <w:rsid w:val="00F06310"/>
    <w:rsid w:val="00F07A51"/>
    <w:rsid w:val="00F11D4F"/>
    <w:rsid w:val="00F12F9E"/>
    <w:rsid w:val="00F15297"/>
    <w:rsid w:val="00F15BAF"/>
    <w:rsid w:val="00F23427"/>
    <w:rsid w:val="00F30D37"/>
    <w:rsid w:val="00F37E2C"/>
    <w:rsid w:val="00F426EE"/>
    <w:rsid w:val="00F43176"/>
    <w:rsid w:val="00F4439D"/>
    <w:rsid w:val="00F44CFD"/>
    <w:rsid w:val="00F456C2"/>
    <w:rsid w:val="00F4570D"/>
    <w:rsid w:val="00F5180C"/>
    <w:rsid w:val="00F51B36"/>
    <w:rsid w:val="00F521F4"/>
    <w:rsid w:val="00F528B6"/>
    <w:rsid w:val="00F54121"/>
    <w:rsid w:val="00F54AC6"/>
    <w:rsid w:val="00F5675C"/>
    <w:rsid w:val="00F60D43"/>
    <w:rsid w:val="00F61E91"/>
    <w:rsid w:val="00F73987"/>
    <w:rsid w:val="00F7694A"/>
    <w:rsid w:val="00F80CD3"/>
    <w:rsid w:val="00F80FDF"/>
    <w:rsid w:val="00F8787B"/>
    <w:rsid w:val="00F87E94"/>
    <w:rsid w:val="00F92145"/>
    <w:rsid w:val="00F93CB3"/>
    <w:rsid w:val="00F94C2A"/>
    <w:rsid w:val="00F94E39"/>
    <w:rsid w:val="00F95194"/>
    <w:rsid w:val="00F95CFC"/>
    <w:rsid w:val="00F96E87"/>
    <w:rsid w:val="00F97925"/>
    <w:rsid w:val="00F97DD0"/>
    <w:rsid w:val="00FA029D"/>
    <w:rsid w:val="00FA26A0"/>
    <w:rsid w:val="00FA2D8D"/>
    <w:rsid w:val="00FA3B4C"/>
    <w:rsid w:val="00FA54B3"/>
    <w:rsid w:val="00FA59CF"/>
    <w:rsid w:val="00FA6E4F"/>
    <w:rsid w:val="00FA70A7"/>
    <w:rsid w:val="00FB0D80"/>
    <w:rsid w:val="00FB1992"/>
    <w:rsid w:val="00FB3F4B"/>
    <w:rsid w:val="00FB4BB4"/>
    <w:rsid w:val="00FB55BD"/>
    <w:rsid w:val="00FB72EC"/>
    <w:rsid w:val="00FC3975"/>
    <w:rsid w:val="00FC53F3"/>
    <w:rsid w:val="00FC6675"/>
    <w:rsid w:val="00FC66C2"/>
    <w:rsid w:val="00FC6F59"/>
    <w:rsid w:val="00FD0C75"/>
    <w:rsid w:val="00FD0C89"/>
    <w:rsid w:val="00FD125F"/>
    <w:rsid w:val="00FD2E83"/>
    <w:rsid w:val="00FD49E9"/>
    <w:rsid w:val="00FD6185"/>
    <w:rsid w:val="00FE05A8"/>
    <w:rsid w:val="00FE237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 w:type="paragraph" w:customStyle="1" w:styleId="Default">
    <w:name w:val="Default"/>
    <w:rsid w:val="00EA6B4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AF7291"/>
    <w:rPr>
      <w:sz w:val="16"/>
      <w:szCs w:val="16"/>
    </w:rPr>
  </w:style>
  <w:style w:type="paragraph" w:styleId="CommentText">
    <w:name w:val="annotation text"/>
    <w:basedOn w:val="Normal"/>
    <w:link w:val="CommentTextChar"/>
    <w:rsid w:val="00AF7291"/>
    <w:rPr>
      <w:sz w:val="20"/>
      <w:szCs w:val="20"/>
    </w:rPr>
  </w:style>
  <w:style w:type="character" w:customStyle="1" w:styleId="CommentTextChar">
    <w:name w:val="Comment Text Char"/>
    <w:basedOn w:val="DefaultParagraphFont"/>
    <w:link w:val="CommentText"/>
    <w:rsid w:val="00AF7291"/>
    <w:rPr>
      <w:lang w:eastAsia="bg-BG"/>
    </w:rPr>
  </w:style>
  <w:style w:type="paragraph" w:styleId="CommentSubject">
    <w:name w:val="annotation subject"/>
    <w:basedOn w:val="CommentText"/>
    <w:next w:val="CommentText"/>
    <w:link w:val="CommentSubjectChar"/>
    <w:rsid w:val="00AF7291"/>
    <w:rPr>
      <w:b/>
      <w:bCs/>
    </w:rPr>
  </w:style>
  <w:style w:type="character" w:customStyle="1" w:styleId="CommentSubjectChar">
    <w:name w:val="Comment Subject Char"/>
    <w:basedOn w:val="CommentTextChar"/>
    <w:link w:val="CommentSubject"/>
    <w:rsid w:val="00AF7291"/>
    <w:rPr>
      <w:b/>
      <w:bCs/>
      <w:lang w:eastAsia="bg-BG"/>
    </w:rPr>
  </w:style>
  <w:style w:type="paragraph" w:styleId="Revision">
    <w:name w:val="Revision"/>
    <w:hidden/>
    <w:uiPriority w:val="99"/>
    <w:semiHidden/>
    <w:rsid w:val="00AF7291"/>
    <w:rPr>
      <w:sz w:val="24"/>
      <w:szCs w:val="24"/>
      <w:lang w:eastAsia="bg-BG"/>
    </w:rPr>
  </w:style>
  <w:style w:type="paragraph" w:customStyle="1" w:styleId="1">
    <w:name w:val="Нормален1"/>
    <w:rsid w:val="00E64889"/>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35823668">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85599843">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7317750">
      <w:bodyDiv w:val="1"/>
      <w:marLeft w:val="0"/>
      <w:marRight w:val="0"/>
      <w:marTop w:val="0"/>
      <w:marBottom w:val="0"/>
      <w:divBdr>
        <w:top w:val="none" w:sz="0" w:space="0" w:color="auto"/>
        <w:left w:val="none" w:sz="0" w:space="0" w:color="auto"/>
        <w:bottom w:val="none" w:sz="0" w:space="0" w:color="auto"/>
        <w:right w:val="none" w:sz="0" w:space="0" w:color="auto"/>
      </w:divBdr>
    </w:div>
    <w:div w:id="102224208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14631272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EF81-027F-4B44-B544-97CEEDAF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10684</Characters>
  <Application>Microsoft Office Word</Application>
  <DocSecurity>0</DocSecurity>
  <Lines>89</Lines>
  <Paragraphs>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12534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2021-01-11T13:04:00Z</dcterms:created>
  <dcterms:modified xsi:type="dcterms:W3CDTF">2021-01-27T10:22:00Z</dcterms:modified>
</cp:coreProperties>
</file>